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06D34" w14:textId="4D286D4C" w:rsidR="0077129F" w:rsidRPr="00970C5E" w:rsidRDefault="00C85F61" w:rsidP="00970C5E">
      <w:pPr>
        <w:spacing w:line="360" w:lineRule="auto"/>
        <w:jc w:val="both"/>
        <w:rPr>
          <w:b/>
          <w:bCs/>
          <w:lang w:val="en-US"/>
        </w:rPr>
      </w:pPr>
      <w:r w:rsidRPr="00970C5E">
        <w:rPr>
          <w:b/>
          <w:bCs/>
          <w:lang w:val="en-US"/>
        </w:rPr>
        <w:t xml:space="preserve">Errors </w:t>
      </w:r>
      <w:r w:rsidR="00970C5E">
        <w:rPr>
          <w:b/>
          <w:bCs/>
          <w:lang w:val="en-US"/>
        </w:rPr>
        <w:t>ma</w:t>
      </w:r>
      <w:r w:rsidRPr="00970C5E">
        <w:rPr>
          <w:b/>
          <w:bCs/>
          <w:lang w:val="en-US"/>
        </w:rPr>
        <w:t xml:space="preserve">tter: </w:t>
      </w:r>
      <w:r w:rsidR="008A5BDF" w:rsidRPr="00970C5E">
        <w:rPr>
          <w:b/>
          <w:bCs/>
          <w:lang w:val="en-US"/>
        </w:rPr>
        <w:t xml:space="preserve">ACL </w:t>
      </w:r>
      <w:r w:rsidR="00970C5E">
        <w:rPr>
          <w:b/>
          <w:bCs/>
          <w:lang w:val="en-US"/>
        </w:rPr>
        <w:t>i</w:t>
      </w:r>
      <w:r w:rsidR="008A5BDF" w:rsidRPr="00970C5E">
        <w:rPr>
          <w:b/>
          <w:bCs/>
          <w:lang w:val="en-US"/>
        </w:rPr>
        <w:t xml:space="preserve">njury </w:t>
      </w:r>
      <w:r w:rsidR="00970C5E">
        <w:rPr>
          <w:b/>
          <w:bCs/>
          <w:lang w:val="en-US"/>
        </w:rPr>
        <w:t>r</w:t>
      </w:r>
      <w:r w:rsidR="008A5BDF" w:rsidRPr="00970C5E">
        <w:rPr>
          <w:b/>
          <w:bCs/>
          <w:lang w:val="en-US"/>
        </w:rPr>
        <w:t xml:space="preserve">isk and the </w:t>
      </w:r>
      <w:r w:rsidR="00970C5E">
        <w:rPr>
          <w:b/>
          <w:bCs/>
          <w:lang w:val="en-US"/>
        </w:rPr>
        <w:t>b</w:t>
      </w:r>
      <w:r w:rsidRPr="00970C5E">
        <w:rPr>
          <w:b/>
          <w:bCs/>
          <w:lang w:val="en-US"/>
        </w:rPr>
        <w:t xml:space="preserve">iomechanics of </w:t>
      </w:r>
      <w:r w:rsidR="00970C5E">
        <w:rPr>
          <w:b/>
          <w:bCs/>
          <w:lang w:val="en-US"/>
        </w:rPr>
        <w:t>u</w:t>
      </w:r>
      <w:r w:rsidRPr="00970C5E">
        <w:rPr>
          <w:b/>
          <w:bCs/>
          <w:lang w:val="en-US"/>
        </w:rPr>
        <w:t xml:space="preserve">nsuccessful </w:t>
      </w:r>
      <w:r w:rsidR="00970C5E">
        <w:rPr>
          <w:b/>
          <w:bCs/>
          <w:lang w:val="en-US"/>
        </w:rPr>
        <w:t>t</w:t>
      </w:r>
      <w:r w:rsidRPr="00970C5E">
        <w:rPr>
          <w:b/>
          <w:bCs/>
          <w:lang w:val="en-US"/>
        </w:rPr>
        <w:t>rials</w:t>
      </w:r>
    </w:p>
    <w:p w14:paraId="5E8D68E4" w14:textId="440060F7" w:rsidR="0077129F" w:rsidRDefault="0077129F" w:rsidP="0077129F">
      <w:r>
        <w:t>Claudia Brunetti</w:t>
      </w:r>
      <w:r w:rsidRPr="00ED31A9">
        <w:rPr>
          <w:vertAlign w:val="superscript"/>
        </w:rPr>
        <w:t>1,2</w:t>
      </w:r>
      <w:r>
        <w:t>*, Pietro Maver</w:t>
      </w:r>
      <w:r w:rsidRPr="00ED31A9">
        <w:rPr>
          <w:vertAlign w:val="superscript"/>
        </w:rPr>
        <w:t>1</w:t>
      </w:r>
      <w:r>
        <w:t>,  Marco Tarabini</w:t>
      </w:r>
      <w:r w:rsidRPr="00ED31A9">
        <w:rPr>
          <w:vertAlign w:val="superscript"/>
        </w:rPr>
        <w:t>1,2</w:t>
      </w:r>
      <w:r w:rsidR="009C0013">
        <w:t>,</w:t>
      </w:r>
      <w:r w:rsidR="009C0013" w:rsidRPr="009C0013">
        <w:t xml:space="preserve"> </w:t>
      </w:r>
      <w:r w:rsidR="009C0013">
        <w:t>Filippo Bertozzi</w:t>
      </w:r>
      <w:r w:rsidR="009C0013" w:rsidRPr="00ED31A9">
        <w:rPr>
          <w:vertAlign w:val="superscript"/>
        </w:rPr>
        <w:t>1</w:t>
      </w:r>
    </w:p>
    <w:p w14:paraId="71FDDD13" w14:textId="77777777" w:rsidR="0077129F" w:rsidRPr="00D34EF7" w:rsidRDefault="0077129F" w:rsidP="0077129F"/>
    <w:p w14:paraId="33171179" w14:textId="77777777" w:rsidR="0077129F" w:rsidRPr="00ED31A9" w:rsidRDefault="0077129F" w:rsidP="0077129F">
      <w:r w:rsidRPr="00ED31A9">
        <w:rPr>
          <w:vertAlign w:val="superscript"/>
        </w:rPr>
        <w:t>1</w:t>
      </w:r>
      <w:r w:rsidRPr="00ED31A9">
        <w:t xml:space="preserve"> E4Sport Lab, Politecnico di Milano, Lecco, Italy</w:t>
      </w:r>
    </w:p>
    <w:p w14:paraId="17061445" w14:textId="77777777" w:rsidR="0077129F" w:rsidRPr="00ED31A9" w:rsidRDefault="0077129F" w:rsidP="0077129F">
      <w:pPr>
        <w:rPr>
          <w:lang w:val="en-US"/>
        </w:rPr>
      </w:pPr>
      <w:r w:rsidRPr="00ED31A9">
        <w:rPr>
          <w:vertAlign w:val="superscript"/>
          <w:lang w:val="en-US"/>
        </w:rPr>
        <w:t>2</w:t>
      </w:r>
      <w:r w:rsidRPr="00ED31A9">
        <w:rPr>
          <w:lang w:val="en-US"/>
        </w:rPr>
        <w:t xml:space="preserve"> Department of Mechanical Engineering, Politecnico di Milano, Milan, Italy</w:t>
      </w:r>
    </w:p>
    <w:p w14:paraId="5F444F37" w14:textId="77777777" w:rsidR="0077129F" w:rsidRDefault="0077129F" w:rsidP="0077129F">
      <w:pPr>
        <w:rPr>
          <w:lang w:val="en-US"/>
        </w:rPr>
      </w:pPr>
    </w:p>
    <w:p w14:paraId="5A9FDB01" w14:textId="77777777" w:rsidR="0077129F" w:rsidRPr="0051298C" w:rsidRDefault="0077129F" w:rsidP="0077129F">
      <w:pPr>
        <w:rPr>
          <w:b/>
          <w:bCs/>
          <w:i/>
          <w:iCs/>
          <w:lang w:val="fr-FR"/>
        </w:rPr>
      </w:pPr>
      <w:r w:rsidRPr="0051298C">
        <w:rPr>
          <w:b/>
          <w:bCs/>
          <w:i/>
          <w:iCs/>
          <w:lang w:val="fr-FR"/>
        </w:rPr>
        <w:t xml:space="preserve">Mail </w:t>
      </w:r>
      <w:proofErr w:type="spellStart"/>
      <w:r w:rsidRPr="0051298C">
        <w:rPr>
          <w:b/>
          <w:bCs/>
          <w:i/>
          <w:iCs/>
          <w:lang w:val="fr-FR"/>
        </w:rPr>
        <w:t>addresses</w:t>
      </w:r>
      <w:proofErr w:type="spellEnd"/>
      <w:r w:rsidRPr="0051298C">
        <w:rPr>
          <w:b/>
          <w:bCs/>
          <w:i/>
          <w:iCs/>
          <w:lang w:val="fr-FR"/>
        </w:rPr>
        <w:t>:</w:t>
      </w:r>
    </w:p>
    <w:p w14:paraId="41A19007" w14:textId="77777777" w:rsidR="0077129F" w:rsidRPr="0051298C" w:rsidRDefault="0077129F" w:rsidP="0077129F">
      <w:pPr>
        <w:rPr>
          <w:lang w:val="fr-FR"/>
        </w:rPr>
      </w:pPr>
      <w:hyperlink r:id="rId6" w:history="1">
        <w:r w:rsidRPr="0051298C">
          <w:rPr>
            <w:rStyle w:val="Collegamentoipertestuale"/>
            <w:lang w:val="fr-FR"/>
          </w:rPr>
          <w:t>claudia.brunetti@polimi.it</w:t>
        </w:r>
      </w:hyperlink>
    </w:p>
    <w:p w14:paraId="6E1F2E23" w14:textId="77777777" w:rsidR="0077129F" w:rsidRPr="00970C5E" w:rsidRDefault="0077129F" w:rsidP="0077129F">
      <w:pPr>
        <w:rPr>
          <w:lang w:val="fr-FR"/>
        </w:rPr>
      </w:pPr>
      <w:hyperlink r:id="rId7" w:history="1">
        <w:r w:rsidRPr="00970C5E">
          <w:rPr>
            <w:rStyle w:val="Collegamentoipertestuale"/>
            <w:lang w:val="fr-FR"/>
          </w:rPr>
          <w:t>pietro.maver@polimi.it</w:t>
        </w:r>
      </w:hyperlink>
    </w:p>
    <w:p w14:paraId="2E6809D5" w14:textId="77777777" w:rsidR="009C0013" w:rsidRPr="00E16320" w:rsidRDefault="009C0013" w:rsidP="009C0013">
      <w:pPr>
        <w:rPr>
          <w:lang w:val="fr-FR"/>
        </w:rPr>
      </w:pPr>
      <w:hyperlink r:id="rId8" w:history="1">
        <w:r w:rsidRPr="00E16320">
          <w:rPr>
            <w:rStyle w:val="Collegamentoipertestuale"/>
            <w:lang w:val="fr-FR"/>
          </w:rPr>
          <w:t>marco.tarabini@polimi.it</w:t>
        </w:r>
      </w:hyperlink>
    </w:p>
    <w:p w14:paraId="3D39ED80" w14:textId="77777777" w:rsidR="0077129F" w:rsidRPr="00970C5E" w:rsidRDefault="0077129F" w:rsidP="0077129F">
      <w:pPr>
        <w:rPr>
          <w:lang w:val="fr-FR"/>
        </w:rPr>
      </w:pPr>
      <w:hyperlink r:id="rId9" w:history="1">
        <w:r w:rsidRPr="00970C5E">
          <w:rPr>
            <w:rStyle w:val="Collegamentoipertestuale"/>
            <w:lang w:val="fr-FR"/>
          </w:rPr>
          <w:t>filippobertozzi23@gmail.com</w:t>
        </w:r>
      </w:hyperlink>
    </w:p>
    <w:p w14:paraId="5F416535" w14:textId="77777777" w:rsidR="0077129F" w:rsidRPr="00970C5E" w:rsidRDefault="0077129F" w:rsidP="0077129F">
      <w:pPr>
        <w:rPr>
          <w:lang w:val="fr-FR"/>
        </w:rPr>
      </w:pPr>
    </w:p>
    <w:p w14:paraId="6AD49844" w14:textId="77777777" w:rsidR="0077129F" w:rsidRPr="00970C5E" w:rsidRDefault="0077129F" w:rsidP="0077129F">
      <w:pPr>
        <w:rPr>
          <w:b/>
          <w:bCs/>
          <w:i/>
          <w:iCs/>
        </w:rPr>
      </w:pPr>
      <w:proofErr w:type="spellStart"/>
      <w:r w:rsidRPr="00970C5E">
        <w:rPr>
          <w:b/>
          <w:bCs/>
          <w:i/>
          <w:iCs/>
        </w:rPr>
        <w:t>ORCIDs</w:t>
      </w:r>
      <w:proofErr w:type="spellEnd"/>
      <w:r w:rsidRPr="00970C5E">
        <w:rPr>
          <w:b/>
          <w:bCs/>
          <w:i/>
          <w:iCs/>
        </w:rPr>
        <w:t>:</w:t>
      </w:r>
    </w:p>
    <w:p w14:paraId="78E245C3" w14:textId="77777777" w:rsidR="0077129F" w:rsidRDefault="0077129F" w:rsidP="0077129F">
      <w:r>
        <w:t>Claudia Brunetti: 0000-0003-0409-8546</w:t>
      </w:r>
    </w:p>
    <w:p w14:paraId="1042EA46" w14:textId="77777777" w:rsidR="009C0013" w:rsidRDefault="009C0013" w:rsidP="009C0013">
      <w:r>
        <w:t>Marco Tarabini: 0000-0002-2640-1764</w:t>
      </w:r>
    </w:p>
    <w:p w14:paraId="1B9B3AC2" w14:textId="77777777" w:rsidR="0077129F" w:rsidRDefault="0077129F" w:rsidP="0077129F">
      <w:r>
        <w:t>Filippo Bertozzi: 0000-0003-2240-5394</w:t>
      </w:r>
    </w:p>
    <w:p w14:paraId="3D874CB0" w14:textId="77777777" w:rsidR="0077129F" w:rsidRDefault="0077129F" w:rsidP="0077129F"/>
    <w:p w14:paraId="0A95C658" w14:textId="77777777" w:rsidR="0077129F" w:rsidRPr="00970C5E" w:rsidRDefault="0077129F" w:rsidP="0077129F">
      <w:pPr>
        <w:rPr>
          <w:b/>
          <w:bCs/>
        </w:rPr>
      </w:pPr>
      <w:r w:rsidRPr="00970C5E">
        <w:rPr>
          <w:b/>
          <w:bCs/>
        </w:rPr>
        <w:t>*</w:t>
      </w:r>
      <w:proofErr w:type="spellStart"/>
      <w:r w:rsidRPr="00970C5E">
        <w:rPr>
          <w:b/>
          <w:bCs/>
        </w:rPr>
        <w:t>Corresponding</w:t>
      </w:r>
      <w:proofErr w:type="spellEnd"/>
      <w:r w:rsidRPr="00970C5E">
        <w:rPr>
          <w:b/>
          <w:bCs/>
        </w:rPr>
        <w:t xml:space="preserve"> </w:t>
      </w:r>
      <w:proofErr w:type="spellStart"/>
      <w:r w:rsidRPr="00970C5E">
        <w:rPr>
          <w:b/>
          <w:bCs/>
        </w:rPr>
        <w:t>author’s</w:t>
      </w:r>
      <w:proofErr w:type="spellEnd"/>
      <w:r w:rsidRPr="00970C5E">
        <w:rPr>
          <w:b/>
          <w:bCs/>
        </w:rPr>
        <w:t xml:space="preserve"> </w:t>
      </w:r>
      <w:proofErr w:type="spellStart"/>
      <w:r w:rsidRPr="00970C5E">
        <w:rPr>
          <w:b/>
          <w:bCs/>
        </w:rPr>
        <w:t>details</w:t>
      </w:r>
      <w:proofErr w:type="spellEnd"/>
      <w:r w:rsidRPr="00970C5E">
        <w:rPr>
          <w:b/>
          <w:bCs/>
        </w:rPr>
        <w:t>:</w:t>
      </w:r>
    </w:p>
    <w:p w14:paraId="2EE6DF9B" w14:textId="77777777" w:rsidR="0077129F" w:rsidRPr="00970C5E" w:rsidRDefault="0077129F" w:rsidP="0077129F">
      <w:r w:rsidRPr="00970C5E">
        <w:t>Claudia Brunetti, PhD</w:t>
      </w:r>
    </w:p>
    <w:p w14:paraId="6A1D1BA4" w14:textId="77777777" w:rsidR="0077129F" w:rsidRDefault="0077129F" w:rsidP="0077129F">
      <w:r w:rsidRPr="00CF3450">
        <w:t>E4Sport Lab, Politecnico di Milano, Lecco, Italy</w:t>
      </w:r>
      <w:r>
        <w:t xml:space="preserve">; Department of </w:t>
      </w:r>
      <w:proofErr w:type="spellStart"/>
      <w:r>
        <w:t>Mechanical</w:t>
      </w:r>
      <w:proofErr w:type="spellEnd"/>
      <w:r>
        <w:t xml:space="preserve"> Engineering, Politecnico di Milano, Milan, Italy</w:t>
      </w:r>
    </w:p>
    <w:p w14:paraId="79BA56B7" w14:textId="77777777" w:rsidR="0077129F" w:rsidRDefault="0077129F" w:rsidP="0077129F">
      <w:r>
        <w:t>Via G. Previati 1/c, 23900, Lecco (LC), Italy</w:t>
      </w:r>
    </w:p>
    <w:p w14:paraId="7C9D9925" w14:textId="77777777" w:rsidR="0077129F" w:rsidRPr="00CF3450" w:rsidRDefault="0077129F" w:rsidP="0077129F">
      <w:pPr>
        <w:rPr>
          <w:lang w:val="fr-FR"/>
        </w:rPr>
      </w:pPr>
      <w:r>
        <w:rPr>
          <w:lang w:val="fr-FR"/>
        </w:rPr>
        <w:t>m</w:t>
      </w:r>
      <w:r w:rsidRPr="00CF3450">
        <w:rPr>
          <w:lang w:val="fr-FR"/>
        </w:rPr>
        <w:t xml:space="preserve">ail: </w:t>
      </w:r>
      <w:hyperlink r:id="rId10" w:history="1">
        <w:r w:rsidRPr="001B3BF0">
          <w:rPr>
            <w:rStyle w:val="Collegamentoipertestuale"/>
            <w:lang w:val="fr-FR"/>
          </w:rPr>
          <w:t>claudia.brunetti@polimi.it</w:t>
        </w:r>
      </w:hyperlink>
      <w:r w:rsidRPr="00CF3450">
        <w:rPr>
          <w:lang w:val="fr-FR"/>
        </w:rPr>
        <w:t xml:space="preserve"> </w:t>
      </w:r>
    </w:p>
    <w:p w14:paraId="45092B95" w14:textId="77777777" w:rsidR="0077129F" w:rsidRPr="00970C5E" w:rsidRDefault="0077129F" w:rsidP="0077129F">
      <w:pPr>
        <w:rPr>
          <w:lang w:val="fr-FR"/>
        </w:rPr>
      </w:pPr>
      <w:r w:rsidRPr="00970C5E">
        <w:rPr>
          <w:lang w:val="fr-FR"/>
        </w:rPr>
        <w:t>phone: +39 0341 488835</w:t>
      </w:r>
    </w:p>
    <w:p w14:paraId="0BD9D8CF" w14:textId="77777777" w:rsidR="0077129F" w:rsidRPr="00970C5E" w:rsidRDefault="0077129F" w:rsidP="0077129F">
      <w:pPr>
        <w:rPr>
          <w:lang w:val="fr-FR"/>
        </w:rPr>
      </w:pPr>
    </w:p>
    <w:p w14:paraId="3F5F4355" w14:textId="77777777" w:rsidR="0077129F" w:rsidRPr="00AE66D9" w:rsidRDefault="0077129F" w:rsidP="00C91A03">
      <w:pPr>
        <w:spacing w:after="0" w:line="276" w:lineRule="auto"/>
        <w:rPr>
          <w:b/>
          <w:bCs/>
          <w:i/>
          <w:iCs/>
          <w:lang w:val="en-US"/>
        </w:rPr>
      </w:pPr>
      <w:r w:rsidRPr="00CF3450">
        <w:rPr>
          <w:b/>
          <w:bCs/>
          <w:i/>
          <w:iCs/>
          <w:lang w:val="en-US"/>
        </w:rPr>
        <w:t>D</w:t>
      </w:r>
      <w:r w:rsidRPr="00CC1B2A">
        <w:rPr>
          <w:b/>
          <w:bCs/>
          <w:i/>
          <w:iCs/>
          <w:lang w:val="en-US"/>
        </w:rPr>
        <w:t xml:space="preserve">ata </w:t>
      </w:r>
      <w:r w:rsidRPr="00CF3450">
        <w:rPr>
          <w:b/>
          <w:bCs/>
          <w:i/>
          <w:iCs/>
          <w:lang w:val="en-US"/>
        </w:rPr>
        <w:t>a</w:t>
      </w:r>
      <w:r w:rsidRPr="00CC1B2A">
        <w:rPr>
          <w:b/>
          <w:bCs/>
          <w:i/>
          <w:iCs/>
          <w:lang w:val="en-US"/>
        </w:rPr>
        <w:t>vailability statement</w:t>
      </w:r>
    </w:p>
    <w:p w14:paraId="44A6EE51" w14:textId="6D367F25" w:rsidR="0077129F" w:rsidRDefault="0077129F" w:rsidP="00C91A03">
      <w:pPr>
        <w:spacing w:line="276" w:lineRule="auto"/>
        <w:rPr>
          <w:lang w:val="en-US"/>
        </w:rPr>
      </w:pPr>
      <w:r w:rsidRPr="00CC1B2A">
        <w:rPr>
          <w:lang w:val="en-US"/>
        </w:rPr>
        <w:t>The data that support the findings of this study are available in the supplementary material of this article.</w:t>
      </w:r>
    </w:p>
    <w:p w14:paraId="53117C7B" w14:textId="77777777" w:rsidR="0077129F" w:rsidRPr="00970C5E" w:rsidRDefault="0077129F" w:rsidP="00C91A03">
      <w:pPr>
        <w:spacing w:before="240" w:after="0" w:line="276" w:lineRule="auto"/>
        <w:rPr>
          <w:b/>
          <w:bCs/>
          <w:i/>
          <w:iCs/>
          <w:lang w:val="en-US"/>
        </w:rPr>
      </w:pPr>
      <w:r w:rsidRPr="00970C5E">
        <w:rPr>
          <w:b/>
          <w:bCs/>
          <w:i/>
          <w:iCs/>
          <w:lang w:val="en-US"/>
        </w:rPr>
        <w:t>Funding statement</w:t>
      </w:r>
    </w:p>
    <w:p w14:paraId="60E15977" w14:textId="77777777" w:rsidR="0077129F" w:rsidRPr="00CC1B2A" w:rsidRDefault="0077129F" w:rsidP="00C91A03">
      <w:pPr>
        <w:spacing w:line="276" w:lineRule="auto"/>
        <w:rPr>
          <w:lang w:val="en-US"/>
        </w:rPr>
      </w:pPr>
      <w:r w:rsidRPr="00ED31A9">
        <w:rPr>
          <w:lang w:val="en-US"/>
        </w:rPr>
        <w:t>The authors declare no conflicts of interest.</w:t>
      </w:r>
    </w:p>
    <w:p w14:paraId="403221D1" w14:textId="77777777" w:rsidR="0077129F" w:rsidRPr="00CC1B2A" w:rsidRDefault="0077129F" w:rsidP="00C91A03">
      <w:pPr>
        <w:spacing w:before="240" w:after="0" w:line="276" w:lineRule="auto"/>
        <w:rPr>
          <w:b/>
          <w:bCs/>
          <w:i/>
          <w:iCs/>
          <w:lang w:val="en-US"/>
        </w:rPr>
      </w:pPr>
      <w:r w:rsidRPr="00ED31A9">
        <w:rPr>
          <w:b/>
          <w:bCs/>
          <w:i/>
          <w:iCs/>
          <w:lang w:val="en-US"/>
        </w:rPr>
        <w:t>C</w:t>
      </w:r>
      <w:r w:rsidRPr="00CC1B2A">
        <w:rPr>
          <w:b/>
          <w:bCs/>
          <w:i/>
          <w:iCs/>
          <w:lang w:val="en-US"/>
        </w:rPr>
        <w:t>onflict of interest disclosure</w:t>
      </w:r>
    </w:p>
    <w:p w14:paraId="5E4824DE" w14:textId="77777777" w:rsidR="0077129F" w:rsidRDefault="0077129F" w:rsidP="00C91A03">
      <w:pPr>
        <w:spacing w:line="276" w:lineRule="auto"/>
        <w:jc w:val="both"/>
        <w:rPr>
          <w:lang w:val="en-US"/>
        </w:rPr>
      </w:pPr>
      <w:r w:rsidRPr="00CA6E41">
        <w:rPr>
          <w:lang w:val="en-US"/>
        </w:rPr>
        <w:t>No external funding was received for this study.</w:t>
      </w:r>
    </w:p>
    <w:p w14:paraId="10BB3F9A" w14:textId="77777777" w:rsidR="0077129F" w:rsidRPr="00ED31A9" w:rsidRDefault="0077129F" w:rsidP="00C91A03">
      <w:pPr>
        <w:spacing w:before="240" w:after="0" w:line="276" w:lineRule="auto"/>
        <w:rPr>
          <w:b/>
          <w:bCs/>
          <w:i/>
          <w:iCs/>
          <w:lang w:val="en-US"/>
        </w:rPr>
      </w:pPr>
      <w:r w:rsidRPr="00ED31A9">
        <w:rPr>
          <w:b/>
          <w:bCs/>
          <w:i/>
          <w:iCs/>
          <w:lang w:val="en-US"/>
        </w:rPr>
        <w:lastRenderedPageBreak/>
        <w:t>E</w:t>
      </w:r>
      <w:r w:rsidRPr="00CC1B2A">
        <w:rPr>
          <w:b/>
          <w:bCs/>
          <w:i/>
          <w:iCs/>
          <w:lang w:val="en-US"/>
        </w:rPr>
        <w:t>thics approval statement</w:t>
      </w:r>
    </w:p>
    <w:p w14:paraId="7A83C072" w14:textId="77777777" w:rsidR="0077129F" w:rsidRPr="00CC1B2A" w:rsidRDefault="0077129F" w:rsidP="00C91A03">
      <w:pPr>
        <w:spacing w:line="276" w:lineRule="auto"/>
        <w:rPr>
          <w:lang w:val="en-US"/>
        </w:rPr>
      </w:pPr>
      <w:r w:rsidRPr="00ED31A9">
        <w:rPr>
          <w:lang w:val="en-US"/>
        </w:rPr>
        <w:t>The project was app</w:t>
      </w:r>
      <w:r>
        <w:rPr>
          <w:lang w:val="en-US"/>
        </w:rPr>
        <w:t xml:space="preserve">roved by the Institutional Ethics Committee (protocol number: </w:t>
      </w:r>
      <w:r w:rsidRPr="00AE66D9">
        <w:rPr>
          <w:lang w:val="en-US"/>
        </w:rPr>
        <w:t>10/2022</w:t>
      </w:r>
      <w:r>
        <w:rPr>
          <w:lang w:val="en-US"/>
        </w:rPr>
        <w:t>).</w:t>
      </w:r>
    </w:p>
    <w:p w14:paraId="2B7ADCE3" w14:textId="77777777" w:rsidR="0077129F" w:rsidRPr="00970C5E" w:rsidRDefault="0077129F" w:rsidP="00C91A03">
      <w:pPr>
        <w:spacing w:before="240" w:after="0" w:line="276" w:lineRule="auto"/>
        <w:rPr>
          <w:b/>
          <w:bCs/>
          <w:i/>
          <w:iCs/>
          <w:lang w:val="en-US"/>
        </w:rPr>
      </w:pPr>
      <w:r w:rsidRPr="00970C5E">
        <w:rPr>
          <w:b/>
          <w:bCs/>
          <w:i/>
          <w:iCs/>
          <w:lang w:val="en-US"/>
        </w:rPr>
        <w:t>Patient consent statement</w:t>
      </w:r>
    </w:p>
    <w:p w14:paraId="2378B387" w14:textId="77777777" w:rsidR="0077129F" w:rsidRPr="00CC1B2A" w:rsidRDefault="0077129F" w:rsidP="00C91A03">
      <w:pPr>
        <w:spacing w:line="276" w:lineRule="auto"/>
        <w:rPr>
          <w:lang w:val="en-US"/>
        </w:rPr>
      </w:pPr>
      <w:r w:rsidRPr="00ED31A9">
        <w:rPr>
          <w:lang w:val="en-US"/>
        </w:rPr>
        <w:t>All participants signed informed c</w:t>
      </w:r>
      <w:r>
        <w:rPr>
          <w:lang w:val="en-US"/>
        </w:rPr>
        <w:t xml:space="preserve">onsent before the participation in the study, containing detailed description of the experimental protocol, risks, and benefits. </w:t>
      </w:r>
    </w:p>
    <w:p w14:paraId="688C0B52" w14:textId="77777777" w:rsidR="0077129F" w:rsidRDefault="0077129F" w:rsidP="00C91A03">
      <w:pPr>
        <w:spacing w:before="240" w:after="0" w:line="276" w:lineRule="auto"/>
        <w:rPr>
          <w:b/>
          <w:bCs/>
          <w:i/>
          <w:iCs/>
          <w:lang w:val="en-US"/>
        </w:rPr>
      </w:pPr>
      <w:r w:rsidRPr="00ED31A9">
        <w:rPr>
          <w:b/>
          <w:bCs/>
          <w:i/>
          <w:iCs/>
          <w:lang w:val="en-US"/>
        </w:rPr>
        <w:t>P</w:t>
      </w:r>
      <w:r w:rsidRPr="00CC1B2A">
        <w:rPr>
          <w:b/>
          <w:bCs/>
          <w:i/>
          <w:iCs/>
          <w:lang w:val="en-US"/>
        </w:rPr>
        <w:t>ermission to reproduce material from other sources</w:t>
      </w:r>
    </w:p>
    <w:p w14:paraId="5F9B3B5A" w14:textId="77777777" w:rsidR="0077129F" w:rsidRPr="00CC1B2A" w:rsidRDefault="0077129F" w:rsidP="00C91A03">
      <w:pPr>
        <w:spacing w:line="276" w:lineRule="auto"/>
        <w:rPr>
          <w:lang w:val="en-US"/>
        </w:rPr>
      </w:pPr>
      <w:r w:rsidRPr="00AE66D9">
        <w:rPr>
          <w:lang w:val="en-US"/>
        </w:rPr>
        <w:t>No previously published material has been reproduced.</w:t>
      </w:r>
    </w:p>
    <w:p w14:paraId="6140E17B" w14:textId="77777777" w:rsidR="0077129F" w:rsidRPr="00CC1B2A" w:rsidRDefault="0077129F" w:rsidP="00C91A03">
      <w:pPr>
        <w:spacing w:before="240" w:after="0" w:line="276" w:lineRule="auto"/>
        <w:rPr>
          <w:b/>
          <w:bCs/>
          <w:i/>
          <w:iCs/>
          <w:lang w:val="en-US"/>
        </w:rPr>
      </w:pPr>
      <w:r w:rsidRPr="00AE66D9">
        <w:rPr>
          <w:b/>
          <w:bCs/>
          <w:i/>
          <w:iCs/>
          <w:lang w:val="en-US"/>
        </w:rPr>
        <w:t>C</w:t>
      </w:r>
      <w:r w:rsidRPr="00CC1B2A">
        <w:rPr>
          <w:b/>
          <w:bCs/>
          <w:i/>
          <w:iCs/>
          <w:lang w:val="en-US"/>
        </w:rPr>
        <w:t>linical trial registration</w:t>
      </w:r>
    </w:p>
    <w:p w14:paraId="11171A35" w14:textId="77777777" w:rsidR="0077129F" w:rsidRDefault="0077129F" w:rsidP="00C91A03">
      <w:pPr>
        <w:spacing w:line="276" w:lineRule="auto"/>
        <w:rPr>
          <w:lang w:val="en-US"/>
        </w:rPr>
      </w:pPr>
      <w:r w:rsidRPr="00AE66D9">
        <w:rPr>
          <w:lang w:val="en-US"/>
        </w:rPr>
        <w:t>Not applicable.</w:t>
      </w:r>
    </w:p>
    <w:p w14:paraId="0473BC4E" w14:textId="720DB127" w:rsidR="0013669C" w:rsidRPr="0013669C" w:rsidRDefault="0013669C" w:rsidP="00C91A03">
      <w:pPr>
        <w:spacing w:before="240" w:after="0" w:line="276" w:lineRule="auto"/>
        <w:jc w:val="both"/>
        <w:rPr>
          <w:b/>
          <w:bCs/>
          <w:i/>
          <w:iCs/>
          <w:lang w:val="en-US"/>
        </w:rPr>
      </w:pPr>
      <w:r w:rsidRPr="0013669C">
        <w:rPr>
          <w:b/>
          <w:bCs/>
          <w:i/>
          <w:iCs/>
          <w:lang w:val="en-US"/>
        </w:rPr>
        <w:t>Disclosure</w:t>
      </w:r>
    </w:p>
    <w:p w14:paraId="670BAD0A" w14:textId="09591764" w:rsidR="0013669C" w:rsidRPr="00CA6E41" w:rsidRDefault="0013669C" w:rsidP="00C91A03">
      <w:pPr>
        <w:spacing w:line="276" w:lineRule="auto"/>
        <w:jc w:val="both"/>
        <w:rPr>
          <w:lang w:val="en-US"/>
        </w:rPr>
      </w:pPr>
      <w:proofErr w:type="spellStart"/>
      <w:r w:rsidRPr="00B82A5F">
        <w:rPr>
          <w:lang w:val="en-US"/>
        </w:rPr>
        <w:t>Figure</w:t>
      </w:r>
      <w:proofErr w:type="spellEnd"/>
      <w:r w:rsidRPr="00B82A5F">
        <w:rPr>
          <w:lang w:val="en-US"/>
        </w:rPr>
        <w:t xml:space="preserve"> 1 and parts of Figures 3 and 5 (graphical representations of cluster motor patterns) </w:t>
      </w:r>
      <w:r>
        <w:rPr>
          <w:lang w:val="en-US"/>
        </w:rPr>
        <w:t>of</w:t>
      </w:r>
      <w:r w:rsidRPr="00B82A5F">
        <w:rPr>
          <w:lang w:val="en-US"/>
        </w:rPr>
        <w:t xml:space="preserve"> this article were generated with the assistance of ChatGPT (OpenAI) based on the </w:t>
      </w:r>
      <w:r>
        <w:rPr>
          <w:lang w:val="en-US"/>
        </w:rPr>
        <w:t>A</w:t>
      </w:r>
      <w:r w:rsidRPr="00B82A5F">
        <w:rPr>
          <w:lang w:val="en-US"/>
        </w:rPr>
        <w:t xml:space="preserve">uthors’ </w:t>
      </w:r>
      <w:r>
        <w:rPr>
          <w:lang w:val="en-US"/>
        </w:rPr>
        <w:t>specifications</w:t>
      </w:r>
      <w:r w:rsidRPr="00B82A5F">
        <w:rPr>
          <w:lang w:val="en-US"/>
        </w:rPr>
        <w:t xml:space="preserve">. The </w:t>
      </w:r>
      <w:r>
        <w:rPr>
          <w:lang w:val="en-US"/>
        </w:rPr>
        <w:t>A</w:t>
      </w:r>
      <w:r w:rsidRPr="00B82A5F">
        <w:rPr>
          <w:lang w:val="en-US"/>
        </w:rPr>
        <w:t>uthors reviewed and approved all generated content</w:t>
      </w:r>
      <w:r w:rsidRPr="00CA6E41">
        <w:rPr>
          <w:lang w:val="en-US"/>
        </w:rPr>
        <w:t>.</w:t>
      </w:r>
    </w:p>
    <w:p w14:paraId="60785C24" w14:textId="77777777" w:rsidR="0013669C" w:rsidRPr="00AE66D9" w:rsidRDefault="0013669C" w:rsidP="0077129F">
      <w:pPr>
        <w:rPr>
          <w:lang w:val="en-US"/>
        </w:rPr>
      </w:pPr>
    </w:p>
    <w:p w14:paraId="3B33A8A0" w14:textId="77777777" w:rsidR="0077129F" w:rsidRPr="006F0364" w:rsidRDefault="0077129F" w:rsidP="00353B30">
      <w:pPr>
        <w:spacing w:line="360" w:lineRule="auto"/>
        <w:jc w:val="both"/>
        <w:rPr>
          <w:b/>
          <w:bCs/>
          <w:lang w:val="en-US"/>
        </w:rPr>
      </w:pPr>
    </w:p>
    <w:p w14:paraId="07A37157" w14:textId="77777777" w:rsidR="0077129F" w:rsidRPr="006F0364" w:rsidRDefault="0077129F">
      <w:pPr>
        <w:rPr>
          <w:b/>
          <w:bCs/>
          <w:lang w:val="en-US"/>
        </w:rPr>
      </w:pPr>
      <w:r w:rsidRPr="006F0364">
        <w:rPr>
          <w:b/>
          <w:bCs/>
          <w:lang w:val="en-US"/>
        </w:rPr>
        <w:br w:type="page"/>
      </w:r>
    </w:p>
    <w:p w14:paraId="7FD2DAB9" w14:textId="133C33FF" w:rsidR="00FD1266" w:rsidRDefault="00FD1266" w:rsidP="00353B30">
      <w:pPr>
        <w:spacing w:line="360" w:lineRule="auto"/>
        <w:jc w:val="both"/>
        <w:rPr>
          <w:b/>
          <w:bCs/>
          <w:lang w:val="en-US"/>
        </w:rPr>
      </w:pPr>
      <w:r>
        <w:rPr>
          <w:b/>
          <w:bCs/>
          <w:lang w:val="en-US"/>
        </w:rPr>
        <w:lastRenderedPageBreak/>
        <w:t>ABSTRACT</w:t>
      </w:r>
    </w:p>
    <w:p w14:paraId="2643D17F" w14:textId="6B52B27D" w:rsidR="00963971" w:rsidRPr="0045509D" w:rsidRDefault="00973A70" w:rsidP="00353B30">
      <w:pPr>
        <w:spacing w:line="360" w:lineRule="auto"/>
        <w:jc w:val="both"/>
        <w:rPr>
          <w:lang w:val="en-US"/>
        </w:rPr>
      </w:pPr>
      <w:r>
        <w:rPr>
          <w:lang w:val="en-US"/>
        </w:rPr>
        <w:t>L</w:t>
      </w:r>
      <w:r w:rsidR="002C1B15" w:rsidRPr="0045509D">
        <w:rPr>
          <w:lang w:val="en-US"/>
        </w:rPr>
        <w:t xml:space="preserve">anding tasks </w:t>
      </w:r>
      <w:r>
        <w:rPr>
          <w:lang w:val="en-US"/>
        </w:rPr>
        <w:t xml:space="preserve">coupled with cognitive-motor demands </w:t>
      </w:r>
      <w:r w:rsidR="002C1B15" w:rsidRPr="0045509D">
        <w:rPr>
          <w:lang w:val="en-US"/>
        </w:rPr>
        <w:t xml:space="preserve">are commonly used to </w:t>
      </w:r>
      <w:r w:rsidR="00010E9B">
        <w:rPr>
          <w:lang w:val="en-US"/>
        </w:rPr>
        <w:t>assess biomechanical</w:t>
      </w:r>
      <w:r w:rsidR="002C1B15" w:rsidRPr="0045509D">
        <w:rPr>
          <w:lang w:val="en-US"/>
        </w:rPr>
        <w:t xml:space="preserve"> risk markers for anterior cruciate ligament (ACL) injury. However, most studies discard unsuccessful trials, despite these potentially better reflecting real-game injury </w:t>
      </w:r>
      <w:r w:rsidR="00010E9B">
        <w:rPr>
          <w:lang w:val="en-US"/>
        </w:rPr>
        <w:t>situations,</w:t>
      </w:r>
      <w:r w:rsidR="002C1B15" w:rsidRPr="0045509D">
        <w:rPr>
          <w:lang w:val="en-US"/>
        </w:rPr>
        <w:t xml:space="preserve"> as they arise from decision-making or motor</w:t>
      </w:r>
      <w:r>
        <w:rPr>
          <w:lang w:val="en-US"/>
        </w:rPr>
        <w:t>-</w:t>
      </w:r>
      <w:r w:rsidR="002C1B15" w:rsidRPr="0045509D">
        <w:rPr>
          <w:lang w:val="en-US"/>
        </w:rPr>
        <w:t>control errors.</w:t>
      </w:r>
      <w:r w:rsidR="00963971" w:rsidRPr="0045509D">
        <w:rPr>
          <w:lang w:val="en-US"/>
        </w:rPr>
        <w:t xml:space="preserve"> </w:t>
      </w:r>
      <w:r w:rsidR="00963971" w:rsidRPr="00970C5E">
        <w:rPr>
          <w:lang w:val="en-US"/>
        </w:rPr>
        <w:t xml:space="preserve">This exploratory study investigated the </w:t>
      </w:r>
      <w:r>
        <w:rPr>
          <w:lang w:val="en-US"/>
        </w:rPr>
        <w:t>biomechanics</w:t>
      </w:r>
      <w:r w:rsidR="00963971" w:rsidRPr="00970C5E">
        <w:rPr>
          <w:lang w:val="en-US"/>
        </w:rPr>
        <w:t xml:space="preserve"> of unsuccessful trials </w:t>
      </w:r>
      <w:r>
        <w:rPr>
          <w:lang w:val="en-US"/>
        </w:rPr>
        <w:t>in</w:t>
      </w:r>
      <w:r w:rsidR="00963971" w:rsidRPr="00970C5E">
        <w:rPr>
          <w:lang w:val="en-US"/>
        </w:rPr>
        <w:t xml:space="preserve"> cognitively</w:t>
      </w:r>
      <w:r>
        <w:rPr>
          <w:lang w:val="en-US"/>
        </w:rPr>
        <w:t xml:space="preserve"> </w:t>
      </w:r>
      <w:r w:rsidR="00963971" w:rsidRPr="00970C5E">
        <w:rPr>
          <w:lang w:val="en-US"/>
        </w:rPr>
        <w:t>challenging jump-land-jump task</w:t>
      </w:r>
      <w:r w:rsidR="00010E9B">
        <w:rPr>
          <w:lang w:val="en-US"/>
        </w:rPr>
        <w:t>s</w:t>
      </w:r>
      <w:r w:rsidR="00963971" w:rsidRPr="00970C5E">
        <w:rPr>
          <w:lang w:val="en-US"/>
        </w:rPr>
        <w:t xml:space="preserve"> using a cluster analysis approach.</w:t>
      </w:r>
    </w:p>
    <w:p w14:paraId="6FE6095F" w14:textId="2A0F4C55" w:rsidR="0013669C" w:rsidRPr="0013669C" w:rsidRDefault="00963971" w:rsidP="00353B30">
      <w:pPr>
        <w:spacing w:line="360" w:lineRule="auto"/>
        <w:jc w:val="both"/>
        <w:rPr>
          <w:lang w:val="en-US"/>
        </w:rPr>
      </w:pPr>
      <w:r w:rsidRPr="0013669C">
        <w:rPr>
          <w:lang w:val="en-US"/>
        </w:rPr>
        <w:t xml:space="preserve">Unsuccessful </w:t>
      </w:r>
      <w:r w:rsidR="00973A70" w:rsidRPr="0013669C">
        <w:rPr>
          <w:lang w:val="en-US"/>
        </w:rPr>
        <w:t xml:space="preserve">landings </w:t>
      </w:r>
      <w:r w:rsidRPr="0013669C">
        <w:rPr>
          <w:lang w:val="en-US"/>
        </w:rPr>
        <w:t>were classified as</w:t>
      </w:r>
      <w:r w:rsidR="00973A70" w:rsidRPr="0013669C">
        <w:rPr>
          <w:lang w:val="en-US"/>
        </w:rPr>
        <w:t xml:space="preserve"> distinct mechanisms</w:t>
      </w:r>
      <w:r w:rsidRPr="0013669C">
        <w:rPr>
          <w:lang w:val="en-US"/>
        </w:rPr>
        <w:t xml:space="preserve"> </w:t>
      </w:r>
      <w:r w:rsidR="00973A70" w:rsidRPr="0013669C">
        <w:rPr>
          <w:lang w:val="en-US"/>
        </w:rPr>
        <w:t xml:space="preserve">in </w:t>
      </w:r>
      <w:r w:rsidRPr="0013669C">
        <w:rPr>
          <w:lang w:val="en-US"/>
        </w:rPr>
        <w:t>failed (decision-making error) or bad (</w:t>
      </w:r>
      <w:r w:rsidR="0045509D" w:rsidRPr="0013669C">
        <w:rPr>
          <w:lang w:val="en-US"/>
        </w:rPr>
        <w:t>motor</w:t>
      </w:r>
      <w:r w:rsidR="00E34A89" w:rsidRPr="0013669C">
        <w:rPr>
          <w:lang w:val="en-US"/>
        </w:rPr>
        <w:t xml:space="preserve"> </w:t>
      </w:r>
      <w:r w:rsidR="00973A70" w:rsidRPr="0013669C">
        <w:rPr>
          <w:lang w:val="en-US"/>
        </w:rPr>
        <w:t>error</w:t>
      </w:r>
      <w:r w:rsidRPr="0013669C">
        <w:rPr>
          <w:lang w:val="en-US"/>
        </w:rPr>
        <w:t xml:space="preserve">) </w:t>
      </w:r>
      <w:r w:rsidR="00973A70" w:rsidRPr="0013669C">
        <w:rPr>
          <w:lang w:val="en-US"/>
        </w:rPr>
        <w:t xml:space="preserve">trials </w:t>
      </w:r>
      <w:r w:rsidRPr="0013669C">
        <w:rPr>
          <w:lang w:val="en-US"/>
        </w:rPr>
        <w:t xml:space="preserve">and analyzed separately, including 24 and 30 athletes, respectively. </w:t>
      </w:r>
      <w:r w:rsidR="0013669C" w:rsidRPr="0013669C">
        <w:rPr>
          <w:lang w:val="en-US"/>
        </w:rPr>
        <w:t>The multivariate average of successful trials</w:t>
      </w:r>
      <w:r w:rsidR="0013669C" w:rsidRPr="0013669C">
        <w:rPr>
          <w:lang w:val="en-US"/>
        </w:rPr>
        <w:t xml:space="preserve"> were used to</w:t>
      </w:r>
      <w:r w:rsidR="0013669C" w:rsidRPr="0013669C">
        <w:rPr>
          <w:lang w:val="en-US"/>
        </w:rPr>
        <w:t xml:space="preserve"> defined the optimal pattern</w:t>
      </w:r>
      <w:r w:rsidR="0013669C" w:rsidRPr="0013669C">
        <w:rPr>
          <w:lang w:val="en-US"/>
        </w:rPr>
        <w:t>, and t</w:t>
      </w:r>
      <w:r w:rsidR="0013669C" w:rsidRPr="0013669C">
        <w:rPr>
          <w:lang w:val="en-US"/>
        </w:rPr>
        <w:t xml:space="preserve">he most abnormal failed and bad trials were identified based on their distance from the </w:t>
      </w:r>
      <w:r w:rsidR="0013669C" w:rsidRPr="0013669C">
        <w:rPr>
          <w:lang w:val="en-US"/>
        </w:rPr>
        <w:t xml:space="preserve">optimal pattern. </w:t>
      </w:r>
      <w:r w:rsidR="0013669C" w:rsidRPr="0013669C">
        <w:rPr>
          <w:lang w:val="en-US"/>
        </w:rPr>
        <w:t>Peak sagittal and frontal plane hip and knee biomechanics were extracted</w:t>
      </w:r>
      <w:r w:rsidR="0013669C" w:rsidRPr="0013669C">
        <w:rPr>
          <w:lang w:val="en-US"/>
        </w:rPr>
        <w:t xml:space="preserve">, </w:t>
      </w:r>
      <w:r w:rsidR="0013669C" w:rsidRPr="0013669C">
        <w:rPr>
          <w:lang w:val="en-US"/>
        </w:rPr>
        <w:t>and analyzed using principal component and hierarchical cluster analysis.</w:t>
      </w:r>
    </w:p>
    <w:p w14:paraId="26840F3F" w14:textId="6FC2D3F8" w:rsidR="00963971" w:rsidRPr="00CA34B8" w:rsidRDefault="00963971" w:rsidP="00963971">
      <w:pPr>
        <w:spacing w:line="360" w:lineRule="auto"/>
        <w:jc w:val="both"/>
        <w:rPr>
          <w:lang w:val="en-US"/>
        </w:rPr>
      </w:pPr>
      <w:r w:rsidRPr="0045509D">
        <w:rPr>
          <w:lang w:val="en-US"/>
        </w:rPr>
        <w:t xml:space="preserve">Failed trials </w:t>
      </w:r>
      <w:r w:rsidR="00E34A89">
        <w:rPr>
          <w:lang w:val="en-US"/>
        </w:rPr>
        <w:t>reveal</w:t>
      </w:r>
      <w:r w:rsidRPr="0045509D">
        <w:rPr>
          <w:lang w:val="en-US"/>
        </w:rPr>
        <w:t>ed four distinct motor strategies</w:t>
      </w:r>
      <w:r w:rsidR="00C91A03">
        <w:rPr>
          <w:lang w:val="en-US"/>
        </w:rPr>
        <w:t xml:space="preserve"> (p &lt; 0.001)</w:t>
      </w:r>
      <w:r w:rsidRPr="0045509D">
        <w:rPr>
          <w:lang w:val="en-US"/>
        </w:rPr>
        <w:t xml:space="preserve">, in some cases characterized by greater frontal-plane </w:t>
      </w:r>
      <w:r w:rsidR="0013669C">
        <w:rPr>
          <w:lang w:val="en-US"/>
        </w:rPr>
        <w:t>misalignments</w:t>
      </w:r>
      <w:r w:rsidR="00E34A89">
        <w:rPr>
          <w:lang w:val="en-US"/>
        </w:rPr>
        <w:t>,</w:t>
      </w:r>
      <w:r w:rsidRPr="0045509D">
        <w:rPr>
          <w:lang w:val="en-US"/>
        </w:rPr>
        <w:t xml:space="preserve"> </w:t>
      </w:r>
      <w:r w:rsidR="00E34A89">
        <w:rPr>
          <w:lang w:val="en-US"/>
        </w:rPr>
        <w:t>which</w:t>
      </w:r>
      <w:r w:rsidRPr="0045509D">
        <w:rPr>
          <w:lang w:val="en-US"/>
        </w:rPr>
        <w:t xml:space="preserve"> may be </w:t>
      </w:r>
      <w:r w:rsidRPr="00970C5E">
        <w:rPr>
          <w:lang w:val="en-US"/>
        </w:rPr>
        <w:t>considered injury risk markers</w:t>
      </w:r>
      <w:r w:rsidRPr="0045509D">
        <w:rPr>
          <w:lang w:val="en-US"/>
        </w:rPr>
        <w:t>. In contrast, two clusters emerged among bad trials</w:t>
      </w:r>
      <w:r w:rsidR="00C91A03">
        <w:rPr>
          <w:lang w:val="en-US"/>
        </w:rPr>
        <w:t xml:space="preserve"> (p &lt; 0.001)</w:t>
      </w:r>
      <w:r w:rsidRPr="0045509D">
        <w:rPr>
          <w:lang w:val="en-US"/>
        </w:rPr>
        <w:t xml:space="preserve">, </w:t>
      </w:r>
      <w:r w:rsidR="00C91A03">
        <w:rPr>
          <w:lang w:val="en-US"/>
        </w:rPr>
        <w:t xml:space="preserve">but </w:t>
      </w:r>
      <w:r w:rsidRPr="0045509D">
        <w:rPr>
          <w:lang w:val="en-US"/>
        </w:rPr>
        <w:t xml:space="preserve">with low separation and relatively small principal component scores, suggesting minor adjustments rather than qualitatively different strategies. This </w:t>
      </w:r>
      <w:r w:rsidR="00E34A89">
        <w:rPr>
          <w:lang w:val="en-US"/>
        </w:rPr>
        <w:t>suggest</w:t>
      </w:r>
      <w:r w:rsidRPr="0045509D">
        <w:rPr>
          <w:lang w:val="en-US"/>
        </w:rPr>
        <w:t xml:space="preserve">s that the type </w:t>
      </w:r>
      <w:r w:rsidR="00CA34B8">
        <w:rPr>
          <w:lang w:val="en-US"/>
        </w:rPr>
        <w:t>of landing</w:t>
      </w:r>
      <w:r w:rsidRPr="0045509D">
        <w:rPr>
          <w:lang w:val="en-US"/>
        </w:rPr>
        <w:t xml:space="preserve"> error (decision-making vs</w:t>
      </w:r>
      <w:r w:rsidR="00E34A89">
        <w:rPr>
          <w:lang w:val="en-US"/>
        </w:rPr>
        <w:t>.</w:t>
      </w:r>
      <w:r w:rsidRPr="0045509D">
        <w:rPr>
          <w:lang w:val="en-US"/>
        </w:rPr>
        <w:t xml:space="preserve"> motor</w:t>
      </w:r>
      <w:r w:rsidR="00E34A89">
        <w:rPr>
          <w:lang w:val="en-US"/>
        </w:rPr>
        <w:t>-planning</w:t>
      </w:r>
      <w:r w:rsidRPr="0045509D">
        <w:rPr>
          <w:lang w:val="en-US"/>
        </w:rPr>
        <w:t xml:space="preserve">) may influence </w:t>
      </w:r>
      <w:r w:rsidR="00E34A89">
        <w:rPr>
          <w:lang w:val="en-US"/>
        </w:rPr>
        <w:t xml:space="preserve">kinematics and </w:t>
      </w:r>
      <w:r w:rsidRPr="0045509D">
        <w:rPr>
          <w:lang w:val="en-US"/>
        </w:rPr>
        <w:t>joint</w:t>
      </w:r>
      <w:r w:rsidR="00E34A89">
        <w:rPr>
          <w:lang w:val="en-US"/>
        </w:rPr>
        <w:t>-</w:t>
      </w:r>
      <w:r w:rsidRPr="0045509D">
        <w:rPr>
          <w:lang w:val="en-US"/>
        </w:rPr>
        <w:t>loading.</w:t>
      </w:r>
    </w:p>
    <w:p w14:paraId="79E84A45" w14:textId="2F21CE3E" w:rsidR="00963971" w:rsidRDefault="00CA34B8" w:rsidP="00353B30">
      <w:pPr>
        <w:spacing w:line="360" w:lineRule="auto"/>
        <w:jc w:val="both"/>
        <w:rPr>
          <w:lang w:val="en-US"/>
        </w:rPr>
      </w:pPr>
      <w:r w:rsidRPr="00CA34B8">
        <w:rPr>
          <w:lang w:val="en-US"/>
        </w:rPr>
        <w:t xml:space="preserve">This study highlights a latent dimension of injury risk that may be overlooked when considering only successful task execution. The </w:t>
      </w:r>
      <w:r>
        <w:rPr>
          <w:lang w:val="en-US"/>
        </w:rPr>
        <w:t xml:space="preserve">biomechanical </w:t>
      </w:r>
      <w:r w:rsidRPr="00CA34B8">
        <w:rPr>
          <w:lang w:val="en-US"/>
        </w:rPr>
        <w:t xml:space="preserve">analysis of </w:t>
      </w:r>
      <w:r w:rsidR="00970C5E">
        <w:rPr>
          <w:lang w:val="en-US"/>
        </w:rPr>
        <w:t>unsuccessful</w:t>
      </w:r>
      <w:r w:rsidRPr="00CA34B8">
        <w:rPr>
          <w:lang w:val="en-US"/>
        </w:rPr>
        <w:t xml:space="preserve"> trials may help identify cognitive</w:t>
      </w:r>
      <w:r>
        <w:rPr>
          <w:lang w:val="en-US"/>
        </w:rPr>
        <w:t>-</w:t>
      </w:r>
      <w:r w:rsidRPr="00CA34B8">
        <w:rPr>
          <w:lang w:val="en-US"/>
        </w:rPr>
        <w:t>motor factors affecting neuromuscular control and motor planning, potentially complementing current ACL injury risk screening approaches</w:t>
      </w:r>
      <w:r w:rsidR="00963971" w:rsidRPr="0045509D">
        <w:rPr>
          <w:lang w:val="en-US"/>
        </w:rPr>
        <w:t>.</w:t>
      </w:r>
    </w:p>
    <w:p w14:paraId="0E6987B9" w14:textId="77777777" w:rsidR="0013669C" w:rsidRPr="0045509D" w:rsidRDefault="0013669C" w:rsidP="00353B30">
      <w:pPr>
        <w:spacing w:line="360" w:lineRule="auto"/>
        <w:jc w:val="both"/>
        <w:rPr>
          <w:lang w:val="en-US"/>
        </w:rPr>
      </w:pPr>
    </w:p>
    <w:p w14:paraId="29143063" w14:textId="434D9C72" w:rsidR="005570F6" w:rsidRPr="00970C5E" w:rsidRDefault="005570F6" w:rsidP="00353B30">
      <w:pPr>
        <w:spacing w:line="360" w:lineRule="auto"/>
        <w:jc w:val="both"/>
        <w:rPr>
          <w:b/>
          <w:bCs/>
          <w:lang w:val="en-US"/>
        </w:rPr>
      </w:pPr>
      <w:r w:rsidRPr="00970C5E">
        <w:rPr>
          <w:b/>
          <w:bCs/>
          <w:lang w:val="en-US"/>
        </w:rPr>
        <w:t>KEYWORDS</w:t>
      </w:r>
    </w:p>
    <w:p w14:paraId="6748417E" w14:textId="40FC0888" w:rsidR="005570F6" w:rsidRDefault="00E66666" w:rsidP="003C696B">
      <w:pPr>
        <w:spacing w:line="360" w:lineRule="auto"/>
        <w:jc w:val="both"/>
        <w:rPr>
          <w:lang w:val="en-US"/>
        </w:rPr>
      </w:pPr>
      <w:r>
        <w:rPr>
          <w:lang w:val="en-US"/>
        </w:rPr>
        <w:t>Anterior cruciate ligament; biomechanics; invalid trials; clustering; principal component analysis</w:t>
      </w:r>
    </w:p>
    <w:p w14:paraId="42192E12" w14:textId="77777777" w:rsidR="0013669C" w:rsidRPr="003B711D" w:rsidRDefault="0013669C" w:rsidP="003C696B">
      <w:pPr>
        <w:spacing w:line="360" w:lineRule="auto"/>
        <w:jc w:val="both"/>
        <w:rPr>
          <w:lang w:val="en-US"/>
        </w:rPr>
      </w:pPr>
    </w:p>
    <w:p w14:paraId="1A8B7A70" w14:textId="77777777" w:rsidR="00FD1266" w:rsidRDefault="00FD1266" w:rsidP="00353B30">
      <w:pPr>
        <w:spacing w:line="360" w:lineRule="auto"/>
        <w:jc w:val="both"/>
        <w:rPr>
          <w:b/>
          <w:bCs/>
          <w:lang w:val="en-US"/>
        </w:rPr>
      </w:pPr>
      <w:r>
        <w:rPr>
          <w:b/>
          <w:bCs/>
          <w:lang w:val="en-US"/>
        </w:rPr>
        <w:t>INTRODUCTION</w:t>
      </w:r>
    </w:p>
    <w:p w14:paraId="72FD85EE" w14:textId="382B048A" w:rsidR="00E24B60" w:rsidRDefault="00570956" w:rsidP="00EF1D40">
      <w:pPr>
        <w:spacing w:line="360" w:lineRule="auto"/>
        <w:jc w:val="both"/>
        <w:rPr>
          <w:lang w:val="en-US"/>
        </w:rPr>
      </w:pPr>
      <w:r w:rsidRPr="00D0478C">
        <w:rPr>
          <w:lang w:val="en-US"/>
        </w:rPr>
        <w:t>ACL injuries</w:t>
      </w:r>
      <w:r w:rsidR="00D65155">
        <w:rPr>
          <w:lang w:val="en-US"/>
        </w:rPr>
        <w:t xml:space="preserve"> are among the most debilitating injuries in sport</w:t>
      </w:r>
      <w:r w:rsidR="00EF1D40">
        <w:rPr>
          <w:lang w:val="en-US"/>
        </w:rPr>
        <w:t xml:space="preserve">, indeed the </w:t>
      </w:r>
      <w:r w:rsidR="008C30E2">
        <w:rPr>
          <w:lang w:val="en-US"/>
        </w:rPr>
        <w:t xml:space="preserve">return-to-sport </w:t>
      </w:r>
      <w:r w:rsidR="00A93105">
        <w:rPr>
          <w:lang w:val="en-US"/>
        </w:rPr>
        <w:t>progression</w:t>
      </w:r>
      <w:r w:rsidR="00EF1D40">
        <w:rPr>
          <w:lang w:val="en-US"/>
        </w:rPr>
        <w:t xml:space="preserve"> </w:t>
      </w:r>
      <w:r w:rsidR="00A93105">
        <w:rPr>
          <w:lang w:val="en-US"/>
        </w:rPr>
        <w:t xml:space="preserve">usually </w:t>
      </w:r>
      <w:r w:rsidR="00EF1D40">
        <w:rPr>
          <w:lang w:val="en-US"/>
        </w:rPr>
        <w:t xml:space="preserve">requires from </w:t>
      </w:r>
      <w:r w:rsidR="00EF1D40" w:rsidRPr="00AF615C">
        <w:rPr>
          <w:lang w:val="en-US"/>
        </w:rPr>
        <w:t>6 to 12 months</w:t>
      </w:r>
      <w:r w:rsidR="00EF1D40">
        <w:rPr>
          <w:lang w:val="en-US"/>
        </w:rPr>
        <w:t xml:space="preserve">, </w:t>
      </w:r>
      <w:r w:rsidR="00A93105">
        <w:rPr>
          <w:lang w:val="en-US"/>
        </w:rPr>
        <w:t xml:space="preserve">while </w:t>
      </w:r>
      <w:r w:rsidR="00EF1D40">
        <w:rPr>
          <w:lang w:val="en-US"/>
        </w:rPr>
        <w:t>pre-injury performance</w:t>
      </w:r>
      <w:r w:rsidR="008C30E2">
        <w:rPr>
          <w:lang w:val="en-US"/>
        </w:rPr>
        <w:t xml:space="preserve"> level</w:t>
      </w:r>
      <w:r w:rsidR="00EF1D40">
        <w:rPr>
          <w:lang w:val="en-US"/>
        </w:rPr>
        <w:t xml:space="preserve"> is not guaranteed</w:t>
      </w:r>
      <w:r w:rsidR="00AF615C">
        <w:rPr>
          <w:lang w:val="en-US"/>
        </w:rPr>
        <w:fldChar w:fldCharType="begin"/>
      </w:r>
      <w:r w:rsidR="006F0364">
        <w:rPr>
          <w:lang w:val="en-US"/>
        </w:rPr>
        <w:instrText xml:space="preserve"> ADDIN ZOTERO_ITEM CSL_CITATION {"citationID":"HqC1qW6r","properties":{"formattedCitation":"\\super 1\\nosupersub{}","plainCitation":"1","noteIndex":0},"citationItems":[{"id":135,"uris":["http://zotero.org/users/18623031/items/PSTQFSMB"],"itemData":{"id":135,"type":"article-journal","container-title":"Arthroscopy: The Journal of Arthroscopic &amp; Related Surgery","DOI":"10.1016/j.arthro.2019.01.045","ISSN":"07498063","issue":"7","page":"2222-2230","title":"Return to Sport Following Revision Anterior Cruciate Ligament Reconstruction in Athletes: A Systematic Review","volume":"35","author":[{"family":"Glogovac","given":"Georgina"},{"family":"Schumaier","given":"Adam P."},{"family":"Grawe","given":"Brian M."}],"issued":{"date-parts":[["2019",10]]}}}],"schema":"https://github.com/citation-style-language/schema/raw/master/csl-citation.json"} </w:instrText>
      </w:r>
      <w:r w:rsidR="00AF615C">
        <w:rPr>
          <w:lang w:val="en-US"/>
        </w:rPr>
        <w:fldChar w:fldCharType="separate"/>
      </w:r>
      <w:r w:rsidR="006F0364" w:rsidRPr="006F0364">
        <w:rPr>
          <w:rFonts w:ascii="Aptos" w:hAnsi="Aptos" w:cs="Times New Roman"/>
          <w:kern w:val="0"/>
          <w:vertAlign w:val="superscript"/>
          <w:lang w:val="en-US"/>
        </w:rPr>
        <w:t>1</w:t>
      </w:r>
      <w:r w:rsidR="00AF615C">
        <w:rPr>
          <w:lang w:val="en-US"/>
        </w:rPr>
        <w:fldChar w:fldCharType="end"/>
      </w:r>
      <w:r w:rsidR="00D65155">
        <w:rPr>
          <w:lang w:val="en-US"/>
        </w:rPr>
        <w:t>.</w:t>
      </w:r>
      <w:r w:rsidR="00EF1D40">
        <w:rPr>
          <w:lang w:val="en-US"/>
        </w:rPr>
        <w:t xml:space="preserve"> Most ACL injuries occur during </w:t>
      </w:r>
      <w:r w:rsidR="00A93105">
        <w:rPr>
          <w:lang w:val="en-US"/>
        </w:rPr>
        <w:t xml:space="preserve">non-contact </w:t>
      </w:r>
      <w:r w:rsidR="00EF1D40">
        <w:rPr>
          <w:lang w:val="en-US"/>
        </w:rPr>
        <w:t>cutting and landing maneuvers</w:t>
      </w:r>
      <w:r w:rsidR="00615329">
        <w:rPr>
          <w:lang w:val="en-US"/>
        </w:rPr>
        <w:fldChar w:fldCharType="begin"/>
      </w:r>
      <w:r w:rsidR="006F0364">
        <w:rPr>
          <w:lang w:val="en-US"/>
        </w:rPr>
        <w:instrText xml:space="preserve"> ADDIN ZOTERO_ITEM CSL_CITATION {"citationID":"K7P0UnUz","properties":{"formattedCitation":"\\super 2\\nosupersub{}","plainCitation":"2","noteIndex":0},"citationItems":[{"id":712,"uris":["http://zotero.org/users/18623031/items/BJLEBRWC"],"itemData":{"id":712,"type":"article-journal","abstract":"Abstract\n            \n              Background\n              Anterior cruciate ligament (ACL) injury mechanisms are linked to distinct characteristics and situational patterns inherent to each sport. Understanding ACL mechanisms and situational patterns is crucial to tailor prevention strategies and end-stage rehabilitation practices, ultimately aiming to reduce the incidence of ACL injuries in sports.\n            \n            \n              Objectives\n              We aimed to compile and synthesize data regarding the injury mechanism and sport-specific situational patterns leading to ACL injuries across various sports.\n            \n            \n              Methods\n              We conducted a systematic search using MEDLINE, Embase, Cochrane Library, Allied and Complementary Medicine Database, and Physiotherapy Evidence Database in December 2022 and repeated in October 2023 to identify additional published articles. English-language articles investigating ACL injury mechanism, injury situations, and sport-specific situational patterns were included, without restrictions on publication dates. Data extraction was performed independently by two authors. Article quality assessment was conducted with the Quality Appraisal for Sports Injury Video Analysis Studies checklist for video analysis studies and with the JBI Critical Appraisal Checklist for Case Series for athlete- and medical staff-reported studies. The data on ACL injury mechanism, situational patterns, and biomechanics were synthesized into qualitative tables by sport. Biomechanical data of ankle, knee, and hip angles in the sagittal plane for football and basketball were quantitatively synthesized and illustrated using box plots.\n            \n            \n              Results\n              This systematic review included 62 articles covering 20 sports and 5612 ACL injury situations. The distribution of non-contact, indirect contact, and direct contact ACL injuries varied by sport, reflecting each sport’s unique playing patterns and characteristics. Four main ACL injury categories were identified: (1) change of direction; (2) landing after a jump; (3) direct contact to the knee; and (4) gear-induced mechanisms. In team sports, change of direction injuries ranged from 26 to 70%. Landing injuries were most prevalent in sports involving overhead play, such as volleyball and badminton, accounting for 57–82% of ACL injuries. Direct contact to the knee was the leading cause of ACL injuries in combat sports (53–83%) but also significant in aggressive contact sports such as American Football and rugby. Gear-induced ACL injuries in alpine skiing and board sports occur because of the extended lever arm attached to the feet, and present specific injury mechanisms such as ‘valgus-external rotation,’ ‘slip and catch,’ and ‘tail landing.’\n            \n            \n              Conclusions\n              The nature of ACL injuries varies significantly between sports, influenced by injury mechanism and sport-specific situational patterns. We propose a categorization system for ACL injury situations—change of direction, landing, direct contact, and gear-induced situation—based on the findings of this systematic review. This framework aims to facilitate the development of prevention and rehabilitation strategies transferable across various sports and their sport-specific patterns.\n            \n            \n              Clinical Trial Registration\n              Registration number: PROSPERO CRD42022355173.","container-title":"Sports Medicine","DOI":"10.1007/s40279-025-02271-w","ISSN":"0112-1642, 1179-2035","issue":"10","journalAbbreviation":"Sports Med","language":"en","page":"2489-2527","source":"DOI.org (Crossref)","title":"Sport-Specific Injury Mechanisms and Situational Patterns of ACL Injuries: A Comprehensive Systematic Review","title-short":"Sport-Specific Injury Mechanisms and Situational Patterns of ACL Injuries","volume":"55","author":[{"family":"Sundberg","given":"Axel"},{"family":"Högberg","given":"Johan"},{"family":"Tosarelli","given":"Filippo"},{"family":"Buckthorpe","given":"Matthew"},{"family":"Della Villa","given":"Francesco"},{"family":"Hägglund","given":"Martin"},{"family":"Samuelsson","given":"Kristian"},{"family":"Hamrin Senorski","given":"Eric"}],"issued":{"date-parts":[["2025",10]]}}}],"schema":"https://github.com/citation-style-language/schema/raw/master/csl-citation.json"} </w:instrText>
      </w:r>
      <w:r w:rsidR="00615329">
        <w:rPr>
          <w:lang w:val="en-US"/>
        </w:rPr>
        <w:fldChar w:fldCharType="separate"/>
      </w:r>
      <w:r w:rsidR="006F0364" w:rsidRPr="006F0364">
        <w:rPr>
          <w:rFonts w:ascii="Aptos" w:hAnsi="Aptos" w:cs="Times New Roman"/>
          <w:kern w:val="0"/>
          <w:vertAlign w:val="superscript"/>
          <w:lang w:val="en-US"/>
        </w:rPr>
        <w:t>2</w:t>
      </w:r>
      <w:r w:rsidR="00615329">
        <w:rPr>
          <w:lang w:val="en-US"/>
        </w:rPr>
        <w:fldChar w:fldCharType="end"/>
      </w:r>
      <w:r w:rsidR="00D65155">
        <w:rPr>
          <w:lang w:val="en-US"/>
        </w:rPr>
        <w:t xml:space="preserve">. </w:t>
      </w:r>
      <w:r w:rsidR="00EF1D40">
        <w:rPr>
          <w:lang w:val="en-US"/>
        </w:rPr>
        <w:t xml:space="preserve">Despite the biomechanical differences between these two injury mechanisms, in the last decades video analyses have identified </w:t>
      </w:r>
      <w:r w:rsidR="00EF1D40">
        <w:rPr>
          <w:lang w:val="en-US"/>
        </w:rPr>
        <w:lastRenderedPageBreak/>
        <w:t>common</w:t>
      </w:r>
      <w:r w:rsidR="008C30E2">
        <w:rPr>
          <w:lang w:val="en-US"/>
        </w:rPr>
        <w:t xml:space="preserve"> biomechanical</w:t>
      </w:r>
      <w:r w:rsidR="00EF1D40">
        <w:rPr>
          <w:lang w:val="en-US"/>
        </w:rPr>
        <w:t xml:space="preserve"> features that may be linked to the </w:t>
      </w:r>
      <w:r w:rsidR="00A93105">
        <w:rPr>
          <w:lang w:val="en-US"/>
        </w:rPr>
        <w:t xml:space="preserve">ligament loading and subsequent </w:t>
      </w:r>
      <w:r w:rsidR="00EF1D40">
        <w:rPr>
          <w:lang w:val="en-US"/>
        </w:rPr>
        <w:t xml:space="preserve">injury </w:t>
      </w:r>
      <w:r w:rsidR="00A93105">
        <w:rPr>
          <w:lang w:val="en-US"/>
        </w:rPr>
        <w:t>risk</w:t>
      </w:r>
      <w:r w:rsidR="007C5E8D">
        <w:rPr>
          <w:lang w:val="en-US"/>
        </w:rPr>
        <w:t xml:space="preserve">, such as </w:t>
      </w:r>
      <w:r w:rsidR="00EF1D40">
        <w:rPr>
          <w:lang w:val="en-US"/>
        </w:rPr>
        <w:t xml:space="preserve">the excessive </w:t>
      </w:r>
      <w:r w:rsidR="007C5E8D">
        <w:rPr>
          <w:lang w:val="en-US"/>
        </w:rPr>
        <w:t>knee medial displacements</w:t>
      </w:r>
      <w:r w:rsidR="00EF1D40">
        <w:rPr>
          <w:lang w:val="en-US"/>
        </w:rPr>
        <w:t xml:space="preserve"> and</w:t>
      </w:r>
      <w:r w:rsidR="009A7ABB">
        <w:rPr>
          <w:lang w:val="en-US"/>
        </w:rPr>
        <w:t xml:space="preserve"> </w:t>
      </w:r>
      <w:r w:rsidR="00EF1D40">
        <w:rPr>
          <w:lang w:val="en-US"/>
        </w:rPr>
        <w:t xml:space="preserve">the </w:t>
      </w:r>
      <w:r w:rsidR="009A7ABB">
        <w:rPr>
          <w:lang w:val="en-US"/>
        </w:rPr>
        <w:t>reduction o</w:t>
      </w:r>
      <w:r w:rsidR="00EF1D40">
        <w:rPr>
          <w:lang w:val="en-US"/>
        </w:rPr>
        <w:t>f</w:t>
      </w:r>
      <w:r w:rsidR="009A7ABB">
        <w:rPr>
          <w:lang w:val="en-US"/>
        </w:rPr>
        <w:t xml:space="preserve"> lower limb flexion, </w:t>
      </w:r>
      <w:r w:rsidR="00EF1D40">
        <w:rPr>
          <w:lang w:val="en-US"/>
        </w:rPr>
        <w:t xml:space="preserve">that </w:t>
      </w:r>
      <w:r w:rsidR="009A7ABB">
        <w:rPr>
          <w:lang w:val="en-US"/>
        </w:rPr>
        <w:t xml:space="preserve">increase shear forces at tibial proximal end and </w:t>
      </w:r>
      <w:r w:rsidR="00EF1D40">
        <w:rPr>
          <w:lang w:val="en-US"/>
        </w:rPr>
        <w:t>axial</w:t>
      </w:r>
      <w:r w:rsidR="009A7ABB">
        <w:rPr>
          <w:lang w:val="en-US"/>
        </w:rPr>
        <w:t xml:space="preserve"> compressive load</w:t>
      </w:r>
      <w:r w:rsidR="002F2C33">
        <w:rPr>
          <w:lang w:val="en-US"/>
        </w:rPr>
        <w:fldChar w:fldCharType="begin"/>
      </w:r>
      <w:r w:rsidR="006F0364">
        <w:rPr>
          <w:lang w:val="en-US"/>
        </w:rPr>
        <w:instrText xml:space="preserve"> ADDIN ZOTERO_ITEM CSL_CITATION {"citationID":"9A5E5Cn6","properties":{"formattedCitation":"\\super 3\\nosupersub{}","plainCitation":"3","noteIndex":0},"citationItems":[{"id":307,"uris":["http://zotero.org/users/18623031/items/I9QM2UW5"],"itemData":{"id":307,"type":"article-journal","abstract":"This review identifies the three-dimensional knee loads that have the highest risk of injuring the anterior cruciate ligament (ACL) in the athlete. It is the combination of the muscular resistance to a large knee flexion moment, an external reaction force generating knee compression, an internal tibial torque, and a knee abduction moment during a single-leg athletic manoeuvre such as landing from a jump, abruptly changing direction, or rapidly decelerating that results in the greatest ACL loads. While there is consensus that an anterior tibial shear force is the primary ACL loading mechanism, controversy exists regarding the secondary order of importance of transverse-plane and frontal-plane loading in ACL injury scenarios. Large knee compression forces combined with a posteriorly and inferiorly sloped tibial plateau, especially the lateral plateau-an important ACL injury risk factor-causes anterior tibial translation and internal tibial rotation, which increases ACL loading. Furthermore, while the ACL can fail under a single supramaximal loading cycle, recent evidence shows that it can also fail following repeated submaximal loading cycles due to microdamage accumulating in the ligament with each cycle. This challenges the existing dogma that non-contact ACL injuries are predominantly due to a single manoeuvre that catastrophically overloads the ACL.","container-title":"Sports biomechanics","DOI":"10.1080/14763141.2021.1916578","ISSN":"1752-6116","issue":"1","page":"1-29","PMID":"33957846","title":"Loading mechanisms of the anterior cruciate ligament.","volume":"22","author":[{"family":"Beaulieu","given":"Mélanie L."},{"family":"Ashton-Miller","given":"James A."},{"family":"Wojtys","given":"Edward M."}],"issued":{"date-parts":[["2023",1]]}}}],"schema":"https://github.com/citation-style-language/schema/raw/master/csl-citation.json"} </w:instrText>
      </w:r>
      <w:r w:rsidR="002F2C33">
        <w:rPr>
          <w:lang w:val="en-US"/>
        </w:rPr>
        <w:fldChar w:fldCharType="separate"/>
      </w:r>
      <w:r w:rsidR="006F0364" w:rsidRPr="006F0364">
        <w:rPr>
          <w:rFonts w:ascii="Aptos" w:hAnsi="Aptos" w:cs="Times New Roman"/>
          <w:kern w:val="0"/>
          <w:vertAlign w:val="superscript"/>
          <w:lang w:val="en-US"/>
        </w:rPr>
        <w:t>3</w:t>
      </w:r>
      <w:r w:rsidR="002F2C33">
        <w:rPr>
          <w:lang w:val="en-US"/>
        </w:rPr>
        <w:fldChar w:fldCharType="end"/>
      </w:r>
      <w:r w:rsidR="009A7ABB">
        <w:rPr>
          <w:lang w:val="en-US"/>
        </w:rPr>
        <w:t>.</w:t>
      </w:r>
      <w:r w:rsidR="00F01BE9">
        <w:rPr>
          <w:lang w:val="en-US"/>
        </w:rPr>
        <w:t xml:space="preserve"> </w:t>
      </w:r>
      <w:r w:rsidR="00E24B60">
        <w:rPr>
          <w:lang w:val="en-US"/>
        </w:rPr>
        <w:t xml:space="preserve">Laboratory tests that </w:t>
      </w:r>
      <w:r w:rsidR="00F01BE9">
        <w:rPr>
          <w:lang w:val="en-US"/>
        </w:rPr>
        <w:t xml:space="preserve">replicate </w:t>
      </w:r>
      <w:r w:rsidR="00F77873">
        <w:rPr>
          <w:lang w:val="en-US"/>
        </w:rPr>
        <w:t xml:space="preserve">injury-related </w:t>
      </w:r>
      <w:r w:rsidR="00E24B60">
        <w:rPr>
          <w:lang w:val="en-US"/>
        </w:rPr>
        <w:t>sport</w:t>
      </w:r>
      <w:r w:rsidR="00F01BE9">
        <w:rPr>
          <w:lang w:val="en-US"/>
        </w:rPr>
        <w:t>s</w:t>
      </w:r>
      <w:r w:rsidR="00E24B60">
        <w:rPr>
          <w:lang w:val="en-US"/>
        </w:rPr>
        <w:t xml:space="preserve"> </w:t>
      </w:r>
      <w:r w:rsidR="00F01BE9">
        <w:rPr>
          <w:lang w:val="en-US"/>
        </w:rPr>
        <w:t>motions</w:t>
      </w:r>
      <w:r w:rsidR="00E24B60">
        <w:rPr>
          <w:lang w:val="en-US"/>
        </w:rPr>
        <w:t xml:space="preserve"> </w:t>
      </w:r>
      <w:r w:rsidR="0024779E">
        <w:rPr>
          <w:lang w:val="en-US"/>
        </w:rPr>
        <w:t>(</w:t>
      </w:r>
      <w:r w:rsidR="00F01BE9">
        <w:rPr>
          <w:lang w:val="en-US"/>
        </w:rPr>
        <w:t xml:space="preserve">e.g., </w:t>
      </w:r>
      <w:r w:rsidR="0024779E">
        <w:rPr>
          <w:lang w:val="en-US"/>
        </w:rPr>
        <w:t xml:space="preserve">cutting and landing tasks) </w:t>
      </w:r>
      <w:r w:rsidR="00E24B60">
        <w:rPr>
          <w:lang w:val="en-US"/>
        </w:rPr>
        <w:t xml:space="preserve">are commonly </w:t>
      </w:r>
      <w:r w:rsidR="00F01BE9">
        <w:rPr>
          <w:lang w:val="en-US"/>
        </w:rPr>
        <w:t>adopted</w:t>
      </w:r>
      <w:r w:rsidR="00E24B60">
        <w:rPr>
          <w:lang w:val="en-US"/>
        </w:rPr>
        <w:t xml:space="preserve"> </w:t>
      </w:r>
      <w:r w:rsidR="00F77873">
        <w:rPr>
          <w:lang w:val="en-US"/>
        </w:rPr>
        <w:t xml:space="preserve">to </w:t>
      </w:r>
      <w:r w:rsidR="00F01BE9">
        <w:rPr>
          <w:lang w:val="en-US"/>
        </w:rPr>
        <w:t xml:space="preserve">screen for </w:t>
      </w:r>
      <w:r w:rsidR="00F77873">
        <w:rPr>
          <w:lang w:val="en-US"/>
        </w:rPr>
        <w:t>ACL injur</w:t>
      </w:r>
      <w:r w:rsidR="00F01BE9">
        <w:rPr>
          <w:lang w:val="en-US"/>
        </w:rPr>
        <w:t>y risk</w:t>
      </w:r>
      <w:r w:rsidR="00E24B60">
        <w:rPr>
          <w:lang w:val="en-US"/>
        </w:rPr>
        <w:t xml:space="preserve"> and </w:t>
      </w:r>
      <w:r w:rsidR="00F01BE9">
        <w:rPr>
          <w:lang w:val="en-US"/>
        </w:rPr>
        <w:t>support</w:t>
      </w:r>
      <w:r w:rsidR="00E24B60">
        <w:rPr>
          <w:lang w:val="en-US"/>
        </w:rPr>
        <w:t xml:space="preserve"> </w:t>
      </w:r>
      <w:r w:rsidR="00F01BE9">
        <w:rPr>
          <w:lang w:val="en-US"/>
        </w:rPr>
        <w:t>rehabilitation</w:t>
      </w:r>
      <w:r w:rsidR="00E24B60">
        <w:rPr>
          <w:lang w:val="en-US"/>
        </w:rPr>
        <w:t xml:space="preserve"> </w:t>
      </w:r>
      <w:r w:rsidR="00F77873">
        <w:rPr>
          <w:lang w:val="en-US"/>
        </w:rPr>
        <w:t>in the</w:t>
      </w:r>
      <w:r w:rsidR="00E24B60">
        <w:rPr>
          <w:lang w:val="en-US"/>
        </w:rPr>
        <w:t xml:space="preserve"> return</w:t>
      </w:r>
      <w:r w:rsidR="00F77873">
        <w:rPr>
          <w:lang w:val="en-US"/>
        </w:rPr>
        <w:t>-</w:t>
      </w:r>
      <w:r w:rsidR="00E24B60">
        <w:rPr>
          <w:lang w:val="en-US"/>
        </w:rPr>
        <w:t>to</w:t>
      </w:r>
      <w:r w:rsidR="00F77873">
        <w:rPr>
          <w:lang w:val="en-US"/>
        </w:rPr>
        <w:t>-</w:t>
      </w:r>
      <w:r w:rsidR="00E24B60">
        <w:rPr>
          <w:lang w:val="en-US"/>
        </w:rPr>
        <w:t xml:space="preserve">sport </w:t>
      </w:r>
      <w:r w:rsidR="00F77873">
        <w:rPr>
          <w:lang w:val="en-US"/>
        </w:rPr>
        <w:t>process</w:t>
      </w:r>
      <w:r w:rsidR="002F2C33">
        <w:rPr>
          <w:lang w:val="en-US"/>
        </w:rPr>
        <w:fldChar w:fldCharType="begin"/>
      </w:r>
      <w:r w:rsidR="006F0364">
        <w:rPr>
          <w:lang w:val="en-US"/>
        </w:rPr>
        <w:instrText xml:space="preserve"> ADDIN ZOTERO_ITEM CSL_CITATION {"citationID":"ByCUD970","properties":{"formattedCitation":"\\super 4,5\\nosupersub{}","plainCitation":"4,5","noteIndex":0},"citationItems":[{"id":720,"uris":["http://zotero.org/users/18623031/items/BZHDQBVD"],"itemData":{"id":720,"type":"article-journal","abstract":"Accurately identifying residual biomechanical deficits following an anterior cruciate ligament injury is critical for effective rehabilitation and safe return to sport. This study aimed to determine which of four jump-landing tasks demonstrated the greatest sensitivity in distinguishing individuals with a history of ACL injury from healthy controls. Forty-three participants formed the ACL (n = 21, 11 females) and the control group (n = 22, 12 females). Three-dimensional motion data (Vicon, 250 Hz) were recorded during a single-leg hop, unilateral countermovement jump, unilateral crossover hop, and medial-rotation hop before and after a fatigue-inducing intervention (single-leg squats and step-ups). Logistic regression models to classify participants were built using 13 lower-body, trunk, and pelvis joint angles at 50 ms after initial ground contact, angular changes in these angles between 50 and 80 ms, and principal components derived from these variables. Classification rates and individual classification outcomes were assessed. The results revealed that no single jump-landing task consistently outperformed others in detecting ACL injury history. Classification outcomes were influenced by fatigue state and analytical approaches. Fatigue was found to enhance classification rates. Combining joint angles with their temporal changes improved classification rates compared to using joint angles alone. However, applying principal component analysis as a preprocessing step did not consistently enhance model performance. Overall, the study demonstrated that jump-landing tasks, combined with a variety of analytical approaches, can effectively detect ACL injury history. Fatigue enhanced classification outcomes, suggesting that it amplifies differences between post-injury and healthy movement characteristics.","container-title":"European Journal of Sport Science","DOI":"10.1002/ejsc.12317","ISSN":"1536-7290","issue":"6","journalAbbreviation":"Eur J Sport Sci","language":"eng","page":"e12317","PMID":"40347462","PMCID":"PMC12065478","source":"PubMed","title":"Return-To-Sport Assessments After Anterior Cruciate Ligament Injury: Which Jump-Landing Test Is Sensitive to an ACL-Injury History Under Fatigued or NonFatigued Conditions?","title-short":"Return-To-Sport Assessments After Anterior Cruciate Ligament Injury","volume":"25","author":[{"family":"Calisti","given":"Maité"},{"family":"Mohr","given":"Maurice"},{"family":"Riechelmann","given":"Felix"},{"family":"Werner","given":"Inge"},{"family":"Federolf","given":"Peter"}],"issued":{"date-parts":[["2025",6]]}}},{"id":61,"uris":["http://zotero.org/users/18623031/items/VUZ2E7XJ"],"itemData":{"id":61,"type":"article-journal","container-title":"Frontiers in Bioengineering and Biotechnology","DOI":"10.3389/fbioe.2021.666841","ISSN":"2296-4185","title":"Fatigue Induced by Repeated Changes of Direction in Élite Female Football (Soccer) Players: Impact on Lower Limb Biomechanics and Implications for ACL Injury Prevention","volume":"9","author":[{"family":"Zago","given":"Matteo"},{"family":"David","given":"Sina"},{"family":"Bertozzi","given":"Filippo"},{"family":"Brunetti","given":"Claudia"},{"family":"Gatti","given":"Alice"},{"family":"Salaorni","given":"Francesca"},{"family":"Tarabini","given":"Marco"},{"family":"Galvani","given":"Christel"},{"family":"Sforza","given":"Chiarella"},{"family":"Galli","given":"Manuela"}],"issued":{"date-parts":[["2021",10]]}}}],"schema":"https://github.com/citation-style-language/schema/raw/master/csl-citation.json"} </w:instrText>
      </w:r>
      <w:r w:rsidR="002F2C33">
        <w:rPr>
          <w:lang w:val="en-US"/>
        </w:rPr>
        <w:fldChar w:fldCharType="separate"/>
      </w:r>
      <w:r w:rsidR="006F0364" w:rsidRPr="006F0364">
        <w:rPr>
          <w:rFonts w:ascii="Aptos" w:hAnsi="Aptos" w:cs="Times New Roman"/>
          <w:kern w:val="0"/>
          <w:vertAlign w:val="superscript"/>
          <w:lang w:val="en-US"/>
        </w:rPr>
        <w:t>4,5</w:t>
      </w:r>
      <w:r w:rsidR="002F2C33">
        <w:rPr>
          <w:lang w:val="en-US"/>
        </w:rPr>
        <w:fldChar w:fldCharType="end"/>
      </w:r>
      <w:r w:rsidR="00E24B60" w:rsidRPr="0013669C">
        <w:rPr>
          <w:lang w:val="en-US"/>
        </w:rPr>
        <w:t xml:space="preserve">. </w:t>
      </w:r>
      <w:r w:rsidR="00F77873">
        <w:rPr>
          <w:lang w:val="en-US"/>
        </w:rPr>
        <w:t xml:space="preserve">However, the </w:t>
      </w:r>
      <w:r w:rsidR="008C30E2">
        <w:rPr>
          <w:lang w:val="en-US"/>
        </w:rPr>
        <w:t xml:space="preserve">overall </w:t>
      </w:r>
      <w:r w:rsidR="00F77873">
        <w:rPr>
          <w:lang w:val="en-US"/>
        </w:rPr>
        <w:t>injury rate is not decreasing</w:t>
      </w:r>
      <w:r w:rsidR="008C30E2">
        <w:rPr>
          <w:lang w:val="en-US"/>
        </w:rPr>
        <w:t>,</w:t>
      </w:r>
      <w:r w:rsidR="00F77873">
        <w:rPr>
          <w:lang w:val="en-US"/>
        </w:rPr>
        <w:t xml:space="preserve"> </w:t>
      </w:r>
      <w:r w:rsidR="008C30E2">
        <w:rPr>
          <w:lang w:val="en-US"/>
        </w:rPr>
        <w:t xml:space="preserve">while </w:t>
      </w:r>
      <w:r w:rsidR="00F77873">
        <w:rPr>
          <w:lang w:val="en-US"/>
        </w:rPr>
        <w:t>the risk of re</w:t>
      </w:r>
      <w:r w:rsidR="008C30E2">
        <w:rPr>
          <w:lang w:val="en-US"/>
        </w:rPr>
        <w:t>injury</w:t>
      </w:r>
      <w:r w:rsidR="00F77873">
        <w:rPr>
          <w:lang w:val="en-US"/>
        </w:rPr>
        <w:t xml:space="preserve"> </w:t>
      </w:r>
      <w:r w:rsidR="00F01BE9">
        <w:rPr>
          <w:lang w:val="en-US"/>
        </w:rPr>
        <w:t xml:space="preserve">in sports </w:t>
      </w:r>
      <w:r w:rsidR="008C30E2">
        <w:rPr>
          <w:lang w:val="en-US"/>
        </w:rPr>
        <w:t>remains</w:t>
      </w:r>
      <w:r w:rsidR="00F77873">
        <w:rPr>
          <w:lang w:val="en-US"/>
        </w:rPr>
        <w:t xml:space="preserve"> high</w:t>
      </w:r>
      <w:r w:rsidR="00B24EF2">
        <w:rPr>
          <w:lang w:val="en-US"/>
        </w:rPr>
        <w:fldChar w:fldCharType="begin"/>
      </w:r>
      <w:r w:rsidR="006F0364">
        <w:rPr>
          <w:lang w:val="en-US"/>
        </w:rPr>
        <w:instrText xml:space="preserve"> ADDIN ZOTERO_ITEM CSL_CITATION {"citationID":"tmxG8iNi","properties":{"formattedCitation":"\\super 6\\nosupersub{}","plainCitation":"6","noteIndex":0},"citationItems":[{"id":725,"uris":["http://zotero.org/users/18623031/items/BNRC56EP"],"itemData":{"id":725,"type":"article-journal","abstract":"ABSTRACT\n            \n              Purpose\n              The aim of this study was to describe the anterior cruciate ligament (ACL) injury incidence differences depending on sex and age</w:instrText>
      </w:r>
      <w:r w:rsidR="006F0364">
        <w:rPr>
          <w:rFonts w:ascii="Cambria Math" w:hAnsi="Cambria Math" w:cs="Cambria Math"/>
          <w:lang w:val="en-US"/>
        </w:rPr>
        <w:instrText>‐</w:instrText>
      </w:r>
      <w:r w:rsidR="006F0364">
        <w:rPr>
          <w:lang w:val="en-US"/>
        </w:rPr>
        <w:instrText>related categories in a large cohort of soccer players over six consecutive seasons.\n            \n            \n              Methods\n              This study was designed as a retrospective descriptive epidemiological study. All soccer players in a specific geographical area who sustained an ACL injury across six consecutive seasons were included in this analysis. ACL injury incidence was calculated by sex and age</w:instrText>
      </w:r>
      <w:r w:rsidR="006F0364">
        <w:rPr>
          <w:rFonts w:ascii="Cambria Math" w:hAnsi="Cambria Math" w:cs="Cambria Math"/>
          <w:lang w:val="en-US"/>
        </w:rPr>
        <w:instrText>‐</w:instrText>
      </w:r>
      <w:r w:rsidR="006F0364">
        <w:rPr>
          <w:lang w:val="en-US"/>
        </w:rPr>
        <w:instrText>related category as a percentage of all registered soccer players in the region. Additionally, soccer participation evolution, ACL injury incidence evolution, and monthly ACL injury distribution were studied. Group, seasonal, and monthly differences were analysed using chi</w:instrText>
      </w:r>
      <w:r w:rsidR="006F0364">
        <w:rPr>
          <w:rFonts w:ascii="Cambria Math" w:hAnsi="Cambria Math" w:cs="Cambria Math"/>
          <w:lang w:val="en-US"/>
        </w:rPr>
        <w:instrText>‐</w:instrText>
      </w:r>
      <w:r w:rsidR="006F0364">
        <w:rPr>
          <w:lang w:val="en-US"/>
        </w:rPr>
        <w:instrText>square tests.\n            \n            \n              Results\n              \n                Between the 2016</w:instrText>
      </w:r>
      <w:r w:rsidR="006F0364">
        <w:rPr>
          <w:rFonts w:ascii="Aptos" w:hAnsi="Aptos" w:cs="Aptos"/>
          <w:lang w:val="en-US"/>
        </w:rPr>
        <w:instrText>–</w:instrText>
      </w:r>
      <w:r w:rsidR="006F0364">
        <w:rPr>
          <w:lang w:val="en-US"/>
        </w:rPr>
        <w:instrText>2017 and the 2021</w:instrText>
      </w:r>
      <w:r w:rsidR="006F0364">
        <w:rPr>
          <w:rFonts w:ascii="Aptos" w:hAnsi="Aptos" w:cs="Aptos"/>
          <w:lang w:val="en-US"/>
        </w:rPr>
        <w:instrText>–</w:instrText>
      </w:r>
      <w:r w:rsidR="006F0364">
        <w:rPr>
          <w:lang w:val="en-US"/>
        </w:rPr>
        <w:instrText>2022 seasons, 3381 ACL injuries were registered from a total of 782,856 player</w:instrText>
      </w:r>
      <w:r w:rsidR="006F0364">
        <w:rPr>
          <w:rFonts w:ascii="Cambria Math" w:hAnsi="Cambria Math" w:cs="Cambria Math"/>
          <w:lang w:val="en-US"/>
        </w:rPr>
        <w:instrText>‐</w:instrText>
      </w:r>
      <w:r w:rsidR="006F0364">
        <w:rPr>
          <w:lang w:val="en-US"/>
        </w:rPr>
        <w:instrText xml:space="preserve">seasons. ACL injury incidence was 0.43%. Female soccer players showed 2.79 times higher injury incidence than male players, with overall rates of 1.06% in females and 0.38% in males (\n                p\n                </w:instrText>
      </w:r>
      <w:r w:rsidR="006F0364">
        <w:rPr>
          <w:rFonts w:ascii="Arial" w:hAnsi="Arial" w:cs="Arial"/>
          <w:lang w:val="en-US"/>
        </w:rPr>
        <w:instrText> </w:instrText>
      </w:r>
      <w:r w:rsidR="006F0364">
        <w:rPr>
          <w:lang w:val="en-US"/>
        </w:rPr>
        <w:instrText>&lt;</w:instrText>
      </w:r>
      <w:r w:rsidR="006F0364">
        <w:rPr>
          <w:rFonts w:ascii="Arial" w:hAnsi="Arial" w:cs="Arial"/>
          <w:lang w:val="en-US"/>
        </w:rPr>
        <w:instrText> </w:instrText>
      </w:r>
      <w:r w:rsidR="006F0364">
        <w:rPr>
          <w:lang w:val="en-US"/>
        </w:rPr>
        <w:instrText>0.001). However, female players only showed higher ACL injury incidence than males in age groups older than 14 years. ACL injury incidence increased over the six seasons studied only in the male group. October and January were the months with the highest number of ACL injuries, with no significant differences in monthly distribution between sexes.\n              \n            \n            \n              Conclusions\n              Female soccer players showed higher ACL injury incidence than males, particularly in age groups older than 14 years. October and January were identified as the months with the highest injury incidences regardless of sex. Additionally, a rising injury incidence was observed in male players, a trend not seen in females.\n            \n            \n              Level of Evidence\n              Level III, retrospective comparative study.","container-title":"Knee Surgery, Sports Traumatology, Arthroscopy","DOI":"10.1002/ksa.70046","ISSN":"0942-2056, 1433-7347","issue":"12","journalAbbreviation":"Knee surg. sports traumatol. arthrosc.","language":"en","page":"4426-4434","source":"DOI.org (Crossref)","title":"Anterior cruciate ligament injury incidence in male and female soccer players: A longitudinal study over six consecutive seasons","title-short":"Anterior cruciate ligament injury incidence in male and female soccer players","volume":"33","author":[{"family":"Ferré</w:instrText>
      </w:r>
      <w:r w:rsidR="006F0364">
        <w:rPr>
          <w:rFonts w:ascii="Cambria Math" w:hAnsi="Cambria Math" w:cs="Cambria Math"/>
          <w:lang w:val="en-US"/>
        </w:rPr>
        <w:instrText>‐</w:instrText>
      </w:r>
      <w:r w:rsidR="006F0364">
        <w:rPr>
          <w:lang w:val="en-US"/>
        </w:rPr>
        <w:instrText>Aniorte","given":"Alfred"},{"family":"Bolibar","given":"Ignasi"},{"family":"Cugat","given":"Ramón"},{"family":"Alentorn</w:instrText>
      </w:r>
      <w:r w:rsidR="006F0364">
        <w:rPr>
          <w:rFonts w:ascii="Cambria Math" w:hAnsi="Cambria Math" w:cs="Cambria Math"/>
          <w:lang w:val="en-US"/>
        </w:rPr>
        <w:instrText>‐</w:instrText>
      </w:r>
      <w:r w:rsidR="006F0364">
        <w:rPr>
          <w:lang w:val="en-US"/>
        </w:rPr>
        <w:instrText xml:space="preserve">Geli","given":"Eduard"}],"issued":{"date-parts":[["2025",12]]}}}],"schema":"https://github.com/citation-style-language/schema/raw/master/csl-citation.json"} </w:instrText>
      </w:r>
      <w:r w:rsidR="00B24EF2">
        <w:rPr>
          <w:lang w:val="en-US"/>
        </w:rPr>
        <w:fldChar w:fldCharType="separate"/>
      </w:r>
      <w:r w:rsidR="006F0364" w:rsidRPr="006F0364">
        <w:rPr>
          <w:rFonts w:ascii="Aptos" w:hAnsi="Aptos" w:cs="Times New Roman"/>
          <w:kern w:val="0"/>
          <w:vertAlign w:val="superscript"/>
          <w:lang w:val="en-US"/>
        </w:rPr>
        <w:t>6</w:t>
      </w:r>
      <w:r w:rsidR="00B24EF2">
        <w:rPr>
          <w:lang w:val="en-US"/>
        </w:rPr>
        <w:fldChar w:fldCharType="end"/>
      </w:r>
      <w:r w:rsidR="00F77873">
        <w:rPr>
          <w:lang w:val="en-US"/>
        </w:rPr>
        <w:t xml:space="preserve">. </w:t>
      </w:r>
    </w:p>
    <w:p w14:paraId="7A457775" w14:textId="1438C5C0" w:rsidR="00E24B60" w:rsidRDefault="00F77873" w:rsidP="00C03B4D">
      <w:pPr>
        <w:spacing w:line="360" w:lineRule="auto"/>
        <w:jc w:val="both"/>
        <w:rPr>
          <w:lang w:val="en-US"/>
        </w:rPr>
      </w:pPr>
      <w:r>
        <w:rPr>
          <w:lang w:val="en-US"/>
        </w:rPr>
        <w:t xml:space="preserve">Beyond biomechanical risk </w:t>
      </w:r>
      <w:r w:rsidR="005F4FB2">
        <w:rPr>
          <w:lang w:val="en-US"/>
        </w:rPr>
        <w:t>markers</w:t>
      </w:r>
      <w:r>
        <w:rPr>
          <w:lang w:val="en-US"/>
        </w:rPr>
        <w:t xml:space="preserve"> </w:t>
      </w:r>
      <w:r w:rsidR="00126F91">
        <w:rPr>
          <w:lang w:val="en-US"/>
        </w:rPr>
        <w:t>and individual</w:t>
      </w:r>
      <w:r>
        <w:rPr>
          <w:lang w:val="en-US"/>
        </w:rPr>
        <w:t xml:space="preserve"> non-modifiable anatomical characteristics, </w:t>
      </w:r>
      <w:r w:rsidR="008C30E2">
        <w:rPr>
          <w:lang w:val="en-US"/>
        </w:rPr>
        <w:t>such as</w:t>
      </w:r>
      <w:r>
        <w:rPr>
          <w:lang w:val="en-US"/>
        </w:rPr>
        <w:t xml:space="preserve"> ligament laxity, </w:t>
      </w:r>
      <w:r w:rsidR="00615329">
        <w:rPr>
          <w:lang w:val="en-US"/>
        </w:rPr>
        <w:t>neuro</w:t>
      </w:r>
      <w:r w:rsidRPr="00615329">
        <w:rPr>
          <w:lang w:val="en-US"/>
        </w:rPr>
        <w:t>cognitive abilities</w:t>
      </w:r>
      <w:r>
        <w:rPr>
          <w:lang w:val="en-US"/>
        </w:rPr>
        <w:t xml:space="preserve"> have been recognized as </w:t>
      </w:r>
      <w:r w:rsidR="008C30E2">
        <w:rPr>
          <w:lang w:val="en-US"/>
        </w:rPr>
        <w:t xml:space="preserve">potentially </w:t>
      </w:r>
      <w:r>
        <w:rPr>
          <w:lang w:val="en-US"/>
        </w:rPr>
        <w:t>relevant ACL injury risk</w:t>
      </w:r>
      <w:r w:rsidR="008C30E2">
        <w:rPr>
          <w:lang w:val="en-US"/>
        </w:rPr>
        <w:t>-related</w:t>
      </w:r>
      <w:r>
        <w:rPr>
          <w:lang w:val="en-US"/>
        </w:rPr>
        <w:t xml:space="preserve"> factors</w:t>
      </w:r>
      <w:r w:rsidR="00615329">
        <w:rPr>
          <w:lang w:val="en-US"/>
        </w:rPr>
        <w:fldChar w:fldCharType="begin"/>
      </w:r>
      <w:r w:rsidR="006F0364">
        <w:rPr>
          <w:lang w:val="en-US"/>
        </w:rPr>
        <w:instrText xml:space="preserve"> ADDIN ZOTERO_ITEM CSL_CITATION {"citationID":"hVudF0gg","properties":{"formattedCitation":"\\super 7\\uc0\\u8211{}9\\nosupersub{}","plainCitation":"7–9","noteIndex":0},"citationItems":[{"id":756,"uris":["http://zotero.org/users/18623031/items/RDPE7PPU"],"itemData":{"id":756,"type":"article-journal","abstract":"CONTEXT: Does lower baseline cognitive function predispose athletes to ACL injury risk, especially when performing unplanned or dual-task movements?\nOBJECTIVE: To evaluate the association between cognitive function and biomechanics related to ACL injuries during cognitively challenging sports movements.\nDATA SOURCES: PubMed (MEDLINE), Web of Science, Scopus, and SciELO databases were searched; additional hand searching was also conducted.\nSTUDY SELECTION: The following inclusion criteria had to be met: participants completed (1) a neurocognitive test, (2) a cognitively challenging sport-related task involving lower limbs, and (3) a biomechanical analysis. The following criteria determined exclusion from the review: studies involving participants with (1) recent or current musculoskeletal injuries; (2) recent or current concussion; (3) ACL surgical reconstruction, reviews of the literature, commentary or opinion articles, and case studies.\nSTUDY DESIGN: Systematic review using the Preferred Reporting Items for Systematic Reviews and Meta-Analysis Protocols (PRISMA-P) statement and registered at the International Prospective Register of Systematic Reviews (PROSPERO).\nLEVEL OF EVIDENCE: Level 3.\nDATA EXTRACTION: Two of authors independently extracted data and assessed the methodological quality of the articles with the Downs and Black and ROBINS-I checklists, to assess methodological quality and risk of bias, respectively.\nRESULTS: Six studies with different methodologies and confounding factors were included in this review. Of these 6 studies, 3 were ranked as high-quality, 3 demonstrated a low risk of bias, 2 a moderate risk, and 1 a severe risk. Five studies found a cognitive-motor relationship, with worse cognitive performance associated with increased injury risk, with 1 study reporting the opposite directionality for 1 variable. One study did not identify any interaction between cognitive function and biomechanical outcomes.\nCONCLUSION: Worse cognitive performance is associated with an increased injury risk profile during cognitively challenging movements.","container-title":"Sports Health","DOI":"10.1177/19417381221146557","ISSN":"1941-0921","issue":"6","journalAbbreviation":"Sports Health","language":"eng","page":"855-866","PMID":"36680310","PMCID":"PMC10606969","source":"PubMed","title":"Associations Between Cognitive Function and ACL Injury-Related Biomechanics: A Systematic Review","title-short":"Associations Between Cognitive Function and ACL Injury-Related Biomechanics","volume":"15","author":[{"family":"Bertozzi","given":"Filippo"},{"family":"Fischer","given":"Patrick D."},{"family":"Hutchison","given":"Keith A."},{"family":"Zago","given":"Matteo"},{"family":"Sforza","given":"Chiarella"},{"family":"Monfort","given":"Scott M."}],"issued":{"date-parts":[["2023"]]}}},{"id":715,"uris":["http://zotero.org/users/18623031/items/MPFQZSDE"],"itemData":{"id":715,"type":"article-journal","abstract":"OBJECTIVE: A few video analysis studies have been published in recent years, but none specifically on Spanish football. We aimed to describe the mechanisms, situational patterns, biomechanics and neurocognitive errors related to anterior cruciate ligament (ACL) injuries in professional Spanish football matches.\nMETHODS: We identified 167 consecutive ACL injuries across 12 seasons of the top two leagues in Spanish football. 115 (69%) injury videos were analysed for mechanism and situational pattern, while biomechanical analysis was possible in 81 cases. Neurocognitive errors were investigated for all non-contact injuries. Three independent reviewers evaluated each video. ACL injury epidemiology-month, timing within the match and pitch location at the time of injury was also documented.\nRESULTS: More injuries occurred in defensive (n=68, 59%) than offensive (n=48, 41%) (p&lt;0.01) playing situations. 16 (14%) injuries were direct contact, 49 (43%) indirect contact and 50 (43%) non-contact. Most injuries (89%) occurred during four main situational patterns: (1) pressing/tackling (n=47, 47%); (2) tackled (n=23, 23%); (3) landing from a jump (n=12, 12%) and regaining balance after kicking (n=6, 6%). Injuries generally involved a knee-dominant loading strategy in the sagittal plane with abducted hip and knee valgus. Of the non-contact injuries, 39 (78%) were deemed to involve a neurocognitive error. More (58%) injuries occurred in the first half of matches (p&lt;0.01).\nCONCLUSIONS: ACL injuries in Spanish football occurred similarly with non-contact and indirect contact mechanisms (44%). Four in five non-contact injuries involved a neurocognitive error. Most injuries occurred during four previously identified situational patterns, with more injuries earlier in the match.","container-title":"BMJ open sport &amp; exercise medicine","DOI":"10.1136/bmjsem-2024-002149","ISSN":"2055-7647","issue":"3","journalAbbreviation":"BMJ Open Sport Exerc Med","language":"eng","page":"e002149","PMID":"39351123","PMCID":"PMC11440205","source":"PubMed","title":"Systematic video analysis of ACL injuries in professional Spanish male football (soccer): injury mechanisms, situational patterns, biomechanics and neurocognitive errors - a study on 115 consecutive cases","title-short":"Systematic video analysis of ACL injuries in professional Spanish male football (soccer)","volume":"10","author":[{"family":"Buckthorpe","given":"Matthew"},{"family":"Pirli Capitani","given":"Luca"},{"family":"Olivares-Jabalera","given":"Jesus"},{"family":"Olmo","given":"Jesus"},{"family":"Della Villa","given":"Francesco"}],"issued":{"date-parts":[["2024"]]}}},{"id":333,"uris":["http://zotero.org/users/18623031/items/R9QDXRR2"],"itemData":{"id":333,"type":"article-journal","abstract":"CONTEXT Evidence is emerging that core neurocognitive functions such as working memory and inhibitory control (ie, motor-response and attentional inhibition) are linked to the anterior cruciate ligament (ACL) injury risk. Research has been conducted in laboratory settings, but the contribution of neurocognition to actual ACL injuries under real-world conditions is unknown. OBJECTIVE To describe the possible neurocognitive errors involved in noncontact ACL injury mechanisms. DESIGN Case series. SETTING Soccer matches. PATIENTS OR OTHER PARTICIPANTS A total of 47 professional male soccer players. MAIN OUTCOME MEASURE(S) Three independent reviewers evaluated 47 videos of players sustaining noncontact ACL injuries. Neurocognitive errors in inhibitory control were operationalized as follows: (1) motor-response inhibition was scored when a player demonstrated poor decision-making and approached the opponent with high speed that reduced the ability to stop or change the intended action and (2) an attentional error was scored when a player shifted his selective attention away from the relevant task to irrelevant stimuli. RESULTS Of 47 noncontact ACL injuries, 26 (55%) were related to a pressing-type injury, 19 (73%) of which involved a deceiving action made by the opponent, suggesting poor inhibitory control of the defender. Of the remaining 21 noncontact ACL injuries (45%), 16 (76%) could be attributed to attentional errors. Agreement among the 3 raters was very good for all items except poor decision-making, which showed fair to good agreement (Fleiss κ = 0.71). Interrater reliability was excellent (intraclass correlation coefficient = 0.99-1.00). CONCLUSIONS Errors in motor-response inhibitory control and attentional inhibition were common during noncontact ACL injury events in professional male soccer players. The interrater agreement in detecting neurocognitive errors in general was very good.","container-title":"Journal of athletic training","DOI":"10.4085/1062-6050-0209.22","ISSN":"1938-162X","issue":"3","page":"262-269","PMID":"37248515","title":"Neurocognitive Errors and Noncontact Anterior Cruciate Ligament Injuries in Professional Male Soccer Players.","volume":"59","author":[{"family":"Gokeler","given":"Alli"},{"family":"Tosarelli","given":"Filippo"},{"family":"Buckthorpe","given":"Matthew"},{"family":"Villa","given":"Francesco Della"}],"issued":{"date-parts":[["2024",10]]}}}],"schema":"https://github.com/citation-style-language/schema/raw/master/csl-citation.json"} </w:instrText>
      </w:r>
      <w:r w:rsidR="00615329">
        <w:rPr>
          <w:lang w:val="en-US"/>
        </w:rPr>
        <w:fldChar w:fldCharType="separate"/>
      </w:r>
      <w:r w:rsidR="006F0364" w:rsidRPr="006F0364">
        <w:rPr>
          <w:rFonts w:ascii="Aptos" w:hAnsi="Aptos" w:cs="Times New Roman"/>
          <w:kern w:val="0"/>
          <w:vertAlign w:val="superscript"/>
          <w:lang w:val="en-US"/>
        </w:rPr>
        <w:t>7–9</w:t>
      </w:r>
      <w:r w:rsidR="00615329">
        <w:rPr>
          <w:lang w:val="en-US"/>
        </w:rPr>
        <w:fldChar w:fldCharType="end"/>
      </w:r>
      <w:r w:rsidRPr="006F0364">
        <w:rPr>
          <w:lang w:val="en-US"/>
        </w:rPr>
        <w:t xml:space="preserve">. </w:t>
      </w:r>
      <w:r>
        <w:rPr>
          <w:lang w:val="en-US"/>
        </w:rPr>
        <w:t xml:space="preserve">Indeed, in </w:t>
      </w:r>
      <w:r w:rsidR="008C30E2">
        <w:rPr>
          <w:lang w:val="en-US"/>
        </w:rPr>
        <w:t xml:space="preserve">recent </w:t>
      </w:r>
      <w:r>
        <w:rPr>
          <w:lang w:val="en-US"/>
        </w:rPr>
        <w:t xml:space="preserve">years, </w:t>
      </w:r>
      <w:r w:rsidR="008C30E2">
        <w:rPr>
          <w:lang w:val="en-US"/>
        </w:rPr>
        <w:t xml:space="preserve">cognitive load </w:t>
      </w:r>
      <w:r w:rsidR="0050541A" w:rsidRPr="0050541A">
        <w:rPr>
          <w:lang w:val="en-US"/>
        </w:rPr>
        <w:t xml:space="preserve">introduced </w:t>
      </w:r>
      <w:r w:rsidR="0050541A">
        <w:rPr>
          <w:lang w:val="en-US"/>
        </w:rPr>
        <w:t>through</w:t>
      </w:r>
      <w:r w:rsidR="0050541A" w:rsidRPr="0050541A">
        <w:rPr>
          <w:lang w:val="en-US"/>
        </w:rPr>
        <w:t xml:space="preserve"> unanticipated protocols or dual-task conditions</w:t>
      </w:r>
      <w:r w:rsidR="0050541A" w:rsidRPr="0050541A" w:rsidDel="0050541A">
        <w:rPr>
          <w:lang w:val="en-US"/>
        </w:rPr>
        <w:t xml:space="preserve"> </w:t>
      </w:r>
      <w:r w:rsidR="008C30E2">
        <w:rPr>
          <w:lang w:val="en-US"/>
        </w:rPr>
        <w:t xml:space="preserve">has been implemented in </w:t>
      </w:r>
      <w:r>
        <w:rPr>
          <w:lang w:val="en-US"/>
        </w:rPr>
        <w:t xml:space="preserve">laboratory </w:t>
      </w:r>
      <w:r w:rsidR="008C30E2">
        <w:rPr>
          <w:lang w:val="en-US"/>
        </w:rPr>
        <w:t xml:space="preserve">biomechanical </w:t>
      </w:r>
      <w:r>
        <w:rPr>
          <w:lang w:val="en-US"/>
        </w:rPr>
        <w:t>test</w:t>
      </w:r>
      <w:r w:rsidR="008C30E2">
        <w:rPr>
          <w:lang w:val="en-US"/>
        </w:rPr>
        <w:t>ing, as</w:t>
      </w:r>
      <w:r w:rsidR="00A85CEE">
        <w:rPr>
          <w:lang w:val="en-US"/>
        </w:rPr>
        <w:t xml:space="preserve"> </w:t>
      </w:r>
      <w:r w:rsidR="008C30E2">
        <w:rPr>
          <w:lang w:val="en-US"/>
        </w:rPr>
        <w:t xml:space="preserve">this approach may be </w:t>
      </w:r>
      <w:r w:rsidR="00A85CEE">
        <w:rPr>
          <w:lang w:val="en-US"/>
        </w:rPr>
        <w:t>more ecologic</w:t>
      </w:r>
      <w:r w:rsidR="008C30E2">
        <w:rPr>
          <w:lang w:val="en-US"/>
        </w:rPr>
        <w:t>ally valid</w:t>
      </w:r>
      <w:r w:rsidR="00A85CEE">
        <w:rPr>
          <w:lang w:val="en-US"/>
        </w:rPr>
        <w:t xml:space="preserve"> </w:t>
      </w:r>
      <w:r w:rsidR="008C30E2">
        <w:rPr>
          <w:lang w:val="en-US"/>
        </w:rPr>
        <w:t xml:space="preserve">by replicating </w:t>
      </w:r>
      <w:r w:rsidR="00A85CEE">
        <w:rPr>
          <w:lang w:val="en-US"/>
        </w:rPr>
        <w:t xml:space="preserve">unpredictable </w:t>
      </w:r>
      <w:r w:rsidR="005F4FB2">
        <w:rPr>
          <w:lang w:val="en-US"/>
        </w:rPr>
        <w:t xml:space="preserve">and </w:t>
      </w:r>
      <w:r w:rsidR="008C30E2">
        <w:rPr>
          <w:lang w:val="en-US"/>
        </w:rPr>
        <w:t>cognitively challenging</w:t>
      </w:r>
      <w:r w:rsidR="005F4FB2">
        <w:rPr>
          <w:lang w:val="en-US"/>
        </w:rPr>
        <w:t xml:space="preserve"> </w:t>
      </w:r>
      <w:r w:rsidR="00C03B4D">
        <w:rPr>
          <w:lang w:val="en-US"/>
        </w:rPr>
        <w:t>real-game</w:t>
      </w:r>
      <w:r w:rsidR="00D63339">
        <w:rPr>
          <w:lang w:val="en-US"/>
        </w:rPr>
        <w:t xml:space="preserve"> situations </w:t>
      </w:r>
      <w:r w:rsidR="00C03B4D">
        <w:rPr>
          <w:lang w:val="en-US"/>
        </w:rPr>
        <w:t xml:space="preserve">and </w:t>
      </w:r>
      <w:r w:rsidR="00C155DD">
        <w:rPr>
          <w:lang w:val="en-US"/>
        </w:rPr>
        <w:t>allow</w:t>
      </w:r>
      <w:r w:rsidR="008C30E2">
        <w:rPr>
          <w:lang w:val="en-US"/>
        </w:rPr>
        <w:t>ing</w:t>
      </w:r>
      <w:r w:rsidR="00C155DD">
        <w:rPr>
          <w:lang w:val="en-US"/>
        </w:rPr>
        <w:t xml:space="preserve"> </w:t>
      </w:r>
      <w:r w:rsidR="008C30E2">
        <w:rPr>
          <w:lang w:val="en-US"/>
        </w:rPr>
        <w:t xml:space="preserve">for </w:t>
      </w:r>
      <w:r w:rsidR="00C155DD">
        <w:rPr>
          <w:lang w:val="en-US"/>
        </w:rPr>
        <w:t xml:space="preserve">the </w:t>
      </w:r>
      <w:r w:rsidR="008C30E2">
        <w:rPr>
          <w:lang w:val="en-US"/>
        </w:rPr>
        <w:t xml:space="preserve">concurrent assessment </w:t>
      </w:r>
      <w:r w:rsidR="00C155DD">
        <w:rPr>
          <w:lang w:val="en-US"/>
        </w:rPr>
        <w:t xml:space="preserve">of </w:t>
      </w:r>
      <w:r w:rsidR="008C30E2">
        <w:rPr>
          <w:lang w:val="en-US"/>
        </w:rPr>
        <w:t xml:space="preserve">athletes’ </w:t>
      </w:r>
      <w:r w:rsidR="00C155DD" w:rsidRPr="00C155DD">
        <w:rPr>
          <w:lang w:val="en-US"/>
        </w:rPr>
        <w:t xml:space="preserve">motor and </w:t>
      </w:r>
      <w:r w:rsidR="008C30E2">
        <w:rPr>
          <w:lang w:val="en-US"/>
        </w:rPr>
        <w:t>cognitive</w:t>
      </w:r>
      <w:r w:rsidR="00C155DD" w:rsidRPr="00C155DD">
        <w:rPr>
          <w:lang w:val="en-US"/>
        </w:rPr>
        <w:t xml:space="preserve"> </w:t>
      </w:r>
      <w:r w:rsidR="008C30E2">
        <w:rPr>
          <w:lang w:val="en-US"/>
        </w:rPr>
        <w:t>abilities</w:t>
      </w:r>
      <w:r w:rsidR="00AE56B7">
        <w:rPr>
          <w:lang w:val="en-US"/>
        </w:rPr>
        <w:fldChar w:fldCharType="begin"/>
      </w:r>
      <w:r w:rsidR="006F0364">
        <w:rPr>
          <w:lang w:val="en-US"/>
        </w:rPr>
        <w:instrText xml:space="preserve"> ADDIN ZOTERO_ITEM CSL_CITATION {"citationID":"bXZH0thx","properties":{"formattedCitation":"\\super 10\\uc0\\u8211{}14\\nosupersub{}","plainCitation":"10–14","noteIndex":0},"citationItems":[{"id":405,"uris":["http://zotero.org/users/18623031/items/IJ65AQAT"],"itemData":{"id":405,"type":"article-journal","abstract":"BACKGROUND Physical fatigue and cognitive performance have been suggested as risk factors for an anterior cruciate ligament (ACL) injury, and fatigue has also been demonstrated to reduce cognitive processing. The combined effects of fatigue and lower cognitive function during cognitive-challenging movements may increase knee mechanics associated with the ACL injury risk. HYPOTHESES We hypothesized that (1) knee mechanics would be detrimentally affected by fatigue and associated with baseline cognitive function and (2) fatigue-induced deleterious changes in cognitive performance and knee mechanics would be correlated. STUDY DESIGN Descriptive laboratory study. METHODS A total of 22 athletes completed baseline cognitive testing. After performing maximal vertical jumps, they performed a jump-land-jump task based on unanticipated visual cues. Then, they completed a fatigue protocol including countermovement jumps, among other tasks, until the jump height decreased below 90% of their assessed maximum. Immediately after reaching the first fatigue point, they performed another set of jump-landing tasks, followed by repeating the fatigue protocol until the jump height decreased below 85% of their assessed maximum. After reaching the second fatigue point, they performed a final set of jump-landing tasks and repeated the initial cognitive assessment battery. RESULTS Mixed-effects models revealed that knee flexion decreased through the fatigue protocol (baseline: 61.8°; midpoint: 61.1°; final: 60.1°; P = .003). Stepwise regression showed that fatigue-worsened attentional control corresponded to smaller knee abduction angles (R2adjusted = 51.68%; βstandardized = 1.16; P = .001), and worse reaction time after fatigue correlated with increased knee abduction angles (βstandardized = 0.85; P = .006) after accounting for the role of attentional control. CONCLUSION Fatigue induced incremental modifications in sagittal-plane knee mechanics during an unanticipated sports movement. In addition, fatigue induced changes in cognitive function related to ACL injury-relevant knee mechanics. CLINICAL RELEVANCE The novel findings regarding fatigue-dependent changes in injury-relevant biomechanics during cognitively challenging movements represent an extension of recent developments in understanding the role of cognition in the ACL injury risk.","container-title":"The American journal of sports medicine","DOI":"10.1177/03635465231180612","ISSN":"1552-3365","issue":"10","page":"2740-2747","PMID":"37345283","title":"Influence of Fatigue on Cognitive-Motor Function During Unanticipated Landings.","volume":"51","author":[{"family":"Bertozzi","given":"Filippo"},{"family":"Fischer","given":"Patrick D."},{"family":"Aflatounian","given":"Fatemeh"},{"family":"Hutchison","given":"Keith A."},{"family":"Sforza","given":"Chiarella"},{"family":"Monfort","given":"Scott M."}],"issued":{"date-parts":[["2023",8]]}}},{"id":758,"uris":["http://zotero.org/users/18623031/items/TDDSZVIV"],"itemData":{"id":758,"type":"article-journal","abstract":"Abstract\n            \n              Background\n              Anterior cruciate ligament (ACL) injuries are highly prevalent in team sport athletes and often occur while performing change-of-direction (COD) tasks in combination with high cognitive demands, such as decision making or divided attention. Given the expanding body of research in this field, an updated literature review is warranted, as the most recent meta-analysis on this topic included original studies published up to November 2020.\n            \n            \n              Objective\n              The aim of this systematic review was to examine the effects of anticipation and/or dual-tasking on lower limb biomechanics during COD tasks in healthy individuals.\n            \n            \n              Design\n              Systematic review with meta-analysis.\n            \n            \n              Data Sources\n              A systematic literature search was conducted in the electronic databases PubMed, Web of Science, CINAHL and SPORTDiscus from inception until February 2024. The included studies examined the effects of anticipation and/or dual-tasking on knee kinetics and kinematics in the frontal and sagittal planes during COD tasks.\n            \n            \n              Methods\n              A multilevel meta-analysis was performed to aggregate the results of studies comparing unanticipated versus anticipated CODs on lower limb biomechanics. Due to the limited available literature on dual-task versus single-task conditions, this aspect was analyzed qualitatively.\n            \n            \n              Results\n              \n                The meta-analysis included 17 studies involving 355 individuals from different sports (e.g., soccer, American Football). No statistically significant differences were found between unanticipated and anticipated CODs for knee abduction and flexion moments as well as knee abduction angles (\n                p\n                </w:instrText>
      </w:r>
      <w:r w:rsidR="006F0364">
        <w:rPr>
          <w:rFonts w:ascii="Arial" w:hAnsi="Arial" w:cs="Arial"/>
          <w:lang w:val="en-US"/>
        </w:rPr>
        <w:instrText> </w:instrText>
      </w:r>
      <w:r w:rsidR="006F0364">
        <w:rPr>
          <w:lang w:val="en-US"/>
        </w:rPr>
        <w:instrText>&gt;</w:instrText>
      </w:r>
      <w:r w:rsidR="006F0364">
        <w:rPr>
          <w:rFonts w:ascii="Arial" w:hAnsi="Arial" w:cs="Arial"/>
          <w:lang w:val="en-US"/>
        </w:rPr>
        <w:instrText> </w:instrText>
      </w:r>
      <w:r w:rsidR="006F0364">
        <w:rPr>
          <w:lang w:val="en-US"/>
        </w:rPr>
        <w:instrText>0.05). Significantly higher knee flexion angles were found in unanticipated CODs (SMD</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0.74, 95% CI: 0.30</w:instrText>
      </w:r>
      <w:r w:rsidR="006F0364">
        <w:rPr>
          <w:rFonts w:ascii="Aptos" w:hAnsi="Aptos" w:cs="Aptos"/>
          <w:lang w:val="en-US"/>
        </w:rPr>
        <w:instrText>–</w:instrText>
      </w:r>
      <w:r w:rsidR="006F0364">
        <w:rPr>
          <w:lang w:val="en-US"/>
        </w:rPr>
        <w:instrText xml:space="preserve">1.19;\n                p\n                </w:instrText>
      </w:r>
      <w:r w:rsidR="006F0364">
        <w:rPr>
          <w:rFonts w:ascii="Arial" w:hAnsi="Arial" w:cs="Arial"/>
          <w:lang w:val="en-US"/>
        </w:rPr>
        <w:instrText> </w:instrText>
      </w:r>
      <w:r w:rsidR="006F0364">
        <w:rPr>
          <w:lang w:val="en-US"/>
        </w:rPr>
        <w:instrText>&lt;</w:instrText>
      </w:r>
      <w:r w:rsidR="006F0364">
        <w:rPr>
          <w:rFonts w:ascii="Arial" w:hAnsi="Arial" w:cs="Arial"/>
          <w:lang w:val="en-US"/>
        </w:rPr>
        <w:instrText> </w:instrText>
      </w:r>
      <w:r w:rsidR="006F0364">
        <w:rPr>
          <w:lang w:val="en-US"/>
        </w:rPr>
        <w:instrText xml:space="preserve">0.01). Qualitative analyses of six studies including 171 individuals provided initial evidence for higher knee abduction moments and flexion angles during anticipated CODs while performing a secondary task concurrently.\n              \n            \n            \n              Conclusion\n              Findings from quantitative and qualitative analyses indicate that anticipation and dual-tasking during COD performance have an impact on injury-related aspects of lower limb biomechanics. Hence, cognitive challenges should be implemented in injury risk screening and preventive strategies. Further studies with high methodological quality are needed to improve the understanding of the biomechanical and cognitive interplay in injury-threatening situations.\n            \n            \n              PROSPERO Registration Number\n              CRD42023433074.\n            \n            \n              Date of Registration\n              13.10.2023.","container-title":"Sports Medicine","DOI":"10.1007/s40279-025-02182-w","ISSN":"0112-1642, 1179-2035","issue":"4","journalAbbreviation":"Sports Med","language":"en","page":"857-876","source":"DOI.org (Crossref)","title":"Effects of Anticipation and Dual-Tasking on Lower Limb Biomechanics While Performing Change-of-Direction Tasks in Physically Active Individuals: A Systematic Review with Meta-Analysis","title-short":"Effects of Anticipation and Dual-Tasking on Lower Limb Biomechanics While Performing Change-of-Direction Tasks in Physically Active Individuals","volume":"55","author":[{"family":"Ebner","given":"Clara"},{"family":"Granacher","given":"Urs"},{"family":"Gehring","given":"Dominic"}],"issued":{"date-parts":[["2025",4]]}}},{"id":705,"uris":["http://zotero.org/users/18623031/items/5D6DGPRR"],"itemData":{"id":705,"type":"article-journal","container-title":"Sports Biomechanics","DOI":"10.1080/14763141.2021.1898671","ISSN":"1476-3141, 1752-6116","issue":"1","journalAbbreviation":"Sports Biomechanics","language":"en","page":"30-45","source":"DOI.org (Crossref)","title":"The influence of decision making and divided attention on lower limb biomechanics associated with anterior cruciate ligament injury: a narrative review","title-short":"The influence of decision making and divided attention on lower limb biomechanics associated with anterior cruciate ligament injury","volume":"22","author":[{"family":"Hughes","given":"Gerwyn"},{"family":"Dai","given":"Boyi"}],"issued":{"date-parts":[["2023",1,2]]}}},{"id":760,"uris":["http://zotero.org/users/18623031/items/DBH5TLSM"],"itemData":{"id":760,"type":"article-journal","container-title":"Sports Biomechanics","DOI":"10.1080/14763141.2025.2603396","ISSN":"1476-3141, 1752-6116","journalAbbreviation":"Sports Biomechanics","language":"en","page":"1-29","source":"DOI.org (Crossref)","title":"The impact of a secondary cognitive task on variables associated with ACL loading during landing: a systematic review and meta-analysis","title-short":"The impact of a secondary cognitive task on variables associated with ACL loading during landing","author":[{"family":"Knight","given":"Ryan"},{"family":"Chembila Valappil","given":"Ashika"},{"family":"Bruton","given":"Adam"},{"family":"Greene","given":"Andrew"}],"issued":{"date-parts":[["2026",1,29]]}}},{"id":718,"uris":["http://zotero.org/users/18623031/items/6SYJX8BT"],"itemData":{"id":718,"type":"article-journal","abstract":"When side-step cutting and landing maneuvers are performed under unanticipated conditions, commonly seen in sports, trunk and lower limb biomechanics are often altered. These biomechanical alterations in the trunk, hip, knee, and ankle may increase the risk of anterior cruciate ligament (ACL) injuries. The aim of this systematic review with meta-analysis was to synthesize the effects of unanticipated side-step cutting and landing on trunk and lower limb biomechanics and evaluate potential implications for ACL injury risks. We searched PubMed, Web of Science, and EBSCO from inception to June 2024. Standardized mean differences (SMD) with 95 % confidence intervals (CIs) were calculated. This review of 35 studies, with a methodological quality score of 9.26 ± 0.78, found that unanticipated side-step cutting increased lateral trunk flexion angles away from the intended direction at initial contact, peak knee flexion angles, and peak external hip flexion, hip abduction, and knee abduction moments. Additionally, unanticipated side-step cutting decreased the knee flexor-extensor directed co-activation ratio during pre-contact. Unanticipated landing decreased hip and knee flexion angles at initial contact, but increased hip internal rotation angles at initial contact and peak external hip internal rotation moments. Our findings highlight the specific alterations in trunk and lower limb biomechanics due to unanticipated side-step cutting and landing maneuvers, which are relevant to the development of ACL injuries. Effective risk assessment and rehabilitation programs must consider the impact of these unanticipated movements, which are prevalent in many sports.","container-title":"Journal of Biomechanics","DOI":"10.1016/j.jbiomech.2025.112863","ISSN":"1873-2380","journalAbbreviation":"J Biomech","language":"eng","page":"112863","PMID":"40706325","source":"PubMed","title":"Influence of unanticipated side-step cutting and landing on trunk and lower limb biomechanics: A systematic review and meta-analysis","title-short":"Influence of unanticipated side-step cutting and landing on trunk and lower limb biomechanics","volume":"190","author":[{"family":"Xu","given":"Yilin"},{"family":"Wang","given":"Ran"},{"family":"Yuan","given":"Peng"},{"family":"Yu","given":"Shiqi"},{"family":"Chen","given":"Wei"},{"family":"Liu","given":"Jia"}],"issued":{"date-parts":[["2025",9]]}}}],"schema":"https://github.com/citation-style-language/schema/raw/master/csl-citation.json"} </w:instrText>
      </w:r>
      <w:r w:rsidR="00AE56B7">
        <w:rPr>
          <w:lang w:val="en-US"/>
        </w:rPr>
        <w:fldChar w:fldCharType="separate"/>
      </w:r>
      <w:r w:rsidR="006F0364" w:rsidRPr="006F0364">
        <w:rPr>
          <w:rFonts w:ascii="Aptos" w:hAnsi="Aptos" w:cs="Times New Roman"/>
          <w:kern w:val="0"/>
          <w:vertAlign w:val="superscript"/>
          <w:lang w:val="en-US"/>
        </w:rPr>
        <w:t>10–14</w:t>
      </w:r>
      <w:r w:rsidR="00AE56B7">
        <w:rPr>
          <w:lang w:val="en-US"/>
        </w:rPr>
        <w:fldChar w:fldCharType="end"/>
      </w:r>
      <w:r w:rsidR="00D63339" w:rsidRPr="006F0364">
        <w:rPr>
          <w:lang w:val="en-US"/>
        </w:rPr>
        <w:t xml:space="preserve">. </w:t>
      </w:r>
      <w:r w:rsidR="00D6535A">
        <w:rPr>
          <w:lang w:val="en-US"/>
        </w:rPr>
        <w:t xml:space="preserve">The </w:t>
      </w:r>
      <w:r w:rsidR="00F0638A">
        <w:rPr>
          <w:lang w:val="en-US"/>
        </w:rPr>
        <w:t xml:space="preserve">cognitive demand </w:t>
      </w:r>
      <w:r w:rsidR="00D6535A">
        <w:rPr>
          <w:lang w:val="en-US"/>
        </w:rPr>
        <w:t xml:space="preserve">is often </w:t>
      </w:r>
      <w:r w:rsidR="00C03B4D">
        <w:rPr>
          <w:lang w:val="en-US"/>
        </w:rPr>
        <w:t>included in laboratory test</w:t>
      </w:r>
      <w:r w:rsidR="00F0638A">
        <w:rPr>
          <w:lang w:val="en-US"/>
        </w:rPr>
        <w:t>s</w:t>
      </w:r>
      <w:r w:rsidR="00C03B4D">
        <w:rPr>
          <w:lang w:val="en-US"/>
        </w:rPr>
        <w:t xml:space="preserve"> </w:t>
      </w:r>
      <w:r w:rsidR="00F0638A">
        <w:rPr>
          <w:lang w:val="en-US"/>
        </w:rPr>
        <w:t xml:space="preserve">using </w:t>
      </w:r>
      <w:r w:rsidR="00D6535A">
        <w:rPr>
          <w:lang w:val="en-US"/>
        </w:rPr>
        <w:t>visual stimuli that</w:t>
      </w:r>
      <w:r w:rsidR="00C03B4D">
        <w:rPr>
          <w:lang w:val="en-US"/>
        </w:rPr>
        <w:t xml:space="preserve"> dynamically</w:t>
      </w:r>
      <w:r w:rsidR="00D6535A">
        <w:rPr>
          <w:lang w:val="en-US"/>
        </w:rPr>
        <w:t xml:space="preserve"> change </w:t>
      </w:r>
      <w:r w:rsidR="00F0638A">
        <w:rPr>
          <w:lang w:val="en-US"/>
        </w:rPr>
        <w:t xml:space="preserve">a predetermined </w:t>
      </w:r>
      <w:r w:rsidR="00D6535A">
        <w:rPr>
          <w:lang w:val="en-US"/>
        </w:rPr>
        <w:t xml:space="preserve">task requirement (e.g., jump right or left when </w:t>
      </w:r>
      <w:r w:rsidR="00C03B4D">
        <w:rPr>
          <w:lang w:val="en-US"/>
        </w:rPr>
        <w:t>a</w:t>
      </w:r>
      <w:r w:rsidR="00D6535A">
        <w:rPr>
          <w:lang w:val="en-US"/>
        </w:rPr>
        <w:t xml:space="preserve"> light turn</w:t>
      </w:r>
      <w:r w:rsidR="00EB6192">
        <w:rPr>
          <w:lang w:val="en-US"/>
        </w:rPr>
        <w:t>s</w:t>
      </w:r>
      <w:r w:rsidR="00D6535A">
        <w:rPr>
          <w:lang w:val="en-US"/>
        </w:rPr>
        <w:t xml:space="preserve"> green)</w:t>
      </w:r>
      <w:r w:rsidR="00C03B4D">
        <w:rPr>
          <w:lang w:val="en-US"/>
        </w:rPr>
        <w:t xml:space="preserve">, </w:t>
      </w:r>
      <w:r w:rsidR="00F0638A">
        <w:rPr>
          <w:lang w:val="en-US"/>
        </w:rPr>
        <w:t>which</w:t>
      </w:r>
      <w:r w:rsidR="00C03B4D">
        <w:rPr>
          <w:lang w:val="en-US"/>
        </w:rPr>
        <w:t xml:space="preserve"> may </w:t>
      </w:r>
      <w:r w:rsidR="00185472">
        <w:rPr>
          <w:lang w:val="en-US"/>
        </w:rPr>
        <w:t>reveal</w:t>
      </w:r>
      <w:r w:rsidR="00C03B4D">
        <w:rPr>
          <w:lang w:val="en-US"/>
        </w:rPr>
        <w:t xml:space="preserve"> </w:t>
      </w:r>
      <w:r w:rsidR="00185472">
        <w:rPr>
          <w:lang w:val="en-US"/>
        </w:rPr>
        <w:t>potential</w:t>
      </w:r>
      <w:r w:rsidR="00C03B4D">
        <w:rPr>
          <w:lang w:val="en-US"/>
        </w:rPr>
        <w:t xml:space="preserve"> athlete</w:t>
      </w:r>
      <w:r w:rsidR="00F0638A">
        <w:rPr>
          <w:lang w:val="en-US"/>
        </w:rPr>
        <w:t>s’</w:t>
      </w:r>
      <w:r w:rsidR="00C03B4D">
        <w:rPr>
          <w:lang w:val="en-US"/>
        </w:rPr>
        <w:t xml:space="preserve"> </w:t>
      </w:r>
      <w:r w:rsidR="00185472">
        <w:rPr>
          <w:lang w:val="en-US"/>
        </w:rPr>
        <w:t>deficiencies</w:t>
      </w:r>
      <w:r w:rsidR="00C03B4D">
        <w:rPr>
          <w:lang w:val="en-US"/>
        </w:rPr>
        <w:t xml:space="preserve"> </w:t>
      </w:r>
      <w:r w:rsidR="00F0638A">
        <w:rPr>
          <w:lang w:val="en-US"/>
        </w:rPr>
        <w:t>in</w:t>
      </w:r>
      <w:r w:rsidR="00C03B4D">
        <w:rPr>
          <w:lang w:val="en-US"/>
        </w:rPr>
        <w:t xml:space="preserve"> </w:t>
      </w:r>
      <w:r w:rsidR="00185472">
        <w:rPr>
          <w:lang w:val="en-US"/>
        </w:rPr>
        <w:t xml:space="preserve">rapidly </w:t>
      </w:r>
      <w:r w:rsidR="00C03B4D" w:rsidRPr="00185472">
        <w:rPr>
          <w:lang w:val="en-US"/>
        </w:rPr>
        <w:t>adapt</w:t>
      </w:r>
      <w:r w:rsidR="00F0638A">
        <w:rPr>
          <w:lang w:val="en-US"/>
        </w:rPr>
        <w:t>ing</w:t>
      </w:r>
      <w:r w:rsidR="00C03B4D" w:rsidRPr="00185472">
        <w:rPr>
          <w:lang w:val="en-US"/>
        </w:rPr>
        <w:t xml:space="preserve"> </w:t>
      </w:r>
      <w:r w:rsidR="00185472">
        <w:rPr>
          <w:lang w:val="en-US"/>
        </w:rPr>
        <w:t xml:space="preserve">the </w:t>
      </w:r>
      <w:r w:rsidR="00C03B4D" w:rsidRPr="00185472">
        <w:rPr>
          <w:lang w:val="en-US"/>
        </w:rPr>
        <w:t>movement</w:t>
      </w:r>
      <w:r w:rsidR="00185472">
        <w:rPr>
          <w:lang w:val="en-US"/>
        </w:rPr>
        <w:t xml:space="preserve"> and avoid</w:t>
      </w:r>
      <w:r w:rsidR="00F0638A">
        <w:rPr>
          <w:lang w:val="en-US"/>
        </w:rPr>
        <w:t>ing</w:t>
      </w:r>
      <w:r w:rsidR="00185472">
        <w:rPr>
          <w:lang w:val="en-US"/>
        </w:rPr>
        <w:t xml:space="preserve"> harmful motor patterns</w:t>
      </w:r>
      <w:r w:rsidR="00B24EF2">
        <w:rPr>
          <w:lang w:val="en-US"/>
        </w:rPr>
        <w:fldChar w:fldCharType="begin"/>
      </w:r>
      <w:r w:rsidR="006F0364">
        <w:rPr>
          <w:lang w:val="en-US"/>
        </w:rPr>
        <w:instrText xml:space="preserve"> ADDIN ZOTERO_ITEM CSL_CITATION {"citationID":"mPcatejw","properties":{"formattedCitation":"\\super 15,16\\nosupersub{}","plainCitation":"15,16","noteIndex":0},"citationItems":[{"id":338,"uris":["http://zotero.org/users/18623031/items/37TN3JPX"],"itemData":{"id":338,"type":"article-journal","abstract":"BACKGROUND In spite of ongoing prevention developments, anterior cruciate ligament injury rates and the associated sex-disparity have remained, suggesting an incomplete understanding of the injury mechanism. While both fatigue and decision making are known in isolation to directly impact anterior cruciate ligament injury risk, their combined manifestations remain unknown. We thus examined the combined effects of fatigue and decision making on lower limb kinematics during sports relevant landings. METHODS Twenty five female National College Athletic Association athletes had initial contact and peak stance phase 3D lower limb joint kinematics quantified during anticipated and unanticipated single (left and right) leg landings, both before and during the accumulation of fatigue. Jump direction was governed by light stimuli activated prior to and during the pre-land phase of respective anticipated and unanticipated trials. To induce fatigue, subjects performed repetitive squat (n=5) and randomly ordered jump sequences, until squats were no longer possible. Subject-based measures of each dependent factor were then calculated across pre-fatigue trials, and for those denoting 100% and 50% fatigue, and submitted to a 3-way mixed design analysis of covariance to test for the main effects of fatigue time, decision and leg. FINDINGS Fatigue caused significant increases in initial contact hip extension and internal rotation, and in peak stance knee abduction and internal rotation and ankle supination angles. Fatigue-induced increases in initial contact hip rotations and in peak knee abduction angle were also significantly more pronounced during unanticipated compared to anticipated landings. INTERPRETATION The integrative effects of fatigue and decision making may represent a worst case scenario in terms of anterior cruciate ligament injury risk during dynamic single leg landings, by perpetuating substantial degradation and overload of central control mechanisms.","container-title":"Clinical biomechanics (Bristol, Avon)","DOI":"10.1016/j.clinbiomech.2007.08.008","ISSN":"0268-0033","issue":"1","page":"81-92","PMID":"17889972","title":"Combined effects of fatigue and decision making on female lower limb landing postures: central and peripheral contributions to ACL injury risk.","volume":"23","author":[{"family":"Borotikar","given":"Bhushan S."},{"family":"Newcomer","given":"Rhonda"},{"family":"Koppes","given":"Ryan"},{"family":"McLean","given":"Scott G."}],"issued":{"date-parts":[["2008",10]]}}},{"id":55,"uris":["http://zotero.org/users/18623031/items/XKTW9369"],"itemData":{"id":55,"type":"article-journal","abstract":"BACKGROUND We aimed to delineate if unanticipated jump-landing assessments delivers complementary information to those of commonly used hop and jump tests after anterior cruciate ligament reconstruction. METHODS Eleven participants (5 males) performed a series of unanticipated jump-landings and traditional hop and jump performance tests (single leg hops for distance, triple crossover hops for distance and drop jumps). The number of mistrials, time to stabilization and peak ground reaction force (pGRF) at landing and jump/hop distance were measured. Pearson correlations to find potential associations between the unanticipated jump-landing-values and the traditional jump/hop performance tests were calculated twice: once for the affected and once for the unaffected legs. t-Tests for dependent samples were used to detect differences between affected and unaffected leg within each test condition. FINDINGS The pGRF at unanticipated landing significantly correlated to the pGRF at drop jump landing (r = 0.68) and the hopping distance after the triple crossover hops (r = 0.71, each p &lt; .05). No other significant correlation occurred (p &gt; .05). Hopping distance after single leg hops (mean: 110.2 cm vs. 95.5 cm) and triple crossover hops for distance (mean: 315.3 cm vs. 294.2 cm) showed significant differences between the unaffected and the reconstructed leg (p &lt; .05). Other parameters showed no significant between-legs differences (p &gt; .05). INTERPRETATION Both, the reconstructed and the contralateral leg seems to be affected. Unanticipated jump landing tasks deliver information beyond those of commonly used jump and hop tests, the thereby assessed abilities may thus be a complementary aspect of dynamic knee function than those assessed with classic tests.","container-title":"Clinical biomechanics (Bristol, Avon)","DOI":"10.1016/j.clinbiomech.2019.08.003","ISSN":"1879-1271","page":"72-79","PMID":"31408765","title":"Unanticipated jump-landing after anterior cruciate ligament reconstruction: Does unanticipated jump-landing testing deliver additional return to sport information to traditional jump performance tests?","volume":"70","author":[{"family":"Niemeyer","given":"Philipp"},{"family":"Niederer","given":"Daniel"},{"family":"Giesche","given":"Florian"},{"family":"Janko","given":"Maren"},{"family":"Frank","given":"Johannes"},{"family":"Vogt","given":"Lutz"},{"family":"Banzer","given":"Winfried"}],"issued":{"date-parts":[["2019",10]]}}}],"schema":"https://github.com/citation-style-language/schema/raw/master/csl-citation.json"} </w:instrText>
      </w:r>
      <w:r w:rsidR="00B24EF2">
        <w:rPr>
          <w:lang w:val="en-US"/>
        </w:rPr>
        <w:fldChar w:fldCharType="separate"/>
      </w:r>
      <w:r w:rsidR="006F0364" w:rsidRPr="006F0364">
        <w:rPr>
          <w:rFonts w:ascii="Aptos" w:hAnsi="Aptos" w:cs="Times New Roman"/>
          <w:kern w:val="0"/>
          <w:vertAlign w:val="superscript"/>
          <w:lang w:val="en-US"/>
        </w:rPr>
        <w:t>15,16</w:t>
      </w:r>
      <w:r w:rsidR="00B24EF2">
        <w:rPr>
          <w:lang w:val="en-US"/>
        </w:rPr>
        <w:fldChar w:fldCharType="end"/>
      </w:r>
      <w:r w:rsidR="00D6535A">
        <w:rPr>
          <w:lang w:val="en-US"/>
        </w:rPr>
        <w:t xml:space="preserve">. </w:t>
      </w:r>
    </w:p>
    <w:p w14:paraId="22F7FF7F" w14:textId="51FA4A6C" w:rsidR="004908EB" w:rsidRDefault="00FC7EC4" w:rsidP="00C03B4D">
      <w:pPr>
        <w:spacing w:line="360" w:lineRule="auto"/>
        <w:jc w:val="both"/>
        <w:rPr>
          <w:lang w:val="en-US"/>
        </w:rPr>
      </w:pPr>
      <w:r>
        <w:rPr>
          <w:lang w:val="en-US"/>
        </w:rPr>
        <w:t>Although</w:t>
      </w:r>
      <w:r w:rsidR="00185472">
        <w:rPr>
          <w:lang w:val="en-US"/>
        </w:rPr>
        <w:t xml:space="preserve"> </w:t>
      </w:r>
      <w:r w:rsidR="00820055">
        <w:rPr>
          <w:lang w:val="en-US"/>
        </w:rPr>
        <w:t xml:space="preserve">cognitive </w:t>
      </w:r>
      <w:r w:rsidR="0062768F">
        <w:rPr>
          <w:lang w:val="en-US"/>
        </w:rPr>
        <w:t>stimul</w:t>
      </w:r>
      <w:r w:rsidR="0024779E">
        <w:rPr>
          <w:lang w:val="en-US"/>
        </w:rPr>
        <w:t>i</w:t>
      </w:r>
      <w:r w:rsidR="0062768F">
        <w:rPr>
          <w:lang w:val="en-US"/>
        </w:rPr>
        <w:t xml:space="preserve"> </w:t>
      </w:r>
      <w:r w:rsidR="00820055">
        <w:rPr>
          <w:lang w:val="en-US"/>
        </w:rPr>
        <w:t>are believed and purposely implemented</w:t>
      </w:r>
      <w:r w:rsidR="00820055" w:rsidRPr="00BF76CF">
        <w:rPr>
          <w:lang w:val="en-US"/>
        </w:rPr>
        <w:t xml:space="preserve"> </w:t>
      </w:r>
      <w:r w:rsidR="00820055">
        <w:rPr>
          <w:lang w:val="en-US"/>
        </w:rPr>
        <w:t xml:space="preserve">to </w:t>
      </w:r>
      <w:r w:rsidR="00A15E51" w:rsidRPr="00BF76CF">
        <w:rPr>
          <w:lang w:val="en-US"/>
        </w:rPr>
        <w:t xml:space="preserve">increase </w:t>
      </w:r>
      <w:r w:rsidR="00A15E51">
        <w:rPr>
          <w:lang w:val="en-US"/>
        </w:rPr>
        <w:t xml:space="preserve">cognitive-motor demands, </w:t>
      </w:r>
      <w:r w:rsidR="0062768F" w:rsidRPr="00BF76CF">
        <w:rPr>
          <w:lang w:val="en-US"/>
        </w:rPr>
        <w:t>affect</w:t>
      </w:r>
      <w:r w:rsidR="00A15E51">
        <w:rPr>
          <w:lang w:val="en-US"/>
        </w:rPr>
        <w:t>ing</w:t>
      </w:r>
      <w:r w:rsidR="0062768F" w:rsidRPr="00BF76CF">
        <w:rPr>
          <w:lang w:val="en-US"/>
        </w:rPr>
        <w:t xml:space="preserve"> movement </w:t>
      </w:r>
      <w:r w:rsidR="00820055">
        <w:rPr>
          <w:lang w:val="en-US"/>
        </w:rPr>
        <w:t>outcomes</w:t>
      </w:r>
      <w:r w:rsidR="00820055" w:rsidRPr="00BF76CF">
        <w:rPr>
          <w:lang w:val="en-US"/>
        </w:rPr>
        <w:t xml:space="preserve"> </w:t>
      </w:r>
      <w:r w:rsidR="0062768F" w:rsidRPr="00BF76CF">
        <w:rPr>
          <w:lang w:val="en-US"/>
        </w:rPr>
        <w:t>and</w:t>
      </w:r>
      <w:r w:rsidR="00A15E51">
        <w:rPr>
          <w:lang w:val="en-US"/>
        </w:rPr>
        <w:t>,</w:t>
      </w:r>
      <w:r w:rsidR="0062768F" w:rsidRPr="00BF76CF">
        <w:rPr>
          <w:lang w:val="en-US"/>
        </w:rPr>
        <w:t xml:space="preserve"> </w:t>
      </w:r>
      <w:r w:rsidR="00A15E51">
        <w:rPr>
          <w:lang w:val="en-US"/>
        </w:rPr>
        <w:t xml:space="preserve">as a consequence, </w:t>
      </w:r>
      <w:r w:rsidR="00820055">
        <w:rPr>
          <w:lang w:val="en-US"/>
        </w:rPr>
        <w:t xml:space="preserve">the </w:t>
      </w:r>
      <w:r w:rsidR="0062768F" w:rsidRPr="00BF76CF">
        <w:rPr>
          <w:lang w:val="en-US"/>
        </w:rPr>
        <w:t>number of errors</w:t>
      </w:r>
      <w:r w:rsidR="00820055">
        <w:rPr>
          <w:lang w:val="en-US"/>
        </w:rPr>
        <w:t xml:space="preserve"> or suboptimal patterns</w:t>
      </w:r>
      <w:r w:rsidR="0062768F" w:rsidRPr="00BF76CF">
        <w:rPr>
          <w:lang w:val="en-US"/>
        </w:rPr>
        <w:t xml:space="preserve">, </w:t>
      </w:r>
      <w:r w:rsidR="00820055">
        <w:rPr>
          <w:lang w:val="en-US"/>
        </w:rPr>
        <w:t xml:space="preserve">to our knowledge, </w:t>
      </w:r>
      <w:r w:rsidR="00632C39" w:rsidRPr="00632C39">
        <w:rPr>
          <w:lang w:val="en-US"/>
        </w:rPr>
        <w:t>the vast majority of</w:t>
      </w:r>
      <w:r w:rsidR="0062768F" w:rsidRPr="00BF76CF">
        <w:rPr>
          <w:lang w:val="en-US"/>
        </w:rPr>
        <w:t xml:space="preserve"> studies </w:t>
      </w:r>
      <w:r w:rsidR="00A15E51">
        <w:rPr>
          <w:lang w:val="en-US"/>
        </w:rPr>
        <w:t xml:space="preserve">have </w:t>
      </w:r>
      <w:r w:rsidR="00BF76CF" w:rsidRPr="00BF76CF">
        <w:rPr>
          <w:lang w:val="en-US"/>
        </w:rPr>
        <w:t>focused</w:t>
      </w:r>
      <w:r w:rsidR="0062768F" w:rsidRPr="00BF76CF">
        <w:rPr>
          <w:lang w:val="en-US"/>
        </w:rPr>
        <w:t xml:space="preserve"> </w:t>
      </w:r>
      <w:r w:rsidR="00BF76CF" w:rsidRPr="00BF76CF">
        <w:rPr>
          <w:lang w:val="en-US"/>
        </w:rPr>
        <w:t xml:space="preserve">exclusively </w:t>
      </w:r>
      <w:r w:rsidR="00BF76CF">
        <w:rPr>
          <w:lang w:val="en-US"/>
        </w:rPr>
        <w:t xml:space="preserve">on </w:t>
      </w:r>
      <w:r w:rsidR="00820055">
        <w:rPr>
          <w:lang w:val="en-US"/>
        </w:rPr>
        <w:t xml:space="preserve">analyzing </w:t>
      </w:r>
      <w:r w:rsidR="0062768F">
        <w:rPr>
          <w:lang w:val="en-US"/>
        </w:rPr>
        <w:t xml:space="preserve">the biomechanics of </w:t>
      </w:r>
      <w:r w:rsidR="00820055">
        <w:rPr>
          <w:lang w:val="en-US"/>
        </w:rPr>
        <w:t xml:space="preserve">what researchers </w:t>
      </w:r>
      <w:r w:rsidR="00A15E51">
        <w:rPr>
          <w:lang w:val="en-US"/>
        </w:rPr>
        <w:t xml:space="preserve">usually </w:t>
      </w:r>
      <w:r w:rsidR="00820055">
        <w:rPr>
          <w:lang w:val="en-US"/>
        </w:rPr>
        <w:t>consider “</w:t>
      </w:r>
      <w:r w:rsidR="00BF76CF">
        <w:rPr>
          <w:lang w:val="en-US"/>
        </w:rPr>
        <w:t>successful</w:t>
      </w:r>
      <w:r w:rsidR="00820055">
        <w:rPr>
          <w:lang w:val="en-US"/>
        </w:rPr>
        <w:t>”</w:t>
      </w:r>
      <w:r w:rsidR="0062768F">
        <w:rPr>
          <w:lang w:val="en-US"/>
        </w:rPr>
        <w:t xml:space="preserve"> </w:t>
      </w:r>
      <w:r w:rsidR="00820055">
        <w:rPr>
          <w:lang w:val="en-US"/>
        </w:rPr>
        <w:t>or “</w:t>
      </w:r>
      <w:r w:rsidR="00BF76CF">
        <w:rPr>
          <w:lang w:val="en-US"/>
        </w:rPr>
        <w:t>valid</w:t>
      </w:r>
      <w:r w:rsidR="00820055">
        <w:rPr>
          <w:lang w:val="en-US"/>
        </w:rPr>
        <w:t>”</w:t>
      </w:r>
      <w:r w:rsidR="00BF76CF">
        <w:rPr>
          <w:lang w:val="en-US"/>
        </w:rPr>
        <w:t xml:space="preserve"> </w:t>
      </w:r>
      <w:r w:rsidR="0062768F">
        <w:rPr>
          <w:lang w:val="en-US"/>
        </w:rPr>
        <w:t>trials</w:t>
      </w:r>
      <w:r w:rsidR="00C15104" w:rsidRPr="00F3612F">
        <w:rPr>
          <w:lang w:val="en-US"/>
        </w:rPr>
        <w:fldChar w:fldCharType="begin"/>
      </w:r>
      <w:r w:rsidR="006F0364">
        <w:rPr>
          <w:lang w:val="en-US"/>
        </w:rPr>
        <w:instrText xml:space="preserve"> ADDIN ZOTERO_ITEM CSL_CITATION {"citationID":"cpEnxW0T","properties":{"formattedCitation":"\\super 10,17\\nosupersub{}","plainCitation":"10,17","noteIndex":0},"citationItems":[{"id":405,"uris":["http://zotero.org/users/18623031/items/IJ65AQAT"],"itemData":{"id":405,"type":"article-journal","abstract":"BACKGROUND Physical fatigue and cognitive performance have been suggested as risk factors for an anterior cruciate ligament (ACL) injury, and fatigue has also been demonstrated to reduce cognitive processing. The combined effects of fatigue and lower cognitive function during cognitive-challenging movements may increase knee mechanics associated with the ACL injury risk. HYPOTHESES We hypothesized that (1) knee mechanics would be detrimentally affected by fatigue and associated with baseline cognitive function and (2) fatigue-induced deleterious changes in cognitive performance and knee mechanics would be correlated. STUDY DESIGN Descriptive laboratory study. METHODS A total of 22 athletes completed baseline cognitive testing. After performing maximal vertical jumps, they performed a jump-land-jump task based on unanticipated visual cues. Then, they completed a fatigue protocol including countermovement jumps, among other tasks, until the jump height decreased below 90% of their assessed maximum. Immediately after reaching the first fatigue point, they performed another set of jump-landing tasks, followed by repeating the fatigue protocol until the jump height decreased below 85% of their assessed maximum. After reaching the second fatigue point, they performed a final set of jump-landing tasks and repeated the initial cognitive assessment battery. RESULTS Mixed-effects models revealed that knee flexion decreased through the fatigue protocol (baseline: 61.8°; midpoint: 61.1°; final: 60.1°; P = .003). Stepwise regression showed that fatigue-worsened attentional control corresponded to smaller knee abduction angles (R2adjusted = 51.68%; βstandardized = 1.16; P = .001), and worse reaction time after fatigue correlated with increased knee abduction angles (βstandardized = 0.85; P = .006) after accounting for the role of attentional control. CONCLUSION Fatigue induced incremental modifications in sagittal-plane knee mechanics during an unanticipated sports movement. In addition, fatigue induced changes in cognitive function related to ACL injury-relevant knee mechanics. CLINICAL RELEVANCE The novel findings regarding fatigue-dependent changes in injury-relevant biomechanics during cognitively challenging movements represent an extension of recent developments in understanding the role of cognition in the ACL injury risk.","container-title":"The American journal of sports medicine","DOI":"10.1177/03635465231180612","ISSN":"1552-3365","issue":"10","page":"2740-2747","PMID":"37345283","title":"Influence of Fatigue on Cognitive-Motor Function During Unanticipated Landings.","volume":"51","author":[{"family":"Bertozzi","given":"Filippo"},{"family":"Fischer","given":"Patrick D."},{"family":"Aflatounian","given":"Fatemeh"},{"family":"Hutchison","given":"Keith A."},{"family":"Sforza","given":"Chiarella"},{"family":"Monfort","given":"Scott M."}],"issued":{"date-parts":[["2023",8]]}}},{"id":81,"uris":["http://zotero.org/users/18623031/items/8JEE4682"],"itemData":{"id":81,"type":"article-journal","container-title":"British Journal of Sports Medicine","DOI":"10.1136/bjsm.2008.055954","ISSN":"0306-3674","issue":"13","page":"1049-1056","title":"Sex and limb differences in hip and knee kinematics and kinetics during anticipated and unanticipated jump landings: implications for anterior cruciate ligament injury","volume":"43","author":[{"family":"Brown","given":"T. N."},{"family":"Palmieri-Smith","given":"R. M."},{"family":"McLean","given":"S. G."}],"issued":{"date-parts":[["2009",10]]}}}],"schema":"https://github.com/citation-style-language/schema/raw/master/csl-citation.json"} </w:instrText>
      </w:r>
      <w:r w:rsidR="00C15104" w:rsidRPr="00F3612F">
        <w:rPr>
          <w:lang w:val="en-US"/>
        </w:rPr>
        <w:fldChar w:fldCharType="separate"/>
      </w:r>
      <w:r w:rsidR="006F0364" w:rsidRPr="006F0364">
        <w:rPr>
          <w:rFonts w:ascii="Aptos" w:hAnsi="Aptos" w:cs="Times New Roman"/>
          <w:kern w:val="0"/>
          <w:vertAlign w:val="superscript"/>
          <w:lang w:val="en-US"/>
        </w:rPr>
        <w:t>10,17</w:t>
      </w:r>
      <w:r w:rsidR="00C15104" w:rsidRPr="00F3612F">
        <w:rPr>
          <w:lang w:val="en-US"/>
        </w:rPr>
        <w:fldChar w:fldCharType="end"/>
      </w:r>
      <w:r w:rsidR="00820055">
        <w:rPr>
          <w:lang w:val="en-US"/>
        </w:rPr>
        <w:t xml:space="preserve">. In this case, task execution and </w:t>
      </w:r>
      <w:r w:rsidR="005F4FB2">
        <w:rPr>
          <w:lang w:val="en-US"/>
        </w:rPr>
        <w:t>motor pattern</w:t>
      </w:r>
      <w:r w:rsidR="00CC566C">
        <w:rPr>
          <w:lang w:val="en-US"/>
        </w:rPr>
        <w:t>s</w:t>
      </w:r>
      <w:r w:rsidR="005F4FB2">
        <w:rPr>
          <w:lang w:val="en-US"/>
        </w:rPr>
        <w:t xml:space="preserve"> could be considered optimal, </w:t>
      </w:r>
      <w:r w:rsidR="0062768F">
        <w:rPr>
          <w:lang w:val="en-US"/>
        </w:rPr>
        <w:t>although invalid trials</w:t>
      </w:r>
      <w:r w:rsidR="00820055">
        <w:rPr>
          <w:lang w:val="en-US"/>
        </w:rPr>
        <w:t>, often discarded,</w:t>
      </w:r>
      <w:r w:rsidR="0062768F">
        <w:rPr>
          <w:lang w:val="en-US"/>
        </w:rPr>
        <w:t xml:space="preserve"> might </w:t>
      </w:r>
      <w:r w:rsidR="00820055">
        <w:rPr>
          <w:lang w:val="en-US"/>
        </w:rPr>
        <w:t xml:space="preserve">provide </w:t>
      </w:r>
      <w:r w:rsidR="002165AC" w:rsidRPr="002165AC">
        <w:rPr>
          <w:lang w:val="en-US"/>
        </w:rPr>
        <w:t>a more representative characterization</w:t>
      </w:r>
      <w:r w:rsidR="002165AC">
        <w:rPr>
          <w:lang w:val="en-US"/>
        </w:rPr>
        <w:t xml:space="preserve"> of an</w:t>
      </w:r>
      <w:r w:rsidR="0062768F">
        <w:rPr>
          <w:lang w:val="en-US"/>
        </w:rPr>
        <w:t xml:space="preserve"> athlete’s exposure to injury</w:t>
      </w:r>
      <w:r w:rsidR="00FC6E55">
        <w:rPr>
          <w:lang w:val="en-US"/>
        </w:rPr>
        <w:t xml:space="preserve"> risk</w:t>
      </w:r>
      <w:r w:rsidR="00820055">
        <w:rPr>
          <w:lang w:val="en-US"/>
        </w:rPr>
        <w:t xml:space="preserve">, which indeed often arises from </w:t>
      </w:r>
      <w:r w:rsidR="00FC6E55">
        <w:rPr>
          <w:lang w:val="en-US"/>
        </w:rPr>
        <w:t xml:space="preserve">suboptimal </w:t>
      </w:r>
      <w:r w:rsidR="00820055">
        <w:rPr>
          <w:lang w:val="en-US"/>
        </w:rPr>
        <w:t>motor planning</w:t>
      </w:r>
      <w:r w:rsidR="00AE56B7">
        <w:rPr>
          <w:lang w:val="en-US"/>
        </w:rPr>
        <w:t xml:space="preserve"> and </w:t>
      </w:r>
      <w:r w:rsidR="00820055">
        <w:rPr>
          <w:lang w:val="en-US"/>
        </w:rPr>
        <w:t>execution errors</w:t>
      </w:r>
      <w:r w:rsidR="008362FF">
        <w:rPr>
          <w:lang w:val="en-US"/>
        </w:rPr>
        <w:fldChar w:fldCharType="begin"/>
      </w:r>
      <w:r w:rsidR="006F0364">
        <w:rPr>
          <w:lang w:val="en-US"/>
        </w:rPr>
        <w:instrText xml:space="preserve"> ADDIN ZOTERO_ITEM CSL_CITATION {"citationID":"ORqYfkNq","properties":{"formattedCitation":"\\super 9\\nosupersub{}","plainCitation":"9","noteIndex":0},"citationItems":[{"id":333,"uris":["http://zotero.org/users/18623031/items/R9QDXRR2"],"itemData":{"id":333,"type":"article-journal","abstract":"CONTEXT Evidence is emerging that core neurocognitive functions such as working memory and inhibitory control (ie, motor-response and attentional inhibition) are linked to the anterior cruciate ligament (ACL) injury risk. Research has been conducted in laboratory settings, but the contribution of neurocognition to actual ACL injuries under real-world conditions is unknown. OBJECTIVE To describe the possible neurocognitive errors involved in noncontact ACL injury mechanisms. DESIGN Case series. SETTING Soccer matches. PATIENTS OR OTHER PARTICIPANTS A total of 47 professional male soccer players. MAIN OUTCOME MEASURE(S) Three independent reviewers evaluated 47 videos of players sustaining noncontact ACL injuries. Neurocognitive errors in inhibitory control were operationalized as follows: (1) motor-response inhibition was scored when a player demonstrated poor decision-making and approached the opponent with high speed that reduced the ability to stop or change the intended action and (2) an attentional error was scored when a player shifted his selective attention away from the relevant task to irrelevant stimuli. RESULTS Of 47 noncontact ACL injuries, 26 (55%) were related to a pressing-type injury, 19 (73%) of which involved a deceiving action made by the opponent, suggesting poor inhibitory control of the defender. Of the remaining 21 noncontact ACL injuries (45%), 16 (76%) could be attributed to attentional errors. Agreement among the 3 raters was very good for all items except poor decision-making, which showed fair to good agreement (Fleiss κ = 0.71). Interrater reliability was excellent (intraclass correlation coefficient = 0.99-1.00). CONCLUSIONS Errors in motor-response inhibitory control and attentional inhibition were common during noncontact ACL injury events in professional male soccer players. The interrater agreement in detecting neurocognitive errors in general was very good.","container-title":"Journal of athletic training","DOI":"10.4085/1062-6050-0209.22","ISSN":"1938-162X","issue":"3","page":"262-269","PMID":"37248515","title":"Neurocognitive Errors and Noncontact Anterior Cruciate Ligament Injuries in Professional Male Soccer Players.","volume":"59","author":[{"family":"Gokeler","given":"Alli"},{"family":"Tosarelli","given":"Filippo"},{"family":"Buckthorpe","given":"Matthew"},{"family":"Villa","given":"Francesco Della"}],"issued":{"date-parts":[["2024",10]]}}}],"schema":"https://github.com/citation-style-language/schema/raw/master/csl-citation.json"} </w:instrText>
      </w:r>
      <w:r w:rsidR="008362FF">
        <w:rPr>
          <w:lang w:val="en-US"/>
        </w:rPr>
        <w:fldChar w:fldCharType="separate"/>
      </w:r>
      <w:r w:rsidR="006F0364" w:rsidRPr="006F0364">
        <w:rPr>
          <w:rFonts w:ascii="Aptos" w:hAnsi="Aptos" w:cs="Times New Roman"/>
          <w:kern w:val="0"/>
          <w:vertAlign w:val="superscript"/>
          <w:lang w:val="en-US"/>
        </w:rPr>
        <w:t>9</w:t>
      </w:r>
      <w:r w:rsidR="008362FF">
        <w:rPr>
          <w:lang w:val="en-US"/>
        </w:rPr>
        <w:fldChar w:fldCharType="end"/>
      </w:r>
      <w:r w:rsidR="0062768F">
        <w:rPr>
          <w:lang w:val="en-US"/>
        </w:rPr>
        <w:t xml:space="preserve">. </w:t>
      </w:r>
      <w:r w:rsidR="00820055">
        <w:rPr>
          <w:lang w:val="en-US"/>
        </w:rPr>
        <w:t>However, o</w:t>
      </w:r>
      <w:r w:rsidR="004908EB" w:rsidRPr="004908EB">
        <w:rPr>
          <w:lang w:val="en-US"/>
        </w:rPr>
        <w:t xml:space="preserve">nly a few studies have included </w:t>
      </w:r>
      <w:r w:rsidR="00562F3A">
        <w:rPr>
          <w:lang w:val="en-US"/>
        </w:rPr>
        <w:t xml:space="preserve">a notational </w:t>
      </w:r>
      <w:r w:rsidR="004908EB" w:rsidRPr="004908EB">
        <w:rPr>
          <w:lang w:val="en-US"/>
        </w:rPr>
        <w:t>analysis of invalid trials</w:t>
      </w:r>
      <w:r w:rsidR="004908EB">
        <w:rPr>
          <w:lang w:val="en-US"/>
        </w:rPr>
        <w:fldChar w:fldCharType="begin"/>
      </w:r>
      <w:r w:rsidR="006F0364">
        <w:rPr>
          <w:lang w:val="en-US"/>
        </w:rPr>
        <w:instrText xml:space="preserve"> ADDIN ZOTERO_ITEM CSL_CITATION {"citationID":"cXJr5OvB","properties":{"formattedCitation":"\\super 18,19\\nosupersub{}","plainCitation":"18,19","noteIndex":0},"citationItems":[{"id":588,"uris":["http://zotero.org/users/18623031/items/SUIITR3P"],"itemData":{"id":588,"type":"article-journal","abstract":"Objectives: Cognitive skills such as working memory or inhibitory control are suggested to have an impact on injury risk during time-constrained athletic movements. Thus, the aim of this study was to gain further insights into the cognitive processes associated with biomechanical stability in unplanned jump-landings. Design: Cross-sectional.\nMethods: Twenty male participants (27 ± 4 years) performed 70 counter-movement jumps with single-leg landings on a pressure plate. Equally balanced and in randomized order, these were to be performed either planned (landing leg indicated before take-off) or unplanned (visual cue during ﬂight). Biomechanical stability was estimated from vertical peak ground reaction force (pGRF), time to stabilization (TTS), center of pressure path length (COP), and the number of standing errors (ground touch with free leg). In addition, decision-making was assessed as the amount of landing errors (wrong/both feet) in the unplanned condition. Cognitiive function was measured using computerized as well as pen-and-paper-testing.\nResults: Unplanned landings produced higher COP values (p &lt; 0.001, d = 1.1) and more standing errors (p &lt; 0.001, d = 0.9) than the pre-planned condition. Decreased postural stability (COP) was related to lower inhibitory control (p = 0.036, r = 0.48). There was a correlation between the increase in standing errors and better cognitive ﬂexibility/working memory (p = 0.037, r = −0.48) and short-term memory (p = 0.028, r = 0.50). The opposite was found for the unplanned landing errors: poor decision-making was associated with deﬁcits in cognitive ﬂexibility/working memory (p = 0.022, r = 0.54) and short-term memory (p = 0.019, r = −0.55).\nConclusions: Cognitive function may be an important, but under-researched moderator of unplanned jump-landing safety. Further research should elucidate the development of training methods aiming to improve movement-related decision-making and landing stability under time constraints.","container-title":"Journal of Science and Medicine in Sport","DOI":"10.1016/j.jsams.2019.09.003","ISSN":"14402440","issue":"1","journalAbbreviation":"Journal of Science and Medicine in Sport","language":"en","page":"82-88","source":"DOI.org (Crossref)","title":"Are biomechanical stability deficits during unplanned single-leg landings related to specific markers of cognitive function?","volume":"23","author":[{"family":"Giesche","given":"Florian"},{"family":"Wilke","given":"Jan"},{"family":"Engeroff","given":"Tobias"},{"family":"Niederer","given":"Daniel"},{"family":"Hohmann","given":"Helena"},{"family":"Vogt","given":"Lutz"},{"family":"Banzer","given":"Winfried"}],"issued":{"date-parts":[["2020",1]]}}},{"id":339,"uris":["http://zotero.org/users/18623031/items/BMKIJNGC"],"itemData":{"id":339,"type":"article-journal","abstract":"&lt;p&gt;The purpose of this investigation was to compare neuromuscular control variables during successful and failed jump landings in multiple directions (sagittal, diagonal, and lateral). All data were collected during a single leg hop stabilization maneuver, which required subjects to stand 70 cm from the center of a force plate, jump off both legs, touch a designated marker placed at a height equivalent to 50% of their maximum vertical jump, and land on a single leg for all directions. Twenty</w:instrText>
      </w:r>
      <w:r w:rsidR="006F0364">
        <w:rPr>
          <w:rFonts w:ascii="Cambria Math" w:hAnsi="Cambria Math" w:cs="Cambria Math"/>
          <w:lang w:val="en-US"/>
        </w:rPr>
        <w:instrText>‐</w:instrText>
      </w:r>
      <w:r w:rsidR="006F0364">
        <w:rPr>
          <w:lang w:val="en-US"/>
        </w:rPr>
        <w:instrText>six subjects [10 males (22</w:instrText>
      </w:r>
      <w:r w:rsidR="006F0364">
        <w:rPr>
          <w:rFonts w:ascii="Aptos" w:hAnsi="Aptos" w:cs="Aptos"/>
          <w:lang w:val="en-US"/>
        </w:rPr>
        <w:instrText>±</w:instrText>
      </w:r>
      <w:r w:rsidR="006F0364">
        <w:rPr>
          <w:lang w:val="en-US"/>
        </w:rPr>
        <w:instrText>3.9 years of age, 70.9</w:instrText>
      </w:r>
      <w:r w:rsidR="006F0364">
        <w:rPr>
          <w:rFonts w:ascii="Aptos" w:hAnsi="Aptos" w:cs="Aptos"/>
          <w:lang w:val="en-US"/>
        </w:rPr>
        <w:instrText>±</w:instrText>
      </w:r>
      <w:r w:rsidR="006F0364">
        <w:rPr>
          <w:lang w:val="en-US"/>
        </w:rPr>
        <w:instrText>7.6 kg, and 176.8</w:instrText>
      </w:r>
      <w:r w:rsidR="006F0364">
        <w:rPr>
          <w:rFonts w:ascii="Aptos" w:hAnsi="Aptos" w:cs="Aptos"/>
          <w:lang w:val="en-US"/>
        </w:rPr>
        <w:instrText>±</w:instrText>
      </w:r>
      <w:r w:rsidR="006F0364">
        <w:rPr>
          <w:lang w:val="en-US"/>
        </w:rPr>
        <w:instrText>0.5 cm) and 16 females (20.6</w:instrText>
      </w:r>
      <w:r w:rsidR="006F0364">
        <w:rPr>
          <w:rFonts w:ascii="Aptos" w:hAnsi="Aptos" w:cs="Aptos"/>
          <w:lang w:val="en-US"/>
        </w:rPr>
        <w:instrText>±</w:instrText>
      </w:r>
      <w:r w:rsidR="006F0364">
        <w:rPr>
          <w:lang w:val="en-US"/>
        </w:rPr>
        <w:instrText>0.5 years of age, 65.6</w:instrText>
      </w:r>
      <w:r w:rsidR="006F0364">
        <w:rPr>
          <w:rFonts w:ascii="Aptos" w:hAnsi="Aptos" w:cs="Aptos"/>
          <w:lang w:val="en-US"/>
        </w:rPr>
        <w:instrText>±</w:instrText>
      </w:r>
      <w:r w:rsidR="006F0364">
        <w:rPr>
          <w:lang w:val="en-US"/>
        </w:rPr>
        <w:instrText>9.1 kg, and 166.4</w:instrText>
      </w:r>
      <w:r w:rsidR="006F0364">
        <w:rPr>
          <w:rFonts w:ascii="Aptos" w:hAnsi="Aptos" w:cs="Aptos"/>
          <w:lang w:val="en-US"/>
        </w:rPr>
        <w:instrText>±</w:instrText>
      </w:r>
      <w:r w:rsidR="006F0364">
        <w:rPr>
          <w:lang w:val="en-US"/>
        </w:rPr>
        <w:instrText>5.9 cm)] volunteered to participate in this investigation. Muscle activation times, average preparatory, and reactive electromyographic (EMG) amplitudes were calculated for the vastus medialis, semi</w:instrText>
      </w:r>
      <w:r w:rsidR="006F0364">
        <w:rPr>
          <w:rFonts w:ascii="Cambria Math" w:hAnsi="Cambria Math" w:cs="Cambria Math"/>
          <w:lang w:val="en-US"/>
        </w:rPr>
        <w:instrText>‐</w:instrText>
      </w:r>
      <w:r w:rsidR="006F0364">
        <w:rPr>
          <w:lang w:val="en-US"/>
        </w:rPr>
        <w:instrText xml:space="preserve">membranosis, lateral gastrocnemius, and tibialis anterior. EMG data revealed that successful jump landing trials had earlier activation times and higher preparatory and reactive EMG amplitudes. There was no difference for EMG activation times or amplitudes among directions. The results indicate neuromuscular control differences between successful and failed trials because of earlier muscle onset and greater amplitude. The results also suggest that in a healthy population, the direction of the jump protocol will not affect lower extremity EMG characteristics.&lt;/p&gt;","container-title":"Scandinavian Journal of Medicine &amp; Science in Sports","DOI":"10.1111/j.1600-0838.2006.00629.x","ISSN":"0905-7188","issue":"1","page":"55-61","title":"Failed jump landing trials: deficits in neuromuscular control","volume":"18","author":[{"family":"Wikstrom","given":"E. A."},{"family":"Tillman","given":"M. D."},{"family":"Schenker","given":"S."},{"family":"Borsa","given":"P. A."}],"issued":{"date-parts":[["2008",10]]}}}],"schema":"https://github.com/citation-style-language/schema/raw/master/csl-citation.json"} </w:instrText>
      </w:r>
      <w:r w:rsidR="004908EB">
        <w:rPr>
          <w:lang w:val="en-US"/>
        </w:rPr>
        <w:fldChar w:fldCharType="separate"/>
      </w:r>
      <w:r w:rsidR="006F0364" w:rsidRPr="006F0364">
        <w:rPr>
          <w:rFonts w:ascii="Aptos" w:hAnsi="Aptos" w:cs="Times New Roman"/>
          <w:kern w:val="0"/>
          <w:vertAlign w:val="superscript"/>
          <w:lang w:val="en-US"/>
        </w:rPr>
        <w:t>18,19</w:t>
      </w:r>
      <w:r w:rsidR="004908EB">
        <w:rPr>
          <w:lang w:val="en-US"/>
        </w:rPr>
        <w:fldChar w:fldCharType="end"/>
      </w:r>
      <w:r w:rsidR="004908EB" w:rsidRPr="004908EB">
        <w:rPr>
          <w:lang w:val="en-US"/>
        </w:rPr>
        <w:t xml:space="preserve">, and </w:t>
      </w:r>
      <w:r w:rsidR="009A1A0E">
        <w:rPr>
          <w:lang w:val="en-US"/>
        </w:rPr>
        <w:t>very limited evidence is available</w:t>
      </w:r>
      <w:r w:rsidR="009A1A0E" w:rsidRPr="004908EB">
        <w:rPr>
          <w:lang w:val="en-US"/>
        </w:rPr>
        <w:t xml:space="preserve"> </w:t>
      </w:r>
      <w:r w:rsidR="009A1A0E">
        <w:rPr>
          <w:lang w:val="en-US"/>
        </w:rPr>
        <w:t>regarding</w:t>
      </w:r>
      <w:r w:rsidR="004908EB" w:rsidRPr="004908EB">
        <w:rPr>
          <w:lang w:val="en-US"/>
        </w:rPr>
        <w:t xml:space="preserve"> their biomechanics </w:t>
      </w:r>
      <w:r w:rsidR="00820055">
        <w:rPr>
          <w:lang w:val="en-US"/>
        </w:rPr>
        <w:t>relative</w:t>
      </w:r>
      <w:r w:rsidR="004908EB" w:rsidRPr="004908EB">
        <w:rPr>
          <w:lang w:val="en-US"/>
        </w:rPr>
        <w:t xml:space="preserve"> </w:t>
      </w:r>
      <w:r w:rsidR="00820055">
        <w:rPr>
          <w:lang w:val="en-US"/>
        </w:rPr>
        <w:t>to</w:t>
      </w:r>
      <w:r w:rsidR="004908EB" w:rsidRPr="00C06520">
        <w:rPr>
          <w:lang w:val="en-US"/>
        </w:rPr>
        <w:t xml:space="preserve"> valid trials</w:t>
      </w:r>
      <w:r w:rsidR="00C06520" w:rsidRPr="00C06520">
        <w:rPr>
          <w:lang w:val="en-US"/>
        </w:rPr>
        <w:fldChar w:fldCharType="begin"/>
      </w:r>
      <w:r w:rsidR="006F0364">
        <w:rPr>
          <w:lang w:val="en-US"/>
        </w:rPr>
        <w:instrText xml:space="preserve"> ADDIN ZOTERO_ITEM CSL_CITATION {"citationID":"v0Wluvde","properties":{"formattedCitation":"\\super 20\\nosupersub{}","plainCitation":"20","noteIndex":0},"citationItems":[{"id":235,"uris":["http://zotero.org/users/18623031/items/EZJC4XTW"],"itemData":{"id":235,"type":"article-journal","abstract":"The purpose of this study was to describe neuromuscular and kinematic differences during failed and successful drop-vertical jumps in a pediatric population. Healthy young athletes (n = 32) completed single-leg drop vertical jump landings where the required landing leg was unanticipated. Trials were categorized as failed if the participant shifted their base of support during the landing. Joint kinematics and muscle activation amplitudes were time normalized over the flight and landing phases. Statistical parametric mapping (SPM) was used to compare landings and a moving average convergence divergence oscillator was then calculated to determine where failed and successful waveforms began to diverge prior to reaching statistical significance. SPM determined that participants performed the failed trials with reduced pelvic tilt towards the landing limb during 41-69% of the flight phase, greater trunk flexion angle during 31-100% of the landing phase and greater trunk tilt away from the landing limb during 3-13% and 21-90% of the landing phase. Greater rectus femoris activation during the failed trials was identified during 88-100% of the flight phase, as well as 1-4% and 71-97% of the landing phase. Greater gluteus medius and biceps femoris activation was also identified in the failed trials during 54-72% and 76-89% of the landing phase respectively. These findings indicate that the control of proximal joints has an important role in determining if a participant will fail a landing; and that how athletes prepare for a landing may be more relevant than the kinematics following ground contact.","container-title":"Journal of biomechanics","DOI":"10.1016/j.jbiomech.2020.109879","ISSN":"1873-2380","page":"109879","PMID":"32807323","title":"Divergence analysis of failed and successful unanticipated single-leg landings reveals the importance of the flight phase and upper body biomechanics.","volume":"109","author":[{"family":"Romanchuk","given":"Nicholas J."},{"family":"Smale","given":"Kenneth B."},{"family":"Bel","given":"Michael J. Del"},{"family":"Benoit","given":"Daniel L."}],"issued":{"date-parts":[["2020",10]]}}}],"schema":"https://github.com/citation-style-language/schema/raw/master/csl-citation.json"} </w:instrText>
      </w:r>
      <w:r w:rsidR="00C06520" w:rsidRPr="00C06520">
        <w:rPr>
          <w:lang w:val="en-US"/>
        </w:rPr>
        <w:fldChar w:fldCharType="separate"/>
      </w:r>
      <w:r w:rsidR="006F0364" w:rsidRPr="006F0364">
        <w:rPr>
          <w:rFonts w:ascii="Aptos" w:hAnsi="Aptos" w:cs="Times New Roman"/>
          <w:kern w:val="0"/>
          <w:vertAlign w:val="superscript"/>
          <w:lang w:val="en-US"/>
        </w:rPr>
        <w:t>20</w:t>
      </w:r>
      <w:r w:rsidR="00C06520" w:rsidRPr="00C06520">
        <w:rPr>
          <w:lang w:val="en-US"/>
        </w:rPr>
        <w:fldChar w:fldCharType="end"/>
      </w:r>
      <w:r w:rsidR="004908EB" w:rsidRPr="00C06520">
        <w:rPr>
          <w:lang w:val="en-US"/>
        </w:rPr>
        <w:t>.</w:t>
      </w:r>
    </w:p>
    <w:p w14:paraId="57CAF0CD" w14:textId="212491F2" w:rsidR="00910244" w:rsidRPr="00556E6C" w:rsidRDefault="00CC566C" w:rsidP="004B4564">
      <w:pPr>
        <w:spacing w:line="360" w:lineRule="auto"/>
        <w:jc w:val="both"/>
        <w:rPr>
          <w:lang w:val="en-US"/>
        </w:rPr>
      </w:pPr>
      <w:r>
        <w:rPr>
          <w:lang w:val="en-US"/>
        </w:rPr>
        <w:t>Execution e</w:t>
      </w:r>
      <w:r w:rsidR="00A019E4" w:rsidRPr="00A019E4">
        <w:rPr>
          <w:lang w:val="en-US"/>
        </w:rPr>
        <w:t xml:space="preserve">rrors can arise </w:t>
      </w:r>
      <w:r w:rsidR="00AB2043">
        <w:rPr>
          <w:lang w:val="en-US"/>
        </w:rPr>
        <w:t>from</w:t>
      </w:r>
      <w:r w:rsidR="00A019E4" w:rsidRPr="00A019E4">
        <w:rPr>
          <w:lang w:val="en-US"/>
        </w:rPr>
        <w:t xml:space="preserve"> heterogeneous mechanisms, </w:t>
      </w:r>
      <w:r w:rsidR="00AB2043">
        <w:rPr>
          <w:lang w:val="en-US"/>
        </w:rPr>
        <w:t>making</w:t>
      </w:r>
      <w:r w:rsidR="00A019E4" w:rsidRPr="00A019E4">
        <w:rPr>
          <w:lang w:val="en-US"/>
        </w:rPr>
        <w:t xml:space="preserve"> the analysis of invalid trials challenging. Indeed, an invalid trial can be defined not only as a </w:t>
      </w:r>
      <w:r w:rsidR="007C1636">
        <w:rPr>
          <w:lang w:val="en-US"/>
        </w:rPr>
        <w:t xml:space="preserve">deviation from </w:t>
      </w:r>
      <w:r w:rsidR="00A019E4" w:rsidRPr="00A019E4">
        <w:rPr>
          <w:lang w:val="en-US"/>
        </w:rPr>
        <w:t>task requirements</w:t>
      </w:r>
      <w:r w:rsidR="007C1636">
        <w:rPr>
          <w:lang w:val="en-US"/>
        </w:rPr>
        <w:t xml:space="preserve"> (</w:t>
      </w:r>
      <w:r>
        <w:rPr>
          <w:lang w:val="en-US"/>
        </w:rPr>
        <w:t xml:space="preserve">a cognitive error as a </w:t>
      </w:r>
      <w:r w:rsidR="007C1636">
        <w:rPr>
          <w:lang w:val="en-US"/>
        </w:rPr>
        <w:t xml:space="preserve">failure of </w:t>
      </w:r>
      <w:r w:rsidR="00AB2043">
        <w:rPr>
          <w:lang w:val="en-US"/>
        </w:rPr>
        <w:t xml:space="preserve">the </w:t>
      </w:r>
      <w:r w:rsidR="007C1636">
        <w:rPr>
          <w:lang w:val="en-US"/>
        </w:rPr>
        <w:t>decision-making process)</w:t>
      </w:r>
      <w:r w:rsidR="00A019E4" w:rsidRPr="00A019E4">
        <w:rPr>
          <w:lang w:val="en-US"/>
        </w:rPr>
        <w:t xml:space="preserve">, but </w:t>
      </w:r>
      <w:r w:rsidR="003B57E4" w:rsidRPr="003B57E4">
        <w:rPr>
          <w:lang w:val="en-US"/>
        </w:rPr>
        <w:t>also as an incorrect movement execution</w:t>
      </w:r>
      <w:r>
        <w:rPr>
          <w:lang w:val="en-US"/>
        </w:rPr>
        <w:t xml:space="preserve"> (a motor error </w:t>
      </w:r>
      <w:r w:rsidR="00A15E51">
        <w:rPr>
          <w:lang w:val="en-US"/>
        </w:rPr>
        <w:t xml:space="preserve">as a failure of the movement planning process, </w:t>
      </w:r>
      <w:r>
        <w:rPr>
          <w:lang w:val="en-US"/>
        </w:rPr>
        <w:t>such as sliding, pivoting, or losing balance)</w:t>
      </w:r>
      <w:r w:rsidR="003B57E4" w:rsidRPr="003B57E4">
        <w:rPr>
          <w:lang w:val="en-US"/>
        </w:rPr>
        <w:t xml:space="preserve"> despite the fulfillment of task requirements</w:t>
      </w:r>
      <w:r w:rsidR="007C1636">
        <w:rPr>
          <w:lang w:val="en-US"/>
        </w:rPr>
        <w:fldChar w:fldCharType="begin"/>
      </w:r>
      <w:r w:rsidR="006F0364">
        <w:rPr>
          <w:lang w:val="en-US"/>
        </w:rPr>
        <w:instrText xml:space="preserve"> ADDIN ZOTERO_ITEM CSL_CITATION {"citationID":"Z3N08FHU","properties":{"formattedCitation":"\\super 18\\nosupersub{}","plainCitation":"18","noteIndex":0},"citationItems":[{"id":588,"uris":["http://zotero.org/users/18623031/items/SUIITR3P"],"itemData":{"id":588,"type":"article-journal","abstract":"Objectives: Cognitive skills such as working memory or inhibitory control are suggested to have an impact on injury risk during time-constrained athletic movements. Thus, the aim of this study was to gain further insights into the cognitive processes associated with biomechanical stability in unplanned jump-landings. Design: Cross-sectional.\nMethods: Twenty male participants (27 ± 4 years) performed 70 counter-movement jumps with single-leg landings on a pressure plate. Equally balanced and in randomized order, these were to be performed either planned (landing leg indicated before take-off) or unplanned (visual cue during ﬂight). Biomechanical stability was estimated from vertical peak ground reaction force (pGRF), time to stabilization (TTS), center of pressure path length (COP), and the number of standing errors (ground touch with free leg). In addition, decision-making was assessed as the amount of landing errors (wrong/both feet) in the unplanned condition. Cognitiive function was measured using computerized as well as pen-and-paper-testing.\nResults: Unplanned landings produced higher COP values (p &lt; 0.001, d = 1.1) and more standing errors (p &lt; 0.001, d = 0.9) than the pre-planned condition. Decreased postural stability (COP) was related to lower inhibitory control (p = 0.036, r = 0.48). There was a correlation between the increase in standing errors and better cognitive ﬂexibility/working memory (p = 0.037, r = −0.48) and short-term memory (p = 0.028, r = 0.50). The opposite was found for the unplanned landing errors: poor decision-making was associated with deﬁcits in cognitive ﬂexibility/working memory (p = 0.022, r = 0.54) and short-term memory (p = 0.019, r = −0.55).\nConclusions: Cognitive function may be an important, but under-researched moderator of unplanned jump-landing safety. Further research should elucidate the development of training methods aiming to improve movement-related decision-making and landing stability under time constraints.","container-title":"Journal of Science and Medicine in Sport","DOI":"10.1016/j.jsams.2019.09.003","ISSN":"14402440","issue":"1","journalAbbreviation":"Journal of Science and Medicine in Sport","language":"en","page":"82-88","source":"DOI.org (Crossref)","title":"Are biomechanical stability deficits during unplanned single-leg landings related to specific markers of cognitive function?","volume":"23","author":[{"family":"Giesche","given":"Florian"},{"family":"Wilke","given":"Jan"},{"family":"Engeroff","given":"Tobias"},{"family":"Niederer","given":"Daniel"},{"family":"Hohmann","given":"Helena"},{"family":"Vogt","given":"Lutz"},{"family":"Banzer","given":"Winfried"}],"issued":{"date-parts":[["2020",1]]}}}],"schema":"https://github.com/citation-style-language/schema/raw/master/csl-citation.json"} </w:instrText>
      </w:r>
      <w:r w:rsidR="007C1636">
        <w:rPr>
          <w:lang w:val="en-US"/>
        </w:rPr>
        <w:fldChar w:fldCharType="separate"/>
      </w:r>
      <w:r w:rsidR="006F0364" w:rsidRPr="006F0364">
        <w:rPr>
          <w:rFonts w:ascii="Aptos" w:hAnsi="Aptos" w:cs="Times New Roman"/>
          <w:kern w:val="0"/>
          <w:vertAlign w:val="superscript"/>
          <w:lang w:val="en-US"/>
        </w:rPr>
        <w:t>18</w:t>
      </w:r>
      <w:r w:rsidR="007C1636">
        <w:rPr>
          <w:lang w:val="en-US"/>
        </w:rPr>
        <w:fldChar w:fldCharType="end"/>
      </w:r>
      <w:r w:rsidR="00A019E4" w:rsidRPr="00A019E4">
        <w:rPr>
          <w:lang w:val="en-US"/>
        </w:rPr>
        <w:t>.</w:t>
      </w:r>
      <w:r w:rsidR="00556E6C">
        <w:rPr>
          <w:lang w:val="en-US"/>
        </w:rPr>
        <w:t xml:space="preserve"> </w:t>
      </w:r>
      <w:r w:rsidR="003B57E4">
        <w:rPr>
          <w:lang w:val="en-US"/>
        </w:rPr>
        <w:t>T</w:t>
      </w:r>
      <w:r w:rsidR="00556E6C" w:rsidRPr="00556E6C">
        <w:rPr>
          <w:lang w:val="en-US"/>
        </w:rPr>
        <w:t xml:space="preserve">he same </w:t>
      </w:r>
      <w:r w:rsidR="00BF76CF">
        <w:rPr>
          <w:lang w:val="en-US"/>
        </w:rPr>
        <w:t>athlete</w:t>
      </w:r>
      <w:r w:rsidR="00556E6C" w:rsidRPr="00556E6C">
        <w:rPr>
          <w:lang w:val="en-US"/>
        </w:rPr>
        <w:t xml:space="preserve"> may </w:t>
      </w:r>
      <w:r w:rsidR="003B57E4">
        <w:rPr>
          <w:lang w:val="en-US"/>
        </w:rPr>
        <w:t xml:space="preserve">thus </w:t>
      </w:r>
      <w:r w:rsidR="00556E6C" w:rsidRPr="00556E6C">
        <w:rPr>
          <w:lang w:val="en-US"/>
        </w:rPr>
        <w:t>exhibit different types of errors, even within the same testing session</w:t>
      </w:r>
      <w:r w:rsidR="003B57E4">
        <w:rPr>
          <w:lang w:val="en-US"/>
        </w:rPr>
        <w:t>; c</w:t>
      </w:r>
      <w:r w:rsidR="00556E6C" w:rsidRPr="00556E6C">
        <w:rPr>
          <w:lang w:val="en-US"/>
        </w:rPr>
        <w:t xml:space="preserve">onsequently, averaging invalid trials to compare them with valid ones </w:t>
      </w:r>
      <w:r w:rsidR="00556E6C">
        <w:rPr>
          <w:lang w:val="en-US"/>
        </w:rPr>
        <w:t>may</w:t>
      </w:r>
      <w:r w:rsidR="00556E6C" w:rsidRPr="00556E6C">
        <w:rPr>
          <w:lang w:val="en-US"/>
        </w:rPr>
        <w:t xml:space="preserve"> not</w:t>
      </w:r>
      <w:r w:rsidR="00556E6C">
        <w:rPr>
          <w:lang w:val="en-US"/>
        </w:rPr>
        <w:t xml:space="preserve"> be</w:t>
      </w:r>
      <w:r w:rsidR="00556E6C" w:rsidRPr="00556E6C">
        <w:rPr>
          <w:lang w:val="en-US"/>
        </w:rPr>
        <w:t xml:space="preserve"> appropriate, as this approach may mask or compensate for the biomechanical effects of </w:t>
      </w:r>
      <w:r w:rsidR="00AB2043">
        <w:rPr>
          <w:lang w:val="en-US"/>
        </w:rPr>
        <w:t>specific</w:t>
      </w:r>
      <w:r w:rsidR="00556E6C">
        <w:rPr>
          <w:lang w:val="en-US"/>
        </w:rPr>
        <w:t xml:space="preserve"> types of </w:t>
      </w:r>
      <w:r w:rsidR="00556E6C" w:rsidRPr="00556E6C">
        <w:rPr>
          <w:lang w:val="en-US"/>
        </w:rPr>
        <w:t>errors.</w:t>
      </w:r>
    </w:p>
    <w:p w14:paraId="17D2BB76" w14:textId="302ABA11" w:rsidR="004160BB" w:rsidRDefault="00C80CE7" w:rsidP="00353B30">
      <w:pPr>
        <w:spacing w:line="360" w:lineRule="auto"/>
        <w:jc w:val="both"/>
        <w:rPr>
          <w:lang w:val="en-US"/>
        </w:rPr>
      </w:pPr>
      <w:r>
        <w:rPr>
          <w:lang w:val="en-US"/>
        </w:rPr>
        <w:lastRenderedPageBreak/>
        <w:t>A possible solution to these challenges is</w:t>
      </w:r>
      <w:r w:rsidR="00CC566C">
        <w:rPr>
          <w:lang w:val="en-US"/>
        </w:rPr>
        <w:t xml:space="preserve"> to categorize the outcomes using an unsupervised exploratory approach</w:t>
      </w:r>
      <w:r w:rsidR="00A8149D">
        <w:rPr>
          <w:lang w:val="en-US"/>
        </w:rPr>
        <w:t>,</w:t>
      </w:r>
      <w:r w:rsidR="00CC566C">
        <w:rPr>
          <w:lang w:val="en-US"/>
        </w:rPr>
        <w:t xml:space="preserve"> grouping the data based on inherent similarity rather than applying </w:t>
      </w:r>
      <w:r w:rsidR="00A8149D">
        <w:rPr>
          <w:lang w:val="en-US"/>
        </w:rPr>
        <w:t>predetermined boundaries, as in cluster analysis</w:t>
      </w:r>
      <w:r w:rsidR="00D37851">
        <w:rPr>
          <w:lang w:val="en-US"/>
        </w:rPr>
        <w:fldChar w:fldCharType="begin"/>
      </w:r>
      <w:r w:rsidR="006F0364">
        <w:rPr>
          <w:lang w:val="en-US"/>
        </w:rPr>
        <w:instrText xml:space="preserve"> ADDIN ZOTERO_ITEM CSL_CITATION {"citationID":"B07mrIZA","properties":{"formattedCitation":"\\super 21\\nosupersub{}","plainCitation":"21","noteIndex":0},"citationItems":[{"id":762,"uris":["http://zotero.org/users/18623031/items/5HYX534M"],"itemData":{"id":762,"type":"chapter","container-title":"Bioinformatics Methods in Clinical Research","DOI":"10.1007/978-1-60327-194-3_5","ISBN":"978-1-60327-193-6","note":"collection-title: Methods in Molecular Biology","page":"81-107","publisher":"Humana Press","publisher-place":"Totowa, NJ","source":"DOI.org (Crossref)","title":"Overview on Techniques in Cluster Analysis","URL":"http://link.springer.com/10.1007/978-1-60327-194-3_5","volume":"593","editor":[{"family":"Matthiesen","given":"Rune"}],"author":[{"family":"Frades","given":"Itziar"},{"family":"Matthiesen","given":"Rune"}],"accessed":{"date-parts":[["2026",3,2]]},"issued":{"date-parts":[["2010"]]}}}],"schema":"https://github.com/citation-style-language/schema/raw/master/csl-citation.json"} </w:instrText>
      </w:r>
      <w:r w:rsidR="00D37851">
        <w:rPr>
          <w:lang w:val="en-US"/>
        </w:rPr>
        <w:fldChar w:fldCharType="separate"/>
      </w:r>
      <w:r w:rsidR="006F0364" w:rsidRPr="006F0364">
        <w:rPr>
          <w:rFonts w:ascii="Aptos" w:hAnsi="Aptos" w:cs="Times New Roman"/>
          <w:kern w:val="0"/>
          <w:vertAlign w:val="superscript"/>
          <w:lang w:val="en-US"/>
        </w:rPr>
        <w:t>21</w:t>
      </w:r>
      <w:r w:rsidR="00D37851">
        <w:rPr>
          <w:lang w:val="en-US"/>
        </w:rPr>
        <w:fldChar w:fldCharType="end"/>
      </w:r>
      <w:r>
        <w:rPr>
          <w:lang w:val="en-US"/>
        </w:rPr>
        <w:t xml:space="preserve">. </w:t>
      </w:r>
      <w:r w:rsidR="00A15E51">
        <w:rPr>
          <w:lang w:val="en-US"/>
        </w:rPr>
        <w:t>A r</w:t>
      </w:r>
      <w:r w:rsidR="00A8149D">
        <w:rPr>
          <w:lang w:val="en-US"/>
        </w:rPr>
        <w:t xml:space="preserve">ecent </w:t>
      </w:r>
      <w:r>
        <w:rPr>
          <w:lang w:val="en-US"/>
        </w:rPr>
        <w:t>stud</w:t>
      </w:r>
      <w:r w:rsidR="00A15E51">
        <w:rPr>
          <w:lang w:val="en-US"/>
        </w:rPr>
        <w:t>y</w:t>
      </w:r>
      <w:r>
        <w:rPr>
          <w:lang w:val="en-US"/>
        </w:rPr>
        <w:t xml:space="preserve"> </w:t>
      </w:r>
      <w:r w:rsidR="00A15E51">
        <w:rPr>
          <w:lang w:val="en-US"/>
        </w:rPr>
        <w:t xml:space="preserve">has </w:t>
      </w:r>
      <w:r w:rsidR="00A8149D">
        <w:rPr>
          <w:lang w:val="en-US"/>
        </w:rPr>
        <w:t>proposed</w:t>
      </w:r>
      <w:r w:rsidR="004B4564">
        <w:rPr>
          <w:lang w:val="en-US"/>
        </w:rPr>
        <w:t xml:space="preserve"> </w:t>
      </w:r>
      <w:r w:rsidR="00A8149D">
        <w:rPr>
          <w:lang w:val="en-US"/>
        </w:rPr>
        <w:t>using</w:t>
      </w:r>
      <w:r w:rsidR="004B4564">
        <w:rPr>
          <w:lang w:val="en-US"/>
        </w:rPr>
        <w:t xml:space="preserve"> cluster analysis to discriminate movement patterns associated </w:t>
      </w:r>
      <w:r w:rsidR="00AB2043">
        <w:rPr>
          <w:lang w:val="en-US"/>
        </w:rPr>
        <w:t>with</w:t>
      </w:r>
      <w:r w:rsidR="004B4564">
        <w:rPr>
          <w:lang w:val="en-US"/>
        </w:rPr>
        <w:t xml:space="preserve"> ACL injury </w:t>
      </w:r>
      <w:r w:rsidR="00A8149D">
        <w:rPr>
          <w:lang w:val="en-US"/>
        </w:rPr>
        <w:t>risk</w:t>
      </w:r>
      <w:r w:rsidR="00EE0A76">
        <w:rPr>
          <w:lang w:val="en-US"/>
        </w:rPr>
        <w:fldChar w:fldCharType="begin"/>
      </w:r>
      <w:r w:rsidR="006F0364">
        <w:rPr>
          <w:lang w:val="en-US"/>
        </w:rPr>
        <w:instrText xml:space="preserve"> ADDIN ZOTERO_ITEM CSL_CITATION {"citationID":"EmTlmuNt","properties":{"formattedCitation":"\\super 22\\nosupersub{}","plainCitation":"22","noteIndex":0},"citationItems":[{"id":590,"uris":["http://zotero.org/users/18623031/items/7RLMIWCP"],"itemData":{"id":590,"type":"article-journal","abstract":"Background\n              Despite extensive efforts to pinpoint singular biomechanical risk factors for anterior cruciate ligament (ACL) injuries, research findings are still inconclusive. By combining multiple biomechanical variables, cluster analyses could help us identify safe and risky cutting technique strategies.\n            \n            \n              Purpose\n              To identify common movement strategies during cutting maneuvers and to assess their association with ACL injury risk.\n            \n            \n              Methods\n              A total of 754 female elite handball and football players, including 59 with a history of ACL injury, performed a sport-specific cutting task while 3D biomechanics were recorded. Over an 8-year follow-up period, 43 of these players sustained a primary ACL injury and 13 players a secondary ACL injury. Cutting technique was described using 36 discrete kinematic variables. To identify different cutting techniques, we employed a K-means clustering algorithm on data subsets involving different numbers of kinematic variables (36, 13 and 5 variables) and different sports (handball, football, and both combined). To assess the impact of the identified cutting technique clusters on ACL injury risk, we compared the proportion of injured players between these clusters using the Fisher-Freeman-Halton Exact test and adjusted rand indices (ARI).\n            \n            \n              Results\n              \n                We identified two distinguishable cutting technique clusters in the subset involving both sports and five kinematics variables (average silhouette score, ASS</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0.35). However, these clusters were formed based on sport- or task-related differences (Fisher's\n                p\n                </w:instrText>
      </w:r>
      <w:r w:rsidR="006F0364">
        <w:rPr>
          <w:rFonts w:ascii="Arial" w:hAnsi="Arial" w:cs="Arial"/>
          <w:lang w:val="en-US"/>
        </w:rPr>
        <w:instrText> </w:instrText>
      </w:r>
      <w:r w:rsidR="006F0364">
        <w:rPr>
          <w:lang w:val="en-US"/>
        </w:rPr>
        <w:instrText>&amp;lt;</w:instrText>
      </w:r>
      <w:r w:rsidR="006F0364">
        <w:rPr>
          <w:rFonts w:ascii="Arial" w:hAnsi="Arial" w:cs="Arial"/>
          <w:lang w:val="en-US"/>
        </w:rPr>
        <w:instrText> </w:instrText>
      </w:r>
      <w:r w:rsidR="006F0364">
        <w:rPr>
          <w:lang w:val="en-US"/>
        </w:rPr>
        <w:instrText>0.001, ARI</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0.83) rather than injury-related differences (Fisher's\n                p\n                </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0.417, ARI</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0.00). We also found two cutting technique clusters in the handball (ASS</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0.23) and football (ASS</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0.30) subsets with five kinematic variables. However, none of these clusters appeared to be associated with ACL injury risk (Fisher's\n                p\n                </w:instrText>
      </w:r>
      <w:r w:rsidR="006F0364">
        <w:rPr>
          <w:rFonts w:ascii="Arial" w:hAnsi="Arial" w:cs="Arial"/>
          <w:lang w:val="en-US"/>
        </w:rPr>
        <w:instrText> </w:instrText>
      </w:r>
      <w:r w:rsidR="006F0364">
        <w:rPr>
          <w:lang w:val="en-US"/>
        </w:rPr>
        <w:instrText>&amp;gt;</w:instrText>
      </w:r>
      <w:r w:rsidR="006F0364">
        <w:rPr>
          <w:rFonts w:ascii="Arial" w:hAnsi="Arial" w:cs="Arial"/>
          <w:lang w:val="en-US"/>
        </w:rPr>
        <w:instrText> </w:instrText>
      </w:r>
      <w:r w:rsidR="006F0364">
        <w:rPr>
          <w:lang w:val="en-US"/>
        </w:rPr>
        <w:instrText>0.05, ARI</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0.00).\n              \n            \n            \n              Conclusion\n              No safe or risky cutting technique strategies could be discerned among female elite handball and football players. Cluster analysis of cutting technique, using a K-means algorithm, did not prove to be a valuable approach for assessing ACL injury risk in this dataset.","container-title":"Frontiers in Sports and Active Living","DOI":"10.3389/fspor.2025.1463272","ISSN":"2624-9367","journalAbbreviation":"Front. Sports Act. Living","page":"1463272","source":"DOI.org (Crossref)","title":"Cluster analysis of cutting technique—a valuable approach for assessing anterior cruciate ligament injury risk?","volume":"7","author":[{"family":"Mausehund","given":"Lasse"},{"family":"Patron","given":"Anri"},{"family":"Äyrämö","given":"Sami"},{"family":"Krosshaug","given":"Tron"}],"issued":{"date-parts":[["2025",2,10]]}}}],"schema":"https://github.com/citation-style-language/schema/raw/master/csl-citation.json"} </w:instrText>
      </w:r>
      <w:r w:rsidR="00EE0A76">
        <w:rPr>
          <w:lang w:val="en-US"/>
        </w:rPr>
        <w:fldChar w:fldCharType="separate"/>
      </w:r>
      <w:r w:rsidR="006F0364" w:rsidRPr="006F0364">
        <w:rPr>
          <w:rFonts w:ascii="Aptos" w:hAnsi="Aptos" w:cs="Times New Roman"/>
          <w:kern w:val="0"/>
          <w:vertAlign w:val="superscript"/>
          <w:lang w:val="en-US"/>
        </w:rPr>
        <w:t>22</w:t>
      </w:r>
      <w:r w:rsidR="00EE0A76">
        <w:rPr>
          <w:lang w:val="en-US"/>
        </w:rPr>
        <w:fldChar w:fldCharType="end"/>
      </w:r>
      <w:r w:rsidR="004B4564">
        <w:rPr>
          <w:lang w:val="en-US"/>
        </w:rPr>
        <w:t xml:space="preserve">. </w:t>
      </w:r>
      <w:r w:rsidR="004160BB" w:rsidRPr="004160BB">
        <w:rPr>
          <w:lang w:val="en-US"/>
        </w:rPr>
        <w:t xml:space="preserve">In a similar manner, this approach could be applied to </w:t>
      </w:r>
      <w:r w:rsidR="00F3612F" w:rsidRPr="006C33CD">
        <w:rPr>
          <w:lang w:val="en-US"/>
        </w:rPr>
        <w:t>categorize</w:t>
      </w:r>
      <w:r w:rsidR="00F3612F">
        <w:rPr>
          <w:lang w:val="en-US"/>
        </w:rPr>
        <w:t xml:space="preserve"> </w:t>
      </w:r>
      <w:r w:rsidR="004160BB" w:rsidRPr="004160BB">
        <w:rPr>
          <w:lang w:val="en-US"/>
        </w:rPr>
        <w:t xml:space="preserve">different unsuccessful biomechanical patterns, some of which may increase </w:t>
      </w:r>
      <w:r w:rsidR="004160BB">
        <w:rPr>
          <w:lang w:val="en-US"/>
        </w:rPr>
        <w:t xml:space="preserve">the athlete’s </w:t>
      </w:r>
      <w:r w:rsidR="004160BB" w:rsidRPr="004160BB">
        <w:rPr>
          <w:lang w:val="en-US"/>
        </w:rPr>
        <w:t xml:space="preserve">exposure to </w:t>
      </w:r>
      <w:r w:rsidR="004160BB">
        <w:rPr>
          <w:lang w:val="en-US"/>
        </w:rPr>
        <w:t>ACL</w:t>
      </w:r>
      <w:r w:rsidR="004160BB" w:rsidRPr="004160BB">
        <w:rPr>
          <w:lang w:val="en-US"/>
        </w:rPr>
        <w:t xml:space="preserve"> injury risk.</w:t>
      </w:r>
      <w:r w:rsidR="004160BB">
        <w:rPr>
          <w:lang w:val="en-US"/>
        </w:rPr>
        <w:t xml:space="preserve"> </w:t>
      </w:r>
      <w:r w:rsidR="00A8149D" w:rsidRPr="00A8149D">
        <w:rPr>
          <w:lang w:val="en-US"/>
        </w:rPr>
        <w:t>Additionally, the analysis of invalid trials should include the optimal movement patterns observed in successful trials, as comparing their kinematics and kinetics with those of unsuccessful trials may help identify potentially harmful biomechanical changes that current screening methods cannot detect, thereby providing a more comprehensive dimension of injury risk.</w:t>
      </w:r>
    </w:p>
    <w:p w14:paraId="7FD0FA65" w14:textId="60FFC46C" w:rsidR="00856A23" w:rsidRPr="00856A23" w:rsidRDefault="00072D08" w:rsidP="00856A23">
      <w:pPr>
        <w:spacing w:line="360" w:lineRule="auto"/>
        <w:jc w:val="both"/>
        <w:rPr>
          <w:lang w:val="en-US"/>
        </w:rPr>
      </w:pPr>
      <w:r w:rsidRPr="006C33CD">
        <w:rPr>
          <w:lang w:val="en-US"/>
        </w:rPr>
        <w:t xml:space="preserve">To our knowledge, this is the first study </w:t>
      </w:r>
      <w:r w:rsidR="00AB2043">
        <w:rPr>
          <w:lang w:val="en-US"/>
        </w:rPr>
        <w:t>to</w:t>
      </w:r>
      <w:r w:rsidR="00856A23" w:rsidRPr="006C33CD">
        <w:rPr>
          <w:lang w:val="en-US"/>
        </w:rPr>
        <w:t xml:space="preserve"> </w:t>
      </w:r>
      <w:r w:rsidR="00AB2043" w:rsidRPr="006C33CD">
        <w:rPr>
          <w:lang w:val="en-US"/>
        </w:rPr>
        <w:t>explor</w:t>
      </w:r>
      <w:r w:rsidR="00AB2043">
        <w:rPr>
          <w:lang w:val="en-US"/>
        </w:rPr>
        <w:t>e</w:t>
      </w:r>
      <w:r w:rsidR="00AB2043" w:rsidRPr="006C33CD">
        <w:rPr>
          <w:lang w:val="en-US"/>
        </w:rPr>
        <w:t xml:space="preserve"> </w:t>
      </w:r>
      <w:r w:rsidR="00AB2043">
        <w:rPr>
          <w:lang w:val="en-US"/>
        </w:rPr>
        <w:t>this approach</w:t>
      </w:r>
      <w:r w:rsidR="00CF578A" w:rsidRPr="006C33CD">
        <w:rPr>
          <w:lang w:val="en-US"/>
        </w:rPr>
        <w:t xml:space="preserve"> </w:t>
      </w:r>
      <w:r w:rsidR="00A8149D">
        <w:rPr>
          <w:lang w:val="en-US"/>
        </w:rPr>
        <w:t>to</w:t>
      </w:r>
      <w:r w:rsidR="00A8149D" w:rsidRPr="006C33CD">
        <w:rPr>
          <w:lang w:val="en-US"/>
        </w:rPr>
        <w:t xml:space="preserve"> </w:t>
      </w:r>
      <w:r w:rsidR="00CF578A" w:rsidRPr="006C33CD">
        <w:rPr>
          <w:lang w:val="en-US"/>
        </w:rPr>
        <w:t>identify</w:t>
      </w:r>
      <w:r w:rsidR="00AB2043">
        <w:rPr>
          <w:lang w:val="en-US"/>
        </w:rPr>
        <w:t>ing</w:t>
      </w:r>
      <w:r w:rsidR="00CF578A" w:rsidRPr="006C33CD">
        <w:rPr>
          <w:lang w:val="en-US"/>
        </w:rPr>
        <w:t xml:space="preserve"> ACL injury risk </w:t>
      </w:r>
      <w:r w:rsidR="006D21C6" w:rsidRPr="006C33CD">
        <w:rPr>
          <w:lang w:val="en-US"/>
        </w:rPr>
        <w:t xml:space="preserve">markers in </w:t>
      </w:r>
      <w:r w:rsidR="0068318E">
        <w:rPr>
          <w:lang w:val="en-US"/>
        </w:rPr>
        <w:t>cognitively challenging</w:t>
      </w:r>
      <w:r w:rsidR="0068318E" w:rsidRPr="006C33CD">
        <w:rPr>
          <w:lang w:val="en-US"/>
        </w:rPr>
        <w:t xml:space="preserve"> </w:t>
      </w:r>
      <w:r w:rsidR="006D21C6" w:rsidRPr="006C33CD">
        <w:rPr>
          <w:lang w:val="en-US"/>
        </w:rPr>
        <w:t>landing tasks</w:t>
      </w:r>
      <w:r w:rsidR="00CF578A" w:rsidRPr="006C33CD">
        <w:rPr>
          <w:lang w:val="en-US"/>
        </w:rPr>
        <w:t xml:space="preserve"> </w:t>
      </w:r>
      <w:r w:rsidR="00AB2043">
        <w:rPr>
          <w:lang w:val="en-US"/>
        </w:rPr>
        <w:t>by</w:t>
      </w:r>
      <w:r w:rsidR="00CF578A" w:rsidRPr="006C33CD">
        <w:rPr>
          <w:lang w:val="en-US"/>
        </w:rPr>
        <w:t xml:space="preserve"> </w:t>
      </w:r>
      <w:r w:rsidR="00AB2043">
        <w:rPr>
          <w:lang w:val="en-US"/>
        </w:rPr>
        <w:t>analyzing</w:t>
      </w:r>
      <w:r w:rsidR="00CF578A" w:rsidRPr="006C33CD">
        <w:rPr>
          <w:lang w:val="en-US"/>
        </w:rPr>
        <w:t xml:space="preserve"> </w:t>
      </w:r>
      <w:r w:rsidR="00FF7B16">
        <w:rPr>
          <w:lang w:val="en-US"/>
        </w:rPr>
        <w:t xml:space="preserve">the biomechanics of </w:t>
      </w:r>
      <w:r w:rsidR="00CF578A" w:rsidRPr="006C33CD">
        <w:rPr>
          <w:lang w:val="en-US"/>
        </w:rPr>
        <w:t>invalid trials</w:t>
      </w:r>
      <w:r w:rsidRPr="006C33CD">
        <w:rPr>
          <w:lang w:val="en-US"/>
        </w:rPr>
        <w:t xml:space="preserve">. </w:t>
      </w:r>
      <w:r w:rsidR="006C33CD" w:rsidRPr="006C33CD">
        <w:rPr>
          <w:lang w:val="en-US"/>
        </w:rPr>
        <w:t>Invalid trials</w:t>
      </w:r>
      <w:r w:rsidR="006D21C6" w:rsidRPr="006C33CD">
        <w:rPr>
          <w:lang w:val="en-US"/>
        </w:rPr>
        <w:t xml:space="preserve"> were </w:t>
      </w:r>
      <w:r w:rsidR="00A337E5" w:rsidRPr="006C33CD">
        <w:rPr>
          <w:lang w:val="en-US"/>
        </w:rPr>
        <w:t>selected</w:t>
      </w:r>
      <w:r w:rsidR="006D21C6" w:rsidRPr="006C33CD">
        <w:rPr>
          <w:lang w:val="en-US"/>
        </w:rPr>
        <w:t xml:space="preserve"> and categorized</w:t>
      </w:r>
      <w:r w:rsidR="006C33CD" w:rsidRPr="006C33CD">
        <w:rPr>
          <w:lang w:val="en-US"/>
        </w:rPr>
        <w:t xml:space="preserve">, also considering their </w:t>
      </w:r>
      <w:r w:rsidR="00AB2043">
        <w:rPr>
          <w:lang w:val="en-US"/>
        </w:rPr>
        <w:t>“</w:t>
      </w:r>
      <w:r w:rsidR="006C33CD" w:rsidRPr="006C33CD">
        <w:rPr>
          <w:lang w:val="en-US"/>
        </w:rPr>
        <w:t>deviation</w:t>
      </w:r>
      <w:r w:rsidR="00AB2043">
        <w:rPr>
          <w:lang w:val="en-US"/>
        </w:rPr>
        <w:t>”</w:t>
      </w:r>
      <w:r w:rsidR="006C33CD" w:rsidRPr="006C33CD">
        <w:rPr>
          <w:lang w:val="en-US"/>
        </w:rPr>
        <w:t xml:space="preserve"> from the successful motor pattern observed in valid trials, </w:t>
      </w:r>
      <w:r w:rsidR="00A337E5" w:rsidRPr="006C33CD">
        <w:rPr>
          <w:lang w:val="en-US"/>
        </w:rPr>
        <w:t>and cluster analysis was adopted to identify</w:t>
      </w:r>
      <w:r w:rsidR="00FF7B16">
        <w:rPr>
          <w:lang w:val="en-US"/>
        </w:rPr>
        <w:t xml:space="preserve"> and group</w:t>
      </w:r>
      <w:r w:rsidR="00A337E5" w:rsidRPr="006C33CD">
        <w:rPr>
          <w:lang w:val="en-US"/>
        </w:rPr>
        <w:t xml:space="preserve"> biomechanical </w:t>
      </w:r>
      <w:r w:rsidR="00FF7B16">
        <w:rPr>
          <w:lang w:val="en-US"/>
        </w:rPr>
        <w:t>profiles</w:t>
      </w:r>
      <w:r w:rsidR="00A337E5" w:rsidRPr="006C33CD">
        <w:rPr>
          <w:lang w:val="en-US"/>
        </w:rPr>
        <w:t>.</w:t>
      </w:r>
      <w:r w:rsidR="00AB2043">
        <w:rPr>
          <w:lang w:val="en-US"/>
        </w:rPr>
        <w:t xml:space="preserve"> </w:t>
      </w:r>
      <w:r w:rsidR="00FE1691" w:rsidRPr="00FE1691">
        <w:rPr>
          <w:lang w:val="en-US"/>
        </w:rPr>
        <w:t>We explored the use of cluster analysis to discriminate different motor patterns, whose error mechanisms might be associated with known ACL risk profiles, indicating greater risk markers in certain individuals</w:t>
      </w:r>
      <w:r w:rsidR="00856A23" w:rsidRPr="006C33CD">
        <w:rPr>
          <w:lang w:val="en-US"/>
        </w:rPr>
        <w:t>.</w:t>
      </w:r>
    </w:p>
    <w:p w14:paraId="7F51CA4E" w14:textId="77777777" w:rsidR="00E83F2F" w:rsidRPr="00856A23" w:rsidRDefault="00E83F2F" w:rsidP="00353B30">
      <w:pPr>
        <w:spacing w:line="360" w:lineRule="auto"/>
        <w:jc w:val="both"/>
        <w:rPr>
          <w:lang w:val="en-US"/>
        </w:rPr>
      </w:pPr>
    </w:p>
    <w:p w14:paraId="1A0B9C2D" w14:textId="2047D8B8" w:rsidR="00353B30" w:rsidRPr="00353B30" w:rsidRDefault="00CE55EB" w:rsidP="00353B30">
      <w:pPr>
        <w:spacing w:line="360" w:lineRule="auto"/>
        <w:jc w:val="both"/>
        <w:rPr>
          <w:b/>
          <w:bCs/>
          <w:lang w:val="en-US"/>
        </w:rPr>
      </w:pPr>
      <w:r w:rsidRPr="00353B30">
        <w:rPr>
          <w:b/>
          <w:bCs/>
          <w:lang w:val="en-US"/>
        </w:rPr>
        <w:t>METHODS</w:t>
      </w:r>
    </w:p>
    <w:p w14:paraId="31C19181" w14:textId="1846B96B" w:rsidR="0035546F" w:rsidRDefault="00353B30" w:rsidP="00353B30">
      <w:pPr>
        <w:spacing w:line="360" w:lineRule="auto"/>
        <w:jc w:val="both"/>
        <w:rPr>
          <w:lang w:val="en-US"/>
        </w:rPr>
      </w:pPr>
      <w:r w:rsidRPr="0035546F">
        <w:rPr>
          <w:lang w:val="en-US"/>
        </w:rPr>
        <w:t xml:space="preserve">This cross-sectional observational study was approved by the institutional </w:t>
      </w:r>
      <w:r w:rsidR="0035546F" w:rsidRPr="0035546F">
        <w:rPr>
          <w:lang w:val="en-US"/>
        </w:rPr>
        <w:t>Ethic Committee</w:t>
      </w:r>
      <w:r w:rsidRPr="0035546F">
        <w:rPr>
          <w:lang w:val="en-US"/>
        </w:rPr>
        <w:t xml:space="preserve"> (protocol No. 10/2022) and </w:t>
      </w:r>
      <w:r w:rsidR="0035546F" w:rsidRPr="0035546F">
        <w:rPr>
          <w:lang w:val="en-US"/>
        </w:rPr>
        <w:t>complied with the ethical standards for research involving human participants</w:t>
      </w:r>
      <w:r w:rsidR="0035546F">
        <w:rPr>
          <w:lang w:val="en-US"/>
        </w:rPr>
        <w:t xml:space="preserve"> </w:t>
      </w:r>
      <w:r w:rsidR="0035546F" w:rsidRPr="0035546F">
        <w:rPr>
          <w:lang w:val="en-US"/>
        </w:rPr>
        <w:t>established by the Declaration of Helsinki.</w:t>
      </w:r>
      <w:r w:rsidR="00FE1691">
        <w:rPr>
          <w:lang w:val="en-US"/>
        </w:rPr>
        <w:t xml:space="preserve"> We approached the experimental question using an exploratory approach, as</w:t>
      </w:r>
      <w:r w:rsidR="00FE1691" w:rsidRPr="00FE1691">
        <w:rPr>
          <w:lang w:val="en-US"/>
        </w:rPr>
        <w:t xml:space="preserve"> direct comparison with previous evidence is limited </w:t>
      </w:r>
      <w:r w:rsidR="00FE1691">
        <w:rPr>
          <w:lang w:val="en-US"/>
        </w:rPr>
        <w:t>regarding biomechanical analysis of invalid trials</w:t>
      </w:r>
      <w:r w:rsidR="0007258B">
        <w:rPr>
          <w:lang w:val="en-US"/>
        </w:rPr>
        <w:fldChar w:fldCharType="begin"/>
      </w:r>
      <w:r w:rsidR="006F0364">
        <w:rPr>
          <w:lang w:val="en-US"/>
        </w:rPr>
        <w:instrText xml:space="preserve"> ADDIN ZOTERO_ITEM CSL_CITATION {"citationID":"J2IV80vG","properties":{"formattedCitation":"\\super 23\\nosupersub{}","plainCitation":"23","noteIndex":0},"citationItems":[{"id":357,"uris":["http://zotero.org/users/18623031/items/KTF6HSRS"],"itemData":{"id":357,"type":"article-journal","container-title":"Journal of Sports Sciences","DOI":"10.1080/02640414.2025.2486871","ISSN":"0264-0414","issue":"12","page":"1108-1120","title":"Exploratory research in sport and exercise science: Perceptions, challenges, and recommendations","volume":"43","author":[{"family":"Ditroilo","given":"Massimiliano"},{"family":"Mesquida","given":"Cristian"},{"family":"Abt","given":"Grant"},{"family":"Lakens","given":"Daniël"}],"issued":{"date-parts":[["2025",6]]}}}],"schema":"https://github.com/citation-style-language/schema/raw/master/csl-citation.json"} </w:instrText>
      </w:r>
      <w:r w:rsidR="0007258B">
        <w:rPr>
          <w:lang w:val="en-US"/>
        </w:rPr>
        <w:fldChar w:fldCharType="separate"/>
      </w:r>
      <w:r w:rsidR="006F0364" w:rsidRPr="006F0364">
        <w:rPr>
          <w:rFonts w:ascii="Aptos" w:hAnsi="Aptos" w:cs="Times New Roman"/>
          <w:kern w:val="0"/>
          <w:vertAlign w:val="superscript"/>
          <w:lang w:val="en-US"/>
        </w:rPr>
        <w:t>23</w:t>
      </w:r>
      <w:r w:rsidR="0007258B">
        <w:rPr>
          <w:lang w:val="en-US"/>
        </w:rPr>
        <w:fldChar w:fldCharType="end"/>
      </w:r>
      <w:r w:rsidR="00FE1691" w:rsidRPr="00FE1691">
        <w:rPr>
          <w:lang w:val="en-US"/>
        </w:rPr>
        <w:t>.</w:t>
      </w:r>
    </w:p>
    <w:p w14:paraId="05907C97" w14:textId="7A2327FA" w:rsidR="00353B30" w:rsidRPr="00353B30" w:rsidRDefault="00353B30" w:rsidP="00353B30">
      <w:pPr>
        <w:spacing w:line="360" w:lineRule="auto"/>
        <w:jc w:val="both"/>
        <w:rPr>
          <w:b/>
          <w:bCs/>
          <w:i/>
          <w:iCs/>
          <w:lang w:val="en-US"/>
        </w:rPr>
      </w:pPr>
      <w:r>
        <w:rPr>
          <w:b/>
          <w:bCs/>
          <w:i/>
          <w:iCs/>
          <w:lang w:val="en-US"/>
        </w:rPr>
        <w:t>P</w:t>
      </w:r>
      <w:r w:rsidRPr="00353B30">
        <w:rPr>
          <w:b/>
          <w:bCs/>
          <w:i/>
          <w:iCs/>
          <w:lang w:val="en-US"/>
        </w:rPr>
        <w:t>articipants</w:t>
      </w:r>
    </w:p>
    <w:p w14:paraId="659CCA3F" w14:textId="6898ACE5" w:rsidR="00353B30" w:rsidRPr="00F40619" w:rsidRDefault="0068318E" w:rsidP="00F40619">
      <w:pPr>
        <w:spacing w:line="360" w:lineRule="auto"/>
        <w:jc w:val="both"/>
        <w:rPr>
          <w:u w:val="single"/>
          <w:lang w:val="en-US"/>
        </w:rPr>
      </w:pPr>
      <w:r>
        <w:rPr>
          <w:lang w:val="en-US"/>
        </w:rPr>
        <w:t>Given the nature of the study and the lack of prior published evidence, the</w:t>
      </w:r>
      <w:r w:rsidRPr="00FE1691">
        <w:rPr>
          <w:lang w:val="en-US"/>
        </w:rPr>
        <w:t xml:space="preserve"> sample size was pragmatically selected </w:t>
      </w:r>
      <w:r>
        <w:rPr>
          <w:lang w:val="en-US"/>
        </w:rPr>
        <w:t>for a secondary analysis as part of a broader research project examining the influence of cognitive-motor factors on injury-related biomechanics</w:t>
      </w:r>
      <w:r>
        <w:rPr>
          <w:lang w:val="en-US"/>
        </w:rPr>
        <w:fldChar w:fldCharType="begin"/>
      </w:r>
      <w:r w:rsidR="006F0364">
        <w:rPr>
          <w:lang w:val="en-US"/>
        </w:rPr>
        <w:instrText xml:space="preserve"> ADDIN ZOTERO_ITEM CSL_CITATION {"citationID":"iQHD2ikL","properties":{"formattedCitation":"\\super 23,24\\nosupersub{}","plainCitation":"23,24","noteIndex":0},"citationItems":[{"id":357,"uris":["http://zotero.org/users/18623031/items/KTF6HSRS"],"itemData":{"id":357,"type":"article-journal","container-title":"Journal of Sports Sciences","DOI":"10.1080/02640414.2025.2486871","ISSN":"0264-0414","issue":"12","page":"1108-1120","title":"Exploratory research in sport and exercise science: Perceptions, challenges, and recommendations","volume":"43","author":[{"family":"Ditroilo","given":"Massimiliano"},{"family":"Mesquida","given":"Cristian"},{"family":"Abt","given":"Grant"},{"family":"Lakens","given":"Daniël"}],"issued":{"date-parts":[["2025",6]]}}},{"id":765,"uris":["http://zotero.org/users/18623031/items/IVS7IDI4"],"itemData":{"id":765,"type":"article-journal","abstract":"An important step when designing an empirical study is to justify the sample size that will be collected. The key aim of a sample size justification for such studies is to explain how the collected data is expected to provide valuable information given the inferential goals of the researcher. In this overview article six approaches are discussed to justify the sample size in a quantitative empirical study: 1) collecting data from (almost) the entire population, 2) choosing a sample size based on resource constraints, 3) performing an a-priori power analysis, 4) planning for a desired accuracy, 5) using heuristics, or 6) explicitly acknowledging the absence of a justification. An important question to consider when justifying sample sizes is which effect sizes are deemed interesting, and the extent to which the data that is collected informs inferences about these effect sizes. Depending on the sample size justification chosen, researchers could consider 1) what the smallest effect size of interest is, 2) which minimal effect size will be statistically significant, 3) which effect sizes they expect (and what they base these expectations on), 4) which effect sizes would be rejected based on a confidence interval around the effect size, 5) which ranges of effects a study has sufficient power to detect based on a sensitivity power analysis, and 6) which effect sizes are expected in a specific research area. Researchers can use the guidelines presented in this article, for example by using the interactive form in the accompanying online Shiny app, to improve their sample size justification, and hopefully, align the informational value of a study with their inferential goals.","container-title":"Collabra: Psychology","DOI":"10.1525/collabra.33267","ISSN":"2474-7394","issue":"1","language":"en","license":"http://creativecommons.org/licenses/by/4.0","page":"33267","source":"DOI.org (Crossref)","title":"Sample Size Justification","volume":"8","author":[{"family":"Lakens","given":"Daniël"}],"editor":[{"family":"Ravenzwaaij","given":"Don Van"}],"issued":{"date-parts":[["2022",3,22]]}}}],"schema":"https://github.com/citation-style-language/schema/raw/master/csl-citation.json"} </w:instrText>
      </w:r>
      <w:r>
        <w:rPr>
          <w:lang w:val="en-US"/>
        </w:rPr>
        <w:fldChar w:fldCharType="separate"/>
      </w:r>
      <w:r w:rsidR="006F0364" w:rsidRPr="006F0364">
        <w:rPr>
          <w:rFonts w:ascii="Aptos" w:hAnsi="Aptos" w:cs="Times New Roman"/>
          <w:kern w:val="0"/>
          <w:vertAlign w:val="superscript"/>
          <w:lang w:val="en-US"/>
        </w:rPr>
        <w:t>23,24</w:t>
      </w:r>
      <w:r>
        <w:rPr>
          <w:lang w:val="en-US"/>
        </w:rPr>
        <w:fldChar w:fldCharType="end"/>
      </w:r>
      <w:r w:rsidRPr="001111C9">
        <w:rPr>
          <w:lang w:val="en-US"/>
        </w:rPr>
        <w:t>.</w:t>
      </w:r>
      <w:r>
        <w:rPr>
          <w:lang w:val="en-US"/>
        </w:rPr>
        <w:t xml:space="preserve"> </w:t>
      </w:r>
      <w:r w:rsidR="001111C9">
        <w:rPr>
          <w:lang w:val="en-US"/>
        </w:rPr>
        <w:t xml:space="preserve">Fifty </w:t>
      </w:r>
      <w:r w:rsidR="001111C9" w:rsidRPr="00542321">
        <w:rPr>
          <w:lang w:val="en-US"/>
        </w:rPr>
        <w:t xml:space="preserve">participants </w:t>
      </w:r>
      <w:r w:rsidR="001111C9">
        <w:rPr>
          <w:lang w:val="en-US"/>
        </w:rPr>
        <w:t xml:space="preserve">(25 males and 25 females) </w:t>
      </w:r>
      <w:r w:rsidR="001111C9" w:rsidRPr="00542321">
        <w:rPr>
          <w:lang w:val="en-US"/>
        </w:rPr>
        <w:t xml:space="preserve">were recruited </w:t>
      </w:r>
      <w:r w:rsidR="00A22848">
        <w:rPr>
          <w:lang w:val="en-US"/>
        </w:rPr>
        <w:t>for</w:t>
      </w:r>
      <w:r w:rsidR="001111C9" w:rsidRPr="00542321">
        <w:rPr>
          <w:lang w:val="en-US"/>
        </w:rPr>
        <w:t xml:space="preserve"> </w:t>
      </w:r>
      <w:r>
        <w:rPr>
          <w:lang w:val="en-US"/>
        </w:rPr>
        <w:t>the</w:t>
      </w:r>
      <w:r w:rsidRPr="00542321">
        <w:rPr>
          <w:lang w:val="en-US"/>
        </w:rPr>
        <w:t xml:space="preserve"> </w:t>
      </w:r>
      <w:r>
        <w:rPr>
          <w:lang w:val="en-US"/>
        </w:rPr>
        <w:t xml:space="preserve">project </w:t>
      </w:r>
      <w:r w:rsidR="001111C9">
        <w:rPr>
          <w:lang w:val="en-US"/>
        </w:rPr>
        <w:t xml:space="preserve">after signing </w:t>
      </w:r>
      <w:r w:rsidR="001111C9" w:rsidRPr="00F06995">
        <w:rPr>
          <w:lang w:val="en-US"/>
        </w:rPr>
        <w:t xml:space="preserve">written informed consent </w:t>
      </w:r>
      <w:r w:rsidR="00A22848">
        <w:rPr>
          <w:lang w:val="en-US"/>
        </w:rPr>
        <w:t>that included</w:t>
      </w:r>
      <w:r w:rsidR="001111C9">
        <w:rPr>
          <w:lang w:val="en-US"/>
        </w:rPr>
        <w:t xml:space="preserve"> detailed </w:t>
      </w:r>
      <w:r w:rsidR="001111C9" w:rsidRPr="00F06995">
        <w:rPr>
          <w:lang w:val="en-US"/>
        </w:rPr>
        <w:t>protocol</w:t>
      </w:r>
      <w:r w:rsidR="00FE1691">
        <w:rPr>
          <w:lang w:val="en-US"/>
        </w:rPr>
        <w:t xml:space="preserve"> information</w:t>
      </w:r>
      <w:r w:rsidR="001111C9" w:rsidRPr="00F06995">
        <w:rPr>
          <w:lang w:val="en-US"/>
        </w:rPr>
        <w:t>, risks, and benefits</w:t>
      </w:r>
      <w:r w:rsidR="001111C9">
        <w:rPr>
          <w:lang w:val="en-US"/>
        </w:rPr>
        <w:t>.</w:t>
      </w:r>
      <w:r w:rsidR="00FE1691">
        <w:rPr>
          <w:lang w:val="en-US"/>
        </w:rPr>
        <w:t xml:space="preserve"> </w:t>
      </w:r>
      <w:r w:rsidR="005B1F93">
        <w:rPr>
          <w:lang w:val="en-US"/>
        </w:rPr>
        <w:t xml:space="preserve">To be included, participants had to be </w:t>
      </w:r>
      <w:r w:rsidR="005B1F93" w:rsidRPr="005B1F93">
        <w:rPr>
          <w:lang w:val="en-US"/>
        </w:rPr>
        <w:t>between 18 and 35 years</w:t>
      </w:r>
      <w:r w:rsidR="00F40619">
        <w:rPr>
          <w:lang w:val="en-US"/>
        </w:rPr>
        <w:t xml:space="preserve"> </w:t>
      </w:r>
      <w:r w:rsidR="00F40619" w:rsidRPr="004F3C59">
        <w:rPr>
          <w:lang w:val="en-US"/>
        </w:rPr>
        <w:t>old</w:t>
      </w:r>
      <w:r w:rsidR="005B1F93" w:rsidRPr="004F3C59">
        <w:rPr>
          <w:lang w:val="en-US"/>
        </w:rPr>
        <w:t xml:space="preserve">, </w:t>
      </w:r>
      <w:r w:rsidR="00F40619" w:rsidRPr="004F3C59">
        <w:rPr>
          <w:lang w:val="en-US"/>
        </w:rPr>
        <w:t xml:space="preserve">be </w:t>
      </w:r>
      <w:r w:rsidR="005B1F93" w:rsidRPr="004F3C59">
        <w:rPr>
          <w:lang w:val="en-US"/>
        </w:rPr>
        <w:t xml:space="preserve">involved in </w:t>
      </w:r>
      <w:r w:rsidR="00A22848">
        <w:rPr>
          <w:lang w:val="en-US"/>
        </w:rPr>
        <w:t xml:space="preserve">competitive </w:t>
      </w:r>
      <w:r w:rsidR="00022606" w:rsidRPr="004F3C59">
        <w:rPr>
          <w:lang w:val="en-US"/>
        </w:rPr>
        <w:t xml:space="preserve">ball </w:t>
      </w:r>
      <w:r w:rsidR="005B1F93" w:rsidRPr="004F3C59">
        <w:rPr>
          <w:lang w:val="en-US"/>
        </w:rPr>
        <w:t xml:space="preserve">team sports characterized by frequent </w:t>
      </w:r>
      <w:r w:rsidR="00022606" w:rsidRPr="004F3C59">
        <w:rPr>
          <w:lang w:val="en-US"/>
        </w:rPr>
        <w:t xml:space="preserve">unanticipated </w:t>
      </w:r>
      <w:r w:rsidR="005B1F93" w:rsidRPr="004F3C59">
        <w:rPr>
          <w:lang w:val="en-US"/>
        </w:rPr>
        <w:t>jumps and cutting</w:t>
      </w:r>
      <w:r w:rsidR="005B1F93" w:rsidRPr="005B1F93">
        <w:rPr>
          <w:lang w:val="en-US"/>
        </w:rPr>
        <w:t xml:space="preserve"> movements (e.g., basketball, volleyball, soccer, rugby)</w:t>
      </w:r>
      <w:r w:rsidR="005B1F93">
        <w:rPr>
          <w:lang w:val="en-US"/>
        </w:rPr>
        <w:t xml:space="preserve">, report </w:t>
      </w:r>
      <w:r w:rsidR="005B1F93" w:rsidRPr="005B1F93">
        <w:rPr>
          <w:lang w:val="en-US"/>
        </w:rPr>
        <w:t xml:space="preserve">a Tegner activity score </w:t>
      </w:r>
      <w:r w:rsidR="005B1F93">
        <w:rPr>
          <w:lang w:val="en-US"/>
        </w:rPr>
        <w:t>higher than</w:t>
      </w:r>
      <w:r w:rsidR="005B1F93" w:rsidRPr="005B1F93">
        <w:rPr>
          <w:lang w:val="en-US"/>
        </w:rPr>
        <w:t xml:space="preserve"> 5</w:t>
      </w:r>
      <w:r w:rsidR="004F3C59">
        <w:rPr>
          <w:lang w:val="en-US"/>
        </w:rPr>
        <w:fldChar w:fldCharType="begin"/>
      </w:r>
      <w:r w:rsidR="006F0364">
        <w:rPr>
          <w:lang w:val="en-US"/>
        </w:rPr>
        <w:instrText xml:space="preserve"> ADDIN ZOTERO_ITEM CSL_CITATION {"citationID":"3RojjzTe","properties":{"formattedCitation":"\\super 25\\nosupersub{}","plainCitation":"25","noteIndex":0},"citationItems":[{"id":761,"uris":["http://zotero.org/users/18623031/items/NDFYEZ99"],"itemData":{"id":761,"type":"article-journal","abstract":"Background\n              The Lysholm score and Tegner activity scale are commonly used to document outcomes after arthroscopic knee surgery. These outcomes measurements are subjective in nature and evaluate performance and activity restrictions both before and after surgery, making them a valuable research tool when judging the effectiveness of surgical treatment.\n            \n            \n              Purpose\n              To establish a normal knee data set for the Lysholm and Tegner rating systems, as well as to show how these scores are affected by age and gender.\n            \n            \n              Study Design\n              Cross-sectional study; Level of evidence, 3.\n            \n            \n              Methods\n              A subjective questionnaire that included both the Lysholm score and Tegner activity grading scale was completed by 488 subjects in the community who considered their knee function normal. Any subject reporting a history of injury or surgery was excluded from the study. The average age was 41 years (range, 18-85), with 244 men and 244 women qualifying for statistical analysis.\n            \n            \n              Results\n              The average Lysholm score was 94 (range, 43-100), and the average Tegner activity level was 5.7 (range, 1-10). The Lysholm score and age demonstrated no correlation. The Tegner activity level was inversely correlated with age. The average Tegner activity level for men was 6.0, and the average activity scale for women was 5.4. There was no significant difference in the Lysholm score between men and women.\n            \n            \n              Conclusion\n              These data acquired from a normal, healthy population provide a standard point of reference for the injured or postsurgical knee. These data also serve as ideal tools when counseling patients about realistic expectations after surgery, based on age and gender.","container-title":"The American Journal of Sports Medicine","DOI":"10.1177/0363546508330149","ISSN":"0363-5465, 1552-3365","issue":"5","journalAbbreviation":"Am J Sports Med","language":"en","license":"https://journals.sagepub.com/page/policies/text-and-data-mining-license","page":"898-901","source":"DOI.org (Crossref)","title":"Lysholm Score and Tegner Activity Level in Individuals with Normal Knees","volume":"37","author":[{"family":"Briggs","given":"Karen K."},{"family":"Steadman","given":"J. Richard"},{"family":"Hay","given":"Connor J."},{"family":"Hines","given":"Sophia L."}],"issued":{"date-parts":[["2009",5]]}}}],"schema":"https://github.com/citation-style-language/schema/raw/master/csl-citation.json"} </w:instrText>
      </w:r>
      <w:r w:rsidR="004F3C59">
        <w:rPr>
          <w:lang w:val="en-US"/>
        </w:rPr>
        <w:fldChar w:fldCharType="separate"/>
      </w:r>
      <w:r w:rsidR="006F0364" w:rsidRPr="006F0364">
        <w:rPr>
          <w:rFonts w:ascii="Aptos" w:hAnsi="Aptos" w:cs="Times New Roman"/>
          <w:kern w:val="0"/>
          <w:vertAlign w:val="superscript"/>
          <w:lang w:val="en-US"/>
        </w:rPr>
        <w:t>25</w:t>
      </w:r>
      <w:r w:rsidR="004F3C59">
        <w:rPr>
          <w:lang w:val="en-US"/>
        </w:rPr>
        <w:fldChar w:fldCharType="end"/>
      </w:r>
      <w:r w:rsidR="005B1F93">
        <w:rPr>
          <w:lang w:val="en-US"/>
        </w:rPr>
        <w:t>,</w:t>
      </w:r>
      <w:r w:rsidR="005B1F93" w:rsidRPr="005B1F93">
        <w:rPr>
          <w:lang w:val="en-US"/>
        </w:rPr>
        <w:t xml:space="preserve"> train at least twice </w:t>
      </w:r>
      <w:r w:rsidR="005B1F93">
        <w:rPr>
          <w:lang w:val="en-US"/>
        </w:rPr>
        <w:t>per week and compet</w:t>
      </w:r>
      <w:r w:rsidR="00F40619">
        <w:rPr>
          <w:lang w:val="en-US"/>
        </w:rPr>
        <w:t>e</w:t>
      </w:r>
      <w:r w:rsidR="005B1F93">
        <w:rPr>
          <w:lang w:val="en-US"/>
        </w:rPr>
        <w:t xml:space="preserve"> in an official match </w:t>
      </w:r>
      <w:r w:rsidR="005B1F93" w:rsidRPr="005B1F93">
        <w:rPr>
          <w:lang w:val="en-US"/>
        </w:rPr>
        <w:t>per week</w:t>
      </w:r>
      <w:r w:rsidR="005B1F93">
        <w:rPr>
          <w:lang w:val="en-US"/>
        </w:rPr>
        <w:t>,</w:t>
      </w:r>
      <w:r w:rsidR="005B1F93" w:rsidRPr="005B1F93">
        <w:rPr>
          <w:lang w:val="en-US"/>
        </w:rPr>
        <w:t xml:space="preserve"> ha</w:t>
      </w:r>
      <w:r w:rsidR="00F40619">
        <w:rPr>
          <w:lang w:val="en-US"/>
        </w:rPr>
        <w:t>ve</w:t>
      </w:r>
      <w:r w:rsidR="005B1F93" w:rsidRPr="005B1F93">
        <w:rPr>
          <w:lang w:val="en-US"/>
        </w:rPr>
        <w:t xml:space="preserve"> a minimum of 5 years of sport-specific experience</w:t>
      </w:r>
      <w:r w:rsidR="005B1F93">
        <w:rPr>
          <w:lang w:val="en-US"/>
        </w:rPr>
        <w:t>, and</w:t>
      </w:r>
      <w:r w:rsidR="005B1F93" w:rsidRPr="005B1F93">
        <w:rPr>
          <w:lang w:val="en-US"/>
        </w:rPr>
        <w:t xml:space="preserve"> </w:t>
      </w:r>
      <w:r w:rsidR="00A22848" w:rsidRPr="005B1F93">
        <w:rPr>
          <w:lang w:val="en-US"/>
        </w:rPr>
        <w:t>hold</w:t>
      </w:r>
      <w:r w:rsidR="005B1F93" w:rsidRPr="005B1F93">
        <w:rPr>
          <w:lang w:val="en-US"/>
        </w:rPr>
        <w:t xml:space="preserve"> a valid medical clearance for competitive sport </w:t>
      </w:r>
      <w:r w:rsidR="005B1F93" w:rsidRPr="005B1F93">
        <w:rPr>
          <w:lang w:val="en-US"/>
        </w:rPr>
        <w:lastRenderedPageBreak/>
        <w:t>participation in accordance with national regulations.</w:t>
      </w:r>
      <w:r w:rsidR="00F40619">
        <w:rPr>
          <w:lang w:val="en-US"/>
        </w:rPr>
        <w:t xml:space="preserve"> </w:t>
      </w:r>
      <w:r w:rsidR="005B1F93" w:rsidRPr="005B1F93">
        <w:rPr>
          <w:lang w:val="en-US"/>
        </w:rPr>
        <w:t xml:space="preserve">Individuals were excluded if they had a history of lower </w:t>
      </w:r>
      <w:r w:rsidR="00F40619">
        <w:rPr>
          <w:lang w:val="en-US"/>
        </w:rPr>
        <w:t>limb</w:t>
      </w:r>
      <w:r w:rsidR="005B1F93" w:rsidRPr="005B1F93">
        <w:rPr>
          <w:lang w:val="en-US"/>
        </w:rPr>
        <w:t xml:space="preserve"> surgery, had sustained a concussion or lower </w:t>
      </w:r>
      <w:r w:rsidR="00F40619">
        <w:rPr>
          <w:lang w:val="en-US"/>
        </w:rPr>
        <w:t>limb</w:t>
      </w:r>
      <w:r w:rsidR="005B1F93" w:rsidRPr="005B1F93">
        <w:rPr>
          <w:lang w:val="en-US"/>
        </w:rPr>
        <w:t xml:space="preserve"> injury within the </w:t>
      </w:r>
      <w:r w:rsidR="00F40619">
        <w:rPr>
          <w:lang w:val="en-US"/>
        </w:rPr>
        <w:t>6</w:t>
      </w:r>
      <w:r w:rsidR="005B1F93" w:rsidRPr="005B1F93">
        <w:rPr>
          <w:lang w:val="en-US"/>
        </w:rPr>
        <w:t xml:space="preserve"> months preceding </w:t>
      </w:r>
      <w:r w:rsidR="00F40619">
        <w:rPr>
          <w:lang w:val="en-US"/>
        </w:rPr>
        <w:t>the testing session</w:t>
      </w:r>
      <w:r w:rsidR="005B1F93" w:rsidRPr="005B1F93">
        <w:rPr>
          <w:lang w:val="en-US"/>
        </w:rPr>
        <w:t xml:space="preserve">, or reported color </w:t>
      </w:r>
      <w:r w:rsidR="00F40619">
        <w:rPr>
          <w:lang w:val="en-US"/>
        </w:rPr>
        <w:t>blindness</w:t>
      </w:r>
      <w:r w:rsidR="005B1F93" w:rsidRPr="005B1F93">
        <w:rPr>
          <w:lang w:val="en-US"/>
        </w:rPr>
        <w:t>.</w:t>
      </w:r>
      <w:r w:rsidR="00F40619">
        <w:rPr>
          <w:lang w:val="en-US"/>
        </w:rPr>
        <w:t xml:space="preserve"> </w:t>
      </w:r>
    </w:p>
    <w:p w14:paraId="27B22D17" w14:textId="2395247C" w:rsidR="00353B30" w:rsidRPr="00353B30" w:rsidRDefault="00353B30" w:rsidP="00353B30">
      <w:pPr>
        <w:spacing w:line="360" w:lineRule="auto"/>
        <w:jc w:val="both"/>
        <w:rPr>
          <w:b/>
          <w:bCs/>
          <w:i/>
          <w:iCs/>
          <w:lang w:val="en-US"/>
        </w:rPr>
      </w:pPr>
      <w:r>
        <w:rPr>
          <w:b/>
          <w:bCs/>
          <w:i/>
          <w:iCs/>
          <w:lang w:val="en-US"/>
        </w:rPr>
        <w:t>Experimental p</w:t>
      </w:r>
      <w:r w:rsidRPr="00353B30">
        <w:rPr>
          <w:b/>
          <w:bCs/>
          <w:i/>
          <w:iCs/>
          <w:lang w:val="en-US"/>
        </w:rPr>
        <w:t>rotocol</w:t>
      </w:r>
    </w:p>
    <w:p w14:paraId="72B91BCA" w14:textId="0E6969A4" w:rsidR="00391833" w:rsidRPr="00551EEF" w:rsidRDefault="00F40619" w:rsidP="00391833">
      <w:pPr>
        <w:spacing w:line="360" w:lineRule="auto"/>
        <w:jc w:val="both"/>
        <w:rPr>
          <w:lang w:val="en-US"/>
        </w:rPr>
      </w:pPr>
      <w:r w:rsidRPr="00F40619">
        <w:rPr>
          <w:lang w:val="en-US"/>
        </w:rPr>
        <w:t>The present study was part of a broader research project</w:t>
      </w:r>
      <w:r w:rsidR="00D475B4">
        <w:rPr>
          <w:lang w:val="en-US"/>
        </w:rPr>
        <w:t xml:space="preserve"> </w:t>
      </w:r>
      <w:r w:rsidRPr="00F40619">
        <w:rPr>
          <w:lang w:val="en-US"/>
        </w:rPr>
        <w:t xml:space="preserve">in which participants </w:t>
      </w:r>
      <w:r w:rsidR="00022606">
        <w:rPr>
          <w:lang w:val="en-US"/>
        </w:rPr>
        <w:t xml:space="preserve">first </w:t>
      </w:r>
      <w:r w:rsidR="00E913C9">
        <w:rPr>
          <w:lang w:val="en-US"/>
        </w:rPr>
        <w:t>complet</w:t>
      </w:r>
      <w:r w:rsidR="00022606">
        <w:rPr>
          <w:lang w:val="en-US"/>
        </w:rPr>
        <w:t xml:space="preserve">ed baseline </w:t>
      </w:r>
      <w:r w:rsidRPr="00F40619">
        <w:rPr>
          <w:lang w:val="en-US"/>
        </w:rPr>
        <w:t>cognitive–motor tests</w:t>
      </w:r>
      <w:r>
        <w:rPr>
          <w:lang w:val="en-US"/>
        </w:rPr>
        <w:t xml:space="preserve"> </w:t>
      </w:r>
      <w:r w:rsidRPr="00F40619">
        <w:rPr>
          <w:lang w:val="en-US"/>
        </w:rPr>
        <w:t xml:space="preserve">and </w:t>
      </w:r>
      <w:r w:rsidR="00022606">
        <w:rPr>
          <w:lang w:val="en-US"/>
        </w:rPr>
        <w:t xml:space="preserve">then </w:t>
      </w:r>
      <w:r w:rsidR="00E913C9">
        <w:rPr>
          <w:lang w:val="en-US"/>
        </w:rPr>
        <w:t xml:space="preserve">performed </w:t>
      </w:r>
      <w:r w:rsidR="00022606">
        <w:rPr>
          <w:lang w:val="en-US"/>
        </w:rPr>
        <w:t xml:space="preserve">sport-specific </w:t>
      </w:r>
      <w:r w:rsidRPr="00F40619">
        <w:rPr>
          <w:lang w:val="en-US"/>
        </w:rPr>
        <w:t>jump-land-jump tasks</w:t>
      </w:r>
      <w:r w:rsidR="00767551">
        <w:rPr>
          <w:lang w:val="en-US"/>
        </w:rPr>
        <w:t xml:space="preserve"> </w:t>
      </w:r>
      <w:r w:rsidR="00022606">
        <w:rPr>
          <w:lang w:val="en-US"/>
        </w:rPr>
        <w:t>with increasing levels of cognitive demand</w:t>
      </w:r>
      <w:r w:rsidR="00767551">
        <w:rPr>
          <w:lang w:val="en-US"/>
        </w:rPr>
        <w:fldChar w:fldCharType="begin"/>
      </w:r>
      <w:r w:rsidR="006F0364">
        <w:rPr>
          <w:lang w:val="en-US"/>
        </w:rPr>
        <w:instrText xml:space="preserve"> ADDIN ZOTERO_ITEM CSL_CITATION {"citationID":"aOk8E2OR","properties":{"formattedCitation":"\\super 26,27\\nosupersub{}","plainCitation":"26,27","noteIndex":0},"citationItems":[{"id":535,"uris":["http://zotero.org/users/18623031/items/UJYDUBPT"],"itemData":{"id":535,"type":"article-journal","container-title":"Journal of Biomechanics","DOI":"10.1016/j.jbiomech.2025.112883","ISSN":"00219290","journalAbbreviation":"Journal of Biomechanics","language":"en","page":"112883","source":"DOI.org (Crossref)","title":"Concurrent validity of IMU and phone-based markerless systems for lower-limb kinematics during cognitively-challenging landing tasks","volume":"191","author":[{"family":"Bertozzi","given":"Filippo"},{"family":"Brunetti","given":"Claudia"},{"family":"Maver","given":"Pietro"},{"family":"Palombi","given":"Marco"},{"family":"Santini","given":"Matilde"},{"family":"Galli","given":"Manuela"},{"family":"Tarabini","given":"Marco"}],"issued":{"date-parts":[["2025",10]]}}},{"id":539,"uris":["http://zotero.org/users/18623031/items/ZTLR4NDH"],"itemData":{"id":539,"type":"article-journal","container-title":"The Journal of Sports Medicine and Physical Fitness","DOI":"10.23736/S0022-4707.25.16608-5","ISSN":"00224707, 18271928","issue":"9","journalAbbreviation":"J Sports Med Phys Fitness","page":"1201-1209","source":"DOI.org (Crossref)","title":"Development and reliability of a framework to assess cognitive-motor function in sport","volume":"65","author":[{"family":"Bertozzi","given":"Filippo"},{"family":"Monfort","given":"Scott M."},{"family":"Di Giovanni","given":"Erica"},{"family":"Brunetti","given":"Claudia"},{"family":"Sforza","given":"Chiarella"},{"family":"Galli","given":"Manuela"},{"family":"Tarabini","given":"Marco"}],"issued":{"date-parts":[["2025",9]]}}}],"schema":"https://github.com/citation-style-language/schema/raw/master/csl-citation.json"} </w:instrText>
      </w:r>
      <w:r w:rsidR="00767551">
        <w:rPr>
          <w:lang w:val="en-US"/>
        </w:rPr>
        <w:fldChar w:fldCharType="separate"/>
      </w:r>
      <w:r w:rsidR="006F0364" w:rsidRPr="006F0364">
        <w:rPr>
          <w:rFonts w:ascii="Aptos" w:hAnsi="Aptos" w:cs="Times New Roman"/>
          <w:kern w:val="0"/>
          <w:vertAlign w:val="superscript"/>
          <w:lang w:val="en-US"/>
        </w:rPr>
        <w:t>26,27</w:t>
      </w:r>
      <w:r w:rsidR="00767551">
        <w:rPr>
          <w:lang w:val="en-US"/>
        </w:rPr>
        <w:fldChar w:fldCharType="end"/>
      </w:r>
      <w:r w:rsidRPr="00F40619">
        <w:rPr>
          <w:lang w:val="en-US"/>
        </w:rPr>
        <w:t>. The entire experimental session was conducted on a single day and lasted approximately 3 hours</w:t>
      </w:r>
      <w:r w:rsidR="00022606">
        <w:rPr>
          <w:lang w:val="en-US"/>
        </w:rPr>
        <w:t>,</w:t>
      </w:r>
      <w:r w:rsidRPr="00F40619">
        <w:rPr>
          <w:lang w:val="en-US"/>
        </w:rPr>
        <w:t xml:space="preserve"> </w:t>
      </w:r>
      <w:r w:rsidR="00022606">
        <w:rPr>
          <w:lang w:val="en-US"/>
        </w:rPr>
        <w:t>with</w:t>
      </w:r>
      <w:r w:rsidRPr="00F40619">
        <w:rPr>
          <w:lang w:val="en-US"/>
        </w:rPr>
        <w:t xml:space="preserve"> jump testing requir</w:t>
      </w:r>
      <w:r w:rsidR="00022606">
        <w:rPr>
          <w:lang w:val="en-US"/>
        </w:rPr>
        <w:t>ing</w:t>
      </w:r>
      <w:r w:rsidRPr="00F40619">
        <w:rPr>
          <w:lang w:val="en-US"/>
        </w:rPr>
        <w:t xml:space="preserve"> </w:t>
      </w:r>
      <w:r w:rsidR="00022606">
        <w:rPr>
          <w:lang w:val="en-US"/>
        </w:rPr>
        <w:t xml:space="preserve">around </w:t>
      </w:r>
      <w:r w:rsidRPr="00F40619">
        <w:rPr>
          <w:lang w:val="en-US"/>
        </w:rPr>
        <w:t>2 hours.</w:t>
      </w:r>
      <w:r w:rsidR="00D475B4" w:rsidRPr="00D475B4">
        <w:rPr>
          <w:lang w:val="en-US"/>
        </w:rPr>
        <w:t xml:space="preserve"> </w:t>
      </w:r>
      <w:r w:rsidR="00E913C9">
        <w:rPr>
          <w:lang w:val="en-US"/>
        </w:rPr>
        <w:t xml:space="preserve"> </w:t>
      </w:r>
      <w:r w:rsidR="00391833" w:rsidRPr="007A58E9">
        <w:rPr>
          <w:lang w:val="en-US"/>
        </w:rPr>
        <w:t>Before starting with jump-land-jump tasks, participants’ height and body mass were measured using a digital stadiometer and scale</w:t>
      </w:r>
      <w:r w:rsidR="00391833">
        <w:rPr>
          <w:lang w:val="en-US"/>
        </w:rPr>
        <w:t xml:space="preserve"> </w:t>
      </w:r>
      <w:r w:rsidR="00391833" w:rsidRPr="007A58E9">
        <w:rPr>
          <w:lang w:val="en-US"/>
        </w:rPr>
        <w:t xml:space="preserve">(Soehnle 7831, Soehnle GmbH, </w:t>
      </w:r>
      <w:proofErr w:type="spellStart"/>
      <w:r w:rsidR="00391833" w:rsidRPr="007A58E9">
        <w:rPr>
          <w:lang w:val="en-US"/>
        </w:rPr>
        <w:t>Backnang</w:t>
      </w:r>
      <w:proofErr w:type="spellEnd"/>
      <w:r w:rsidR="00391833" w:rsidRPr="007A58E9">
        <w:rPr>
          <w:lang w:val="en-US"/>
        </w:rPr>
        <w:t>, Germany)</w:t>
      </w:r>
      <w:r w:rsidR="00391833">
        <w:rPr>
          <w:lang w:val="en-US"/>
        </w:rPr>
        <w:t>, with a resolution of 0.1 cm and 0.1 kg</w:t>
      </w:r>
      <w:r w:rsidR="00022606">
        <w:rPr>
          <w:lang w:val="en-US"/>
        </w:rPr>
        <w:t>,</w:t>
      </w:r>
      <w:r w:rsidR="00391833">
        <w:rPr>
          <w:lang w:val="en-US"/>
        </w:rPr>
        <w:t xml:space="preserve"> respectively</w:t>
      </w:r>
      <w:r w:rsidR="00391833" w:rsidRPr="007A58E9">
        <w:rPr>
          <w:lang w:val="en-US"/>
        </w:rPr>
        <w:t>, and the dominant limb was identified as the preferred one to kick a ball as far as possible</w:t>
      </w:r>
      <w:r w:rsidR="00767551">
        <w:rPr>
          <w:lang w:val="en-US"/>
        </w:rPr>
        <w:fldChar w:fldCharType="begin"/>
      </w:r>
      <w:r w:rsidR="006F0364">
        <w:rPr>
          <w:lang w:val="en-US"/>
        </w:rPr>
        <w:instrText xml:space="preserve"> ADDIN ZOTERO_ITEM CSL_CITATION {"citationID":"Sp5keikK","properties":{"formattedCitation":"\\super 28\\nosupersub{}","plainCitation":"28","noteIndex":0},"citationItems":[{"id":548,"uris":["http://zotero.org/users/18623031/items/Y98K3ESN"],"itemData":{"id":548,"type":"article-journal","abstract":"Background:\n              Women present a higher anterior cruciate ligament (ACL) injury rate than men, suggesting sex-related biomechanical differences. Task characteristics are often fixed for both sexes, possibly affecting the perceived difficulty. We investigated kinematic sex differences across landing tasks for ACL injury risk assessment, adjusted to participants’ anthropometrics/performance, and whether different tasks affect kinematic sex comparisons.\n            \n            \n              Hypothesis:\n              Female subjects would exhibit motion patterns more associated with ACL injury risk, and sex-related differences may depend on task type.\n            \n            \n              Study Design:\n              Descriptive laboratory study.\n            \n            \n              Level of Evidence:\n              Level 3.\n            \n            \n              Methods:\n              A total of 27 female and 29 male amateur players (18-30 years) executed horizontal hop, drop jump (DJ), and DJ followed by vertical or forward jump (length, proportional to maximal forward jump; box, 20% participant’s height). An optoelectronic system provided lower limb kinematics at initial contact and peaks until maximum knee flexion (KF), analyzed separately by multivariate analysis of variance (MANOVA) (α = 0.05).\n            \n            \n              Results:\n              \n                At initial contact, the interaction term had significant effects on hip adduction (\n                P\n                &lt; 0.01) and knee abduction (KAb) (\n                P\n                = 0.04); female participants demonstrated higher KAb (\n                P\n                &lt; 0.01) and knee internal rotation (\n                P\n                = 0.05). For peaks analysis, the interaction term had no significant effects on any individual variable, although significant in MANOVA; female participants had higher KAb (\n                P\n                = 0.01) and lower KF (\n                P\n                = 0.04). Task type affected hip flexion and knee angles in both analyses.\n              \n            \n            \n              Conclusion:\n              All variables in which significant sex-related differences were found are potential ACL injury risk factors, and all findings indicate that the analyzed female sample exhibited higher injury-related patterns. Although customized, male and female participants showed different landing strategies depending on the task.\n            \n            \n              Clinical Relevance:\n              The findings underline how female participants adopted potentially harmful kinematics while executing customized landing tasks (adjusted by subject’s anthropometrics/performance), which may enhance risk of ACL injury.","container-title":"Sports Health: A Multidisciplinary Approach","DOI":"10.1177/19417381241236893","ISSN":"1941-7381, 1941-0921","issue":"2","journalAbbreviation":"Sports Health: A Multidisciplinary Approach","language":"en","page":"252-261","source":"DOI.org (Crossref)","title":"Customized Landing Task for ACL Injury Risk Assessment: Kinematic Sex-Related Differences","title-short":"Customized Landing Task for ACL Injury Risk Assessment","volume":"17","author":[{"family":"Brunetti","given":"Claudia"},{"family":"Rabello","given":"Rodrigo"},{"family":"Adragna","given":"Federico"},{"family":"Silva Zandonato","given":"Lucas"},{"family":"Zucchetti","given":"Alessandro"},{"family":"Bertozzi","given":"Filippo"},{"family":"Galli","given":"Manuela"},{"family":"Sforza","given":"Chiarella"}],"issued":{"date-parts":[["2025",3]]}}}],"schema":"https://github.com/citation-style-language/schema/raw/master/csl-citation.json"} </w:instrText>
      </w:r>
      <w:r w:rsidR="00767551">
        <w:rPr>
          <w:lang w:val="en-US"/>
        </w:rPr>
        <w:fldChar w:fldCharType="separate"/>
      </w:r>
      <w:r w:rsidR="006F0364" w:rsidRPr="006F0364">
        <w:rPr>
          <w:rFonts w:ascii="Aptos" w:hAnsi="Aptos" w:cs="Times New Roman"/>
          <w:kern w:val="0"/>
          <w:vertAlign w:val="superscript"/>
          <w:lang w:val="en-US"/>
        </w:rPr>
        <w:t>28</w:t>
      </w:r>
      <w:r w:rsidR="00767551">
        <w:rPr>
          <w:lang w:val="en-US"/>
        </w:rPr>
        <w:fldChar w:fldCharType="end"/>
      </w:r>
      <w:r w:rsidR="00391833" w:rsidRPr="007A58E9">
        <w:rPr>
          <w:lang w:val="en-US"/>
        </w:rPr>
        <w:t xml:space="preserve">. Participants’ </w:t>
      </w:r>
      <w:r w:rsidR="00022606">
        <w:rPr>
          <w:lang w:val="en-US"/>
        </w:rPr>
        <w:t>characteristics</w:t>
      </w:r>
      <w:r w:rsidR="00022606" w:rsidRPr="007A58E9">
        <w:rPr>
          <w:lang w:val="en-US"/>
        </w:rPr>
        <w:t xml:space="preserve"> </w:t>
      </w:r>
      <w:r w:rsidR="00391833" w:rsidRPr="007A58E9">
        <w:rPr>
          <w:lang w:val="en-US"/>
        </w:rPr>
        <w:t xml:space="preserve">are </w:t>
      </w:r>
      <w:r w:rsidR="00022606">
        <w:rPr>
          <w:lang w:val="en-US"/>
        </w:rPr>
        <w:t>reported</w:t>
      </w:r>
      <w:r w:rsidR="00022606" w:rsidRPr="00551EEF">
        <w:rPr>
          <w:lang w:val="en-US"/>
        </w:rPr>
        <w:t xml:space="preserve"> </w:t>
      </w:r>
      <w:r w:rsidR="00391833" w:rsidRPr="00551EEF">
        <w:rPr>
          <w:lang w:val="en-US"/>
        </w:rPr>
        <w:t>in Table 1.</w:t>
      </w:r>
    </w:p>
    <w:p w14:paraId="426C0D2B" w14:textId="77777777" w:rsidR="00391833" w:rsidRPr="00F40619" w:rsidRDefault="00391833" w:rsidP="00391833">
      <w:pPr>
        <w:spacing w:line="360" w:lineRule="auto"/>
        <w:jc w:val="center"/>
        <w:rPr>
          <w:u w:val="single"/>
          <w:lang w:val="en-US"/>
        </w:rPr>
      </w:pPr>
      <w:r w:rsidRPr="00551EEF">
        <w:rPr>
          <w:u w:val="single"/>
          <w:lang w:val="en-US"/>
        </w:rPr>
        <w:t>TABLE 1 NEAR HERE</w:t>
      </w:r>
    </w:p>
    <w:p w14:paraId="6E95BC5E" w14:textId="51406508" w:rsidR="00F40619" w:rsidRPr="00F853D4" w:rsidRDefault="001856FC" w:rsidP="00F40619">
      <w:pPr>
        <w:spacing w:line="360" w:lineRule="auto"/>
        <w:jc w:val="both"/>
        <w:rPr>
          <w:lang w:val="en-US"/>
        </w:rPr>
      </w:pPr>
      <w:r>
        <w:rPr>
          <w:lang w:val="en-US"/>
        </w:rPr>
        <w:t>P</w:t>
      </w:r>
      <w:r w:rsidR="00391833" w:rsidRPr="007A58E9">
        <w:rPr>
          <w:lang w:val="en-US"/>
        </w:rPr>
        <w:t xml:space="preserve">articipants </w:t>
      </w:r>
      <w:r w:rsidR="00391833">
        <w:rPr>
          <w:lang w:val="en-US"/>
        </w:rPr>
        <w:t xml:space="preserve">performed a standardized </w:t>
      </w:r>
      <w:r w:rsidR="00391833" w:rsidRPr="007A58E9">
        <w:rPr>
          <w:lang w:val="en-US"/>
        </w:rPr>
        <w:t>warm</w:t>
      </w:r>
      <w:r w:rsidR="00391833">
        <w:rPr>
          <w:lang w:val="en-US"/>
        </w:rPr>
        <w:t>-</w:t>
      </w:r>
      <w:r w:rsidR="00391833" w:rsidRPr="007A58E9">
        <w:rPr>
          <w:lang w:val="en-US"/>
        </w:rPr>
        <w:t>up</w:t>
      </w:r>
      <w:r w:rsidR="00391833">
        <w:rPr>
          <w:lang w:val="en-US"/>
        </w:rPr>
        <w:t>, including</w:t>
      </w:r>
      <w:r w:rsidR="00391833" w:rsidRPr="007A58E9">
        <w:rPr>
          <w:lang w:val="en-US"/>
        </w:rPr>
        <w:t xml:space="preserve"> squats, vertical jumps, and drop jumps</w:t>
      </w:r>
      <w:r w:rsidR="00391833">
        <w:rPr>
          <w:lang w:val="en-US"/>
        </w:rPr>
        <w:t>, and they were allowed to familiarize themselves with the jump-land-jump tasks</w:t>
      </w:r>
      <w:r w:rsidR="00022606">
        <w:rPr>
          <w:lang w:val="en-US"/>
        </w:rPr>
        <w:t xml:space="preserve"> before initiating the protocol</w:t>
      </w:r>
      <w:r w:rsidR="00391833">
        <w:rPr>
          <w:lang w:val="en-US"/>
        </w:rPr>
        <w:t>.</w:t>
      </w:r>
      <w:r w:rsidR="00E913C9">
        <w:rPr>
          <w:lang w:val="en-US"/>
        </w:rPr>
        <w:t xml:space="preserve"> </w:t>
      </w:r>
      <w:r w:rsidR="00022606">
        <w:rPr>
          <w:lang w:val="en-US"/>
        </w:rPr>
        <w:t>They</w:t>
      </w:r>
      <w:r w:rsidR="00022606" w:rsidRPr="00D475B4">
        <w:rPr>
          <w:lang w:val="en-US"/>
        </w:rPr>
        <w:t xml:space="preserve"> </w:t>
      </w:r>
      <w:r w:rsidR="00D475B4" w:rsidRPr="00D475B4">
        <w:rPr>
          <w:lang w:val="en-US"/>
        </w:rPr>
        <w:t xml:space="preserve">were instructed to jump from a 30-cm box </w:t>
      </w:r>
      <w:r w:rsidR="00D475B4">
        <w:rPr>
          <w:lang w:val="en-US"/>
        </w:rPr>
        <w:t>placed</w:t>
      </w:r>
      <w:r w:rsidR="00D475B4" w:rsidRPr="00D475B4">
        <w:rPr>
          <w:lang w:val="en-US"/>
        </w:rPr>
        <w:t xml:space="preserve"> at a distance equal to 50% of their height from two force plates, land with one foot on each plate, and immediately perform a subsequent jump at a 45° angle to the right or left</w:t>
      </w:r>
      <w:r w:rsidR="009E7ECD">
        <w:rPr>
          <w:lang w:val="en-US"/>
        </w:rPr>
        <w:fldChar w:fldCharType="begin"/>
      </w:r>
      <w:r w:rsidR="006F0364">
        <w:rPr>
          <w:lang w:val="en-US"/>
        </w:rPr>
        <w:instrText xml:space="preserve"> ADDIN ZOTERO_ITEM CSL_CITATION {"citationID":"Op6Z6L6d","properties":{"formattedCitation":"\\super 26\\nosupersub{}","plainCitation":"26","noteIndex":0},"citationItems":[{"id":535,"uris":["http://zotero.org/users/18623031/items/UJYDUBPT"],"itemData":{"id":535,"type":"article-journal","container-title":"Journal of Biomechanics","DOI":"10.1016/j.jbiomech.2025.112883","ISSN":"00219290","journalAbbreviation":"Journal of Biomechanics","language":"en","page":"112883","source":"DOI.org (Crossref)","title":"Concurrent validity of IMU and phone-based markerless systems for lower-limb kinematics during cognitively-challenging landing tasks","volume":"191","author":[{"family":"Bertozzi","given":"Filippo"},{"family":"Brunetti","given":"Claudia"},{"family":"Maver","given":"Pietro"},{"family":"Palombi","given":"Marco"},{"family":"Santini","given":"Matilde"},{"family":"Galli","given":"Manuela"},{"family":"Tarabini","given":"Marco"}],"issued":{"date-parts":[["2025",10]]}}}],"schema":"https://github.com/citation-style-language/schema/raw/master/csl-citation.json"} </w:instrText>
      </w:r>
      <w:r w:rsidR="009E7ECD">
        <w:rPr>
          <w:lang w:val="en-US"/>
        </w:rPr>
        <w:fldChar w:fldCharType="separate"/>
      </w:r>
      <w:r w:rsidR="006F0364" w:rsidRPr="006F0364">
        <w:rPr>
          <w:rFonts w:ascii="Aptos" w:hAnsi="Aptos" w:cs="Times New Roman"/>
          <w:kern w:val="0"/>
          <w:vertAlign w:val="superscript"/>
          <w:lang w:val="en-US"/>
        </w:rPr>
        <w:t>26</w:t>
      </w:r>
      <w:r w:rsidR="009E7ECD">
        <w:rPr>
          <w:lang w:val="en-US"/>
        </w:rPr>
        <w:fldChar w:fldCharType="end"/>
      </w:r>
      <w:r w:rsidR="00D475B4">
        <w:rPr>
          <w:lang w:val="en-US"/>
        </w:rPr>
        <w:t xml:space="preserve">. The direction of the secondary jump was indicated by </w:t>
      </w:r>
      <w:r w:rsidR="007E649F">
        <w:rPr>
          <w:lang w:val="en-US"/>
        </w:rPr>
        <w:t xml:space="preserve">two smart </w:t>
      </w:r>
      <w:r w:rsidR="007E649F" w:rsidRPr="001E73F1">
        <w:rPr>
          <w:lang w:val="en-US"/>
        </w:rPr>
        <w:t>indicators (</w:t>
      </w:r>
      <w:proofErr w:type="spellStart"/>
      <w:r w:rsidR="001E73F1" w:rsidRPr="001E73F1">
        <w:rPr>
          <w:lang w:val="en-US"/>
        </w:rPr>
        <w:t>WittyS</w:t>
      </w:r>
      <w:r w:rsidR="001E73F1">
        <w:rPr>
          <w:lang w:val="en-US"/>
        </w:rPr>
        <w:t>E</w:t>
      </w:r>
      <w:r w:rsidR="001E73F1" w:rsidRPr="001E73F1">
        <w:rPr>
          <w:lang w:val="en-US"/>
        </w:rPr>
        <w:t>M</w:t>
      </w:r>
      <w:proofErr w:type="spellEnd"/>
      <w:r w:rsidR="001E73F1" w:rsidRPr="001E73F1">
        <w:rPr>
          <w:lang w:val="en-US"/>
        </w:rPr>
        <w:t>, Microgate Srl, Bolzano, Italy</w:t>
      </w:r>
      <w:r w:rsidR="007E649F" w:rsidRPr="001E73F1">
        <w:rPr>
          <w:lang w:val="en-US"/>
        </w:rPr>
        <w:t>) positioned</w:t>
      </w:r>
      <w:r w:rsidR="007E649F">
        <w:rPr>
          <w:lang w:val="en-US"/>
        </w:rPr>
        <w:t xml:space="preserve"> 2 m away from the anterior edge of the force plates at a 45° angle, to stimul</w:t>
      </w:r>
      <w:r w:rsidR="003A5DFB">
        <w:rPr>
          <w:lang w:val="en-US"/>
        </w:rPr>
        <w:t>ate</w:t>
      </w:r>
      <w:r w:rsidR="007E649F">
        <w:rPr>
          <w:lang w:val="en-US"/>
        </w:rPr>
        <w:t xml:space="preserve"> peripheral vision. The jump-land-jump tasks were performed under </w:t>
      </w:r>
      <w:r w:rsidR="00754ABC">
        <w:rPr>
          <w:lang w:val="en-US"/>
        </w:rPr>
        <w:t>three</w:t>
      </w:r>
      <w:r w:rsidR="007E649F">
        <w:rPr>
          <w:lang w:val="en-US"/>
        </w:rPr>
        <w:t xml:space="preserve"> conditions: anticipated (ANT), unanticipated (UNA), and cognitively-challenging (COG)</w:t>
      </w:r>
      <w:r w:rsidR="007E649F" w:rsidRPr="00F853D4">
        <w:rPr>
          <w:lang w:val="en-US"/>
        </w:rPr>
        <w:t xml:space="preserve">. </w:t>
      </w:r>
    </w:p>
    <w:p w14:paraId="1A1325CE" w14:textId="341F3539" w:rsidR="00F853D4" w:rsidRDefault="007E649F" w:rsidP="007A58E9">
      <w:pPr>
        <w:spacing w:line="360" w:lineRule="auto"/>
        <w:jc w:val="both"/>
        <w:rPr>
          <w:lang w:val="en-US"/>
        </w:rPr>
      </w:pPr>
      <w:r>
        <w:rPr>
          <w:lang w:val="en-US"/>
        </w:rPr>
        <w:t xml:space="preserve">In </w:t>
      </w:r>
      <w:r w:rsidR="0027184C">
        <w:rPr>
          <w:lang w:val="en-US"/>
        </w:rPr>
        <w:t xml:space="preserve">the </w:t>
      </w:r>
      <w:r>
        <w:rPr>
          <w:lang w:val="en-US"/>
        </w:rPr>
        <w:t xml:space="preserve">ANT condition, one smart indicator was already turned on (green light) before the beginning of the trial, thus the participant knew a priori the direction of the secondary jump. </w:t>
      </w:r>
      <w:r w:rsidR="003A5DFB">
        <w:rPr>
          <w:lang w:val="en-US"/>
        </w:rPr>
        <w:t xml:space="preserve">In </w:t>
      </w:r>
      <w:r w:rsidR="00E21E58">
        <w:rPr>
          <w:lang w:val="en-US"/>
        </w:rPr>
        <w:t xml:space="preserve">both </w:t>
      </w:r>
      <w:r w:rsidR="003A5DFB">
        <w:rPr>
          <w:lang w:val="en-US"/>
        </w:rPr>
        <w:t>UNA and COG condition</w:t>
      </w:r>
      <w:r w:rsidR="001E64CC">
        <w:rPr>
          <w:lang w:val="en-US"/>
        </w:rPr>
        <w:t>s</w:t>
      </w:r>
      <w:r w:rsidR="003A5DFB">
        <w:rPr>
          <w:lang w:val="en-US"/>
        </w:rPr>
        <w:t xml:space="preserve">, the smart indicators were triggered by </w:t>
      </w:r>
      <w:r w:rsidR="003A5DFB">
        <w:rPr>
          <w:lang w:val="en-US"/>
        </w:rPr>
        <w:t xml:space="preserve">a </w:t>
      </w:r>
      <w:r w:rsidR="003A5DFB" w:rsidRPr="001E73F1">
        <w:rPr>
          <w:lang w:val="en-US"/>
        </w:rPr>
        <w:t xml:space="preserve">photocell </w:t>
      </w:r>
      <w:r w:rsidR="00E21E58" w:rsidRPr="001E73F1">
        <w:rPr>
          <w:lang w:val="en-US"/>
        </w:rPr>
        <w:t>(</w:t>
      </w:r>
      <w:r w:rsidR="001E73F1" w:rsidRPr="001E73F1">
        <w:rPr>
          <w:lang w:val="en-US"/>
        </w:rPr>
        <w:t>WittyGATE, Microgate Srl, Bolzano, Italy</w:t>
      </w:r>
      <w:r w:rsidR="00E21E58" w:rsidRPr="001E73F1">
        <w:rPr>
          <w:lang w:val="en-US"/>
        </w:rPr>
        <w:t>)</w:t>
      </w:r>
      <w:r w:rsidR="00E21E58">
        <w:rPr>
          <w:lang w:val="en-US"/>
        </w:rPr>
        <w:t xml:space="preserve"> properly</w:t>
      </w:r>
      <w:r w:rsidR="003A5DFB">
        <w:rPr>
          <w:lang w:val="en-US"/>
        </w:rPr>
        <w:t xml:space="preserve"> </w:t>
      </w:r>
      <w:r w:rsidR="003A5DFB" w:rsidRPr="003A5DFB">
        <w:rPr>
          <w:lang w:val="en-US"/>
        </w:rPr>
        <w:t xml:space="preserve">positioned between the box and the force plates </w:t>
      </w:r>
      <w:r w:rsidR="003A5DFB">
        <w:rPr>
          <w:lang w:val="en-US"/>
        </w:rPr>
        <w:t xml:space="preserve">to activate the visual cue </w:t>
      </w:r>
      <w:r w:rsidR="003A5DFB" w:rsidRPr="003A5DFB">
        <w:rPr>
          <w:lang w:val="en-US"/>
        </w:rPr>
        <w:t>during the flight phase</w:t>
      </w:r>
      <w:r w:rsidR="003E2048">
        <w:rPr>
          <w:lang w:val="en-US"/>
        </w:rPr>
        <w:t xml:space="preserve"> (</w:t>
      </w:r>
      <w:r w:rsidR="003A5DFB" w:rsidRPr="003A5DFB">
        <w:rPr>
          <w:lang w:val="en-US"/>
        </w:rPr>
        <w:t>250-300 ms before ground contact</w:t>
      </w:r>
      <w:r w:rsidR="00E21E58">
        <w:rPr>
          <w:lang w:val="en-US"/>
        </w:rPr>
        <w:t xml:space="preserve">), </w:t>
      </w:r>
      <w:r w:rsidR="00E21E58" w:rsidRPr="00E21E58">
        <w:rPr>
          <w:lang w:val="en-US"/>
        </w:rPr>
        <w:t xml:space="preserve">allowing </w:t>
      </w:r>
      <w:r w:rsidR="001E64CC" w:rsidRPr="00E21E58">
        <w:rPr>
          <w:lang w:val="en-US"/>
        </w:rPr>
        <w:t>adequate</w:t>
      </w:r>
      <w:r w:rsidR="00E21E58" w:rsidRPr="00E21E58">
        <w:rPr>
          <w:lang w:val="en-US"/>
        </w:rPr>
        <w:t xml:space="preserve"> time </w:t>
      </w:r>
      <w:r w:rsidR="00E21E58">
        <w:rPr>
          <w:lang w:val="en-US"/>
        </w:rPr>
        <w:t>to react</w:t>
      </w:r>
      <w:r w:rsidR="002717A0">
        <w:rPr>
          <w:lang w:val="en-US"/>
        </w:rPr>
        <w:fldChar w:fldCharType="begin"/>
      </w:r>
      <w:r w:rsidR="006F0364">
        <w:rPr>
          <w:lang w:val="en-US"/>
        </w:rPr>
        <w:instrText xml:space="preserve"> ADDIN ZOTERO_ITEM CSL_CITATION {"citationID":"AWAXL2lV","properties":{"formattedCitation":"\\super 12,15\\nosupersub{}","plainCitation":"12,15","noteIndex":0},"citationItems":[{"id":338,"uris":["http://zotero.org/users/18623031/items/37TN3JPX"],"itemData":{"id":338,"type":"article-journal","abstract":"BACKGROUND In spite of ongoing prevention developments, anterior cruciate ligament injury rates and the associated sex-disparity have remained, suggesting an incomplete understanding of the injury mechanism. While both fatigue and decision making are known in isolation to directly impact anterior cruciate ligament injury risk, their combined manifestations remain unknown. We thus examined the combined effects of fatigue and decision making on lower limb kinematics during sports relevant landings. METHODS Twenty five female National College Athletic Association athletes had initial contact and peak stance phase 3D lower limb joint kinematics quantified during anticipated and unanticipated single (left and right) leg landings, both before and during the accumulation of fatigue. Jump direction was governed by light stimuli activated prior to and during the pre-land phase of respective anticipated and unanticipated trials. To induce fatigue, subjects performed repetitive squat (n=5) and randomly ordered jump sequences, until squats were no longer possible. Subject-based measures of each dependent factor were then calculated across pre-fatigue trials, and for those denoting 100% and 50% fatigue, and submitted to a 3-way mixed design analysis of covariance to test for the main effects of fatigue time, decision and leg. FINDINGS Fatigue caused significant increases in initial contact hip extension and internal rotation, and in peak stance knee abduction and internal rotation and ankle supination angles. Fatigue-induced increases in initial contact hip rotations and in peak knee abduction angle were also significantly more pronounced during unanticipated compared to anticipated landings. INTERPRETATION The integrative effects of fatigue and decision making may represent a worst case scenario in terms of anterior cruciate ligament injury risk during dynamic single leg landings, by perpetuating substantial degradation and overload of central control mechanisms.","container-title":"Clinical biomechanics (Bristol, Avon)","DOI":"10.1016/j.clinbiomech.2007.08.008","ISSN":"0268-0033","issue":"1","page":"81-92","PMID":"17889972","title":"Combined effects of fatigue and decision making on female lower limb landing postures: central and peripheral contributions to ACL injury risk.","volume":"23","author":[{"family":"Borotikar","given":"Bhushan S."},{"family":"Newcomer","given":"Rhonda"},{"family":"Koppes","given":"Ryan"},{"family":"McLean","given":"Scott G."}],"issued":{"date-parts":[["2008",10]]}}},{"id":705,"uris":["http://zotero.org/users/18623031/items/5D6DGPRR"],"itemData":{"id":705,"type":"article-journal","container-title":"Sports Biomechanics","DOI":"10.1080/14763141.2021.1898671","ISSN":"1476-3141, 1752-6116","issue":"1","journalAbbreviation":"Sports Biomechanics","language":"en","page":"30-45","source":"DOI.org (Crossref)","title":"The influence of decision making and divided attention on lower limb biomechanics associated with anterior cruciate ligament injury: a narrative review","title-short":"The influence of decision making and divided attention on lower limb biomechanics associated with anterior cruciate ligament injury","volume":"22","author":[{"family":"Hughes","given":"Gerwyn"},{"family":"Dai","given":"Boyi"}],"issued":{"date-parts":[["2023",1,2]]}}}],"schema":"https://github.com/citation-style-language/schema/raw/master/csl-citation.json"} </w:instrText>
      </w:r>
      <w:r w:rsidR="002717A0">
        <w:rPr>
          <w:lang w:val="en-US"/>
        </w:rPr>
        <w:fldChar w:fldCharType="separate"/>
      </w:r>
      <w:r w:rsidR="006F0364" w:rsidRPr="006F0364">
        <w:rPr>
          <w:rFonts w:ascii="Aptos" w:hAnsi="Aptos" w:cs="Times New Roman"/>
          <w:kern w:val="0"/>
          <w:vertAlign w:val="superscript"/>
          <w:lang w:val="en-US"/>
        </w:rPr>
        <w:t>12,15</w:t>
      </w:r>
      <w:r w:rsidR="002717A0">
        <w:rPr>
          <w:lang w:val="en-US"/>
        </w:rPr>
        <w:fldChar w:fldCharType="end"/>
      </w:r>
      <w:r w:rsidR="00CC1940">
        <w:rPr>
          <w:lang w:val="en-US"/>
        </w:rPr>
        <w:t xml:space="preserve">. </w:t>
      </w:r>
      <w:r w:rsidR="0087163C">
        <w:rPr>
          <w:lang w:val="en-US"/>
        </w:rPr>
        <w:t>In</w:t>
      </w:r>
      <w:r w:rsidR="00D25F1E">
        <w:rPr>
          <w:lang w:val="en-US"/>
        </w:rPr>
        <w:t xml:space="preserve"> the</w:t>
      </w:r>
      <w:r w:rsidR="0087163C">
        <w:rPr>
          <w:lang w:val="en-US"/>
        </w:rPr>
        <w:t xml:space="preserve"> UNA condition, one </w:t>
      </w:r>
      <w:r w:rsidR="00034603">
        <w:rPr>
          <w:lang w:val="en-US"/>
        </w:rPr>
        <w:t xml:space="preserve">of the </w:t>
      </w:r>
      <w:r w:rsidR="0087163C">
        <w:rPr>
          <w:lang w:val="en-US"/>
        </w:rPr>
        <w:t>smart indicator</w:t>
      </w:r>
      <w:r w:rsidR="00034603">
        <w:rPr>
          <w:lang w:val="en-US"/>
        </w:rPr>
        <w:t>s</w:t>
      </w:r>
      <w:r w:rsidR="0087163C">
        <w:rPr>
          <w:lang w:val="en-US"/>
        </w:rPr>
        <w:t xml:space="preserve"> turned green</w:t>
      </w:r>
      <w:r w:rsidR="0059247F">
        <w:rPr>
          <w:lang w:val="en-US"/>
        </w:rPr>
        <w:t>,</w:t>
      </w:r>
      <w:r w:rsidR="0087163C">
        <w:rPr>
          <w:lang w:val="en-US"/>
        </w:rPr>
        <w:t xml:space="preserve"> indicating the direction of the secondary jump. Finally, in </w:t>
      </w:r>
      <w:r w:rsidR="00D25F1E">
        <w:rPr>
          <w:lang w:val="en-US"/>
        </w:rPr>
        <w:t xml:space="preserve">the </w:t>
      </w:r>
      <w:r w:rsidR="0087163C">
        <w:rPr>
          <w:lang w:val="en-US"/>
        </w:rPr>
        <w:t xml:space="preserve">COG condition, the smart indicators could display </w:t>
      </w:r>
      <w:r w:rsidR="00E9226E">
        <w:rPr>
          <w:lang w:val="en-US"/>
        </w:rPr>
        <w:t xml:space="preserve">three </w:t>
      </w:r>
      <w:r w:rsidR="0087163C">
        <w:rPr>
          <w:lang w:val="en-US"/>
        </w:rPr>
        <w:t>color combinations</w:t>
      </w:r>
      <w:r w:rsidR="001E64CC">
        <w:rPr>
          <w:lang w:val="en-US"/>
        </w:rPr>
        <w:t>, to further increase the cognitive load</w:t>
      </w:r>
      <w:r w:rsidR="0087163C">
        <w:rPr>
          <w:lang w:val="en-US"/>
        </w:rPr>
        <w:t xml:space="preserve">: </w:t>
      </w:r>
      <w:r w:rsidR="00034603" w:rsidRPr="00034603">
        <w:rPr>
          <w:lang w:val="en-US"/>
        </w:rPr>
        <w:t xml:space="preserve">one </w:t>
      </w:r>
      <w:r w:rsidR="00034603">
        <w:rPr>
          <w:lang w:val="en-US"/>
        </w:rPr>
        <w:t xml:space="preserve">of the </w:t>
      </w:r>
      <w:r w:rsidR="00034603" w:rsidRPr="00034603">
        <w:rPr>
          <w:lang w:val="en-US"/>
        </w:rPr>
        <w:t>smart indicator</w:t>
      </w:r>
      <w:r w:rsidR="00034603">
        <w:rPr>
          <w:lang w:val="en-US"/>
        </w:rPr>
        <w:t>s</w:t>
      </w:r>
      <w:r w:rsidR="00034603" w:rsidRPr="00034603">
        <w:rPr>
          <w:lang w:val="en-US"/>
        </w:rPr>
        <w:t xml:space="preserve"> turned green </w:t>
      </w:r>
      <w:r w:rsidR="00034603">
        <w:rPr>
          <w:lang w:val="en-US"/>
        </w:rPr>
        <w:t>indicating the direction of the secondary jump</w:t>
      </w:r>
      <w:r w:rsidR="00C54E68">
        <w:rPr>
          <w:lang w:val="en-US"/>
        </w:rPr>
        <w:t xml:space="preserve">, </w:t>
      </w:r>
      <w:r w:rsidR="00034603">
        <w:rPr>
          <w:lang w:val="en-US"/>
        </w:rPr>
        <w:t>similarly to</w:t>
      </w:r>
      <w:r w:rsidR="00D25F1E">
        <w:rPr>
          <w:lang w:val="en-US"/>
        </w:rPr>
        <w:t xml:space="preserve"> the</w:t>
      </w:r>
      <w:r w:rsidR="00034603">
        <w:rPr>
          <w:lang w:val="en-US"/>
        </w:rPr>
        <w:t xml:space="preserve"> UNA condition</w:t>
      </w:r>
      <w:r w:rsidR="00B73DB8">
        <w:rPr>
          <w:lang w:val="en-US"/>
        </w:rPr>
        <w:t xml:space="preserve"> (green-off)</w:t>
      </w:r>
      <w:r w:rsidR="00034603">
        <w:rPr>
          <w:lang w:val="en-US"/>
        </w:rPr>
        <w:t xml:space="preserve">; one smart indicator turned green and the other turned blue, </w:t>
      </w:r>
      <w:r w:rsidR="0059247F" w:rsidRPr="0059247F">
        <w:rPr>
          <w:lang w:val="en-US"/>
        </w:rPr>
        <w:t xml:space="preserve">with the blue </w:t>
      </w:r>
      <w:r w:rsidR="0059247F">
        <w:rPr>
          <w:lang w:val="en-US"/>
        </w:rPr>
        <w:t>one</w:t>
      </w:r>
      <w:r w:rsidR="0059247F" w:rsidRPr="0059247F">
        <w:rPr>
          <w:lang w:val="en-US"/>
        </w:rPr>
        <w:t xml:space="preserve"> specifying the direction of the secondary jump</w:t>
      </w:r>
      <w:r w:rsidR="00B73DB8">
        <w:rPr>
          <w:lang w:val="en-US"/>
        </w:rPr>
        <w:t xml:space="preserve"> (blue-green</w:t>
      </w:r>
      <w:r w:rsidR="00F853D4">
        <w:rPr>
          <w:lang w:val="en-US"/>
        </w:rPr>
        <w:t xml:space="preserve">, represented in </w:t>
      </w:r>
      <w:r w:rsidR="00F853D4" w:rsidRPr="00F853D4">
        <w:rPr>
          <w:lang w:val="en-US"/>
        </w:rPr>
        <w:t>Figure 1)</w:t>
      </w:r>
      <w:r w:rsidR="0059247F">
        <w:rPr>
          <w:lang w:val="en-US"/>
        </w:rPr>
        <w:t xml:space="preserve">; </w:t>
      </w:r>
      <w:r w:rsidR="0059247F" w:rsidRPr="0059247F">
        <w:rPr>
          <w:lang w:val="en-US"/>
        </w:rPr>
        <w:t xml:space="preserve">one </w:t>
      </w:r>
      <w:r w:rsidR="0059247F">
        <w:rPr>
          <w:lang w:val="en-US"/>
        </w:rPr>
        <w:t xml:space="preserve">indicator turned </w:t>
      </w:r>
      <w:r w:rsidR="0059247F" w:rsidRPr="0059247F">
        <w:rPr>
          <w:lang w:val="en-US"/>
        </w:rPr>
        <w:t xml:space="preserve">green and </w:t>
      </w:r>
      <w:r w:rsidR="0059247F">
        <w:rPr>
          <w:lang w:val="en-US"/>
        </w:rPr>
        <w:t>the other turned red</w:t>
      </w:r>
      <w:r w:rsidR="0059247F" w:rsidRPr="0059247F">
        <w:rPr>
          <w:lang w:val="en-US"/>
        </w:rPr>
        <w:t>, indicating that the participant was required to stop on the force plates without performing the secondary jump</w:t>
      </w:r>
      <w:r w:rsidR="00B73DB8">
        <w:rPr>
          <w:lang w:val="en-US"/>
        </w:rPr>
        <w:t xml:space="preserve"> (red-green)</w:t>
      </w:r>
      <w:r w:rsidR="0059247F" w:rsidRPr="0059247F">
        <w:rPr>
          <w:lang w:val="en-US"/>
        </w:rPr>
        <w:t>.</w:t>
      </w:r>
      <w:r w:rsidR="001A7C33">
        <w:rPr>
          <w:lang w:val="en-US"/>
        </w:rPr>
        <w:t xml:space="preserve"> </w:t>
      </w:r>
    </w:p>
    <w:p w14:paraId="288D1EC1" w14:textId="5F05E303" w:rsidR="00F853D4" w:rsidRPr="00F853D4" w:rsidRDefault="00F853D4" w:rsidP="00F853D4">
      <w:pPr>
        <w:spacing w:line="360" w:lineRule="auto"/>
        <w:jc w:val="center"/>
        <w:rPr>
          <w:u w:val="single"/>
          <w:lang w:val="en-US"/>
        </w:rPr>
      </w:pPr>
      <w:r w:rsidRPr="00F853D4">
        <w:rPr>
          <w:u w:val="single"/>
          <w:lang w:val="en-US"/>
        </w:rPr>
        <w:lastRenderedPageBreak/>
        <w:t>FIGURE 1 NEAR HERE</w:t>
      </w:r>
    </w:p>
    <w:p w14:paraId="66B6D068" w14:textId="2C49991C" w:rsidR="007E649F" w:rsidRPr="00C54E68" w:rsidRDefault="001A7C33" w:rsidP="007A58E9">
      <w:pPr>
        <w:spacing w:line="360" w:lineRule="auto"/>
        <w:jc w:val="both"/>
        <w:rPr>
          <w:highlight w:val="cyan"/>
          <w:lang w:val="en-US"/>
        </w:rPr>
      </w:pPr>
      <w:r>
        <w:rPr>
          <w:lang w:val="en-US"/>
        </w:rPr>
        <w:t>The task conditions were performed in a randomized order</w:t>
      </w:r>
      <w:r w:rsidR="00C54E68">
        <w:rPr>
          <w:lang w:val="en-US"/>
        </w:rPr>
        <w:t>, and e</w:t>
      </w:r>
      <w:r w:rsidR="00C54E68" w:rsidRPr="00C54E68">
        <w:rPr>
          <w:lang w:val="en-US"/>
        </w:rPr>
        <w:t xml:space="preserve">ach condition ended when the participant completed at least </w:t>
      </w:r>
      <w:r w:rsidR="00754ABC">
        <w:rPr>
          <w:lang w:val="en-US"/>
        </w:rPr>
        <w:t>three</w:t>
      </w:r>
      <w:r w:rsidR="00C54E68" w:rsidRPr="00C54E68">
        <w:rPr>
          <w:lang w:val="en-US"/>
        </w:rPr>
        <w:t xml:space="preserve"> valid jumps </w:t>
      </w:r>
      <w:r w:rsidR="00C54E68">
        <w:rPr>
          <w:lang w:val="en-US"/>
        </w:rPr>
        <w:t>per direction</w:t>
      </w:r>
      <w:r w:rsidR="00C54E68" w:rsidRPr="00C54E68">
        <w:rPr>
          <w:lang w:val="en-US"/>
        </w:rPr>
        <w:t xml:space="preserve"> (in </w:t>
      </w:r>
      <w:r w:rsidR="0027184C">
        <w:rPr>
          <w:lang w:val="en-US"/>
        </w:rPr>
        <w:t xml:space="preserve">the </w:t>
      </w:r>
      <w:r w:rsidR="00C54E68" w:rsidRPr="00C54E68">
        <w:rPr>
          <w:lang w:val="en-US"/>
        </w:rPr>
        <w:t>COG condition, for each color combination)</w:t>
      </w:r>
      <w:r w:rsidR="001E64CC">
        <w:rPr>
          <w:lang w:val="en-US"/>
        </w:rPr>
        <w:t xml:space="preserve">. A </w:t>
      </w:r>
      <w:r w:rsidR="001E64CC" w:rsidRPr="00076535">
        <w:rPr>
          <w:lang w:val="en-US"/>
        </w:rPr>
        <w:t>rest</w:t>
      </w:r>
      <w:r w:rsidR="001E64CC">
        <w:rPr>
          <w:lang w:val="en-US"/>
        </w:rPr>
        <w:t xml:space="preserve"> of </w:t>
      </w:r>
      <w:r w:rsidR="00076535" w:rsidRPr="00076535">
        <w:rPr>
          <w:lang w:val="en-US"/>
        </w:rPr>
        <w:t xml:space="preserve">1 </w:t>
      </w:r>
      <w:r w:rsidR="001E64CC">
        <w:rPr>
          <w:lang w:val="en-US"/>
        </w:rPr>
        <w:t xml:space="preserve">minute </w:t>
      </w:r>
      <w:r w:rsidR="00076535" w:rsidRPr="00076535">
        <w:rPr>
          <w:lang w:val="en-US"/>
        </w:rPr>
        <w:t>between trials and 3 minutes between conditions</w:t>
      </w:r>
      <w:r w:rsidR="00076535">
        <w:rPr>
          <w:lang w:val="en-US"/>
        </w:rPr>
        <w:t xml:space="preserve"> (or after </w:t>
      </w:r>
      <w:r w:rsidR="00E9226E">
        <w:rPr>
          <w:lang w:val="en-US"/>
        </w:rPr>
        <w:t xml:space="preserve">ten </w:t>
      </w:r>
      <w:r w:rsidR="00076535">
        <w:rPr>
          <w:lang w:val="en-US"/>
        </w:rPr>
        <w:t>trials</w:t>
      </w:r>
      <w:r w:rsidR="001E64CC">
        <w:rPr>
          <w:lang w:val="en-US"/>
        </w:rPr>
        <w:t xml:space="preserve"> </w:t>
      </w:r>
      <w:r w:rsidR="001E64CC">
        <w:rPr>
          <w:lang w:val="en-US"/>
        </w:rPr>
        <w:t>of the same condition</w:t>
      </w:r>
      <w:r w:rsidR="00076535">
        <w:rPr>
          <w:lang w:val="en-US"/>
        </w:rPr>
        <w:t>)</w:t>
      </w:r>
      <w:r w:rsidR="001E64CC">
        <w:rPr>
          <w:lang w:val="en-US"/>
        </w:rPr>
        <w:t xml:space="preserve"> was granted to avoid the onset of fatigue</w:t>
      </w:r>
      <w:r w:rsidR="0098096F">
        <w:rPr>
          <w:lang w:val="en-US"/>
        </w:rPr>
        <w:fldChar w:fldCharType="begin"/>
      </w:r>
      <w:r w:rsidR="006F0364">
        <w:rPr>
          <w:lang w:val="en-US"/>
        </w:rPr>
        <w:instrText xml:space="preserve"> ADDIN ZOTERO_ITEM CSL_CITATION {"citationID":"BnC9Hcl5","properties":{"formattedCitation":"\\super 10,15\\nosupersub{}","plainCitation":"10,15","noteIndex":0},"citationItems":[{"id":405,"uris":["http://zotero.org/users/18623031/items/IJ65AQAT"],"itemData":{"id":405,"type":"article-journal","abstract":"BACKGROUND Physical fatigue and cognitive performance have been suggested as risk factors for an anterior cruciate ligament (ACL) injury, and fatigue has also been demonstrated to reduce cognitive processing. The combined effects of fatigue and lower cognitive function during cognitive-challenging movements may increase knee mechanics associated with the ACL injury risk. HYPOTHESES We hypothesized that (1) knee mechanics would be detrimentally affected by fatigue and associated with baseline cognitive function and (2) fatigue-induced deleterious changes in cognitive performance and knee mechanics would be correlated. STUDY DESIGN Descriptive laboratory study. METHODS A total of 22 athletes completed baseline cognitive testing. After performing maximal vertical jumps, they performed a jump-land-jump task based on unanticipated visual cues. Then, they completed a fatigue protocol including countermovement jumps, among other tasks, until the jump height decreased below 90% of their assessed maximum. Immediately after reaching the first fatigue point, they performed another set of jump-landing tasks, followed by repeating the fatigue protocol until the jump height decreased below 85% of their assessed maximum. After reaching the second fatigue point, they performed a final set of jump-landing tasks and repeated the initial cognitive assessment battery. RESULTS Mixed-effects models revealed that knee flexion decreased through the fatigue protocol (baseline: 61.8°; midpoint: 61.1°; final: 60.1°; P = .003). Stepwise regression showed that fatigue-worsened attentional control corresponded to smaller knee abduction angles (R2adjusted = 51.68%; βstandardized = 1.16; P = .001), and worse reaction time after fatigue correlated with increased knee abduction angles (βstandardized = 0.85; P = .006) after accounting for the role of attentional control. CONCLUSION Fatigue induced incremental modifications in sagittal-plane knee mechanics during an unanticipated sports movement. In addition, fatigue induced changes in cognitive function related to ACL injury-relevant knee mechanics. CLINICAL RELEVANCE The novel findings regarding fatigue-dependent changes in injury-relevant biomechanics during cognitively challenging movements represent an extension of recent developments in understanding the role of cognition in the ACL injury risk.","container-title":"The American journal of sports medicine","DOI":"10.1177/03635465231180612","ISSN":"1552-3365","issue":"10","page":"2740-2747","PMID":"37345283","title":"Influence of Fatigue on Cognitive-Motor Function During Unanticipated Landings.","volume":"51","author":[{"family":"Bertozzi","given":"Filippo"},{"family":"Fischer","given":"Patrick D."},{"family":"Aflatounian","given":"Fatemeh"},{"family":"Hutchison","given":"Keith A."},{"family":"Sforza","given":"Chiarella"},{"family":"Monfort","given":"Scott M."}],"issued":{"date-parts":[["2023",8]]}}},{"id":338,"uris":["http://zotero.org/users/18623031/items/37TN3JPX"],"itemData":{"id":338,"type":"article-journal","abstract":"BACKGROUND In spite of ongoing prevention developments, anterior cruciate ligament injury rates and the associated sex-disparity have remained, suggesting an incomplete understanding of the injury mechanism. While both fatigue and decision making are known in isolation to directly impact anterior cruciate ligament injury risk, their combined manifestations remain unknown. We thus examined the combined effects of fatigue and decision making on lower limb kinematics during sports relevant landings. METHODS Twenty five female National College Athletic Association athletes had initial contact and peak stance phase 3D lower limb joint kinematics quantified during anticipated and unanticipated single (left and right) leg landings, both before and during the accumulation of fatigue. Jump direction was governed by light stimuli activated prior to and during the pre-land phase of respective anticipated and unanticipated trials. To induce fatigue, subjects performed repetitive squat (n=5) and randomly ordered jump sequences, until squats were no longer possible. Subject-based measures of each dependent factor were then calculated across pre-fatigue trials, and for those denoting 100% and 50% fatigue, and submitted to a 3-way mixed design analysis of covariance to test for the main effects of fatigue time, decision and leg. FINDINGS Fatigue caused significant increases in initial contact hip extension and internal rotation, and in peak stance knee abduction and internal rotation and ankle supination angles. Fatigue-induced increases in initial contact hip rotations and in peak knee abduction angle were also significantly more pronounced during unanticipated compared to anticipated landings. INTERPRETATION The integrative effects of fatigue and decision making may represent a worst case scenario in terms of anterior cruciate ligament injury risk during dynamic single leg landings, by perpetuating substantial degradation and overload of central control mechanisms.","container-title":"Clinical biomechanics (Bristol, Avon)","DOI":"10.1016/j.clinbiomech.2007.08.008","ISSN":"0268-0033","issue":"1","page":"81-92","PMID":"17889972","title":"Combined effects of fatigue and decision making on female lower limb landing postures: central and peripheral contributions to ACL injury risk.","volume":"23","author":[{"family":"Borotikar","given":"Bhushan S."},{"family":"Newcomer","given":"Rhonda"},{"family":"Koppes","given":"Ryan"},{"family":"McLean","given":"Scott G."}],"issued":{"date-parts":[["2008",10]]}}}],"schema":"https://github.com/citation-style-language/schema/raw/master/csl-citation.json"} </w:instrText>
      </w:r>
      <w:r w:rsidR="0098096F">
        <w:rPr>
          <w:lang w:val="en-US"/>
        </w:rPr>
        <w:fldChar w:fldCharType="separate"/>
      </w:r>
      <w:r w:rsidR="006F0364" w:rsidRPr="006F0364">
        <w:rPr>
          <w:rFonts w:ascii="Aptos" w:hAnsi="Aptos" w:cs="Times New Roman"/>
          <w:kern w:val="0"/>
          <w:vertAlign w:val="superscript"/>
          <w:lang w:val="en-US"/>
        </w:rPr>
        <w:t>10,15</w:t>
      </w:r>
      <w:r w:rsidR="0098096F">
        <w:rPr>
          <w:lang w:val="en-US"/>
        </w:rPr>
        <w:fldChar w:fldCharType="end"/>
      </w:r>
      <w:r w:rsidR="00C54E68" w:rsidRPr="00C54E68">
        <w:rPr>
          <w:lang w:val="en-US"/>
        </w:rPr>
        <w:t>.</w:t>
      </w:r>
      <w:r w:rsidR="00C54E68">
        <w:rPr>
          <w:lang w:val="en-US"/>
        </w:rPr>
        <w:t xml:space="preserve"> </w:t>
      </w:r>
      <w:r w:rsidR="00C54E68" w:rsidRPr="00C54E68">
        <w:rPr>
          <w:lang w:val="en-US"/>
        </w:rPr>
        <w:t>A trial was considered valid when the participant performed the secondary jump in the correct direction</w:t>
      </w:r>
      <w:r w:rsidR="001E64CC">
        <w:rPr>
          <w:lang w:val="en-US"/>
        </w:rPr>
        <w:t xml:space="preserve"> </w:t>
      </w:r>
      <w:r w:rsidR="00220BB8">
        <w:rPr>
          <w:lang w:val="en-US"/>
        </w:rPr>
        <w:t>(</w:t>
      </w:r>
      <w:r w:rsidR="001E64CC">
        <w:rPr>
          <w:lang w:val="en-US"/>
        </w:rPr>
        <w:t xml:space="preserve">or </w:t>
      </w:r>
      <w:r w:rsidR="00220BB8">
        <w:rPr>
          <w:lang w:val="en-US"/>
        </w:rPr>
        <w:t xml:space="preserve">correctly </w:t>
      </w:r>
      <w:r w:rsidR="001E64CC">
        <w:rPr>
          <w:lang w:val="en-US"/>
        </w:rPr>
        <w:t>stopped in the red-green combination</w:t>
      </w:r>
      <w:r w:rsidR="00220BB8">
        <w:rPr>
          <w:lang w:val="en-US"/>
        </w:rPr>
        <w:t>)</w:t>
      </w:r>
      <w:r w:rsidR="001E64CC">
        <w:rPr>
          <w:lang w:val="en-US"/>
        </w:rPr>
        <w:t xml:space="preserve"> </w:t>
      </w:r>
      <w:r w:rsidR="00C54E68" w:rsidRPr="00C54E68">
        <w:rPr>
          <w:lang w:val="en-US"/>
        </w:rPr>
        <w:t xml:space="preserve">immediately after landing with one foot on each </w:t>
      </w:r>
      <w:r w:rsidR="00C54E68">
        <w:rPr>
          <w:lang w:val="en-US"/>
        </w:rPr>
        <w:t>force plate</w:t>
      </w:r>
      <w:r w:rsidR="001E64CC">
        <w:rPr>
          <w:lang w:val="en-US"/>
        </w:rPr>
        <w:t xml:space="preserve"> </w:t>
      </w:r>
      <w:r w:rsidR="00076535">
        <w:rPr>
          <w:lang w:val="en-US"/>
        </w:rPr>
        <w:t xml:space="preserve">without </w:t>
      </w:r>
      <w:r w:rsidR="00076535" w:rsidRPr="00076535">
        <w:rPr>
          <w:lang w:val="en-US"/>
        </w:rPr>
        <w:t>sliding</w:t>
      </w:r>
      <w:r w:rsidR="001E64CC">
        <w:rPr>
          <w:lang w:val="en-US"/>
        </w:rPr>
        <w:t xml:space="preserve">, </w:t>
      </w:r>
      <w:r w:rsidR="00076535" w:rsidRPr="00076535">
        <w:rPr>
          <w:lang w:val="en-US"/>
        </w:rPr>
        <w:t>double-stepping</w:t>
      </w:r>
      <w:r w:rsidR="001E64CC">
        <w:rPr>
          <w:lang w:val="en-US"/>
        </w:rPr>
        <w:t>, or losing balance</w:t>
      </w:r>
      <w:r w:rsidR="00C54E68" w:rsidRPr="00C54E68">
        <w:rPr>
          <w:lang w:val="en-US"/>
        </w:rPr>
        <w:t>.</w:t>
      </w:r>
      <w:r w:rsidR="00E61C74">
        <w:rPr>
          <w:lang w:val="en-US"/>
        </w:rPr>
        <w:t xml:space="preserve"> </w:t>
      </w:r>
      <w:r w:rsidR="00E61C74" w:rsidRPr="00E61C74">
        <w:rPr>
          <w:lang w:val="en-US"/>
        </w:rPr>
        <w:t xml:space="preserve">Especially in the </w:t>
      </w:r>
      <w:r w:rsidR="00E61C74">
        <w:rPr>
          <w:lang w:val="en-US"/>
        </w:rPr>
        <w:t>COG</w:t>
      </w:r>
      <w:r w:rsidR="00E61C74" w:rsidRPr="00E61C74">
        <w:rPr>
          <w:lang w:val="en-US"/>
        </w:rPr>
        <w:t xml:space="preserve"> condition,</w:t>
      </w:r>
      <w:r w:rsidR="00220BB8">
        <w:rPr>
          <w:lang w:val="en-US"/>
        </w:rPr>
        <w:t xml:space="preserve"> as expected,</w:t>
      </w:r>
      <w:r w:rsidR="00E61C74" w:rsidRPr="00E61C74">
        <w:rPr>
          <w:lang w:val="en-US"/>
        </w:rPr>
        <w:t xml:space="preserve"> participants </w:t>
      </w:r>
      <w:r w:rsidR="00220BB8">
        <w:rPr>
          <w:lang w:val="en-US"/>
        </w:rPr>
        <w:t>performed a considerable amount of invalid trials, that</w:t>
      </w:r>
      <w:r w:rsidR="00E61C74">
        <w:rPr>
          <w:lang w:val="en-US"/>
        </w:rPr>
        <w:t xml:space="preserve"> </w:t>
      </w:r>
      <w:r w:rsidR="00E61C74" w:rsidRPr="00E61C74">
        <w:rPr>
          <w:lang w:val="en-US"/>
        </w:rPr>
        <w:t>were classified as</w:t>
      </w:r>
      <w:r w:rsidR="00B73DB8">
        <w:rPr>
          <w:lang w:val="en-US"/>
        </w:rPr>
        <w:t xml:space="preserve"> “failed”</w:t>
      </w:r>
      <w:r w:rsidR="00B73DB8" w:rsidRPr="00E61C74">
        <w:rPr>
          <w:lang w:val="en-US"/>
        </w:rPr>
        <w:t xml:space="preserve"> when participants selected an incorrect direction for the second</w:t>
      </w:r>
      <w:r w:rsidR="00B73DB8">
        <w:rPr>
          <w:lang w:val="en-US"/>
        </w:rPr>
        <w:t>ary</w:t>
      </w:r>
      <w:r w:rsidR="00B73DB8" w:rsidRPr="00E61C74">
        <w:rPr>
          <w:lang w:val="en-US"/>
        </w:rPr>
        <w:t xml:space="preserve"> jump</w:t>
      </w:r>
      <w:r w:rsidR="00220BB8">
        <w:rPr>
          <w:lang w:val="en-US"/>
        </w:rPr>
        <w:t xml:space="preserve"> (cognitive error)</w:t>
      </w:r>
      <w:r w:rsidR="00E61C74" w:rsidRPr="00E61C74">
        <w:rPr>
          <w:lang w:val="en-US"/>
        </w:rPr>
        <w:t xml:space="preserve">, and as </w:t>
      </w:r>
      <w:r w:rsidR="00B73DB8">
        <w:rPr>
          <w:lang w:val="en-US"/>
        </w:rPr>
        <w:t>“bad”</w:t>
      </w:r>
      <w:r w:rsidR="00B73DB8" w:rsidRPr="00E61C74">
        <w:rPr>
          <w:lang w:val="en-US"/>
        </w:rPr>
        <w:t xml:space="preserve"> when participants initiated the second jump in the correct direction but with suboptimal execution (</w:t>
      </w:r>
      <w:r w:rsidR="00220BB8">
        <w:rPr>
          <w:lang w:val="en-US"/>
        </w:rPr>
        <w:t xml:space="preserve">motor error; </w:t>
      </w:r>
      <w:r w:rsidR="00B73DB8" w:rsidRPr="00E61C74">
        <w:rPr>
          <w:lang w:val="en-US"/>
        </w:rPr>
        <w:t>e.g., uncoordinated posture, loss of balance, or deviation from the intended 45° direction)</w:t>
      </w:r>
      <w:r w:rsidR="00E61C74" w:rsidRPr="00E61C74">
        <w:rPr>
          <w:lang w:val="en-US"/>
        </w:rPr>
        <w:t>.</w:t>
      </w:r>
    </w:p>
    <w:p w14:paraId="7E02AB00" w14:textId="3BE6D4A8" w:rsidR="007A58E9" w:rsidRDefault="00076535" w:rsidP="00B2674A">
      <w:pPr>
        <w:spacing w:line="360" w:lineRule="auto"/>
        <w:jc w:val="both"/>
        <w:rPr>
          <w:highlight w:val="cyan"/>
          <w:lang w:val="en-US"/>
        </w:rPr>
      </w:pPr>
      <w:r w:rsidRPr="00076535">
        <w:rPr>
          <w:lang w:val="en-US"/>
        </w:rPr>
        <w:t xml:space="preserve">Kinematics and kinetics were </w:t>
      </w:r>
      <w:r w:rsidR="00220BB8">
        <w:rPr>
          <w:lang w:val="en-US"/>
        </w:rPr>
        <w:t>collected</w:t>
      </w:r>
      <w:r w:rsidR="00220BB8" w:rsidRPr="00076535">
        <w:rPr>
          <w:lang w:val="en-US"/>
        </w:rPr>
        <w:t xml:space="preserve"> </w:t>
      </w:r>
      <w:r w:rsidRPr="00076535">
        <w:rPr>
          <w:lang w:val="en-US"/>
        </w:rPr>
        <w:t>using a</w:t>
      </w:r>
      <w:r w:rsidR="00220BB8">
        <w:rPr>
          <w:lang w:val="en-US"/>
        </w:rPr>
        <w:t>n</w:t>
      </w:r>
      <w:r w:rsidRPr="00076535">
        <w:rPr>
          <w:lang w:val="en-US"/>
        </w:rPr>
        <w:t xml:space="preserve"> 8-camera optoelectronic </w:t>
      </w:r>
      <w:r w:rsidR="00CD45E0">
        <w:rPr>
          <w:lang w:val="en-US"/>
        </w:rPr>
        <w:t xml:space="preserve">motion capture </w:t>
      </w:r>
      <w:r w:rsidRPr="00076535">
        <w:rPr>
          <w:lang w:val="en-US"/>
        </w:rPr>
        <w:t xml:space="preserve">system (SMART-DX EVO, BTS Bioengineering, Milano, Italy) sampling at 100 Hz and two </w:t>
      </w:r>
      <w:r w:rsidR="00220BB8">
        <w:rPr>
          <w:lang w:val="en-US"/>
        </w:rPr>
        <w:t>time-synchronized</w:t>
      </w:r>
      <w:r w:rsidR="00220BB8" w:rsidRPr="00076535">
        <w:rPr>
          <w:lang w:val="en-US"/>
        </w:rPr>
        <w:t xml:space="preserve"> </w:t>
      </w:r>
      <w:r w:rsidRPr="00076535">
        <w:rPr>
          <w:lang w:val="en-US"/>
        </w:rPr>
        <w:t xml:space="preserve">force plates (P-6000, BTS Bioengineering, Milan, Italy) sampling at 500 Hz. A whole-body cluster-based marker with </w:t>
      </w:r>
      <w:r w:rsidR="00353B30" w:rsidRPr="00076535">
        <w:rPr>
          <w:lang w:val="en-US"/>
        </w:rPr>
        <w:t>57 reflective markers were positioned on participants</w:t>
      </w:r>
      <w:r w:rsidRPr="00076535">
        <w:rPr>
          <w:lang w:val="en-US"/>
        </w:rPr>
        <w:t xml:space="preserve">’ </w:t>
      </w:r>
      <w:r w:rsidR="00B2674A">
        <w:rPr>
          <w:lang w:val="en-US"/>
        </w:rPr>
        <w:t>body</w:t>
      </w:r>
      <w:r w:rsidR="00353B30" w:rsidRPr="00076535">
        <w:rPr>
          <w:lang w:val="en-US"/>
        </w:rPr>
        <w:t>:</w:t>
      </w:r>
      <w:r w:rsidR="00B2674A">
        <w:rPr>
          <w:lang w:val="en-US"/>
        </w:rPr>
        <w:t xml:space="preserve"> </w:t>
      </w:r>
      <w:r w:rsidR="00B2674A" w:rsidRPr="00B2674A">
        <w:rPr>
          <w:lang w:val="en-US"/>
        </w:rPr>
        <w:t>forehead and lateral side</w:t>
      </w:r>
      <w:r w:rsidR="00B2674A">
        <w:rPr>
          <w:lang w:val="en-US"/>
        </w:rPr>
        <w:t>s</w:t>
      </w:r>
      <w:r w:rsidR="00B2674A" w:rsidRPr="00B2674A">
        <w:rPr>
          <w:lang w:val="en-US"/>
        </w:rPr>
        <w:t xml:space="preserve"> of the head</w:t>
      </w:r>
      <w:r w:rsidR="00B2674A">
        <w:rPr>
          <w:lang w:val="en-US"/>
        </w:rPr>
        <w:t xml:space="preserve"> (</w:t>
      </w:r>
      <w:r w:rsidR="00B2674A" w:rsidRPr="00B2674A">
        <w:rPr>
          <w:lang w:val="en-US"/>
        </w:rPr>
        <w:t>attached to an elastic headband</w:t>
      </w:r>
      <w:r w:rsidR="00B2674A">
        <w:rPr>
          <w:lang w:val="en-US"/>
        </w:rPr>
        <w:t xml:space="preserve">), </w:t>
      </w:r>
      <w:r w:rsidR="00353B30" w:rsidRPr="00B2674A">
        <w:rPr>
          <w:lang w:val="en-US"/>
        </w:rPr>
        <w:t>7</w:t>
      </w:r>
      <w:r w:rsidR="00B2674A" w:rsidRPr="00B2674A">
        <w:rPr>
          <w:vertAlign w:val="superscript"/>
          <w:lang w:val="en-US"/>
        </w:rPr>
        <w:t>th</w:t>
      </w:r>
      <w:r w:rsidR="00B2674A">
        <w:rPr>
          <w:lang w:val="en-US"/>
        </w:rPr>
        <w:t xml:space="preserve"> </w:t>
      </w:r>
      <w:r w:rsidR="00353B30" w:rsidRPr="00B2674A">
        <w:rPr>
          <w:lang w:val="en-US"/>
        </w:rPr>
        <w:t xml:space="preserve">cervical </w:t>
      </w:r>
      <w:r w:rsidR="00353B30" w:rsidRPr="00B2674A">
        <w:rPr>
          <w:lang w:val="en-US"/>
        </w:rPr>
        <w:t>vertebra, jugular notch, xiphoid process, 10</w:t>
      </w:r>
      <w:r w:rsidR="00B2674A" w:rsidRPr="00B2674A">
        <w:rPr>
          <w:vertAlign w:val="superscript"/>
          <w:lang w:val="en-US"/>
        </w:rPr>
        <w:t>th</w:t>
      </w:r>
      <w:r w:rsidR="00B2674A">
        <w:rPr>
          <w:lang w:val="en-US"/>
        </w:rPr>
        <w:t xml:space="preserve"> </w:t>
      </w:r>
      <w:r w:rsidR="00353B30" w:rsidRPr="00B2674A">
        <w:rPr>
          <w:lang w:val="en-US"/>
        </w:rPr>
        <w:t xml:space="preserve">thoracic vertebra, and bilaterally on acromia, middle deltoids, iliac crests, posterior and anterior superior iliac spines, elbow medial and lateral epicondyles, </w:t>
      </w:r>
      <w:r w:rsidR="00B2674A">
        <w:rPr>
          <w:lang w:val="en-US"/>
        </w:rPr>
        <w:t xml:space="preserve">laterally on </w:t>
      </w:r>
      <w:r w:rsidR="00353B30" w:rsidRPr="00B2674A">
        <w:rPr>
          <w:lang w:val="en-US"/>
        </w:rPr>
        <w:t>forearms, radial and ulnar styloid processes, medial and lateral femoral condyles, tibial tuberosities, medial and lateral malleoli, calcanei, latera</w:t>
      </w:r>
      <w:r w:rsidR="00B2674A">
        <w:rPr>
          <w:lang w:val="en-US"/>
        </w:rPr>
        <w:t>lly on feet</w:t>
      </w:r>
      <w:r w:rsidR="00353B30" w:rsidRPr="00B2674A">
        <w:rPr>
          <w:lang w:val="en-US"/>
        </w:rPr>
        <w:t>, 1</w:t>
      </w:r>
      <w:r w:rsidR="00B2674A" w:rsidRPr="00B2674A">
        <w:rPr>
          <w:vertAlign w:val="superscript"/>
          <w:lang w:val="en-US"/>
        </w:rPr>
        <w:t>st</w:t>
      </w:r>
      <w:r w:rsidR="00B2674A">
        <w:rPr>
          <w:lang w:val="en-US"/>
        </w:rPr>
        <w:t xml:space="preserve"> </w:t>
      </w:r>
      <w:r w:rsidR="00353B30" w:rsidRPr="00B2674A">
        <w:rPr>
          <w:lang w:val="en-US"/>
        </w:rPr>
        <w:t>and 5</w:t>
      </w:r>
      <w:r w:rsidR="00B2674A" w:rsidRPr="00B2674A">
        <w:rPr>
          <w:vertAlign w:val="superscript"/>
          <w:lang w:val="en-US"/>
        </w:rPr>
        <w:t>th</w:t>
      </w:r>
      <w:r w:rsidR="00B2674A">
        <w:rPr>
          <w:lang w:val="en-US"/>
        </w:rPr>
        <w:t xml:space="preserve"> </w:t>
      </w:r>
      <w:r w:rsidR="00353B30" w:rsidRPr="00B2674A">
        <w:rPr>
          <w:lang w:val="en-US"/>
        </w:rPr>
        <w:t xml:space="preserve">metatarsal </w:t>
      </w:r>
      <w:r w:rsidR="00B2674A">
        <w:rPr>
          <w:lang w:val="en-US"/>
        </w:rPr>
        <w:t xml:space="preserve">heads, and </w:t>
      </w:r>
      <w:r w:rsidR="00E9226E">
        <w:rPr>
          <w:lang w:val="en-US"/>
        </w:rPr>
        <w:t>four</w:t>
      </w:r>
      <w:r w:rsidR="00E9226E" w:rsidRPr="00B2674A">
        <w:rPr>
          <w:lang w:val="en-US"/>
        </w:rPr>
        <w:t xml:space="preserve"> </w:t>
      </w:r>
      <w:r w:rsidR="00353B30" w:rsidRPr="00B2674A">
        <w:rPr>
          <w:lang w:val="en-US"/>
        </w:rPr>
        <w:t>rigid 3-marker clusters</w:t>
      </w:r>
      <w:r w:rsidR="00B2674A">
        <w:rPr>
          <w:lang w:val="en-US"/>
        </w:rPr>
        <w:t xml:space="preserve"> </w:t>
      </w:r>
      <w:r w:rsidR="00353B30" w:rsidRPr="00B2674A">
        <w:rPr>
          <w:lang w:val="en-US"/>
        </w:rPr>
        <w:t>fixed on shanks and thighs</w:t>
      </w:r>
      <w:r w:rsidR="00B2674A">
        <w:rPr>
          <w:lang w:val="en-US"/>
        </w:rPr>
        <w:t xml:space="preserve"> with elastic bands</w:t>
      </w:r>
      <w:r w:rsidR="002717A0">
        <w:rPr>
          <w:lang w:val="en-US"/>
        </w:rPr>
        <w:fldChar w:fldCharType="begin"/>
      </w:r>
      <w:r w:rsidR="006F0364">
        <w:rPr>
          <w:lang w:val="en-US"/>
        </w:rPr>
        <w:instrText xml:space="preserve"> ADDIN ZOTERO_ITEM CSL_CITATION {"citationID":"S7KJJ05G","properties":{"formattedCitation":"\\super 26\\nosupersub{}","plainCitation":"26","noteIndex":0},"citationItems":[{"id":535,"uris":["http://zotero.org/users/18623031/items/UJYDUBPT"],"itemData":{"id":535,"type":"article-journal","container-title":"Journal of Biomechanics","DOI":"10.1016/j.jbiomech.2025.112883","ISSN":"00219290","journalAbbreviation":"Journal of Biomechanics","language":"en","page":"112883","source":"DOI.org (Crossref)","title":"Concurrent validity of IMU and phone-based markerless systems for lower-limb kinematics during cognitively-challenging landing tasks","volume":"191","author":[{"family":"Bertozzi","given":"Filippo"},{"family":"Brunetti","given":"Claudia"},{"family":"Maver","given":"Pietro"},{"family":"Palombi","given":"Marco"},{"family":"Santini","given":"Matilde"},{"family":"Galli","given":"Manuela"},{"family":"Tarabini","given":"Marco"}],"issued":{"date-parts":[["2025",10]]}}}],"schema":"https://github.com/citation-style-language/schema/raw/master/csl-citation.json"} </w:instrText>
      </w:r>
      <w:r w:rsidR="002717A0">
        <w:rPr>
          <w:lang w:val="en-US"/>
        </w:rPr>
        <w:fldChar w:fldCharType="separate"/>
      </w:r>
      <w:r w:rsidR="006F0364" w:rsidRPr="006F0364">
        <w:rPr>
          <w:rFonts w:ascii="Aptos" w:hAnsi="Aptos" w:cs="Times New Roman"/>
          <w:kern w:val="0"/>
          <w:vertAlign w:val="superscript"/>
          <w:lang w:val="en-US"/>
        </w:rPr>
        <w:t>26</w:t>
      </w:r>
      <w:r w:rsidR="002717A0">
        <w:rPr>
          <w:lang w:val="en-US"/>
        </w:rPr>
        <w:fldChar w:fldCharType="end"/>
      </w:r>
      <w:r w:rsidR="00353B30" w:rsidRPr="00B2674A">
        <w:rPr>
          <w:lang w:val="en-US"/>
        </w:rPr>
        <w:t>.</w:t>
      </w:r>
      <w:r w:rsidR="00353B30" w:rsidRPr="00CE55EB">
        <w:rPr>
          <w:highlight w:val="cyan"/>
          <w:lang w:val="en-US"/>
        </w:rPr>
        <w:t xml:space="preserve"> </w:t>
      </w:r>
    </w:p>
    <w:p w14:paraId="44DB3B13" w14:textId="47A91A17" w:rsidR="00B2674A" w:rsidRPr="00737334" w:rsidRDefault="00737334" w:rsidP="00353B30">
      <w:pPr>
        <w:spacing w:line="360" w:lineRule="auto"/>
        <w:jc w:val="both"/>
        <w:rPr>
          <w:b/>
          <w:bCs/>
          <w:i/>
          <w:iCs/>
          <w:lang w:val="en-US"/>
        </w:rPr>
      </w:pPr>
      <w:r w:rsidRPr="00737334">
        <w:rPr>
          <w:b/>
          <w:bCs/>
          <w:i/>
          <w:iCs/>
          <w:lang w:val="en-US"/>
        </w:rPr>
        <w:t xml:space="preserve">Data </w:t>
      </w:r>
      <w:r w:rsidR="00BC72EF" w:rsidRPr="00737334">
        <w:rPr>
          <w:b/>
          <w:bCs/>
          <w:i/>
          <w:iCs/>
          <w:lang w:val="en-US"/>
        </w:rPr>
        <w:t>processing</w:t>
      </w:r>
      <w:r w:rsidRPr="00737334">
        <w:rPr>
          <w:b/>
          <w:bCs/>
          <w:i/>
          <w:iCs/>
          <w:lang w:val="en-US"/>
        </w:rPr>
        <w:t xml:space="preserve"> and statistical analysis</w:t>
      </w:r>
    </w:p>
    <w:p w14:paraId="785CCE22" w14:textId="2178FF09" w:rsidR="00737334" w:rsidRDefault="00737334" w:rsidP="00737334">
      <w:pPr>
        <w:spacing w:line="360" w:lineRule="auto"/>
        <w:jc w:val="both"/>
        <w:rPr>
          <w:lang w:val="en-US"/>
        </w:rPr>
      </w:pPr>
      <w:r w:rsidRPr="00737334">
        <w:rPr>
          <w:lang w:val="en-US"/>
        </w:rPr>
        <w:t xml:space="preserve">Visual3D (HAS-Motion, Kingston, Ontario, Canada) </w:t>
      </w:r>
      <w:r w:rsidR="00220BB8">
        <w:rPr>
          <w:lang w:val="en-US"/>
        </w:rPr>
        <w:t>was</w:t>
      </w:r>
      <w:r>
        <w:rPr>
          <w:lang w:val="en-US"/>
        </w:rPr>
        <w:t xml:space="preserve"> used to compute b</w:t>
      </w:r>
      <w:r w:rsidRPr="00737334">
        <w:rPr>
          <w:lang w:val="en-US"/>
        </w:rPr>
        <w:t>iomechanical variables</w:t>
      </w:r>
      <w:r>
        <w:rPr>
          <w:lang w:val="en-US"/>
        </w:rPr>
        <w:t xml:space="preserve">, </w:t>
      </w:r>
      <w:r w:rsidR="00353B30" w:rsidRPr="00737334">
        <w:rPr>
          <w:lang w:val="en-US"/>
        </w:rPr>
        <w:t xml:space="preserve">using an inverse kinematics model. </w:t>
      </w:r>
      <w:r>
        <w:rPr>
          <w:lang w:val="en-US"/>
        </w:rPr>
        <w:t>Marker trajectories were interpolated</w:t>
      </w:r>
      <w:r w:rsidR="00220BB8">
        <w:rPr>
          <w:lang w:val="en-US"/>
        </w:rPr>
        <w:t>,</w:t>
      </w:r>
      <w:r>
        <w:rPr>
          <w:lang w:val="en-US"/>
        </w:rPr>
        <w:t xml:space="preserve"> and </w:t>
      </w:r>
      <w:r w:rsidRPr="00737334">
        <w:rPr>
          <w:lang w:val="en-US"/>
        </w:rPr>
        <w:t xml:space="preserve">hip and knee joint angles and </w:t>
      </w:r>
      <w:r>
        <w:rPr>
          <w:lang w:val="en-US"/>
        </w:rPr>
        <w:t xml:space="preserve">external </w:t>
      </w:r>
      <w:r w:rsidRPr="00737334">
        <w:rPr>
          <w:lang w:val="en-US"/>
        </w:rPr>
        <w:t>moments</w:t>
      </w:r>
      <w:r>
        <w:rPr>
          <w:lang w:val="en-US"/>
        </w:rPr>
        <w:t xml:space="preserve"> of both dominant and non-dominant limb</w:t>
      </w:r>
      <w:r w:rsidR="00220BB8">
        <w:rPr>
          <w:lang w:val="en-US"/>
        </w:rPr>
        <w:t>s</w:t>
      </w:r>
      <w:r w:rsidR="00220BB8" w:rsidRPr="00737334">
        <w:rPr>
          <w:lang w:val="en-US"/>
        </w:rPr>
        <w:t xml:space="preserve"> </w:t>
      </w:r>
      <w:r w:rsidRPr="00737334">
        <w:rPr>
          <w:lang w:val="en-US"/>
        </w:rPr>
        <w:t>were computed using a Z-X-Y Cardan rotation sequence</w:t>
      </w:r>
      <w:r w:rsidR="00220BB8">
        <w:rPr>
          <w:lang w:val="en-US"/>
        </w:rPr>
        <w:t xml:space="preserve">, </w:t>
      </w:r>
      <w:r w:rsidR="00220BB8" w:rsidRPr="00220BB8">
        <w:rPr>
          <w:lang w:val="en-US"/>
        </w:rPr>
        <w:t xml:space="preserve">restricting the knee joint to </w:t>
      </w:r>
      <w:r w:rsidR="00E9226E">
        <w:rPr>
          <w:lang w:val="en-US"/>
        </w:rPr>
        <w:t>t</w:t>
      </w:r>
      <w:r w:rsidR="00E9226E" w:rsidRPr="00220BB8">
        <w:rPr>
          <w:lang w:val="en-US"/>
        </w:rPr>
        <w:t xml:space="preserve"> </w:t>
      </w:r>
      <w:r w:rsidR="00220BB8" w:rsidRPr="00220BB8">
        <w:rPr>
          <w:lang w:val="en-US"/>
        </w:rPr>
        <w:t>rotational degrees of freedom</w:t>
      </w:r>
      <w:r>
        <w:rPr>
          <w:lang w:val="en-US"/>
        </w:rPr>
        <w:t xml:space="preserve">. </w:t>
      </w:r>
      <w:r w:rsidRPr="00737334">
        <w:rPr>
          <w:lang w:val="en-US"/>
        </w:rPr>
        <w:t xml:space="preserve">Joint moments </w:t>
      </w:r>
      <w:r>
        <w:rPr>
          <w:lang w:val="en-US"/>
        </w:rPr>
        <w:t>were</w:t>
      </w:r>
      <w:r w:rsidRPr="00737334">
        <w:rPr>
          <w:lang w:val="en-US"/>
        </w:rPr>
        <w:t xml:space="preserve"> normalized to the participants’ body weight. </w:t>
      </w:r>
      <w:r>
        <w:rPr>
          <w:lang w:val="en-US"/>
        </w:rPr>
        <w:t>Signal</w:t>
      </w:r>
      <w:r w:rsidR="00220BB8">
        <w:rPr>
          <w:lang w:val="en-US"/>
        </w:rPr>
        <w:t>s</w:t>
      </w:r>
      <w:r w:rsidRPr="00737334">
        <w:rPr>
          <w:lang w:val="en-US"/>
        </w:rPr>
        <w:t xml:space="preserve"> </w:t>
      </w:r>
      <w:r w:rsidR="00353B30" w:rsidRPr="00737334">
        <w:rPr>
          <w:lang w:val="en-US"/>
        </w:rPr>
        <w:t>were</w:t>
      </w:r>
      <w:r>
        <w:rPr>
          <w:lang w:val="en-US"/>
        </w:rPr>
        <w:t xml:space="preserve"> then</w:t>
      </w:r>
      <w:r w:rsidR="00353B30" w:rsidRPr="00737334">
        <w:rPr>
          <w:lang w:val="en-US"/>
        </w:rPr>
        <w:t xml:space="preserve"> filtered using a fourth-order zero-lag Butterworth low-pass filter at 10 Hz</w:t>
      </w:r>
      <w:r w:rsidR="0053204F">
        <w:rPr>
          <w:lang w:val="en-US"/>
        </w:rPr>
        <w:fldChar w:fldCharType="begin"/>
      </w:r>
      <w:r w:rsidR="006F0364">
        <w:rPr>
          <w:lang w:val="en-US"/>
        </w:rPr>
        <w:instrText xml:space="preserve"> ADDIN ZOTERO_ITEM CSL_CITATION {"citationID":"VX7zMugT","properties":{"formattedCitation":"\\super 26\\nosupersub{}","plainCitation":"26","noteIndex":0},"citationItems":[{"id":535,"uris":["http://zotero.org/users/18623031/items/UJYDUBPT"],"itemData":{"id":535,"type":"article-journal","container-title":"Journal of Biomechanics","DOI":"10.1016/j.jbiomech.2025.112883","ISSN":"00219290","journalAbbreviation":"Journal of Biomechanics","language":"en","page":"112883","source":"DOI.org (Crossref)","title":"Concurrent validity of IMU and phone-based markerless systems for lower-limb kinematics during cognitively-challenging landing tasks","volume":"191","author":[{"family":"Bertozzi","given":"Filippo"},{"family":"Brunetti","given":"Claudia"},{"family":"Maver","given":"Pietro"},{"family":"Palombi","given":"Marco"},{"family":"Santini","given":"Matilde"},{"family":"Galli","given":"Manuela"},{"family":"Tarabini","given":"Marco"}],"issued":{"date-parts":[["2025",10]]}}}],"schema":"https://github.com/citation-style-language/schema/raw/master/csl-citation.json"} </w:instrText>
      </w:r>
      <w:r w:rsidR="0053204F">
        <w:rPr>
          <w:lang w:val="en-US"/>
        </w:rPr>
        <w:fldChar w:fldCharType="separate"/>
      </w:r>
      <w:r w:rsidR="006F0364" w:rsidRPr="006F0364">
        <w:rPr>
          <w:rFonts w:ascii="Aptos" w:hAnsi="Aptos" w:cs="Times New Roman"/>
          <w:kern w:val="0"/>
          <w:vertAlign w:val="superscript"/>
          <w:lang w:val="en-US"/>
        </w:rPr>
        <w:t>26</w:t>
      </w:r>
      <w:r w:rsidR="0053204F">
        <w:rPr>
          <w:lang w:val="en-US"/>
        </w:rPr>
        <w:fldChar w:fldCharType="end"/>
      </w:r>
      <w:r>
        <w:rPr>
          <w:lang w:val="en-US"/>
        </w:rPr>
        <w:t xml:space="preserve">. </w:t>
      </w:r>
    </w:p>
    <w:p w14:paraId="559A70AF" w14:textId="631FAC78" w:rsidR="00B73DB8" w:rsidRPr="00754ABC" w:rsidRDefault="00353B30" w:rsidP="00737334">
      <w:pPr>
        <w:spacing w:line="360" w:lineRule="auto"/>
        <w:jc w:val="both"/>
        <w:rPr>
          <w:lang w:val="en-US"/>
        </w:rPr>
      </w:pPr>
      <w:r w:rsidRPr="00737334">
        <w:rPr>
          <w:lang w:val="en-US"/>
        </w:rPr>
        <w:t xml:space="preserve">A customized MATLAB </w:t>
      </w:r>
      <w:r w:rsidR="00737334" w:rsidRPr="00737334">
        <w:rPr>
          <w:lang w:val="en-US"/>
        </w:rPr>
        <w:t xml:space="preserve">code </w:t>
      </w:r>
      <w:r w:rsidRPr="00737334">
        <w:rPr>
          <w:lang w:val="en-US"/>
        </w:rPr>
        <w:t xml:space="preserve">(The MathWorks Inc., Natick, MA, USA) </w:t>
      </w:r>
      <w:r w:rsidR="00B73DB8">
        <w:rPr>
          <w:lang w:val="en-US"/>
        </w:rPr>
        <w:t xml:space="preserve">was </w:t>
      </w:r>
      <w:r w:rsidR="00737334" w:rsidRPr="00737334">
        <w:rPr>
          <w:lang w:val="en-US"/>
        </w:rPr>
        <w:t xml:space="preserve">created to further data processing and statistical analysis. </w:t>
      </w:r>
      <w:r w:rsidR="00D565D1">
        <w:rPr>
          <w:lang w:val="en-US"/>
        </w:rPr>
        <w:t xml:space="preserve">Valid and invalid (failed and bad) trials of </w:t>
      </w:r>
      <w:r w:rsidR="00FF76D8">
        <w:rPr>
          <w:lang w:val="en-US"/>
        </w:rPr>
        <w:t xml:space="preserve">the </w:t>
      </w:r>
      <w:r w:rsidR="00D565D1">
        <w:rPr>
          <w:lang w:val="en-US"/>
        </w:rPr>
        <w:t>COG condition were considered in th</w:t>
      </w:r>
      <w:r w:rsidR="00220BB8">
        <w:rPr>
          <w:lang w:val="en-US"/>
        </w:rPr>
        <w:t>is</w:t>
      </w:r>
      <w:r w:rsidR="00D565D1">
        <w:rPr>
          <w:lang w:val="en-US"/>
        </w:rPr>
        <w:t xml:space="preserve"> analysis, including both green-off and blue-green combination</w:t>
      </w:r>
      <w:r w:rsidR="00220BB8">
        <w:rPr>
          <w:lang w:val="en-US"/>
        </w:rPr>
        <w:t>s</w:t>
      </w:r>
      <w:r w:rsidR="00D565D1">
        <w:rPr>
          <w:lang w:val="en-US"/>
        </w:rPr>
        <w:t xml:space="preserve"> toward the dominant side. Failed and bad trials were analyzed separately</w:t>
      </w:r>
      <w:r w:rsidR="00220BB8">
        <w:rPr>
          <w:lang w:val="en-US"/>
        </w:rPr>
        <w:t>, given their distinct mechanisms and implications</w:t>
      </w:r>
      <w:r w:rsidR="00D565D1">
        <w:rPr>
          <w:lang w:val="en-US"/>
        </w:rPr>
        <w:t xml:space="preserve">. </w:t>
      </w:r>
      <w:r w:rsidR="00754ABC" w:rsidRPr="00754ABC">
        <w:rPr>
          <w:lang w:val="en-US"/>
        </w:rPr>
        <w:lastRenderedPageBreak/>
        <w:t xml:space="preserve">All failed or bad trials were retained, and an equal number of valid trials were randomly selected for </w:t>
      </w:r>
      <w:r w:rsidR="00FF76D8">
        <w:rPr>
          <w:lang w:val="en-US"/>
        </w:rPr>
        <w:t xml:space="preserve">matched </w:t>
      </w:r>
      <w:r w:rsidR="00754ABC" w:rsidRPr="00754ABC">
        <w:rPr>
          <w:lang w:val="en-US"/>
        </w:rPr>
        <w:t>comparison</w:t>
      </w:r>
      <w:r w:rsidR="00220BB8">
        <w:rPr>
          <w:lang w:val="en-US"/>
        </w:rPr>
        <w:t xml:space="preserve"> for each participant</w:t>
      </w:r>
      <w:r w:rsidR="00754ABC" w:rsidRPr="00754ABC">
        <w:rPr>
          <w:lang w:val="en-US"/>
        </w:rPr>
        <w:t>. When only two invalid trials were available, three valid trials were included.</w:t>
      </w:r>
      <w:r w:rsidR="00754ABC">
        <w:rPr>
          <w:lang w:val="en-US"/>
        </w:rPr>
        <w:t xml:space="preserve"> Then, hip adduction, hip flexion, knee abduction, and knee flexion angles and moments of both limbs</w:t>
      </w:r>
      <w:r w:rsidR="00FC6A76">
        <w:rPr>
          <w:lang w:val="en-US"/>
        </w:rPr>
        <w:fldChar w:fldCharType="begin"/>
      </w:r>
      <w:r w:rsidR="006F0364">
        <w:rPr>
          <w:lang w:val="en-US"/>
        </w:rPr>
        <w:instrText xml:space="preserve"> ADDIN ZOTERO_ITEM CSL_CITATION {"citationID":"AIPGG46N","properties":{"formattedCitation":"\\super 29,30\\nosupersub{}","plainCitation":"29,30","noteIndex":0},"citationItems":[{"id":707,"uris":["http://zotero.org/users/18623031/items/QVFPD682"],"itemData":{"id":707,"type":"article-journal","abstract":"Background:\n              Understanding the biomechanical risk factors for noncontact anterior cruciate ligament (ACL) injury can inform machine learning models, aid in prevention strategies, and guide rehabilitation protocols, reducing the incidence and burden of these injuries in both athletes and the general population.\n            \n            \n              Purpose:\n              To determine the biomechanical risk factors associated with noncontact ACL injury and increased knee loading.\n            \n            \n              Study Design:\n              Systematic review; Level of evidence, 4.\n            \n            \n              Methods:\n              A literature search was conducted according to the PRISMA (Preferred Reporting Items for Systematic Reviews and Meta-Analyses) guidelines. Randomized, cohort, case-control, and cross-sectional studies identifying noncontact biomechanical risk factors for ACL injuries published before May 2023 were included in this review. Excluded were studies focused on contact ACL injuries, those focused on biomechanical risk factors postinjury, and those not published in the English language. The authors highlighted biomechanical risk factors not extensively covered in previous reviews, including the toe-in position, increased contralateral pelvic hike, increased hip internal rotation angle, and specific ankle angles. A quantitative overview of the included studies was conducted, highlighting the frequency of each biomechanical factor reported as potentially related to ACL injury or loading risk.\n            \n            \n              Results:\n              A total of 28 studies (2819 athletes) were selected for analysis. The majority of these studies (22/28) were cross-sectional, primarily assessing ACL load indirectly via knee valgus moment or ground-reaction forces, while case-control and cohort studies focused on ACL injury incidence. Overall, 83% (5/6) of the studies assessing upper body biomechanics found that trunk flexion/extension and perturbations affect ACL loading risk. Of studies assessing hip biomechanics, 83% (10/12) showed increased ACL loading or injury risk with increased hip abduction/internal rotation angles. For the foot and ankle, increased toe-in/toe-out landing in 67% of studies (2/3) demonstrated higher stress on the ACL. Knee biomechanics were associated with increased ACL loading in 100% of the respective studies (5/5), with decreased knee flexion angles leading to increased loading.\n            \n            \n              Conclusion:\n              The data demonstrated that factors associated with increased medial knee alignment, sagittal alignment of the trunk, and decreased lateral trunk flexion reduced both knee loading and ACL injury risk. Targeted prevention and detection strategies addressing high-risk biomechanics may reduce injury incidence, underscoring the need for further research to optimize intervention programs.","container-title":"Orthopaedic Journal of Sports Medicine","DOI":"10.1177/23259671241312681","ISSN":"2325-9671, 2325-9671","issue":"2","journalAbbreviation":"Orthopaedic Journal of Sports Medicine","language":"en","page":"23259671241312681","source":"DOI.org (Crossref)","title":"Biomechanical Risk Factors for Increased Anterior Cruciate Ligament Loading and Injury: A Systematic Review","title-short":"Biomechanical Risk Factors for Increased Anterior Cruciate Ligament Loading and Injury","volume":"13","author":[{"family":"Belkhelladi","given":"Malachy"},{"family":"Cierson","given":"Tanya"},{"family":"Martineau","given":"Paul A."}],"issued":{"date-parts":[["2025",2]]}}},{"id":708,"uris":["http://zotero.org/users/18623031/items/AT3AT7L2"],"itemData":{"id":708,"type":"article-journal","abstract":"Objective: \n              To evaluate the current evidence concerning kinematic and kinetic strategies adopted during dynamic landing tasks by patients with anterior cruciate ligament reconstruction (ACLR).\n            \n            \n              Data Sources: \n              PubMed, Web of Science.\n            \n            \n              Study Selection: \n              Original research articles that evaluated kinematics or kinetics (or both) during a landing task in those with a history of ACLR were included.\n            \n            \n              Data Extraction: \n              Methodologic quality was assessed using the modified Downs and Black checklist. Means and standard deviations for knee or hip (or both) kinematics and kinetics were used to calculate Cohen d effect sizes and corresponding 95% confidence intervals between the injured limb of ACLR participants and contralateral or healthy matched limbs. Data were further stratified by landing tasks, either double- or single-limb landing. A random-effects–model meta-analysis was used to calculate pooled effect sizes and 95% confidence intervals.\n            \n            \n              Data Synthesis: \n              The involved limbs of ACLR patients demonstrated clinically and significantly lower knee-extension moments during double-legged landing compared with healthy contralateral limbs and healthy control limbs (Cohen d range = </w:instrText>
      </w:r>
      <w:r w:rsidR="006F0364">
        <w:rPr>
          <w:rFonts w:ascii="Aptos" w:hAnsi="Aptos" w:cs="Aptos"/>
          <w:lang w:val="en-US"/>
        </w:rPr>
        <w:instrText>−</w:instrText>
      </w:r>
      <w:r w:rsidR="006F0364">
        <w:rPr>
          <w:lang w:val="en-US"/>
        </w:rPr>
        <w:instrText xml:space="preserve">0.81 to </w:instrText>
      </w:r>
      <w:r w:rsidR="006F0364">
        <w:rPr>
          <w:rFonts w:ascii="Aptos" w:hAnsi="Aptos" w:cs="Aptos"/>
          <w:lang w:val="en-US"/>
        </w:rPr>
        <w:instrText>−</w:instrText>
      </w:r>
      <w:r w:rsidR="006F0364">
        <w:rPr>
          <w:lang w:val="en-US"/>
        </w:rPr>
        <w:instrText xml:space="preserve">1.23) and decreased vertical ground reaction forces when compared with healthy controls, regardless of task (Cohen d range = −0.39 to −1.75).\n            \n            \n              Conclusions: \n              During single- and double-legged landing tasks, individuals with ACLR demonstrated meaningful reductions in injured-limb knee-extension moments and vertical ground reaction forces. These findings indicate potential unloading of the injured limb after ACLR, which may have significant implications for secondary ACL injury and long-term joint health.","container-title":"Journal of Athletic Training","DOI":"10.4085/1062-6050-334-16","ISSN":"1062-6050","issue":"2","language":"en","page":"144-159","source":"DOI.org (Crossref)","title":"Hip and Knee Kinematics and Kinetics During Landing Tasks After Anterior Cruciate Ligament Reconstruction: A Systematic Review and Meta-Analysis","title-short":"Hip and Knee Kinematics and Kinetics During Landing Tasks After Anterior Cruciate Ligament Reconstruction","volume":"53","author":[{"family":"Lepley","given":"Adam S."},{"family":"Kuenze","given":"Christopher M."}],"issued":{"date-parts":[["2018",2,1]]}}}],"schema":"https://github.com/citation-style-language/schema/raw/master/csl-citation.json"} </w:instrText>
      </w:r>
      <w:r w:rsidR="00FC6A76">
        <w:rPr>
          <w:lang w:val="en-US"/>
        </w:rPr>
        <w:fldChar w:fldCharType="separate"/>
      </w:r>
      <w:r w:rsidR="006F0364" w:rsidRPr="006F0364">
        <w:rPr>
          <w:rFonts w:ascii="Aptos" w:hAnsi="Aptos" w:cs="Times New Roman"/>
          <w:kern w:val="0"/>
          <w:vertAlign w:val="superscript"/>
          <w:lang w:val="en-US"/>
        </w:rPr>
        <w:t>29,30</w:t>
      </w:r>
      <w:r w:rsidR="00FC6A76">
        <w:rPr>
          <w:lang w:val="en-US"/>
        </w:rPr>
        <w:fldChar w:fldCharType="end"/>
      </w:r>
      <w:r w:rsidR="002717A0">
        <w:rPr>
          <w:lang w:val="en-US"/>
        </w:rPr>
        <w:t xml:space="preserve"> </w:t>
      </w:r>
      <w:r w:rsidR="00754ABC">
        <w:rPr>
          <w:lang w:val="en-US"/>
        </w:rPr>
        <w:t>were extracted in a 100-ms time interval after the initial ground contact (vertical G</w:t>
      </w:r>
      <w:r w:rsidR="00754ABC">
        <w:rPr>
          <w:lang w:val="en-US"/>
        </w:rPr>
        <w:t xml:space="preserve">RF &gt; 10 N), defined as </w:t>
      </w:r>
      <w:r w:rsidR="00B66785">
        <w:rPr>
          <w:lang w:val="en-US"/>
        </w:rPr>
        <w:t xml:space="preserve">the </w:t>
      </w:r>
      <w:r w:rsidR="00754ABC">
        <w:rPr>
          <w:lang w:val="en-US"/>
        </w:rPr>
        <w:t>high-risk window for ACL injuries</w:t>
      </w:r>
      <w:r w:rsidR="00906597">
        <w:rPr>
          <w:lang w:val="en-US"/>
        </w:rPr>
        <w:fldChar w:fldCharType="begin"/>
      </w:r>
      <w:r w:rsidR="006F0364">
        <w:rPr>
          <w:lang w:val="en-US"/>
        </w:rPr>
        <w:instrText xml:space="preserve"> ADDIN ZOTERO_ITEM CSL_CITATION {"citationID":"QbH1wnm9","properties":{"formattedCitation":"\\super 31\\nosupersub{}","plainCitation":"31","noteIndex":0},"citationItems":[{"id":706,"uris":["http://zotero.org/users/18623031/items/UTCJECMZ"],"itemData":{"id":706,"type":"article-journal","abstract":"Background:\n              Methods for analyzing the mechanisms of injuries in sports from video sequences of injury situations are so far limited to a simple visual inspection, which has shown poor accuracy.\n            \n            \n              Purpose:\n              To investigate whether a new model</w:instrText>
      </w:r>
      <w:r w:rsidR="006F0364">
        <w:rPr>
          <w:rFonts w:ascii="Cambria Math" w:hAnsi="Cambria Math" w:cs="Cambria Math"/>
          <w:lang w:val="en-US"/>
        </w:rPr>
        <w:instrText>‐</w:instrText>
      </w:r>
      <w:r w:rsidR="006F0364">
        <w:rPr>
          <w:lang w:val="en-US"/>
        </w:rPr>
        <w:instrText>based image</w:instrText>
      </w:r>
      <w:r w:rsidR="006F0364">
        <w:rPr>
          <w:rFonts w:ascii="Cambria Math" w:hAnsi="Cambria Math" w:cs="Cambria Math"/>
          <w:lang w:val="en-US"/>
        </w:rPr>
        <w:instrText>‐</w:instrText>
      </w:r>
      <w:r w:rsidR="006F0364">
        <w:rPr>
          <w:lang w:val="en-US"/>
        </w:rPr>
        <w:instrText>matching technique could successfully be applied to estimate kinematic characteristics of three typical anterior cruciate ligament (ACL) injury situations.\n            \n            \n              Methods:\n              A four</w:instrText>
      </w:r>
      <w:r w:rsidR="006F0364">
        <w:rPr>
          <w:rFonts w:ascii="Cambria Math" w:hAnsi="Cambria Math" w:cs="Cambria Math"/>
          <w:lang w:val="en-US"/>
        </w:rPr>
        <w:instrText>‐</w:instrText>
      </w:r>
      <w:r w:rsidR="006F0364">
        <w:rPr>
          <w:lang w:val="en-US"/>
        </w:rPr>
        <w:instrText>camera basketballvideo, a three</w:instrText>
      </w:r>
      <w:r w:rsidR="006F0364">
        <w:rPr>
          <w:rFonts w:ascii="Cambria Math" w:hAnsi="Cambria Math" w:cs="Cambria Math"/>
          <w:lang w:val="en-US"/>
        </w:rPr>
        <w:instrText>‐</w:instrText>
      </w:r>
      <w:r w:rsidR="006F0364">
        <w:rPr>
          <w:lang w:val="en-US"/>
        </w:rPr>
        <w:instrText>camera European team handball video and a single</w:instrText>
      </w:r>
      <w:r w:rsidR="006F0364">
        <w:rPr>
          <w:rFonts w:ascii="Cambria Math" w:hAnsi="Cambria Math" w:cs="Cambria Math"/>
          <w:lang w:val="en-US"/>
        </w:rPr>
        <w:instrText>‐</w:instrText>
      </w:r>
      <w:r w:rsidR="006F0364">
        <w:rPr>
          <w:lang w:val="en-US"/>
        </w:rPr>
        <w:instrText xml:space="preserve">camera downhill skiing video were imported into the program Poser\n              </w:instrText>
      </w:r>
      <w:r w:rsidR="006F0364">
        <w:rPr>
          <w:rFonts w:ascii="Aptos" w:hAnsi="Aptos" w:cs="Aptos"/>
          <w:lang w:val="en-US"/>
        </w:rPr>
        <w:instrText>®</w:instrText>
      </w:r>
      <w:r w:rsidR="006F0364">
        <w:rPr>
          <w:lang w:val="en-US"/>
        </w:rPr>
        <w:instrText>\n              4, where a skeleton model and a model of the surroundings were matched to the background image frame by frame. When the match was considered satisfactory, joint angles as well as velocity and acceleration of the center of mass were calculated using Matlab\n              ®\n              .\n            \n            \n              Results:\n              In the basketball and handball matchings, the skeleton and surrounding models were successfully matched to the background through all frames in all camera angles. Detailed time courses for joint kinematics and ground reaction force were obtained, while less information could be acquired from the single</w:instrText>
      </w:r>
      <w:r w:rsidR="006F0364">
        <w:rPr>
          <w:rFonts w:ascii="Cambria Math" w:hAnsi="Cambria Math" w:cs="Cambria Math"/>
          <w:lang w:val="en-US"/>
        </w:rPr>
        <w:instrText>‐</w:instrText>
      </w:r>
      <w:r w:rsidR="006F0364">
        <w:rPr>
          <w:lang w:val="en-US"/>
        </w:rPr>
        <w:instrText>view skiing accident.\n            \n            \n              Conclusion:\n              The model</w:instrText>
      </w:r>
      <w:r w:rsidR="006F0364">
        <w:rPr>
          <w:rFonts w:ascii="Cambria Math" w:hAnsi="Cambria Math" w:cs="Cambria Math"/>
          <w:lang w:val="en-US"/>
        </w:rPr>
        <w:instrText>‐</w:instrText>
      </w:r>
      <w:r w:rsidR="006F0364">
        <w:rPr>
          <w:lang w:val="en-US"/>
        </w:rPr>
        <w:instrText>based image matching technique can be used to extract kinematic characteristics from videotapes of actual ACL injuries, and may provide valuable information on the mechanisms for ACL injuries in sports.","container-title":"Scandinavian Journal of Medicine &amp; Science in Sports","DOI":"10.1111/j.1600-0838.2006.00558.x","ISSN":"0905-7188, 1600-0838","issue":"5","journalAbbreviation":"Scandinavian Med Sci Sports","language":"en","license":"http://onlinelibrary.wiley.com/termsAndConditions#vor","page":"508-519","source":"DOI.org (Crossref)","title":"Biomechanical analysis of anterior cruciate ligament injury mechanisms: three</w:instrText>
      </w:r>
      <w:r w:rsidR="006F0364">
        <w:rPr>
          <w:rFonts w:ascii="Cambria Math" w:hAnsi="Cambria Math" w:cs="Cambria Math"/>
          <w:lang w:val="en-US"/>
        </w:rPr>
        <w:instrText>‐</w:instrText>
      </w:r>
      <w:r w:rsidR="006F0364">
        <w:rPr>
          <w:lang w:val="en-US"/>
        </w:rPr>
        <w:instrText xml:space="preserve">dimensional motion reconstruction from video sequences","title-short":"Biomechanical analysis of anterior cruciate ligament injury mechanisms","volume":"17","author":[{"family":"Krosshaug","given":"T."},{"family":"Slauterbeck","given":"J. R."},{"family":"Engebretsen","given":"L."},{"family":"Bahr","given":"R."}],"issued":{"date-parts":[["2007",10]]}}}],"schema":"https://github.com/citation-style-language/schema/raw/master/csl-citation.json"} </w:instrText>
      </w:r>
      <w:r w:rsidR="00906597">
        <w:rPr>
          <w:lang w:val="en-US"/>
        </w:rPr>
        <w:fldChar w:fldCharType="separate"/>
      </w:r>
      <w:r w:rsidR="006F0364" w:rsidRPr="006F0364">
        <w:rPr>
          <w:rFonts w:ascii="Aptos" w:hAnsi="Aptos" w:cs="Times New Roman"/>
          <w:kern w:val="0"/>
          <w:vertAlign w:val="superscript"/>
          <w:lang w:val="en-US"/>
        </w:rPr>
        <w:t>31</w:t>
      </w:r>
      <w:r w:rsidR="00906597">
        <w:rPr>
          <w:lang w:val="en-US"/>
        </w:rPr>
        <w:fldChar w:fldCharType="end"/>
      </w:r>
      <w:r w:rsidR="00B44677">
        <w:rPr>
          <w:lang w:val="en-US"/>
        </w:rPr>
        <w:t xml:space="preserve">, and normalized using </w:t>
      </w:r>
      <w:r w:rsidR="00220BB8">
        <w:rPr>
          <w:lang w:val="en-US"/>
        </w:rPr>
        <w:t xml:space="preserve">a </w:t>
      </w:r>
      <w:r w:rsidR="00B44677">
        <w:rPr>
          <w:lang w:val="en-US"/>
        </w:rPr>
        <w:t>z-score transform</w:t>
      </w:r>
      <w:r w:rsidR="00220BB8">
        <w:rPr>
          <w:lang w:val="en-US"/>
        </w:rPr>
        <w:t>ation</w:t>
      </w:r>
      <w:r w:rsidR="00767551">
        <w:rPr>
          <w:lang w:val="en-US"/>
        </w:rPr>
        <w:fldChar w:fldCharType="begin"/>
      </w:r>
      <w:r w:rsidR="006F0364">
        <w:rPr>
          <w:lang w:val="en-US"/>
        </w:rPr>
        <w:instrText xml:space="preserve"> ADDIN ZOTERO_ITEM CSL_CITATION {"citationID":"FApcudd2","properties":{"formattedCitation":"\\super 32\\nosupersub{}","plainCitation":"32","noteIndex":0},"citationItems":[{"id":703,"uris":["http://zotero.org/users/18623031/items/5XCEGTH6"],"itemData":{"id":703,"type":"article-journal","container-title":"Journal of Biomechanics","DOI":"10.1016/j.jbiomech.2024.112433","ISSN":"00219290","journalAbbreviation":"Journal of Biomechanics","language":"en","page":"112433","source":"DOI.org (Crossref)","title":"Data should be made as simple as possible but not simpler: The method chosen for dimensionality reduction and its parameters can affect the clustering of runners based on their kinematics","title-short":"Data should be made as simple as possible but not simpler","volume":"177","author":[{"family":"Rivadulla","given":"Adrian R"},{"family":"Chen","given":"Xi"},{"family":"Cazzola","given":"Dario"},{"family":"Trewartha","given":"Grant"},{"family":"Preatoni","given":"Ezio"}],"issued":{"date-parts":[["2024",12]]}}}],"schema":"https://github.com/citation-style-language/schema/raw/master/csl-citation.json"} </w:instrText>
      </w:r>
      <w:r w:rsidR="00767551">
        <w:rPr>
          <w:lang w:val="en-US"/>
        </w:rPr>
        <w:fldChar w:fldCharType="separate"/>
      </w:r>
      <w:r w:rsidR="006F0364" w:rsidRPr="006F0364">
        <w:rPr>
          <w:rFonts w:ascii="Aptos" w:hAnsi="Aptos" w:cs="Times New Roman"/>
          <w:kern w:val="0"/>
          <w:vertAlign w:val="superscript"/>
          <w:lang w:val="en-US"/>
        </w:rPr>
        <w:t>32</w:t>
      </w:r>
      <w:r w:rsidR="00767551">
        <w:rPr>
          <w:lang w:val="en-US"/>
        </w:rPr>
        <w:fldChar w:fldCharType="end"/>
      </w:r>
      <w:r w:rsidR="00B44677">
        <w:rPr>
          <w:lang w:val="en-US"/>
        </w:rPr>
        <w:t xml:space="preserve">. </w:t>
      </w:r>
    </w:p>
    <w:p w14:paraId="4EC841A2" w14:textId="0A4EBB85" w:rsidR="00B52AE2" w:rsidRPr="00B52AE2" w:rsidRDefault="00B44677" w:rsidP="00B52AE2">
      <w:pPr>
        <w:spacing w:line="360" w:lineRule="auto"/>
        <w:jc w:val="both"/>
        <w:rPr>
          <w:lang w:val="en-US"/>
        </w:rPr>
      </w:pPr>
      <w:r w:rsidRPr="00B44677">
        <w:rPr>
          <w:lang w:val="en-US"/>
        </w:rPr>
        <w:t xml:space="preserve">To identify potentially </w:t>
      </w:r>
      <w:r w:rsidR="00220BB8" w:rsidRPr="00B44677">
        <w:rPr>
          <w:lang w:val="en-US"/>
        </w:rPr>
        <w:t>hazardous</w:t>
      </w:r>
      <w:r w:rsidRPr="00B44677">
        <w:rPr>
          <w:lang w:val="en-US"/>
        </w:rPr>
        <w:t xml:space="preserve"> invalid trials, </w:t>
      </w:r>
      <w:r w:rsidR="00220BB8">
        <w:rPr>
          <w:lang w:val="en-US"/>
        </w:rPr>
        <w:t xml:space="preserve">we identified </w:t>
      </w:r>
      <w:r w:rsidRPr="00B44677">
        <w:rPr>
          <w:lang w:val="en-US"/>
        </w:rPr>
        <w:t xml:space="preserve">abnormal invalid trials for each participant as those that deviated most from the individual optimal pattern, </w:t>
      </w:r>
      <w:r w:rsidR="00D25F1E">
        <w:rPr>
          <w:lang w:val="en-US"/>
        </w:rPr>
        <w:t>a biomechanical profile derived</w:t>
      </w:r>
      <w:r w:rsidR="00D25F1E" w:rsidRPr="00D25F1E">
        <w:rPr>
          <w:lang w:val="en-US"/>
        </w:rPr>
        <w:t xml:space="preserve"> from the average time series of each variable across the selected valid trials</w:t>
      </w:r>
      <w:r w:rsidR="0098096F">
        <w:rPr>
          <w:lang w:val="en-US"/>
        </w:rPr>
        <w:fldChar w:fldCharType="begin"/>
      </w:r>
      <w:r w:rsidR="006F0364">
        <w:rPr>
          <w:lang w:val="en-US"/>
        </w:rPr>
        <w:instrText xml:space="preserve"> ADDIN ZOTERO_ITEM CSL_CITATION {"citationID":"oo947wvU","properties":{"formattedCitation":"\\super 33\\nosupersub{}","plainCitation":"33","noteIndex":0},"citationItems":[{"id":310,"uris":["http://zotero.org/users/18623031/items/SYE8MIT5"],"itemData":{"id":310,"type":"article-journal","container-title":"The American Journal of Sports Medicine","DOI":"10.1177/03635465241248071","ISSN":"0363-5465","issue":"7","page":"1794-1803","title":"3-Dimensional Biomechanics of Noncontact Anterior Cruciate Ligament Injuries in Male Professional Soccer Players","volume":"52","author":[{"family":"Zago","given":"Matteo"},{"family":"Esposito","given":"Fabio"},{"family":"Stillavato","given":"Susanna"},{"family":"Zaffagnini","given":"Stefano"},{"family":"Frigo","given":"Carlo Albino"},{"family":"Villa","given":"Francesco Della"}],"issued":{"date-parts":[["2024",10]]}}}],"schema":"https://github.com/citation-style-language/schema/raw/master/csl-citation.json"} </w:instrText>
      </w:r>
      <w:r w:rsidR="0098096F">
        <w:rPr>
          <w:lang w:val="en-US"/>
        </w:rPr>
        <w:fldChar w:fldCharType="separate"/>
      </w:r>
      <w:r w:rsidR="006F0364" w:rsidRPr="006F0364">
        <w:rPr>
          <w:rFonts w:ascii="Aptos" w:hAnsi="Aptos" w:cs="Times New Roman"/>
          <w:kern w:val="0"/>
          <w:vertAlign w:val="superscript"/>
          <w:lang w:val="en-US"/>
        </w:rPr>
        <w:t>33</w:t>
      </w:r>
      <w:r w:rsidR="0098096F">
        <w:rPr>
          <w:lang w:val="en-US"/>
        </w:rPr>
        <w:fldChar w:fldCharType="end"/>
      </w:r>
      <w:r w:rsidRPr="00B44677">
        <w:rPr>
          <w:lang w:val="en-US"/>
        </w:rPr>
        <w:t>.</w:t>
      </w:r>
      <w:r w:rsidR="001136FB">
        <w:rPr>
          <w:lang w:val="en-US"/>
        </w:rPr>
        <w:t xml:space="preserve"> Then, f</w:t>
      </w:r>
      <w:r w:rsidR="00B52AE2" w:rsidRPr="00B52AE2">
        <w:rPr>
          <w:lang w:val="en-US"/>
        </w:rPr>
        <w:t xml:space="preserve">or every trial </w:t>
      </w:r>
      <w:r w:rsidR="00FF76D8">
        <w:rPr>
          <w:lang w:val="en-US"/>
        </w:rPr>
        <w:t xml:space="preserve">included </w:t>
      </w:r>
      <w:r w:rsidR="00FF76D8" w:rsidRPr="00B52AE2">
        <w:rPr>
          <w:lang w:val="en-US"/>
        </w:rPr>
        <w:t>(valid and invalid)</w:t>
      </w:r>
      <w:r w:rsidR="00FF76D8">
        <w:rPr>
          <w:lang w:val="en-US"/>
        </w:rPr>
        <w:t>,</w:t>
      </w:r>
      <w:r w:rsidR="00B52AE2" w:rsidRPr="00B52AE2">
        <w:rPr>
          <w:lang w:val="en-US"/>
        </w:rPr>
        <w:t xml:space="preserve"> the multivariate deviation from the optimal pattern was quantified by computing the Euclidean distance over time. The instantaneous distance was integrated over the movement duration, </w:t>
      </w:r>
      <w:r w:rsidR="001136FB">
        <w:rPr>
          <w:lang w:val="en-US"/>
        </w:rPr>
        <w:t>yielding</w:t>
      </w:r>
      <w:r w:rsidR="00B52AE2" w:rsidRPr="00B52AE2">
        <w:rPr>
          <w:lang w:val="en-US"/>
        </w:rPr>
        <w:t xml:space="preserve"> a single scalar distance value </w:t>
      </w:r>
      <w:r w:rsidR="001136FB">
        <w:rPr>
          <w:lang w:val="en-US"/>
        </w:rPr>
        <w:t>per</w:t>
      </w:r>
      <w:r w:rsidR="00B52AE2" w:rsidRPr="00B52AE2">
        <w:rPr>
          <w:lang w:val="en-US"/>
        </w:rPr>
        <w:t xml:space="preserve"> trial. Distances from valid and invalid trials were compared using linear mixed-effects models, with trial type (valid vs. failed or bad) as a fixed effect and subject as a random effect, to account for within-subject dependency and </w:t>
      </w:r>
      <w:r w:rsidR="00060B9F" w:rsidRPr="00B52AE2">
        <w:rPr>
          <w:lang w:val="en-US"/>
        </w:rPr>
        <w:t>imbalanced</w:t>
      </w:r>
      <w:r w:rsidR="00B52AE2" w:rsidRPr="00B52AE2">
        <w:rPr>
          <w:lang w:val="en-US"/>
        </w:rPr>
        <w:t xml:space="preserve"> numbers of trials.</w:t>
      </w:r>
      <w:r w:rsidR="00B52AE2">
        <w:rPr>
          <w:lang w:val="en-US"/>
        </w:rPr>
        <w:t xml:space="preserve"> </w:t>
      </w:r>
      <w:r w:rsidR="00B52AE2" w:rsidRPr="00B52AE2">
        <w:rPr>
          <w:lang w:val="en-US"/>
        </w:rPr>
        <w:t xml:space="preserve">For </w:t>
      </w:r>
      <w:r w:rsidR="00060B9F">
        <w:rPr>
          <w:lang w:val="en-US"/>
        </w:rPr>
        <w:t>visual</w:t>
      </w:r>
      <w:r w:rsidR="00060B9F" w:rsidRPr="00B52AE2">
        <w:rPr>
          <w:lang w:val="en-US"/>
        </w:rPr>
        <w:t xml:space="preserve"> </w:t>
      </w:r>
      <w:r w:rsidR="00060B9F">
        <w:rPr>
          <w:lang w:val="en-US"/>
        </w:rPr>
        <w:t>inspection</w:t>
      </w:r>
      <w:r w:rsidR="00B52AE2" w:rsidRPr="00B52AE2">
        <w:rPr>
          <w:lang w:val="en-US"/>
        </w:rPr>
        <w:t xml:space="preserve">, a paired t-test through statistical parametric mapping (SPM) </w:t>
      </w:r>
      <w:r w:rsidR="00B52AE2" w:rsidRPr="00834269">
        <w:rPr>
          <w:lang w:val="en-US"/>
        </w:rPr>
        <w:t>(</w:t>
      </w:r>
      <w:r w:rsidR="00834269" w:rsidRPr="006B7BFD">
        <w:rPr>
          <w:i/>
          <w:iCs/>
          <w:lang w:val="en-US"/>
        </w:rPr>
        <w:t>spm1d</w:t>
      </w:r>
      <w:r w:rsidR="00834269" w:rsidRPr="00834269">
        <w:rPr>
          <w:lang w:val="en-US"/>
        </w:rPr>
        <w:t xml:space="preserve"> MATLAB package</w:t>
      </w:r>
      <w:r w:rsidR="006B7BFD">
        <w:rPr>
          <w:lang w:val="en-US"/>
        </w:rPr>
        <w:t xml:space="preserve">, version </w:t>
      </w:r>
      <w:r w:rsidR="006B7BFD" w:rsidRPr="006B7BFD">
        <w:rPr>
          <w:lang w:val="en-US"/>
        </w:rPr>
        <w:t>M.0.4.10</w:t>
      </w:r>
      <w:r w:rsidR="00834269" w:rsidRPr="00834269">
        <w:rPr>
          <w:lang w:val="en-US"/>
        </w:rPr>
        <w:t xml:space="preserve">, </w:t>
      </w:r>
      <w:hyperlink r:id="rId11" w:history="1">
        <w:r w:rsidR="0013669C" w:rsidRPr="0098536C">
          <w:rPr>
            <w:rStyle w:val="Collegamentoipertestuale"/>
            <w:lang w:val="en-US"/>
          </w:rPr>
          <w:t>http://www.spm1d.org/index.html</w:t>
        </w:r>
      </w:hyperlink>
      <w:r w:rsidR="00B52AE2" w:rsidRPr="00834269">
        <w:rPr>
          <w:lang w:val="en-US"/>
        </w:rPr>
        <w:t>) was</w:t>
      </w:r>
      <w:r w:rsidR="00B52AE2" w:rsidRPr="00B52AE2">
        <w:rPr>
          <w:lang w:val="en-US"/>
        </w:rPr>
        <w:t xml:space="preserve"> </w:t>
      </w:r>
      <w:r w:rsidR="001136FB">
        <w:rPr>
          <w:lang w:val="en-US"/>
        </w:rPr>
        <w:t xml:space="preserve">also </w:t>
      </w:r>
      <w:r w:rsidR="00B52AE2" w:rsidRPr="00B52AE2">
        <w:rPr>
          <w:lang w:val="en-US"/>
        </w:rPr>
        <w:t xml:space="preserve">performed </w:t>
      </w:r>
      <w:r w:rsidR="00B52AE2">
        <w:rPr>
          <w:lang w:val="en-US"/>
        </w:rPr>
        <w:t xml:space="preserve">on distance time series </w:t>
      </w:r>
      <w:r w:rsidR="00B52AE2" w:rsidRPr="00B52AE2">
        <w:rPr>
          <w:lang w:val="en-US"/>
        </w:rPr>
        <w:t xml:space="preserve">to illustrate when valid and invalid trials deviated from the optimal pattern </w:t>
      </w:r>
      <w:r w:rsidR="00B52AE2">
        <w:rPr>
          <w:lang w:val="en-US"/>
        </w:rPr>
        <w:t>throughout</w:t>
      </w:r>
      <w:r w:rsidR="00B52AE2" w:rsidRPr="00B52AE2">
        <w:rPr>
          <w:lang w:val="en-US"/>
        </w:rPr>
        <w:t xml:space="preserve"> </w:t>
      </w:r>
      <w:r w:rsidR="001136FB">
        <w:rPr>
          <w:lang w:val="en-US"/>
        </w:rPr>
        <w:t xml:space="preserve">the </w:t>
      </w:r>
      <w:r w:rsidR="00B52AE2" w:rsidRPr="00B52AE2">
        <w:rPr>
          <w:lang w:val="en-US"/>
        </w:rPr>
        <w:t xml:space="preserve">entire </w:t>
      </w:r>
      <w:r w:rsidR="00060B9F">
        <w:rPr>
          <w:lang w:val="en-US"/>
        </w:rPr>
        <w:t xml:space="preserve">considered </w:t>
      </w:r>
      <w:r w:rsidR="00B52AE2" w:rsidRPr="00B52AE2">
        <w:rPr>
          <w:lang w:val="en-US"/>
        </w:rPr>
        <w:t>movement</w:t>
      </w:r>
      <w:r w:rsidR="001136FB">
        <w:rPr>
          <w:lang w:val="en-US"/>
        </w:rPr>
        <w:t xml:space="preserve"> phase</w:t>
      </w:r>
      <w:r w:rsidR="00B52AE2" w:rsidRPr="00B52AE2">
        <w:rPr>
          <w:lang w:val="en-US"/>
        </w:rPr>
        <w:t xml:space="preserve">. Distance </w:t>
      </w:r>
      <w:r w:rsidR="000A40D0">
        <w:rPr>
          <w:lang w:val="en-US"/>
        </w:rPr>
        <w:t>time series</w:t>
      </w:r>
      <w:r w:rsidR="000A40D0" w:rsidRPr="00B52AE2">
        <w:rPr>
          <w:lang w:val="en-US"/>
        </w:rPr>
        <w:t xml:space="preserve"> </w:t>
      </w:r>
      <w:r w:rsidR="00B52AE2">
        <w:rPr>
          <w:lang w:val="en-US"/>
        </w:rPr>
        <w:t xml:space="preserve">of each condition </w:t>
      </w:r>
      <w:r w:rsidR="00B52AE2" w:rsidRPr="00B52AE2">
        <w:rPr>
          <w:lang w:val="en-US"/>
        </w:rPr>
        <w:t xml:space="preserve">were averaged for </w:t>
      </w:r>
      <w:r w:rsidR="00B52AE2">
        <w:rPr>
          <w:lang w:val="en-US"/>
        </w:rPr>
        <w:t>all participants</w:t>
      </w:r>
      <w:r w:rsidR="00B52AE2" w:rsidRPr="00B52AE2">
        <w:rPr>
          <w:lang w:val="en-US"/>
        </w:rPr>
        <w:t xml:space="preserve"> prior to this </w:t>
      </w:r>
      <w:r w:rsidR="00B52AE2">
        <w:rPr>
          <w:lang w:val="en-US"/>
        </w:rPr>
        <w:t>inspection</w:t>
      </w:r>
      <w:r w:rsidR="00B52AE2" w:rsidRPr="00B52AE2">
        <w:rPr>
          <w:lang w:val="en-US"/>
        </w:rPr>
        <w:t>.</w:t>
      </w:r>
    </w:p>
    <w:p w14:paraId="66FB0ABA" w14:textId="7DCC3FF5" w:rsidR="00B52AE2" w:rsidRPr="00893B47" w:rsidRDefault="001136FB" w:rsidP="00B52AE2">
      <w:pPr>
        <w:spacing w:line="360" w:lineRule="auto"/>
        <w:jc w:val="both"/>
        <w:rPr>
          <w:lang w:val="en-US"/>
        </w:rPr>
      </w:pPr>
      <w:r>
        <w:rPr>
          <w:lang w:val="en-US"/>
        </w:rPr>
        <w:t>For</w:t>
      </w:r>
      <w:r w:rsidRPr="006A0367">
        <w:rPr>
          <w:lang w:val="en-US"/>
        </w:rPr>
        <w:t xml:space="preserve"> </w:t>
      </w:r>
      <w:r w:rsidR="00B52AE2" w:rsidRPr="006A0367">
        <w:rPr>
          <w:lang w:val="en-US"/>
        </w:rPr>
        <w:t xml:space="preserve">each </w:t>
      </w:r>
      <w:r w:rsidR="006A0367" w:rsidRPr="006A0367">
        <w:rPr>
          <w:lang w:val="en-US"/>
        </w:rPr>
        <w:t>participant</w:t>
      </w:r>
      <w:r w:rsidR="00B52AE2" w:rsidRPr="006A0367">
        <w:rPr>
          <w:lang w:val="en-US"/>
        </w:rPr>
        <w:t xml:space="preserve">, </w:t>
      </w:r>
      <w:r w:rsidR="000A40D0">
        <w:rPr>
          <w:lang w:val="en-US"/>
        </w:rPr>
        <w:t>i</w:t>
      </w:r>
      <w:r w:rsidR="000A40D0" w:rsidRPr="000A40D0">
        <w:rPr>
          <w:lang w:val="en-US"/>
        </w:rPr>
        <w:t xml:space="preserve">nvalid trials were classified as abnormal when their scalar distance from the optimal movement pattern exceeded the mean + 1 standard deviation (SD) of the distances observed in the corresponding </w:t>
      </w:r>
      <w:r w:rsidR="000A40D0" w:rsidRPr="006A0367">
        <w:rPr>
          <w:lang w:val="en-US"/>
        </w:rPr>
        <w:t xml:space="preserve">valid </w:t>
      </w:r>
      <w:r w:rsidR="000A40D0" w:rsidRPr="000A40D0">
        <w:rPr>
          <w:lang w:val="en-US"/>
        </w:rPr>
        <w:t>trials.</w:t>
      </w:r>
      <w:r w:rsidR="00B52AE2" w:rsidRPr="00B52AE2">
        <w:rPr>
          <w:b/>
          <w:bCs/>
          <w:lang w:val="en-US"/>
        </w:rPr>
        <w:t xml:space="preserve"> </w:t>
      </w:r>
      <w:r w:rsidR="00B52AE2" w:rsidRPr="006A0367">
        <w:rPr>
          <w:lang w:val="en-US"/>
        </w:rPr>
        <w:t>Peak values of the biomechanical variables were extracted from these trials</w:t>
      </w:r>
      <w:r>
        <w:rPr>
          <w:lang w:val="en-US"/>
        </w:rPr>
        <w:t>,</w:t>
      </w:r>
      <w:r w:rsidR="00B52AE2" w:rsidRPr="006A0367">
        <w:rPr>
          <w:lang w:val="en-US"/>
        </w:rPr>
        <w:t xml:space="preserve"> and </w:t>
      </w:r>
      <w:r w:rsidR="006A0367">
        <w:rPr>
          <w:lang w:val="en-US"/>
        </w:rPr>
        <w:t xml:space="preserve">principal component analysis (PCA) was performed </w:t>
      </w:r>
      <w:r>
        <w:rPr>
          <w:lang w:val="en-US"/>
        </w:rPr>
        <w:t>for</w:t>
      </w:r>
      <w:r w:rsidR="006A0367">
        <w:rPr>
          <w:lang w:val="en-US"/>
        </w:rPr>
        <w:t xml:space="preserve"> dimensionality reduction</w:t>
      </w:r>
      <w:r w:rsidR="00834269">
        <w:rPr>
          <w:lang w:val="en-US"/>
        </w:rPr>
        <w:fldChar w:fldCharType="begin"/>
      </w:r>
      <w:r w:rsidR="006F0364">
        <w:rPr>
          <w:lang w:val="en-US"/>
        </w:rPr>
        <w:instrText xml:space="preserve"> ADDIN ZOTERO_ITEM CSL_CITATION {"citationID":"BsTA2UP4","properties":{"formattedCitation":"\\super 34\\nosupersub{}","plainCitation":"34","noteIndex":0},"citationItems":[{"id":693,"uris":["http://zotero.org/users/18623031/items/B4T8Z9VG"],"itemData":{"id":693,"type":"article-journal","abstract":"Previous studies have demonstrated distinct clusters of gait patterns in both healthy and pathological groups, suggesting that different movement strategies may be represented. However, these studies have used discrete time point variables and usually focused on only one specific joint and plane of motion. Therefore, the first purpose of this study was to determine if running gait patterns for healthy subjects could be classified into homogeneous subgroups using three-dimensional kinematic data from the ankle, knee, and hip joints. The second purpose was to identify differences in joint kinematics between these groups. The third purpose was to investigate the practical implications of clustering healthy subjects by comparing these kinematics with runners experiencing patellofemoral pain (PFP). A principal component analysis (PCA) was used to reduce the dimensionality of the entire gait waveform data and then a hierarchical cluster analysis (HCA) determined group sets of similar gait patterns and homogeneous clusters. The results show two distinct running gait patterns were found with the main between-group differences occurring in frontal and sagittal plane knee angles (P&lt;0.001), independent of age, height, weight, and running speed. When these two groups were compared to PFP runners, one cluster exhibited greater while the other exhibited reduced peak knee abduction angles (P&lt;0.05). The variability observed in running patterns across this sample could be the result of different gait strategies. These results suggest care must be taken when selecting samples of subjects in order to investigate the pathomechanics of injured runners.","container-title":"Journal of Biomechanics","DOI":"10.1016/j.jbiomech.2015.09.025","ISSN":"1873-2380","issue":"14","journalAbbreviation":"J Biomech","language":"eng","page":"3897-3904","PMID":"26456422","source":"PubMed","title":"Kinematic gait patterns in healthy runners: A hierarchical cluster analysis","title-short":"Kinematic gait patterns in healthy runners","volume":"48","author":[{"family":"Phinyomark","given":"Angkoon"},{"family":"Osis","given":"Sean"},{"family":"Hettinga","given":"Blayne A."},{"family":"Ferber","given":"Reed"}],"issued":{"date-parts":[["2015",11,5]]}}}],"schema":"https://github.com/citation-style-language/schema/raw/master/csl-citation.json"} </w:instrText>
      </w:r>
      <w:r w:rsidR="00834269">
        <w:rPr>
          <w:lang w:val="en-US"/>
        </w:rPr>
        <w:fldChar w:fldCharType="separate"/>
      </w:r>
      <w:r w:rsidR="006F0364" w:rsidRPr="006F0364">
        <w:rPr>
          <w:rFonts w:ascii="Aptos" w:hAnsi="Aptos" w:cs="Times New Roman"/>
          <w:kern w:val="0"/>
          <w:vertAlign w:val="superscript"/>
          <w:lang w:val="en-US"/>
        </w:rPr>
        <w:t>34</w:t>
      </w:r>
      <w:r w:rsidR="00834269">
        <w:rPr>
          <w:lang w:val="en-US"/>
        </w:rPr>
        <w:fldChar w:fldCharType="end"/>
      </w:r>
      <w:r w:rsidR="00B52AE2" w:rsidRPr="006A0367">
        <w:rPr>
          <w:lang w:val="en-US"/>
        </w:rPr>
        <w:t>.</w:t>
      </w:r>
      <w:r w:rsidR="00060B9F">
        <w:rPr>
          <w:lang w:val="en-US"/>
        </w:rPr>
        <w:t xml:space="preserve"> </w:t>
      </w:r>
      <w:r w:rsidR="006A0367" w:rsidRPr="00893B47">
        <w:rPr>
          <w:lang w:val="en-US"/>
        </w:rPr>
        <w:t>The number of principal component</w:t>
      </w:r>
      <w:r>
        <w:rPr>
          <w:lang w:val="en-US"/>
        </w:rPr>
        <w:t>s</w:t>
      </w:r>
      <w:r w:rsidR="006A0367" w:rsidRPr="00893B47">
        <w:rPr>
          <w:lang w:val="en-US"/>
        </w:rPr>
        <w:t xml:space="preserve"> </w:t>
      </w:r>
      <w:r w:rsidR="00834CCE">
        <w:rPr>
          <w:lang w:val="en-US"/>
        </w:rPr>
        <w:t xml:space="preserve">(PCs) </w:t>
      </w:r>
      <w:r w:rsidR="006A0367" w:rsidRPr="00893B47">
        <w:rPr>
          <w:lang w:val="en-US"/>
        </w:rPr>
        <w:t xml:space="preserve">to consider was </w:t>
      </w:r>
      <w:r>
        <w:rPr>
          <w:lang w:val="en-US"/>
        </w:rPr>
        <w:t>pragmatically</w:t>
      </w:r>
      <w:r w:rsidRPr="00893B47">
        <w:rPr>
          <w:lang w:val="en-US"/>
        </w:rPr>
        <w:t xml:space="preserve"> </w:t>
      </w:r>
      <w:r w:rsidR="006A0367" w:rsidRPr="00893B47">
        <w:rPr>
          <w:lang w:val="en-US"/>
        </w:rPr>
        <w:t xml:space="preserve">determined based on </w:t>
      </w:r>
      <w:r w:rsidR="00B52AE2" w:rsidRPr="00893B47">
        <w:rPr>
          <w:lang w:val="en-US"/>
        </w:rPr>
        <w:t>cumulative explained variance (</w:t>
      </w:r>
      <w:r w:rsidR="006A0367" w:rsidRPr="00893B47">
        <w:rPr>
          <w:lang w:val="en-US"/>
        </w:rPr>
        <w:t>70-</w:t>
      </w:r>
      <w:r w:rsidR="00B52AE2" w:rsidRPr="00893B47">
        <w:rPr>
          <w:lang w:val="en-US"/>
        </w:rPr>
        <w:t>80%), the Kaiser criterion (eigenvalue &gt; 1), and visual inspection of the scree plot</w:t>
      </w:r>
      <w:r w:rsidR="006A0367" w:rsidRPr="00893B47">
        <w:rPr>
          <w:lang w:val="en-US"/>
        </w:rPr>
        <w:t xml:space="preserve"> (rapid change </w:t>
      </w:r>
      <w:r w:rsidR="00893B47" w:rsidRPr="00893B47">
        <w:rPr>
          <w:lang w:val="en-US"/>
        </w:rPr>
        <w:t>in slope of the eigenvalue curve)</w:t>
      </w:r>
      <w:r w:rsidR="00464F18">
        <w:rPr>
          <w:lang w:val="en-US"/>
        </w:rPr>
        <w:fldChar w:fldCharType="begin"/>
      </w:r>
      <w:r w:rsidR="006F0364">
        <w:rPr>
          <w:lang w:val="en-US"/>
        </w:rPr>
        <w:instrText xml:space="preserve"> ADDIN ZOTERO_ITEM CSL_CITATION {"citationID":"MIQBCDXZ","properties":{"formattedCitation":"\\super 32,35\\nosupersub{}","plainCitation":"32,35","noteIndex":0},"citationItems":[{"id":701,"uris":["http://zotero.org/users/18623031/items/6RE6KCLM"],"itemData":{"id":701,"type":"article-journal","abstract":"Large datasets are increasingly common and are often difficult to interpret. Principal component analysis (PCA) is a technique for reducing the dimensionality of such datasets, increasing interpretability but at the same time minimizing information loss. It does so by creating new uncorrelated variables that successively maximize variance. Finding such new variables, the principal components, reduces to solving an eigenvalue/eigenvector problem, and the new variables are defined by the dataset at hand, not\n              a priori\n              , hence making PCA an adaptive data analysis technique. It is adaptive in another sense too, since variants of the technique have been developed that are tailored to various different data types and structures. This article will begin by introducing the basic ideas of PCA, discussing what it can and cannot do. It will then describe some variants of PCA and their application.","container-title":"Philosophical Transactions of the Royal Society A: Mathematical, Physical and Engineering Sciences","DOI":"10.1098/rsta.2015.0202","ISSN":"1364-503X, 1471-2962","issue":"2065","journalAbbreviation":"Phil. Trans. R. Soc. A.","language":"en","page":"20150202","source":"DOI.org (Crossref)","title":"Principal component analysis: a review and recent developments","title-short":"Principal component analysis","volume":"374","author":[{"family":"Jolliffe","given":"Ian T."},{"family":"Cadima","given":"Jorge"}],"issued":{"date-parts":[["2016",4,13]]}}},{"id":703,"uris":["http://zotero.org/users/18623031/items/5XCEGTH6"],"itemData":{"id":703,"type":"article-journal","container-title":"Journal of Biomechanics","DOI":"10.1016/j.jbiomech.2024.112433","ISSN":"00219290","journalAbbreviation":"Journal of Biomechanics","language":"en","page":"112433","source":"DOI.org (Crossref)","title":"Data should be made as simple as possible but not simpler: The method chosen for dimensionality reduction and its parameters can affect the clustering of runners based on their kinematics","title-short":"Data should be made as simple as possible but not simpler","volume":"177","author":[{"family":"Rivadulla","given":"Adrian R"},{"family":"Chen","given":"Xi"},{"family":"Cazzola","given":"Dario"},{"family":"Trewartha","given":"Grant"},{"family":"Preatoni","given":"Ezio"}],"issued":{"date-parts":[["2024",12]]}}}],"schema":"https://github.com/citation-style-language/schema/raw/master/csl-citation.json"} </w:instrText>
      </w:r>
      <w:r w:rsidR="00464F18">
        <w:rPr>
          <w:lang w:val="en-US"/>
        </w:rPr>
        <w:fldChar w:fldCharType="separate"/>
      </w:r>
      <w:r w:rsidR="006F0364" w:rsidRPr="006F0364">
        <w:rPr>
          <w:rFonts w:ascii="Aptos" w:hAnsi="Aptos" w:cs="Times New Roman"/>
          <w:kern w:val="0"/>
          <w:vertAlign w:val="superscript"/>
          <w:lang w:val="en-US"/>
        </w:rPr>
        <w:t>32,35</w:t>
      </w:r>
      <w:r w:rsidR="00464F18">
        <w:rPr>
          <w:lang w:val="en-US"/>
        </w:rPr>
        <w:fldChar w:fldCharType="end"/>
      </w:r>
      <w:r w:rsidR="00B52AE2" w:rsidRPr="00464F18">
        <w:rPr>
          <w:lang w:val="en-US"/>
        </w:rPr>
        <w:t>.</w:t>
      </w:r>
      <w:r w:rsidR="00B52AE2" w:rsidRPr="00B52AE2">
        <w:rPr>
          <w:b/>
          <w:bCs/>
          <w:lang w:val="en-US"/>
        </w:rPr>
        <w:t xml:space="preserve"> </w:t>
      </w:r>
      <w:r w:rsidR="00496195" w:rsidRPr="00AA1641">
        <w:rPr>
          <w:lang w:val="en-US"/>
        </w:rPr>
        <w:t>After determining the retained components</w:t>
      </w:r>
      <w:r w:rsidR="00496195">
        <w:rPr>
          <w:lang w:val="en-US"/>
        </w:rPr>
        <w:t xml:space="preserve">, </w:t>
      </w:r>
      <w:r w:rsidR="00834CCE">
        <w:rPr>
          <w:lang w:val="en-US"/>
        </w:rPr>
        <w:t>PC</w:t>
      </w:r>
      <w:r w:rsidR="00893B47" w:rsidRPr="00893B47">
        <w:rPr>
          <w:lang w:val="en-US"/>
        </w:rPr>
        <w:t xml:space="preserve"> scores and variable loadings were</w:t>
      </w:r>
      <w:r w:rsidR="00496195">
        <w:rPr>
          <w:lang w:val="en-US"/>
        </w:rPr>
        <w:t xml:space="preserve"> </w:t>
      </w:r>
      <w:r w:rsidR="00496195" w:rsidRPr="00AA1641">
        <w:rPr>
          <w:lang w:val="en-US"/>
        </w:rPr>
        <w:t>subsequently</w:t>
      </w:r>
      <w:r w:rsidR="00496195">
        <w:rPr>
          <w:lang w:val="en-US"/>
        </w:rPr>
        <w:t xml:space="preserve"> </w:t>
      </w:r>
      <w:r w:rsidR="00893B47" w:rsidRPr="00893B47">
        <w:rPr>
          <w:lang w:val="en-US"/>
        </w:rPr>
        <w:t>extracted</w:t>
      </w:r>
      <w:r w:rsidR="00893B47">
        <w:rPr>
          <w:lang w:val="en-US"/>
        </w:rPr>
        <w:t xml:space="preserve">. </w:t>
      </w:r>
    </w:p>
    <w:p w14:paraId="3F2DFC3E" w14:textId="246130E0" w:rsidR="001013F7" w:rsidRDefault="00B52AE2" w:rsidP="00353B30">
      <w:pPr>
        <w:spacing w:line="360" w:lineRule="auto"/>
        <w:jc w:val="both"/>
        <w:rPr>
          <w:lang w:val="en-US"/>
        </w:rPr>
      </w:pPr>
      <w:r w:rsidRPr="00893B47">
        <w:rPr>
          <w:lang w:val="en-US"/>
        </w:rPr>
        <w:t xml:space="preserve">Abnormal trials were then grouped using hierarchical clustering (Ward’s method) applied to the selected </w:t>
      </w:r>
      <w:r w:rsidR="00893B47" w:rsidRPr="00893B47">
        <w:rPr>
          <w:lang w:val="en-US"/>
        </w:rPr>
        <w:t>principal component</w:t>
      </w:r>
      <w:r w:rsidRPr="00893B47">
        <w:rPr>
          <w:lang w:val="en-US"/>
        </w:rPr>
        <w:t xml:space="preserve"> </w:t>
      </w:r>
      <w:r w:rsidRPr="00AA1641">
        <w:rPr>
          <w:lang w:val="en-US"/>
        </w:rPr>
        <w:t>scores, using Euclidean distance</w:t>
      </w:r>
      <w:r w:rsidR="00AA1641" w:rsidRPr="00AA1641">
        <w:rPr>
          <w:lang w:val="en-US"/>
        </w:rPr>
        <w:fldChar w:fldCharType="begin"/>
      </w:r>
      <w:r w:rsidR="006F0364">
        <w:rPr>
          <w:lang w:val="en-US"/>
        </w:rPr>
        <w:instrText xml:space="preserve"> ADDIN ZOTERO_ITEM CSL_CITATION {"citationID":"8Clu4ueE","properties":{"formattedCitation":"\\super 22\\nosupersub{}","plainCitation":"22","noteIndex":0},"citationItems":[{"id":590,"uris":["http://zotero.org/users/18623031/items/7RLMIWCP"],"itemData":{"id":590,"type":"article-journal","abstract":"Background\n              Despite extensive efforts to pinpoint singular biomechanical risk factors for anterior cruciate ligament (ACL) injuries, research findings are still inconclusive. By combining multiple biomechanical variables, cluster analyses could help us identify safe and risky cutting technique strategies.\n            \n            \n              Purpose\n              To identify common movement strategies during cutting maneuvers and to assess their association with ACL injury risk.\n            \n            \n              Methods\n              A total of 754 female elite handball and football players, including 59 with a history of ACL injury, performed a sport-specific cutting task while 3D biomechanics were recorded. Over an 8-year follow-up period, 43 of these players sustained a primary ACL injury and 13 players a secondary ACL injury. Cutting technique was described using 36 discrete kinematic variables. To identify different cutting techniques, we employed a K-means clustering algorithm on data subsets involving different numbers of kinematic variables (36, 13 and 5 variables) and different sports (handball, football, and both combined). To assess the impact of the identified cutting technique clusters on ACL injury risk, we compared the proportion of injured players between these clusters using the Fisher-Freeman-Halton Exact test and adjusted rand indices (ARI).\n            \n            \n              Results\n              \n                We identified two distinguishable cutting technique clusters in the subset involving both sports and five kinematics variables (average silhouette score, ASS</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0.35). However, these clusters were formed based on sport- or task-related differences (Fisher's\n                p\n                </w:instrText>
      </w:r>
      <w:r w:rsidR="006F0364">
        <w:rPr>
          <w:rFonts w:ascii="Arial" w:hAnsi="Arial" w:cs="Arial"/>
          <w:lang w:val="en-US"/>
        </w:rPr>
        <w:instrText> </w:instrText>
      </w:r>
      <w:r w:rsidR="006F0364">
        <w:rPr>
          <w:lang w:val="en-US"/>
        </w:rPr>
        <w:instrText>&amp;lt;</w:instrText>
      </w:r>
      <w:r w:rsidR="006F0364">
        <w:rPr>
          <w:rFonts w:ascii="Arial" w:hAnsi="Arial" w:cs="Arial"/>
          <w:lang w:val="en-US"/>
        </w:rPr>
        <w:instrText> </w:instrText>
      </w:r>
      <w:r w:rsidR="006F0364">
        <w:rPr>
          <w:lang w:val="en-US"/>
        </w:rPr>
        <w:instrText>0.001, ARI</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0.83) rather than injury-related differences (Fisher's\n                p\n                </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0.417, ARI</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0.00). We also found two cutting technique clusters in the handball (ASS</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0.23) and football (ASS</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0.30) subsets with five kinematic variables. However, none of these clusters appeared to be associated with ACL injury risk (Fisher's\n                p\n                </w:instrText>
      </w:r>
      <w:r w:rsidR="006F0364">
        <w:rPr>
          <w:rFonts w:ascii="Arial" w:hAnsi="Arial" w:cs="Arial"/>
          <w:lang w:val="en-US"/>
        </w:rPr>
        <w:instrText> </w:instrText>
      </w:r>
      <w:r w:rsidR="006F0364">
        <w:rPr>
          <w:lang w:val="en-US"/>
        </w:rPr>
        <w:instrText>&amp;gt;</w:instrText>
      </w:r>
      <w:r w:rsidR="006F0364">
        <w:rPr>
          <w:rFonts w:ascii="Arial" w:hAnsi="Arial" w:cs="Arial"/>
          <w:lang w:val="en-US"/>
        </w:rPr>
        <w:instrText> </w:instrText>
      </w:r>
      <w:r w:rsidR="006F0364">
        <w:rPr>
          <w:lang w:val="en-US"/>
        </w:rPr>
        <w:instrText>0.05, ARI</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0.00).\n              \n            \n            \n              Conclusion\n              No safe or risky cutting technique strategies could be discerned among female elite handball and football players. Cluster analysis of cutting technique, using a K-means algorithm, did not prove to be a valuable approach for assessing ACL injury risk in this dataset.","container-title":"Frontiers in Sports and Active Living","DOI":"10.3389/fspor.2025.1463272","ISSN":"2624-9367","journalAbbreviation":"Front. Sports Act. Living","page":"1463272","source":"DOI.org (Crossref)","title":"Cluster analysis of cutting technique—a valuable approach for assessing anterior cruciate ligament injury risk?","volume":"7","author":[{"family":"Mausehund","given":"Lasse"},{"family":"Patron","given":"Anri"},{"family":"Äyrämö","given":"Sami"},{"family":"Krosshaug","given":"Tron"}],"issued":{"date-parts":[["2025",2,10]]}}}],"schema":"https://github.com/citation-style-language/schema/raw/master/csl-citation.json"} </w:instrText>
      </w:r>
      <w:r w:rsidR="00AA1641" w:rsidRPr="00AA1641">
        <w:rPr>
          <w:lang w:val="en-US"/>
        </w:rPr>
        <w:fldChar w:fldCharType="separate"/>
      </w:r>
      <w:r w:rsidR="006F0364" w:rsidRPr="006F0364">
        <w:rPr>
          <w:rFonts w:ascii="Aptos" w:hAnsi="Aptos" w:cs="Times New Roman"/>
          <w:kern w:val="0"/>
          <w:vertAlign w:val="superscript"/>
          <w:lang w:val="en-US"/>
        </w:rPr>
        <w:t>22</w:t>
      </w:r>
      <w:r w:rsidR="00AA1641" w:rsidRPr="00AA1641">
        <w:rPr>
          <w:lang w:val="en-US"/>
        </w:rPr>
        <w:fldChar w:fldCharType="end"/>
      </w:r>
      <w:r w:rsidRPr="00893B47">
        <w:rPr>
          <w:lang w:val="en-US"/>
        </w:rPr>
        <w:t>.</w:t>
      </w:r>
      <w:r w:rsidRPr="00B52AE2">
        <w:rPr>
          <w:b/>
          <w:bCs/>
          <w:lang w:val="en-US"/>
        </w:rPr>
        <w:t xml:space="preserve"> </w:t>
      </w:r>
      <w:r w:rsidR="00893B47" w:rsidRPr="00893B47">
        <w:rPr>
          <w:lang w:val="en-US"/>
        </w:rPr>
        <w:t xml:space="preserve">The optimal number of clusters was determined using silhouette analysis, which </w:t>
      </w:r>
      <w:r w:rsidR="00893B47">
        <w:rPr>
          <w:lang w:val="en-US"/>
        </w:rPr>
        <w:t>quantifies</w:t>
      </w:r>
      <w:r w:rsidR="00893B47" w:rsidRPr="00893B47">
        <w:rPr>
          <w:lang w:val="en-US"/>
        </w:rPr>
        <w:t xml:space="preserve"> how well each trial is separated from neighboring clusters based on </w:t>
      </w:r>
      <w:r w:rsidR="00893B47" w:rsidRPr="00EA12CD">
        <w:rPr>
          <w:lang w:val="en-US"/>
        </w:rPr>
        <w:t>within- and between-cluster distances. The solution with the highest mean silhouette value was selected</w:t>
      </w:r>
      <w:r w:rsidR="00EA12CD" w:rsidRPr="00EA12CD">
        <w:rPr>
          <w:lang w:val="en-US"/>
        </w:rPr>
        <w:fldChar w:fldCharType="begin"/>
      </w:r>
      <w:r w:rsidR="006F0364">
        <w:rPr>
          <w:lang w:val="en-US"/>
        </w:rPr>
        <w:instrText xml:space="preserve"> ADDIN ZOTERO_ITEM CSL_CITATION {"citationID":"ebjJhbEN","properties":{"formattedCitation":"\\super 22,36\\nosupersub{}","plainCitation":"22,36","noteIndex":0},"citationItems":[{"id":590,"uris":["http://zotero.org/users/18623031/items/7RLMIWCP"],"itemData":{"id":590,"type":"article-journal","abstract":"Background\n              Despite extensive efforts to pinpoint singular biomechanical risk factors for anterior cruciate ligament (ACL) injuries, research findings are still inconclusive. By combining multiple biomechanical variables, cluster analyses could help us identify safe and risky cutting technique strategies.\n            \n            \n              Purpose\n              To identify common movement strategies during cutting maneuvers and to assess their association with ACL injury risk.\n            \n            \n              Methods\n              A total of 754 female elite handball and football players, including 59 with a history of ACL injury, performed a sport-specific cutting task while 3D biomechanics were recorded. Over an 8-year follow-up period, 43 of these players sustained a primary ACL injury and 13 players a secondary ACL injury. Cutting technique was described using 36 discrete kinematic variables. To identify different cutting techniques, we employed a K-means clustering algorithm on data subsets involving different numbers of kinematic variables (36, 13 and 5 variables) and different sports (handball, football, and both combined). To assess the impact of the identified cutting technique clusters on ACL injury risk, we compared the proportion of injured players between these clusters using the Fisher-Freeman-Halton Exact test and adjusted rand indices (ARI).\n            \n            \n              Results\n              \n                We identified two distinguishable cutting technique clusters in the subset involving both sports and five kinematics variables (average silhouette score, ASS</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0.35). However, these clusters were formed based on sport- or task-related differences (Fisher's\n                p\n                </w:instrText>
      </w:r>
      <w:r w:rsidR="006F0364">
        <w:rPr>
          <w:rFonts w:ascii="Arial" w:hAnsi="Arial" w:cs="Arial"/>
          <w:lang w:val="en-US"/>
        </w:rPr>
        <w:instrText> </w:instrText>
      </w:r>
      <w:r w:rsidR="006F0364">
        <w:rPr>
          <w:lang w:val="en-US"/>
        </w:rPr>
        <w:instrText>&amp;lt;</w:instrText>
      </w:r>
      <w:r w:rsidR="006F0364">
        <w:rPr>
          <w:rFonts w:ascii="Arial" w:hAnsi="Arial" w:cs="Arial"/>
          <w:lang w:val="en-US"/>
        </w:rPr>
        <w:instrText> </w:instrText>
      </w:r>
      <w:r w:rsidR="006F0364">
        <w:rPr>
          <w:lang w:val="en-US"/>
        </w:rPr>
        <w:instrText>0.001, ARI</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0.83) rather than injury-related differences (Fisher's\n                p\n                </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0.417, ARI</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0.00). We also found two cutting technique clusters in the handball (ASS</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0.23) and football (ASS</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0.30) subsets with five kinematic variables. However, none of these clusters appeared to be associated with ACL injury risk (Fisher's\n                p\n                </w:instrText>
      </w:r>
      <w:r w:rsidR="006F0364">
        <w:rPr>
          <w:rFonts w:ascii="Arial" w:hAnsi="Arial" w:cs="Arial"/>
          <w:lang w:val="en-US"/>
        </w:rPr>
        <w:instrText> </w:instrText>
      </w:r>
      <w:r w:rsidR="006F0364">
        <w:rPr>
          <w:lang w:val="en-US"/>
        </w:rPr>
        <w:instrText>&amp;gt;</w:instrText>
      </w:r>
      <w:r w:rsidR="006F0364">
        <w:rPr>
          <w:rFonts w:ascii="Arial" w:hAnsi="Arial" w:cs="Arial"/>
          <w:lang w:val="en-US"/>
        </w:rPr>
        <w:instrText> </w:instrText>
      </w:r>
      <w:r w:rsidR="006F0364">
        <w:rPr>
          <w:lang w:val="en-US"/>
        </w:rPr>
        <w:instrText>0.05, ARI</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 xml:space="preserve">0.00).\n              \n            \n            \n              Conclusion\n              No safe or risky cutting technique strategies could be discerned among female elite handball and football players. Cluster analysis of cutting technique, using a K-means algorithm, did not prove to be a valuable approach for assessing ACL injury risk in this dataset.","container-title":"Frontiers in Sports and Active Living","DOI":"10.3389/fspor.2025.1463272","ISSN":"2624-9367","journalAbbreviation":"Front. Sports Act. Living","page":"1463272","source":"DOI.org (Crossref)","title":"Cluster analysis of cutting technique—a valuable approach for assessing anterior cruciate ligament injury risk?","volume":"7","author":[{"family":"Mausehund","given":"Lasse"},{"family":"Patron","given":"Anri"},{"family":"Äyrämö","given":"Sami"},{"family":"Krosshaug","given":"Tron"}],"issued":{"date-parts":[["2025",2,10]]}}},{"id":697,"uris":["http://zotero.org/users/18623031/items/4XCVRYPZ"],"itemData":{"id":697,"type":"article-journal","container-title":"Journal of Computational and Applied Mathematics","DOI":"10.1016/0377-0427(87)90125-7","ISSN":"03770427","journalAbbreviation":"Journal of Computational and Applied Mathematics","language":"en","license":"https://www.elsevier.com/tdm/userlicense/1.0/","page":"53-65","source":"DOI.org (Crossref)","title":"Silhouettes: A graphical aid to the interpretation and validation of cluster analysis","title-short":"Silhouettes","volume":"20","author":[{"family":"Rousseeuw","given":"Peter J."}],"issued":{"date-parts":[["1987",11]]}}}],"schema":"https://github.com/citation-style-language/schema/raw/master/csl-citation.json"} </w:instrText>
      </w:r>
      <w:r w:rsidR="00EA12CD" w:rsidRPr="00EA12CD">
        <w:rPr>
          <w:lang w:val="en-US"/>
        </w:rPr>
        <w:fldChar w:fldCharType="separate"/>
      </w:r>
      <w:r w:rsidR="006F0364" w:rsidRPr="006F0364">
        <w:rPr>
          <w:rFonts w:ascii="Aptos" w:hAnsi="Aptos" w:cs="Times New Roman"/>
          <w:kern w:val="0"/>
          <w:vertAlign w:val="superscript"/>
          <w:lang w:val="en-US"/>
        </w:rPr>
        <w:t>22,36</w:t>
      </w:r>
      <w:r w:rsidR="00EA12CD" w:rsidRPr="00EA12CD">
        <w:rPr>
          <w:lang w:val="en-US"/>
        </w:rPr>
        <w:fldChar w:fldCharType="end"/>
      </w:r>
      <w:r w:rsidRPr="00EA12CD">
        <w:rPr>
          <w:lang w:val="en-US"/>
        </w:rPr>
        <w:t>.</w:t>
      </w:r>
      <w:r w:rsidR="00893B47">
        <w:rPr>
          <w:lang w:val="en-US"/>
        </w:rPr>
        <w:t xml:space="preserve"> </w:t>
      </w:r>
      <w:r w:rsidR="00335136" w:rsidRPr="00335136">
        <w:rPr>
          <w:lang w:val="en-US"/>
        </w:rPr>
        <w:t xml:space="preserve">Cluster separation was evaluated using non-parametric statistical tests applied to each </w:t>
      </w:r>
      <w:r w:rsidR="00834CCE">
        <w:rPr>
          <w:lang w:val="en-US"/>
        </w:rPr>
        <w:t>PC</w:t>
      </w:r>
      <w:r w:rsidR="00335136" w:rsidRPr="00335136">
        <w:rPr>
          <w:lang w:val="en-US"/>
        </w:rPr>
        <w:t xml:space="preserve">, to account for potentially unbalanced cluster sizes. </w:t>
      </w:r>
      <w:r w:rsidR="0025110B">
        <w:rPr>
          <w:lang w:val="en-US"/>
        </w:rPr>
        <w:t>If</w:t>
      </w:r>
      <w:r w:rsidR="00335136" w:rsidRPr="00335136">
        <w:rPr>
          <w:lang w:val="en-US"/>
        </w:rPr>
        <w:t xml:space="preserve"> the optimal number of clusters was greater than two, Kruskal–Wallis tests were performed, followed by pairwise </w:t>
      </w:r>
      <w:r w:rsidR="00335136" w:rsidRPr="00335136">
        <w:rPr>
          <w:lang w:val="en-US"/>
        </w:rPr>
        <w:lastRenderedPageBreak/>
        <w:t xml:space="preserve">comparisons using Mann–Whitney U tests with Holm correction. </w:t>
      </w:r>
      <w:r w:rsidR="0025110B">
        <w:rPr>
          <w:lang w:val="en-US"/>
        </w:rPr>
        <w:t>If</w:t>
      </w:r>
      <w:r w:rsidR="00335136" w:rsidRPr="00335136">
        <w:rPr>
          <w:lang w:val="en-US"/>
        </w:rPr>
        <w:t xml:space="preserve"> </w:t>
      </w:r>
      <w:r w:rsidR="001136FB">
        <w:rPr>
          <w:lang w:val="en-US"/>
        </w:rPr>
        <w:t xml:space="preserve">only </w:t>
      </w:r>
      <w:r w:rsidR="00335136" w:rsidRPr="00335136">
        <w:rPr>
          <w:lang w:val="en-US"/>
        </w:rPr>
        <w:t xml:space="preserve">two clusters were identified, Mann–Whitney U tests with Benjamini–Hochberg correction were applied across all </w:t>
      </w:r>
      <w:r w:rsidR="00834CCE">
        <w:rPr>
          <w:lang w:val="en-US"/>
        </w:rPr>
        <w:t>PC</w:t>
      </w:r>
      <w:r w:rsidR="00335136" w:rsidRPr="00335136">
        <w:rPr>
          <w:lang w:val="en-US"/>
        </w:rPr>
        <w:t>s.</w:t>
      </w:r>
      <w:r w:rsidR="00EA12CD">
        <w:rPr>
          <w:lang w:val="en-US"/>
        </w:rPr>
        <w:t xml:space="preserve"> </w:t>
      </w:r>
      <w:r w:rsidR="001013F7" w:rsidRPr="001013F7">
        <w:rPr>
          <w:lang w:val="en-US"/>
        </w:rPr>
        <w:t>A significance level of 0.05 was adopted for all statistical analyses.</w:t>
      </w:r>
    </w:p>
    <w:p w14:paraId="1CB5C640" w14:textId="77777777" w:rsidR="00F3612F" w:rsidRPr="001013F7" w:rsidRDefault="00F3612F" w:rsidP="00353B30">
      <w:pPr>
        <w:spacing w:line="360" w:lineRule="auto"/>
        <w:jc w:val="both"/>
        <w:rPr>
          <w:lang w:val="en-US"/>
        </w:rPr>
      </w:pPr>
    </w:p>
    <w:p w14:paraId="10B21E89" w14:textId="51442164" w:rsidR="001B0073" w:rsidRDefault="0035546F" w:rsidP="00353B30">
      <w:pPr>
        <w:spacing w:line="360" w:lineRule="auto"/>
        <w:jc w:val="both"/>
        <w:rPr>
          <w:b/>
          <w:bCs/>
          <w:lang w:val="en-US"/>
        </w:rPr>
      </w:pPr>
      <w:r w:rsidRPr="001013F7">
        <w:rPr>
          <w:b/>
          <w:bCs/>
          <w:lang w:val="en-US"/>
        </w:rPr>
        <w:t>RESULTS</w:t>
      </w:r>
    </w:p>
    <w:p w14:paraId="0FDE3845" w14:textId="50115294" w:rsidR="001B0073" w:rsidRDefault="00DF0BB1" w:rsidP="00353B30">
      <w:pPr>
        <w:spacing w:line="360" w:lineRule="auto"/>
        <w:jc w:val="both"/>
        <w:rPr>
          <w:lang w:val="en-US"/>
        </w:rPr>
      </w:pPr>
      <w:r>
        <w:rPr>
          <w:lang w:val="en-US"/>
        </w:rPr>
        <w:t>Complete d</w:t>
      </w:r>
      <w:r w:rsidR="001B0073" w:rsidRPr="00AA72F8">
        <w:rPr>
          <w:lang w:val="en-US"/>
        </w:rPr>
        <w:t xml:space="preserve">escriptive statistics </w:t>
      </w:r>
      <w:r w:rsidR="00B707F0" w:rsidRPr="00AA72F8">
        <w:rPr>
          <w:lang w:val="en-US"/>
        </w:rPr>
        <w:t>o</w:t>
      </w:r>
      <w:r w:rsidR="00AA72F8">
        <w:rPr>
          <w:lang w:val="en-US"/>
        </w:rPr>
        <w:t>f</w:t>
      </w:r>
      <w:r w:rsidR="00B707F0" w:rsidRPr="00AA72F8">
        <w:rPr>
          <w:lang w:val="en-US"/>
        </w:rPr>
        <w:t xml:space="preserve"> </w:t>
      </w:r>
      <w:r>
        <w:rPr>
          <w:lang w:val="en-US"/>
        </w:rPr>
        <w:t xml:space="preserve">raw </w:t>
      </w:r>
      <w:r w:rsidR="00B707F0" w:rsidRPr="00AA72F8">
        <w:rPr>
          <w:lang w:val="en-US"/>
        </w:rPr>
        <w:t xml:space="preserve">biomechanical variables </w:t>
      </w:r>
      <w:r>
        <w:rPr>
          <w:lang w:val="en-US"/>
        </w:rPr>
        <w:t xml:space="preserve">collected in the study </w:t>
      </w:r>
      <w:r w:rsidR="001B0073" w:rsidRPr="00AA72F8">
        <w:rPr>
          <w:lang w:val="en-US"/>
        </w:rPr>
        <w:t>are reported in the Supplementary Materials</w:t>
      </w:r>
      <w:r w:rsidR="00AA72F8">
        <w:rPr>
          <w:lang w:val="en-US"/>
        </w:rPr>
        <w:t xml:space="preserve"> (Table S.1)</w:t>
      </w:r>
      <w:r w:rsidR="001B0073" w:rsidRPr="00AA72F8">
        <w:rPr>
          <w:lang w:val="en-US"/>
        </w:rPr>
        <w:t>.</w:t>
      </w:r>
    </w:p>
    <w:p w14:paraId="6C86C717" w14:textId="097C9AFC" w:rsidR="0035546F" w:rsidRPr="00D67B1F" w:rsidRDefault="00D67B1F" w:rsidP="00353B30">
      <w:pPr>
        <w:spacing w:line="360" w:lineRule="auto"/>
        <w:jc w:val="both"/>
        <w:rPr>
          <w:b/>
          <w:bCs/>
          <w:i/>
          <w:iCs/>
          <w:lang w:val="en-US"/>
        </w:rPr>
      </w:pPr>
      <w:r w:rsidRPr="00D67B1F">
        <w:rPr>
          <w:b/>
          <w:bCs/>
          <w:i/>
          <w:iCs/>
          <w:lang w:val="en-US"/>
        </w:rPr>
        <w:t>Failed trials</w:t>
      </w:r>
      <w:r w:rsidR="007C3AA3">
        <w:rPr>
          <w:b/>
          <w:bCs/>
          <w:i/>
          <w:iCs/>
          <w:lang w:val="en-US"/>
        </w:rPr>
        <w:t xml:space="preserve"> (</w:t>
      </w:r>
      <w:r w:rsidR="00523098">
        <w:rPr>
          <w:b/>
          <w:bCs/>
          <w:i/>
          <w:iCs/>
          <w:lang w:val="en-US"/>
        </w:rPr>
        <w:t xml:space="preserve">decision-making </w:t>
      </w:r>
      <w:r w:rsidR="007C3AA3">
        <w:rPr>
          <w:b/>
          <w:bCs/>
          <w:i/>
          <w:iCs/>
          <w:lang w:val="en-US"/>
        </w:rPr>
        <w:t>errors)</w:t>
      </w:r>
    </w:p>
    <w:p w14:paraId="025B70C1" w14:textId="69638953" w:rsidR="00A616AB" w:rsidRDefault="00D67B1F" w:rsidP="00353B30">
      <w:pPr>
        <w:spacing w:line="360" w:lineRule="auto"/>
        <w:jc w:val="both"/>
        <w:rPr>
          <w:lang w:val="en-US"/>
        </w:rPr>
      </w:pPr>
      <w:r>
        <w:rPr>
          <w:lang w:val="en-US"/>
        </w:rPr>
        <w:t xml:space="preserve">Twenty-four participants </w:t>
      </w:r>
      <w:r w:rsidR="002F2A4F">
        <w:rPr>
          <w:lang w:val="en-US"/>
        </w:rPr>
        <w:t>performed</w:t>
      </w:r>
      <w:r w:rsidR="002F2A4F" w:rsidRPr="002F2A4F">
        <w:rPr>
          <w:lang w:val="en-US"/>
        </w:rPr>
        <w:t xml:space="preserve"> at least two failed trials and were therefore eligible for analysis</w:t>
      </w:r>
      <w:r>
        <w:rPr>
          <w:lang w:val="en-US"/>
        </w:rPr>
        <w:t xml:space="preserve">, </w:t>
      </w:r>
      <w:r w:rsidR="002F2A4F" w:rsidRPr="002F2A4F">
        <w:rPr>
          <w:lang w:val="en-US"/>
        </w:rPr>
        <w:t>resulting in a total of 76 failed trials</w:t>
      </w:r>
      <w:r w:rsidR="00A616AB">
        <w:rPr>
          <w:lang w:val="en-US"/>
        </w:rPr>
        <w:t xml:space="preserve"> (12 males, 12 females; age: 22.9 ± 1.6 years; height: 174.9 ± 9.6 cm; weight: 69.0 ± 10.1 kg)</w:t>
      </w:r>
      <w:r>
        <w:rPr>
          <w:lang w:val="en-US"/>
        </w:rPr>
        <w:t xml:space="preserve">. </w:t>
      </w:r>
    </w:p>
    <w:p w14:paraId="12D3E130" w14:textId="62C04F26" w:rsidR="00D67B1F" w:rsidRDefault="00DF0BB1" w:rsidP="00353B30">
      <w:pPr>
        <w:spacing w:line="360" w:lineRule="auto"/>
        <w:jc w:val="both"/>
        <w:rPr>
          <w:lang w:val="en-US"/>
        </w:rPr>
      </w:pPr>
      <w:r>
        <w:rPr>
          <w:lang w:val="en-US"/>
        </w:rPr>
        <w:t>Figure 2 depicts: a) the boxplot</w:t>
      </w:r>
      <w:r w:rsidR="00D67B1F">
        <w:rPr>
          <w:lang w:val="en-US"/>
        </w:rPr>
        <w:t xml:space="preserve"> representing the distance distribution of valid and failed trials with respect to the optimal pattern, </w:t>
      </w:r>
      <w:r w:rsidR="002201CA">
        <w:rPr>
          <w:lang w:val="en-US"/>
        </w:rPr>
        <w:t>and</w:t>
      </w:r>
      <w:r w:rsidR="00D67B1F">
        <w:rPr>
          <w:lang w:val="en-US"/>
        </w:rPr>
        <w:t xml:space="preserve"> </w:t>
      </w:r>
      <w:r>
        <w:rPr>
          <w:lang w:val="en-US"/>
        </w:rPr>
        <w:t xml:space="preserve">b) </w:t>
      </w:r>
      <w:r w:rsidR="00D67B1F">
        <w:rPr>
          <w:lang w:val="en-US"/>
        </w:rPr>
        <w:t xml:space="preserve">the </w:t>
      </w:r>
      <w:r>
        <w:rPr>
          <w:lang w:val="en-US"/>
        </w:rPr>
        <w:t xml:space="preserve">SPM </w:t>
      </w:r>
      <w:r w:rsidR="00D67B1F">
        <w:rPr>
          <w:lang w:val="en-US"/>
        </w:rPr>
        <w:t xml:space="preserve">t-test to visualize differences over time. </w:t>
      </w:r>
    </w:p>
    <w:p w14:paraId="6AE44886" w14:textId="0E90DA8D" w:rsidR="00D67B1F" w:rsidRPr="00D67B1F" w:rsidRDefault="00D67B1F" w:rsidP="00D67B1F">
      <w:pPr>
        <w:spacing w:line="360" w:lineRule="auto"/>
        <w:jc w:val="center"/>
        <w:rPr>
          <w:u w:val="single"/>
          <w:lang w:val="en-US"/>
        </w:rPr>
      </w:pPr>
      <w:r w:rsidRPr="00527D89">
        <w:rPr>
          <w:u w:val="single"/>
          <w:lang w:val="en-US"/>
        </w:rPr>
        <w:t>FIGURE 2 NEAR HERE</w:t>
      </w:r>
    </w:p>
    <w:p w14:paraId="0A42B241" w14:textId="7E26DBE8" w:rsidR="005F4770" w:rsidRDefault="00D67B1F" w:rsidP="005F4770">
      <w:pPr>
        <w:spacing w:line="360" w:lineRule="auto"/>
        <w:jc w:val="both"/>
        <w:rPr>
          <w:lang w:val="en-US"/>
        </w:rPr>
      </w:pPr>
      <w:r>
        <w:rPr>
          <w:lang w:val="en-US"/>
        </w:rPr>
        <w:t xml:space="preserve">The </w:t>
      </w:r>
      <w:r w:rsidR="00DF0BB1">
        <w:rPr>
          <w:lang w:val="en-US"/>
        </w:rPr>
        <w:t xml:space="preserve">specific </w:t>
      </w:r>
      <w:r>
        <w:rPr>
          <w:lang w:val="en-US"/>
        </w:rPr>
        <w:t xml:space="preserve">linear mixed model confirmed </w:t>
      </w:r>
      <w:r w:rsidR="00DF0BB1">
        <w:rPr>
          <w:lang w:val="en-US"/>
        </w:rPr>
        <w:t>that</w:t>
      </w:r>
      <w:r>
        <w:rPr>
          <w:lang w:val="en-US"/>
        </w:rPr>
        <w:t xml:space="preserve"> </w:t>
      </w:r>
      <w:r w:rsidR="00DF0BB1">
        <w:rPr>
          <w:lang w:val="en-US"/>
        </w:rPr>
        <w:t>valid</w:t>
      </w:r>
      <w:r>
        <w:rPr>
          <w:lang w:val="en-US"/>
        </w:rPr>
        <w:t xml:space="preserve"> </w:t>
      </w:r>
      <w:r w:rsidR="00DF0BB1">
        <w:rPr>
          <w:lang w:val="en-US"/>
        </w:rPr>
        <w:t>and</w:t>
      </w:r>
      <w:r>
        <w:rPr>
          <w:lang w:val="en-US"/>
        </w:rPr>
        <w:t xml:space="preserve"> </w:t>
      </w:r>
      <w:r w:rsidR="00DF0BB1">
        <w:rPr>
          <w:lang w:val="en-US"/>
        </w:rPr>
        <w:t>failed</w:t>
      </w:r>
      <w:r>
        <w:rPr>
          <w:lang w:val="en-US"/>
        </w:rPr>
        <w:t xml:space="preserve"> t</w:t>
      </w:r>
      <w:r w:rsidR="00DF0BB1">
        <w:rPr>
          <w:lang w:val="en-US"/>
        </w:rPr>
        <w:t>rials</w:t>
      </w:r>
      <w:r>
        <w:rPr>
          <w:lang w:val="en-US"/>
        </w:rPr>
        <w:t xml:space="preserve"> </w:t>
      </w:r>
      <w:r w:rsidR="00DF0BB1">
        <w:rPr>
          <w:lang w:val="en-US"/>
        </w:rPr>
        <w:t>differed</w:t>
      </w:r>
      <w:r>
        <w:rPr>
          <w:lang w:val="en-US"/>
        </w:rPr>
        <w:t xml:space="preserve"> </w:t>
      </w:r>
      <w:r w:rsidR="00DF0BB1">
        <w:rPr>
          <w:lang w:val="en-US"/>
        </w:rPr>
        <w:t>in distance from the optimal pattern (</w:t>
      </w:r>
      <w:r>
        <w:rPr>
          <w:lang w:val="en-US"/>
        </w:rPr>
        <w:t>p &lt; 0.001</w:t>
      </w:r>
      <w:r w:rsidR="00DF0BB1">
        <w:rPr>
          <w:lang w:val="en-US"/>
        </w:rPr>
        <w:t>)</w:t>
      </w:r>
      <w:r>
        <w:rPr>
          <w:lang w:val="en-US"/>
        </w:rPr>
        <w:t xml:space="preserve">. </w:t>
      </w:r>
    </w:p>
    <w:p w14:paraId="571D222A" w14:textId="48F0FA7E" w:rsidR="00245E49" w:rsidRDefault="005F4770" w:rsidP="005F4770">
      <w:pPr>
        <w:spacing w:line="360" w:lineRule="auto"/>
        <w:jc w:val="both"/>
        <w:rPr>
          <w:lang w:val="en-US"/>
        </w:rPr>
      </w:pPr>
      <w:r w:rsidRPr="005F4770">
        <w:rPr>
          <w:lang w:val="en-US"/>
        </w:rPr>
        <w:t xml:space="preserve">The </w:t>
      </w:r>
      <w:r>
        <w:rPr>
          <w:lang w:val="en-US"/>
        </w:rPr>
        <w:t xml:space="preserve">abnormal </w:t>
      </w:r>
      <w:r w:rsidRPr="005F4770">
        <w:rPr>
          <w:lang w:val="en-US"/>
        </w:rPr>
        <w:t>failed trials</w:t>
      </w:r>
      <w:r>
        <w:rPr>
          <w:lang w:val="en-US"/>
        </w:rPr>
        <w:t>,</w:t>
      </w:r>
      <w:r w:rsidRPr="005F4770">
        <w:rPr>
          <w:lang w:val="en-US"/>
        </w:rPr>
        <w:t xml:space="preserve"> whose d</w:t>
      </w:r>
      <w:r>
        <w:rPr>
          <w:lang w:val="en-US"/>
        </w:rPr>
        <w:t xml:space="preserve">istance exceeded the </w:t>
      </w:r>
      <w:r w:rsidRPr="005F4770">
        <w:rPr>
          <w:lang w:val="en-US"/>
        </w:rPr>
        <w:t>mean + 1</w:t>
      </w:r>
      <w:r w:rsidR="00316888">
        <w:rPr>
          <w:lang w:val="en-US"/>
        </w:rPr>
        <w:t xml:space="preserve"> </w:t>
      </w:r>
      <w:r w:rsidRPr="005F4770">
        <w:rPr>
          <w:lang w:val="en-US"/>
        </w:rPr>
        <w:t>SD of the valid-trial distance distribution</w:t>
      </w:r>
      <w:r>
        <w:rPr>
          <w:lang w:val="en-US"/>
        </w:rPr>
        <w:t>, were 54 (</w:t>
      </w:r>
      <w:r w:rsidR="007933EF">
        <w:rPr>
          <w:lang w:val="en-US"/>
        </w:rPr>
        <w:t xml:space="preserve">from </w:t>
      </w:r>
      <w:r>
        <w:rPr>
          <w:lang w:val="en-US"/>
        </w:rPr>
        <w:t xml:space="preserve">21 participants). The PCA results on abnormal failed trials (Kaiser criterion, scree plot, cumulative variance) are represented in </w:t>
      </w:r>
      <w:r w:rsidRPr="002201CA">
        <w:rPr>
          <w:lang w:val="en-US"/>
        </w:rPr>
        <w:t xml:space="preserve">Figure </w:t>
      </w:r>
      <w:r w:rsidR="002201CA" w:rsidRPr="002201CA">
        <w:rPr>
          <w:lang w:val="en-US"/>
        </w:rPr>
        <w:t>2c</w:t>
      </w:r>
      <w:r>
        <w:rPr>
          <w:lang w:val="en-US"/>
        </w:rPr>
        <w:t xml:space="preserve">. Although the scree plot </w:t>
      </w:r>
      <w:r w:rsidR="007933EF">
        <w:rPr>
          <w:lang w:val="en-US"/>
        </w:rPr>
        <w:t xml:space="preserve">did not indicate </w:t>
      </w:r>
      <w:r>
        <w:rPr>
          <w:lang w:val="en-US"/>
        </w:rPr>
        <w:t xml:space="preserve">a </w:t>
      </w:r>
      <w:r w:rsidR="007933EF">
        <w:rPr>
          <w:lang w:val="en-US"/>
        </w:rPr>
        <w:t xml:space="preserve">clear </w:t>
      </w:r>
      <w:r>
        <w:rPr>
          <w:lang w:val="en-US"/>
        </w:rPr>
        <w:t xml:space="preserve">change in slope, </w:t>
      </w:r>
      <w:r w:rsidR="00E9226E">
        <w:rPr>
          <w:lang w:val="en-US"/>
        </w:rPr>
        <w:t xml:space="preserve">four </w:t>
      </w:r>
      <w:r w:rsidR="002F2A4F">
        <w:rPr>
          <w:lang w:val="en-US"/>
        </w:rPr>
        <w:t>PC</w:t>
      </w:r>
      <w:r w:rsidR="007933EF">
        <w:rPr>
          <w:lang w:val="en-US"/>
        </w:rPr>
        <w:t>s</w:t>
      </w:r>
      <w:r>
        <w:rPr>
          <w:lang w:val="en-US"/>
        </w:rPr>
        <w:t xml:space="preserve"> </w:t>
      </w:r>
      <w:r w:rsidR="003325F0">
        <w:rPr>
          <w:lang w:val="en-US"/>
        </w:rPr>
        <w:t>(PC</w:t>
      </w:r>
      <w:r w:rsidR="006D0739">
        <w:rPr>
          <w:lang w:val="en-US"/>
        </w:rPr>
        <w:t>1</w:t>
      </w:r>
      <w:r w:rsidR="006D0739">
        <w:rPr>
          <w:vertAlign w:val="subscript"/>
          <w:lang w:val="en-US"/>
        </w:rPr>
        <w:t>F</w:t>
      </w:r>
      <w:r w:rsidR="006D0739">
        <w:rPr>
          <w:lang w:val="en-US"/>
        </w:rPr>
        <w:t xml:space="preserve"> </w:t>
      </w:r>
      <w:r w:rsidR="003325F0">
        <w:rPr>
          <w:lang w:val="en-US"/>
        </w:rPr>
        <w:t>-</w:t>
      </w:r>
      <w:r w:rsidR="006D0739">
        <w:rPr>
          <w:lang w:val="en-US"/>
        </w:rPr>
        <w:t xml:space="preserve"> </w:t>
      </w:r>
      <w:r w:rsidR="003325F0">
        <w:rPr>
          <w:lang w:val="en-US"/>
        </w:rPr>
        <w:t>PC</w:t>
      </w:r>
      <w:r w:rsidR="006D0739">
        <w:rPr>
          <w:lang w:val="en-US"/>
        </w:rPr>
        <w:t>4</w:t>
      </w:r>
      <w:r w:rsidR="006D0739" w:rsidRPr="006D0739">
        <w:rPr>
          <w:vertAlign w:val="subscript"/>
          <w:lang w:val="en-US"/>
        </w:rPr>
        <w:t>F</w:t>
      </w:r>
      <w:r w:rsidR="003325F0">
        <w:rPr>
          <w:lang w:val="en-US"/>
        </w:rPr>
        <w:t xml:space="preserve">) </w:t>
      </w:r>
      <w:r w:rsidR="007933EF">
        <w:rPr>
          <w:lang w:val="en-US"/>
        </w:rPr>
        <w:t xml:space="preserve">were </w:t>
      </w:r>
      <w:r>
        <w:rPr>
          <w:lang w:val="en-US"/>
        </w:rPr>
        <w:t xml:space="preserve">considered adequate to describe the biomechanics of these tasks, based on </w:t>
      </w:r>
      <w:r w:rsidR="007933EF">
        <w:rPr>
          <w:lang w:val="en-US"/>
        </w:rPr>
        <w:t xml:space="preserve">the </w:t>
      </w:r>
      <w:r>
        <w:rPr>
          <w:lang w:val="en-US"/>
        </w:rPr>
        <w:t xml:space="preserve">Kaiser criterion (4 </w:t>
      </w:r>
      <w:r w:rsidR="002F2A4F">
        <w:rPr>
          <w:lang w:val="en-US"/>
        </w:rPr>
        <w:t>PCs</w:t>
      </w:r>
      <w:r>
        <w:rPr>
          <w:lang w:val="en-US"/>
        </w:rPr>
        <w:t xml:space="preserve">) and cumulative variance </w:t>
      </w:r>
      <w:r w:rsidRPr="00926C0B">
        <w:rPr>
          <w:lang w:val="en-US"/>
        </w:rPr>
        <w:t>analysis (7</w:t>
      </w:r>
      <w:r w:rsidR="00926C0B">
        <w:rPr>
          <w:lang w:val="en-US"/>
        </w:rPr>
        <w:t>2</w:t>
      </w:r>
      <w:r w:rsidRPr="00926C0B">
        <w:rPr>
          <w:lang w:val="en-US"/>
        </w:rPr>
        <w:t xml:space="preserve">%). </w:t>
      </w:r>
    </w:p>
    <w:p w14:paraId="0BC93659" w14:textId="50FB122A" w:rsidR="00CA097C" w:rsidRPr="00BF5552" w:rsidRDefault="00245E49" w:rsidP="00CA097C">
      <w:pPr>
        <w:spacing w:line="360" w:lineRule="auto"/>
        <w:jc w:val="both"/>
        <w:rPr>
          <w:lang w:val="en-US"/>
        </w:rPr>
      </w:pPr>
      <w:r>
        <w:rPr>
          <w:lang w:val="en-US"/>
        </w:rPr>
        <w:t xml:space="preserve">The silhouette analysis reported an optimal number of clusters of 4, with a mean silhouette value of </w:t>
      </w:r>
      <w:r w:rsidRPr="00926C0B">
        <w:rPr>
          <w:lang w:val="en-US"/>
        </w:rPr>
        <w:t>0.513</w:t>
      </w:r>
      <w:r>
        <w:rPr>
          <w:lang w:val="en-US"/>
        </w:rPr>
        <w:t xml:space="preserve"> (Figure 2d)</w:t>
      </w:r>
      <w:r w:rsidRPr="00926C0B">
        <w:rPr>
          <w:lang w:val="en-US"/>
        </w:rPr>
        <w:t>.</w:t>
      </w:r>
      <w:r>
        <w:rPr>
          <w:lang w:val="en-US"/>
        </w:rPr>
        <w:t xml:space="preserve"> </w:t>
      </w:r>
      <w:r w:rsidRPr="00926C0B">
        <w:rPr>
          <w:lang w:val="en-US"/>
        </w:rPr>
        <w:t>Relevant</w:t>
      </w:r>
      <w:r>
        <w:rPr>
          <w:lang w:val="en-US"/>
        </w:rPr>
        <w:t xml:space="preserve"> loadings of the first </w:t>
      </w:r>
      <w:r w:rsidR="00E9226E">
        <w:rPr>
          <w:lang w:val="en-US"/>
        </w:rPr>
        <w:t xml:space="preserve">four </w:t>
      </w:r>
      <w:r>
        <w:rPr>
          <w:lang w:val="en-US"/>
        </w:rPr>
        <w:t>PCs, the m</w:t>
      </w:r>
      <w:r w:rsidRPr="00926C0B">
        <w:rPr>
          <w:lang w:val="en-US"/>
        </w:rPr>
        <w:t>ean</w:t>
      </w:r>
      <w:r>
        <w:rPr>
          <w:lang w:val="en-US"/>
        </w:rPr>
        <w:t xml:space="preserve"> and SD of the scores for each cluster, and the results of the Kruskal-Wallis and post-hoc analyses are reported in </w:t>
      </w:r>
      <w:r w:rsidRPr="00BF5552">
        <w:rPr>
          <w:lang w:val="en-US"/>
        </w:rPr>
        <w:t xml:space="preserve">Table </w:t>
      </w:r>
      <w:r>
        <w:rPr>
          <w:lang w:val="en-US"/>
        </w:rPr>
        <w:t>1.</w:t>
      </w:r>
      <w:r w:rsidR="001B0073" w:rsidRPr="00BF5552">
        <w:rPr>
          <w:lang w:val="en-US"/>
        </w:rPr>
        <w:t xml:space="preserve"> </w:t>
      </w:r>
    </w:p>
    <w:p w14:paraId="25E17690" w14:textId="45614FEB" w:rsidR="00CA097C" w:rsidRPr="001B0073" w:rsidRDefault="00CA097C" w:rsidP="00CA097C">
      <w:pPr>
        <w:spacing w:line="360" w:lineRule="auto"/>
        <w:jc w:val="center"/>
        <w:rPr>
          <w:u w:val="single"/>
          <w:lang w:val="en-US"/>
        </w:rPr>
      </w:pPr>
      <w:r w:rsidRPr="00BF5552">
        <w:rPr>
          <w:u w:val="single"/>
          <w:lang w:val="en-US"/>
        </w:rPr>
        <w:t xml:space="preserve">TABLE </w:t>
      </w:r>
      <w:r w:rsidR="00245E49">
        <w:rPr>
          <w:u w:val="single"/>
          <w:lang w:val="en-US"/>
        </w:rPr>
        <w:t>1</w:t>
      </w:r>
      <w:r w:rsidR="00245E49" w:rsidRPr="00BF5552">
        <w:rPr>
          <w:u w:val="single"/>
          <w:lang w:val="en-US"/>
        </w:rPr>
        <w:t xml:space="preserve"> </w:t>
      </w:r>
      <w:r w:rsidRPr="00BF5552">
        <w:rPr>
          <w:u w:val="single"/>
          <w:lang w:val="en-US"/>
        </w:rPr>
        <w:t>NEAR HERE</w:t>
      </w:r>
    </w:p>
    <w:p w14:paraId="1073F9C6" w14:textId="358B6658" w:rsidR="00CA097C" w:rsidRDefault="001B0073" w:rsidP="00CA097C">
      <w:pPr>
        <w:spacing w:line="360" w:lineRule="auto"/>
        <w:jc w:val="both"/>
        <w:rPr>
          <w:lang w:val="en-US"/>
        </w:rPr>
      </w:pPr>
      <w:r>
        <w:rPr>
          <w:lang w:val="en-US"/>
        </w:rPr>
        <w:t xml:space="preserve">The first </w:t>
      </w:r>
      <w:r w:rsidR="00E9226E">
        <w:rPr>
          <w:lang w:val="en-US"/>
        </w:rPr>
        <w:t xml:space="preserve">three </w:t>
      </w:r>
      <w:r w:rsidR="002F2A4F">
        <w:rPr>
          <w:lang w:val="en-US"/>
        </w:rPr>
        <w:t>PCs</w:t>
      </w:r>
      <w:r>
        <w:rPr>
          <w:lang w:val="en-US"/>
        </w:rPr>
        <w:t xml:space="preserve"> were significantly different among clusters (p &lt; 0.001)</w:t>
      </w:r>
      <w:r w:rsidR="00CA097C">
        <w:rPr>
          <w:lang w:val="en-US"/>
        </w:rPr>
        <w:t xml:space="preserve">, thus the post-hoc analysis was not performed on </w:t>
      </w:r>
      <w:r w:rsidR="006D0739">
        <w:rPr>
          <w:lang w:val="en-US"/>
        </w:rPr>
        <w:t>PC4</w:t>
      </w:r>
      <w:r w:rsidR="006D0739" w:rsidRPr="006D0739">
        <w:rPr>
          <w:vertAlign w:val="subscript"/>
          <w:lang w:val="en-US"/>
        </w:rPr>
        <w:t>F</w:t>
      </w:r>
      <w:r w:rsidR="00CA097C">
        <w:rPr>
          <w:lang w:val="en-US"/>
        </w:rPr>
        <w:t xml:space="preserve">. </w:t>
      </w:r>
      <w:r w:rsidR="007933EF" w:rsidRPr="002201CA">
        <w:rPr>
          <w:lang w:val="en-US"/>
        </w:rPr>
        <w:t xml:space="preserve">Figure </w:t>
      </w:r>
      <w:r w:rsidR="007933EF">
        <w:rPr>
          <w:lang w:val="en-US"/>
        </w:rPr>
        <w:t xml:space="preserve">3 displays the </w:t>
      </w:r>
      <w:r w:rsidR="00CA097C">
        <w:rPr>
          <w:lang w:val="en-US"/>
        </w:rPr>
        <w:t xml:space="preserve">clusters </w:t>
      </w:r>
      <w:r w:rsidR="007933EF">
        <w:rPr>
          <w:lang w:val="en-US"/>
        </w:rPr>
        <w:t>from</w:t>
      </w:r>
      <w:r w:rsidR="00CA097C">
        <w:rPr>
          <w:lang w:val="en-US"/>
        </w:rPr>
        <w:t xml:space="preserve"> the dendrogram, a</w:t>
      </w:r>
      <w:r w:rsidR="007933EF">
        <w:rPr>
          <w:lang w:val="en-US"/>
        </w:rPr>
        <w:t>long</w:t>
      </w:r>
      <w:r w:rsidR="00CA097C">
        <w:rPr>
          <w:lang w:val="en-US"/>
        </w:rPr>
        <w:t xml:space="preserve"> </w:t>
      </w:r>
      <w:r w:rsidR="007933EF">
        <w:rPr>
          <w:lang w:val="en-US"/>
        </w:rPr>
        <w:t>with</w:t>
      </w:r>
      <w:r w:rsidR="00CA097C">
        <w:rPr>
          <w:lang w:val="en-US"/>
        </w:rPr>
        <w:t xml:space="preserve"> </w:t>
      </w:r>
      <w:r w:rsidR="007933EF">
        <w:rPr>
          <w:lang w:val="en-US"/>
        </w:rPr>
        <w:t>a boxplot</w:t>
      </w:r>
      <w:r w:rsidR="00CA097C">
        <w:rPr>
          <w:lang w:val="en-US"/>
        </w:rPr>
        <w:t xml:space="preserve"> </w:t>
      </w:r>
      <w:r w:rsidR="007933EF">
        <w:rPr>
          <w:lang w:val="en-US"/>
        </w:rPr>
        <w:t>of</w:t>
      </w:r>
      <w:r w:rsidR="00CA097C" w:rsidRPr="00CA097C">
        <w:rPr>
          <w:lang w:val="en-US"/>
        </w:rPr>
        <w:t xml:space="preserve"> the </w:t>
      </w:r>
      <w:r w:rsidR="007933EF">
        <w:rPr>
          <w:lang w:val="en-US"/>
        </w:rPr>
        <w:t>score</w:t>
      </w:r>
      <w:r w:rsidR="007933EF" w:rsidRPr="00CA097C">
        <w:rPr>
          <w:lang w:val="en-US"/>
        </w:rPr>
        <w:t xml:space="preserve"> </w:t>
      </w:r>
      <w:r w:rsidR="007933EF">
        <w:rPr>
          <w:lang w:val="en-US"/>
        </w:rPr>
        <w:t>distributions</w:t>
      </w:r>
      <w:r w:rsidR="002924CA">
        <w:rPr>
          <w:lang w:val="en-US"/>
        </w:rPr>
        <w:t xml:space="preserve"> </w:t>
      </w:r>
      <w:r w:rsidR="00CA097C" w:rsidRPr="00CA097C">
        <w:rPr>
          <w:lang w:val="en-US"/>
        </w:rPr>
        <w:t xml:space="preserve">for the </w:t>
      </w:r>
      <w:r w:rsidR="002924CA">
        <w:rPr>
          <w:lang w:val="en-US"/>
        </w:rPr>
        <w:t xml:space="preserve">principal </w:t>
      </w:r>
      <w:r w:rsidR="00CA097C" w:rsidRPr="00CA097C">
        <w:rPr>
          <w:lang w:val="en-US"/>
        </w:rPr>
        <w:t xml:space="preserve">components that </w:t>
      </w:r>
      <w:r w:rsidR="007933EF">
        <w:rPr>
          <w:lang w:val="en-US"/>
        </w:rPr>
        <w:t>show</w:t>
      </w:r>
      <w:r w:rsidR="00CA097C" w:rsidRPr="00CA097C">
        <w:rPr>
          <w:lang w:val="en-US"/>
        </w:rPr>
        <w:t>ed significant differences between clusters.</w:t>
      </w:r>
    </w:p>
    <w:p w14:paraId="68FE7FCD" w14:textId="69579E16" w:rsidR="00CA097C" w:rsidRPr="00CA097C" w:rsidRDefault="00CA097C" w:rsidP="00CA097C">
      <w:pPr>
        <w:spacing w:line="360" w:lineRule="auto"/>
        <w:jc w:val="center"/>
        <w:rPr>
          <w:u w:val="single"/>
          <w:lang w:val="en-US"/>
        </w:rPr>
      </w:pPr>
      <w:r w:rsidRPr="00527D89">
        <w:rPr>
          <w:u w:val="single"/>
          <w:lang w:val="en-US"/>
        </w:rPr>
        <w:t xml:space="preserve">FIGURE </w:t>
      </w:r>
      <w:r w:rsidR="002201CA" w:rsidRPr="00527D89">
        <w:rPr>
          <w:u w:val="single"/>
          <w:lang w:val="en-US"/>
        </w:rPr>
        <w:t>3</w:t>
      </w:r>
      <w:r w:rsidRPr="00527D89">
        <w:rPr>
          <w:u w:val="single"/>
          <w:lang w:val="en-US"/>
        </w:rPr>
        <w:t xml:space="preserve"> NEAR HERE</w:t>
      </w:r>
    </w:p>
    <w:p w14:paraId="2D19436A" w14:textId="12118799" w:rsidR="00D67B1F" w:rsidRPr="00D67B1F" w:rsidRDefault="00D67B1F" w:rsidP="00353B30">
      <w:pPr>
        <w:spacing w:line="360" w:lineRule="auto"/>
        <w:jc w:val="both"/>
        <w:rPr>
          <w:b/>
          <w:bCs/>
          <w:i/>
          <w:iCs/>
          <w:lang w:val="en-US"/>
        </w:rPr>
      </w:pPr>
      <w:r w:rsidRPr="00D67B1F">
        <w:rPr>
          <w:b/>
          <w:bCs/>
          <w:i/>
          <w:iCs/>
          <w:lang w:val="en-US"/>
        </w:rPr>
        <w:lastRenderedPageBreak/>
        <w:t>Bad trials</w:t>
      </w:r>
      <w:r w:rsidR="007C3AA3">
        <w:rPr>
          <w:b/>
          <w:bCs/>
          <w:i/>
          <w:iCs/>
          <w:lang w:val="en-US"/>
        </w:rPr>
        <w:t xml:space="preserve"> (motor errors)</w:t>
      </w:r>
    </w:p>
    <w:p w14:paraId="3C833EBF" w14:textId="20729621" w:rsidR="00A616AB" w:rsidRDefault="00CA097C" w:rsidP="00CA097C">
      <w:pPr>
        <w:spacing w:line="360" w:lineRule="auto"/>
        <w:jc w:val="both"/>
        <w:rPr>
          <w:lang w:val="en-US"/>
        </w:rPr>
      </w:pPr>
      <w:r>
        <w:rPr>
          <w:lang w:val="en-US"/>
        </w:rPr>
        <w:t xml:space="preserve">Thirty participants </w:t>
      </w:r>
      <w:r w:rsidR="009F1390" w:rsidRPr="009F1390">
        <w:rPr>
          <w:lang w:val="en-US"/>
        </w:rPr>
        <w:t xml:space="preserve">performed at least two </w:t>
      </w:r>
      <w:r w:rsidR="009F1390">
        <w:rPr>
          <w:lang w:val="en-US"/>
        </w:rPr>
        <w:t>bad</w:t>
      </w:r>
      <w:r w:rsidR="009F1390" w:rsidRPr="009F1390">
        <w:rPr>
          <w:lang w:val="en-US"/>
        </w:rPr>
        <w:t xml:space="preserve"> trials and were therefore eligible for analysis</w:t>
      </w:r>
      <w:r>
        <w:rPr>
          <w:lang w:val="en-US"/>
        </w:rPr>
        <w:t xml:space="preserve">, </w:t>
      </w:r>
      <w:r w:rsidR="009F1390">
        <w:rPr>
          <w:lang w:val="en-US"/>
        </w:rPr>
        <w:t xml:space="preserve">resulting in </w:t>
      </w:r>
      <w:r>
        <w:rPr>
          <w:lang w:val="en-US"/>
        </w:rPr>
        <w:t>a total of 106 trials</w:t>
      </w:r>
      <w:r w:rsidR="00A616AB">
        <w:rPr>
          <w:lang w:val="en-US"/>
        </w:rPr>
        <w:t xml:space="preserve"> (12 males, 18 females; age: 23.1 ± 2.5 years; height: 173.8 ± 9.4 cm; weight: 66.9 ± 9.0 kg)</w:t>
      </w:r>
      <w:r>
        <w:rPr>
          <w:lang w:val="en-US"/>
        </w:rPr>
        <w:t xml:space="preserve">. </w:t>
      </w:r>
    </w:p>
    <w:p w14:paraId="578E29AE" w14:textId="0EB0FE21" w:rsidR="00CA097C" w:rsidRDefault="009F1390" w:rsidP="00CA097C">
      <w:pPr>
        <w:spacing w:line="360" w:lineRule="auto"/>
        <w:jc w:val="both"/>
        <w:rPr>
          <w:lang w:val="en-US"/>
        </w:rPr>
      </w:pPr>
      <w:r w:rsidRPr="009F1390">
        <w:rPr>
          <w:lang w:val="en-US"/>
        </w:rPr>
        <w:t xml:space="preserve">Figure </w:t>
      </w:r>
      <w:r>
        <w:rPr>
          <w:lang w:val="en-US"/>
        </w:rPr>
        <w:t>4</w:t>
      </w:r>
      <w:r w:rsidRPr="009F1390">
        <w:rPr>
          <w:lang w:val="en-US"/>
        </w:rPr>
        <w:t xml:space="preserve"> depicts: a) the boxplot representing the distance distribution of valid and </w:t>
      </w:r>
      <w:r>
        <w:rPr>
          <w:lang w:val="en-US"/>
        </w:rPr>
        <w:t>bad</w:t>
      </w:r>
      <w:r w:rsidRPr="009F1390">
        <w:rPr>
          <w:lang w:val="en-US"/>
        </w:rPr>
        <w:t xml:space="preserve"> trials with respect to the optimal pattern, and b) the SPM t-test to visualize differences over time. </w:t>
      </w:r>
    </w:p>
    <w:p w14:paraId="03E1CEE8" w14:textId="301BBC0E" w:rsidR="00CA097C" w:rsidRPr="00D67B1F" w:rsidRDefault="00CA097C" w:rsidP="00CA097C">
      <w:pPr>
        <w:spacing w:line="360" w:lineRule="auto"/>
        <w:jc w:val="center"/>
        <w:rPr>
          <w:u w:val="single"/>
          <w:lang w:val="en-US"/>
        </w:rPr>
      </w:pPr>
      <w:r w:rsidRPr="00DC760A">
        <w:rPr>
          <w:u w:val="single"/>
          <w:lang w:val="en-US"/>
        </w:rPr>
        <w:t xml:space="preserve">FIGURE </w:t>
      </w:r>
      <w:r w:rsidR="00527D89" w:rsidRPr="00DC760A">
        <w:rPr>
          <w:u w:val="single"/>
          <w:lang w:val="en-US"/>
        </w:rPr>
        <w:t>4</w:t>
      </w:r>
      <w:r w:rsidRPr="00DC760A">
        <w:rPr>
          <w:u w:val="single"/>
          <w:lang w:val="en-US"/>
        </w:rPr>
        <w:t xml:space="preserve"> NEAR HERE</w:t>
      </w:r>
    </w:p>
    <w:p w14:paraId="08CB53D4" w14:textId="60CBA0F1" w:rsidR="00CA097C" w:rsidRDefault="009F1390" w:rsidP="00CA097C">
      <w:pPr>
        <w:spacing w:line="360" w:lineRule="auto"/>
        <w:jc w:val="both"/>
        <w:rPr>
          <w:lang w:val="en-US"/>
        </w:rPr>
      </w:pPr>
      <w:r>
        <w:rPr>
          <w:lang w:val="en-US"/>
        </w:rPr>
        <w:t xml:space="preserve">The specific linear mixed model confirmed that valid and bad trials differed in distance from the optimal pattern (p &lt; 0.001). </w:t>
      </w:r>
    </w:p>
    <w:p w14:paraId="51AEB865" w14:textId="10AFB661" w:rsidR="00245E49" w:rsidRDefault="00CA097C" w:rsidP="00CA097C">
      <w:pPr>
        <w:spacing w:line="360" w:lineRule="auto"/>
        <w:jc w:val="both"/>
        <w:rPr>
          <w:lang w:val="en-US"/>
        </w:rPr>
      </w:pPr>
      <w:r w:rsidRPr="005F4770">
        <w:rPr>
          <w:lang w:val="en-US"/>
        </w:rPr>
        <w:t xml:space="preserve">The </w:t>
      </w:r>
      <w:r>
        <w:rPr>
          <w:lang w:val="en-US"/>
        </w:rPr>
        <w:t>abnormal bad</w:t>
      </w:r>
      <w:r w:rsidRPr="005F4770">
        <w:rPr>
          <w:lang w:val="en-US"/>
        </w:rPr>
        <w:t xml:space="preserve"> trials</w:t>
      </w:r>
      <w:r>
        <w:rPr>
          <w:lang w:val="en-US"/>
        </w:rPr>
        <w:t>,</w:t>
      </w:r>
      <w:r w:rsidRPr="005F4770">
        <w:rPr>
          <w:lang w:val="en-US"/>
        </w:rPr>
        <w:t xml:space="preserve"> whose d</w:t>
      </w:r>
      <w:r>
        <w:rPr>
          <w:lang w:val="en-US"/>
        </w:rPr>
        <w:t xml:space="preserve">istance exceeded the </w:t>
      </w:r>
      <w:r w:rsidRPr="005F4770">
        <w:rPr>
          <w:lang w:val="en-US"/>
        </w:rPr>
        <w:t>mean + 1</w:t>
      </w:r>
      <w:r w:rsidR="007C3AA3">
        <w:rPr>
          <w:lang w:val="en-US"/>
        </w:rPr>
        <w:t xml:space="preserve"> </w:t>
      </w:r>
      <w:r w:rsidRPr="005F4770">
        <w:rPr>
          <w:lang w:val="en-US"/>
        </w:rPr>
        <w:t>SD of the valid</w:t>
      </w:r>
      <w:r>
        <w:rPr>
          <w:lang w:val="en-US"/>
        </w:rPr>
        <w:t xml:space="preserve"> </w:t>
      </w:r>
      <w:r w:rsidRPr="005F4770">
        <w:rPr>
          <w:lang w:val="en-US"/>
        </w:rPr>
        <w:t>trial distance distribution</w:t>
      </w:r>
      <w:r>
        <w:rPr>
          <w:lang w:val="en-US"/>
        </w:rPr>
        <w:t xml:space="preserve">, were 65 (27 participants). The PCA results on abnormal bad trials (Kaiser criterion, scree plot, cumulative variance) are represented in </w:t>
      </w:r>
      <w:r w:rsidRPr="00527D89">
        <w:rPr>
          <w:lang w:val="en-US"/>
        </w:rPr>
        <w:t xml:space="preserve">Figure </w:t>
      </w:r>
      <w:r w:rsidR="00527D89" w:rsidRPr="00527D89">
        <w:rPr>
          <w:lang w:val="en-US"/>
        </w:rPr>
        <w:t>4c</w:t>
      </w:r>
      <w:r>
        <w:rPr>
          <w:lang w:val="en-US"/>
        </w:rPr>
        <w:t>. Although the scree plot did</w:t>
      </w:r>
      <w:r w:rsidR="005F5E05">
        <w:rPr>
          <w:lang w:val="en-US"/>
        </w:rPr>
        <w:t xml:space="preserve"> not</w:t>
      </w:r>
      <w:r>
        <w:rPr>
          <w:lang w:val="en-US"/>
        </w:rPr>
        <w:t xml:space="preserve"> </w:t>
      </w:r>
      <w:r w:rsidR="005F5E05">
        <w:rPr>
          <w:lang w:val="en-US"/>
        </w:rPr>
        <w:t xml:space="preserve">reveal </w:t>
      </w:r>
      <w:r>
        <w:rPr>
          <w:lang w:val="en-US"/>
        </w:rPr>
        <w:t xml:space="preserve">a </w:t>
      </w:r>
      <w:r w:rsidR="005F5E05">
        <w:rPr>
          <w:lang w:val="en-US"/>
        </w:rPr>
        <w:t xml:space="preserve">clear </w:t>
      </w:r>
      <w:r>
        <w:rPr>
          <w:lang w:val="en-US"/>
        </w:rPr>
        <w:t xml:space="preserve">change in slope, a total of </w:t>
      </w:r>
      <w:r w:rsidR="00E9226E">
        <w:rPr>
          <w:lang w:val="en-US"/>
        </w:rPr>
        <w:t xml:space="preserve">five </w:t>
      </w:r>
      <w:r w:rsidR="008F373C">
        <w:rPr>
          <w:lang w:val="en-US"/>
        </w:rPr>
        <w:t>PCs</w:t>
      </w:r>
      <w:r>
        <w:rPr>
          <w:lang w:val="en-US"/>
        </w:rPr>
        <w:t xml:space="preserve"> </w:t>
      </w:r>
      <w:r w:rsidR="006D0739">
        <w:rPr>
          <w:lang w:val="en-US"/>
        </w:rPr>
        <w:t>(PC1</w:t>
      </w:r>
      <w:r w:rsidR="006D0739" w:rsidRPr="006D0739">
        <w:rPr>
          <w:vertAlign w:val="subscript"/>
          <w:lang w:val="en-US"/>
        </w:rPr>
        <w:t>B</w:t>
      </w:r>
      <w:r w:rsidR="008F373C">
        <w:rPr>
          <w:vertAlign w:val="subscript"/>
          <w:lang w:val="en-US"/>
        </w:rPr>
        <w:t xml:space="preserve"> </w:t>
      </w:r>
      <w:r w:rsidR="006D0739">
        <w:rPr>
          <w:lang w:val="en-US"/>
        </w:rPr>
        <w:t>–</w:t>
      </w:r>
      <w:r w:rsidR="008F373C">
        <w:rPr>
          <w:lang w:val="en-US"/>
        </w:rPr>
        <w:t xml:space="preserve"> </w:t>
      </w:r>
      <w:r w:rsidR="006D0739">
        <w:rPr>
          <w:lang w:val="en-US"/>
        </w:rPr>
        <w:t>PC5</w:t>
      </w:r>
      <w:r w:rsidR="006D0739" w:rsidRPr="006D0739">
        <w:rPr>
          <w:vertAlign w:val="subscript"/>
          <w:lang w:val="en-US"/>
        </w:rPr>
        <w:t>B</w:t>
      </w:r>
      <w:r w:rsidR="006D0739">
        <w:rPr>
          <w:lang w:val="en-US"/>
        </w:rPr>
        <w:t>)</w:t>
      </w:r>
      <w:r w:rsidR="005F5E05">
        <w:rPr>
          <w:lang w:val="en-US"/>
        </w:rPr>
        <w:t xml:space="preserve"> </w:t>
      </w:r>
      <w:r>
        <w:rPr>
          <w:lang w:val="en-US"/>
        </w:rPr>
        <w:t xml:space="preserve">was considered adequate to describe the biomechanics of these tasks, based on </w:t>
      </w:r>
      <w:r w:rsidR="005F5E05">
        <w:rPr>
          <w:lang w:val="en-US"/>
        </w:rPr>
        <w:t xml:space="preserve">the </w:t>
      </w:r>
      <w:r>
        <w:rPr>
          <w:lang w:val="en-US"/>
        </w:rPr>
        <w:t xml:space="preserve">Kaiser criterion (4 </w:t>
      </w:r>
      <w:r w:rsidR="008F373C">
        <w:rPr>
          <w:lang w:val="en-US"/>
        </w:rPr>
        <w:t>PCs</w:t>
      </w:r>
      <w:r>
        <w:rPr>
          <w:lang w:val="en-US"/>
        </w:rPr>
        <w:t xml:space="preserve">) and cumulative variance </w:t>
      </w:r>
      <w:r w:rsidRPr="00BB747D">
        <w:rPr>
          <w:lang w:val="en-US"/>
        </w:rPr>
        <w:t>analysis (75%).</w:t>
      </w:r>
      <w:r>
        <w:rPr>
          <w:lang w:val="en-US"/>
        </w:rPr>
        <w:t xml:space="preserve"> </w:t>
      </w:r>
    </w:p>
    <w:p w14:paraId="3C23FA6B" w14:textId="294E4E2B" w:rsidR="00245E49" w:rsidRPr="00061F9D" w:rsidRDefault="00245E49" w:rsidP="00245E49">
      <w:pPr>
        <w:spacing w:line="360" w:lineRule="auto"/>
        <w:jc w:val="both"/>
        <w:rPr>
          <w:lang w:val="en-US"/>
        </w:rPr>
      </w:pPr>
      <w:r>
        <w:rPr>
          <w:lang w:val="en-US"/>
        </w:rPr>
        <w:t xml:space="preserve">The silhouette analysis reported an optimal number of clusters of 2, with a mean silhouette value </w:t>
      </w:r>
      <w:r w:rsidRPr="00BB747D">
        <w:rPr>
          <w:lang w:val="en-US"/>
        </w:rPr>
        <w:t>of 0.38</w:t>
      </w:r>
      <w:r>
        <w:rPr>
          <w:lang w:val="en-US"/>
        </w:rPr>
        <w:t xml:space="preserve"> (Figure 4d). Relevant loadings of the first </w:t>
      </w:r>
      <w:r w:rsidR="00E9226E">
        <w:rPr>
          <w:lang w:val="en-US"/>
        </w:rPr>
        <w:t xml:space="preserve">five </w:t>
      </w:r>
      <w:r>
        <w:rPr>
          <w:lang w:val="en-US"/>
        </w:rPr>
        <w:t xml:space="preserve">PCs, the mean and SD of the scores for each cluster, and the results of </w:t>
      </w:r>
      <w:r w:rsidRPr="00335136">
        <w:rPr>
          <w:lang w:val="en-US"/>
        </w:rPr>
        <w:t>Mann–Whitney U tests</w:t>
      </w:r>
      <w:r>
        <w:rPr>
          <w:lang w:val="en-US"/>
        </w:rPr>
        <w:t xml:space="preserve"> are reported </w:t>
      </w:r>
      <w:r w:rsidRPr="00061F9D">
        <w:rPr>
          <w:lang w:val="en-US"/>
        </w:rPr>
        <w:t xml:space="preserve">in Table </w:t>
      </w:r>
      <w:r>
        <w:rPr>
          <w:lang w:val="en-US"/>
        </w:rPr>
        <w:t>2</w:t>
      </w:r>
      <w:r w:rsidRPr="00061F9D">
        <w:rPr>
          <w:lang w:val="en-US"/>
        </w:rPr>
        <w:t xml:space="preserve">. </w:t>
      </w:r>
    </w:p>
    <w:p w14:paraId="2576F30B" w14:textId="77777777" w:rsidR="00245E49" w:rsidRDefault="00245E49" w:rsidP="00CA097C">
      <w:pPr>
        <w:spacing w:line="360" w:lineRule="auto"/>
        <w:jc w:val="both"/>
        <w:rPr>
          <w:lang w:val="en-US"/>
        </w:rPr>
      </w:pPr>
    </w:p>
    <w:p w14:paraId="07E25557" w14:textId="2617C1BB" w:rsidR="00CA097C" w:rsidRPr="005F4770" w:rsidRDefault="00CA097C" w:rsidP="00CA097C">
      <w:pPr>
        <w:spacing w:line="360" w:lineRule="auto"/>
        <w:jc w:val="center"/>
        <w:rPr>
          <w:u w:val="single"/>
          <w:lang w:val="en-US"/>
        </w:rPr>
      </w:pPr>
      <w:r w:rsidRPr="00061F9D">
        <w:rPr>
          <w:u w:val="single"/>
          <w:lang w:val="en-US"/>
        </w:rPr>
        <w:t xml:space="preserve">TABLE </w:t>
      </w:r>
      <w:r w:rsidR="00245E49">
        <w:rPr>
          <w:u w:val="single"/>
          <w:lang w:val="en-US"/>
        </w:rPr>
        <w:t>2</w:t>
      </w:r>
      <w:r w:rsidR="00245E49" w:rsidRPr="00061F9D">
        <w:rPr>
          <w:u w:val="single"/>
          <w:lang w:val="en-US"/>
        </w:rPr>
        <w:t xml:space="preserve"> </w:t>
      </w:r>
      <w:r w:rsidRPr="00061F9D">
        <w:rPr>
          <w:u w:val="single"/>
          <w:lang w:val="en-US"/>
        </w:rPr>
        <w:t>NEAR HERE</w:t>
      </w:r>
    </w:p>
    <w:p w14:paraId="2F7168D0" w14:textId="2E1E7FD4" w:rsidR="00CA097C" w:rsidRDefault="00CA097C" w:rsidP="00CA097C">
      <w:pPr>
        <w:spacing w:line="360" w:lineRule="auto"/>
        <w:jc w:val="both"/>
        <w:rPr>
          <w:lang w:val="en-US"/>
        </w:rPr>
      </w:pPr>
      <w:r>
        <w:rPr>
          <w:lang w:val="en-US"/>
        </w:rPr>
        <w:t xml:space="preserve">The </w:t>
      </w:r>
      <w:r w:rsidR="003325F0">
        <w:rPr>
          <w:lang w:val="en-US"/>
        </w:rPr>
        <w:t>PC1</w:t>
      </w:r>
      <w:r w:rsidR="006D0739" w:rsidRPr="006D0739">
        <w:rPr>
          <w:vertAlign w:val="subscript"/>
          <w:lang w:val="en-US"/>
        </w:rPr>
        <w:t>B</w:t>
      </w:r>
      <w:r>
        <w:rPr>
          <w:lang w:val="en-US"/>
        </w:rPr>
        <w:t xml:space="preserve"> was</w:t>
      </w:r>
      <w:r w:rsidR="003325F0">
        <w:rPr>
          <w:lang w:val="en-US"/>
        </w:rPr>
        <w:t xml:space="preserve"> </w:t>
      </w:r>
      <w:r>
        <w:rPr>
          <w:lang w:val="en-US"/>
        </w:rPr>
        <w:t xml:space="preserve">significantly different between clusters (p &lt; 0.001). The clusters are displayed in the dendrogram in </w:t>
      </w:r>
      <w:r w:rsidRPr="00527D89">
        <w:rPr>
          <w:lang w:val="en-US"/>
        </w:rPr>
        <w:t xml:space="preserve">Figure </w:t>
      </w:r>
      <w:r w:rsidR="00527D89" w:rsidRPr="00527D89">
        <w:rPr>
          <w:lang w:val="en-US"/>
        </w:rPr>
        <w:t>5</w:t>
      </w:r>
      <w:r w:rsidRPr="00527D89">
        <w:rPr>
          <w:lang w:val="en-US"/>
        </w:rPr>
        <w:t>, a</w:t>
      </w:r>
      <w:r w:rsidR="005F5E05">
        <w:rPr>
          <w:lang w:val="en-US"/>
        </w:rPr>
        <w:t>long</w:t>
      </w:r>
      <w:r>
        <w:rPr>
          <w:lang w:val="en-US"/>
        </w:rPr>
        <w:t xml:space="preserve"> </w:t>
      </w:r>
      <w:r w:rsidR="005F5E05">
        <w:rPr>
          <w:lang w:val="en-US"/>
        </w:rPr>
        <w:t>with</w:t>
      </w:r>
      <w:r>
        <w:rPr>
          <w:lang w:val="en-US"/>
        </w:rPr>
        <w:t xml:space="preserve"> the </w:t>
      </w:r>
      <w:r w:rsidR="005F5E05">
        <w:rPr>
          <w:lang w:val="en-US"/>
        </w:rPr>
        <w:t>boxplot</w:t>
      </w:r>
      <w:r>
        <w:rPr>
          <w:lang w:val="en-US"/>
        </w:rPr>
        <w:t xml:space="preserve"> </w:t>
      </w:r>
      <w:r w:rsidRPr="00CA097C">
        <w:rPr>
          <w:lang w:val="en-US"/>
        </w:rPr>
        <w:t xml:space="preserve">showing the </w:t>
      </w:r>
      <w:r w:rsidR="005F5E05">
        <w:rPr>
          <w:lang w:val="en-US"/>
        </w:rPr>
        <w:t>score distributions</w:t>
      </w:r>
      <w:r w:rsidR="002924CA">
        <w:rPr>
          <w:lang w:val="en-US"/>
        </w:rPr>
        <w:t xml:space="preserve"> </w:t>
      </w:r>
      <w:r w:rsidRPr="00CA097C">
        <w:rPr>
          <w:lang w:val="en-US"/>
        </w:rPr>
        <w:t xml:space="preserve">for the </w:t>
      </w:r>
      <w:r w:rsidR="008F373C">
        <w:rPr>
          <w:lang w:val="en-US"/>
        </w:rPr>
        <w:t>PC1</w:t>
      </w:r>
      <w:r w:rsidR="008F373C" w:rsidRPr="00496195">
        <w:rPr>
          <w:vertAlign w:val="subscript"/>
          <w:lang w:val="en-US"/>
        </w:rPr>
        <w:t>B</w:t>
      </w:r>
      <w:r w:rsidRPr="00CA097C">
        <w:rPr>
          <w:lang w:val="en-US"/>
        </w:rPr>
        <w:t>.</w:t>
      </w:r>
    </w:p>
    <w:p w14:paraId="2CCEAD2F" w14:textId="52A6401F" w:rsidR="00CA097C" w:rsidRPr="00CA097C" w:rsidRDefault="00CA097C" w:rsidP="00CA097C">
      <w:pPr>
        <w:spacing w:line="360" w:lineRule="auto"/>
        <w:jc w:val="center"/>
        <w:rPr>
          <w:u w:val="single"/>
          <w:lang w:val="en-US"/>
        </w:rPr>
      </w:pPr>
      <w:r w:rsidRPr="00DC760A">
        <w:rPr>
          <w:u w:val="single"/>
          <w:lang w:val="en-US"/>
        </w:rPr>
        <w:t xml:space="preserve">FIGURE </w:t>
      </w:r>
      <w:r w:rsidR="00527D89" w:rsidRPr="00DC760A">
        <w:rPr>
          <w:u w:val="single"/>
          <w:lang w:val="en-US"/>
        </w:rPr>
        <w:t>5</w:t>
      </w:r>
      <w:r w:rsidRPr="00DC760A">
        <w:rPr>
          <w:u w:val="single"/>
          <w:lang w:val="en-US"/>
        </w:rPr>
        <w:t xml:space="preserve"> NEAR HERE</w:t>
      </w:r>
    </w:p>
    <w:p w14:paraId="6B92442D" w14:textId="77777777" w:rsidR="0013669C" w:rsidRDefault="0013669C" w:rsidP="00CA097C">
      <w:pPr>
        <w:spacing w:line="360" w:lineRule="auto"/>
        <w:jc w:val="both"/>
        <w:rPr>
          <w:b/>
          <w:bCs/>
          <w:lang w:val="en-US"/>
        </w:rPr>
      </w:pPr>
    </w:p>
    <w:p w14:paraId="276A234E" w14:textId="018878E3" w:rsidR="005D5250" w:rsidRDefault="00B10901" w:rsidP="00CA097C">
      <w:pPr>
        <w:spacing w:line="360" w:lineRule="auto"/>
        <w:jc w:val="both"/>
        <w:rPr>
          <w:b/>
          <w:bCs/>
          <w:lang w:val="en-US"/>
        </w:rPr>
      </w:pPr>
      <w:r w:rsidRPr="00B10901">
        <w:rPr>
          <w:b/>
          <w:bCs/>
          <w:lang w:val="en-US"/>
        </w:rPr>
        <w:t>DISCUSSION</w:t>
      </w:r>
    </w:p>
    <w:p w14:paraId="5B7A4549" w14:textId="58D141FC" w:rsidR="00485F77" w:rsidRDefault="00485F77" w:rsidP="00485F77">
      <w:pPr>
        <w:spacing w:line="360" w:lineRule="auto"/>
        <w:jc w:val="both"/>
        <w:rPr>
          <w:lang w:val="en-US"/>
        </w:rPr>
      </w:pPr>
      <w:r w:rsidRPr="00096B35">
        <w:rPr>
          <w:lang w:val="en-US"/>
        </w:rPr>
        <w:t>The aim of this study was to explore a novel approach to identify ACL injury risk markers during unanticipated landing tasks by specifically analyzing invalid trials</w:t>
      </w:r>
      <w:r>
        <w:rPr>
          <w:lang w:val="en-US"/>
        </w:rPr>
        <w:t>, categorized as failed and bad trials</w:t>
      </w:r>
      <w:r w:rsidR="00256724">
        <w:rPr>
          <w:lang w:val="en-US"/>
        </w:rPr>
        <w:t xml:space="preserve"> and related specifically to cognitive and motor errors</w:t>
      </w:r>
      <w:r>
        <w:rPr>
          <w:lang w:val="en-US"/>
        </w:rPr>
        <w:t>,</w:t>
      </w:r>
      <w:r w:rsidRPr="00096B35">
        <w:rPr>
          <w:lang w:val="en-US"/>
        </w:rPr>
        <w:t xml:space="preserve"> in relation to the successful motor pattern.</w:t>
      </w:r>
    </w:p>
    <w:p w14:paraId="62A92338" w14:textId="363E20E6" w:rsidR="00485F77" w:rsidRDefault="00485F77" w:rsidP="00485F77">
      <w:pPr>
        <w:spacing w:line="360" w:lineRule="auto"/>
        <w:jc w:val="both"/>
        <w:rPr>
          <w:highlight w:val="yellow"/>
          <w:lang w:val="en-US"/>
        </w:rPr>
      </w:pPr>
      <w:r>
        <w:rPr>
          <w:lang w:val="en-US"/>
        </w:rPr>
        <w:t>F</w:t>
      </w:r>
      <w:r w:rsidRPr="00D9000D">
        <w:rPr>
          <w:lang w:val="en-US"/>
        </w:rPr>
        <w:t>our distinct motor patterns</w:t>
      </w:r>
      <w:r>
        <w:rPr>
          <w:lang w:val="en-US"/>
        </w:rPr>
        <w:t xml:space="preserve"> </w:t>
      </w:r>
      <w:r w:rsidR="00AD73FC">
        <w:rPr>
          <w:lang w:val="en-US"/>
        </w:rPr>
        <w:t>were</w:t>
      </w:r>
      <w:r>
        <w:rPr>
          <w:lang w:val="en-US"/>
        </w:rPr>
        <w:t xml:space="preserve"> identified among failed trials</w:t>
      </w:r>
      <w:r w:rsidRPr="00D9000D">
        <w:rPr>
          <w:lang w:val="en-US"/>
        </w:rPr>
        <w:t xml:space="preserve">. This was expected, as failed trials </w:t>
      </w:r>
      <w:r w:rsidR="00AD73FC">
        <w:rPr>
          <w:lang w:val="en-US"/>
        </w:rPr>
        <w:t>usually result</w:t>
      </w:r>
      <w:r w:rsidR="00AD73FC" w:rsidRPr="00D9000D">
        <w:rPr>
          <w:lang w:val="en-US"/>
        </w:rPr>
        <w:t xml:space="preserve"> </w:t>
      </w:r>
      <w:r w:rsidRPr="00D9000D">
        <w:rPr>
          <w:lang w:val="en-US"/>
        </w:rPr>
        <w:t xml:space="preserve">from </w:t>
      </w:r>
      <w:r w:rsidR="00AD73FC">
        <w:rPr>
          <w:lang w:val="en-US"/>
        </w:rPr>
        <w:t xml:space="preserve">cognitive </w:t>
      </w:r>
      <w:r w:rsidRPr="00D9000D">
        <w:rPr>
          <w:lang w:val="en-US"/>
        </w:rPr>
        <w:t xml:space="preserve">decision-making errors </w:t>
      </w:r>
      <w:r w:rsidR="00AD73FC">
        <w:rPr>
          <w:lang w:val="en-US"/>
        </w:rPr>
        <w:t xml:space="preserve">that </w:t>
      </w:r>
      <w:r w:rsidRPr="00D9000D">
        <w:rPr>
          <w:lang w:val="en-US"/>
        </w:rPr>
        <w:t>are inherently more heterogeneous.</w:t>
      </w:r>
      <w:r>
        <w:rPr>
          <w:lang w:val="en-US"/>
        </w:rPr>
        <w:t xml:space="preserve"> </w:t>
      </w:r>
      <w:r w:rsidRPr="008533C6">
        <w:rPr>
          <w:lang w:val="en-US"/>
        </w:rPr>
        <w:t xml:space="preserve">Since </w:t>
      </w:r>
      <w:r w:rsidRPr="008533C6">
        <w:rPr>
          <w:lang w:val="en-US"/>
        </w:rPr>
        <w:lastRenderedPageBreak/>
        <w:t>PC4</w:t>
      </w:r>
      <w:r w:rsidRPr="00D807C1">
        <w:rPr>
          <w:vertAlign w:val="subscript"/>
          <w:lang w:val="en-US"/>
        </w:rPr>
        <w:t>F</w:t>
      </w:r>
      <w:r w:rsidRPr="008533C6">
        <w:rPr>
          <w:lang w:val="en-US"/>
        </w:rPr>
        <w:t xml:space="preserve"> did not contribute to cluster discrimination, </w:t>
      </w:r>
      <w:r>
        <w:rPr>
          <w:lang w:val="en-US"/>
        </w:rPr>
        <w:t xml:space="preserve">the </w:t>
      </w:r>
      <w:r w:rsidRPr="00D807C1">
        <w:rPr>
          <w:lang w:val="en-US"/>
        </w:rPr>
        <w:t xml:space="preserve">results </w:t>
      </w:r>
      <w:r w:rsidR="00A76E34">
        <w:rPr>
          <w:lang w:val="en-US"/>
        </w:rPr>
        <w:t>were</w:t>
      </w:r>
      <w:r w:rsidRPr="00D807C1">
        <w:rPr>
          <w:lang w:val="en-US"/>
        </w:rPr>
        <w:t xml:space="preserve"> </w:t>
      </w:r>
      <w:r w:rsidR="00A76E34">
        <w:rPr>
          <w:lang w:val="en-US"/>
        </w:rPr>
        <w:t>interpreted using</w:t>
      </w:r>
      <w:r w:rsidRPr="00D807C1">
        <w:rPr>
          <w:lang w:val="en-US"/>
        </w:rPr>
        <w:t xml:space="preserve"> PC1</w:t>
      </w:r>
      <w:r w:rsidRPr="00D807C1">
        <w:rPr>
          <w:vertAlign w:val="subscript"/>
          <w:lang w:val="en-US"/>
        </w:rPr>
        <w:t>F</w:t>
      </w:r>
      <w:r w:rsidRPr="00D807C1">
        <w:rPr>
          <w:lang w:val="en-US"/>
        </w:rPr>
        <w:t>, PC2</w:t>
      </w:r>
      <w:r w:rsidRPr="00D807C1">
        <w:rPr>
          <w:vertAlign w:val="subscript"/>
          <w:lang w:val="en-US"/>
        </w:rPr>
        <w:t>F</w:t>
      </w:r>
      <w:r w:rsidRPr="00D807C1">
        <w:rPr>
          <w:lang w:val="en-US"/>
        </w:rPr>
        <w:t xml:space="preserve">, and </w:t>
      </w:r>
      <w:r w:rsidRPr="004714FA">
        <w:rPr>
          <w:lang w:val="en-US"/>
        </w:rPr>
        <w:t>PC3</w:t>
      </w:r>
      <w:r w:rsidRPr="00D807C1">
        <w:rPr>
          <w:vertAlign w:val="subscript"/>
          <w:lang w:val="en-US"/>
        </w:rPr>
        <w:t>F</w:t>
      </w:r>
      <w:r w:rsidRPr="00D807C1">
        <w:rPr>
          <w:lang w:val="en-US"/>
        </w:rPr>
        <w:t>.</w:t>
      </w:r>
      <w:r w:rsidR="00A76E34">
        <w:rPr>
          <w:lang w:val="en-US"/>
        </w:rPr>
        <w:t xml:space="preserve"> </w:t>
      </w:r>
      <w:r w:rsidRPr="00D807C1">
        <w:rPr>
          <w:lang w:val="en-US"/>
        </w:rPr>
        <w:t xml:space="preserve">Cluster 1 appears to be primarily driven by </w:t>
      </w:r>
      <w:r w:rsidRPr="004714FA">
        <w:rPr>
          <w:lang w:val="en-US"/>
        </w:rPr>
        <w:t>PC3</w:t>
      </w:r>
      <w:r w:rsidRPr="00D807C1">
        <w:rPr>
          <w:vertAlign w:val="subscript"/>
          <w:lang w:val="en-US"/>
        </w:rPr>
        <w:t>F</w:t>
      </w:r>
      <w:r w:rsidRPr="00D807C1">
        <w:rPr>
          <w:lang w:val="en-US"/>
        </w:rPr>
        <w:t xml:space="preserve">, as reflected by the markedly elevated </w:t>
      </w:r>
      <w:r w:rsidRPr="004714FA">
        <w:rPr>
          <w:lang w:val="en-US"/>
        </w:rPr>
        <w:t>PC3</w:t>
      </w:r>
      <w:r w:rsidRPr="00D807C1">
        <w:rPr>
          <w:vertAlign w:val="subscript"/>
          <w:lang w:val="en-US"/>
        </w:rPr>
        <w:t>F</w:t>
      </w:r>
      <w:r w:rsidRPr="004714FA">
        <w:rPr>
          <w:lang w:val="en-US"/>
        </w:rPr>
        <w:t xml:space="preserve"> </w:t>
      </w:r>
      <w:r w:rsidRPr="00D807C1">
        <w:rPr>
          <w:lang w:val="en-US"/>
        </w:rPr>
        <w:t>scores (mean ≈ 2.5) compared with the other clusters, while PC1</w:t>
      </w:r>
      <w:r w:rsidRPr="00D807C1">
        <w:rPr>
          <w:vertAlign w:val="subscript"/>
          <w:lang w:val="en-US"/>
        </w:rPr>
        <w:t>F</w:t>
      </w:r>
      <w:r w:rsidRPr="00D807C1">
        <w:rPr>
          <w:lang w:val="en-US"/>
        </w:rPr>
        <w:t xml:space="preserve"> and PC2</w:t>
      </w:r>
      <w:r w:rsidRPr="00D807C1">
        <w:rPr>
          <w:vertAlign w:val="subscript"/>
          <w:lang w:val="en-US"/>
        </w:rPr>
        <w:t>F</w:t>
      </w:r>
      <w:r w:rsidRPr="008533C6">
        <w:rPr>
          <w:lang w:val="en-US"/>
        </w:rPr>
        <w:t xml:space="preserve"> show only moderate deviations from zero.</w:t>
      </w:r>
      <w:r>
        <w:rPr>
          <w:lang w:val="en-US"/>
        </w:rPr>
        <w:t xml:space="preserve"> Since </w:t>
      </w:r>
      <w:r w:rsidRPr="004714FA">
        <w:rPr>
          <w:lang w:val="en-US"/>
        </w:rPr>
        <w:t>PC3</w:t>
      </w:r>
      <w:r w:rsidRPr="00D807C1">
        <w:rPr>
          <w:vertAlign w:val="subscript"/>
          <w:lang w:val="en-US"/>
        </w:rPr>
        <w:t>F</w:t>
      </w:r>
      <w:r w:rsidRPr="004714FA">
        <w:rPr>
          <w:lang w:val="en-US"/>
        </w:rPr>
        <w:t xml:space="preserve"> </w:t>
      </w:r>
      <w:r>
        <w:rPr>
          <w:lang w:val="en-US"/>
        </w:rPr>
        <w:t>is</w:t>
      </w:r>
      <w:r w:rsidR="00937983">
        <w:rPr>
          <w:lang w:val="en-US"/>
        </w:rPr>
        <w:t xml:space="preserve"> mainly</w:t>
      </w:r>
      <w:r>
        <w:rPr>
          <w:lang w:val="en-US"/>
        </w:rPr>
        <w:t xml:space="preserve"> characterized by </w:t>
      </w:r>
      <w:r w:rsidRPr="008533C6">
        <w:rPr>
          <w:lang w:val="en-US"/>
        </w:rPr>
        <w:t>greater dominant knee abduction</w:t>
      </w:r>
      <w:r>
        <w:rPr>
          <w:lang w:val="en-US"/>
        </w:rPr>
        <w:t xml:space="preserve"> </w:t>
      </w:r>
      <w:r w:rsidRPr="008533C6">
        <w:rPr>
          <w:lang w:val="en-US"/>
        </w:rPr>
        <w:t>and reduced non-dominant knee abduction</w:t>
      </w:r>
      <w:r>
        <w:rPr>
          <w:lang w:val="en-US"/>
        </w:rPr>
        <w:t xml:space="preserve"> angles, t</w:t>
      </w:r>
      <w:r w:rsidRPr="008533C6">
        <w:rPr>
          <w:lang w:val="en-US"/>
        </w:rPr>
        <w:t xml:space="preserve">his profile indicates </w:t>
      </w:r>
      <w:r>
        <w:rPr>
          <w:lang w:val="en-US"/>
        </w:rPr>
        <w:t xml:space="preserve">a </w:t>
      </w:r>
      <w:r w:rsidRPr="008533C6">
        <w:rPr>
          <w:lang w:val="en-US"/>
        </w:rPr>
        <w:t>pronounced frontal-plane knee asymmetry</w:t>
      </w:r>
      <w:r>
        <w:rPr>
          <w:lang w:val="en-US"/>
        </w:rPr>
        <w:t xml:space="preserve">, </w:t>
      </w:r>
      <w:r w:rsidRPr="008533C6">
        <w:rPr>
          <w:lang w:val="en-US"/>
        </w:rPr>
        <w:t>making this cluster the most frontal</w:t>
      </w:r>
      <w:r>
        <w:rPr>
          <w:lang w:val="en-US"/>
        </w:rPr>
        <w:t>-</w:t>
      </w:r>
      <w:r w:rsidRPr="008533C6">
        <w:rPr>
          <w:lang w:val="en-US"/>
        </w:rPr>
        <w:t>plane</w:t>
      </w:r>
      <w:r>
        <w:rPr>
          <w:lang w:val="en-US"/>
        </w:rPr>
        <w:t>-</w:t>
      </w:r>
      <w:r w:rsidRPr="00AA1641">
        <w:rPr>
          <w:lang w:val="en-US"/>
        </w:rPr>
        <w:t>driven pattern observed</w:t>
      </w:r>
      <w:r w:rsidR="00AA1641" w:rsidRPr="00AA1641">
        <w:rPr>
          <w:lang w:val="en-US"/>
        </w:rPr>
        <w:fldChar w:fldCharType="begin"/>
      </w:r>
      <w:r w:rsidR="006F0364">
        <w:rPr>
          <w:lang w:val="en-US"/>
        </w:rPr>
        <w:instrText xml:space="preserve"> ADDIN ZOTERO_ITEM CSL_CITATION {"citationID":"WQOd0ZBY","properties":{"formattedCitation":"\\super 37\\nosupersub{}","plainCitation":"37","noteIndex":0},"citationItems":[{"id":373,"uris":["http://zotero.org/users/18623031/items/4K8AED38"],"itemData":{"id":373,"type":"article-journal","abstract":"This paper reviews a series of studies contributing to a framework for preventing anterior cruciate ligament (ACL) injuries in sport. As the majority of these injuries are non-contact in nature, theoretically, these injuries are preventable. The studies presented in this paper focus on understanding biomechanical countermeasures of ACL injury and how this knowledge can inform both screening and training intervention research and practice in sport. These countermeasures include: 1) modifying an athlete's technique to reduce externally applied loads to the knee; 2) increasing the muscle support around the knee and hip to counter elevated loads applied to the knee and; 3) improving an athlete's perception during dynamic sports tasks to increase planning time to coordinate desirable movement patterns. By furthering the empirical evidence of modifiable biomechanical countermeasures of ACL injury risk, we can better understand best practices for developing interventions on a mass scale to prevent ACL injuries in the sporting community.","container-title":"Sports biomechanics","DOI":"10.1080/14763141.2021.2016925","ISSN":"1752-6116","issue":"11","page":"1867-1887","PMID":"34965847","title":"Anterior cruciate ligament injury prevention in sport: biomechanically informed approaches.","volume":"23","author":[{"family":"Weir","given":"Gillian"}],"issued":{"date-parts":[["2024",11]]}}}],"schema":"https://github.com/citation-style-language/schema/raw/master/csl-citation.json"} </w:instrText>
      </w:r>
      <w:r w:rsidR="00AA1641" w:rsidRPr="00AA1641">
        <w:rPr>
          <w:lang w:val="en-US"/>
        </w:rPr>
        <w:fldChar w:fldCharType="separate"/>
      </w:r>
      <w:r w:rsidR="006F0364" w:rsidRPr="006F0364">
        <w:rPr>
          <w:rFonts w:ascii="Aptos" w:hAnsi="Aptos" w:cs="Times New Roman"/>
          <w:kern w:val="0"/>
          <w:vertAlign w:val="superscript"/>
          <w:lang w:val="en-US"/>
        </w:rPr>
        <w:t>37</w:t>
      </w:r>
      <w:r w:rsidR="00AA1641" w:rsidRPr="00AA1641">
        <w:rPr>
          <w:lang w:val="en-US"/>
        </w:rPr>
        <w:fldChar w:fldCharType="end"/>
      </w:r>
      <w:r w:rsidRPr="00AA1641">
        <w:rPr>
          <w:lang w:val="en-US"/>
        </w:rPr>
        <w:t>. Only</w:t>
      </w:r>
      <w:r w:rsidRPr="00F80018">
        <w:rPr>
          <w:lang w:val="en-US"/>
        </w:rPr>
        <w:t xml:space="preserve"> </w:t>
      </w:r>
      <w:r>
        <w:rPr>
          <w:lang w:val="en-US"/>
        </w:rPr>
        <w:t>five</w:t>
      </w:r>
      <w:r w:rsidRPr="00F80018">
        <w:rPr>
          <w:lang w:val="en-US"/>
        </w:rPr>
        <w:t xml:space="preserve"> trials from two </w:t>
      </w:r>
      <w:r>
        <w:rPr>
          <w:lang w:val="en-US"/>
        </w:rPr>
        <w:t>participants</w:t>
      </w:r>
      <w:r w:rsidRPr="00F80018">
        <w:rPr>
          <w:lang w:val="en-US"/>
        </w:rPr>
        <w:t xml:space="preserve"> were assigned to </w:t>
      </w:r>
      <w:r>
        <w:rPr>
          <w:lang w:val="en-US"/>
        </w:rPr>
        <w:t>c</w:t>
      </w:r>
      <w:r w:rsidRPr="00F80018">
        <w:rPr>
          <w:lang w:val="en-US"/>
        </w:rPr>
        <w:t>luster</w:t>
      </w:r>
      <w:r>
        <w:rPr>
          <w:lang w:val="en-US"/>
        </w:rPr>
        <w:t xml:space="preserve"> 1</w:t>
      </w:r>
      <w:r w:rsidRPr="00F80018">
        <w:rPr>
          <w:lang w:val="en-US"/>
        </w:rPr>
        <w:t xml:space="preserve">, indicating that the </w:t>
      </w:r>
      <w:r>
        <w:rPr>
          <w:lang w:val="en-US"/>
        </w:rPr>
        <w:t>pronounced</w:t>
      </w:r>
      <w:r w:rsidRPr="00F80018">
        <w:rPr>
          <w:lang w:val="en-US"/>
        </w:rPr>
        <w:t xml:space="preserve"> frontal-plane interlimb asymmetries </w:t>
      </w:r>
      <w:r w:rsidR="00A76E34">
        <w:rPr>
          <w:lang w:val="en-US"/>
        </w:rPr>
        <w:t xml:space="preserve">observed </w:t>
      </w:r>
      <w:r w:rsidRPr="00F80018">
        <w:rPr>
          <w:lang w:val="en-US"/>
        </w:rPr>
        <w:t>during failed trials w</w:t>
      </w:r>
      <w:r w:rsidR="00A76E34">
        <w:rPr>
          <w:lang w:val="en-US"/>
        </w:rPr>
        <w:t>ere</w:t>
      </w:r>
      <w:r w:rsidRPr="00F80018">
        <w:rPr>
          <w:lang w:val="en-US"/>
        </w:rPr>
        <w:t xml:space="preserve"> </w:t>
      </w:r>
      <w:r w:rsidR="00A76E34">
        <w:rPr>
          <w:lang w:val="en-US"/>
        </w:rPr>
        <w:t>limit</w:t>
      </w:r>
      <w:r>
        <w:rPr>
          <w:lang w:val="en-US"/>
        </w:rPr>
        <w:t xml:space="preserve">ed </w:t>
      </w:r>
      <w:r w:rsidR="00A76E34">
        <w:rPr>
          <w:lang w:val="en-US"/>
        </w:rPr>
        <w:t>to</w:t>
      </w:r>
      <w:r w:rsidRPr="00F80018">
        <w:rPr>
          <w:lang w:val="en-US"/>
        </w:rPr>
        <w:t xml:space="preserve"> a </w:t>
      </w:r>
      <w:r w:rsidR="00A76E34">
        <w:rPr>
          <w:lang w:val="en-US"/>
        </w:rPr>
        <w:t>small</w:t>
      </w:r>
      <w:r w:rsidRPr="00F80018">
        <w:rPr>
          <w:lang w:val="en-US"/>
        </w:rPr>
        <w:t xml:space="preserve"> number of </w:t>
      </w:r>
      <w:r>
        <w:rPr>
          <w:lang w:val="en-US"/>
        </w:rPr>
        <w:t>athletes</w:t>
      </w:r>
      <w:r w:rsidRPr="00F80018">
        <w:rPr>
          <w:lang w:val="en-US"/>
        </w:rPr>
        <w:t>.</w:t>
      </w:r>
      <w:r w:rsidR="00A76E34">
        <w:rPr>
          <w:lang w:val="en-US"/>
        </w:rPr>
        <w:t xml:space="preserve"> </w:t>
      </w:r>
      <w:r w:rsidRPr="00C72DA0">
        <w:rPr>
          <w:lang w:val="en-US"/>
        </w:rPr>
        <w:t xml:space="preserve">Cluster 2 was characterized by relatively small scores across all principal components, indicating the absence of a strongly </w:t>
      </w:r>
      <w:r w:rsidR="00A76E34">
        <w:rPr>
          <w:lang w:val="en-US"/>
        </w:rPr>
        <w:t>representative</w:t>
      </w:r>
      <w:r w:rsidR="00A76E34" w:rsidRPr="00C72DA0">
        <w:rPr>
          <w:lang w:val="en-US"/>
        </w:rPr>
        <w:t xml:space="preserve"> </w:t>
      </w:r>
      <w:r w:rsidRPr="00C72DA0">
        <w:rPr>
          <w:lang w:val="en-US"/>
        </w:rPr>
        <w:t xml:space="preserve">biomechanical pattern. This suggests that </w:t>
      </w:r>
      <w:r>
        <w:rPr>
          <w:lang w:val="en-US"/>
        </w:rPr>
        <w:t>c</w:t>
      </w:r>
      <w:r w:rsidRPr="00C72DA0">
        <w:rPr>
          <w:lang w:val="en-US"/>
        </w:rPr>
        <w:t>luster 2 represents the least extreme profile and may reflect a more common, intermediate movement strategy within the sample</w:t>
      </w:r>
      <w:r>
        <w:rPr>
          <w:lang w:val="en-US"/>
        </w:rPr>
        <w:t xml:space="preserve">, executed by most participants. </w:t>
      </w:r>
      <w:r w:rsidRPr="008533C6">
        <w:rPr>
          <w:lang w:val="en-US"/>
        </w:rPr>
        <w:t xml:space="preserve">Cluster 3 demonstrated strongly negative </w:t>
      </w:r>
      <w:r w:rsidRPr="00D807C1">
        <w:rPr>
          <w:lang w:val="en-US"/>
        </w:rPr>
        <w:t>PC1</w:t>
      </w:r>
      <w:r w:rsidRPr="00D807C1">
        <w:rPr>
          <w:vertAlign w:val="subscript"/>
          <w:lang w:val="en-US"/>
        </w:rPr>
        <w:t>F</w:t>
      </w:r>
      <w:r w:rsidRPr="00496195">
        <w:rPr>
          <w:lang w:val="en-US"/>
        </w:rPr>
        <w:t xml:space="preserve"> </w:t>
      </w:r>
      <w:r w:rsidRPr="008533C6">
        <w:rPr>
          <w:lang w:val="en-US"/>
        </w:rPr>
        <w:t xml:space="preserve">and </w:t>
      </w:r>
      <w:r w:rsidRPr="00D807C1">
        <w:rPr>
          <w:lang w:val="en-US"/>
        </w:rPr>
        <w:t>PC2</w:t>
      </w:r>
      <w:r w:rsidRPr="00D807C1">
        <w:rPr>
          <w:vertAlign w:val="subscript"/>
          <w:lang w:val="en-US"/>
        </w:rPr>
        <w:t>F</w:t>
      </w:r>
      <w:r w:rsidRPr="008533C6">
        <w:rPr>
          <w:lang w:val="en-US"/>
        </w:rPr>
        <w:t xml:space="preserve"> scores</w:t>
      </w:r>
      <w:r>
        <w:rPr>
          <w:lang w:val="en-US"/>
        </w:rPr>
        <w:t xml:space="preserve"> (</w:t>
      </w:r>
      <w:r w:rsidRPr="00F80018">
        <w:rPr>
          <w:lang w:val="en-US"/>
        </w:rPr>
        <w:t xml:space="preserve">mean ≈ </w:t>
      </w:r>
      <w:r>
        <w:rPr>
          <w:lang w:val="en-US"/>
        </w:rPr>
        <w:t xml:space="preserve">-3.7 and </w:t>
      </w:r>
      <w:r w:rsidRPr="00F80018">
        <w:rPr>
          <w:lang w:val="en-US"/>
        </w:rPr>
        <w:t xml:space="preserve">mean ≈ </w:t>
      </w:r>
      <w:r>
        <w:rPr>
          <w:lang w:val="en-US"/>
        </w:rPr>
        <w:t>-2.3, respectively)</w:t>
      </w:r>
      <w:r w:rsidRPr="008533C6">
        <w:rPr>
          <w:lang w:val="en-US"/>
        </w:rPr>
        <w:t xml:space="preserve">, with </w:t>
      </w:r>
      <w:r w:rsidRPr="004714FA">
        <w:rPr>
          <w:lang w:val="en-US"/>
        </w:rPr>
        <w:t>PC3</w:t>
      </w:r>
      <w:r w:rsidRPr="00D807C1">
        <w:rPr>
          <w:vertAlign w:val="subscript"/>
          <w:lang w:val="en-US"/>
        </w:rPr>
        <w:t>F</w:t>
      </w:r>
      <w:r w:rsidRPr="004714FA">
        <w:rPr>
          <w:lang w:val="en-US"/>
        </w:rPr>
        <w:t xml:space="preserve"> </w:t>
      </w:r>
      <w:r w:rsidRPr="008533C6">
        <w:rPr>
          <w:lang w:val="en-US"/>
        </w:rPr>
        <w:t xml:space="preserve">values near zero. </w:t>
      </w:r>
      <w:r>
        <w:rPr>
          <w:lang w:val="en-US"/>
        </w:rPr>
        <w:t xml:space="preserve">Both </w:t>
      </w:r>
      <w:r w:rsidRPr="00D807C1">
        <w:rPr>
          <w:lang w:val="en-US"/>
        </w:rPr>
        <w:t>PC1</w:t>
      </w:r>
      <w:r w:rsidRPr="00D807C1">
        <w:rPr>
          <w:vertAlign w:val="subscript"/>
          <w:lang w:val="en-US"/>
        </w:rPr>
        <w:t>F</w:t>
      </w:r>
      <w:r w:rsidRPr="00D807C1">
        <w:rPr>
          <w:lang w:val="en-US"/>
        </w:rPr>
        <w:t xml:space="preserve"> </w:t>
      </w:r>
      <w:r>
        <w:rPr>
          <w:lang w:val="en-US"/>
        </w:rPr>
        <w:t xml:space="preserve">and </w:t>
      </w:r>
      <w:r w:rsidRPr="00D807C1">
        <w:rPr>
          <w:lang w:val="en-US"/>
        </w:rPr>
        <w:t>PC2</w:t>
      </w:r>
      <w:r w:rsidRPr="00D807C1">
        <w:rPr>
          <w:vertAlign w:val="subscript"/>
          <w:lang w:val="en-US"/>
        </w:rPr>
        <w:t>F</w:t>
      </w:r>
      <w:r>
        <w:rPr>
          <w:lang w:val="en-US"/>
        </w:rPr>
        <w:t xml:space="preserve"> with negative scores are characterized by an increased non-dominant knee abduction angle, which may enhance the risk of injury of the non-dominant ACL [ref]. On the sagittal plane, </w:t>
      </w:r>
      <w:r w:rsidRPr="00D807C1">
        <w:rPr>
          <w:lang w:val="en-US"/>
        </w:rPr>
        <w:t>PC1</w:t>
      </w:r>
      <w:r w:rsidRPr="00D807C1">
        <w:rPr>
          <w:vertAlign w:val="subscript"/>
          <w:lang w:val="en-US"/>
        </w:rPr>
        <w:t>F</w:t>
      </w:r>
      <w:r w:rsidRPr="00D807C1">
        <w:rPr>
          <w:lang w:val="en-US"/>
        </w:rPr>
        <w:t xml:space="preserve"> </w:t>
      </w:r>
      <w:r>
        <w:rPr>
          <w:lang w:val="en-US"/>
        </w:rPr>
        <w:t xml:space="preserve">and </w:t>
      </w:r>
      <w:r w:rsidRPr="00D807C1">
        <w:rPr>
          <w:lang w:val="en-US"/>
        </w:rPr>
        <w:t>PC2</w:t>
      </w:r>
      <w:r w:rsidRPr="00D807C1">
        <w:rPr>
          <w:vertAlign w:val="subscript"/>
          <w:lang w:val="en-US"/>
        </w:rPr>
        <w:t>F</w:t>
      </w:r>
      <w:r>
        <w:rPr>
          <w:lang w:val="en-US"/>
        </w:rPr>
        <w:t xml:space="preserve"> seem to have opposite trend</w:t>
      </w:r>
      <w:r w:rsidR="00A76E34">
        <w:rPr>
          <w:lang w:val="en-US"/>
        </w:rPr>
        <w:t>s</w:t>
      </w:r>
      <w:r>
        <w:rPr>
          <w:lang w:val="en-US"/>
        </w:rPr>
        <w:t xml:space="preserve">: decreased dominant and non-dominant hip flexion moment in </w:t>
      </w:r>
      <w:r w:rsidRPr="00D807C1">
        <w:rPr>
          <w:lang w:val="en-US"/>
        </w:rPr>
        <w:t>PC1</w:t>
      </w:r>
      <w:r w:rsidRPr="00D807C1">
        <w:rPr>
          <w:vertAlign w:val="subscript"/>
          <w:lang w:val="en-US"/>
        </w:rPr>
        <w:t>F</w:t>
      </w:r>
      <w:r>
        <w:rPr>
          <w:lang w:val="en-US"/>
        </w:rPr>
        <w:t xml:space="preserve">, </w:t>
      </w:r>
      <w:r w:rsidRPr="003A1BE4">
        <w:rPr>
          <w:lang w:val="en-US"/>
        </w:rPr>
        <w:t>which may be considered potentially harmful for ACL</w:t>
      </w:r>
      <w:r w:rsidR="003A1BE4">
        <w:rPr>
          <w:lang w:val="en-US"/>
        </w:rPr>
        <w:fldChar w:fldCharType="begin"/>
      </w:r>
      <w:r w:rsidR="006F0364">
        <w:rPr>
          <w:lang w:val="en-US"/>
        </w:rPr>
        <w:instrText xml:space="preserve"> ADDIN ZOTERO_ITEM CSL_CITATION {"citationID":"EFWMGmvb","properties":{"formattedCitation":"\\super 38\\nosupersub{}","plainCitation":"38","noteIndex":0},"citationItems":[{"id":770,"uris":["http://zotero.org/users/18623031/items/IZHDTKDQ"],"itemData":{"id":770,"type":"article-journal","abstract":"CONTEXT: Excessive quadriceps contraction with insufficient hamstrings muscle cocontraction has been shown to be a possible contributing factor for noncontact anterior cruciate ligament (ACL) injuries. Assessing the relationships among lower extremity internal moments may provide some insight into avoiding muscle contraction patterns that increase ACL injury risk.\nOBJECTIVE: To examine the relationships of knee-extensor moment with ankle plantar-flexor and hip-extensor moments and to examine the relationship between knee moment and center of pressure as a measure of neuromuscular response to center-of-mass position.\nDESIGN: Cross-sectional study.\nSETTING: Applied Neuromechanics Research Laboratory.\nPATIENTS OR OTHER PARTICIPANTS: Eighteen healthy, recreationally active women (age = 22.3 +/- 2.8 years, height = 162.5 +/- 8.1 cm, mass = 57.8 +/- 9.3 kg).\nINTERVENTION(S): Participants performed a single-leg landing from a 45-cm box onto a force plate. Kinetic and kinematic data were collected.\nMAIN OUTCOME MEASURE(S): Pearson product moment correlation coefficients were calculated among the net peak knee-extensor moment (KEMpk), sagittal-plane ankle (AM) and hip (HM) net internal moments, and anterior-posterior center of pressure relative to foot center of mass at KEMpk (COP).\nRESULTS: Lower KEMpk related to both greater AM (r = -0.942, P &lt; .001) and HM (r = -0.657, P = .003). We also found that more anterior displacement of COP was related to greater AM (r = -0.750, P &lt; .001) and lower KEMpk (r = 0.618, P = .006).\nCONCLUSIONS: Our results suggest that participants who lean the whole body forward during landing may produce more plantar-flexor moment and less knee-extensor moment, possibly increasing hip-extensor moment and decreasing knee-extensor moment production. These results suggest that leaning forward may be a technique to decrease quadriceps contraction demand while increasing hamstrings cocontraction demand during a single-leg landing.","container-title":"Journal of Athletic Training","DOI":"10.4085/1062-6050-44.1.33","ISSN":"1938-162X","issue":"1","journalAbbreviation":"J Athl Train","language":"eng","page":"33-38","PMID":"19180216","PMCID":"PMC2629037","source":"PubMed","title":"The relationships among sagittal-plane lower extremity moments: implications for landing strategy in anterior cruciate ligament injury prevention","title-short":"The relationships among sagittal-plane lower extremity moments","volume":"44","author":[{"family":"Shimokochi","given":"Yohei"},{"family":"Yong Lee","given":"Sae"},{"family":"Shultz","given":"Sandra J."},{"family":"Schmitz","given":"Randy J."}],"issued":{"date-parts":[["2009"]]}}}],"schema":"https://github.com/citation-style-language/schema/raw/master/csl-citation.json"} </w:instrText>
      </w:r>
      <w:r w:rsidR="003A1BE4">
        <w:rPr>
          <w:lang w:val="en-US"/>
        </w:rPr>
        <w:fldChar w:fldCharType="separate"/>
      </w:r>
      <w:r w:rsidR="006F0364" w:rsidRPr="006F0364">
        <w:rPr>
          <w:rFonts w:ascii="Aptos" w:hAnsi="Aptos" w:cs="Times New Roman"/>
          <w:kern w:val="0"/>
          <w:vertAlign w:val="superscript"/>
          <w:lang w:val="en-US"/>
        </w:rPr>
        <w:t>38</w:t>
      </w:r>
      <w:r w:rsidR="003A1BE4">
        <w:rPr>
          <w:lang w:val="en-US"/>
        </w:rPr>
        <w:fldChar w:fldCharType="end"/>
      </w:r>
      <w:r>
        <w:rPr>
          <w:lang w:val="en-US"/>
        </w:rPr>
        <w:t xml:space="preserve">, while increased dominant and non-dominant hip flexion moment in </w:t>
      </w:r>
      <w:r w:rsidRPr="00D807C1">
        <w:rPr>
          <w:lang w:val="en-US"/>
        </w:rPr>
        <w:t>PC2</w:t>
      </w:r>
      <w:r w:rsidRPr="00D807C1">
        <w:rPr>
          <w:vertAlign w:val="subscript"/>
          <w:lang w:val="en-US"/>
        </w:rPr>
        <w:t>F</w:t>
      </w:r>
      <w:r w:rsidRPr="00B91F0B">
        <w:rPr>
          <w:lang w:val="en-US"/>
        </w:rPr>
        <w:t xml:space="preserve">. </w:t>
      </w:r>
      <w:r w:rsidRPr="004714FA">
        <w:rPr>
          <w:lang w:val="en-US"/>
        </w:rPr>
        <w:t xml:space="preserve">Therefore, </w:t>
      </w:r>
      <w:r>
        <w:rPr>
          <w:lang w:val="en-US"/>
        </w:rPr>
        <w:t>c</w:t>
      </w:r>
      <w:r w:rsidRPr="004714FA">
        <w:rPr>
          <w:lang w:val="en-US"/>
        </w:rPr>
        <w:t xml:space="preserve">luster 3 </w:t>
      </w:r>
      <w:r>
        <w:rPr>
          <w:lang w:val="en-US"/>
        </w:rPr>
        <w:t>did</w:t>
      </w:r>
      <w:r w:rsidRPr="004714FA">
        <w:rPr>
          <w:lang w:val="en-US"/>
        </w:rPr>
        <w:t xml:space="preserve"> not reflect a generalized reduction in hip contribution</w:t>
      </w:r>
      <w:r w:rsidR="00A76E34">
        <w:rPr>
          <w:lang w:val="en-US"/>
        </w:rPr>
        <w:t>; rather,</w:t>
      </w:r>
      <w:r>
        <w:rPr>
          <w:lang w:val="en-US"/>
        </w:rPr>
        <w:t xml:space="preserve"> </w:t>
      </w:r>
      <w:r w:rsidRPr="004714FA">
        <w:rPr>
          <w:lang w:val="en-US"/>
        </w:rPr>
        <w:t xml:space="preserve">it </w:t>
      </w:r>
      <w:r w:rsidR="00A76E34">
        <w:rPr>
          <w:lang w:val="en-US"/>
        </w:rPr>
        <w:t>wa</w:t>
      </w:r>
      <w:r w:rsidRPr="004714FA">
        <w:rPr>
          <w:lang w:val="en-US"/>
        </w:rPr>
        <w:t>s characterized by a redistribution of frontal-plane hip mechanics between limbs, with reduced hip adduction in the dominant limb and relatively greater hip adduction in the non-dominant limb. Additionally, the near-zero PC3</w:t>
      </w:r>
      <w:r w:rsidRPr="00D807C1">
        <w:rPr>
          <w:vertAlign w:val="subscript"/>
          <w:lang w:val="en-US"/>
        </w:rPr>
        <w:t>F</w:t>
      </w:r>
      <w:r w:rsidRPr="004714FA">
        <w:rPr>
          <w:lang w:val="en-US"/>
        </w:rPr>
        <w:t xml:space="preserve"> indicates minimal frontal-plane knee asymmetry.</w:t>
      </w:r>
      <w:r>
        <w:rPr>
          <w:lang w:val="en-US"/>
        </w:rPr>
        <w:t xml:space="preserve"> </w:t>
      </w:r>
      <w:r w:rsidR="00064D7A" w:rsidRPr="00064D7A">
        <w:rPr>
          <w:lang w:val="en-US"/>
        </w:rPr>
        <w:t>While cluster 3 did not show marked asymmetry in this plane</w:t>
      </w:r>
      <w:r w:rsidRPr="004714FA">
        <w:rPr>
          <w:lang w:val="en-US"/>
        </w:rPr>
        <w:t>, the reduced dominant hip contribution along the primary sagittal axis suggests a relatively greater reliance on the knee joint. From a mechanistic perspective, such a knee-driven strategy has been associated with increased ACL loading in certain task conditions</w:t>
      </w:r>
      <w:r w:rsidR="003A1BE4">
        <w:rPr>
          <w:lang w:val="en-US"/>
        </w:rPr>
        <w:fldChar w:fldCharType="begin"/>
      </w:r>
      <w:r w:rsidR="006F0364">
        <w:rPr>
          <w:lang w:val="en-US"/>
        </w:rPr>
        <w:instrText xml:space="preserve"> ADDIN ZOTERO_ITEM CSL_CITATION {"citationID":"YByBIcbk","properties":{"formattedCitation":"\\super 38\\nosupersub{}","plainCitation":"38","noteIndex":0},"citationItems":[{"id":770,"uris":["http://zotero.org/users/18623031/items/IZHDTKDQ"],"itemData":{"id":770,"type":"article-journal","abstract":"CONTEXT: Excessive quadriceps contraction with insufficient hamstrings muscle cocontraction has been shown to be a possible contributing factor for noncontact anterior cruciate ligament (ACL) injuries. Assessing the relationships among lower extremity internal moments may provide some insight into avoiding muscle contraction patterns that increase ACL injury risk.\nOBJECTIVE: To examine the relationships of knee-extensor moment with ankle plantar-flexor and hip-extensor moments and to examine the relationship between knee moment and center of pressure as a measure of neuromuscular response to center-of-mass position.\nDESIGN: Cross-sectional study.\nSETTING: Applied Neuromechanics Research Laboratory.\nPATIENTS OR OTHER PARTICIPANTS: Eighteen healthy, recreationally active women (age = 22.3 +/- 2.8 years, height = 162.5 +/- 8.1 cm, mass = 57.8 +/- 9.3 kg).\nINTERVENTION(S): Participants performed a single-leg landing from a 45-cm box onto a force plate. Kinetic and kinematic data were collected.\nMAIN OUTCOME MEASURE(S): Pearson product moment correlation coefficients were calculated among the net peak knee-extensor moment (KEMpk), sagittal-plane ankle (AM) and hip (HM) net internal moments, and anterior-posterior center of pressure relative to foot center of mass at KEMpk (COP).\nRESULTS: Lower KEMpk related to both greater AM (r = -0.942, P &lt; .001) and HM (r = -0.657, P = .003). We also found that more anterior displacement of COP was related to greater AM (r = -0.750, P &lt; .001) and lower KEMpk (r = 0.618, P = .006).\nCONCLUSIONS: Our results suggest that participants who lean the whole body forward during landing may produce more plantar-flexor moment and less knee-extensor moment, possibly increasing hip-extensor moment and decreasing knee-extensor moment production. These results suggest that leaning forward may be a technique to decrease quadriceps contraction demand while increasing hamstrings cocontraction demand during a single-leg landing.","container-title":"Journal of Athletic Training","DOI":"10.4085/1062-6050-44.1.33","ISSN":"1938-162X","issue":"1","journalAbbreviation":"J Athl Train","language":"eng","page":"33-38","PMID":"19180216","PMCID":"PMC2629037","source":"PubMed","title":"The relationships among sagittal-plane lower extremity moments: implications for landing strategy in anterior cruciate ligament injury prevention","title-short":"The relationships among sagittal-plane lower extremity moments","volume":"44","author":[{"family":"Shimokochi","given":"Yohei"},{"family":"Yong Lee","given":"Sae"},{"family":"Shultz","given":"Sandra J."},{"family":"Schmitz","given":"Randy J."}],"issued":{"date-parts":[["2009"]]}}}],"schema":"https://github.com/citation-style-language/schema/raw/master/csl-citation.json"} </w:instrText>
      </w:r>
      <w:r w:rsidR="003A1BE4">
        <w:rPr>
          <w:lang w:val="en-US"/>
        </w:rPr>
        <w:fldChar w:fldCharType="separate"/>
      </w:r>
      <w:r w:rsidR="006F0364" w:rsidRPr="006F0364">
        <w:rPr>
          <w:rFonts w:ascii="Aptos" w:hAnsi="Aptos" w:cs="Times New Roman"/>
          <w:kern w:val="0"/>
          <w:vertAlign w:val="superscript"/>
          <w:lang w:val="en-US"/>
        </w:rPr>
        <w:t>38</w:t>
      </w:r>
      <w:r w:rsidR="003A1BE4">
        <w:rPr>
          <w:lang w:val="en-US"/>
        </w:rPr>
        <w:fldChar w:fldCharType="end"/>
      </w:r>
      <w:r w:rsidRPr="004714FA">
        <w:rPr>
          <w:lang w:val="en-US"/>
        </w:rPr>
        <w:t>. However, in the absence of substantial frontal-plane knee loading, this pattern cannot be unequivocally interpreted as representing elevated ACL injury risk.</w:t>
      </w:r>
      <w:r w:rsidR="00A76E34">
        <w:rPr>
          <w:lang w:val="en-US"/>
        </w:rPr>
        <w:t xml:space="preserve"> </w:t>
      </w:r>
      <w:r w:rsidRPr="006B6D54">
        <w:rPr>
          <w:lang w:val="en-US"/>
        </w:rPr>
        <w:t>Finally, cluster 4 was defined by strongly positive PC1</w:t>
      </w:r>
      <w:r w:rsidRPr="006B6D54">
        <w:rPr>
          <w:vertAlign w:val="subscript"/>
          <w:lang w:val="en-US"/>
        </w:rPr>
        <w:t>F</w:t>
      </w:r>
      <w:r w:rsidRPr="006B6D54">
        <w:rPr>
          <w:lang w:val="en-US"/>
        </w:rPr>
        <w:t xml:space="preserve"> scores, with PC2</w:t>
      </w:r>
      <w:r w:rsidRPr="006B6D54">
        <w:rPr>
          <w:vertAlign w:val="subscript"/>
          <w:lang w:val="en-US"/>
        </w:rPr>
        <w:t>F</w:t>
      </w:r>
      <w:r w:rsidRPr="006B6D54">
        <w:rPr>
          <w:lang w:val="en-US"/>
        </w:rPr>
        <w:t xml:space="preserve"> and PC3</w:t>
      </w:r>
      <w:r w:rsidRPr="006B6D54">
        <w:rPr>
          <w:vertAlign w:val="subscript"/>
          <w:lang w:val="en-US"/>
        </w:rPr>
        <w:t>F</w:t>
      </w:r>
      <w:r w:rsidRPr="006B6D54">
        <w:rPr>
          <w:lang w:val="en-US"/>
        </w:rPr>
        <w:t xml:space="preserve"> values close to zero. This configuration reflects a clear hip-dominant sagittal strategy in the dominant limb,</w:t>
      </w:r>
      <w:r>
        <w:rPr>
          <w:lang w:val="en-US"/>
        </w:rPr>
        <w:t xml:space="preserve"> </w:t>
      </w:r>
      <w:r w:rsidRPr="006B6D54">
        <w:rPr>
          <w:lang w:val="en-US"/>
        </w:rPr>
        <w:t xml:space="preserve">characterized by </w:t>
      </w:r>
      <w:r w:rsidR="00A76E34">
        <w:rPr>
          <w:lang w:val="en-US"/>
        </w:rPr>
        <w:t xml:space="preserve">a </w:t>
      </w:r>
      <w:r w:rsidRPr="006B6D54">
        <w:rPr>
          <w:lang w:val="en-US"/>
        </w:rPr>
        <w:t>greater hip flexion moment contribution and reduced reliance</w:t>
      </w:r>
      <w:r w:rsidR="00A76E34">
        <w:rPr>
          <w:lang w:val="en-US"/>
        </w:rPr>
        <w:t xml:space="preserve"> on the knee</w:t>
      </w:r>
      <w:r w:rsidRPr="006B6D54">
        <w:rPr>
          <w:lang w:val="en-US"/>
        </w:rPr>
        <w:t xml:space="preserve">, with no marked frontal-plane asymmetry. </w:t>
      </w:r>
      <w:r w:rsidRPr="00007EC4">
        <w:rPr>
          <w:lang w:val="en-US"/>
        </w:rPr>
        <w:t>Among the four clusters, this pattern appears comparatively less consistent with biomechanical features typically associated with increased ACL loading.</w:t>
      </w:r>
      <w:r>
        <w:rPr>
          <w:lang w:val="en-US"/>
        </w:rPr>
        <w:t xml:space="preserve"> </w:t>
      </w:r>
      <w:r w:rsidRPr="00007EC4">
        <w:rPr>
          <w:lang w:val="en-US"/>
        </w:rPr>
        <w:t xml:space="preserve">Similar to </w:t>
      </w:r>
      <w:r>
        <w:rPr>
          <w:lang w:val="en-US"/>
        </w:rPr>
        <w:t>c</w:t>
      </w:r>
      <w:r w:rsidRPr="00007EC4">
        <w:rPr>
          <w:lang w:val="en-US"/>
        </w:rPr>
        <w:t xml:space="preserve">luster 2, </w:t>
      </w:r>
      <w:r>
        <w:rPr>
          <w:lang w:val="en-US"/>
        </w:rPr>
        <w:t>c</w:t>
      </w:r>
      <w:r w:rsidRPr="00007EC4">
        <w:rPr>
          <w:lang w:val="en-US"/>
        </w:rPr>
        <w:t xml:space="preserve">luster 4 included a large number of trials, indicating that this movement strategy was frequently observed in the </w:t>
      </w:r>
      <w:r>
        <w:rPr>
          <w:lang w:val="en-US"/>
        </w:rPr>
        <w:t>sample</w:t>
      </w:r>
      <w:r w:rsidRPr="00007EC4">
        <w:rPr>
          <w:lang w:val="en-US"/>
        </w:rPr>
        <w:t>.</w:t>
      </w:r>
      <w:r w:rsidR="00A76E34">
        <w:rPr>
          <w:lang w:val="en-US"/>
        </w:rPr>
        <w:t xml:space="preserve"> </w:t>
      </w:r>
      <w:r w:rsidRPr="00007EC4">
        <w:rPr>
          <w:lang w:val="en-US"/>
        </w:rPr>
        <w:t xml:space="preserve">Overall, only the two athletes classified within </w:t>
      </w:r>
      <w:r>
        <w:rPr>
          <w:lang w:val="en-US"/>
        </w:rPr>
        <w:t>c</w:t>
      </w:r>
      <w:r w:rsidRPr="00007EC4">
        <w:rPr>
          <w:lang w:val="en-US"/>
        </w:rPr>
        <w:t xml:space="preserve">luster 1 exhibited a movement pattern more consistent with biomechanical features associated with ACL </w:t>
      </w:r>
      <w:r>
        <w:rPr>
          <w:lang w:val="en-US"/>
        </w:rPr>
        <w:t>injury</w:t>
      </w:r>
      <w:r w:rsidRPr="00007EC4">
        <w:rPr>
          <w:lang w:val="en-US"/>
        </w:rPr>
        <w:t xml:space="preserve">, particularly due to the pronounced frontal-plane knee asymmetry. </w:t>
      </w:r>
      <w:r>
        <w:rPr>
          <w:lang w:val="en-US"/>
        </w:rPr>
        <w:t>Moreover, t</w:t>
      </w:r>
      <w:r w:rsidRPr="00007EC4">
        <w:rPr>
          <w:lang w:val="en-US"/>
        </w:rPr>
        <w:t xml:space="preserve">he two athletes belonging to </w:t>
      </w:r>
      <w:r>
        <w:rPr>
          <w:lang w:val="en-US"/>
        </w:rPr>
        <w:t>c</w:t>
      </w:r>
      <w:r w:rsidRPr="00007EC4">
        <w:rPr>
          <w:lang w:val="en-US"/>
        </w:rPr>
        <w:t xml:space="preserve">luster 3 demonstrated a pattern only partially </w:t>
      </w:r>
      <w:r w:rsidR="00A76E34">
        <w:rPr>
          <w:lang w:val="en-US"/>
        </w:rPr>
        <w:t xml:space="preserve">characterized by </w:t>
      </w:r>
      <w:r w:rsidR="00A76E34">
        <w:rPr>
          <w:lang w:val="en-US"/>
        </w:rPr>
        <w:lastRenderedPageBreak/>
        <w:t>an</w:t>
      </w:r>
      <w:r w:rsidR="00A76E34" w:rsidRPr="003F40B0">
        <w:rPr>
          <w:lang w:val="en-US"/>
        </w:rPr>
        <w:t xml:space="preserve"> </w:t>
      </w:r>
      <w:r w:rsidRPr="003F40B0">
        <w:rPr>
          <w:lang w:val="en-US"/>
        </w:rPr>
        <w:t xml:space="preserve">ACL-related risk </w:t>
      </w:r>
      <w:r w:rsidR="00A76E34">
        <w:rPr>
          <w:lang w:val="en-US"/>
        </w:rPr>
        <w:t>profile</w:t>
      </w:r>
      <w:r w:rsidRPr="00007EC4">
        <w:rPr>
          <w:lang w:val="en-US"/>
        </w:rPr>
        <w:t xml:space="preserve">, mainly reflecting </w:t>
      </w:r>
      <w:r w:rsidR="00A76E34">
        <w:rPr>
          <w:lang w:val="en-US"/>
        </w:rPr>
        <w:t xml:space="preserve">a </w:t>
      </w:r>
      <w:r w:rsidRPr="00007EC4">
        <w:rPr>
          <w:lang w:val="en-US"/>
        </w:rPr>
        <w:t xml:space="preserve">lower sagittal hip contribution with only mild frontal-plane asymmetry. </w:t>
      </w:r>
      <w:r w:rsidRPr="003F40B0">
        <w:rPr>
          <w:lang w:val="en-US"/>
        </w:rPr>
        <w:t xml:space="preserve">The majority of the sample was distributed across </w:t>
      </w:r>
      <w:r>
        <w:rPr>
          <w:lang w:val="en-US"/>
        </w:rPr>
        <w:t>c</w:t>
      </w:r>
      <w:r w:rsidRPr="003F40B0">
        <w:rPr>
          <w:lang w:val="en-US"/>
        </w:rPr>
        <w:t>lusters 2 and 4, which appeared mechanically less indicative of ACL injury–related patterns.</w:t>
      </w:r>
    </w:p>
    <w:p w14:paraId="7EC005B8" w14:textId="411299EC" w:rsidR="00485F77" w:rsidRDefault="00485F77" w:rsidP="00485F77">
      <w:pPr>
        <w:spacing w:line="360" w:lineRule="auto"/>
        <w:jc w:val="both"/>
        <w:rPr>
          <w:lang w:val="en-US"/>
        </w:rPr>
      </w:pPr>
      <w:r>
        <w:rPr>
          <w:lang w:val="en-US"/>
        </w:rPr>
        <w:t>Regarding</w:t>
      </w:r>
      <w:r w:rsidRPr="007C332B">
        <w:rPr>
          <w:lang w:val="en-US"/>
        </w:rPr>
        <w:t xml:space="preserve"> the analysis of bad trials, </w:t>
      </w:r>
      <w:r>
        <w:rPr>
          <w:lang w:val="en-US"/>
        </w:rPr>
        <w:t>two</w:t>
      </w:r>
      <w:r w:rsidRPr="007C332B">
        <w:rPr>
          <w:lang w:val="en-US"/>
        </w:rPr>
        <w:t xml:space="preserve"> clusters </w:t>
      </w:r>
      <w:r w:rsidR="00A76E34">
        <w:rPr>
          <w:lang w:val="en-US"/>
        </w:rPr>
        <w:t>were</w:t>
      </w:r>
      <w:r w:rsidRPr="007C332B">
        <w:rPr>
          <w:lang w:val="en-US"/>
        </w:rPr>
        <w:t xml:space="preserve"> identified</w:t>
      </w:r>
      <w:r>
        <w:rPr>
          <w:lang w:val="en-US"/>
        </w:rPr>
        <w:t xml:space="preserve">. </w:t>
      </w:r>
      <w:r w:rsidRPr="007C332B">
        <w:rPr>
          <w:lang w:val="en-US"/>
        </w:rPr>
        <w:t xml:space="preserve">However, the silhouette </w:t>
      </w:r>
      <w:r>
        <w:rPr>
          <w:lang w:val="en-US"/>
        </w:rPr>
        <w:t xml:space="preserve">value, </w:t>
      </w:r>
      <w:r w:rsidRPr="007C332B">
        <w:rPr>
          <w:lang w:val="en-US"/>
        </w:rPr>
        <w:t xml:space="preserve">used to assess the </w:t>
      </w:r>
      <w:r>
        <w:rPr>
          <w:lang w:val="en-US"/>
        </w:rPr>
        <w:t xml:space="preserve">clustering </w:t>
      </w:r>
      <w:r w:rsidRPr="007C332B">
        <w:rPr>
          <w:lang w:val="en-US"/>
        </w:rPr>
        <w:t>quality</w:t>
      </w:r>
      <w:r>
        <w:rPr>
          <w:lang w:val="en-US"/>
        </w:rPr>
        <w:t xml:space="preserve">, </w:t>
      </w:r>
      <w:r w:rsidRPr="007C332B">
        <w:rPr>
          <w:lang w:val="en-US"/>
        </w:rPr>
        <w:t xml:space="preserve">was low, suggesting </w:t>
      </w:r>
      <w:r>
        <w:rPr>
          <w:lang w:val="en-US"/>
        </w:rPr>
        <w:t>weak separation and possible</w:t>
      </w:r>
      <w:r w:rsidRPr="007C332B">
        <w:rPr>
          <w:lang w:val="en-US"/>
        </w:rPr>
        <w:t xml:space="preserve"> overlap between </w:t>
      </w:r>
      <w:r w:rsidR="00A76E34">
        <w:rPr>
          <w:lang w:val="en-US"/>
        </w:rPr>
        <w:t>them</w:t>
      </w:r>
      <w:r w:rsidRPr="007C332B">
        <w:rPr>
          <w:lang w:val="en-US"/>
        </w:rPr>
        <w:t>.</w:t>
      </w:r>
      <w:r w:rsidRPr="004E32DC">
        <w:rPr>
          <w:lang w:val="en-US"/>
        </w:rPr>
        <w:t xml:space="preserve"> </w:t>
      </w:r>
      <w:r w:rsidRPr="00E70E32">
        <w:rPr>
          <w:lang w:val="en-US"/>
        </w:rPr>
        <w:t xml:space="preserve">This finding </w:t>
      </w:r>
      <w:r w:rsidRPr="00B36EA5">
        <w:rPr>
          <w:lang w:val="en-US"/>
        </w:rPr>
        <w:t>could potentially be related to the nature of bad trials</w:t>
      </w:r>
      <w:r w:rsidRPr="00E70E32">
        <w:rPr>
          <w:lang w:val="en-US"/>
        </w:rPr>
        <w:t xml:space="preserve">: unlike failed trials, they are not the consequence of decision-making errors but rather of suboptimal </w:t>
      </w:r>
      <w:r w:rsidR="00A76E34">
        <w:rPr>
          <w:lang w:val="en-US"/>
        </w:rPr>
        <w:t xml:space="preserve">motor </w:t>
      </w:r>
      <w:r w:rsidRPr="00E70E32">
        <w:rPr>
          <w:lang w:val="en-US"/>
        </w:rPr>
        <w:t>execution of a jump performed in the correct direction.</w:t>
      </w:r>
      <w:r>
        <w:rPr>
          <w:lang w:val="en-US"/>
        </w:rPr>
        <w:t xml:space="preserve"> </w:t>
      </w:r>
      <w:r w:rsidRPr="004E32DC">
        <w:rPr>
          <w:lang w:val="en-US"/>
        </w:rPr>
        <w:t xml:space="preserve">Accordingly, it </w:t>
      </w:r>
      <w:r w:rsidR="00A76E34">
        <w:rPr>
          <w:lang w:val="en-US"/>
        </w:rPr>
        <w:t>seems</w:t>
      </w:r>
      <w:r w:rsidR="00A76E34" w:rsidRPr="004E32DC">
        <w:rPr>
          <w:lang w:val="en-US"/>
        </w:rPr>
        <w:t xml:space="preserve"> </w:t>
      </w:r>
      <w:r w:rsidRPr="004E32DC">
        <w:rPr>
          <w:lang w:val="en-US"/>
        </w:rPr>
        <w:t>reasonable that fewer and more homogeneous clusters</w:t>
      </w:r>
      <w:r>
        <w:rPr>
          <w:lang w:val="en-US"/>
        </w:rPr>
        <w:t xml:space="preserve"> of bad trials emerged</w:t>
      </w:r>
      <w:r w:rsidRPr="004E32DC">
        <w:rPr>
          <w:lang w:val="en-US"/>
        </w:rPr>
        <w:t>.</w:t>
      </w:r>
      <w:r w:rsidR="00A76E34">
        <w:rPr>
          <w:lang w:val="en-US"/>
        </w:rPr>
        <w:t xml:space="preserve"> </w:t>
      </w:r>
      <w:r>
        <w:rPr>
          <w:lang w:val="en-US"/>
        </w:rPr>
        <w:t xml:space="preserve">Only </w:t>
      </w:r>
      <w:r w:rsidRPr="007C332B">
        <w:rPr>
          <w:lang w:val="en-US"/>
        </w:rPr>
        <w:t>PC1</w:t>
      </w:r>
      <w:r w:rsidRPr="007C332B">
        <w:rPr>
          <w:vertAlign w:val="subscript"/>
          <w:lang w:val="en-US"/>
        </w:rPr>
        <w:t>B</w:t>
      </w:r>
      <w:r>
        <w:rPr>
          <w:lang w:val="en-US"/>
        </w:rPr>
        <w:t xml:space="preserve"> significantly contributed to clustering, but</w:t>
      </w:r>
      <w:r w:rsidRPr="007C332B">
        <w:rPr>
          <w:lang w:val="en-US"/>
        </w:rPr>
        <w:t xml:space="preserve"> the mean scores were small in magnitude</w:t>
      </w:r>
      <w:r>
        <w:rPr>
          <w:lang w:val="en-US"/>
        </w:rPr>
        <w:t xml:space="preserve"> in both clusters</w:t>
      </w:r>
      <w:r w:rsidRPr="007C332B">
        <w:rPr>
          <w:lang w:val="en-US"/>
        </w:rPr>
        <w:t>, with absolute values ranging between 1 and 2.</w:t>
      </w:r>
      <w:r>
        <w:rPr>
          <w:lang w:val="en-US"/>
        </w:rPr>
        <w:t xml:space="preserve"> </w:t>
      </w:r>
      <w:r w:rsidRPr="007C332B">
        <w:rPr>
          <w:lang w:val="en-US"/>
        </w:rPr>
        <w:t xml:space="preserve">Specifically, </w:t>
      </w:r>
      <w:r>
        <w:rPr>
          <w:lang w:val="en-US"/>
        </w:rPr>
        <w:t>c</w:t>
      </w:r>
      <w:r w:rsidRPr="007C332B">
        <w:rPr>
          <w:lang w:val="en-US"/>
        </w:rPr>
        <w:t xml:space="preserve">luster 1 was </w:t>
      </w:r>
      <w:r w:rsidR="00CA6E41" w:rsidRPr="00CA6E41">
        <w:rPr>
          <w:lang w:val="en-US"/>
        </w:rPr>
        <w:t xml:space="preserve">primarily </w:t>
      </w:r>
      <w:r w:rsidRPr="007C332B">
        <w:rPr>
          <w:lang w:val="en-US"/>
        </w:rPr>
        <w:t>characterized by a positive contribution of PC1</w:t>
      </w:r>
      <w:r w:rsidRPr="007C332B">
        <w:rPr>
          <w:vertAlign w:val="subscript"/>
          <w:lang w:val="en-US"/>
        </w:rPr>
        <w:t>B</w:t>
      </w:r>
      <w:r w:rsidRPr="007C332B">
        <w:rPr>
          <w:lang w:val="en-US"/>
        </w:rPr>
        <w:t xml:space="preserve">, </w:t>
      </w:r>
      <w:r>
        <w:rPr>
          <w:lang w:val="en-US"/>
        </w:rPr>
        <w:t>while</w:t>
      </w:r>
      <w:r w:rsidRPr="007C332B">
        <w:rPr>
          <w:lang w:val="en-US"/>
        </w:rPr>
        <w:t xml:space="preserve"> </w:t>
      </w:r>
      <w:r>
        <w:rPr>
          <w:lang w:val="en-US"/>
        </w:rPr>
        <w:t>c</w:t>
      </w:r>
      <w:r w:rsidRPr="007C332B">
        <w:rPr>
          <w:lang w:val="en-US"/>
        </w:rPr>
        <w:t>luster 2 showed a negative contribution.</w:t>
      </w:r>
      <w:r w:rsidR="00A76E34">
        <w:rPr>
          <w:lang w:val="en-US"/>
        </w:rPr>
        <w:t xml:space="preserve"> </w:t>
      </w:r>
      <w:r>
        <w:rPr>
          <w:lang w:val="en-US"/>
        </w:rPr>
        <w:t xml:space="preserve">Positive </w:t>
      </w:r>
      <w:r w:rsidRPr="00B64899">
        <w:rPr>
          <w:lang w:val="en-US"/>
        </w:rPr>
        <w:t>PC1</w:t>
      </w:r>
      <w:r w:rsidRPr="00B64899">
        <w:rPr>
          <w:vertAlign w:val="subscript"/>
          <w:lang w:val="en-US"/>
        </w:rPr>
        <w:t>B</w:t>
      </w:r>
      <w:r w:rsidRPr="00B64899">
        <w:rPr>
          <w:lang w:val="en-US"/>
        </w:rPr>
        <w:t xml:space="preserve"> </w:t>
      </w:r>
      <w:r>
        <w:rPr>
          <w:lang w:val="en-US"/>
        </w:rPr>
        <w:t>scores implied reduced dominant knee abduction angle and moment</w:t>
      </w:r>
      <w:r w:rsidR="00A76E34">
        <w:rPr>
          <w:lang w:val="en-US"/>
        </w:rPr>
        <w:t>,</w:t>
      </w:r>
      <w:r>
        <w:rPr>
          <w:lang w:val="en-US"/>
        </w:rPr>
        <w:t xml:space="preserve"> and increased dominant and non-dominant hip flexion moments. </w:t>
      </w:r>
      <w:r w:rsidRPr="00B4161A">
        <w:rPr>
          <w:lang w:val="en-US"/>
        </w:rPr>
        <w:t xml:space="preserve">This strategy may be relatively more protective for ACL integrity, as it is characterized by reduced medial knee displacement and frontal-plane knee loading, </w:t>
      </w:r>
      <w:r>
        <w:rPr>
          <w:lang w:val="en-US"/>
        </w:rPr>
        <w:t>combined with</w:t>
      </w:r>
      <w:r w:rsidRPr="00B4161A">
        <w:rPr>
          <w:lang w:val="en-US"/>
        </w:rPr>
        <w:t xml:space="preserve"> greater sagittal-plane hip contribution</w:t>
      </w:r>
      <w:r>
        <w:rPr>
          <w:lang w:val="en-US"/>
        </w:rPr>
        <w:t>, which</w:t>
      </w:r>
      <w:r w:rsidRPr="00B4161A">
        <w:rPr>
          <w:lang w:val="en-US"/>
        </w:rPr>
        <w:t xml:space="preserve"> may enhanc</w:t>
      </w:r>
      <w:r>
        <w:rPr>
          <w:lang w:val="en-US"/>
        </w:rPr>
        <w:t>e</w:t>
      </w:r>
      <w:r w:rsidRPr="00B4161A">
        <w:rPr>
          <w:lang w:val="en-US"/>
        </w:rPr>
        <w:t xml:space="preserve"> load absorption at the hi</w:t>
      </w:r>
      <w:r>
        <w:rPr>
          <w:lang w:val="en-US"/>
        </w:rPr>
        <w:t>p while</w:t>
      </w:r>
      <w:r w:rsidRPr="00B4161A">
        <w:rPr>
          <w:lang w:val="en-US"/>
        </w:rPr>
        <w:t xml:space="preserve"> attenuat</w:t>
      </w:r>
      <w:r>
        <w:rPr>
          <w:lang w:val="en-US"/>
        </w:rPr>
        <w:t>ing</w:t>
      </w:r>
      <w:r w:rsidRPr="00B4161A">
        <w:rPr>
          <w:lang w:val="en-US"/>
        </w:rPr>
        <w:t xml:space="preserve"> mechanical demand at the knee</w:t>
      </w:r>
      <w:r w:rsidR="003A1BE4">
        <w:rPr>
          <w:lang w:val="en-US"/>
        </w:rPr>
        <w:fldChar w:fldCharType="begin"/>
      </w:r>
      <w:r w:rsidR="006F0364">
        <w:rPr>
          <w:lang w:val="en-US"/>
        </w:rPr>
        <w:instrText xml:space="preserve"> ADDIN ZOTERO_ITEM CSL_CITATION {"citationID":"BsmNG25u","properties":{"formattedCitation":"\\super 3,38\\nosupersub{}","plainCitation":"3,38","noteIndex":0},"citationItems":[{"id":307,"uris":["http://zotero.org/users/18623031/items/I9QM2UW5"],"itemData":{"id":307,"type":"article-journal","abstract":"This review identifies the three-dimensional knee loads that have the highest risk of injuring the anterior cruciate ligament (ACL) in the athlete. It is the combination of the muscular resistance to a large knee flexion moment, an external reaction force generating knee compression, an internal tibial torque, and a knee abduction moment during a single-leg athletic manoeuvre such as landing from a jump, abruptly changing direction, or rapidly decelerating that results in the greatest ACL loads. While there is consensus that an anterior tibial shear force is the primary ACL loading mechanism, controversy exists regarding the secondary order of importance of transverse-plane and frontal-plane loading in ACL injury scenarios. Large knee compression forces combined with a posteriorly and inferiorly sloped tibial plateau, especially the lateral plateau-an important ACL injury risk factor-causes anterior tibial translation and internal tibial rotation, which increases ACL loading. Furthermore, while the ACL can fail under a single supramaximal loading cycle, recent evidence shows that it can also fail following repeated submaximal loading cycles due to microdamage accumulating in the ligament with each cycle. This challenges the existing dogma that non-contact ACL injuries are predominantly due to a single manoeuvre that catastrophically overloads the ACL.","container-title":"Sports biomechanics","DOI":"10.1080/14763141.2021.1916578","ISSN":"1752-6116","issue":"1","page":"1-29","PMID":"33957846","title":"Loading mechanisms of the anterior cruciate ligament.","volume":"22","author":[{"family":"Beaulieu","given":"Mélanie L."},{"family":"Ashton-Miller","given":"James A."},{"family":"Wojtys","given":"Edward M."}],"issued":{"date-parts":[["2023",1]]}}},{"id":770,"uris":["http://zotero.org/users/18623031/items/IZHDTKDQ"],"itemData":{"id":770,"type":"article-journal","abstract":"CONTEXT: Excessive quadriceps contraction with insufficient hamstrings muscle cocontraction has been shown to be a possible contributing factor for noncontact anterior cruciate ligament (ACL) injuries. Assessing the relationships among lower extremity internal moments may provide some insight into avoiding muscle contraction patterns that increase ACL injury risk.\nOBJECTIVE: To examine the relationships of knee-extensor moment with ankle plantar-flexor and hip-extensor moments and to examine the relationship between knee moment and center of pressure as a measure of neuromuscular response to center-of-mass position.\nDESIGN: Cross-sectional study.\nSETTING: Applied Neuromechanics Research Laboratory.\nPATIENTS OR OTHER PARTICIPANTS: Eighteen healthy, recreationally active women (age = 22.3 +/- 2.8 years, height = 162.5 +/- 8.1 cm, mass = 57.8 +/- 9.3 kg).\nINTERVENTION(S): Participants performed a single-leg landing from a 45-cm box onto a force plate. Kinetic and kinematic data were collected.\nMAIN OUTCOME MEASURE(S): Pearson product moment correlation coefficients were calculated among the net peak knee-extensor moment (KEMpk), sagittal-plane ankle (AM) and hip (HM) net internal moments, and anterior-posterior center of pressure relative to foot center of mass at KEMpk (COP).\nRESULTS: Lower KEMpk related to both greater AM (r = -0.942, P &lt; .001) and HM (r = -0.657, P = .003). We also found that more anterior displacement of COP was related to greater AM (r = -0.750, P &lt; .001) and lower KEMpk (r = 0.618, P = .006).\nCONCLUSIONS: Our results suggest that participants who lean the whole body forward during landing may produce more plantar-flexor moment and less knee-extensor moment, possibly increasing hip-extensor moment and decreasing knee-extensor moment production. These results suggest that leaning forward may be a technique to decrease quadriceps contraction demand while increasing hamstrings cocontraction demand during a single-leg landing.","container-title":"Journal of Athletic Training","DOI":"10.4085/1062-6050-44.1.33","ISSN":"1938-162X","issue":"1","journalAbbreviation":"J Athl Train","language":"eng","page":"33-38","PMID":"19180216","PMCID":"PMC2629037","source":"PubMed","title":"The relationships among sagittal-plane lower extremity moments: implications for landing strategy in anterior cruciate ligament injury prevention","title-short":"The relationships among sagittal-plane lower extremity moments","volume":"44","author":[{"family":"Shimokochi","given":"Yohei"},{"family":"Yong Lee","given":"Sae"},{"family":"Shultz","given":"Sandra J."},{"family":"Schmitz","given":"Randy J."}],"issued":{"date-parts":[["2009"]]}}}],"schema":"https://github.com/citation-style-language/schema/raw/master/csl-citation.json"} </w:instrText>
      </w:r>
      <w:r w:rsidR="003A1BE4">
        <w:rPr>
          <w:lang w:val="en-US"/>
        </w:rPr>
        <w:fldChar w:fldCharType="separate"/>
      </w:r>
      <w:r w:rsidR="006F0364" w:rsidRPr="006F0364">
        <w:rPr>
          <w:rFonts w:ascii="Aptos" w:hAnsi="Aptos" w:cs="Times New Roman"/>
          <w:kern w:val="0"/>
          <w:vertAlign w:val="superscript"/>
          <w:lang w:val="en-US"/>
        </w:rPr>
        <w:t>3,38</w:t>
      </w:r>
      <w:r w:rsidR="003A1BE4">
        <w:rPr>
          <w:lang w:val="en-US"/>
        </w:rPr>
        <w:fldChar w:fldCharType="end"/>
      </w:r>
      <w:r w:rsidRPr="00B4161A">
        <w:rPr>
          <w:lang w:val="en-US"/>
        </w:rPr>
        <w:t>.</w:t>
      </w:r>
      <w:r>
        <w:rPr>
          <w:lang w:val="en-US"/>
        </w:rPr>
        <w:t xml:space="preserve"> </w:t>
      </w:r>
      <w:r w:rsidRPr="00B4161A">
        <w:rPr>
          <w:lang w:val="en-US"/>
        </w:rPr>
        <w:t xml:space="preserve">Consequently, </w:t>
      </w:r>
      <w:r>
        <w:rPr>
          <w:lang w:val="en-US"/>
        </w:rPr>
        <w:t>the movement pattern features of c</w:t>
      </w:r>
      <w:r w:rsidRPr="00B4161A">
        <w:rPr>
          <w:lang w:val="en-US"/>
        </w:rPr>
        <w:t>luster 2</w:t>
      </w:r>
      <w:r>
        <w:rPr>
          <w:lang w:val="en-US"/>
        </w:rPr>
        <w:t>, which is c</w:t>
      </w:r>
      <w:r w:rsidRPr="00B4161A">
        <w:rPr>
          <w:lang w:val="en-US"/>
        </w:rPr>
        <w:t>haracterized by negative PC1</w:t>
      </w:r>
      <w:r w:rsidRPr="00B4161A">
        <w:rPr>
          <w:vertAlign w:val="subscript"/>
          <w:lang w:val="en-US"/>
        </w:rPr>
        <w:t>B</w:t>
      </w:r>
      <w:r w:rsidRPr="00B4161A">
        <w:rPr>
          <w:lang w:val="en-US"/>
        </w:rPr>
        <w:t xml:space="preserve"> scores</w:t>
      </w:r>
      <w:r>
        <w:rPr>
          <w:lang w:val="en-US"/>
        </w:rPr>
        <w:t xml:space="preserve">, could be </w:t>
      </w:r>
      <w:r w:rsidRPr="00B4161A">
        <w:rPr>
          <w:lang w:val="en-US"/>
        </w:rPr>
        <w:t>more commonly associated with increased ACL</w:t>
      </w:r>
      <w:r>
        <w:rPr>
          <w:lang w:val="en-US"/>
        </w:rPr>
        <w:t xml:space="preserve"> injury risk</w:t>
      </w:r>
      <w:r w:rsidR="00AA1641">
        <w:rPr>
          <w:lang w:val="en-US"/>
        </w:rPr>
        <w:fldChar w:fldCharType="begin"/>
      </w:r>
      <w:r w:rsidR="006F0364">
        <w:rPr>
          <w:lang w:val="en-US"/>
        </w:rPr>
        <w:instrText xml:space="preserve"> ADDIN ZOTERO_ITEM CSL_CITATION {"citationID":"3ll8V1xm","properties":{"formattedCitation":"\\super 3\\nosupersub{}","plainCitation":"3","noteIndex":0},"citationItems":[{"id":307,"uris":["http://zotero.org/users/18623031/items/I9QM2UW5"],"itemData":{"id":307,"type":"article-journal","abstract":"This review identifies the three-dimensional knee loads that have the highest risk of injuring the anterior cruciate ligament (ACL) in the athlete. It is the combination of the muscular resistance to a large knee flexion moment, an external reaction force generating knee compression, an internal tibial torque, and a knee abduction moment during a single-leg athletic manoeuvre such as landing from a jump, abruptly changing direction, or rapidly decelerating that results in the greatest ACL loads. While there is consensus that an anterior tibial shear force is the primary ACL loading mechanism, controversy exists regarding the secondary order of importance of transverse-plane and frontal-plane loading in ACL injury scenarios. Large knee compression forces combined with a posteriorly and inferiorly sloped tibial plateau, especially the lateral plateau-an important ACL injury risk factor-causes anterior tibial translation and internal tibial rotation, which increases ACL loading. Furthermore, while the ACL can fail under a single supramaximal loading cycle, recent evidence shows that it can also fail following repeated submaximal loading cycles due to microdamage accumulating in the ligament with each cycle. This challenges the existing dogma that non-contact ACL injuries are predominantly due to a single manoeuvre that catastrophically overloads the ACL.","container-title":"Sports biomechanics","DOI":"10.1080/14763141.2021.1916578","ISSN":"1752-6116","issue":"1","page":"1-29","PMID":"33957846","title":"Loading mechanisms of the anterior cruciate ligament.","volume":"22","author":[{"family":"Beaulieu","given":"Mélanie L."},{"family":"Ashton-Miller","given":"James A."},{"family":"Wojtys","given":"Edward M."}],"issued":{"date-parts":[["2023",1]]}}}],"schema":"https://github.com/citation-style-language/schema/raw/master/csl-citation.json"} </w:instrText>
      </w:r>
      <w:r w:rsidR="00AA1641">
        <w:rPr>
          <w:lang w:val="en-US"/>
        </w:rPr>
        <w:fldChar w:fldCharType="separate"/>
      </w:r>
      <w:r w:rsidR="006F0364" w:rsidRPr="006F0364">
        <w:rPr>
          <w:rFonts w:ascii="Aptos" w:hAnsi="Aptos" w:cs="Times New Roman"/>
          <w:kern w:val="0"/>
          <w:vertAlign w:val="superscript"/>
          <w:lang w:val="en-US"/>
        </w:rPr>
        <w:t>3</w:t>
      </w:r>
      <w:r w:rsidR="00AA1641">
        <w:rPr>
          <w:lang w:val="en-US"/>
        </w:rPr>
        <w:fldChar w:fldCharType="end"/>
      </w:r>
      <w:r w:rsidRPr="00B4161A">
        <w:rPr>
          <w:lang w:val="en-US"/>
        </w:rPr>
        <w:t>.</w:t>
      </w:r>
    </w:p>
    <w:p w14:paraId="36A813D2" w14:textId="56F63DC7" w:rsidR="00A8585F" w:rsidRDefault="00841356" w:rsidP="00485F77">
      <w:pPr>
        <w:spacing w:line="360" w:lineRule="auto"/>
        <w:jc w:val="both"/>
        <w:rPr>
          <w:lang w:val="en-US"/>
        </w:rPr>
      </w:pPr>
      <w:r w:rsidRPr="00841356">
        <w:rPr>
          <w:lang w:val="en-US"/>
        </w:rPr>
        <w:t>Although analyzing unsuccessful trials can already be considered a significant novel approach with respect to taking into consideration only valid trials, potentially concealing cognitive-motor deficiencies, as in the vast majority of the literature pertaining to injury-related biomechanical testing, we believe that further discriminating and comparing distinct types of error may help in expanding this potential dimension of the injury risk.</w:t>
      </w:r>
      <w:r>
        <w:rPr>
          <w:lang w:val="en-US"/>
        </w:rPr>
        <w:t xml:space="preserve"> </w:t>
      </w:r>
      <w:r w:rsidR="00A8585F" w:rsidRPr="0044163F">
        <w:rPr>
          <w:lang w:val="en-US"/>
        </w:rPr>
        <w:t xml:space="preserve">Failed trials, which originate from </w:t>
      </w:r>
      <w:r w:rsidR="00A76E34">
        <w:rPr>
          <w:lang w:val="en-US"/>
        </w:rPr>
        <w:t xml:space="preserve">cognitive </w:t>
      </w:r>
      <w:r w:rsidR="00A8585F" w:rsidRPr="0044163F">
        <w:rPr>
          <w:lang w:val="en-US"/>
        </w:rPr>
        <w:t xml:space="preserve">decision-making errors under unanticipated conditions, were associated with a broader spectrum of motor strategies and, in some cases, with more pronounced frontal-plane deviations. In contrast, bad trials, reflecting suboptimal </w:t>
      </w:r>
      <w:r w:rsidR="00A76E34">
        <w:rPr>
          <w:lang w:val="en-US"/>
        </w:rPr>
        <w:t xml:space="preserve">motor </w:t>
      </w:r>
      <w:r w:rsidR="00A8585F" w:rsidRPr="0044163F">
        <w:rPr>
          <w:lang w:val="en-US"/>
        </w:rPr>
        <w:t xml:space="preserve">execution despite correct decision-making, </w:t>
      </w:r>
      <w:r w:rsidR="00A76E34" w:rsidRPr="0044163F">
        <w:rPr>
          <w:lang w:val="en-US"/>
        </w:rPr>
        <w:t>exhibited</w:t>
      </w:r>
      <w:r w:rsidR="00A8585F" w:rsidRPr="0044163F">
        <w:rPr>
          <w:lang w:val="en-US"/>
        </w:rPr>
        <w:t xml:space="preserve"> more homogeneous and less distinctive biomechanical patterns. This distinction suggests that the underlying origin of the error</w:t>
      </w:r>
      <w:r w:rsidR="0044163F">
        <w:rPr>
          <w:lang w:val="en-US"/>
        </w:rPr>
        <w:t xml:space="preserve"> (</w:t>
      </w:r>
      <w:r w:rsidR="00A8585F" w:rsidRPr="0044163F">
        <w:rPr>
          <w:lang w:val="en-US"/>
        </w:rPr>
        <w:t xml:space="preserve">cognitive </w:t>
      </w:r>
      <w:r w:rsidR="0044163F">
        <w:rPr>
          <w:lang w:val="en-US"/>
        </w:rPr>
        <w:t>or</w:t>
      </w:r>
      <w:r w:rsidR="00A8585F" w:rsidRPr="0044163F">
        <w:rPr>
          <w:lang w:val="en-US"/>
        </w:rPr>
        <w:t xml:space="preserve"> motor</w:t>
      </w:r>
      <w:r w:rsidR="0044163F">
        <w:rPr>
          <w:lang w:val="en-US"/>
        </w:rPr>
        <w:t xml:space="preserve">) </w:t>
      </w:r>
      <w:r w:rsidR="00A8585F" w:rsidRPr="0044163F">
        <w:rPr>
          <w:lang w:val="en-US"/>
        </w:rPr>
        <w:t>may differentially influence the resulting joint loading strategies. The analysis of invalid trials, especially those arising from decision-making errors, may provide additional insight</w:t>
      </w:r>
      <w:r w:rsidR="003C696B">
        <w:rPr>
          <w:lang w:val="en-US"/>
        </w:rPr>
        <w:t>s</w:t>
      </w:r>
      <w:r w:rsidR="00A8585F" w:rsidRPr="0044163F">
        <w:rPr>
          <w:lang w:val="en-US"/>
        </w:rPr>
        <w:t xml:space="preserve"> into latent movement tendencies that remain compensated during successful task execution. Under cognitively demanding and time-constrained conditions, some athletes may be less able to maintain optimal </w:t>
      </w:r>
      <w:r w:rsidR="00A76E34">
        <w:rPr>
          <w:lang w:val="en-US"/>
        </w:rPr>
        <w:t>movement</w:t>
      </w:r>
      <w:r w:rsidR="00A76E34" w:rsidRPr="0044163F">
        <w:rPr>
          <w:lang w:val="en-US"/>
        </w:rPr>
        <w:t xml:space="preserve"> </w:t>
      </w:r>
      <w:r w:rsidR="00A8585F" w:rsidRPr="0044163F">
        <w:rPr>
          <w:lang w:val="en-US"/>
        </w:rPr>
        <w:t>coordination, thereby revealing underlying movement strategies that are not evident in anticipated or successfully completed trials</w:t>
      </w:r>
      <w:r w:rsidR="003A1BE4">
        <w:rPr>
          <w:lang w:val="en-US"/>
        </w:rPr>
        <w:fldChar w:fldCharType="begin"/>
      </w:r>
      <w:r w:rsidR="006F0364">
        <w:rPr>
          <w:lang w:val="en-US"/>
        </w:rPr>
        <w:instrText xml:space="preserve"> ADDIN ZOTERO_ITEM CSL_CITATION {"citationID":"cs4MsB2W","properties":{"formattedCitation":"\\super 20\\nosupersub{}","plainCitation":"20","noteIndex":0},"citationItems":[{"id":235,"uris":["http://zotero.org/users/18623031/items/EZJC4XTW"],"itemData":{"id":235,"type":"article-journal","abstract":"The purpose of this study was to describe neuromuscular and kinematic differences during failed and successful drop-vertical jumps in a pediatric population. Healthy young athletes (n = 32) completed single-leg drop vertical jump landings where the required landing leg was unanticipated. Trials were categorized as failed if the participant shifted their base of support during the landing. Joint kinematics and muscle activation amplitudes were time normalized over the flight and landing phases. Statistical parametric mapping (SPM) was used to compare landings and a moving average convergence divergence oscillator was then calculated to determine where failed and successful waveforms began to diverge prior to reaching statistical significance. SPM determined that participants performed the failed trials with reduced pelvic tilt towards the landing limb during 41-69% of the flight phase, greater trunk flexion angle during 31-100% of the landing phase and greater trunk tilt away from the landing limb during 3-13% and 21-90% of the landing phase. Greater rectus femoris activation during the failed trials was identified during 88-100% of the flight phase, as well as 1-4% and 71-97% of the landing phase. Greater gluteus medius and biceps femoris activation was also identified in the failed trials during 54-72% and 76-89% of the landing phase respectively. These findings indicate that the control of proximal joints has an important role in determining if a participant will fail a landing; and that how athletes prepare for a landing may be more relevant than the kinematics following ground contact.","container-title":"Journal of biomechanics","DOI":"10.1016/j.jbiomech.2020.109879","ISSN":"1873-2380","page":"109879","PMID":"32807323","title":"Divergence analysis of failed and successful unanticipated single-leg landings reveals the importance of the flight phase and upper body biomechanics.","volume":"109","author":[{"family":"Romanchuk","given":"Nicholas J."},{"family":"Smale","given":"Kenneth B."},{"family":"Bel","given":"Michael J. Del"},{"family":"Benoit","given":"Daniel L."}],"issued":{"date-parts":[["2020",10]]}}}],"schema":"https://github.com/citation-style-language/schema/raw/master/csl-citation.json"} </w:instrText>
      </w:r>
      <w:r w:rsidR="003A1BE4">
        <w:rPr>
          <w:lang w:val="en-US"/>
        </w:rPr>
        <w:fldChar w:fldCharType="separate"/>
      </w:r>
      <w:r w:rsidR="006F0364" w:rsidRPr="006F0364">
        <w:rPr>
          <w:rFonts w:ascii="Aptos" w:hAnsi="Aptos" w:cs="Times New Roman"/>
          <w:kern w:val="0"/>
          <w:vertAlign w:val="superscript"/>
          <w:lang w:val="en-US"/>
        </w:rPr>
        <w:t>20</w:t>
      </w:r>
      <w:r w:rsidR="003A1BE4">
        <w:rPr>
          <w:lang w:val="en-US"/>
        </w:rPr>
        <w:fldChar w:fldCharType="end"/>
      </w:r>
      <w:r w:rsidR="0044163F">
        <w:rPr>
          <w:lang w:val="en-US"/>
        </w:rPr>
        <w:t>.</w:t>
      </w:r>
      <w:r w:rsidR="00A8585F" w:rsidRPr="0044163F">
        <w:rPr>
          <w:lang w:val="en-US"/>
        </w:rPr>
        <w:t xml:space="preserve"> From this perspective, invalid trials may function as a form of </w:t>
      </w:r>
      <w:r w:rsidR="00741970">
        <w:rPr>
          <w:lang w:val="en-US"/>
        </w:rPr>
        <w:t>cognitive-</w:t>
      </w:r>
      <w:r w:rsidR="00A8585F" w:rsidRPr="0044163F">
        <w:rPr>
          <w:lang w:val="en-US"/>
        </w:rPr>
        <w:t xml:space="preserve">motor “stress test” </w:t>
      </w:r>
      <w:r w:rsidR="00A76E34">
        <w:rPr>
          <w:lang w:val="en-US"/>
        </w:rPr>
        <w:t>that challenges</w:t>
      </w:r>
      <w:r w:rsidR="00A8585F" w:rsidRPr="0044163F">
        <w:rPr>
          <w:lang w:val="en-US"/>
        </w:rPr>
        <w:t xml:space="preserve"> the </w:t>
      </w:r>
      <w:r w:rsidR="00741970">
        <w:rPr>
          <w:lang w:val="en-US"/>
        </w:rPr>
        <w:t>efficiency</w:t>
      </w:r>
      <w:r w:rsidR="00741970" w:rsidRPr="0044163F">
        <w:rPr>
          <w:lang w:val="en-US"/>
        </w:rPr>
        <w:t xml:space="preserve"> </w:t>
      </w:r>
      <w:r w:rsidR="00A8585F" w:rsidRPr="0044163F">
        <w:rPr>
          <w:lang w:val="en-US"/>
        </w:rPr>
        <w:t>of neuromuscular control</w:t>
      </w:r>
      <w:r w:rsidR="00741970">
        <w:rPr>
          <w:lang w:val="en-US"/>
        </w:rPr>
        <w:t xml:space="preserve"> and motor planning</w:t>
      </w:r>
      <w:r w:rsidR="00A8585F" w:rsidRPr="0044163F">
        <w:rPr>
          <w:lang w:val="en-US"/>
        </w:rPr>
        <w:t xml:space="preserve">. </w:t>
      </w:r>
      <w:r w:rsidR="00A8585F" w:rsidRPr="00F12F01">
        <w:rPr>
          <w:lang w:val="en-US"/>
        </w:rPr>
        <w:t xml:space="preserve">Conversely, bad trials were characterized by fewer and less clearly separated clusters, with </w:t>
      </w:r>
      <w:r w:rsidR="00A8585F" w:rsidRPr="00F12F01">
        <w:rPr>
          <w:lang w:val="en-US"/>
        </w:rPr>
        <w:lastRenderedPageBreak/>
        <w:t xml:space="preserve">relatively small principal component scores. This suggests that suboptimal motor performance in the absence of decision-making errors may involve </w:t>
      </w:r>
      <w:r w:rsidR="00F12F01">
        <w:rPr>
          <w:lang w:val="en-US"/>
        </w:rPr>
        <w:t>less marked</w:t>
      </w:r>
      <w:r w:rsidR="00A8585F" w:rsidRPr="00F12F01">
        <w:rPr>
          <w:lang w:val="en-US"/>
        </w:rPr>
        <w:t xml:space="preserve"> deviations from the </w:t>
      </w:r>
      <w:r w:rsidR="00F12F01">
        <w:rPr>
          <w:lang w:val="en-US"/>
        </w:rPr>
        <w:t>optimal</w:t>
      </w:r>
      <w:r w:rsidR="00A8585F" w:rsidRPr="00F12F01">
        <w:rPr>
          <w:lang w:val="en-US"/>
        </w:rPr>
        <w:t xml:space="preserve"> pattern. The limited cluster distinctiveness and lower silhouette values further indicate that these trials likely reflect minor adjustments rather than qualitatively different movement strategies.</w:t>
      </w:r>
    </w:p>
    <w:p w14:paraId="005B25F9" w14:textId="6A7C0ECA" w:rsidR="00485F77" w:rsidRPr="00327B8A" w:rsidRDefault="00255D56" w:rsidP="00327B8A">
      <w:pPr>
        <w:spacing w:line="360" w:lineRule="auto"/>
        <w:jc w:val="both"/>
        <w:rPr>
          <w:lang w:val="en-US"/>
        </w:rPr>
      </w:pPr>
      <w:r w:rsidRPr="00AA1641">
        <w:rPr>
          <w:lang w:val="en-US"/>
        </w:rPr>
        <w:t xml:space="preserve">Considering the study methodology, </w:t>
      </w:r>
      <w:r w:rsidRPr="00255D56">
        <w:rPr>
          <w:lang w:val="en-US"/>
        </w:rPr>
        <w:t>i</w:t>
      </w:r>
      <w:r w:rsidR="00990A5B" w:rsidRPr="00255D56">
        <w:rPr>
          <w:lang w:val="en-US"/>
        </w:rPr>
        <w:t>t is worth noting</w:t>
      </w:r>
      <w:r w:rsidR="00990A5B" w:rsidRPr="00990A5B">
        <w:rPr>
          <w:lang w:val="en-US"/>
        </w:rPr>
        <w:t xml:space="preserve"> that</w:t>
      </w:r>
      <w:r w:rsidR="00990A5B">
        <w:rPr>
          <w:lang w:val="en-US"/>
        </w:rPr>
        <w:t xml:space="preserve"> i</w:t>
      </w:r>
      <w:r w:rsidR="00327B8A" w:rsidRPr="00327B8A">
        <w:rPr>
          <w:lang w:val="en-US"/>
        </w:rPr>
        <w:t xml:space="preserve">f the aim is to analyze </w:t>
      </w:r>
      <w:r w:rsidR="00990A5B">
        <w:rPr>
          <w:lang w:val="en-US"/>
        </w:rPr>
        <w:t>unsuccessful</w:t>
      </w:r>
      <w:r w:rsidR="00327B8A" w:rsidRPr="00327B8A">
        <w:rPr>
          <w:lang w:val="en-US"/>
        </w:rPr>
        <w:t xml:space="preserve"> jump executions, the inclusion of unanticipated testing conditions appears necessary, as they are known to increase the likelihood of motor errors</w:t>
      </w:r>
      <w:r w:rsidR="009A7964">
        <w:rPr>
          <w:lang w:val="en-US"/>
        </w:rPr>
        <w:fldChar w:fldCharType="begin"/>
      </w:r>
      <w:r w:rsidR="006F0364">
        <w:rPr>
          <w:lang w:val="en-US"/>
        </w:rPr>
        <w:instrText xml:space="preserve"> ADDIN ZOTERO_ITEM CSL_CITATION {"citationID":"BBAN5ct8","properties":{"formattedCitation":"\\super 18\\nosupersub{}","plainCitation":"18","noteIndex":0},"citationItems":[{"id":588,"uris":["http://zotero.org/users/18623031/items/SUIITR3P"],"itemData":{"id":588,"type":"article-journal","abstract":"Objectives: Cognitive skills such as working memory or inhibitory control are suggested to have an impact on injury risk during time-constrained athletic movements. Thus, the aim of this study was to gain further insights into the cognitive processes associated with biomechanical stability in unplanned jump-landings. Design: Cross-sectional.\nMethods: Twenty male participants (27 ± 4 years) performed 70 counter-movement jumps with single-leg landings on a pressure plate. Equally balanced and in randomized order, these were to be performed either planned (landing leg indicated before take-off) or unplanned (visual cue during ﬂight). Biomechanical stability was estimated from vertical peak ground reaction force (pGRF), time to stabilization (TTS), center of pressure path length (COP), and the number of standing errors (ground touch with free leg). In addition, decision-making was assessed as the amount of landing errors (wrong/both feet) in the unplanned condition. Cognitiive function was measured using computerized as well as pen-and-paper-testing.\nResults: Unplanned landings produced higher COP values (p &lt; 0.001, d = 1.1) and more standing errors (p &lt; 0.001, d = 0.9) than the pre-planned condition. Decreased postural stability (COP) was related to lower inhibitory control (p = 0.036, r = 0.48). There was a correlation between the increase in standing errors and better cognitive ﬂexibility/working memory (p = 0.037, r = −0.48) and short-term memory (p = 0.028, r = 0.50). The opposite was found for the unplanned landing errors: poor decision-making was associated with deﬁcits in cognitive ﬂexibility/working memory (p = 0.022, r = 0.54) and short-term memory (p = 0.019, r = −0.55).\nConclusions: Cognitive function may be an important, but under-researched moderator of unplanned jump-landing safety. Further research should elucidate the development of training methods aiming to improve movement-related decision-making and landing stability under time constraints.","container-title":"Journal of Science and Medicine in Sport","DOI":"10.1016/j.jsams.2019.09.003","ISSN":"14402440","issue":"1","journalAbbreviation":"Journal of Science and Medicine in Sport","language":"en","page":"82-88","source":"DOI.org (Crossref)","title":"Are biomechanical stability deficits during unplanned single-leg landings related to specific markers of cognitive function?","volume":"23","author":[{"family":"Giesche","given":"Florian"},{"family":"Wilke","given":"Jan"},{"family":"Engeroff","given":"Tobias"},{"family":"Niederer","given":"Daniel"},{"family":"Hohmann","given":"Helena"},{"family":"Vogt","given":"Lutz"},{"family":"Banzer","given":"Winfried"}],"issued":{"date-parts":[["2020",1]]}}}],"schema":"https://github.com/citation-style-language/schema/raw/master/csl-citation.json"} </w:instrText>
      </w:r>
      <w:r w:rsidR="009A7964">
        <w:rPr>
          <w:lang w:val="en-US"/>
        </w:rPr>
        <w:fldChar w:fldCharType="separate"/>
      </w:r>
      <w:r w:rsidR="006F0364" w:rsidRPr="006F0364">
        <w:rPr>
          <w:rFonts w:ascii="Aptos" w:hAnsi="Aptos" w:cs="Times New Roman"/>
          <w:kern w:val="0"/>
          <w:vertAlign w:val="superscript"/>
          <w:lang w:val="en-US"/>
        </w:rPr>
        <w:t>18</w:t>
      </w:r>
      <w:r w:rsidR="009A7964">
        <w:rPr>
          <w:lang w:val="en-US"/>
        </w:rPr>
        <w:fldChar w:fldCharType="end"/>
      </w:r>
      <w:r w:rsidR="00327B8A" w:rsidRPr="00327B8A">
        <w:rPr>
          <w:lang w:val="en-US"/>
        </w:rPr>
        <w:t>.</w:t>
      </w:r>
      <w:r w:rsidR="00327B8A">
        <w:rPr>
          <w:lang w:val="en-US"/>
        </w:rPr>
        <w:t xml:space="preserve"> </w:t>
      </w:r>
      <w:r w:rsidR="002B1CB8">
        <w:rPr>
          <w:lang w:val="en-US"/>
        </w:rPr>
        <w:t>However, recent evidence supports the notion that increasing cognitive load by further expanding movement and cognitive options may stimulate adaptations beyond those associated with simple unplanned tasks</w:t>
      </w:r>
      <w:r w:rsidR="00EC02C1">
        <w:rPr>
          <w:lang w:val="en-US"/>
        </w:rPr>
        <w:fldChar w:fldCharType="begin"/>
      </w:r>
      <w:r w:rsidR="006F0364">
        <w:rPr>
          <w:lang w:val="en-US"/>
        </w:rPr>
        <w:instrText xml:space="preserve"> ADDIN ZOTERO_ITEM CSL_CITATION {"citationID":"VErQnF6v","properties":{"formattedCitation":"\\super 11,13,39\\nosupersub{}","plainCitation":"11,13,39","noteIndex":0},"citationItems":[{"id":758,"uris":["http://zotero.org/users/18623031/items/TDDSZVIV"],"itemData":{"id":758,"type":"article-journal","abstract":"Abstract\n            \n              Background\n              Anterior cruciate ligament (ACL) injuries are highly prevalent in team sport athletes and often occur while performing change-of-direction (COD) tasks in combination with high cognitive demands, such as decision making or divided attention. Given the expanding body of research in this field, an updated literature review is warranted, as the most recent meta-analysis on this topic included original studies published up to November 2020.\n            \n            \n              Objective\n              The aim of this systematic review was to examine the effects of anticipation and/or dual-tasking on lower limb biomechanics during COD tasks in healthy individuals.\n            \n            \n              Design\n              Systematic review with meta-analysis.\n            \n            \n              Data Sources\n              A systematic literature search was conducted in the electronic databases PubMed, Web of Science, CINAHL and SPORTDiscus from inception until February 2024. The included studies examined the effects of anticipation and/or dual-tasking on knee kinetics and kinematics in the frontal and sagittal planes during COD tasks.\n            \n            \n              Methods\n              A multilevel meta-analysis was performed to aggregate the results of studies comparing unanticipated versus anticipated CODs on lower limb biomechanics. Due to the limited available literature on dual-task versus single-task conditions, this aspect was analyzed qualitatively.\n            \n            \n              Results\n              \n                The meta-analysis included 17 studies involving 355 individuals from different sports (e.g., soccer, American Football). No statistically significant differences were found between unanticipated and anticipated CODs for knee abduction and flexion moments as well as knee abduction angles (\n                p\n                </w:instrText>
      </w:r>
      <w:r w:rsidR="006F0364">
        <w:rPr>
          <w:rFonts w:ascii="Arial" w:hAnsi="Arial" w:cs="Arial"/>
          <w:lang w:val="en-US"/>
        </w:rPr>
        <w:instrText> </w:instrText>
      </w:r>
      <w:r w:rsidR="006F0364">
        <w:rPr>
          <w:lang w:val="en-US"/>
        </w:rPr>
        <w:instrText>&gt;</w:instrText>
      </w:r>
      <w:r w:rsidR="006F0364">
        <w:rPr>
          <w:rFonts w:ascii="Arial" w:hAnsi="Arial" w:cs="Arial"/>
          <w:lang w:val="en-US"/>
        </w:rPr>
        <w:instrText> </w:instrText>
      </w:r>
      <w:r w:rsidR="006F0364">
        <w:rPr>
          <w:lang w:val="en-US"/>
        </w:rPr>
        <w:instrText>0.05). Significantly higher knee flexion angles were found in unanticipated CODs (SMD</w:instrText>
      </w:r>
      <w:r w:rsidR="006F0364">
        <w:rPr>
          <w:rFonts w:ascii="Arial" w:hAnsi="Arial" w:cs="Arial"/>
          <w:lang w:val="en-US"/>
        </w:rPr>
        <w:instrText> </w:instrText>
      </w:r>
      <w:r w:rsidR="006F0364">
        <w:rPr>
          <w:lang w:val="en-US"/>
        </w:rPr>
        <w:instrText>=</w:instrText>
      </w:r>
      <w:r w:rsidR="006F0364">
        <w:rPr>
          <w:rFonts w:ascii="Arial" w:hAnsi="Arial" w:cs="Arial"/>
          <w:lang w:val="en-US"/>
        </w:rPr>
        <w:instrText> </w:instrText>
      </w:r>
      <w:r w:rsidR="006F0364">
        <w:rPr>
          <w:lang w:val="en-US"/>
        </w:rPr>
        <w:instrText>0.74, 95% CI: 0.30</w:instrText>
      </w:r>
      <w:r w:rsidR="006F0364">
        <w:rPr>
          <w:rFonts w:ascii="Aptos" w:hAnsi="Aptos" w:cs="Aptos"/>
          <w:lang w:val="en-US"/>
        </w:rPr>
        <w:instrText>–</w:instrText>
      </w:r>
      <w:r w:rsidR="006F0364">
        <w:rPr>
          <w:lang w:val="en-US"/>
        </w:rPr>
        <w:instrText xml:space="preserve">1.19;\n                p\n                </w:instrText>
      </w:r>
      <w:r w:rsidR="006F0364">
        <w:rPr>
          <w:rFonts w:ascii="Arial" w:hAnsi="Arial" w:cs="Arial"/>
          <w:lang w:val="en-US"/>
        </w:rPr>
        <w:instrText> </w:instrText>
      </w:r>
      <w:r w:rsidR="006F0364">
        <w:rPr>
          <w:lang w:val="en-US"/>
        </w:rPr>
        <w:instrText>&lt;</w:instrText>
      </w:r>
      <w:r w:rsidR="006F0364">
        <w:rPr>
          <w:rFonts w:ascii="Arial" w:hAnsi="Arial" w:cs="Arial"/>
          <w:lang w:val="en-US"/>
        </w:rPr>
        <w:instrText> </w:instrText>
      </w:r>
      <w:r w:rsidR="006F0364">
        <w:rPr>
          <w:lang w:val="en-US"/>
        </w:rPr>
        <w:instrText xml:space="preserve">0.01). Qualitative analyses of six studies including 171 individuals provided initial evidence for higher knee abduction moments and flexion angles during anticipated CODs while performing a secondary task concurrently.\n              \n            \n            \n              Conclusion\n              Findings from quantitative and qualitative analyses indicate that anticipation and dual-tasking during COD performance have an impact on injury-related aspects of lower limb biomechanics. Hence, cognitive challenges should be implemented in injury risk screening and preventive strategies. Further studies with high methodological quality are needed to improve the understanding of the biomechanical and cognitive interplay in injury-threatening situations.\n            \n            \n              PROSPERO Registration Number\n              CRD42023433074.\n            \n            \n              Date of Registration\n              13.10.2023.","container-title":"Sports Medicine","DOI":"10.1007/s40279-025-02182-w","ISSN":"0112-1642, 1179-2035","issue":"4","journalAbbreviation":"Sports Med","language":"en","page":"857-876","source":"DOI.org (Crossref)","title":"Effects of Anticipation and Dual-Tasking on Lower Limb Biomechanics While Performing Change-of-Direction Tasks in Physically Active Individuals: A Systematic Review with Meta-Analysis","title-short":"Effects of Anticipation and Dual-Tasking on Lower Limb Biomechanics While Performing Change-of-Direction Tasks in Physically Active Individuals","volume":"55","author":[{"family":"Ebner","given":"Clara"},{"family":"Granacher","given":"Urs"},{"family":"Gehring","given":"Dominic"}],"issued":{"date-parts":[["2025",4]]}}},{"id":767,"uris":["http://zotero.org/users/18623031/items/W2GD24FP"],"itemData":{"id":767,"type":"article-journal","container-title":"Sports Medicine","DOI":"10.1007/s40279-024-02124-y","ISSN":"0112-1642, 1179-2035","issue":"1","journalAbbreviation":"Sports Med","language":"en","page":"145-165","source":"DOI.org (Crossref)","title":"Relationship between Cognitive Demands and Biomechanical Indicators Associated with Anterior Cruciate Ligament Injury: A Systematic Review","title-short":"Relationship between Cognitive Demands and Biomechanical Indicators Associated with Anterior Cruciate Ligament Injury","volume":"55","author":[{"family":"Jiménez-Martínez","given":"Jesús"},{"family":"Gutiérrez-Capote","given":"Alejandro"},{"family":"Alarcón-López","given":"Francisco"},{"family":"Leicht","given":"Anthony"},{"family":"Cárdenas-Vélez","given":"David"}],"issued":{"date-parts":[["2025",1]]}}},{"id":760,"uris":["http://zotero.org/users/18623031/items/DBH5TLSM"],"itemData":{"id":760,"type":"article-journal","container-title":"Sports Biomechanics","DOI":"10.1080/14763141.2025.2603396","ISSN":"1476-3141, 1752-6116","journalAbbreviation":"Sports Biomechanics","language":"en","page":"1-29","source":"DOI.org (Crossref)","title":"The impact of a secondary cognitive task on variables associated with ACL loading during landing: a systematic review and meta-analysis","title-short":"The impact of a secondary cognitive task on variables associated with ACL loading during landing","author":[{"family":"Knight","given":"Ryan"},{"family":"Chembila Valappil","given":"Ashika"},{"family":"Bruton","given":"Adam"},{"family":"Greene","given":"Andrew"}],"issued":{"date-parts":[["2026",1,29]]}}}],"schema":"https://github.com/citation-style-language/schema/raw/master/csl-citation.json"} </w:instrText>
      </w:r>
      <w:r w:rsidR="00EC02C1">
        <w:rPr>
          <w:lang w:val="en-US"/>
        </w:rPr>
        <w:fldChar w:fldCharType="separate"/>
      </w:r>
      <w:r w:rsidR="006F0364" w:rsidRPr="006F0364">
        <w:rPr>
          <w:rFonts w:ascii="Aptos" w:hAnsi="Aptos" w:cs="Times New Roman"/>
          <w:kern w:val="0"/>
          <w:vertAlign w:val="superscript"/>
          <w:lang w:val="en-US"/>
        </w:rPr>
        <w:t>11,13,39</w:t>
      </w:r>
      <w:r w:rsidR="00EC02C1">
        <w:rPr>
          <w:lang w:val="en-US"/>
        </w:rPr>
        <w:fldChar w:fldCharType="end"/>
      </w:r>
      <w:r w:rsidR="002B1CB8" w:rsidRPr="006F0364">
        <w:rPr>
          <w:lang w:val="en-US"/>
        </w:rPr>
        <w:t xml:space="preserve">. </w:t>
      </w:r>
      <w:r w:rsidR="002B1CB8">
        <w:rPr>
          <w:lang w:val="en-US"/>
        </w:rPr>
        <w:t>Indeed</w:t>
      </w:r>
      <w:r w:rsidR="00327B8A" w:rsidRPr="00327B8A">
        <w:rPr>
          <w:lang w:val="en-US"/>
        </w:rPr>
        <w:t xml:space="preserve">, the unanticipated condition alone may not be </w:t>
      </w:r>
      <w:r w:rsidR="00E97D7F">
        <w:rPr>
          <w:lang w:val="en-US"/>
        </w:rPr>
        <w:t>challenging enough</w:t>
      </w:r>
      <w:r w:rsidR="00E97D7F" w:rsidRPr="00327B8A">
        <w:rPr>
          <w:lang w:val="en-US"/>
        </w:rPr>
        <w:t xml:space="preserve"> </w:t>
      </w:r>
      <w:r w:rsidR="00327B8A" w:rsidRPr="00327B8A">
        <w:rPr>
          <w:lang w:val="en-US"/>
        </w:rPr>
        <w:t>to elicit a substantial number of errors</w:t>
      </w:r>
      <w:r w:rsidR="00E97D7F">
        <w:rPr>
          <w:lang w:val="en-US"/>
        </w:rPr>
        <w:t>, as should be expected in sport-related tasks</w:t>
      </w:r>
      <w:r w:rsidR="00327B8A" w:rsidRPr="00327B8A">
        <w:rPr>
          <w:lang w:val="en-US"/>
        </w:rPr>
        <w:t xml:space="preserve">. In the present study, when considering all participants and task conditions (i.e., directions and color combinations), the percentage of unsuccessful trials was approximately 0% in the ANT condition. In contrast, under the UNA condition, failed trials accounted for 3% of the total number of jumps, whereas bad trials remained </w:t>
      </w:r>
      <w:r w:rsidR="00327B8A">
        <w:rPr>
          <w:lang w:val="en-US"/>
        </w:rPr>
        <w:t>close to</w:t>
      </w:r>
      <w:r w:rsidR="00327B8A" w:rsidRPr="00327B8A">
        <w:rPr>
          <w:lang w:val="en-US"/>
        </w:rPr>
        <w:t xml:space="preserve"> 0%.</w:t>
      </w:r>
      <w:r w:rsidR="00327B8A">
        <w:rPr>
          <w:lang w:val="en-US"/>
        </w:rPr>
        <w:t xml:space="preserve"> W</w:t>
      </w:r>
      <w:r w:rsidR="00327B8A" w:rsidRPr="00327B8A">
        <w:rPr>
          <w:lang w:val="en-US"/>
        </w:rPr>
        <w:t xml:space="preserve">hen </w:t>
      </w:r>
      <w:r w:rsidR="002B1CB8">
        <w:rPr>
          <w:kern w:val="0"/>
          <w:lang w:val="en-US"/>
          <w14:ligatures w14:val="none"/>
        </w:rPr>
        <w:t xml:space="preserve">additional cognitive load was introduced, error rates increased markedly, with failed trials rising to 11% and bad trials </w:t>
      </w:r>
      <w:r w:rsidR="00EC075A">
        <w:rPr>
          <w:kern w:val="0"/>
          <w:lang w:val="en-US"/>
          <w14:ligatures w14:val="none"/>
        </w:rPr>
        <w:t>to</w:t>
      </w:r>
      <w:r w:rsidR="00EC075A" w:rsidRPr="00327B8A" w:rsidDel="002B1CB8">
        <w:rPr>
          <w:lang w:val="en-US"/>
        </w:rPr>
        <w:t xml:space="preserve"> </w:t>
      </w:r>
      <w:r w:rsidR="00EC075A" w:rsidRPr="00327B8A">
        <w:rPr>
          <w:lang w:val="en-US"/>
        </w:rPr>
        <w:t>24</w:t>
      </w:r>
      <w:r w:rsidR="00327B8A" w:rsidRPr="00327B8A">
        <w:rPr>
          <w:lang w:val="en-US"/>
        </w:rPr>
        <w:t>%.</w:t>
      </w:r>
      <w:r w:rsidR="00327B8A">
        <w:rPr>
          <w:lang w:val="en-US"/>
        </w:rPr>
        <w:t xml:space="preserve"> </w:t>
      </w:r>
      <w:r w:rsidR="00327B8A" w:rsidRPr="00327B8A">
        <w:rPr>
          <w:lang w:val="en-US"/>
        </w:rPr>
        <w:t xml:space="preserve">These findings suggest that although unanticipated tasks are a prerequisite </w:t>
      </w:r>
      <w:r w:rsidR="002B1CB8">
        <w:rPr>
          <w:lang w:val="en-US"/>
        </w:rPr>
        <w:t>for</w:t>
      </w:r>
      <w:r w:rsidR="00327B8A" w:rsidRPr="00327B8A">
        <w:rPr>
          <w:lang w:val="en-US"/>
        </w:rPr>
        <w:t xml:space="preserve"> </w:t>
      </w:r>
      <w:r w:rsidR="00327B8A">
        <w:rPr>
          <w:lang w:val="en-US"/>
        </w:rPr>
        <w:t>elicit</w:t>
      </w:r>
      <w:r w:rsidR="002B1CB8">
        <w:rPr>
          <w:lang w:val="en-US"/>
        </w:rPr>
        <w:t>ing</w:t>
      </w:r>
      <w:r w:rsidR="00327B8A" w:rsidRPr="00327B8A">
        <w:rPr>
          <w:lang w:val="en-US"/>
        </w:rPr>
        <w:t xml:space="preserve"> execution errors, the concurrent imposition of </w:t>
      </w:r>
      <w:r w:rsidR="008E4FE0">
        <w:rPr>
          <w:lang w:val="en-US"/>
        </w:rPr>
        <w:t xml:space="preserve">additional </w:t>
      </w:r>
      <w:r w:rsidR="00327B8A" w:rsidRPr="00327B8A">
        <w:rPr>
          <w:lang w:val="en-US"/>
        </w:rPr>
        <w:t xml:space="preserve">cognitive demands may be </w:t>
      </w:r>
      <w:r w:rsidR="00990A5B">
        <w:rPr>
          <w:lang w:val="en-US"/>
        </w:rPr>
        <w:t>fundamental</w:t>
      </w:r>
      <w:r w:rsidR="00327B8A" w:rsidRPr="00327B8A">
        <w:rPr>
          <w:lang w:val="en-US"/>
        </w:rPr>
        <w:t xml:space="preserve"> to obtaining a sufficient number of </w:t>
      </w:r>
      <w:r w:rsidR="00990A5B">
        <w:rPr>
          <w:lang w:val="en-US"/>
        </w:rPr>
        <w:t>invalid</w:t>
      </w:r>
      <w:r w:rsidR="00327B8A" w:rsidRPr="00327B8A">
        <w:rPr>
          <w:lang w:val="en-US"/>
        </w:rPr>
        <w:t xml:space="preserve"> trials for meaningful biomechanical ana</w:t>
      </w:r>
      <w:r w:rsidR="00327B8A" w:rsidRPr="00990A5B">
        <w:rPr>
          <w:lang w:val="en-US"/>
        </w:rPr>
        <w:t>lysis</w:t>
      </w:r>
      <w:r w:rsidR="00990A5B" w:rsidRPr="00990A5B">
        <w:rPr>
          <w:lang w:val="en-US"/>
        </w:rPr>
        <w:t xml:space="preserve"> aim</w:t>
      </w:r>
      <w:r w:rsidR="002B1CB8">
        <w:rPr>
          <w:lang w:val="en-US"/>
        </w:rPr>
        <w:t>ed</w:t>
      </w:r>
      <w:r w:rsidR="00990A5B" w:rsidRPr="00990A5B">
        <w:rPr>
          <w:lang w:val="en-US"/>
        </w:rPr>
        <w:t xml:space="preserve"> at identifying athletes with reduced </w:t>
      </w:r>
      <w:r w:rsidR="00933C22">
        <w:rPr>
          <w:lang w:val="en-US"/>
        </w:rPr>
        <w:t>cognitive-motor</w:t>
      </w:r>
      <w:r w:rsidR="00990A5B" w:rsidRPr="00990A5B">
        <w:rPr>
          <w:lang w:val="en-US"/>
        </w:rPr>
        <w:t xml:space="preserve"> control, who may consequently be </w:t>
      </w:r>
      <w:r w:rsidR="008E4FE0">
        <w:rPr>
          <w:lang w:val="en-US"/>
        </w:rPr>
        <w:t>at</w:t>
      </w:r>
      <w:r w:rsidR="00990A5B" w:rsidRPr="00990A5B">
        <w:rPr>
          <w:lang w:val="en-US"/>
        </w:rPr>
        <w:t xml:space="preserve"> </w:t>
      </w:r>
      <w:r w:rsidR="008E4FE0">
        <w:rPr>
          <w:lang w:val="en-US"/>
        </w:rPr>
        <w:t>higher</w:t>
      </w:r>
      <w:r w:rsidR="00990A5B" w:rsidRPr="00990A5B">
        <w:rPr>
          <w:lang w:val="en-US"/>
        </w:rPr>
        <w:t xml:space="preserve"> </w:t>
      </w:r>
      <w:r w:rsidR="008E4FE0">
        <w:rPr>
          <w:lang w:val="en-US"/>
        </w:rPr>
        <w:t>risk</w:t>
      </w:r>
      <w:r w:rsidR="00990A5B" w:rsidRPr="00990A5B">
        <w:rPr>
          <w:lang w:val="en-US"/>
        </w:rPr>
        <w:t xml:space="preserve"> </w:t>
      </w:r>
      <w:r w:rsidR="008E4FE0">
        <w:rPr>
          <w:lang w:val="en-US"/>
        </w:rPr>
        <w:t>of</w:t>
      </w:r>
      <w:r w:rsidR="00990A5B" w:rsidRPr="00990A5B">
        <w:rPr>
          <w:lang w:val="en-US"/>
        </w:rPr>
        <w:t xml:space="preserve"> injury.</w:t>
      </w:r>
    </w:p>
    <w:p w14:paraId="7EFD258B" w14:textId="609806C6" w:rsidR="00DA49F4" w:rsidRPr="00DA49F4" w:rsidRDefault="00DA49F4" w:rsidP="009B5FAE">
      <w:pPr>
        <w:spacing w:line="360" w:lineRule="auto"/>
        <w:jc w:val="both"/>
        <w:rPr>
          <w:b/>
          <w:bCs/>
          <w:i/>
          <w:iCs/>
          <w:lang w:val="en-US"/>
        </w:rPr>
      </w:pPr>
      <w:r w:rsidRPr="00DA49F4">
        <w:rPr>
          <w:b/>
          <w:bCs/>
          <w:i/>
          <w:iCs/>
          <w:lang w:val="en-US"/>
        </w:rPr>
        <w:t>Limitations</w:t>
      </w:r>
    </w:p>
    <w:p w14:paraId="74E6603C" w14:textId="47413CE1" w:rsidR="009B5FAE" w:rsidRDefault="003B711D" w:rsidP="009B5FAE">
      <w:pPr>
        <w:spacing w:line="360" w:lineRule="auto"/>
        <w:jc w:val="both"/>
        <w:rPr>
          <w:lang w:val="en-US"/>
        </w:rPr>
      </w:pPr>
      <w:r>
        <w:rPr>
          <w:lang w:val="en-US"/>
        </w:rPr>
        <w:t xml:space="preserve">An inherent limitation of this exploratory study </w:t>
      </w:r>
      <w:r w:rsidRPr="00AA1641">
        <w:rPr>
          <w:lang w:val="en-US"/>
        </w:rPr>
        <w:t>is that the number of participants included in the analysis of unsuccessful trials was constrained by the unpredictable occurrence of errors.</w:t>
      </w:r>
      <w:r>
        <w:rPr>
          <w:lang w:val="en-US"/>
        </w:rPr>
        <w:t xml:space="preserve"> </w:t>
      </w:r>
      <w:r w:rsidR="0044163F">
        <w:rPr>
          <w:lang w:val="en-US"/>
        </w:rPr>
        <w:t xml:space="preserve">It is important to underline that </w:t>
      </w:r>
      <w:r w:rsidR="00E97D7F">
        <w:rPr>
          <w:lang w:val="en-US"/>
        </w:rPr>
        <w:t xml:space="preserve">the </w:t>
      </w:r>
      <w:r w:rsidR="0044163F" w:rsidRPr="0044163F">
        <w:rPr>
          <w:lang w:val="en-US"/>
        </w:rPr>
        <w:t xml:space="preserve">study </w:t>
      </w:r>
      <w:r w:rsidR="0044163F">
        <w:rPr>
          <w:lang w:val="en-US"/>
        </w:rPr>
        <w:t xml:space="preserve">was not </w:t>
      </w:r>
      <w:r w:rsidR="0044163F" w:rsidRPr="0044163F">
        <w:rPr>
          <w:lang w:val="en-US"/>
        </w:rPr>
        <w:t>design</w:t>
      </w:r>
      <w:r w:rsidR="0044163F">
        <w:rPr>
          <w:lang w:val="en-US"/>
        </w:rPr>
        <w:t xml:space="preserve">ed to </w:t>
      </w:r>
      <w:r w:rsidR="0044163F" w:rsidRPr="0044163F">
        <w:rPr>
          <w:lang w:val="en-US"/>
        </w:rPr>
        <w:t>induce or force</w:t>
      </w:r>
      <w:r w:rsidR="0044163F">
        <w:rPr>
          <w:lang w:val="en-US"/>
        </w:rPr>
        <w:t xml:space="preserve"> errors, but </w:t>
      </w:r>
      <w:r w:rsidR="0044163F" w:rsidRPr="0044163F">
        <w:rPr>
          <w:lang w:val="en-US"/>
        </w:rPr>
        <w:t xml:space="preserve">to elicit natural performance under </w:t>
      </w:r>
      <w:r w:rsidR="00E97D7F">
        <w:rPr>
          <w:lang w:val="en-US"/>
        </w:rPr>
        <w:t>cognitively challenging</w:t>
      </w:r>
      <w:r w:rsidR="00E97D7F" w:rsidRPr="0044163F">
        <w:rPr>
          <w:lang w:val="en-US"/>
        </w:rPr>
        <w:t xml:space="preserve"> </w:t>
      </w:r>
      <w:r w:rsidR="0044163F" w:rsidRPr="0044163F">
        <w:rPr>
          <w:lang w:val="en-US"/>
        </w:rPr>
        <w:t>conditions, without artificially increasing the likelihood of failure.</w:t>
      </w:r>
      <w:r w:rsidR="0044163F">
        <w:rPr>
          <w:lang w:val="en-US"/>
        </w:rPr>
        <w:t xml:space="preserve"> Indeed, despite </w:t>
      </w:r>
      <w:r w:rsidR="00E97D7F">
        <w:rPr>
          <w:lang w:val="en-US"/>
        </w:rPr>
        <w:t xml:space="preserve">further </w:t>
      </w:r>
      <w:r w:rsidR="0044163F">
        <w:rPr>
          <w:lang w:val="en-US"/>
        </w:rPr>
        <w:t>i</w:t>
      </w:r>
      <w:r w:rsidR="0044163F" w:rsidRPr="0044163F">
        <w:rPr>
          <w:lang w:val="en-US"/>
        </w:rPr>
        <w:t>ncreasing task difficulty</w:t>
      </w:r>
      <w:r w:rsidR="00E97D7F">
        <w:rPr>
          <w:lang w:val="en-US"/>
        </w:rPr>
        <w:t>,</w:t>
      </w:r>
      <w:r w:rsidR="0044163F" w:rsidRPr="0044163F">
        <w:rPr>
          <w:lang w:val="en-US"/>
        </w:rPr>
        <w:t xml:space="preserve"> </w:t>
      </w:r>
      <w:r w:rsidR="00E97D7F">
        <w:rPr>
          <w:lang w:val="en-US"/>
        </w:rPr>
        <w:t>which</w:t>
      </w:r>
      <w:r w:rsidR="0044163F" w:rsidRPr="0044163F">
        <w:rPr>
          <w:lang w:val="en-US"/>
        </w:rPr>
        <w:t xml:space="preserve"> </w:t>
      </w:r>
      <w:r w:rsidR="00E97D7F">
        <w:rPr>
          <w:lang w:val="en-US"/>
        </w:rPr>
        <w:t>could yield</w:t>
      </w:r>
      <w:r w:rsidR="0044163F" w:rsidRPr="0044163F">
        <w:rPr>
          <w:lang w:val="en-US"/>
        </w:rPr>
        <w:t xml:space="preserve"> </w:t>
      </w:r>
      <w:r w:rsidR="00E97D7F">
        <w:rPr>
          <w:lang w:val="en-US"/>
        </w:rPr>
        <w:t>more</w:t>
      </w:r>
      <w:r w:rsidR="0044163F" w:rsidRPr="0044163F">
        <w:rPr>
          <w:lang w:val="en-US"/>
        </w:rPr>
        <w:t xml:space="preserve"> </w:t>
      </w:r>
      <w:r w:rsidR="0044163F" w:rsidRPr="00432388">
        <w:rPr>
          <w:lang w:val="en-US"/>
        </w:rPr>
        <w:t xml:space="preserve">unsuccessful trials, this approach would inevitably require </w:t>
      </w:r>
      <w:r w:rsidR="00E97D7F" w:rsidRPr="00432388">
        <w:rPr>
          <w:lang w:val="en-US"/>
        </w:rPr>
        <w:t>more</w:t>
      </w:r>
      <w:r w:rsidR="0044163F" w:rsidRPr="00432388">
        <w:rPr>
          <w:lang w:val="en-US"/>
        </w:rPr>
        <w:t xml:space="preserve"> jump executions, which may promote the onset of physical fatigue, mental fatigue, and psychological stress, factors that could alter movement mechanics and </w:t>
      </w:r>
      <w:r w:rsidR="00E97D7F" w:rsidRPr="00432388">
        <w:rPr>
          <w:lang w:val="en-US"/>
        </w:rPr>
        <w:t>act as confounding factors in the analysis</w:t>
      </w:r>
      <w:r w:rsidR="00EC02C1" w:rsidRPr="00432388">
        <w:rPr>
          <w:lang w:val="en-US"/>
        </w:rPr>
        <w:fldChar w:fldCharType="begin"/>
      </w:r>
      <w:r w:rsidR="006F0364">
        <w:rPr>
          <w:lang w:val="en-US"/>
        </w:rPr>
        <w:instrText xml:space="preserve"> ADDIN ZOTERO_ITEM CSL_CITATION {"citationID":"ZPWEmqyi","properties":{"formattedCitation":"\\super 10,40\\nosupersub{}","plainCitation":"10,40","noteIndex":0},"citationItems":[{"id":405,"uris":["http://zotero.org/users/18623031/items/IJ65AQAT"],"itemData":{"id":405,"type":"article-journal","abstract":"BACKGROUND Physical fatigue and cognitive performance have been suggested as risk factors for an anterior cruciate ligament (ACL) injury, and fatigue has also been demonstrated to reduce cognitive processing. The combined effects of fatigue and lower cognitive function during cognitive-challenging movements may increase knee mechanics associated with the ACL injury risk. HYPOTHESES We hypothesized that (1) knee mechanics would be detrimentally affected by fatigue and associated with baseline cognitive function and (2) fatigue-induced deleterious changes in cognitive performance and knee mechanics would be correlated. STUDY DESIGN Descriptive laboratory study. METHODS A total of 22 athletes completed baseline cognitive testing. After performing maximal vertical jumps, they performed a jump-land-jump task based on unanticipated visual cues. Then, they completed a fatigue protocol including countermovement jumps, among other tasks, until the jump height decreased below 90% of their assessed maximum. Immediately after reaching the first fatigue point, they performed another set of jump-landing tasks, followed by repeating the fatigue protocol until the jump height decreased below 85% of their assessed maximum. After reaching the second fatigue point, they performed a final set of jump-landing tasks and repeated the initial cognitive assessment battery. RESULTS Mixed-effects models revealed that knee flexion decreased through the fatigue protocol (baseline: 61.8°; midpoint: 61.1°; final: 60.1°; P = .003). Stepwise regression showed that fatigue-worsened attentional control corresponded to smaller knee abduction angles (R2adjusted = 51.68%; βstandardized = 1.16; P = .001), and worse reaction time after fatigue correlated with increased knee abduction angles (βstandardized = 0.85; P = .006) after accounting for the role of attentional control. CONCLUSION Fatigue induced incremental modifications in sagittal-plane knee mechanics during an unanticipated sports movement. In addition, fatigue induced changes in cognitive function related to ACL injury-relevant knee mechanics. CLINICAL RELEVANCE The novel findings regarding fatigue-dependent changes in injury-relevant biomechanics during cognitively challenging movements represent an extension of recent developments in understanding the role of cognition in the ACL injury risk.","container-title":"The American journal of sports medicine","DOI":"10.1177/03635465231180612","ISSN":"1552-3365","issue":"10","page":"2740-2747","PMID":"37345283","title":"Influence of Fatigue on Cognitive-Motor Function During Unanticipated Landings.","volume":"51","author":[{"family":"Bertozzi","given":"Filippo"},{"family":"Fischer","given":"Patrick D."},{"family":"Aflatounian","given":"Fatemeh"},{"family":"Hutchison","given":"Keith A."},{"family":"Sforza","given":"Chiarella"},{"family":"Monfort","given":"Scott M."}],"issued":{"date-parts":[["2023",8]]}}},{"id":773,"uris":["http://zotero.org/users/18623031/items/RJ5AW8Y7"],"itemData":{"id":773,"type":"article-journal","container-title":"Journal of Orthopaedic Surgery and Research","DOI":"10.1186/s13018-025-05905-x","ISSN":"1749-799X","issue":"1","journalAbbreviation":"J Orthop Surg Res","language":"en","page":"671","source":"DOI.org (Crossref)","title":"Impact of mental fatigue on lower limb biomechanics and non-contact anterior cruciate ligament injury risk in basketball players during the stop–jump task: a self-controlled trial","title-short":"Impact of mental fatigue on lower limb biomechanics and non-contact anterior cruciate ligament injury risk in basketball players during the stop–jump task","volume":"20","author":[{"family":"Zhang","given":"Zeyang"},{"family":"Zheng","given":"Bosong"},{"family":"Zhang","given":"Zeyi"},{"family":"Kang","given":"Jianghui"},{"family":"Li","given":"Mengjie"},{"family":"Sun","given":"Youping"}],"issued":{"date-parts":[["2025",7,17]]}}}],"schema":"https://github.com/citation-style-language/schema/raw/master/csl-citation.json"} </w:instrText>
      </w:r>
      <w:r w:rsidR="00EC02C1" w:rsidRPr="00432388">
        <w:rPr>
          <w:lang w:val="en-US"/>
        </w:rPr>
        <w:fldChar w:fldCharType="separate"/>
      </w:r>
      <w:r w:rsidR="006F0364" w:rsidRPr="006F0364">
        <w:rPr>
          <w:rFonts w:ascii="Aptos" w:hAnsi="Aptos" w:cs="Times New Roman"/>
          <w:kern w:val="0"/>
          <w:vertAlign w:val="superscript"/>
          <w:lang w:val="en-US"/>
        </w:rPr>
        <w:t>10,40</w:t>
      </w:r>
      <w:r w:rsidR="00EC02C1" w:rsidRPr="00432388">
        <w:rPr>
          <w:lang w:val="en-US"/>
        </w:rPr>
        <w:fldChar w:fldCharType="end"/>
      </w:r>
      <w:r w:rsidR="0044163F" w:rsidRPr="00432388">
        <w:rPr>
          <w:lang w:val="en-US"/>
        </w:rPr>
        <w:t>.</w:t>
      </w:r>
    </w:p>
    <w:p w14:paraId="581CA3E1" w14:textId="22894313" w:rsidR="00653B60" w:rsidRPr="004433F2" w:rsidRDefault="00FD65F7" w:rsidP="00FD65F7">
      <w:pPr>
        <w:spacing w:line="360" w:lineRule="auto"/>
        <w:jc w:val="both"/>
        <w:rPr>
          <w:highlight w:val="green"/>
          <w:lang w:val="en-US"/>
        </w:rPr>
      </w:pPr>
      <w:r w:rsidRPr="00FD65F7">
        <w:rPr>
          <w:lang w:val="en-US"/>
        </w:rPr>
        <w:t xml:space="preserve">In addition, analysis of the flight phase may provide a more </w:t>
      </w:r>
      <w:r w:rsidR="00710D6A">
        <w:rPr>
          <w:lang w:val="en-US"/>
        </w:rPr>
        <w:t>detailed</w:t>
      </w:r>
      <w:r w:rsidR="00710D6A" w:rsidRPr="00FD65F7">
        <w:rPr>
          <w:lang w:val="en-US"/>
        </w:rPr>
        <w:t xml:space="preserve"> </w:t>
      </w:r>
      <w:r w:rsidRPr="00FD65F7">
        <w:rPr>
          <w:lang w:val="en-US"/>
        </w:rPr>
        <w:t xml:space="preserve">evaluation of the athlete’s </w:t>
      </w:r>
      <w:r w:rsidR="00710D6A">
        <w:rPr>
          <w:lang w:val="en-US"/>
        </w:rPr>
        <w:t xml:space="preserve">decision-making and motor-planning </w:t>
      </w:r>
      <w:r w:rsidR="00E97D7F">
        <w:rPr>
          <w:lang w:val="en-US"/>
        </w:rPr>
        <w:t>abilit</w:t>
      </w:r>
      <w:r w:rsidR="00710D6A">
        <w:rPr>
          <w:lang w:val="en-US"/>
        </w:rPr>
        <w:t>ies</w:t>
      </w:r>
      <w:r w:rsidR="00E97D7F" w:rsidRPr="00FD65F7">
        <w:rPr>
          <w:lang w:val="en-US"/>
        </w:rPr>
        <w:t xml:space="preserve"> </w:t>
      </w:r>
      <w:r w:rsidR="00E97D7F">
        <w:rPr>
          <w:lang w:val="en-US"/>
        </w:rPr>
        <w:t>to</w:t>
      </w:r>
      <w:r w:rsidRPr="00FD65F7">
        <w:rPr>
          <w:lang w:val="en-US"/>
        </w:rPr>
        <w:t xml:space="preserve"> rapid</w:t>
      </w:r>
      <w:r w:rsidR="00E97D7F">
        <w:rPr>
          <w:lang w:val="en-US"/>
        </w:rPr>
        <w:t>ly adapt</w:t>
      </w:r>
      <w:r w:rsidRPr="00FD65F7">
        <w:rPr>
          <w:lang w:val="en-US"/>
        </w:rPr>
        <w:t xml:space="preserve"> motor </w:t>
      </w:r>
      <w:r w:rsidR="00E97D7F">
        <w:rPr>
          <w:lang w:val="en-US"/>
        </w:rPr>
        <w:t>control</w:t>
      </w:r>
      <w:r w:rsidR="00E97D7F" w:rsidRPr="00E97D7F">
        <w:rPr>
          <w:lang w:val="en-US"/>
        </w:rPr>
        <w:t xml:space="preserve"> </w:t>
      </w:r>
      <w:r w:rsidR="00710D6A">
        <w:rPr>
          <w:lang w:val="en-US"/>
        </w:rPr>
        <w:t>following</w:t>
      </w:r>
      <w:r w:rsidR="00E97D7F">
        <w:rPr>
          <w:lang w:val="en-US"/>
        </w:rPr>
        <w:t xml:space="preserve"> </w:t>
      </w:r>
      <w:r w:rsidR="00E97D7F" w:rsidRPr="00FD65F7">
        <w:rPr>
          <w:lang w:val="en-US"/>
        </w:rPr>
        <w:t>stimulus presentation</w:t>
      </w:r>
      <w:r w:rsidRPr="00FD65F7">
        <w:rPr>
          <w:lang w:val="en-US"/>
        </w:rPr>
        <w:t xml:space="preserve">. Characterizing kinematic and muscular activation adjustments before landing could provide deeper information regarding the mechanisms underlying </w:t>
      </w:r>
      <w:r>
        <w:rPr>
          <w:lang w:val="en-US"/>
        </w:rPr>
        <w:t>unsuccessful trials</w:t>
      </w:r>
      <w:r w:rsidRPr="00FD65F7">
        <w:rPr>
          <w:lang w:val="en-US"/>
        </w:rPr>
        <w:t>, distinguishing between deficits in perceptual</w:t>
      </w:r>
      <w:r w:rsidR="00584717">
        <w:rPr>
          <w:lang w:val="en-US"/>
        </w:rPr>
        <w:t>-</w:t>
      </w:r>
      <w:r w:rsidRPr="00FD65F7">
        <w:rPr>
          <w:lang w:val="en-US"/>
        </w:rPr>
        <w:t xml:space="preserve">cognitive processing and </w:t>
      </w:r>
      <w:r>
        <w:rPr>
          <w:lang w:val="en-US"/>
        </w:rPr>
        <w:t>limitation</w:t>
      </w:r>
      <w:r w:rsidR="00E97D7F">
        <w:rPr>
          <w:lang w:val="en-US"/>
        </w:rPr>
        <w:t>s</w:t>
      </w:r>
      <w:r w:rsidRPr="00FD65F7">
        <w:rPr>
          <w:lang w:val="en-US"/>
        </w:rPr>
        <w:t xml:space="preserve"> in neuromuscular adaptability.</w:t>
      </w:r>
    </w:p>
    <w:p w14:paraId="095A58E1" w14:textId="77777777" w:rsidR="0013669C" w:rsidRDefault="0013669C" w:rsidP="003B711D">
      <w:pPr>
        <w:spacing w:line="360" w:lineRule="auto"/>
        <w:jc w:val="both"/>
        <w:rPr>
          <w:b/>
          <w:bCs/>
          <w:lang w:val="en-US"/>
        </w:rPr>
      </w:pPr>
    </w:p>
    <w:p w14:paraId="05405451" w14:textId="654E5687" w:rsidR="00A07B51" w:rsidRPr="00BF71CE" w:rsidRDefault="00A07B51" w:rsidP="003B711D">
      <w:pPr>
        <w:spacing w:line="360" w:lineRule="auto"/>
        <w:jc w:val="both"/>
        <w:rPr>
          <w:lang w:val="en-US"/>
        </w:rPr>
      </w:pPr>
      <w:r w:rsidRPr="00A07B51">
        <w:rPr>
          <w:b/>
          <w:bCs/>
          <w:lang w:val="en-US"/>
        </w:rPr>
        <w:t>PERSPECTIVE</w:t>
      </w:r>
      <w:r w:rsidRPr="00A07B51" w:rsidDel="00A07B51">
        <w:rPr>
          <w:b/>
          <w:bCs/>
          <w:lang w:val="en-US"/>
        </w:rPr>
        <w:t xml:space="preserve"> </w:t>
      </w:r>
    </w:p>
    <w:p w14:paraId="104C1C24" w14:textId="7E928EE5" w:rsidR="00FD65F7" w:rsidRPr="00BF71CE" w:rsidRDefault="0073757E" w:rsidP="00653B60">
      <w:pPr>
        <w:spacing w:line="360" w:lineRule="auto"/>
        <w:jc w:val="both"/>
        <w:rPr>
          <w:lang w:val="en-US"/>
        </w:rPr>
      </w:pPr>
      <w:r w:rsidRPr="0073757E">
        <w:rPr>
          <w:lang w:val="en-US"/>
        </w:rPr>
        <w:t xml:space="preserve">This study proposed a novel framework that incorporates analysis of invalid trials as a potentially latent meaningful dimension in the ACL injury risk profile. Distinct biomechanical profiles deviating from individual optimal patterns emerged, which would have remained undetected if only successful trials had been considered, as in standard methodologies. Further discrimination between error types revealed differences </w:t>
      </w:r>
      <w:r w:rsidR="002A1F77" w:rsidRPr="0073757E">
        <w:rPr>
          <w:lang w:val="en-US"/>
        </w:rPr>
        <w:t>among</w:t>
      </w:r>
      <w:r w:rsidRPr="0073757E">
        <w:rPr>
          <w:lang w:val="en-US"/>
        </w:rPr>
        <w:t xml:space="preserve"> unsuccessful trials, plausibly due to distinct cognitive-motor mechanisms. Since no investigations have adopted similar methodological frameworks, this limits direct comparisons with previous evidence</w:t>
      </w:r>
      <w:r>
        <w:rPr>
          <w:lang w:val="en-US"/>
        </w:rPr>
        <w:t xml:space="preserve"> are limited</w:t>
      </w:r>
      <w:r w:rsidRPr="0073757E">
        <w:rPr>
          <w:lang w:val="en-US"/>
        </w:rPr>
        <w:t>. Nevertheless, this study provided a basis for future research to replicate and confirm the present results</w:t>
      </w:r>
      <w:r>
        <w:rPr>
          <w:lang w:val="en-US"/>
        </w:rPr>
        <w:t>.</w:t>
      </w:r>
      <w:r w:rsidR="00FD65F7" w:rsidRPr="00432388">
        <w:rPr>
          <w:highlight w:val="cyan"/>
          <w:lang w:val="en-US"/>
        </w:rPr>
        <w:t xml:space="preserve"> </w:t>
      </w:r>
    </w:p>
    <w:p w14:paraId="12559346" w14:textId="77FFB25A" w:rsidR="005D5250" w:rsidRDefault="00B10901" w:rsidP="00CA097C">
      <w:pPr>
        <w:spacing w:line="360" w:lineRule="auto"/>
        <w:jc w:val="both"/>
        <w:rPr>
          <w:b/>
          <w:bCs/>
          <w:lang w:val="en-US"/>
        </w:rPr>
      </w:pPr>
      <w:r w:rsidRPr="00B10901">
        <w:rPr>
          <w:b/>
          <w:bCs/>
          <w:lang w:val="en-US"/>
        </w:rPr>
        <w:br/>
        <w:t>REFERENCES</w:t>
      </w:r>
    </w:p>
    <w:p w14:paraId="11611662" w14:textId="77777777" w:rsidR="006F0364" w:rsidRPr="006F0364" w:rsidRDefault="00A42D3E" w:rsidP="006F0364">
      <w:pPr>
        <w:pStyle w:val="Bibliografia"/>
        <w:rPr>
          <w:lang w:val="en-US"/>
        </w:rPr>
      </w:pPr>
      <w:r>
        <w:rPr>
          <w:b/>
          <w:bCs/>
          <w:lang w:val="en-US"/>
        </w:rPr>
        <w:fldChar w:fldCharType="begin"/>
      </w:r>
      <w:r w:rsidR="006F0364" w:rsidRPr="006F0364">
        <w:rPr>
          <w:b/>
          <w:bCs/>
          <w:lang w:val="en-US"/>
        </w:rPr>
        <w:instrText xml:space="preserve"> ADDIN ZOTERO_BIBL {"uncited":[],"omitted":[],"custom":[]} CSL_BIBLIOGRAPHY </w:instrText>
      </w:r>
      <w:r>
        <w:rPr>
          <w:b/>
          <w:bCs/>
          <w:lang w:val="en-US"/>
        </w:rPr>
        <w:fldChar w:fldCharType="separate"/>
      </w:r>
      <w:r w:rsidR="006F0364" w:rsidRPr="006F0364">
        <w:rPr>
          <w:lang w:val="en-US"/>
        </w:rPr>
        <w:t>1.</w:t>
      </w:r>
      <w:r w:rsidR="006F0364" w:rsidRPr="006F0364">
        <w:rPr>
          <w:lang w:val="en-US"/>
        </w:rPr>
        <w:tab/>
        <w:t xml:space="preserve">Glogovac G, Schumaier AP, Grawe BM. Return to Sport Following Revision Anterior Cruciate Ligament Reconstruction in Athletes: A Systematic Review. </w:t>
      </w:r>
      <w:r w:rsidR="006F0364" w:rsidRPr="006F0364">
        <w:rPr>
          <w:i/>
          <w:iCs/>
          <w:lang w:val="en-US"/>
        </w:rPr>
        <w:t>Arthroscopy: The Journal of Arthroscopic &amp; Related Surgery</w:t>
      </w:r>
      <w:r w:rsidR="006F0364" w:rsidRPr="006F0364">
        <w:rPr>
          <w:lang w:val="en-US"/>
        </w:rPr>
        <w:t>. 2019;35(7):2222-2230. doi:10.1016/j.arthro.2019.01.045</w:t>
      </w:r>
    </w:p>
    <w:p w14:paraId="54A4625A" w14:textId="77777777" w:rsidR="006F0364" w:rsidRPr="006F0364" w:rsidRDefault="006F0364" w:rsidP="006F0364">
      <w:pPr>
        <w:pStyle w:val="Bibliografia"/>
        <w:rPr>
          <w:lang w:val="en-US"/>
        </w:rPr>
      </w:pPr>
      <w:r w:rsidRPr="00970C5E">
        <w:t>2.</w:t>
      </w:r>
      <w:r w:rsidRPr="00970C5E">
        <w:tab/>
        <w:t xml:space="preserve">Sundberg A, </w:t>
      </w:r>
      <w:proofErr w:type="spellStart"/>
      <w:r w:rsidRPr="00970C5E">
        <w:t>Högberg</w:t>
      </w:r>
      <w:proofErr w:type="spellEnd"/>
      <w:r w:rsidRPr="00970C5E">
        <w:t xml:space="preserve"> J, Tosarelli F, et al. </w:t>
      </w:r>
      <w:r w:rsidRPr="006F0364">
        <w:rPr>
          <w:lang w:val="en-US"/>
        </w:rPr>
        <w:t xml:space="preserve">Sport-Specific Injury Mechanisms and Situational Patterns of ACL Injuries: A Comprehensive Systematic Review. </w:t>
      </w:r>
      <w:r w:rsidRPr="006F0364">
        <w:rPr>
          <w:i/>
          <w:iCs/>
          <w:lang w:val="en-US"/>
        </w:rPr>
        <w:t>Sports Med</w:t>
      </w:r>
      <w:r w:rsidRPr="006F0364">
        <w:rPr>
          <w:lang w:val="en-US"/>
        </w:rPr>
        <w:t>. 2025;55(10):2489-2527. doi:10.1007/s40279-025-02271-w</w:t>
      </w:r>
    </w:p>
    <w:p w14:paraId="415DEBBD" w14:textId="77777777" w:rsidR="006F0364" w:rsidRPr="006F0364" w:rsidRDefault="006F0364" w:rsidP="006F0364">
      <w:pPr>
        <w:pStyle w:val="Bibliografia"/>
        <w:rPr>
          <w:lang w:val="en-US"/>
        </w:rPr>
      </w:pPr>
      <w:r w:rsidRPr="006F0364">
        <w:rPr>
          <w:lang w:val="en-US"/>
        </w:rPr>
        <w:t>3.</w:t>
      </w:r>
      <w:r w:rsidRPr="006F0364">
        <w:rPr>
          <w:lang w:val="en-US"/>
        </w:rPr>
        <w:tab/>
        <w:t xml:space="preserve">Beaulieu ML, Ashton-Miller JA, Wojtys EM. Loading mechanisms of the anterior cruciate ligament. </w:t>
      </w:r>
      <w:r w:rsidRPr="006F0364">
        <w:rPr>
          <w:i/>
          <w:iCs/>
          <w:lang w:val="en-US"/>
        </w:rPr>
        <w:t>Sports biomechanics</w:t>
      </w:r>
      <w:r w:rsidRPr="006F0364">
        <w:rPr>
          <w:lang w:val="en-US"/>
        </w:rPr>
        <w:t>. 2023;22(1):1-29. doi:10.1080/14763141.2021.1916578</w:t>
      </w:r>
    </w:p>
    <w:p w14:paraId="4B2991B8" w14:textId="77777777" w:rsidR="006F0364" w:rsidRPr="006F0364" w:rsidRDefault="006F0364" w:rsidP="006F0364">
      <w:pPr>
        <w:pStyle w:val="Bibliografia"/>
        <w:rPr>
          <w:lang w:val="en-US"/>
        </w:rPr>
      </w:pPr>
      <w:r w:rsidRPr="006F0364">
        <w:rPr>
          <w:lang w:val="en-US"/>
        </w:rPr>
        <w:t>4.</w:t>
      </w:r>
      <w:r w:rsidRPr="006F0364">
        <w:rPr>
          <w:lang w:val="en-US"/>
        </w:rPr>
        <w:tab/>
        <w:t xml:space="preserve">Calisti M, Mohr M, Riechelmann F, Werner I, Federolf P. Return-To-Sport Assessments After Anterior Cruciate Ligament Injury: Which Jump-Landing Test Is Sensitive to an ACL-Injury History Under Fatigued or NonFatigued Conditions? </w:t>
      </w:r>
      <w:r w:rsidRPr="006F0364">
        <w:rPr>
          <w:i/>
          <w:iCs/>
          <w:lang w:val="en-US"/>
        </w:rPr>
        <w:t>Eur J Sport Sci</w:t>
      </w:r>
      <w:r w:rsidRPr="006F0364">
        <w:rPr>
          <w:lang w:val="en-US"/>
        </w:rPr>
        <w:t>. 2025;25(6):e12317. doi:10.1002/ejsc.12317</w:t>
      </w:r>
    </w:p>
    <w:p w14:paraId="14C81471" w14:textId="77777777" w:rsidR="006F0364" w:rsidRPr="006F0364" w:rsidRDefault="006F0364" w:rsidP="006F0364">
      <w:pPr>
        <w:pStyle w:val="Bibliografia"/>
        <w:rPr>
          <w:lang w:val="en-US"/>
        </w:rPr>
      </w:pPr>
      <w:r w:rsidRPr="006F0364">
        <w:rPr>
          <w:lang w:val="en-US"/>
        </w:rPr>
        <w:t>5.</w:t>
      </w:r>
      <w:r w:rsidRPr="006F0364">
        <w:rPr>
          <w:lang w:val="en-US"/>
        </w:rPr>
        <w:tab/>
        <w:t xml:space="preserve">Zago M, David S, Bertozzi F, et al. Fatigue Induced by Repeated Changes of Direction in Élite Female Football (Soccer) Players: Impact on Lower Limb Biomechanics and Implications for ACL Injury Prevention. </w:t>
      </w:r>
      <w:r w:rsidRPr="006F0364">
        <w:rPr>
          <w:i/>
          <w:iCs/>
          <w:lang w:val="en-US"/>
        </w:rPr>
        <w:t>Frontiers in Bioengineering and Biotechnology</w:t>
      </w:r>
      <w:r w:rsidRPr="006F0364">
        <w:rPr>
          <w:lang w:val="en-US"/>
        </w:rPr>
        <w:t>. 2021;9. doi:10.3389/fbioe.2021.666841</w:t>
      </w:r>
    </w:p>
    <w:p w14:paraId="5AC4E94C" w14:textId="77777777" w:rsidR="006F0364" w:rsidRPr="006F0364" w:rsidRDefault="006F0364" w:rsidP="006F0364">
      <w:pPr>
        <w:pStyle w:val="Bibliografia"/>
        <w:rPr>
          <w:lang w:val="en-US"/>
        </w:rPr>
      </w:pPr>
      <w:r w:rsidRPr="006F0364">
        <w:rPr>
          <w:lang w:val="en-US"/>
        </w:rPr>
        <w:t>6.</w:t>
      </w:r>
      <w:r w:rsidRPr="006F0364">
        <w:rPr>
          <w:lang w:val="en-US"/>
        </w:rPr>
        <w:tab/>
        <w:t>Ferré</w:t>
      </w:r>
      <w:r w:rsidRPr="006F0364">
        <w:rPr>
          <w:rFonts w:ascii="Cambria Math" w:hAnsi="Cambria Math" w:cs="Cambria Math"/>
          <w:lang w:val="en-US"/>
        </w:rPr>
        <w:t>‐</w:t>
      </w:r>
      <w:r w:rsidRPr="006F0364">
        <w:rPr>
          <w:lang w:val="en-US"/>
        </w:rPr>
        <w:t>Aniorte A, Bolibar I, Cugat R, Alentorn</w:t>
      </w:r>
      <w:r w:rsidRPr="006F0364">
        <w:rPr>
          <w:rFonts w:ascii="Cambria Math" w:hAnsi="Cambria Math" w:cs="Cambria Math"/>
          <w:lang w:val="en-US"/>
        </w:rPr>
        <w:t>‐</w:t>
      </w:r>
      <w:r w:rsidRPr="006F0364">
        <w:rPr>
          <w:lang w:val="en-US"/>
        </w:rPr>
        <w:t xml:space="preserve">Geli E. Anterior cruciate ligament injury incidence in male and female soccer players: A longitudinal study over six consecutive seasons. </w:t>
      </w:r>
      <w:r w:rsidRPr="006F0364">
        <w:rPr>
          <w:i/>
          <w:iCs/>
          <w:lang w:val="en-US"/>
        </w:rPr>
        <w:t>Knee surg sports traumatol arthrosc</w:t>
      </w:r>
      <w:r w:rsidRPr="006F0364">
        <w:rPr>
          <w:lang w:val="en-US"/>
        </w:rPr>
        <w:t>. 2025;33(12):4426-4434. doi:10.1002/ksa.70046</w:t>
      </w:r>
    </w:p>
    <w:p w14:paraId="4F36F5EE" w14:textId="77777777" w:rsidR="006F0364" w:rsidRPr="006F0364" w:rsidRDefault="006F0364" w:rsidP="006F0364">
      <w:pPr>
        <w:pStyle w:val="Bibliografia"/>
        <w:rPr>
          <w:lang w:val="en-US"/>
        </w:rPr>
      </w:pPr>
      <w:r w:rsidRPr="006F0364">
        <w:rPr>
          <w:lang w:val="en-US"/>
        </w:rPr>
        <w:t>7.</w:t>
      </w:r>
      <w:r w:rsidRPr="006F0364">
        <w:rPr>
          <w:lang w:val="en-US"/>
        </w:rPr>
        <w:tab/>
        <w:t xml:space="preserve">Bertozzi F, Fischer PD, Hutchison KA, Zago M, Sforza C, Monfort SM. Associations Between Cognitive Function and ACL Injury-Related Biomechanics: A Systematic Review. </w:t>
      </w:r>
      <w:r w:rsidRPr="006F0364">
        <w:rPr>
          <w:i/>
          <w:iCs/>
          <w:lang w:val="en-US"/>
        </w:rPr>
        <w:t>Sports Health</w:t>
      </w:r>
      <w:r w:rsidRPr="006F0364">
        <w:rPr>
          <w:lang w:val="en-US"/>
        </w:rPr>
        <w:t>. 2023;15(6):855-866. doi:10.1177/19417381221146557</w:t>
      </w:r>
    </w:p>
    <w:p w14:paraId="0A8585D4" w14:textId="77777777" w:rsidR="006F0364" w:rsidRPr="006F0364" w:rsidRDefault="006F0364" w:rsidP="006F0364">
      <w:pPr>
        <w:pStyle w:val="Bibliografia"/>
        <w:rPr>
          <w:lang w:val="en-US"/>
        </w:rPr>
      </w:pPr>
      <w:r w:rsidRPr="006F0364">
        <w:rPr>
          <w:lang w:val="en-US"/>
        </w:rPr>
        <w:t>8.</w:t>
      </w:r>
      <w:r w:rsidRPr="006F0364">
        <w:rPr>
          <w:lang w:val="en-US"/>
        </w:rPr>
        <w:tab/>
        <w:t xml:space="preserve">Buckthorpe M, Pirli Capitani L, Olivares-Jabalera J, Olmo J, Della Villa F. Systematic video analysis of ACL injuries in professional Spanish male football (soccer): injury mechanisms, situational patterns, biomechanics and neurocognitive errors - a study on 115 consecutive cases. </w:t>
      </w:r>
      <w:r w:rsidRPr="006F0364">
        <w:rPr>
          <w:i/>
          <w:iCs/>
          <w:lang w:val="en-US"/>
        </w:rPr>
        <w:t>BMJ Open Sport Exerc Med</w:t>
      </w:r>
      <w:r w:rsidRPr="006F0364">
        <w:rPr>
          <w:lang w:val="en-US"/>
        </w:rPr>
        <w:t>. 2024;10(3):e002149. doi:10.1136/bmjsem-2024-002149</w:t>
      </w:r>
    </w:p>
    <w:p w14:paraId="3F6BCBBD" w14:textId="77777777" w:rsidR="006F0364" w:rsidRPr="006F0364" w:rsidRDefault="006F0364" w:rsidP="006F0364">
      <w:pPr>
        <w:pStyle w:val="Bibliografia"/>
        <w:rPr>
          <w:lang w:val="en-US"/>
        </w:rPr>
      </w:pPr>
      <w:r w:rsidRPr="006F0364">
        <w:rPr>
          <w:lang w:val="en-US"/>
        </w:rPr>
        <w:lastRenderedPageBreak/>
        <w:t>9.</w:t>
      </w:r>
      <w:r w:rsidRPr="006F0364">
        <w:rPr>
          <w:lang w:val="en-US"/>
        </w:rPr>
        <w:tab/>
        <w:t xml:space="preserve">Gokeler A, Tosarelli F, Buckthorpe M, Villa FD. Neurocognitive Errors and Noncontact Anterior Cruciate Ligament Injuries in Professional Male Soccer Players. </w:t>
      </w:r>
      <w:r w:rsidRPr="006F0364">
        <w:rPr>
          <w:i/>
          <w:iCs/>
          <w:lang w:val="en-US"/>
        </w:rPr>
        <w:t>Journal of athletic training</w:t>
      </w:r>
      <w:r w:rsidRPr="006F0364">
        <w:rPr>
          <w:lang w:val="en-US"/>
        </w:rPr>
        <w:t>. 2024;59(3):262-269. doi:10.4085/1062-6050-0209.22</w:t>
      </w:r>
    </w:p>
    <w:p w14:paraId="2573F491" w14:textId="77777777" w:rsidR="006F0364" w:rsidRPr="006F0364" w:rsidRDefault="006F0364" w:rsidP="006F0364">
      <w:pPr>
        <w:pStyle w:val="Bibliografia"/>
        <w:rPr>
          <w:lang w:val="en-US"/>
        </w:rPr>
      </w:pPr>
      <w:r w:rsidRPr="006F0364">
        <w:rPr>
          <w:lang w:val="en-US"/>
        </w:rPr>
        <w:t>10.</w:t>
      </w:r>
      <w:r w:rsidRPr="006F0364">
        <w:rPr>
          <w:lang w:val="en-US"/>
        </w:rPr>
        <w:tab/>
        <w:t xml:space="preserve">Bertozzi F, Fischer PD, Aflatounian F, Hutchison KA, Sforza C, Monfort SM. Influence of Fatigue on Cognitive-Motor Function During Unanticipated Landings. </w:t>
      </w:r>
      <w:r w:rsidRPr="006F0364">
        <w:rPr>
          <w:i/>
          <w:iCs/>
          <w:lang w:val="en-US"/>
        </w:rPr>
        <w:t>The American journal of sports medicine</w:t>
      </w:r>
      <w:r w:rsidRPr="006F0364">
        <w:rPr>
          <w:lang w:val="en-US"/>
        </w:rPr>
        <w:t>. 2023;51(10):2740-2747. doi:10.1177/03635465231180612</w:t>
      </w:r>
    </w:p>
    <w:p w14:paraId="6C7A2F85" w14:textId="77777777" w:rsidR="006F0364" w:rsidRPr="006F0364" w:rsidRDefault="006F0364" w:rsidP="006F0364">
      <w:pPr>
        <w:pStyle w:val="Bibliografia"/>
        <w:rPr>
          <w:lang w:val="en-US"/>
        </w:rPr>
      </w:pPr>
      <w:r w:rsidRPr="006F0364">
        <w:rPr>
          <w:lang w:val="en-US"/>
        </w:rPr>
        <w:t>11.</w:t>
      </w:r>
      <w:r w:rsidRPr="006F0364">
        <w:rPr>
          <w:lang w:val="en-US"/>
        </w:rPr>
        <w:tab/>
        <w:t xml:space="preserve">Ebner C, Granacher U, Gehring D. Effects of Anticipation and Dual-Tasking on Lower Limb Biomechanics While Performing Change-of-Direction Tasks in Physically Active Individuals: A Systematic Review with Meta-Analysis. </w:t>
      </w:r>
      <w:r w:rsidRPr="006F0364">
        <w:rPr>
          <w:i/>
          <w:iCs/>
          <w:lang w:val="en-US"/>
        </w:rPr>
        <w:t>Sports Med</w:t>
      </w:r>
      <w:r w:rsidRPr="006F0364">
        <w:rPr>
          <w:lang w:val="en-US"/>
        </w:rPr>
        <w:t>. 2025;55(4):857-876. doi:10.1007/s40279-025-02182-w</w:t>
      </w:r>
    </w:p>
    <w:p w14:paraId="267E0125" w14:textId="77777777" w:rsidR="006F0364" w:rsidRPr="006F0364" w:rsidRDefault="006F0364" w:rsidP="006F0364">
      <w:pPr>
        <w:pStyle w:val="Bibliografia"/>
        <w:rPr>
          <w:lang w:val="en-US"/>
        </w:rPr>
      </w:pPr>
      <w:r w:rsidRPr="006F0364">
        <w:rPr>
          <w:lang w:val="en-US"/>
        </w:rPr>
        <w:t>12.</w:t>
      </w:r>
      <w:r w:rsidRPr="006F0364">
        <w:rPr>
          <w:lang w:val="en-US"/>
        </w:rPr>
        <w:tab/>
        <w:t xml:space="preserve">Hughes G, Dai B. The influence of decision making and divided attention on lower limb biomechanics associated with anterior cruciate ligament injury: a narrative review. </w:t>
      </w:r>
      <w:r w:rsidRPr="006F0364">
        <w:rPr>
          <w:i/>
          <w:iCs/>
          <w:lang w:val="en-US"/>
        </w:rPr>
        <w:t>Sports Biomechanics</w:t>
      </w:r>
      <w:r w:rsidRPr="006F0364">
        <w:rPr>
          <w:lang w:val="en-US"/>
        </w:rPr>
        <w:t>. 2023;22(1):30-45. doi:10.1080/14763141.2021.1898671</w:t>
      </w:r>
    </w:p>
    <w:p w14:paraId="4AFEBDC9" w14:textId="77777777" w:rsidR="006F0364" w:rsidRPr="006F0364" w:rsidRDefault="006F0364" w:rsidP="006F0364">
      <w:pPr>
        <w:pStyle w:val="Bibliografia"/>
        <w:rPr>
          <w:lang w:val="en-US"/>
        </w:rPr>
      </w:pPr>
      <w:r w:rsidRPr="006F0364">
        <w:rPr>
          <w:lang w:val="en-US"/>
        </w:rPr>
        <w:t>13.</w:t>
      </w:r>
      <w:r w:rsidRPr="006F0364">
        <w:rPr>
          <w:lang w:val="en-US"/>
        </w:rPr>
        <w:tab/>
        <w:t xml:space="preserve">Knight R, Chembila Valappil A, Bruton A, Greene A. The impact of a secondary cognitive task on variables associated with ACL loading during landing: a systematic review and meta-analysis. </w:t>
      </w:r>
      <w:r w:rsidRPr="006F0364">
        <w:rPr>
          <w:i/>
          <w:iCs/>
          <w:lang w:val="en-US"/>
        </w:rPr>
        <w:t>Sports Biomechanics</w:t>
      </w:r>
      <w:r w:rsidRPr="006F0364">
        <w:rPr>
          <w:lang w:val="en-US"/>
        </w:rPr>
        <w:t>. Published online January 29, 2026:1-29. doi:10.1080/14763141.2025.2603396</w:t>
      </w:r>
    </w:p>
    <w:p w14:paraId="29C39D97" w14:textId="77777777" w:rsidR="006F0364" w:rsidRPr="006F0364" w:rsidRDefault="006F0364" w:rsidP="006F0364">
      <w:pPr>
        <w:pStyle w:val="Bibliografia"/>
        <w:rPr>
          <w:lang w:val="en-US"/>
        </w:rPr>
      </w:pPr>
      <w:r w:rsidRPr="006F0364">
        <w:rPr>
          <w:lang w:val="en-US"/>
        </w:rPr>
        <w:t>14.</w:t>
      </w:r>
      <w:r w:rsidRPr="006F0364">
        <w:rPr>
          <w:lang w:val="en-US"/>
        </w:rPr>
        <w:tab/>
        <w:t xml:space="preserve">Xu Y, Wang R, Yuan P, Yu S, Chen W, Liu J. Influence of unanticipated side-step cutting and landing on trunk and lower limb biomechanics: A systematic review and meta-analysis. </w:t>
      </w:r>
      <w:r w:rsidRPr="006F0364">
        <w:rPr>
          <w:i/>
          <w:iCs/>
          <w:lang w:val="en-US"/>
        </w:rPr>
        <w:t>J Biomech</w:t>
      </w:r>
      <w:r w:rsidRPr="006F0364">
        <w:rPr>
          <w:lang w:val="en-US"/>
        </w:rPr>
        <w:t>. 2025;190:112863. doi:10.1016/j.jbiomech.2025.112863</w:t>
      </w:r>
    </w:p>
    <w:p w14:paraId="50816DF7" w14:textId="77777777" w:rsidR="006F0364" w:rsidRPr="006F0364" w:rsidRDefault="006F0364" w:rsidP="006F0364">
      <w:pPr>
        <w:pStyle w:val="Bibliografia"/>
        <w:rPr>
          <w:lang w:val="en-US"/>
        </w:rPr>
      </w:pPr>
      <w:r w:rsidRPr="006F0364">
        <w:rPr>
          <w:lang w:val="en-US"/>
        </w:rPr>
        <w:t>15.</w:t>
      </w:r>
      <w:r w:rsidRPr="006F0364">
        <w:rPr>
          <w:lang w:val="en-US"/>
        </w:rPr>
        <w:tab/>
        <w:t xml:space="preserve">Borotikar BS, Newcomer R, Koppes R, McLean SG. Combined effects of fatigue and decision making on female lower limb landing postures: central and peripheral contributions to ACL injury risk. </w:t>
      </w:r>
      <w:r w:rsidRPr="006F0364">
        <w:rPr>
          <w:i/>
          <w:iCs/>
          <w:lang w:val="en-US"/>
        </w:rPr>
        <w:t>Clinical biomechanics (Bristol, Avon)</w:t>
      </w:r>
      <w:r w:rsidRPr="006F0364">
        <w:rPr>
          <w:lang w:val="en-US"/>
        </w:rPr>
        <w:t>. 2008;23(1):81-92. doi:10.1016/j.clinbiomech.2007.08.008</w:t>
      </w:r>
    </w:p>
    <w:p w14:paraId="10647AD8" w14:textId="77777777" w:rsidR="006F0364" w:rsidRPr="006F0364" w:rsidRDefault="006F0364" w:rsidP="006F0364">
      <w:pPr>
        <w:pStyle w:val="Bibliografia"/>
        <w:rPr>
          <w:lang w:val="en-US"/>
        </w:rPr>
      </w:pPr>
      <w:r w:rsidRPr="006F0364">
        <w:rPr>
          <w:lang w:val="en-US"/>
        </w:rPr>
        <w:t>16.</w:t>
      </w:r>
      <w:r w:rsidRPr="006F0364">
        <w:rPr>
          <w:lang w:val="en-US"/>
        </w:rPr>
        <w:tab/>
        <w:t xml:space="preserve">Niemeyer P, Niederer D, Giesche F, et al. Unanticipated jump-landing after anterior cruciate ligament reconstruction: Does unanticipated jump-landing testing deliver additional return to sport information to traditional jump performance tests? </w:t>
      </w:r>
      <w:r w:rsidRPr="006F0364">
        <w:rPr>
          <w:i/>
          <w:iCs/>
          <w:lang w:val="en-US"/>
        </w:rPr>
        <w:t>Clinical biomechanics (Bristol, Avon)</w:t>
      </w:r>
      <w:r w:rsidRPr="006F0364">
        <w:rPr>
          <w:lang w:val="en-US"/>
        </w:rPr>
        <w:t>. 2019;70:72-79. doi:10.1016/j.clinbiomech.2019.08.003</w:t>
      </w:r>
    </w:p>
    <w:p w14:paraId="79C96956" w14:textId="77777777" w:rsidR="006F0364" w:rsidRPr="006F0364" w:rsidRDefault="006F0364" w:rsidP="006F0364">
      <w:pPr>
        <w:pStyle w:val="Bibliografia"/>
        <w:rPr>
          <w:lang w:val="en-US"/>
        </w:rPr>
      </w:pPr>
      <w:r w:rsidRPr="006F0364">
        <w:rPr>
          <w:lang w:val="en-US"/>
        </w:rPr>
        <w:t>17.</w:t>
      </w:r>
      <w:r w:rsidRPr="006F0364">
        <w:rPr>
          <w:lang w:val="en-US"/>
        </w:rPr>
        <w:tab/>
        <w:t xml:space="preserve">Brown TN, Palmieri-Smith RM, McLean SG. Sex and limb differences in hip and knee kinematics and kinetics during anticipated and unanticipated jump landings: implications for anterior cruciate ligament injury. </w:t>
      </w:r>
      <w:r w:rsidRPr="006F0364">
        <w:rPr>
          <w:i/>
          <w:iCs/>
          <w:lang w:val="en-US"/>
        </w:rPr>
        <w:t>British Journal of Sports Medicine</w:t>
      </w:r>
      <w:r w:rsidRPr="006F0364">
        <w:rPr>
          <w:lang w:val="en-US"/>
        </w:rPr>
        <w:t>. 2009;43(13):1049-1056. doi:10.1136/bjsm.2008.055954</w:t>
      </w:r>
    </w:p>
    <w:p w14:paraId="3EDB0346" w14:textId="77777777" w:rsidR="006F0364" w:rsidRPr="006F0364" w:rsidRDefault="006F0364" w:rsidP="006F0364">
      <w:pPr>
        <w:pStyle w:val="Bibliografia"/>
        <w:rPr>
          <w:lang w:val="en-US"/>
        </w:rPr>
      </w:pPr>
      <w:r w:rsidRPr="006F0364">
        <w:rPr>
          <w:lang w:val="en-US"/>
        </w:rPr>
        <w:t>18.</w:t>
      </w:r>
      <w:r w:rsidRPr="006F0364">
        <w:rPr>
          <w:lang w:val="en-US"/>
        </w:rPr>
        <w:tab/>
        <w:t xml:space="preserve">Giesche F, Wilke J, Engeroff T, et al. Are biomechanical stability deficits during unplanned single-leg landings related to specific markers of cognitive function? </w:t>
      </w:r>
      <w:r w:rsidRPr="006F0364">
        <w:rPr>
          <w:i/>
          <w:iCs/>
          <w:lang w:val="en-US"/>
        </w:rPr>
        <w:t>Journal of Science and Medicine in Sport</w:t>
      </w:r>
      <w:r w:rsidRPr="006F0364">
        <w:rPr>
          <w:lang w:val="en-US"/>
        </w:rPr>
        <w:t>. 2020;23(1):82-88. doi:10.1016/j.jsams.2019.09.003</w:t>
      </w:r>
    </w:p>
    <w:p w14:paraId="73197828" w14:textId="77777777" w:rsidR="006F0364" w:rsidRPr="006F0364" w:rsidRDefault="006F0364" w:rsidP="006F0364">
      <w:pPr>
        <w:pStyle w:val="Bibliografia"/>
        <w:rPr>
          <w:lang w:val="en-US"/>
        </w:rPr>
      </w:pPr>
      <w:r w:rsidRPr="006F0364">
        <w:rPr>
          <w:lang w:val="nl-NL"/>
        </w:rPr>
        <w:t>19.</w:t>
      </w:r>
      <w:r w:rsidRPr="006F0364">
        <w:rPr>
          <w:lang w:val="nl-NL"/>
        </w:rPr>
        <w:tab/>
        <w:t xml:space="preserve">Wikstrom EA, Tillman MD, Schenker S, Borsa PA. </w:t>
      </w:r>
      <w:r w:rsidRPr="006F0364">
        <w:rPr>
          <w:lang w:val="en-US"/>
        </w:rPr>
        <w:t xml:space="preserve">Failed jump landing trials: deficits in neuromuscular control. </w:t>
      </w:r>
      <w:r w:rsidRPr="006F0364">
        <w:rPr>
          <w:i/>
          <w:iCs/>
          <w:lang w:val="en-US"/>
        </w:rPr>
        <w:t>Scandinavian Journal of Medicine &amp; Science in Sports</w:t>
      </w:r>
      <w:r w:rsidRPr="006F0364">
        <w:rPr>
          <w:lang w:val="en-US"/>
        </w:rPr>
        <w:t>. 2008;18(1):55-61. doi:10.1111/j.1600-0838.2006.00629.x</w:t>
      </w:r>
    </w:p>
    <w:p w14:paraId="33238DAB" w14:textId="77777777" w:rsidR="006F0364" w:rsidRPr="006F0364" w:rsidRDefault="006F0364" w:rsidP="006F0364">
      <w:pPr>
        <w:pStyle w:val="Bibliografia"/>
        <w:rPr>
          <w:lang w:val="en-US"/>
        </w:rPr>
      </w:pPr>
      <w:r w:rsidRPr="006F0364">
        <w:rPr>
          <w:lang w:val="en-US"/>
        </w:rPr>
        <w:t>20.</w:t>
      </w:r>
      <w:r w:rsidRPr="006F0364">
        <w:rPr>
          <w:lang w:val="en-US"/>
        </w:rPr>
        <w:tab/>
        <w:t xml:space="preserve">Romanchuk NJ, Smale KB, Bel MJD, Benoit DL. Divergence analysis of failed and successful unanticipated single-leg landings reveals the importance of the flight phase and upper body biomechanics. </w:t>
      </w:r>
      <w:r w:rsidRPr="006F0364">
        <w:rPr>
          <w:i/>
          <w:iCs/>
          <w:lang w:val="en-US"/>
        </w:rPr>
        <w:t>Journal of biomechanics</w:t>
      </w:r>
      <w:r w:rsidRPr="006F0364">
        <w:rPr>
          <w:lang w:val="en-US"/>
        </w:rPr>
        <w:t>. 2020;109:109879. doi:10.1016/j.jbiomech.2020.109879</w:t>
      </w:r>
    </w:p>
    <w:p w14:paraId="75FEABC4" w14:textId="77777777" w:rsidR="006F0364" w:rsidRPr="006F0364" w:rsidRDefault="006F0364" w:rsidP="006F0364">
      <w:pPr>
        <w:pStyle w:val="Bibliografia"/>
        <w:rPr>
          <w:lang w:val="en-US"/>
        </w:rPr>
      </w:pPr>
      <w:r w:rsidRPr="006F0364">
        <w:rPr>
          <w:lang w:val="en-US"/>
        </w:rPr>
        <w:lastRenderedPageBreak/>
        <w:t>21.</w:t>
      </w:r>
      <w:r w:rsidRPr="006F0364">
        <w:rPr>
          <w:lang w:val="en-US"/>
        </w:rPr>
        <w:tab/>
        <w:t xml:space="preserve">Frades I, Matthiesen R. Overview on Techniques in Cluster Analysis. In: Matthiesen R, ed. </w:t>
      </w:r>
      <w:r w:rsidRPr="006F0364">
        <w:rPr>
          <w:i/>
          <w:iCs/>
          <w:lang w:val="en-US"/>
        </w:rPr>
        <w:t>Bioinformatics Methods in Clinical Research</w:t>
      </w:r>
      <w:r w:rsidRPr="006F0364">
        <w:rPr>
          <w:lang w:val="en-US"/>
        </w:rPr>
        <w:t>. Vol 593. Methods in Molecular Biology. Humana Press; 2010:81-107. doi:10.1007/978-1-60327-194-3_5</w:t>
      </w:r>
    </w:p>
    <w:p w14:paraId="46106574" w14:textId="77777777" w:rsidR="006F0364" w:rsidRPr="006F0364" w:rsidRDefault="006F0364" w:rsidP="006F0364">
      <w:pPr>
        <w:pStyle w:val="Bibliografia"/>
        <w:rPr>
          <w:lang w:val="en-US"/>
        </w:rPr>
      </w:pPr>
      <w:r w:rsidRPr="006F0364">
        <w:rPr>
          <w:lang w:val="en-US"/>
        </w:rPr>
        <w:t>22.</w:t>
      </w:r>
      <w:r w:rsidRPr="006F0364">
        <w:rPr>
          <w:lang w:val="en-US"/>
        </w:rPr>
        <w:tab/>
        <w:t xml:space="preserve">Mausehund L, Patron A, Äyrämö S, Krosshaug T. Cluster analysis of cutting technique—a valuable approach for assessing anterior cruciate ligament injury risk? </w:t>
      </w:r>
      <w:r w:rsidRPr="006F0364">
        <w:rPr>
          <w:i/>
          <w:iCs/>
          <w:lang w:val="en-US"/>
        </w:rPr>
        <w:t>Front Sports Act Living</w:t>
      </w:r>
      <w:r w:rsidRPr="006F0364">
        <w:rPr>
          <w:lang w:val="en-US"/>
        </w:rPr>
        <w:t>. 2025;7:1463272. doi:10.3389/fspor.2025.1463272</w:t>
      </w:r>
    </w:p>
    <w:p w14:paraId="7E10F8AA" w14:textId="77777777" w:rsidR="006F0364" w:rsidRPr="006F0364" w:rsidRDefault="006F0364" w:rsidP="006F0364">
      <w:pPr>
        <w:pStyle w:val="Bibliografia"/>
        <w:rPr>
          <w:lang w:val="en-US"/>
        </w:rPr>
      </w:pPr>
      <w:r w:rsidRPr="006F0364">
        <w:rPr>
          <w:lang w:val="en-US"/>
        </w:rPr>
        <w:t>23.</w:t>
      </w:r>
      <w:r w:rsidRPr="006F0364">
        <w:rPr>
          <w:lang w:val="en-US"/>
        </w:rPr>
        <w:tab/>
        <w:t xml:space="preserve">Ditroilo M, Mesquida C, Abt G, Lakens D. Exploratory research in sport and exercise science: Perceptions, challenges, and recommendations. </w:t>
      </w:r>
      <w:r w:rsidRPr="006F0364">
        <w:rPr>
          <w:i/>
          <w:iCs/>
          <w:lang w:val="en-US"/>
        </w:rPr>
        <w:t>Journal of Sports Sciences</w:t>
      </w:r>
      <w:r w:rsidRPr="006F0364">
        <w:rPr>
          <w:lang w:val="en-US"/>
        </w:rPr>
        <w:t>. 2025;43(12):1108-1120. doi:10.1080/02640414.2025.2486871</w:t>
      </w:r>
    </w:p>
    <w:p w14:paraId="6C2096AE" w14:textId="77777777" w:rsidR="006F0364" w:rsidRPr="006F0364" w:rsidRDefault="006F0364" w:rsidP="006F0364">
      <w:pPr>
        <w:pStyle w:val="Bibliografia"/>
        <w:rPr>
          <w:lang w:val="en-US"/>
        </w:rPr>
      </w:pPr>
      <w:r w:rsidRPr="006F0364">
        <w:rPr>
          <w:lang w:val="en-US"/>
        </w:rPr>
        <w:t>24.</w:t>
      </w:r>
      <w:r w:rsidRPr="006F0364">
        <w:rPr>
          <w:lang w:val="en-US"/>
        </w:rPr>
        <w:tab/>
        <w:t xml:space="preserve">Lakens D. Sample Size Justification. </w:t>
      </w:r>
      <w:proofErr w:type="spellStart"/>
      <w:r w:rsidRPr="00970C5E">
        <w:rPr>
          <w:lang w:val="en-US"/>
        </w:rPr>
        <w:t>Ravenzwaaij</w:t>
      </w:r>
      <w:proofErr w:type="spellEnd"/>
      <w:r w:rsidRPr="00970C5E">
        <w:rPr>
          <w:lang w:val="en-US"/>
        </w:rPr>
        <w:t xml:space="preserve"> DV, ed. </w:t>
      </w:r>
      <w:r w:rsidRPr="00970C5E">
        <w:rPr>
          <w:i/>
          <w:iCs/>
          <w:lang w:val="en-US"/>
        </w:rPr>
        <w:t>Collabra: Psychology</w:t>
      </w:r>
      <w:r w:rsidRPr="00970C5E">
        <w:rPr>
          <w:lang w:val="en-US"/>
        </w:rPr>
        <w:t xml:space="preserve">. </w:t>
      </w:r>
      <w:r w:rsidRPr="006F0364">
        <w:rPr>
          <w:lang w:val="en-US"/>
        </w:rPr>
        <w:t>2022;8(1):33267. doi:10.1525/collabra.33267</w:t>
      </w:r>
    </w:p>
    <w:p w14:paraId="3941740B" w14:textId="77777777" w:rsidR="006F0364" w:rsidRPr="006F0364" w:rsidRDefault="006F0364" w:rsidP="006F0364">
      <w:pPr>
        <w:pStyle w:val="Bibliografia"/>
        <w:rPr>
          <w:lang w:val="en-US"/>
        </w:rPr>
      </w:pPr>
      <w:r w:rsidRPr="006F0364">
        <w:rPr>
          <w:lang w:val="en-US"/>
        </w:rPr>
        <w:t>25.</w:t>
      </w:r>
      <w:r w:rsidRPr="006F0364">
        <w:rPr>
          <w:lang w:val="en-US"/>
        </w:rPr>
        <w:tab/>
        <w:t xml:space="preserve">Briggs KK, Steadman JR, Hay CJ, Hines SL. Lysholm Score and Tegner Activity Level in Individuals with Normal Knees. </w:t>
      </w:r>
      <w:r w:rsidRPr="006F0364">
        <w:rPr>
          <w:i/>
          <w:iCs/>
          <w:lang w:val="en-US"/>
        </w:rPr>
        <w:t>Am J Sports Med</w:t>
      </w:r>
      <w:r w:rsidRPr="006F0364">
        <w:rPr>
          <w:lang w:val="en-US"/>
        </w:rPr>
        <w:t>. 2009;37(5):898-901. doi:10.1177/0363546508330149</w:t>
      </w:r>
    </w:p>
    <w:p w14:paraId="1F0D93F4" w14:textId="77777777" w:rsidR="006F0364" w:rsidRPr="006F0364" w:rsidRDefault="006F0364" w:rsidP="006F0364">
      <w:pPr>
        <w:pStyle w:val="Bibliografia"/>
        <w:rPr>
          <w:lang w:val="en-US"/>
        </w:rPr>
      </w:pPr>
      <w:r w:rsidRPr="006F0364">
        <w:rPr>
          <w:lang w:val="en-US"/>
        </w:rPr>
        <w:t>26.</w:t>
      </w:r>
      <w:r w:rsidRPr="006F0364">
        <w:rPr>
          <w:lang w:val="en-US"/>
        </w:rPr>
        <w:tab/>
        <w:t xml:space="preserve">Bertozzi F, Brunetti C, Maver P, et al. Concurrent validity of IMU and phone-based markerless systems for lower-limb kinematics during cognitively-challenging landing tasks. </w:t>
      </w:r>
      <w:r w:rsidRPr="006F0364">
        <w:rPr>
          <w:i/>
          <w:iCs/>
          <w:lang w:val="en-US"/>
        </w:rPr>
        <w:t>Journal of Biomechanics</w:t>
      </w:r>
      <w:r w:rsidRPr="006F0364">
        <w:rPr>
          <w:lang w:val="en-US"/>
        </w:rPr>
        <w:t>. 2025;191:112883. doi:10.1016/j.jbiomech.2025.112883</w:t>
      </w:r>
    </w:p>
    <w:p w14:paraId="66F1B5D4" w14:textId="77777777" w:rsidR="006F0364" w:rsidRPr="006F0364" w:rsidRDefault="006F0364" w:rsidP="006F0364">
      <w:pPr>
        <w:pStyle w:val="Bibliografia"/>
        <w:rPr>
          <w:lang w:val="en-US"/>
        </w:rPr>
      </w:pPr>
      <w:r w:rsidRPr="006F0364">
        <w:rPr>
          <w:lang w:val="en-US"/>
        </w:rPr>
        <w:t>27.</w:t>
      </w:r>
      <w:r w:rsidRPr="006F0364">
        <w:rPr>
          <w:lang w:val="en-US"/>
        </w:rPr>
        <w:tab/>
        <w:t xml:space="preserve">Bertozzi F, Monfort SM, Di Giovanni E, et al. Development and reliability of a framework to assess cognitive-motor function in sport. </w:t>
      </w:r>
      <w:r w:rsidRPr="006F0364">
        <w:rPr>
          <w:i/>
          <w:iCs/>
          <w:lang w:val="en-US"/>
        </w:rPr>
        <w:t>J Sports Med Phys Fitness</w:t>
      </w:r>
      <w:r w:rsidRPr="006F0364">
        <w:rPr>
          <w:lang w:val="en-US"/>
        </w:rPr>
        <w:t>. 2025;65(9):1201-1209. doi:10.23736/S0022-4707.25.16608-5</w:t>
      </w:r>
    </w:p>
    <w:p w14:paraId="61D97D13" w14:textId="77777777" w:rsidR="006F0364" w:rsidRPr="006F0364" w:rsidRDefault="006F0364" w:rsidP="006F0364">
      <w:pPr>
        <w:pStyle w:val="Bibliografia"/>
        <w:rPr>
          <w:lang w:val="en-US"/>
        </w:rPr>
      </w:pPr>
      <w:r w:rsidRPr="006F0364">
        <w:rPr>
          <w:lang w:val="en-US"/>
        </w:rPr>
        <w:t>28.</w:t>
      </w:r>
      <w:r w:rsidRPr="006F0364">
        <w:rPr>
          <w:lang w:val="en-US"/>
        </w:rPr>
        <w:tab/>
        <w:t xml:space="preserve">Brunetti C, Rabello R, Adragna F, et al. Customized Landing Task for ACL Injury Risk Assessment: Kinematic Sex-Related Differences. </w:t>
      </w:r>
      <w:r w:rsidRPr="006F0364">
        <w:rPr>
          <w:i/>
          <w:iCs/>
          <w:lang w:val="en-US"/>
        </w:rPr>
        <w:t>Sports Health: A Multidisciplinary Approach</w:t>
      </w:r>
      <w:r w:rsidRPr="006F0364">
        <w:rPr>
          <w:lang w:val="en-US"/>
        </w:rPr>
        <w:t>. 2025;17(2):252-261. doi:10.1177/19417381241236893</w:t>
      </w:r>
    </w:p>
    <w:p w14:paraId="6FA033CA" w14:textId="77777777" w:rsidR="006F0364" w:rsidRPr="006F0364" w:rsidRDefault="006F0364" w:rsidP="006F0364">
      <w:pPr>
        <w:pStyle w:val="Bibliografia"/>
        <w:rPr>
          <w:lang w:val="en-US"/>
        </w:rPr>
      </w:pPr>
      <w:r w:rsidRPr="006F0364">
        <w:rPr>
          <w:lang w:val="en-US"/>
        </w:rPr>
        <w:t>29.</w:t>
      </w:r>
      <w:r w:rsidRPr="006F0364">
        <w:rPr>
          <w:lang w:val="en-US"/>
        </w:rPr>
        <w:tab/>
        <w:t xml:space="preserve">Belkhelladi M, Cierson T, Martineau PA. Biomechanical Risk Factors for Increased Anterior Cruciate Ligament Loading and Injury: A Systematic Review. </w:t>
      </w:r>
      <w:r w:rsidRPr="006F0364">
        <w:rPr>
          <w:i/>
          <w:iCs/>
          <w:lang w:val="en-US"/>
        </w:rPr>
        <w:t>Orthopaedic Journal of Sports Medicine</w:t>
      </w:r>
      <w:r w:rsidRPr="006F0364">
        <w:rPr>
          <w:lang w:val="en-US"/>
        </w:rPr>
        <w:t>. 2025;13(2):23259671241312681. doi:10.1177/23259671241312681</w:t>
      </w:r>
    </w:p>
    <w:p w14:paraId="6FEFD02E" w14:textId="77777777" w:rsidR="006F0364" w:rsidRPr="006F0364" w:rsidRDefault="006F0364" w:rsidP="006F0364">
      <w:pPr>
        <w:pStyle w:val="Bibliografia"/>
        <w:rPr>
          <w:lang w:val="en-US"/>
        </w:rPr>
      </w:pPr>
      <w:r w:rsidRPr="006F0364">
        <w:rPr>
          <w:lang w:val="en-US"/>
        </w:rPr>
        <w:t>30.</w:t>
      </w:r>
      <w:r w:rsidRPr="006F0364">
        <w:rPr>
          <w:lang w:val="en-US"/>
        </w:rPr>
        <w:tab/>
        <w:t xml:space="preserve">Lepley AS, Kuenze CM. Hip and Knee Kinematics and Kinetics During Landing Tasks After Anterior Cruciate Ligament Reconstruction: A Systematic Review and Meta-Analysis. </w:t>
      </w:r>
      <w:r w:rsidRPr="006F0364">
        <w:rPr>
          <w:i/>
          <w:iCs/>
          <w:lang w:val="en-US"/>
        </w:rPr>
        <w:t>Journal of Athletic Training</w:t>
      </w:r>
      <w:r w:rsidRPr="006F0364">
        <w:rPr>
          <w:lang w:val="en-US"/>
        </w:rPr>
        <w:t>. 2018;53(2):144-159. doi:10.4085/1062-6050-334-16</w:t>
      </w:r>
    </w:p>
    <w:p w14:paraId="5E126208" w14:textId="77777777" w:rsidR="006F0364" w:rsidRPr="006F0364" w:rsidRDefault="006F0364" w:rsidP="006F0364">
      <w:pPr>
        <w:pStyle w:val="Bibliografia"/>
        <w:rPr>
          <w:lang w:val="en-US"/>
        </w:rPr>
      </w:pPr>
      <w:r w:rsidRPr="006F0364">
        <w:rPr>
          <w:lang w:val="en-US"/>
        </w:rPr>
        <w:t>31.</w:t>
      </w:r>
      <w:r w:rsidRPr="006F0364">
        <w:rPr>
          <w:lang w:val="en-US"/>
        </w:rPr>
        <w:tab/>
        <w:t>Krosshaug T, Slauterbeck JR, Engebretsen L, Bahr R. Biomechanical analysis of anterior cruciate ligament injury mechanisms: three</w:t>
      </w:r>
      <w:r w:rsidRPr="006F0364">
        <w:rPr>
          <w:rFonts w:ascii="Cambria Math" w:hAnsi="Cambria Math" w:cs="Cambria Math"/>
          <w:lang w:val="en-US"/>
        </w:rPr>
        <w:t>‐</w:t>
      </w:r>
      <w:r w:rsidRPr="006F0364">
        <w:rPr>
          <w:lang w:val="en-US"/>
        </w:rPr>
        <w:t xml:space="preserve">dimensional motion reconstruction from video sequences. </w:t>
      </w:r>
      <w:r w:rsidRPr="006F0364">
        <w:rPr>
          <w:i/>
          <w:iCs/>
          <w:lang w:val="en-US"/>
        </w:rPr>
        <w:t>Scandinavian Med Sci Sports</w:t>
      </w:r>
      <w:r w:rsidRPr="006F0364">
        <w:rPr>
          <w:lang w:val="en-US"/>
        </w:rPr>
        <w:t>. 2007;17(5):508-519. doi:10.1111/j.1600-0838.2006.00558.x</w:t>
      </w:r>
    </w:p>
    <w:p w14:paraId="0247A759" w14:textId="77777777" w:rsidR="006F0364" w:rsidRPr="006F0364" w:rsidRDefault="006F0364" w:rsidP="006F0364">
      <w:pPr>
        <w:pStyle w:val="Bibliografia"/>
        <w:rPr>
          <w:lang w:val="en-US"/>
        </w:rPr>
      </w:pPr>
      <w:r w:rsidRPr="006F0364">
        <w:rPr>
          <w:lang w:val="en-US"/>
        </w:rPr>
        <w:t>32.</w:t>
      </w:r>
      <w:r w:rsidRPr="006F0364">
        <w:rPr>
          <w:lang w:val="en-US"/>
        </w:rPr>
        <w:tab/>
        <w:t xml:space="preserve">Rivadulla AR, Chen X, Cazzola D, Trewartha G, Preatoni E. Data should be made as simple as possible but not simpler: The method chosen for dimensionality reduction and its parameters can affect the clustering of runners based on their kinematics. </w:t>
      </w:r>
      <w:r w:rsidRPr="006F0364">
        <w:rPr>
          <w:i/>
          <w:iCs/>
          <w:lang w:val="en-US"/>
        </w:rPr>
        <w:t>Journal of Biomechanics</w:t>
      </w:r>
      <w:r w:rsidRPr="006F0364">
        <w:rPr>
          <w:lang w:val="en-US"/>
        </w:rPr>
        <w:t>. 2024;177:112433. doi:10.1016/j.jbiomech.2024.112433</w:t>
      </w:r>
    </w:p>
    <w:p w14:paraId="11EBBE07" w14:textId="77777777" w:rsidR="006F0364" w:rsidRPr="006F0364" w:rsidRDefault="006F0364" w:rsidP="006F0364">
      <w:pPr>
        <w:pStyle w:val="Bibliografia"/>
        <w:rPr>
          <w:lang w:val="en-US"/>
        </w:rPr>
      </w:pPr>
      <w:r w:rsidRPr="006F0364">
        <w:rPr>
          <w:lang w:val="en-US"/>
        </w:rPr>
        <w:t>33.</w:t>
      </w:r>
      <w:r w:rsidRPr="006F0364">
        <w:rPr>
          <w:lang w:val="en-US"/>
        </w:rPr>
        <w:tab/>
        <w:t xml:space="preserve">Zago M, Esposito F, Stillavato S, Zaffagnini S, Frigo CA, Villa FD. 3-Dimensional Biomechanics of Noncontact Anterior Cruciate Ligament Injuries in Male Professional Soccer Players. </w:t>
      </w:r>
      <w:r w:rsidRPr="006F0364">
        <w:rPr>
          <w:i/>
          <w:iCs/>
          <w:lang w:val="en-US"/>
        </w:rPr>
        <w:t>The American Journal of Sports Medicine</w:t>
      </w:r>
      <w:r w:rsidRPr="006F0364">
        <w:rPr>
          <w:lang w:val="en-US"/>
        </w:rPr>
        <w:t>. 2024;52(7):1794-1803. doi:10.1177/03635465241248071</w:t>
      </w:r>
    </w:p>
    <w:p w14:paraId="1BE5CAF8" w14:textId="77777777" w:rsidR="006F0364" w:rsidRPr="006F0364" w:rsidRDefault="006F0364" w:rsidP="006F0364">
      <w:pPr>
        <w:pStyle w:val="Bibliografia"/>
        <w:rPr>
          <w:lang w:val="en-US"/>
        </w:rPr>
      </w:pPr>
      <w:r w:rsidRPr="006F0364">
        <w:rPr>
          <w:lang w:val="en-US"/>
        </w:rPr>
        <w:t>34.</w:t>
      </w:r>
      <w:r w:rsidRPr="006F0364">
        <w:rPr>
          <w:lang w:val="en-US"/>
        </w:rPr>
        <w:tab/>
        <w:t xml:space="preserve">Phinyomark A, Osis S, Hettinga BA, Ferber R. Kinematic gait patterns in healthy runners: A hierarchical cluster analysis. </w:t>
      </w:r>
      <w:r w:rsidRPr="006F0364">
        <w:rPr>
          <w:i/>
          <w:iCs/>
          <w:lang w:val="en-US"/>
        </w:rPr>
        <w:t>J Biomech</w:t>
      </w:r>
      <w:r w:rsidRPr="006F0364">
        <w:rPr>
          <w:lang w:val="en-US"/>
        </w:rPr>
        <w:t>. 2015;48(14):3897-3904. doi:10.1016/j.jbiomech.2015.09.025</w:t>
      </w:r>
    </w:p>
    <w:p w14:paraId="59A84DF4" w14:textId="77777777" w:rsidR="006F0364" w:rsidRPr="006F0364" w:rsidRDefault="006F0364" w:rsidP="006F0364">
      <w:pPr>
        <w:pStyle w:val="Bibliografia"/>
        <w:rPr>
          <w:lang w:val="en-US"/>
        </w:rPr>
      </w:pPr>
      <w:r w:rsidRPr="006F0364">
        <w:rPr>
          <w:lang w:val="en-US"/>
        </w:rPr>
        <w:lastRenderedPageBreak/>
        <w:t>35.</w:t>
      </w:r>
      <w:r w:rsidRPr="006F0364">
        <w:rPr>
          <w:lang w:val="en-US"/>
        </w:rPr>
        <w:tab/>
        <w:t xml:space="preserve">Jolliffe IT, Cadima J. Principal component analysis: a review and recent developments. </w:t>
      </w:r>
      <w:r w:rsidRPr="006F0364">
        <w:rPr>
          <w:i/>
          <w:iCs/>
          <w:lang w:val="en-US"/>
        </w:rPr>
        <w:t>Phil Trans R Soc A</w:t>
      </w:r>
      <w:r w:rsidRPr="006F0364">
        <w:rPr>
          <w:lang w:val="en-US"/>
        </w:rPr>
        <w:t>. 2016;374(2065):20150202. doi:10.1098/rsta.2015.0202</w:t>
      </w:r>
    </w:p>
    <w:p w14:paraId="28C37CE2" w14:textId="77777777" w:rsidR="006F0364" w:rsidRPr="006F0364" w:rsidRDefault="006F0364" w:rsidP="006F0364">
      <w:pPr>
        <w:pStyle w:val="Bibliografia"/>
        <w:rPr>
          <w:lang w:val="en-US"/>
        </w:rPr>
      </w:pPr>
      <w:r w:rsidRPr="006F0364">
        <w:rPr>
          <w:lang w:val="en-US"/>
        </w:rPr>
        <w:t>36.</w:t>
      </w:r>
      <w:r w:rsidRPr="006F0364">
        <w:rPr>
          <w:lang w:val="en-US"/>
        </w:rPr>
        <w:tab/>
        <w:t xml:space="preserve">Rousseeuw PJ. Silhouettes: A graphical aid to the interpretation and validation of cluster analysis. </w:t>
      </w:r>
      <w:r w:rsidRPr="006F0364">
        <w:rPr>
          <w:i/>
          <w:iCs/>
          <w:lang w:val="en-US"/>
        </w:rPr>
        <w:t>Journal of Computational and Applied Mathematics</w:t>
      </w:r>
      <w:r w:rsidRPr="006F0364">
        <w:rPr>
          <w:lang w:val="en-US"/>
        </w:rPr>
        <w:t>. 1987;20:53-65. doi:10.1016/0377-0427(87)90125-7</w:t>
      </w:r>
    </w:p>
    <w:p w14:paraId="6E9AAB83" w14:textId="77777777" w:rsidR="006F0364" w:rsidRPr="006F0364" w:rsidRDefault="006F0364" w:rsidP="006F0364">
      <w:pPr>
        <w:pStyle w:val="Bibliografia"/>
        <w:rPr>
          <w:lang w:val="en-US"/>
        </w:rPr>
      </w:pPr>
      <w:r w:rsidRPr="006F0364">
        <w:rPr>
          <w:lang w:val="en-US"/>
        </w:rPr>
        <w:t>37.</w:t>
      </w:r>
      <w:r w:rsidRPr="006F0364">
        <w:rPr>
          <w:lang w:val="en-US"/>
        </w:rPr>
        <w:tab/>
        <w:t xml:space="preserve">Weir G. Anterior cruciate ligament injury prevention in sport: biomechanically informed approaches. </w:t>
      </w:r>
      <w:r w:rsidRPr="006F0364">
        <w:rPr>
          <w:i/>
          <w:iCs/>
          <w:lang w:val="en-US"/>
        </w:rPr>
        <w:t>Sports biomechanics</w:t>
      </w:r>
      <w:r w:rsidRPr="006F0364">
        <w:rPr>
          <w:lang w:val="en-US"/>
        </w:rPr>
        <w:t>. 2024;23(11):1867-1887. doi:10.1080/14763141.2021.2016925</w:t>
      </w:r>
    </w:p>
    <w:p w14:paraId="3EB2B062" w14:textId="77777777" w:rsidR="006F0364" w:rsidRPr="006F0364" w:rsidRDefault="006F0364" w:rsidP="006F0364">
      <w:pPr>
        <w:pStyle w:val="Bibliografia"/>
        <w:rPr>
          <w:lang w:val="en-US"/>
        </w:rPr>
      </w:pPr>
      <w:r w:rsidRPr="006F0364">
        <w:rPr>
          <w:lang w:val="en-US"/>
        </w:rPr>
        <w:t>38.</w:t>
      </w:r>
      <w:r w:rsidRPr="006F0364">
        <w:rPr>
          <w:lang w:val="en-US"/>
        </w:rPr>
        <w:tab/>
        <w:t xml:space="preserve">Shimokochi Y, Yong Lee S, Shultz SJ, Schmitz RJ. The relationships among sagittal-plane lower extremity moments: implications for landing strategy in anterior cruciate ligament injury prevention. </w:t>
      </w:r>
      <w:r w:rsidRPr="006F0364">
        <w:rPr>
          <w:i/>
          <w:iCs/>
          <w:lang w:val="en-US"/>
        </w:rPr>
        <w:t>J Athl Train</w:t>
      </w:r>
      <w:r w:rsidRPr="006F0364">
        <w:rPr>
          <w:lang w:val="en-US"/>
        </w:rPr>
        <w:t>. 2009;44(1):33-38. doi:10.4085/1062-6050-44.1.33</w:t>
      </w:r>
    </w:p>
    <w:p w14:paraId="682579BD" w14:textId="77777777" w:rsidR="006F0364" w:rsidRPr="006F0364" w:rsidRDefault="006F0364" w:rsidP="006F0364">
      <w:pPr>
        <w:pStyle w:val="Bibliografia"/>
        <w:rPr>
          <w:lang w:val="en-US"/>
        </w:rPr>
      </w:pPr>
      <w:r w:rsidRPr="006F0364">
        <w:rPr>
          <w:lang w:val="en-US"/>
        </w:rPr>
        <w:t>39.</w:t>
      </w:r>
      <w:r w:rsidRPr="006F0364">
        <w:rPr>
          <w:lang w:val="en-US"/>
        </w:rPr>
        <w:tab/>
        <w:t xml:space="preserve">Jiménez-Martínez J, Gutiérrez-Capote A, Alarcón-López F, Leicht A, Cárdenas-Vélez D. Relationship between Cognitive Demands and Biomechanical Indicators Associated with Anterior Cruciate Ligament Injury: A Systematic Review. </w:t>
      </w:r>
      <w:r w:rsidRPr="006F0364">
        <w:rPr>
          <w:i/>
          <w:iCs/>
          <w:lang w:val="en-US"/>
        </w:rPr>
        <w:t>Sports Med</w:t>
      </w:r>
      <w:r w:rsidRPr="006F0364">
        <w:rPr>
          <w:lang w:val="en-US"/>
        </w:rPr>
        <w:t>. 2025;55(1):145-165. doi:10.1007/s40279-024-02124-y</w:t>
      </w:r>
    </w:p>
    <w:p w14:paraId="00BC3536" w14:textId="77777777" w:rsidR="006F0364" w:rsidRPr="006F0364" w:rsidRDefault="006F0364" w:rsidP="006F0364">
      <w:pPr>
        <w:pStyle w:val="Bibliografia"/>
        <w:rPr>
          <w:lang w:val="en-US"/>
        </w:rPr>
      </w:pPr>
      <w:r w:rsidRPr="006F0364">
        <w:rPr>
          <w:lang w:val="en-US"/>
        </w:rPr>
        <w:t>40.</w:t>
      </w:r>
      <w:r w:rsidRPr="006F0364">
        <w:rPr>
          <w:lang w:val="en-US"/>
        </w:rPr>
        <w:tab/>
        <w:t xml:space="preserve">Zhang Z, Zheng B, Zhang Z, Kang J, Li M, Sun Y. Impact of mental fatigue on lower limb biomechanics and non-contact anterior cruciate ligament injury risk in basketball players during the stop–jump task: a self-controlled trial. </w:t>
      </w:r>
      <w:r w:rsidRPr="006F0364">
        <w:rPr>
          <w:i/>
          <w:iCs/>
          <w:lang w:val="en-US"/>
        </w:rPr>
        <w:t>J Orthop Surg Res</w:t>
      </w:r>
      <w:r w:rsidRPr="006F0364">
        <w:rPr>
          <w:lang w:val="en-US"/>
        </w:rPr>
        <w:t>. 2025;20(1):671. doi:10.1186/s13018-025-05905-x</w:t>
      </w:r>
    </w:p>
    <w:p w14:paraId="1C30829D" w14:textId="53EC53E4" w:rsidR="005D5250" w:rsidRDefault="00A42D3E" w:rsidP="00CA097C">
      <w:pPr>
        <w:spacing w:line="360" w:lineRule="auto"/>
        <w:jc w:val="both"/>
        <w:rPr>
          <w:b/>
          <w:bCs/>
          <w:lang w:val="en-US"/>
        </w:rPr>
      </w:pPr>
      <w:r>
        <w:rPr>
          <w:b/>
          <w:bCs/>
          <w:lang w:val="en-US"/>
        </w:rPr>
        <w:fldChar w:fldCharType="end"/>
      </w:r>
    </w:p>
    <w:p w14:paraId="4D15C8A2" w14:textId="77777777" w:rsidR="00FD1266" w:rsidRDefault="00FD1266">
      <w:pPr>
        <w:rPr>
          <w:b/>
          <w:bCs/>
          <w:lang w:val="en-US"/>
        </w:rPr>
      </w:pPr>
      <w:r>
        <w:rPr>
          <w:b/>
          <w:bCs/>
          <w:lang w:val="en-US"/>
        </w:rPr>
        <w:br w:type="page"/>
      </w:r>
    </w:p>
    <w:p w14:paraId="11F96D83" w14:textId="0D8BF3D4" w:rsidR="005D5250" w:rsidRDefault="005D5250" w:rsidP="00CA097C">
      <w:pPr>
        <w:spacing w:line="360" w:lineRule="auto"/>
        <w:jc w:val="both"/>
        <w:rPr>
          <w:b/>
          <w:bCs/>
          <w:lang w:val="en-US"/>
        </w:rPr>
      </w:pPr>
      <w:r>
        <w:rPr>
          <w:b/>
          <w:bCs/>
          <w:lang w:val="en-US"/>
        </w:rPr>
        <w:lastRenderedPageBreak/>
        <w:t>TABLES</w:t>
      </w:r>
    </w:p>
    <w:p w14:paraId="55D26206" w14:textId="1C359C84" w:rsidR="007B7A41" w:rsidRPr="007517A8" w:rsidRDefault="007B7A41" w:rsidP="007B7A41">
      <w:pPr>
        <w:spacing w:line="360" w:lineRule="auto"/>
        <w:jc w:val="both"/>
        <w:rPr>
          <w:lang w:val="en-US"/>
        </w:rPr>
      </w:pPr>
      <w:r w:rsidRPr="005D5250">
        <w:rPr>
          <w:b/>
          <w:bCs/>
          <w:i/>
          <w:iCs/>
          <w:lang w:val="en-US"/>
        </w:rPr>
        <w:t xml:space="preserve">Table </w:t>
      </w:r>
      <w:r w:rsidR="0089247F">
        <w:rPr>
          <w:b/>
          <w:bCs/>
          <w:i/>
          <w:iCs/>
          <w:lang w:val="en-US"/>
        </w:rPr>
        <w:t>1</w:t>
      </w:r>
      <w:r>
        <w:rPr>
          <w:b/>
          <w:bCs/>
          <w:i/>
          <w:iCs/>
          <w:lang w:val="en-US"/>
        </w:rPr>
        <w:t xml:space="preserve">. </w:t>
      </w:r>
      <w:r w:rsidRPr="007A024E">
        <w:rPr>
          <w:lang w:val="en-US"/>
        </w:rPr>
        <w:t xml:space="preserve">PC loadings </w:t>
      </w:r>
      <w:r w:rsidR="00245E49">
        <w:rPr>
          <w:lang w:val="en-US"/>
        </w:rPr>
        <w:t>(a</w:t>
      </w:r>
      <w:r w:rsidRPr="007A024E">
        <w:rPr>
          <w:lang w:val="en-US"/>
        </w:rPr>
        <w:t>bsolute value ≥ 0.30</w:t>
      </w:r>
      <w:r w:rsidR="00245E49">
        <w:rPr>
          <w:lang w:val="en-US"/>
        </w:rPr>
        <w:t>), cluster-related PC scores (mean ± SD), and the results of Krustal-Wallis tests and post-hoc analyses for failed trials.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4"/>
        <w:gridCol w:w="1247"/>
        <w:gridCol w:w="1247"/>
        <w:gridCol w:w="1247"/>
        <w:gridCol w:w="1247"/>
      </w:tblGrid>
      <w:tr w:rsidR="009E6A62" w:rsidRPr="00FA4226" w14:paraId="496FE346" w14:textId="77777777" w:rsidTr="001B783F">
        <w:trPr>
          <w:trHeight w:val="340"/>
        </w:trPr>
        <w:tc>
          <w:tcPr>
            <w:tcW w:w="1814" w:type="dxa"/>
            <w:tcBorders>
              <w:top w:val="single" w:sz="4" w:space="0" w:color="auto"/>
              <w:bottom w:val="single" w:sz="4" w:space="0" w:color="auto"/>
            </w:tcBorders>
            <w:noWrap/>
            <w:vAlign w:val="center"/>
            <w:hideMark/>
          </w:tcPr>
          <w:p w14:paraId="0307547B" w14:textId="3351E47D" w:rsidR="007B7A41" w:rsidRPr="00245E49" w:rsidRDefault="007B7A41" w:rsidP="00771900">
            <w:pPr>
              <w:rPr>
                <w:b/>
                <w:bCs/>
                <w:sz w:val="20"/>
                <w:szCs w:val="20"/>
                <w:lang w:val="en-US"/>
              </w:rPr>
            </w:pPr>
          </w:p>
        </w:tc>
        <w:tc>
          <w:tcPr>
            <w:tcW w:w="1247" w:type="dxa"/>
            <w:tcBorders>
              <w:top w:val="single" w:sz="4" w:space="0" w:color="auto"/>
              <w:bottom w:val="single" w:sz="4" w:space="0" w:color="auto"/>
            </w:tcBorders>
            <w:noWrap/>
            <w:vAlign w:val="center"/>
            <w:hideMark/>
          </w:tcPr>
          <w:p w14:paraId="4B40A410" w14:textId="77777777" w:rsidR="007B7A41" w:rsidRPr="00FA4226" w:rsidRDefault="007B7A41" w:rsidP="00771900">
            <w:pPr>
              <w:jc w:val="center"/>
              <w:rPr>
                <w:b/>
                <w:bCs/>
                <w:sz w:val="20"/>
                <w:szCs w:val="20"/>
              </w:rPr>
            </w:pPr>
            <w:r w:rsidRPr="00FA4226">
              <w:rPr>
                <w:b/>
                <w:bCs/>
                <w:sz w:val="20"/>
                <w:szCs w:val="20"/>
              </w:rPr>
              <w:t>PC1</w:t>
            </w:r>
            <w:r w:rsidRPr="006D0739">
              <w:rPr>
                <w:b/>
                <w:bCs/>
                <w:sz w:val="20"/>
                <w:szCs w:val="20"/>
                <w:vertAlign w:val="subscript"/>
              </w:rPr>
              <w:t>F</w:t>
            </w:r>
          </w:p>
        </w:tc>
        <w:tc>
          <w:tcPr>
            <w:tcW w:w="1247" w:type="dxa"/>
            <w:tcBorders>
              <w:top w:val="single" w:sz="4" w:space="0" w:color="auto"/>
              <w:bottom w:val="single" w:sz="4" w:space="0" w:color="auto"/>
            </w:tcBorders>
            <w:noWrap/>
            <w:vAlign w:val="center"/>
            <w:hideMark/>
          </w:tcPr>
          <w:p w14:paraId="09E2C832" w14:textId="77777777" w:rsidR="007B7A41" w:rsidRPr="00FA4226" w:rsidRDefault="007B7A41" w:rsidP="00771900">
            <w:pPr>
              <w:jc w:val="center"/>
              <w:rPr>
                <w:b/>
                <w:bCs/>
                <w:sz w:val="20"/>
                <w:szCs w:val="20"/>
              </w:rPr>
            </w:pPr>
            <w:r w:rsidRPr="00FA4226">
              <w:rPr>
                <w:b/>
                <w:bCs/>
                <w:sz w:val="20"/>
                <w:szCs w:val="20"/>
              </w:rPr>
              <w:t>PC2</w:t>
            </w:r>
            <w:r w:rsidRPr="006D0739">
              <w:rPr>
                <w:b/>
                <w:bCs/>
                <w:sz w:val="20"/>
                <w:szCs w:val="20"/>
                <w:vertAlign w:val="subscript"/>
              </w:rPr>
              <w:t>F</w:t>
            </w:r>
          </w:p>
        </w:tc>
        <w:tc>
          <w:tcPr>
            <w:tcW w:w="1247" w:type="dxa"/>
            <w:tcBorders>
              <w:top w:val="single" w:sz="4" w:space="0" w:color="auto"/>
              <w:bottom w:val="single" w:sz="4" w:space="0" w:color="auto"/>
            </w:tcBorders>
            <w:noWrap/>
            <w:vAlign w:val="center"/>
            <w:hideMark/>
          </w:tcPr>
          <w:p w14:paraId="5C26CA21" w14:textId="77777777" w:rsidR="007B7A41" w:rsidRPr="00FA4226" w:rsidRDefault="007B7A41" w:rsidP="00771900">
            <w:pPr>
              <w:jc w:val="center"/>
              <w:rPr>
                <w:b/>
                <w:bCs/>
                <w:sz w:val="20"/>
                <w:szCs w:val="20"/>
              </w:rPr>
            </w:pPr>
            <w:r w:rsidRPr="00FA4226">
              <w:rPr>
                <w:b/>
                <w:bCs/>
                <w:sz w:val="20"/>
                <w:szCs w:val="20"/>
              </w:rPr>
              <w:t>PC3</w:t>
            </w:r>
            <w:r w:rsidRPr="006D0739">
              <w:rPr>
                <w:b/>
                <w:bCs/>
                <w:sz w:val="20"/>
                <w:szCs w:val="20"/>
                <w:vertAlign w:val="subscript"/>
              </w:rPr>
              <w:t>F</w:t>
            </w:r>
          </w:p>
        </w:tc>
        <w:tc>
          <w:tcPr>
            <w:tcW w:w="1247" w:type="dxa"/>
            <w:tcBorders>
              <w:top w:val="single" w:sz="4" w:space="0" w:color="auto"/>
              <w:bottom w:val="single" w:sz="4" w:space="0" w:color="auto"/>
            </w:tcBorders>
            <w:noWrap/>
            <w:vAlign w:val="center"/>
            <w:hideMark/>
          </w:tcPr>
          <w:p w14:paraId="57253505" w14:textId="77777777" w:rsidR="007B7A41" w:rsidRPr="00FA4226" w:rsidRDefault="007B7A41" w:rsidP="00771900">
            <w:pPr>
              <w:jc w:val="center"/>
              <w:rPr>
                <w:b/>
                <w:bCs/>
                <w:sz w:val="20"/>
                <w:szCs w:val="20"/>
              </w:rPr>
            </w:pPr>
            <w:r w:rsidRPr="00FA4226">
              <w:rPr>
                <w:b/>
                <w:bCs/>
                <w:sz w:val="20"/>
                <w:szCs w:val="20"/>
              </w:rPr>
              <w:t>PC4</w:t>
            </w:r>
            <w:r w:rsidRPr="006D0739">
              <w:rPr>
                <w:b/>
                <w:bCs/>
                <w:sz w:val="20"/>
                <w:szCs w:val="20"/>
                <w:vertAlign w:val="subscript"/>
              </w:rPr>
              <w:t>F</w:t>
            </w:r>
          </w:p>
        </w:tc>
      </w:tr>
      <w:tr w:rsidR="001B783F" w:rsidRPr="007C0608" w14:paraId="3FFFDE0F" w14:textId="77777777" w:rsidTr="001B783F">
        <w:trPr>
          <w:trHeight w:val="340"/>
        </w:trPr>
        <w:tc>
          <w:tcPr>
            <w:tcW w:w="1814" w:type="dxa"/>
            <w:tcBorders>
              <w:top w:val="single" w:sz="4" w:space="0" w:color="auto"/>
            </w:tcBorders>
            <w:noWrap/>
            <w:vAlign w:val="center"/>
          </w:tcPr>
          <w:p w14:paraId="3E9B7A42" w14:textId="67B75637" w:rsidR="001B783F" w:rsidRPr="005D5250" w:rsidRDefault="001B783F" w:rsidP="00771900">
            <w:pPr>
              <w:rPr>
                <w:rFonts w:eastAsia="Times New Roman" w:cs="Calibri"/>
                <w:kern w:val="0"/>
                <w:sz w:val="20"/>
                <w:szCs w:val="20"/>
                <w:lang w:eastAsia="it-IT"/>
                <w14:ligatures w14:val="none"/>
              </w:rPr>
            </w:pPr>
            <w:r w:rsidRPr="00FA4226">
              <w:rPr>
                <w:b/>
                <w:bCs/>
                <w:sz w:val="20"/>
                <w:szCs w:val="20"/>
              </w:rPr>
              <w:t>Variable</w:t>
            </w:r>
          </w:p>
        </w:tc>
        <w:tc>
          <w:tcPr>
            <w:tcW w:w="4988" w:type="dxa"/>
            <w:gridSpan w:val="4"/>
            <w:tcBorders>
              <w:top w:val="single" w:sz="4" w:space="0" w:color="auto"/>
            </w:tcBorders>
            <w:noWrap/>
            <w:vAlign w:val="center"/>
          </w:tcPr>
          <w:p w14:paraId="669A140B" w14:textId="6DF07BCD" w:rsidR="001B783F" w:rsidRPr="001B783F" w:rsidRDefault="001B783F" w:rsidP="00771900">
            <w:pPr>
              <w:jc w:val="center"/>
              <w:rPr>
                <w:b/>
                <w:bCs/>
                <w:sz w:val="20"/>
                <w:szCs w:val="20"/>
              </w:rPr>
            </w:pPr>
            <w:r w:rsidRPr="001B783F">
              <w:rPr>
                <w:b/>
                <w:bCs/>
                <w:sz w:val="20"/>
                <w:szCs w:val="20"/>
              </w:rPr>
              <w:t>Loadings</w:t>
            </w:r>
          </w:p>
        </w:tc>
      </w:tr>
      <w:tr w:rsidR="004949A5" w:rsidRPr="007C0608" w14:paraId="7D02347C" w14:textId="77777777" w:rsidTr="004949A5">
        <w:trPr>
          <w:trHeight w:val="340"/>
        </w:trPr>
        <w:tc>
          <w:tcPr>
            <w:tcW w:w="1814" w:type="dxa"/>
            <w:tcBorders>
              <w:top w:val="single" w:sz="4" w:space="0" w:color="auto"/>
            </w:tcBorders>
            <w:noWrap/>
            <w:vAlign w:val="center"/>
            <w:hideMark/>
          </w:tcPr>
          <w:p w14:paraId="646EC1D4" w14:textId="77777777" w:rsidR="004949A5" w:rsidRPr="007C0608" w:rsidRDefault="004949A5" w:rsidP="004949A5">
            <w:pPr>
              <w:rPr>
                <w:sz w:val="20"/>
                <w:szCs w:val="20"/>
              </w:rPr>
            </w:pPr>
            <w:r w:rsidRPr="005D5250">
              <w:rPr>
                <w:rFonts w:eastAsia="Times New Roman" w:cs="Calibri"/>
                <w:kern w:val="0"/>
                <w:sz w:val="20"/>
                <w:szCs w:val="20"/>
                <w:lang w:eastAsia="it-IT"/>
                <w14:ligatures w14:val="none"/>
              </w:rPr>
              <w:t>HAA</w:t>
            </w:r>
            <w:r w:rsidRPr="005D5250">
              <w:rPr>
                <w:rFonts w:eastAsia="Times New Roman" w:cs="Calibri"/>
                <w:kern w:val="0"/>
                <w:sz w:val="20"/>
                <w:szCs w:val="20"/>
                <w:vertAlign w:val="subscript"/>
                <w:lang w:eastAsia="it-IT"/>
                <w14:ligatures w14:val="none"/>
              </w:rPr>
              <w:t>D</w:t>
            </w:r>
          </w:p>
        </w:tc>
        <w:tc>
          <w:tcPr>
            <w:tcW w:w="1247" w:type="dxa"/>
            <w:tcBorders>
              <w:top w:val="single" w:sz="4" w:space="0" w:color="auto"/>
            </w:tcBorders>
            <w:noWrap/>
            <w:vAlign w:val="center"/>
            <w:hideMark/>
          </w:tcPr>
          <w:p w14:paraId="080ED436" w14:textId="256C6FA4" w:rsidR="004949A5" w:rsidRPr="004949A5" w:rsidRDefault="004949A5" w:rsidP="004949A5">
            <w:pPr>
              <w:jc w:val="center"/>
              <w:rPr>
                <w:sz w:val="20"/>
                <w:szCs w:val="20"/>
              </w:rPr>
            </w:pPr>
            <w:r w:rsidRPr="004949A5">
              <w:rPr>
                <w:sz w:val="20"/>
                <w:szCs w:val="20"/>
              </w:rPr>
              <w:t>0.10</w:t>
            </w:r>
          </w:p>
        </w:tc>
        <w:tc>
          <w:tcPr>
            <w:tcW w:w="1247" w:type="dxa"/>
            <w:tcBorders>
              <w:top w:val="single" w:sz="4" w:space="0" w:color="auto"/>
            </w:tcBorders>
            <w:noWrap/>
            <w:vAlign w:val="center"/>
            <w:hideMark/>
          </w:tcPr>
          <w:p w14:paraId="3BEFC833" w14:textId="686532B0" w:rsidR="004949A5" w:rsidRPr="004949A5" w:rsidRDefault="004949A5" w:rsidP="004949A5">
            <w:pPr>
              <w:jc w:val="center"/>
              <w:rPr>
                <w:sz w:val="20"/>
                <w:szCs w:val="20"/>
              </w:rPr>
            </w:pPr>
            <w:r w:rsidRPr="004949A5">
              <w:rPr>
                <w:sz w:val="20"/>
                <w:szCs w:val="20"/>
              </w:rPr>
              <w:t>0.40</w:t>
            </w:r>
          </w:p>
        </w:tc>
        <w:tc>
          <w:tcPr>
            <w:tcW w:w="1247" w:type="dxa"/>
            <w:tcBorders>
              <w:top w:val="single" w:sz="4" w:space="0" w:color="auto"/>
            </w:tcBorders>
            <w:noWrap/>
            <w:vAlign w:val="center"/>
            <w:hideMark/>
          </w:tcPr>
          <w:p w14:paraId="78E02949" w14:textId="2E0E8401" w:rsidR="004949A5" w:rsidRPr="004949A5" w:rsidRDefault="004949A5" w:rsidP="004949A5">
            <w:pPr>
              <w:jc w:val="center"/>
              <w:rPr>
                <w:sz w:val="20"/>
                <w:szCs w:val="20"/>
              </w:rPr>
            </w:pPr>
            <w:r w:rsidRPr="004949A5">
              <w:rPr>
                <w:sz w:val="20"/>
                <w:szCs w:val="20"/>
              </w:rPr>
              <w:t>-0.14</w:t>
            </w:r>
          </w:p>
        </w:tc>
        <w:tc>
          <w:tcPr>
            <w:tcW w:w="1247" w:type="dxa"/>
            <w:tcBorders>
              <w:top w:val="single" w:sz="4" w:space="0" w:color="auto"/>
            </w:tcBorders>
            <w:noWrap/>
            <w:vAlign w:val="center"/>
            <w:hideMark/>
          </w:tcPr>
          <w:p w14:paraId="4A9CD0C7" w14:textId="0D566CFF" w:rsidR="004949A5" w:rsidRPr="004949A5" w:rsidRDefault="004949A5" w:rsidP="004949A5">
            <w:pPr>
              <w:jc w:val="center"/>
              <w:rPr>
                <w:sz w:val="20"/>
                <w:szCs w:val="20"/>
              </w:rPr>
            </w:pPr>
            <w:r w:rsidRPr="004949A5">
              <w:rPr>
                <w:sz w:val="20"/>
                <w:szCs w:val="20"/>
              </w:rPr>
              <w:t>0.54</w:t>
            </w:r>
          </w:p>
        </w:tc>
      </w:tr>
      <w:tr w:rsidR="004949A5" w:rsidRPr="007C0608" w14:paraId="7D4BF7CF" w14:textId="77777777" w:rsidTr="004949A5">
        <w:trPr>
          <w:trHeight w:val="340"/>
        </w:trPr>
        <w:tc>
          <w:tcPr>
            <w:tcW w:w="1814" w:type="dxa"/>
            <w:noWrap/>
            <w:vAlign w:val="center"/>
            <w:hideMark/>
          </w:tcPr>
          <w:p w14:paraId="58A48337" w14:textId="77777777" w:rsidR="004949A5" w:rsidRPr="007C0608" w:rsidRDefault="004949A5" w:rsidP="004949A5">
            <w:pPr>
              <w:rPr>
                <w:sz w:val="20"/>
                <w:szCs w:val="20"/>
              </w:rPr>
            </w:pPr>
            <w:r w:rsidRPr="005D5250">
              <w:rPr>
                <w:rFonts w:eastAsia="Times New Roman" w:cs="Calibri"/>
                <w:kern w:val="0"/>
                <w:sz w:val="20"/>
                <w:szCs w:val="20"/>
                <w:lang w:eastAsia="it-IT"/>
                <w14:ligatures w14:val="none"/>
              </w:rPr>
              <w:t>HFA</w:t>
            </w:r>
            <w:r w:rsidRPr="005D5250">
              <w:rPr>
                <w:rFonts w:eastAsia="Times New Roman" w:cs="Calibri"/>
                <w:kern w:val="0"/>
                <w:sz w:val="20"/>
                <w:szCs w:val="20"/>
                <w:vertAlign w:val="subscript"/>
                <w:lang w:eastAsia="it-IT"/>
                <w14:ligatures w14:val="none"/>
              </w:rPr>
              <w:t>D</w:t>
            </w:r>
          </w:p>
        </w:tc>
        <w:tc>
          <w:tcPr>
            <w:tcW w:w="1247" w:type="dxa"/>
            <w:noWrap/>
            <w:vAlign w:val="center"/>
            <w:hideMark/>
          </w:tcPr>
          <w:p w14:paraId="3A4AACB9" w14:textId="685D955A" w:rsidR="004949A5" w:rsidRPr="004949A5" w:rsidRDefault="004949A5" w:rsidP="004949A5">
            <w:pPr>
              <w:jc w:val="center"/>
              <w:rPr>
                <w:sz w:val="20"/>
                <w:szCs w:val="20"/>
              </w:rPr>
            </w:pPr>
            <w:r w:rsidRPr="004949A5">
              <w:rPr>
                <w:sz w:val="20"/>
                <w:szCs w:val="20"/>
              </w:rPr>
              <w:t>-0.22</w:t>
            </w:r>
          </w:p>
        </w:tc>
        <w:tc>
          <w:tcPr>
            <w:tcW w:w="1247" w:type="dxa"/>
            <w:noWrap/>
            <w:vAlign w:val="center"/>
            <w:hideMark/>
          </w:tcPr>
          <w:p w14:paraId="5DD10395" w14:textId="47A02B0F" w:rsidR="004949A5" w:rsidRPr="004949A5" w:rsidRDefault="004949A5" w:rsidP="004949A5">
            <w:pPr>
              <w:jc w:val="center"/>
              <w:rPr>
                <w:sz w:val="20"/>
                <w:szCs w:val="20"/>
              </w:rPr>
            </w:pPr>
            <w:r w:rsidRPr="004949A5">
              <w:rPr>
                <w:sz w:val="20"/>
                <w:szCs w:val="20"/>
              </w:rPr>
              <w:t>-0.38</w:t>
            </w:r>
          </w:p>
        </w:tc>
        <w:tc>
          <w:tcPr>
            <w:tcW w:w="1247" w:type="dxa"/>
            <w:noWrap/>
            <w:vAlign w:val="center"/>
            <w:hideMark/>
          </w:tcPr>
          <w:p w14:paraId="368344D2" w14:textId="417B351F" w:rsidR="004949A5" w:rsidRPr="004949A5" w:rsidRDefault="004949A5" w:rsidP="004949A5">
            <w:pPr>
              <w:jc w:val="center"/>
              <w:rPr>
                <w:sz w:val="20"/>
                <w:szCs w:val="20"/>
              </w:rPr>
            </w:pPr>
            <w:r w:rsidRPr="004949A5">
              <w:rPr>
                <w:sz w:val="20"/>
                <w:szCs w:val="20"/>
              </w:rPr>
              <w:t>0.19</w:t>
            </w:r>
          </w:p>
        </w:tc>
        <w:tc>
          <w:tcPr>
            <w:tcW w:w="1247" w:type="dxa"/>
            <w:noWrap/>
            <w:vAlign w:val="center"/>
            <w:hideMark/>
          </w:tcPr>
          <w:p w14:paraId="64F3F006" w14:textId="2EB1B0D1" w:rsidR="004949A5" w:rsidRPr="004949A5" w:rsidRDefault="004949A5" w:rsidP="004949A5">
            <w:pPr>
              <w:jc w:val="center"/>
              <w:rPr>
                <w:sz w:val="20"/>
                <w:szCs w:val="20"/>
              </w:rPr>
            </w:pPr>
            <w:r w:rsidRPr="004949A5">
              <w:rPr>
                <w:sz w:val="20"/>
                <w:szCs w:val="20"/>
              </w:rPr>
              <w:t>0.04</w:t>
            </w:r>
          </w:p>
        </w:tc>
      </w:tr>
      <w:tr w:rsidR="004949A5" w:rsidRPr="007C0608" w14:paraId="578A5E88" w14:textId="77777777" w:rsidTr="004949A5">
        <w:trPr>
          <w:trHeight w:val="340"/>
        </w:trPr>
        <w:tc>
          <w:tcPr>
            <w:tcW w:w="1814" w:type="dxa"/>
            <w:noWrap/>
            <w:vAlign w:val="center"/>
            <w:hideMark/>
          </w:tcPr>
          <w:p w14:paraId="666EB409" w14:textId="77777777" w:rsidR="004949A5" w:rsidRPr="007C0608" w:rsidRDefault="004949A5" w:rsidP="004949A5">
            <w:pPr>
              <w:rPr>
                <w:sz w:val="20"/>
                <w:szCs w:val="20"/>
              </w:rPr>
            </w:pPr>
            <w:r w:rsidRPr="005D5250">
              <w:rPr>
                <w:rFonts w:eastAsia="Times New Roman" w:cs="Calibri"/>
                <w:kern w:val="0"/>
                <w:sz w:val="20"/>
                <w:szCs w:val="20"/>
                <w:lang w:eastAsia="it-IT"/>
                <w14:ligatures w14:val="none"/>
              </w:rPr>
              <w:t>KAbA</w:t>
            </w:r>
            <w:r w:rsidRPr="005D5250">
              <w:rPr>
                <w:rFonts w:eastAsia="Times New Roman" w:cs="Calibri"/>
                <w:kern w:val="0"/>
                <w:sz w:val="20"/>
                <w:szCs w:val="20"/>
                <w:vertAlign w:val="subscript"/>
                <w:lang w:eastAsia="it-IT"/>
                <w14:ligatures w14:val="none"/>
              </w:rPr>
              <w:t>D</w:t>
            </w:r>
          </w:p>
        </w:tc>
        <w:tc>
          <w:tcPr>
            <w:tcW w:w="1247" w:type="dxa"/>
            <w:noWrap/>
            <w:vAlign w:val="center"/>
            <w:hideMark/>
          </w:tcPr>
          <w:p w14:paraId="3FFDB694" w14:textId="71D9117F" w:rsidR="004949A5" w:rsidRPr="004949A5" w:rsidRDefault="004949A5" w:rsidP="004949A5">
            <w:pPr>
              <w:jc w:val="center"/>
              <w:rPr>
                <w:sz w:val="20"/>
                <w:szCs w:val="20"/>
              </w:rPr>
            </w:pPr>
            <w:r w:rsidRPr="004949A5">
              <w:rPr>
                <w:sz w:val="20"/>
                <w:szCs w:val="20"/>
              </w:rPr>
              <w:t>-0.16</w:t>
            </w:r>
          </w:p>
        </w:tc>
        <w:tc>
          <w:tcPr>
            <w:tcW w:w="1247" w:type="dxa"/>
            <w:noWrap/>
            <w:vAlign w:val="center"/>
            <w:hideMark/>
          </w:tcPr>
          <w:p w14:paraId="03522888" w14:textId="2F813198" w:rsidR="004949A5" w:rsidRPr="004949A5" w:rsidRDefault="004949A5" w:rsidP="004949A5">
            <w:pPr>
              <w:jc w:val="center"/>
              <w:rPr>
                <w:sz w:val="20"/>
                <w:szCs w:val="20"/>
              </w:rPr>
            </w:pPr>
            <w:r w:rsidRPr="004949A5">
              <w:rPr>
                <w:sz w:val="20"/>
                <w:szCs w:val="20"/>
              </w:rPr>
              <w:t>0.12</w:t>
            </w:r>
          </w:p>
        </w:tc>
        <w:tc>
          <w:tcPr>
            <w:tcW w:w="1247" w:type="dxa"/>
            <w:noWrap/>
            <w:vAlign w:val="center"/>
            <w:hideMark/>
          </w:tcPr>
          <w:p w14:paraId="01E997F1" w14:textId="66A0AFAB" w:rsidR="004949A5" w:rsidRPr="004949A5" w:rsidRDefault="004949A5" w:rsidP="004949A5">
            <w:pPr>
              <w:jc w:val="center"/>
              <w:rPr>
                <w:sz w:val="20"/>
                <w:szCs w:val="20"/>
              </w:rPr>
            </w:pPr>
            <w:r w:rsidRPr="004949A5">
              <w:rPr>
                <w:sz w:val="20"/>
                <w:szCs w:val="20"/>
              </w:rPr>
              <w:t>0.80</w:t>
            </w:r>
          </w:p>
        </w:tc>
        <w:tc>
          <w:tcPr>
            <w:tcW w:w="1247" w:type="dxa"/>
            <w:noWrap/>
            <w:vAlign w:val="center"/>
            <w:hideMark/>
          </w:tcPr>
          <w:p w14:paraId="7976A44F" w14:textId="0972FE0E" w:rsidR="004949A5" w:rsidRPr="004949A5" w:rsidRDefault="004949A5" w:rsidP="004949A5">
            <w:pPr>
              <w:jc w:val="center"/>
              <w:rPr>
                <w:sz w:val="20"/>
                <w:szCs w:val="20"/>
              </w:rPr>
            </w:pPr>
            <w:r w:rsidRPr="004949A5">
              <w:rPr>
                <w:sz w:val="20"/>
                <w:szCs w:val="20"/>
              </w:rPr>
              <w:t>0.26</w:t>
            </w:r>
          </w:p>
        </w:tc>
      </w:tr>
      <w:tr w:rsidR="004949A5" w:rsidRPr="007C0608" w14:paraId="52A4C678" w14:textId="77777777" w:rsidTr="004949A5">
        <w:trPr>
          <w:trHeight w:val="340"/>
        </w:trPr>
        <w:tc>
          <w:tcPr>
            <w:tcW w:w="1814" w:type="dxa"/>
            <w:noWrap/>
            <w:vAlign w:val="center"/>
            <w:hideMark/>
          </w:tcPr>
          <w:p w14:paraId="72597912" w14:textId="77777777" w:rsidR="004949A5" w:rsidRPr="007C0608" w:rsidRDefault="004949A5" w:rsidP="004949A5">
            <w:pPr>
              <w:rPr>
                <w:sz w:val="20"/>
                <w:szCs w:val="20"/>
              </w:rPr>
            </w:pPr>
            <w:r w:rsidRPr="007C0608">
              <w:rPr>
                <w:sz w:val="20"/>
                <w:szCs w:val="20"/>
              </w:rPr>
              <w:t>KFA</w:t>
            </w:r>
            <w:r w:rsidRPr="007C0608">
              <w:rPr>
                <w:sz w:val="20"/>
                <w:szCs w:val="20"/>
                <w:vertAlign w:val="subscript"/>
              </w:rPr>
              <w:t>D</w:t>
            </w:r>
          </w:p>
        </w:tc>
        <w:tc>
          <w:tcPr>
            <w:tcW w:w="1247" w:type="dxa"/>
            <w:noWrap/>
            <w:vAlign w:val="center"/>
            <w:hideMark/>
          </w:tcPr>
          <w:p w14:paraId="6D86966E" w14:textId="1B891B8E" w:rsidR="004949A5" w:rsidRPr="004949A5" w:rsidRDefault="004949A5" w:rsidP="004949A5">
            <w:pPr>
              <w:jc w:val="center"/>
              <w:rPr>
                <w:sz w:val="20"/>
                <w:szCs w:val="20"/>
              </w:rPr>
            </w:pPr>
            <w:r w:rsidRPr="004949A5">
              <w:rPr>
                <w:sz w:val="20"/>
                <w:szCs w:val="20"/>
              </w:rPr>
              <w:t>-0.23</w:t>
            </w:r>
          </w:p>
        </w:tc>
        <w:tc>
          <w:tcPr>
            <w:tcW w:w="1247" w:type="dxa"/>
            <w:noWrap/>
            <w:vAlign w:val="center"/>
            <w:hideMark/>
          </w:tcPr>
          <w:p w14:paraId="5F45F391" w14:textId="75F2E076" w:rsidR="004949A5" w:rsidRPr="004949A5" w:rsidRDefault="004949A5" w:rsidP="004949A5">
            <w:pPr>
              <w:jc w:val="center"/>
              <w:rPr>
                <w:sz w:val="20"/>
                <w:szCs w:val="20"/>
              </w:rPr>
            </w:pPr>
            <w:r w:rsidRPr="004949A5">
              <w:rPr>
                <w:sz w:val="20"/>
                <w:szCs w:val="20"/>
              </w:rPr>
              <w:t>0.01</w:t>
            </w:r>
          </w:p>
        </w:tc>
        <w:tc>
          <w:tcPr>
            <w:tcW w:w="1247" w:type="dxa"/>
            <w:noWrap/>
            <w:vAlign w:val="center"/>
            <w:hideMark/>
          </w:tcPr>
          <w:p w14:paraId="199DFA63" w14:textId="019A12D2" w:rsidR="004949A5" w:rsidRPr="004949A5" w:rsidRDefault="004949A5" w:rsidP="004949A5">
            <w:pPr>
              <w:jc w:val="center"/>
              <w:rPr>
                <w:sz w:val="20"/>
                <w:szCs w:val="20"/>
              </w:rPr>
            </w:pPr>
            <w:r w:rsidRPr="004949A5">
              <w:rPr>
                <w:sz w:val="20"/>
                <w:szCs w:val="20"/>
              </w:rPr>
              <w:t>0.10</w:t>
            </w:r>
          </w:p>
        </w:tc>
        <w:tc>
          <w:tcPr>
            <w:tcW w:w="1247" w:type="dxa"/>
            <w:noWrap/>
            <w:vAlign w:val="center"/>
            <w:hideMark/>
          </w:tcPr>
          <w:p w14:paraId="5C9B7357" w14:textId="0ED0B0D3" w:rsidR="004949A5" w:rsidRPr="004949A5" w:rsidRDefault="004949A5" w:rsidP="004949A5">
            <w:pPr>
              <w:jc w:val="center"/>
              <w:rPr>
                <w:sz w:val="20"/>
                <w:szCs w:val="20"/>
              </w:rPr>
            </w:pPr>
            <w:r w:rsidRPr="004949A5">
              <w:rPr>
                <w:sz w:val="20"/>
                <w:szCs w:val="20"/>
              </w:rPr>
              <w:t>-0.11</w:t>
            </w:r>
          </w:p>
        </w:tc>
      </w:tr>
      <w:tr w:rsidR="004949A5" w:rsidRPr="007C0608" w14:paraId="3DEF0725" w14:textId="77777777" w:rsidTr="004949A5">
        <w:trPr>
          <w:trHeight w:val="340"/>
        </w:trPr>
        <w:tc>
          <w:tcPr>
            <w:tcW w:w="1814" w:type="dxa"/>
            <w:noWrap/>
            <w:vAlign w:val="center"/>
            <w:hideMark/>
          </w:tcPr>
          <w:p w14:paraId="165EB8B9" w14:textId="77777777" w:rsidR="004949A5" w:rsidRPr="007C0608" w:rsidRDefault="004949A5" w:rsidP="004949A5">
            <w:pPr>
              <w:rPr>
                <w:sz w:val="20"/>
                <w:szCs w:val="20"/>
              </w:rPr>
            </w:pPr>
            <w:r w:rsidRPr="005D5250">
              <w:rPr>
                <w:rFonts w:eastAsia="Times New Roman" w:cs="Calibri"/>
                <w:kern w:val="0"/>
                <w:sz w:val="20"/>
                <w:szCs w:val="20"/>
                <w:lang w:eastAsia="it-IT"/>
                <w14:ligatures w14:val="none"/>
              </w:rPr>
              <w:t>HAM</w:t>
            </w:r>
            <w:r w:rsidRPr="005D5250">
              <w:rPr>
                <w:rFonts w:eastAsia="Times New Roman" w:cs="Calibri"/>
                <w:kern w:val="0"/>
                <w:sz w:val="20"/>
                <w:szCs w:val="20"/>
                <w:vertAlign w:val="subscript"/>
                <w:lang w:eastAsia="it-IT"/>
                <w14:ligatures w14:val="none"/>
              </w:rPr>
              <w:t>D</w:t>
            </w:r>
          </w:p>
        </w:tc>
        <w:tc>
          <w:tcPr>
            <w:tcW w:w="1247" w:type="dxa"/>
            <w:noWrap/>
            <w:vAlign w:val="center"/>
            <w:hideMark/>
          </w:tcPr>
          <w:p w14:paraId="4AE13D7D" w14:textId="771C3A69" w:rsidR="004949A5" w:rsidRPr="004949A5" w:rsidRDefault="004949A5" w:rsidP="004949A5">
            <w:pPr>
              <w:jc w:val="center"/>
              <w:rPr>
                <w:sz w:val="20"/>
                <w:szCs w:val="20"/>
              </w:rPr>
            </w:pPr>
            <w:r w:rsidRPr="004949A5">
              <w:rPr>
                <w:sz w:val="20"/>
                <w:szCs w:val="20"/>
              </w:rPr>
              <w:t>0.11</w:t>
            </w:r>
          </w:p>
        </w:tc>
        <w:tc>
          <w:tcPr>
            <w:tcW w:w="1247" w:type="dxa"/>
            <w:noWrap/>
            <w:vAlign w:val="center"/>
            <w:hideMark/>
          </w:tcPr>
          <w:p w14:paraId="3E00CBA9" w14:textId="10F9B67C" w:rsidR="004949A5" w:rsidRPr="004949A5" w:rsidRDefault="004949A5" w:rsidP="004949A5">
            <w:pPr>
              <w:jc w:val="center"/>
              <w:rPr>
                <w:sz w:val="20"/>
                <w:szCs w:val="20"/>
              </w:rPr>
            </w:pPr>
            <w:r w:rsidRPr="004949A5">
              <w:rPr>
                <w:sz w:val="20"/>
                <w:szCs w:val="20"/>
              </w:rPr>
              <w:t>0.28</w:t>
            </w:r>
          </w:p>
        </w:tc>
        <w:tc>
          <w:tcPr>
            <w:tcW w:w="1247" w:type="dxa"/>
            <w:noWrap/>
            <w:vAlign w:val="center"/>
            <w:hideMark/>
          </w:tcPr>
          <w:p w14:paraId="3F91F7C6" w14:textId="56DA774E" w:rsidR="004949A5" w:rsidRPr="004949A5" w:rsidRDefault="004949A5" w:rsidP="004949A5">
            <w:pPr>
              <w:jc w:val="center"/>
              <w:rPr>
                <w:sz w:val="20"/>
                <w:szCs w:val="20"/>
              </w:rPr>
            </w:pPr>
            <w:r w:rsidRPr="004949A5">
              <w:rPr>
                <w:sz w:val="20"/>
                <w:szCs w:val="20"/>
              </w:rPr>
              <w:t>0.08</w:t>
            </w:r>
          </w:p>
        </w:tc>
        <w:tc>
          <w:tcPr>
            <w:tcW w:w="1247" w:type="dxa"/>
            <w:noWrap/>
            <w:vAlign w:val="center"/>
            <w:hideMark/>
          </w:tcPr>
          <w:p w14:paraId="5DDB378D" w14:textId="3D802F6D" w:rsidR="004949A5" w:rsidRPr="004949A5" w:rsidRDefault="004949A5" w:rsidP="004949A5">
            <w:pPr>
              <w:jc w:val="center"/>
              <w:rPr>
                <w:sz w:val="20"/>
                <w:szCs w:val="20"/>
              </w:rPr>
            </w:pPr>
            <w:r w:rsidRPr="004949A5">
              <w:rPr>
                <w:sz w:val="20"/>
                <w:szCs w:val="20"/>
              </w:rPr>
              <w:t>0.50</w:t>
            </w:r>
          </w:p>
        </w:tc>
      </w:tr>
      <w:tr w:rsidR="004949A5" w:rsidRPr="007C0608" w14:paraId="14E13307" w14:textId="77777777" w:rsidTr="004949A5">
        <w:trPr>
          <w:trHeight w:val="340"/>
        </w:trPr>
        <w:tc>
          <w:tcPr>
            <w:tcW w:w="1814" w:type="dxa"/>
            <w:noWrap/>
            <w:vAlign w:val="center"/>
            <w:hideMark/>
          </w:tcPr>
          <w:p w14:paraId="15F1F800" w14:textId="77777777" w:rsidR="004949A5" w:rsidRPr="007C0608" w:rsidRDefault="004949A5" w:rsidP="004949A5">
            <w:pPr>
              <w:rPr>
                <w:sz w:val="20"/>
                <w:szCs w:val="20"/>
              </w:rPr>
            </w:pPr>
            <w:r w:rsidRPr="005D5250">
              <w:rPr>
                <w:rFonts w:eastAsia="Times New Roman" w:cs="Calibri"/>
                <w:kern w:val="0"/>
                <w:sz w:val="20"/>
                <w:szCs w:val="20"/>
                <w:lang w:eastAsia="it-IT"/>
                <w14:ligatures w14:val="none"/>
              </w:rPr>
              <w:t>HFM</w:t>
            </w:r>
            <w:r w:rsidRPr="005D5250">
              <w:rPr>
                <w:rFonts w:eastAsia="Times New Roman" w:cs="Calibri"/>
                <w:kern w:val="0"/>
                <w:sz w:val="20"/>
                <w:szCs w:val="20"/>
                <w:vertAlign w:val="subscript"/>
                <w:lang w:eastAsia="it-IT"/>
                <w14:ligatures w14:val="none"/>
              </w:rPr>
              <w:t>D</w:t>
            </w:r>
          </w:p>
        </w:tc>
        <w:tc>
          <w:tcPr>
            <w:tcW w:w="1247" w:type="dxa"/>
            <w:noWrap/>
            <w:vAlign w:val="center"/>
            <w:hideMark/>
          </w:tcPr>
          <w:p w14:paraId="7EC3DE81" w14:textId="79A84F8C" w:rsidR="004949A5" w:rsidRPr="004949A5" w:rsidRDefault="004949A5" w:rsidP="004949A5">
            <w:pPr>
              <w:jc w:val="center"/>
              <w:rPr>
                <w:sz w:val="20"/>
                <w:szCs w:val="20"/>
              </w:rPr>
            </w:pPr>
            <w:r w:rsidRPr="004949A5">
              <w:rPr>
                <w:sz w:val="20"/>
                <w:szCs w:val="20"/>
              </w:rPr>
              <w:t>0.43</w:t>
            </w:r>
          </w:p>
        </w:tc>
        <w:tc>
          <w:tcPr>
            <w:tcW w:w="1247" w:type="dxa"/>
            <w:noWrap/>
            <w:vAlign w:val="center"/>
            <w:hideMark/>
          </w:tcPr>
          <w:p w14:paraId="3B3BF825" w14:textId="49009DBA" w:rsidR="004949A5" w:rsidRPr="004949A5" w:rsidRDefault="004949A5" w:rsidP="004949A5">
            <w:pPr>
              <w:jc w:val="center"/>
              <w:rPr>
                <w:sz w:val="20"/>
                <w:szCs w:val="20"/>
              </w:rPr>
            </w:pPr>
            <w:r w:rsidRPr="004949A5">
              <w:rPr>
                <w:sz w:val="20"/>
                <w:szCs w:val="20"/>
              </w:rPr>
              <w:t>-0.35</w:t>
            </w:r>
          </w:p>
        </w:tc>
        <w:tc>
          <w:tcPr>
            <w:tcW w:w="1247" w:type="dxa"/>
            <w:noWrap/>
            <w:vAlign w:val="center"/>
            <w:hideMark/>
          </w:tcPr>
          <w:p w14:paraId="06AB71E5" w14:textId="46353F2C" w:rsidR="004949A5" w:rsidRPr="004949A5" w:rsidRDefault="004949A5" w:rsidP="004949A5">
            <w:pPr>
              <w:jc w:val="center"/>
              <w:rPr>
                <w:sz w:val="20"/>
                <w:szCs w:val="20"/>
              </w:rPr>
            </w:pPr>
            <w:r w:rsidRPr="004949A5">
              <w:rPr>
                <w:sz w:val="20"/>
                <w:szCs w:val="20"/>
              </w:rPr>
              <w:t>0.09</w:t>
            </w:r>
          </w:p>
        </w:tc>
        <w:tc>
          <w:tcPr>
            <w:tcW w:w="1247" w:type="dxa"/>
            <w:noWrap/>
            <w:vAlign w:val="center"/>
            <w:hideMark/>
          </w:tcPr>
          <w:p w14:paraId="7A3D187B" w14:textId="03C5616A" w:rsidR="004949A5" w:rsidRPr="004949A5" w:rsidRDefault="004949A5" w:rsidP="004949A5">
            <w:pPr>
              <w:jc w:val="center"/>
              <w:rPr>
                <w:sz w:val="20"/>
                <w:szCs w:val="20"/>
              </w:rPr>
            </w:pPr>
            <w:r w:rsidRPr="004949A5">
              <w:rPr>
                <w:sz w:val="20"/>
                <w:szCs w:val="20"/>
              </w:rPr>
              <w:t>0.24</w:t>
            </w:r>
          </w:p>
        </w:tc>
      </w:tr>
      <w:tr w:rsidR="004949A5" w:rsidRPr="007C0608" w14:paraId="68DF2057" w14:textId="77777777" w:rsidTr="004949A5">
        <w:trPr>
          <w:trHeight w:val="340"/>
        </w:trPr>
        <w:tc>
          <w:tcPr>
            <w:tcW w:w="1814" w:type="dxa"/>
            <w:noWrap/>
            <w:vAlign w:val="center"/>
            <w:hideMark/>
          </w:tcPr>
          <w:p w14:paraId="1E6F4F43" w14:textId="77777777" w:rsidR="004949A5" w:rsidRPr="007C0608" w:rsidRDefault="004949A5" w:rsidP="004949A5">
            <w:pPr>
              <w:rPr>
                <w:sz w:val="20"/>
                <w:szCs w:val="20"/>
              </w:rPr>
            </w:pPr>
            <w:proofErr w:type="spellStart"/>
            <w:r w:rsidRPr="007C0608">
              <w:rPr>
                <w:sz w:val="20"/>
                <w:szCs w:val="20"/>
              </w:rPr>
              <w:t>KAbM</w:t>
            </w:r>
            <w:r w:rsidRPr="007C0608">
              <w:rPr>
                <w:sz w:val="20"/>
                <w:szCs w:val="20"/>
                <w:vertAlign w:val="subscript"/>
              </w:rPr>
              <w:t>D</w:t>
            </w:r>
            <w:proofErr w:type="spellEnd"/>
          </w:p>
        </w:tc>
        <w:tc>
          <w:tcPr>
            <w:tcW w:w="1247" w:type="dxa"/>
            <w:noWrap/>
            <w:vAlign w:val="center"/>
            <w:hideMark/>
          </w:tcPr>
          <w:p w14:paraId="2F408E44" w14:textId="4636DE99" w:rsidR="004949A5" w:rsidRPr="004949A5" w:rsidRDefault="004949A5" w:rsidP="004949A5">
            <w:pPr>
              <w:jc w:val="center"/>
              <w:rPr>
                <w:sz w:val="20"/>
                <w:szCs w:val="20"/>
              </w:rPr>
            </w:pPr>
            <w:r w:rsidRPr="004949A5">
              <w:rPr>
                <w:sz w:val="20"/>
                <w:szCs w:val="20"/>
              </w:rPr>
              <w:t>-0.23</w:t>
            </w:r>
          </w:p>
        </w:tc>
        <w:tc>
          <w:tcPr>
            <w:tcW w:w="1247" w:type="dxa"/>
            <w:noWrap/>
            <w:vAlign w:val="center"/>
            <w:hideMark/>
          </w:tcPr>
          <w:p w14:paraId="5A9E80C5" w14:textId="42066B2C" w:rsidR="004949A5" w:rsidRPr="004949A5" w:rsidRDefault="004949A5" w:rsidP="004949A5">
            <w:pPr>
              <w:jc w:val="center"/>
              <w:rPr>
                <w:sz w:val="20"/>
                <w:szCs w:val="20"/>
              </w:rPr>
            </w:pPr>
            <w:r w:rsidRPr="004949A5">
              <w:rPr>
                <w:sz w:val="20"/>
                <w:szCs w:val="20"/>
              </w:rPr>
              <w:t>0.06</w:t>
            </w:r>
          </w:p>
        </w:tc>
        <w:tc>
          <w:tcPr>
            <w:tcW w:w="1247" w:type="dxa"/>
            <w:noWrap/>
            <w:vAlign w:val="center"/>
            <w:hideMark/>
          </w:tcPr>
          <w:p w14:paraId="0DBEFD01" w14:textId="0B4A5DCA" w:rsidR="004949A5" w:rsidRPr="004949A5" w:rsidRDefault="004949A5" w:rsidP="004949A5">
            <w:pPr>
              <w:jc w:val="center"/>
              <w:rPr>
                <w:sz w:val="20"/>
                <w:szCs w:val="20"/>
              </w:rPr>
            </w:pPr>
            <w:r w:rsidRPr="004949A5">
              <w:rPr>
                <w:sz w:val="20"/>
                <w:szCs w:val="20"/>
              </w:rPr>
              <w:t>0.22</w:t>
            </w:r>
          </w:p>
        </w:tc>
        <w:tc>
          <w:tcPr>
            <w:tcW w:w="1247" w:type="dxa"/>
            <w:noWrap/>
            <w:vAlign w:val="center"/>
            <w:hideMark/>
          </w:tcPr>
          <w:p w14:paraId="72FCD75E" w14:textId="3EFCC9F4" w:rsidR="004949A5" w:rsidRPr="004949A5" w:rsidRDefault="004949A5" w:rsidP="004949A5">
            <w:pPr>
              <w:jc w:val="center"/>
              <w:rPr>
                <w:sz w:val="20"/>
                <w:szCs w:val="20"/>
              </w:rPr>
            </w:pPr>
            <w:r w:rsidRPr="004949A5">
              <w:rPr>
                <w:sz w:val="20"/>
                <w:szCs w:val="20"/>
              </w:rPr>
              <w:t>-0.02</w:t>
            </w:r>
          </w:p>
        </w:tc>
      </w:tr>
      <w:tr w:rsidR="004949A5" w:rsidRPr="007C0608" w14:paraId="7A13970B" w14:textId="77777777" w:rsidTr="004949A5">
        <w:trPr>
          <w:trHeight w:val="340"/>
        </w:trPr>
        <w:tc>
          <w:tcPr>
            <w:tcW w:w="1814" w:type="dxa"/>
            <w:noWrap/>
            <w:vAlign w:val="center"/>
            <w:hideMark/>
          </w:tcPr>
          <w:p w14:paraId="52E898B9" w14:textId="77777777" w:rsidR="004949A5" w:rsidRPr="007C0608" w:rsidRDefault="004949A5" w:rsidP="004949A5">
            <w:pPr>
              <w:rPr>
                <w:sz w:val="20"/>
                <w:szCs w:val="20"/>
              </w:rPr>
            </w:pPr>
            <w:r w:rsidRPr="005D5250">
              <w:rPr>
                <w:rFonts w:eastAsia="Times New Roman" w:cs="Calibri"/>
                <w:kern w:val="0"/>
                <w:sz w:val="20"/>
                <w:szCs w:val="20"/>
                <w:lang w:eastAsia="it-IT"/>
                <w14:ligatures w14:val="none"/>
              </w:rPr>
              <w:t>KFM</w:t>
            </w:r>
            <w:r w:rsidRPr="000835AA">
              <w:rPr>
                <w:rFonts w:eastAsia="Times New Roman" w:cs="Calibri"/>
                <w:kern w:val="0"/>
                <w:sz w:val="20"/>
                <w:szCs w:val="20"/>
                <w:vertAlign w:val="subscript"/>
                <w:lang w:eastAsia="it-IT"/>
                <w14:ligatures w14:val="none"/>
              </w:rPr>
              <w:t>D</w:t>
            </w:r>
          </w:p>
        </w:tc>
        <w:tc>
          <w:tcPr>
            <w:tcW w:w="1247" w:type="dxa"/>
            <w:noWrap/>
            <w:vAlign w:val="center"/>
            <w:hideMark/>
          </w:tcPr>
          <w:p w14:paraId="4037D95C" w14:textId="02DC58A1" w:rsidR="004949A5" w:rsidRPr="004949A5" w:rsidRDefault="004949A5" w:rsidP="004949A5">
            <w:pPr>
              <w:jc w:val="center"/>
              <w:rPr>
                <w:sz w:val="20"/>
                <w:szCs w:val="20"/>
              </w:rPr>
            </w:pPr>
            <w:r w:rsidRPr="004949A5">
              <w:rPr>
                <w:sz w:val="20"/>
                <w:szCs w:val="20"/>
              </w:rPr>
              <w:t>-0.28</w:t>
            </w:r>
          </w:p>
        </w:tc>
        <w:tc>
          <w:tcPr>
            <w:tcW w:w="1247" w:type="dxa"/>
            <w:noWrap/>
            <w:vAlign w:val="center"/>
            <w:hideMark/>
          </w:tcPr>
          <w:p w14:paraId="399A6455" w14:textId="5A40DACC" w:rsidR="004949A5" w:rsidRPr="004949A5" w:rsidRDefault="004949A5" w:rsidP="004949A5">
            <w:pPr>
              <w:jc w:val="center"/>
              <w:rPr>
                <w:sz w:val="20"/>
                <w:szCs w:val="20"/>
              </w:rPr>
            </w:pPr>
            <w:r w:rsidRPr="004949A5">
              <w:rPr>
                <w:sz w:val="20"/>
                <w:szCs w:val="20"/>
              </w:rPr>
              <w:t>0.24</w:t>
            </w:r>
          </w:p>
        </w:tc>
        <w:tc>
          <w:tcPr>
            <w:tcW w:w="1247" w:type="dxa"/>
            <w:noWrap/>
            <w:vAlign w:val="center"/>
            <w:hideMark/>
          </w:tcPr>
          <w:p w14:paraId="7307D669" w14:textId="0516BACD" w:rsidR="004949A5" w:rsidRPr="004949A5" w:rsidRDefault="004949A5" w:rsidP="004949A5">
            <w:pPr>
              <w:jc w:val="center"/>
              <w:rPr>
                <w:sz w:val="20"/>
                <w:szCs w:val="20"/>
              </w:rPr>
            </w:pPr>
            <w:r w:rsidRPr="004949A5">
              <w:rPr>
                <w:sz w:val="20"/>
                <w:szCs w:val="20"/>
              </w:rPr>
              <w:t>-0.01</w:t>
            </w:r>
          </w:p>
        </w:tc>
        <w:tc>
          <w:tcPr>
            <w:tcW w:w="1247" w:type="dxa"/>
            <w:noWrap/>
            <w:vAlign w:val="center"/>
            <w:hideMark/>
          </w:tcPr>
          <w:p w14:paraId="0EB96991" w14:textId="54090A29" w:rsidR="004949A5" w:rsidRPr="004949A5" w:rsidRDefault="004949A5" w:rsidP="004949A5">
            <w:pPr>
              <w:jc w:val="center"/>
              <w:rPr>
                <w:sz w:val="20"/>
                <w:szCs w:val="20"/>
              </w:rPr>
            </w:pPr>
            <w:r w:rsidRPr="004949A5">
              <w:rPr>
                <w:sz w:val="20"/>
                <w:szCs w:val="20"/>
              </w:rPr>
              <w:t>-0.03</w:t>
            </w:r>
          </w:p>
        </w:tc>
      </w:tr>
      <w:tr w:rsidR="004949A5" w:rsidRPr="007C0608" w14:paraId="1407CDD4" w14:textId="77777777" w:rsidTr="004949A5">
        <w:trPr>
          <w:trHeight w:val="340"/>
        </w:trPr>
        <w:tc>
          <w:tcPr>
            <w:tcW w:w="1814" w:type="dxa"/>
            <w:noWrap/>
            <w:vAlign w:val="center"/>
            <w:hideMark/>
          </w:tcPr>
          <w:p w14:paraId="5C968A1D" w14:textId="77777777" w:rsidR="004949A5" w:rsidRPr="007C0608" w:rsidRDefault="004949A5" w:rsidP="004949A5">
            <w:pPr>
              <w:rPr>
                <w:sz w:val="20"/>
                <w:szCs w:val="20"/>
              </w:rPr>
            </w:pPr>
            <w:r w:rsidRPr="005D5250">
              <w:rPr>
                <w:rFonts w:eastAsia="Times New Roman" w:cs="Calibri"/>
                <w:kern w:val="0"/>
                <w:sz w:val="20"/>
                <w:szCs w:val="20"/>
                <w:lang w:eastAsia="it-IT"/>
                <w14:ligatures w14:val="none"/>
              </w:rPr>
              <w:t>HAA</w:t>
            </w:r>
            <w:r w:rsidRPr="000835AA">
              <w:rPr>
                <w:rFonts w:eastAsia="Times New Roman" w:cs="Calibri"/>
                <w:kern w:val="0"/>
                <w:sz w:val="20"/>
                <w:szCs w:val="20"/>
                <w:vertAlign w:val="subscript"/>
                <w:lang w:eastAsia="it-IT"/>
                <w14:ligatures w14:val="none"/>
              </w:rPr>
              <w:t>ND</w:t>
            </w:r>
          </w:p>
        </w:tc>
        <w:tc>
          <w:tcPr>
            <w:tcW w:w="1247" w:type="dxa"/>
            <w:noWrap/>
            <w:vAlign w:val="center"/>
            <w:hideMark/>
          </w:tcPr>
          <w:p w14:paraId="163D63F6" w14:textId="37AFC9C1" w:rsidR="004949A5" w:rsidRPr="004949A5" w:rsidRDefault="004949A5" w:rsidP="004949A5">
            <w:pPr>
              <w:jc w:val="center"/>
              <w:rPr>
                <w:sz w:val="20"/>
                <w:szCs w:val="20"/>
              </w:rPr>
            </w:pPr>
            <w:r w:rsidRPr="004949A5">
              <w:rPr>
                <w:sz w:val="20"/>
                <w:szCs w:val="20"/>
              </w:rPr>
              <w:t>-0.37</w:t>
            </w:r>
          </w:p>
        </w:tc>
        <w:tc>
          <w:tcPr>
            <w:tcW w:w="1247" w:type="dxa"/>
            <w:noWrap/>
            <w:vAlign w:val="center"/>
            <w:hideMark/>
          </w:tcPr>
          <w:p w14:paraId="4C309DA6" w14:textId="4DA01A66" w:rsidR="004949A5" w:rsidRPr="004949A5" w:rsidRDefault="004949A5" w:rsidP="004949A5">
            <w:pPr>
              <w:jc w:val="center"/>
              <w:rPr>
                <w:sz w:val="20"/>
                <w:szCs w:val="20"/>
              </w:rPr>
            </w:pPr>
            <w:r w:rsidRPr="004949A5">
              <w:rPr>
                <w:sz w:val="20"/>
                <w:szCs w:val="20"/>
              </w:rPr>
              <w:t>0.02</w:t>
            </w:r>
          </w:p>
        </w:tc>
        <w:tc>
          <w:tcPr>
            <w:tcW w:w="1247" w:type="dxa"/>
            <w:noWrap/>
            <w:vAlign w:val="center"/>
            <w:hideMark/>
          </w:tcPr>
          <w:p w14:paraId="001CB583" w14:textId="1221883C" w:rsidR="004949A5" w:rsidRPr="004949A5" w:rsidRDefault="004949A5" w:rsidP="004949A5">
            <w:pPr>
              <w:jc w:val="center"/>
              <w:rPr>
                <w:sz w:val="20"/>
                <w:szCs w:val="20"/>
              </w:rPr>
            </w:pPr>
            <w:r w:rsidRPr="004949A5">
              <w:rPr>
                <w:sz w:val="20"/>
                <w:szCs w:val="20"/>
              </w:rPr>
              <w:t>-0.20</w:t>
            </w:r>
          </w:p>
        </w:tc>
        <w:tc>
          <w:tcPr>
            <w:tcW w:w="1247" w:type="dxa"/>
            <w:noWrap/>
            <w:vAlign w:val="center"/>
            <w:hideMark/>
          </w:tcPr>
          <w:p w14:paraId="686C0BA6" w14:textId="2B741CB9" w:rsidR="004949A5" w:rsidRPr="004949A5" w:rsidRDefault="004949A5" w:rsidP="004949A5">
            <w:pPr>
              <w:jc w:val="center"/>
              <w:rPr>
                <w:sz w:val="20"/>
                <w:szCs w:val="20"/>
              </w:rPr>
            </w:pPr>
            <w:r w:rsidRPr="004949A5">
              <w:rPr>
                <w:sz w:val="20"/>
                <w:szCs w:val="20"/>
              </w:rPr>
              <w:t>0.16</w:t>
            </w:r>
          </w:p>
        </w:tc>
      </w:tr>
      <w:tr w:rsidR="004949A5" w:rsidRPr="007C0608" w14:paraId="124C8587" w14:textId="77777777" w:rsidTr="004949A5">
        <w:trPr>
          <w:trHeight w:val="340"/>
        </w:trPr>
        <w:tc>
          <w:tcPr>
            <w:tcW w:w="1814" w:type="dxa"/>
            <w:noWrap/>
            <w:vAlign w:val="center"/>
            <w:hideMark/>
          </w:tcPr>
          <w:p w14:paraId="0A6FFCCF" w14:textId="77777777" w:rsidR="004949A5" w:rsidRPr="007C0608" w:rsidRDefault="004949A5" w:rsidP="004949A5">
            <w:pPr>
              <w:rPr>
                <w:sz w:val="20"/>
                <w:szCs w:val="20"/>
              </w:rPr>
            </w:pPr>
            <w:r w:rsidRPr="005D5250">
              <w:rPr>
                <w:rFonts w:eastAsia="Times New Roman" w:cs="Calibri"/>
                <w:kern w:val="0"/>
                <w:sz w:val="20"/>
                <w:szCs w:val="20"/>
                <w:lang w:eastAsia="it-IT"/>
                <w14:ligatures w14:val="none"/>
              </w:rPr>
              <w:t>HFA</w:t>
            </w:r>
            <w:r w:rsidRPr="000835AA">
              <w:rPr>
                <w:rFonts w:eastAsia="Times New Roman" w:cs="Calibri"/>
                <w:kern w:val="0"/>
                <w:sz w:val="20"/>
                <w:szCs w:val="20"/>
                <w:vertAlign w:val="subscript"/>
                <w:lang w:eastAsia="it-IT"/>
                <w14:ligatures w14:val="none"/>
              </w:rPr>
              <w:t>ND</w:t>
            </w:r>
          </w:p>
        </w:tc>
        <w:tc>
          <w:tcPr>
            <w:tcW w:w="1247" w:type="dxa"/>
            <w:noWrap/>
            <w:vAlign w:val="center"/>
            <w:hideMark/>
          </w:tcPr>
          <w:p w14:paraId="05424CEC" w14:textId="207E9E28" w:rsidR="004949A5" w:rsidRPr="004949A5" w:rsidRDefault="004949A5" w:rsidP="004949A5">
            <w:pPr>
              <w:jc w:val="center"/>
              <w:rPr>
                <w:sz w:val="20"/>
                <w:szCs w:val="20"/>
              </w:rPr>
            </w:pPr>
            <w:r w:rsidRPr="004949A5">
              <w:rPr>
                <w:sz w:val="20"/>
                <w:szCs w:val="20"/>
              </w:rPr>
              <w:t>-0.22</w:t>
            </w:r>
          </w:p>
        </w:tc>
        <w:tc>
          <w:tcPr>
            <w:tcW w:w="1247" w:type="dxa"/>
            <w:noWrap/>
            <w:vAlign w:val="center"/>
            <w:hideMark/>
          </w:tcPr>
          <w:p w14:paraId="5B8DA44B" w14:textId="6DDBBB24" w:rsidR="004949A5" w:rsidRPr="004949A5" w:rsidRDefault="004949A5" w:rsidP="004949A5">
            <w:pPr>
              <w:jc w:val="center"/>
              <w:rPr>
                <w:sz w:val="20"/>
                <w:szCs w:val="20"/>
              </w:rPr>
            </w:pPr>
            <w:r w:rsidRPr="004949A5">
              <w:rPr>
                <w:sz w:val="20"/>
                <w:szCs w:val="20"/>
              </w:rPr>
              <w:t>-0.35</w:t>
            </w:r>
          </w:p>
        </w:tc>
        <w:tc>
          <w:tcPr>
            <w:tcW w:w="1247" w:type="dxa"/>
            <w:noWrap/>
            <w:vAlign w:val="center"/>
            <w:hideMark/>
          </w:tcPr>
          <w:p w14:paraId="63E4B1AD" w14:textId="5CEECDD2" w:rsidR="004949A5" w:rsidRPr="004949A5" w:rsidRDefault="004949A5" w:rsidP="004949A5">
            <w:pPr>
              <w:jc w:val="center"/>
              <w:rPr>
                <w:sz w:val="20"/>
                <w:szCs w:val="20"/>
              </w:rPr>
            </w:pPr>
            <w:r w:rsidRPr="004949A5">
              <w:rPr>
                <w:sz w:val="20"/>
                <w:szCs w:val="20"/>
              </w:rPr>
              <w:t>0.20</w:t>
            </w:r>
          </w:p>
        </w:tc>
        <w:tc>
          <w:tcPr>
            <w:tcW w:w="1247" w:type="dxa"/>
            <w:noWrap/>
            <w:vAlign w:val="center"/>
            <w:hideMark/>
          </w:tcPr>
          <w:p w14:paraId="57813148" w14:textId="505AC881" w:rsidR="004949A5" w:rsidRPr="004949A5" w:rsidRDefault="004949A5" w:rsidP="004949A5">
            <w:pPr>
              <w:jc w:val="center"/>
              <w:rPr>
                <w:sz w:val="20"/>
                <w:szCs w:val="20"/>
              </w:rPr>
            </w:pPr>
            <w:r w:rsidRPr="004949A5">
              <w:rPr>
                <w:sz w:val="20"/>
                <w:szCs w:val="20"/>
              </w:rPr>
              <w:t>0.04</w:t>
            </w:r>
          </w:p>
        </w:tc>
      </w:tr>
      <w:tr w:rsidR="004949A5" w:rsidRPr="007C0608" w14:paraId="1256BF67" w14:textId="77777777" w:rsidTr="004949A5">
        <w:trPr>
          <w:trHeight w:val="340"/>
        </w:trPr>
        <w:tc>
          <w:tcPr>
            <w:tcW w:w="1814" w:type="dxa"/>
            <w:noWrap/>
            <w:vAlign w:val="center"/>
            <w:hideMark/>
          </w:tcPr>
          <w:p w14:paraId="1CAB54E0" w14:textId="77777777" w:rsidR="004949A5" w:rsidRPr="007C0608" w:rsidRDefault="004949A5" w:rsidP="004949A5">
            <w:pPr>
              <w:rPr>
                <w:sz w:val="20"/>
                <w:szCs w:val="20"/>
              </w:rPr>
            </w:pPr>
            <w:r w:rsidRPr="005D5250">
              <w:rPr>
                <w:rFonts w:eastAsia="Times New Roman" w:cs="Calibri"/>
                <w:kern w:val="0"/>
                <w:sz w:val="20"/>
                <w:szCs w:val="20"/>
                <w:lang w:eastAsia="it-IT"/>
                <w14:ligatures w14:val="none"/>
              </w:rPr>
              <w:t>KAbA</w:t>
            </w:r>
            <w:r w:rsidRPr="000835AA">
              <w:rPr>
                <w:rFonts w:eastAsia="Times New Roman" w:cs="Calibri"/>
                <w:kern w:val="0"/>
                <w:sz w:val="20"/>
                <w:szCs w:val="20"/>
                <w:vertAlign w:val="subscript"/>
                <w:lang w:eastAsia="it-IT"/>
                <w14:ligatures w14:val="none"/>
              </w:rPr>
              <w:t>ND</w:t>
            </w:r>
          </w:p>
        </w:tc>
        <w:tc>
          <w:tcPr>
            <w:tcW w:w="1247" w:type="dxa"/>
            <w:noWrap/>
            <w:vAlign w:val="center"/>
            <w:hideMark/>
          </w:tcPr>
          <w:p w14:paraId="73E3DE21" w14:textId="21A73F9A" w:rsidR="004949A5" w:rsidRPr="004949A5" w:rsidRDefault="004949A5" w:rsidP="004949A5">
            <w:pPr>
              <w:jc w:val="center"/>
              <w:rPr>
                <w:sz w:val="20"/>
                <w:szCs w:val="20"/>
              </w:rPr>
            </w:pPr>
            <w:r w:rsidRPr="004949A5">
              <w:rPr>
                <w:sz w:val="20"/>
                <w:szCs w:val="20"/>
              </w:rPr>
              <w:t>-0.41</w:t>
            </w:r>
          </w:p>
        </w:tc>
        <w:tc>
          <w:tcPr>
            <w:tcW w:w="1247" w:type="dxa"/>
            <w:noWrap/>
            <w:vAlign w:val="center"/>
            <w:hideMark/>
          </w:tcPr>
          <w:p w14:paraId="07CD8024" w14:textId="283FC399" w:rsidR="004949A5" w:rsidRPr="004949A5" w:rsidRDefault="004949A5" w:rsidP="004949A5">
            <w:pPr>
              <w:jc w:val="center"/>
              <w:rPr>
                <w:sz w:val="20"/>
                <w:szCs w:val="20"/>
              </w:rPr>
            </w:pPr>
            <w:r w:rsidRPr="004949A5">
              <w:rPr>
                <w:sz w:val="20"/>
                <w:szCs w:val="20"/>
              </w:rPr>
              <w:t>-0.37</w:t>
            </w:r>
          </w:p>
        </w:tc>
        <w:tc>
          <w:tcPr>
            <w:tcW w:w="1247" w:type="dxa"/>
            <w:noWrap/>
            <w:vAlign w:val="center"/>
            <w:hideMark/>
          </w:tcPr>
          <w:p w14:paraId="71B9AB22" w14:textId="313F9774" w:rsidR="004949A5" w:rsidRPr="004949A5" w:rsidRDefault="004949A5" w:rsidP="004949A5">
            <w:pPr>
              <w:jc w:val="center"/>
              <w:rPr>
                <w:sz w:val="20"/>
                <w:szCs w:val="20"/>
              </w:rPr>
            </w:pPr>
            <w:r w:rsidRPr="004949A5">
              <w:rPr>
                <w:sz w:val="20"/>
                <w:szCs w:val="20"/>
              </w:rPr>
              <w:t>-0.37</w:t>
            </w:r>
          </w:p>
        </w:tc>
        <w:tc>
          <w:tcPr>
            <w:tcW w:w="1247" w:type="dxa"/>
            <w:noWrap/>
            <w:vAlign w:val="center"/>
            <w:hideMark/>
          </w:tcPr>
          <w:p w14:paraId="7AE7312F" w14:textId="6FA212EE" w:rsidR="004949A5" w:rsidRPr="004949A5" w:rsidRDefault="004949A5" w:rsidP="004949A5">
            <w:pPr>
              <w:jc w:val="center"/>
              <w:rPr>
                <w:sz w:val="20"/>
                <w:szCs w:val="20"/>
              </w:rPr>
            </w:pPr>
            <w:r w:rsidRPr="004949A5">
              <w:rPr>
                <w:sz w:val="20"/>
                <w:szCs w:val="20"/>
              </w:rPr>
              <w:t>0.45</w:t>
            </w:r>
          </w:p>
        </w:tc>
      </w:tr>
      <w:tr w:rsidR="004949A5" w:rsidRPr="007C0608" w14:paraId="2067E6CF" w14:textId="77777777" w:rsidTr="004949A5">
        <w:trPr>
          <w:trHeight w:val="340"/>
        </w:trPr>
        <w:tc>
          <w:tcPr>
            <w:tcW w:w="1814" w:type="dxa"/>
            <w:noWrap/>
            <w:vAlign w:val="center"/>
            <w:hideMark/>
          </w:tcPr>
          <w:p w14:paraId="24F9987A" w14:textId="77777777" w:rsidR="004949A5" w:rsidRPr="007C0608" w:rsidRDefault="004949A5" w:rsidP="004949A5">
            <w:pPr>
              <w:rPr>
                <w:sz w:val="20"/>
                <w:szCs w:val="20"/>
              </w:rPr>
            </w:pPr>
            <w:r w:rsidRPr="007C0608">
              <w:rPr>
                <w:sz w:val="20"/>
                <w:szCs w:val="20"/>
              </w:rPr>
              <w:t>KFA</w:t>
            </w:r>
            <w:r w:rsidRPr="007C0608">
              <w:rPr>
                <w:sz w:val="20"/>
                <w:szCs w:val="20"/>
                <w:vertAlign w:val="subscript"/>
              </w:rPr>
              <w:t>ND</w:t>
            </w:r>
          </w:p>
        </w:tc>
        <w:tc>
          <w:tcPr>
            <w:tcW w:w="1247" w:type="dxa"/>
            <w:noWrap/>
            <w:vAlign w:val="center"/>
            <w:hideMark/>
          </w:tcPr>
          <w:p w14:paraId="165B53CB" w14:textId="34B9FAEF" w:rsidR="004949A5" w:rsidRPr="004949A5" w:rsidRDefault="004949A5" w:rsidP="004949A5">
            <w:pPr>
              <w:jc w:val="center"/>
              <w:rPr>
                <w:sz w:val="20"/>
                <w:szCs w:val="20"/>
              </w:rPr>
            </w:pPr>
            <w:r w:rsidRPr="004949A5">
              <w:rPr>
                <w:sz w:val="20"/>
                <w:szCs w:val="20"/>
              </w:rPr>
              <w:t>-0.21</w:t>
            </w:r>
          </w:p>
        </w:tc>
        <w:tc>
          <w:tcPr>
            <w:tcW w:w="1247" w:type="dxa"/>
            <w:noWrap/>
            <w:vAlign w:val="center"/>
            <w:hideMark/>
          </w:tcPr>
          <w:p w14:paraId="48AA538F" w14:textId="5DDC6390" w:rsidR="004949A5" w:rsidRPr="004949A5" w:rsidRDefault="004949A5" w:rsidP="004949A5">
            <w:pPr>
              <w:jc w:val="center"/>
              <w:rPr>
                <w:sz w:val="20"/>
                <w:szCs w:val="20"/>
              </w:rPr>
            </w:pPr>
            <w:r w:rsidRPr="004949A5">
              <w:rPr>
                <w:sz w:val="20"/>
                <w:szCs w:val="20"/>
              </w:rPr>
              <w:t>0.02</w:t>
            </w:r>
          </w:p>
        </w:tc>
        <w:tc>
          <w:tcPr>
            <w:tcW w:w="1247" w:type="dxa"/>
            <w:noWrap/>
            <w:vAlign w:val="center"/>
            <w:hideMark/>
          </w:tcPr>
          <w:p w14:paraId="4954735C" w14:textId="6AE462C0" w:rsidR="004949A5" w:rsidRPr="004949A5" w:rsidRDefault="004949A5" w:rsidP="004949A5">
            <w:pPr>
              <w:jc w:val="center"/>
              <w:rPr>
                <w:sz w:val="20"/>
                <w:szCs w:val="20"/>
              </w:rPr>
            </w:pPr>
            <w:r w:rsidRPr="004949A5">
              <w:rPr>
                <w:sz w:val="20"/>
                <w:szCs w:val="20"/>
              </w:rPr>
              <w:t>0.06</w:t>
            </w:r>
          </w:p>
        </w:tc>
        <w:tc>
          <w:tcPr>
            <w:tcW w:w="1247" w:type="dxa"/>
            <w:noWrap/>
            <w:vAlign w:val="center"/>
            <w:hideMark/>
          </w:tcPr>
          <w:p w14:paraId="47DA652A" w14:textId="56AD5EFA" w:rsidR="004949A5" w:rsidRPr="004949A5" w:rsidRDefault="004949A5" w:rsidP="004949A5">
            <w:pPr>
              <w:jc w:val="center"/>
              <w:rPr>
                <w:sz w:val="20"/>
                <w:szCs w:val="20"/>
              </w:rPr>
            </w:pPr>
            <w:r w:rsidRPr="004949A5">
              <w:rPr>
                <w:sz w:val="20"/>
                <w:szCs w:val="20"/>
              </w:rPr>
              <w:t>-0.07</w:t>
            </w:r>
          </w:p>
        </w:tc>
      </w:tr>
      <w:tr w:rsidR="004949A5" w:rsidRPr="007C0608" w14:paraId="11FBA322" w14:textId="77777777" w:rsidTr="004949A5">
        <w:trPr>
          <w:trHeight w:val="340"/>
        </w:trPr>
        <w:tc>
          <w:tcPr>
            <w:tcW w:w="1814" w:type="dxa"/>
            <w:noWrap/>
            <w:vAlign w:val="center"/>
            <w:hideMark/>
          </w:tcPr>
          <w:p w14:paraId="4D0E51EA" w14:textId="77777777" w:rsidR="004949A5" w:rsidRPr="007C0608" w:rsidRDefault="004949A5" w:rsidP="004949A5">
            <w:pPr>
              <w:rPr>
                <w:sz w:val="20"/>
                <w:szCs w:val="20"/>
              </w:rPr>
            </w:pPr>
            <w:r w:rsidRPr="007C0608">
              <w:rPr>
                <w:sz w:val="20"/>
                <w:szCs w:val="20"/>
              </w:rPr>
              <w:t>HAM</w:t>
            </w:r>
            <w:r w:rsidRPr="007C0608">
              <w:rPr>
                <w:sz w:val="20"/>
                <w:szCs w:val="20"/>
                <w:vertAlign w:val="subscript"/>
              </w:rPr>
              <w:t>ND</w:t>
            </w:r>
          </w:p>
        </w:tc>
        <w:tc>
          <w:tcPr>
            <w:tcW w:w="1247" w:type="dxa"/>
            <w:noWrap/>
            <w:vAlign w:val="center"/>
            <w:hideMark/>
          </w:tcPr>
          <w:p w14:paraId="3969591F" w14:textId="54218725" w:rsidR="004949A5" w:rsidRPr="004949A5" w:rsidRDefault="004949A5" w:rsidP="004949A5">
            <w:pPr>
              <w:jc w:val="center"/>
              <w:rPr>
                <w:sz w:val="20"/>
                <w:szCs w:val="20"/>
              </w:rPr>
            </w:pPr>
            <w:r w:rsidRPr="004949A5">
              <w:rPr>
                <w:sz w:val="20"/>
                <w:szCs w:val="20"/>
              </w:rPr>
              <w:t>-0.08</w:t>
            </w:r>
          </w:p>
        </w:tc>
        <w:tc>
          <w:tcPr>
            <w:tcW w:w="1247" w:type="dxa"/>
            <w:noWrap/>
            <w:vAlign w:val="center"/>
            <w:hideMark/>
          </w:tcPr>
          <w:p w14:paraId="198CCF4F" w14:textId="254A669E" w:rsidR="004949A5" w:rsidRPr="004949A5" w:rsidRDefault="004949A5" w:rsidP="004949A5">
            <w:pPr>
              <w:jc w:val="center"/>
              <w:rPr>
                <w:sz w:val="20"/>
                <w:szCs w:val="20"/>
              </w:rPr>
            </w:pPr>
            <w:r w:rsidRPr="004949A5">
              <w:rPr>
                <w:sz w:val="20"/>
                <w:szCs w:val="20"/>
              </w:rPr>
              <w:t>0.14</w:t>
            </w:r>
          </w:p>
        </w:tc>
        <w:tc>
          <w:tcPr>
            <w:tcW w:w="1247" w:type="dxa"/>
            <w:noWrap/>
            <w:vAlign w:val="center"/>
            <w:hideMark/>
          </w:tcPr>
          <w:p w14:paraId="49F9C365" w14:textId="324F7C83" w:rsidR="004949A5" w:rsidRPr="004949A5" w:rsidRDefault="004949A5" w:rsidP="004949A5">
            <w:pPr>
              <w:jc w:val="center"/>
              <w:rPr>
                <w:sz w:val="20"/>
                <w:szCs w:val="20"/>
              </w:rPr>
            </w:pPr>
            <w:r w:rsidRPr="004949A5">
              <w:rPr>
                <w:sz w:val="20"/>
                <w:szCs w:val="20"/>
              </w:rPr>
              <w:t>0.00</w:t>
            </w:r>
          </w:p>
        </w:tc>
        <w:tc>
          <w:tcPr>
            <w:tcW w:w="1247" w:type="dxa"/>
            <w:noWrap/>
            <w:vAlign w:val="center"/>
            <w:hideMark/>
          </w:tcPr>
          <w:p w14:paraId="0DC9CE4A" w14:textId="2E688183" w:rsidR="004949A5" w:rsidRPr="004949A5" w:rsidRDefault="004949A5" w:rsidP="004949A5">
            <w:pPr>
              <w:jc w:val="center"/>
              <w:rPr>
                <w:sz w:val="20"/>
                <w:szCs w:val="20"/>
              </w:rPr>
            </w:pPr>
            <w:r w:rsidRPr="004949A5">
              <w:rPr>
                <w:sz w:val="20"/>
                <w:szCs w:val="20"/>
              </w:rPr>
              <w:t>0.03</w:t>
            </w:r>
          </w:p>
        </w:tc>
      </w:tr>
      <w:tr w:rsidR="004949A5" w:rsidRPr="007C0608" w14:paraId="5014D75A" w14:textId="77777777" w:rsidTr="004949A5">
        <w:trPr>
          <w:trHeight w:val="340"/>
        </w:trPr>
        <w:tc>
          <w:tcPr>
            <w:tcW w:w="1814" w:type="dxa"/>
            <w:noWrap/>
            <w:vAlign w:val="center"/>
            <w:hideMark/>
          </w:tcPr>
          <w:p w14:paraId="7DAE164E" w14:textId="77777777" w:rsidR="004949A5" w:rsidRPr="007C0608" w:rsidRDefault="004949A5" w:rsidP="004949A5">
            <w:pPr>
              <w:rPr>
                <w:sz w:val="20"/>
                <w:szCs w:val="20"/>
              </w:rPr>
            </w:pPr>
            <w:r w:rsidRPr="007C0608">
              <w:rPr>
                <w:sz w:val="20"/>
                <w:szCs w:val="20"/>
              </w:rPr>
              <w:t>HFM</w:t>
            </w:r>
            <w:r w:rsidRPr="007C0608">
              <w:rPr>
                <w:sz w:val="20"/>
                <w:szCs w:val="20"/>
                <w:vertAlign w:val="subscript"/>
              </w:rPr>
              <w:t>ND</w:t>
            </w:r>
          </w:p>
        </w:tc>
        <w:tc>
          <w:tcPr>
            <w:tcW w:w="1247" w:type="dxa"/>
            <w:noWrap/>
            <w:vAlign w:val="center"/>
            <w:hideMark/>
          </w:tcPr>
          <w:p w14:paraId="1A9AAF11" w14:textId="37BD33D7" w:rsidR="004949A5" w:rsidRPr="004949A5" w:rsidRDefault="004949A5" w:rsidP="004949A5">
            <w:pPr>
              <w:jc w:val="center"/>
              <w:rPr>
                <w:sz w:val="20"/>
                <w:szCs w:val="20"/>
              </w:rPr>
            </w:pPr>
            <w:r w:rsidRPr="004949A5">
              <w:rPr>
                <w:sz w:val="20"/>
                <w:szCs w:val="20"/>
              </w:rPr>
              <w:t>0.31</w:t>
            </w:r>
          </w:p>
        </w:tc>
        <w:tc>
          <w:tcPr>
            <w:tcW w:w="1247" w:type="dxa"/>
            <w:noWrap/>
            <w:vAlign w:val="center"/>
            <w:hideMark/>
          </w:tcPr>
          <w:p w14:paraId="3B3AD50D" w14:textId="707A90D9" w:rsidR="004949A5" w:rsidRPr="004949A5" w:rsidRDefault="004949A5" w:rsidP="004949A5">
            <w:pPr>
              <w:jc w:val="center"/>
              <w:rPr>
                <w:sz w:val="20"/>
                <w:szCs w:val="20"/>
              </w:rPr>
            </w:pPr>
            <w:r w:rsidRPr="004949A5">
              <w:rPr>
                <w:sz w:val="20"/>
                <w:szCs w:val="20"/>
              </w:rPr>
              <w:t>-0.35</w:t>
            </w:r>
          </w:p>
        </w:tc>
        <w:tc>
          <w:tcPr>
            <w:tcW w:w="1247" w:type="dxa"/>
            <w:noWrap/>
            <w:vAlign w:val="center"/>
            <w:hideMark/>
          </w:tcPr>
          <w:p w14:paraId="5B0C1E33" w14:textId="17584C04" w:rsidR="004949A5" w:rsidRPr="004949A5" w:rsidRDefault="004949A5" w:rsidP="004949A5">
            <w:pPr>
              <w:jc w:val="center"/>
              <w:rPr>
                <w:sz w:val="20"/>
                <w:szCs w:val="20"/>
              </w:rPr>
            </w:pPr>
            <w:r w:rsidRPr="004949A5">
              <w:rPr>
                <w:sz w:val="20"/>
                <w:szCs w:val="20"/>
              </w:rPr>
              <w:t>0.08</w:t>
            </w:r>
          </w:p>
        </w:tc>
        <w:tc>
          <w:tcPr>
            <w:tcW w:w="1247" w:type="dxa"/>
            <w:noWrap/>
            <w:vAlign w:val="center"/>
            <w:hideMark/>
          </w:tcPr>
          <w:p w14:paraId="7AEF797E" w14:textId="3168F644" w:rsidR="004949A5" w:rsidRPr="004949A5" w:rsidRDefault="004949A5" w:rsidP="004949A5">
            <w:pPr>
              <w:jc w:val="center"/>
              <w:rPr>
                <w:sz w:val="20"/>
                <w:szCs w:val="20"/>
              </w:rPr>
            </w:pPr>
            <w:r w:rsidRPr="004949A5">
              <w:rPr>
                <w:sz w:val="20"/>
                <w:szCs w:val="20"/>
              </w:rPr>
              <w:t>0.22</w:t>
            </w:r>
          </w:p>
        </w:tc>
      </w:tr>
      <w:tr w:rsidR="004949A5" w:rsidRPr="007C0608" w14:paraId="3BD0E76F" w14:textId="77777777" w:rsidTr="004949A5">
        <w:trPr>
          <w:trHeight w:val="340"/>
        </w:trPr>
        <w:tc>
          <w:tcPr>
            <w:tcW w:w="1814" w:type="dxa"/>
            <w:noWrap/>
            <w:vAlign w:val="center"/>
            <w:hideMark/>
          </w:tcPr>
          <w:p w14:paraId="4A9665D8" w14:textId="77777777" w:rsidR="004949A5" w:rsidRPr="007C0608" w:rsidRDefault="004949A5" w:rsidP="004949A5">
            <w:pPr>
              <w:rPr>
                <w:sz w:val="20"/>
                <w:szCs w:val="20"/>
              </w:rPr>
            </w:pPr>
            <w:proofErr w:type="spellStart"/>
            <w:r w:rsidRPr="007C0608">
              <w:rPr>
                <w:sz w:val="20"/>
                <w:szCs w:val="20"/>
              </w:rPr>
              <w:t>KAbM</w:t>
            </w:r>
            <w:r w:rsidRPr="007C0608">
              <w:rPr>
                <w:sz w:val="20"/>
                <w:szCs w:val="20"/>
                <w:vertAlign w:val="subscript"/>
              </w:rPr>
              <w:t>ND</w:t>
            </w:r>
            <w:proofErr w:type="spellEnd"/>
          </w:p>
        </w:tc>
        <w:tc>
          <w:tcPr>
            <w:tcW w:w="1247" w:type="dxa"/>
            <w:vAlign w:val="center"/>
          </w:tcPr>
          <w:p w14:paraId="06CDFA9F" w14:textId="22BC6D1D" w:rsidR="004949A5" w:rsidRPr="004949A5" w:rsidRDefault="004949A5" w:rsidP="004949A5">
            <w:pPr>
              <w:jc w:val="center"/>
              <w:rPr>
                <w:sz w:val="20"/>
                <w:szCs w:val="20"/>
              </w:rPr>
            </w:pPr>
            <w:r w:rsidRPr="004949A5">
              <w:rPr>
                <w:sz w:val="20"/>
                <w:szCs w:val="20"/>
              </w:rPr>
              <w:t>-0.07</w:t>
            </w:r>
          </w:p>
        </w:tc>
        <w:tc>
          <w:tcPr>
            <w:tcW w:w="1247" w:type="dxa"/>
            <w:noWrap/>
            <w:vAlign w:val="center"/>
            <w:hideMark/>
          </w:tcPr>
          <w:p w14:paraId="27144F80" w14:textId="31B2C648" w:rsidR="004949A5" w:rsidRPr="004949A5" w:rsidRDefault="004949A5" w:rsidP="004949A5">
            <w:pPr>
              <w:jc w:val="center"/>
              <w:rPr>
                <w:sz w:val="20"/>
                <w:szCs w:val="20"/>
              </w:rPr>
            </w:pPr>
            <w:r w:rsidRPr="004949A5">
              <w:rPr>
                <w:sz w:val="20"/>
                <w:szCs w:val="20"/>
              </w:rPr>
              <w:t>-0.13</w:t>
            </w:r>
          </w:p>
        </w:tc>
        <w:tc>
          <w:tcPr>
            <w:tcW w:w="1247" w:type="dxa"/>
            <w:noWrap/>
            <w:vAlign w:val="center"/>
            <w:hideMark/>
          </w:tcPr>
          <w:p w14:paraId="513A9BA5" w14:textId="326D7C58" w:rsidR="004949A5" w:rsidRPr="004949A5" w:rsidRDefault="004949A5" w:rsidP="004949A5">
            <w:pPr>
              <w:jc w:val="center"/>
              <w:rPr>
                <w:sz w:val="20"/>
                <w:szCs w:val="20"/>
              </w:rPr>
            </w:pPr>
            <w:r w:rsidRPr="004949A5">
              <w:rPr>
                <w:sz w:val="20"/>
                <w:szCs w:val="20"/>
              </w:rPr>
              <w:t>-0.02</w:t>
            </w:r>
          </w:p>
        </w:tc>
        <w:tc>
          <w:tcPr>
            <w:tcW w:w="1247" w:type="dxa"/>
            <w:noWrap/>
            <w:vAlign w:val="center"/>
            <w:hideMark/>
          </w:tcPr>
          <w:p w14:paraId="5071E0FB" w14:textId="2D47FAAF" w:rsidR="004949A5" w:rsidRPr="004949A5" w:rsidRDefault="004949A5" w:rsidP="004949A5">
            <w:pPr>
              <w:jc w:val="center"/>
              <w:rPr>
                <w:sz w:val="20"/>
                <w:szCs w:val="20"/>
              </w:rPr>
            </w:pPr>
            <w:r w:rsidRPr="004949A5">
              <w:rPr>
                <w:sz w:val="20"/>
                <w:szCs w:val="20"/>
              </w:rPr>
              <w:t>0.19</w:t>
            </w:r>
          </w:p>
        </w:tc>
      </w:tr>
      <w:tr w:rsidR="004949A5" w:rsidRPr="007C0608" w14:paraId="7AD10965" w14:textId="77777777" w:rsidTr="004949A5">
        <w:trPr>
          <w:trHeight w:val="340"/>
        </w:trPr>
        <w:tc>
          <w:tcPr>
            <w:tcW w:w="1814" w:type="dxa"/>
            <w:tcBorders>
              <w:bottom w:val="single" w:sz="4" w:space="0" w:color="auto"/>
            </w:tcBorders>
            <w:noWrap/>
            <w:vAlign w:val="center"/>
            <w:hideMark/>
          </w:tcPr>
          <w:p w14:paraId="584B5687" w14:textId="77777777" w:rsidR="004949A5" w:rsidRPr="007C0608" w:rsidRDefault="004949A5" w:rsidP="004949A5">
            <w:pPr>
              <w:rPr>
                <w:sz w:val="20"/>
                <w:szCs w:val="20"/>
              </w:rPr>
            </w:pPr>
            <w:r w:rsidRPr="007C0608">
              <w:rPr>
                <w:sz w:val="20"/>
                <w:szCs w:val="20"/>
              </w:rPr>
              <w:t>KFM</w:t>
            </w:r>
            <w:r w:rsidRPr="007C0608">
              <w:rPr>
                <w:sz w:val="20"/>
                <w:szCs w:val="20"/>
                <w:vertAlign w:val="subscript"/>
              </w:rPr>
              <w:t>ND</w:t>
            </w:r>
          </w:p>
        </w:tc>
        <w:tc>
          <w:tcPr>
            <w:tcW w:w="1247" w:type="dxa"/>
            <w:tcBorders>
              <w:bottom w:val="single" w:sz="4" w:space="0" w:color="auto"/>
            </w:tcBorders>
            <w:noWrap/>
            <w:vAlign w:val="center"/>
            <w:hideMark/>
          </w:tcPr>
          <w:p w14:paraId="5D4364A3" w14:textId="3D68E6B0" w:rsidR="004949A5" w:rsidRPr="004949A5" w:rsidRDefault="004949A5" w:rsidP="004949A5">
            <w:pPr>
              <w:jc w:val="center"/>
              <w:rPr>
                <w:sz w:val="20"/>
                <w:szCs w:val="20"/>
              </w:rPr>
            </w:pPr>
            <w:r w:rsidRPr="004949A5">
              <w:rPr>
                <w:sz w:val="20"/>
                <w:szCs w:val="20"/>
              </w:rPr>
              <w:t>-0.19</w:t>
            </w:r>
          </w:p>
        </w:tc>
        <w:tc>
          <w:tcPr>
            <w:tcW w:w="1247" w:type="dxa"/>
            <w:tcBorders>
              <w:bottom w:val="single" w:sz="4" w:space="0" w:color="auto"/>
            </w:tcBorders>
            <w:noWrap/>
            <w:vAlign w:val="center"/>
            <w:hideMark/>
          </w:tcPr>
          <w:p w14:paraId="7D78BB1F" w14:textId="7C66C2FA" w:rsidR="004949A5" w:rsidRPr="004949A5" w:rsidRDefault="004949A5" w:rsidP="004949A5">
            <w:pPr>
              <w:jc w:val="center"/>
              <w:rPr>
                <w:sz w:val="20"/>
                <w:szCs w:val="20"/>
              </w:rPr>
            </w:pPr>
            <w:r w:rsidRPr="004949A5">
              <w:rPr>
                <w:sz w:val="20"/>
                <w:szCs w:val="20"/>
              </w:rPr>
              <w:t>0.05</w:t>
            </w:r>
          </w:p>
        </w:tc>
        <w:tc>
          <w:tcPr>
            <w:tcW w:w="1247" w:type="dxa"/>
            <w:tcBorders>
              <w:bottom w:val="single" w:sz="4" w:space="0" w:color="auto"/>
            </w:tcBorders>
            <w:noWrap/>
            <w:vAlign w:val="center"/>
            <w:hideMark/>
          </w:tcPr>
          <w:p w14:paraId="1BAF8269" w14:textId="0D52F73F" w:rsidR="004949A5" w:rsidRPr="004949A5" w:rsidRDefault="004949A5" w:rsidP="004949A5">
            <w:pPr>
              <w:jc w:val="center"/>
              <w:rPr>
                <w:sz w:val="20"/>
                <w:szCs w:val="20"/>
              </w:rPr>
            </w:pPr>
            <w:r w:rsidRPr="004949A5">
              <w:rPr>
                <w:sz w:val="20"/>
                <w:szCs w:val="20"/>
              </w:rPr>
              <w:t>-0.08</w:t>
            </w:r>
          </w:p>
        </w:tc>
        <w:tc>
          <w:tcPr>
            <w:tcW w:w="1247" w:type="dxa"/>
            <w:tcBorders>
              <w:bottom w:val="single" w:sz="4" w:space="0" w:color="auto"/>
            </w:tcBorders>
            <w:noWrap/>
            <w:vAlign w:val="center"/>
            <w:hideMark/>
          </w:tcPr>
          <w:p w14:paraId="372AAA38" w14:textId="42E3DA44" w:rsidR="004949A5" w:rsidRPr="004949A5" w:rsidRDefault="004949A5" w:rsidP="004949A5">
            <w:pPr>
              <w:jc w:val="center"/>
              <w:rPr>
                <w:sz w:val="20"/>
                <w:szCs w:val="20"/>
              </w:rPr>
            </w:pPr>
            <w:r w:rsidRPr="004949A5">
              <w:rPr>
                <w:sz w:val="20"/>
                <w:szCs w:val="20"/>
              </w:rPr>
              <w:t>0.04</w:t>
            </w:r>
          </w:p>
        </w:tc>
      </w:tr>
      <w:tr w:rsidR="001B783F" w:rsidRPr="007C0608" w14:paraId="59AC4782" w14:textId="77777777" w:rsidTr="001B783F">
        <w:trPr>
          <w:trHeight w:val="340"/>
        </w:trPr>
        <w:tc>
          <w:tcPr>
            <w:tcW w:w="1814" w:type="dxa"/>
            <w:tcBorders>
              <w:top w:val="single" w:sz="4" w:space="0" w:color="auto"/>
              <w:bottom w:val="single" w:sz="4" w:space="0" w:color="auto"/>
            </w:tcBorders>
            <w:noWrap/>
            <w:vAlign w:val="center"/>
          </w:tcPr>
          <w:p w14:paraId="675565FA" w14:textId="26B349A3" w:rsidR="001B783F" w:rsidRPr="001B783F" w:rsidRDefault="001B783F" w:rsidP="009E6A62">
            <w:pPr>
              <w:rPr>
                <w:b/>
                <w:bCs/>
                <w:sz w:val="20"/>
                <w:szCs w:val="20"/>
              </w:rPr>
            </w:pPr>
            <w:r w:rsidRPr="001B783F">
              <w:rPr>
                <w:b/>
                <w:bCs/>
                <w:sz w:val="20"/>
                <w:szCs w:val="20"/>
              </w:rPr>
              <w:t>Cluster (N trials)</w:t>
            </w:r>
          </w:p>
        </w:tc>
        <w:tc>
          <w:tcPr>
            <w:tcW w:w="4988" w:type="dxa"/>
            <w:gridSpan w:val="4"/>
            <w:tcBorders>
              <w:top w:val="single" w:sz="4" w:space="0" w:color="auto"/>
              <w:bottom w:val="single" w:sz="4" w:space="0" w:color="auto"/>
            </w:tcBorders>
            <w:noWrap/>
            <w:vAlign w:val="center"/>
          </w:tcPr>
          <w:p w14:paraId="252D65EF" w14:textId="04673580" w:rsidR="001B783F" w:rsidRPr="001B783F" w:rsidRDefault="001B783F" w:rsidP="009E6A62">
            <w:pPr>
              <w:jc w:val="center"/>
              <w:rPr>
                <w:b/>
                <w:bCs/>
                <w:sz w:val="20"/>
                <w:szCs w:val="20"/>
              </w:rPr>
            </w:pPr>
            <w:r w:rsidRPr="001B783F">
              <w:rPr>
                <w:b/>
                <w:bCs/>
                <w:sz w:val="20"/>
                <w:szCs w:val="20"/>
              </w:rPr>
              <w:t>Scores</w:t>
            </w:r>
          </w:p>
        </w:tc>
      </w:tr>
      <w:tr w:rsidR="009E6A62" w:rsidRPr="007C0608" w14:paraId="42FDC0CA" w14:textId="77777777" w:rsidTr="001B783F">
        <w:trPr>
          <w:trHeight w:val="340"/>
        </w:trPr>
        <w:tc>
          <w:tcPr>
            <w:tcW w:w="1814" w:type="dxa"/>
            <w:tcBorders>
              <w:top w:val="single" w:sz="4" w:space="0" w:color="auto"/>
            </w:tcBorders>
            <w:noWrap/>
            <w:vAlign w:val="center"/>
          </w:tcPr>
          <w:p w14:paraId="277F3B04" w14:textId="43FCABE8" w:rsidR="009E6A62" w:rsidRPr="007C0608" w:rsidRDefault="009E6A62" w:rsidP="009E6A62">
            <w:pPr>
              <w:rPr>
                <w:sz w:val="20"/>
                <w:szCs w:val="20"/>
              </w:rPr>
            </w:pPr>
            <w:r>
              <w:rPr>
                <w:sz w:val="20"/>
                <w:szCs w:val="20"/>
              </w:rPr>
              <w:t>1 (5)</w:t>
            </w:r>
          </w:p>
        </w:tc>
        <w:tc>
          <w:tcPr>
            <w:tcW w:w="1247" w:type="dxa"/>
            <w:tcBorders>
              <w:top w:val="single" w:sz="4" w:space="0" w:color="auto"/>
            </w:tcBorders>
            <w:noWrap/>
            <w:vAlign w:val="center"/>
          </w:tcPr>
          <w:p w14:paraId="5707DDCC" w14:textId="5A079327" w:rsidR="009E6A62" w:rsidRPr="007C0608" w:rsidRDefault="009E6A62" w:rsidP="009E6A62">
            <w:pPr>
              <w:jc w:val="center"/>
              <w:rPr>
                <w:sz w:val="20"/>
                <w:szCs w:val="20"/>
              </w:rPr>
            </w:pPr>
            <w:r w:rsidRPr="00241841">
              <w:rPr>
                <w:sz w:val="20"/>
                <w:szCs w:val="20"/>
              </w:rPr>
              <w:t>-0.88 ± 0.32</w:t>
            </w:r>
          </w:p>
        </w:tc>
        <w:tc>
          <w:tcPr>
            <w:tcW w:w="1247" w:type="dxa"/>
            <w:tcBorders>
              <w:top w:val="single" w:sz="4" w:space="0" w:color="auto"/>
            </w:tcBorders>
            <w:noWrap/>
            <w:vAlign w:val="center"/>
          </w:tcPr>
          <w:p w14:paraId="63D4B0AD" w14:textId="6FA51C27" w:rsidR="009E6A62" w:rsidRPr="007C0608" w:rsidRDefault="009E6A62" w:rsidP="009E6A62">
            <w:pPr>
              <w:jc w:val="center"/>
              <w:rPr>
                <w:sz w:val="20"/>
                <w:szCs w:val="20"/>
              </w:rPr>
            </w:pPr>
            <w:r w:rsidRPr="00241841">
              <w:rPr>
                <w:sz w:val="20"/>
                <w:szCs w:val="20"/>
              </w:rPr>
              <w:t>0.85 ± 0.55</w:t>
            </w:r>
          </w:p>
        </w:tc>
        <w:tc>
          <w:tcPr>
            <w:tcW w:w="1247" w:type="dxa"/>
            <w:tcBorders>
              <w:top w:val="single" w:sz="4" w:space="0" w:color="auto"/>
            </w:tcBorders>
            <w:noWrap/>
            <w:vAlign w:val="center"/>
          </w:tcPr>
          <w:p w14:paraId="718AC751" w14:textId="2C35EDF8" w:rsidR="009E6A62" w:rsidRPr="007C0608" w:rsidRDefault="009E6A62" w:rsidP="009E6A62">
            <w:pPr>
              <w:jc w:val="center"/>
              <w:rPr>
                <w:sz w:val="20"/>
                <w:szCs w:val="20"/>
              </w:rPr>
            </w:pPr>
            <w:r w:rsidRPr="00241841">
              <w:rPr>
                <w:sz w:val="20"/>
                <w:szCs w:val="20"/>
              </w:rPr>
              <w:t>2.55 ± 0.30</w:t>
            </w:r>
          </w:p>
        </w:tc>
        <w:tc>
          <w:tcPr>
            <w:tcW w:w="1247" w:type="dxa"/>
            <w:tcBorders>
              <w:top w:val="single" w:sz="4" w:space="0" w:color="auto"/>
            </w:tcBorders>
            <w:noWrap/>
            <w:vAlign w:val="center"/>
          </w:tcPr>
          <w:p w14:paraId="740D72E5" w14:textId="2BF708DB" w:rsidR="009E6A62" w:rsidRPr="007C0608" w:rsidRDefault="009E6A62" w:rsidP="009E6A62">
            <w:pPr>
              <w:jc w:val="center"/>
              <w:rPr>
                <w:sz w:val="20"/>
                <w:szCs w:val="20"/>
              </w:rPr>
            </w:pPr>
            <w:r w:rsidRPr="00241841">
              <w:rPr>
                <w:sz w:val="20"/>
                <w:szCs w:val="20"/>
              </w:rPr>
              <w:t>-0.91 ± 1.55</w:t>
            </w:r>
          </w:p>
        </w:tc>
      </w:tr>
      <w:tr w:rsidR="001B783F" w:rsidRPr="007C0608" w14:paraId="2F988690" w14:textId="77777777" w:rsidTr="001B783F">
        <w:trPr>
          <w:trHeight w:val="340"/>
        </w:trPr>
        <w:tc>
          <w:tcPr>
            <w:tcW w:w="1814" w:type="dxa"/>
            <w:noWrap/>
            <w:vAlign w:val="center"/>
          </w:tcPr>
          <w:p w14:paraId="02CABBAB" w14:textId="2C8DF22B" w:rsidR="009E6A62" w:rsidRPr="007C0608" w:rsidRDefault="009E6A62" w:rsidP="009E6A62">
            <w:pPr>
              <w:rPr>
                <w:sz w:val="20"/>
                <w:szCs w:val="20"/>
              </w:rPr>
            </w:pPr>
            <w:r w:rsidRPr="00241841">
              <w:rPr>
                <w:sz w:val="20"/>
                <w:szCs w:val="20"/>
              </w:rPr>
              <w:t>2</w:t>
            </w:r>
            <w:r>
              <w:rPr>
                <w:sz w:val="20"/>
                <w:szCs w:val="20"/>
              </w:rPr>
              <w:t xml:space="preserve"> (24)</w:t>
            </w:r>
          </w:p>
        </w:tc>
        <w:tc>
          <w:tcPr>
            <w:tcW w:w="1247" w:type="dxa"/>
            <w:noWrap/>
            <w:vAlign w:val="center"/>
          </w:tcPr>
          <w:p w14:paraId="368E4898" w14:textId="3F1B7128" w:rsidR="009E6A62" w:rsidRPr="007C0608" w:rsidRDefault="009E6A62" w:rsidP="009E6A62">
            <w:pPr>
              <w:jc w:val="center"/>
              <w:rPr>
                <w:sz w:val="20"/>
                <w:szCs w:val="20"/>
              </w:rPr>
            </w:pPr>
            <w:r w:rsidRPr="00241841">
              <w:rPr>
                <w:sz w:val="20"/>
                <w:szCs w:val="20"/>
              </w:rPr>
              <w:t>-1.13 ± 0.81</w:t>
            </w:r>
          </w:p>
        </w:tc>
        <w:tc>
          <w:tcPr>
            <w:tcW w:w="1247" w:type="dxa"/>
            <w:noWrap/>
            <w:vAlign w:val="center"/>
          </w:tcPr>
          <w:p w14:paraId="0B83AEEA" w14:textId="1AD0DCD5" w:rsidR="009E6A62" w:rsidRPr="007C0608" w:rsidRDefault="009E6A62" w:rsidP="009E6A62">
            <w:pPr>
              <w:jc w:val="center"/>
              <w:rPr>
                <w:sz w:val="20"/>
                <w:szCs w:val="20"/>
              </w:rPr>
            </w:pPr>
            <w:r w:rsidRPr="00241841">
              <w:rPr>
                <w:sz w:val="20"/>
                <w:szCs w:val="20"/>
              </w:rPr>
              <w:t>0.37 ± 1.29</w:t>
            </w:r>
          </w:p>
        </w:tc>
        <w:tc>
          <w:tcPr>
            <w:tcW w:w="1247" w:type="dxa"/>
            <w:noWrap/>
            <w:vAlign w:val="center"/>
          </w:tcPr>
          <w:p w14:paraId="55D9FA42" w14:textId="59B48DED" w:rsidR="009E6A62" w:rsidRPr="007C0608" w:rsidRDefault="009E6A62" w:rsidP="009E6A62">
            <w:pPr>
              <w:jc w:val="center"/>
              <w:rPr>
                <w:sz w:val="20"/>
                <w:szCs w:val="20"/>
              </w:rPr>
            </w:pPr>
            <w:r w:rsidRPr="00241841">
              <w:rPr>
                <w:sz w:val="20"/>
                <w:szCs w:val="20"/>
              </w:rPr>
              <w:t>-0.64 ± 0.76</w:t>
            </w:r>
          </w:p>
        </w:tc>
        <w:tc>
          <w:tcPr>
            <w:tcW w:w="1247" w:type="dxa"/>
            <w:noWrap/>
            <w:vAlign w:val="center"/>
          </w:tcPr>
          <w:p w14:paraId="2662991C" w14:textId="7EB59FED" w:rsidR="009E6A62" w:rsidRPr="007C0608" w:rsidRDefault="009E6A62" w:rsidP="009E6A62">
            <w:pPr>
              <w:jc w:val="center"/>
              <w:rPr>
                <w:sz w:val="20"/>
                <w:szCs w:val="20"/>
              </w:rPr>
            </w:pPr>
            <w:r w:rsidRPr="00241841">
              <w:rPr>
                <w:sz w:val="20"/>
                <w:szCs w:val="20"/>
              </w:rPr>
              <w:t>-0.02 ± 0.80</w:t>
            </w:r>
          </w:p>
        </w:tc>
      </w:tr>
      <w:tr w:rsidR="001B783F" w:rsidRPr="007C0608" w14:paraId="0F42062C" w14:textId="77777777" w:rsidTr="001B783F">
        <w:trPr>
          <w:trHeight w:val="340"/>
        </w:trPr>
        <w:tc>
          <w:tcPr>
            <w:tcW w:w="1814" w:type="dxa"/>
            <w:noWrap/>
            <w:vAlign w:val="center"/>
          </w:tcPr>
          <w:p w14:paraId="0D13EBE4" w14:textId="5C90164A" w:rsidR="009E6A62" w:rsidRPr="007C0608" w:rsidRDefault="009E6A62" w:rsidP="009E6A62">
            <w:pPr>
              <w:rPr>
                <w:sz w:val="20"/>
                <w:szCs w:val="20"/>
              </w:rPr>
            </w:pPr>
            <w:r w:rsidRPr="00241841">
              <w:rPr>
                <w:sz w:val="20"/>
                <w:szCs w:val="20"/>
              </w:rPr>
              <w:t>3</w:t>
            </w:r>
            <w:r>
              <w:rPr>
                <w:sz w:val="20"/>
                <w:szCs w:val="20"/>
              </w:rPr>
              <w:t xml:space="preserve"> (4)</w:t>
            </w:r>
          </w:p>
        </w:tc>
        <w:tc>
          <w:tcPr>
            <w:tcW w:w="1247" w:type="dxa"/>
            <w:noWrap/>
            <w:vAlign w:val="center"/>
          </w:tcPr>
          <w:p w14:paraId="504D368F" w14:textId="18C53758" w:rsidR="009E6A62" w:rsidRPr="007C0608" w:rsidRDefault="009E6A62" w:rsidP="009E6A62">
            <w:pPr>
              <w:jc w:val="center"/>
              <w:rPr>
                <w:sz w:val="20"/>
                <w:szCs w:val="20"/>
              </w:rPr>
            </w:pPr>
            <w:r w:rsidRPr="00241841">
              <w:rPr>
                <w:sz w:val="20"/>
                <w:szCs w:val="20"/>
              </w:rPr>
              <w:t>-3.70 ± 0.84</w:t>
            </w:r>
          </w:p>
        </w:tc>
        <w:tc>
          <w:tcPr>
            <w:tcW w:w="1247" w:type="dxa"/>
            <w:noWrap/>
            <w:vAlign w:val="center"/>
          </w:tcPr>
          <w:p w14:paraId="3D32F6A6" w14:textId="60E8E257" w:rsidR="009E6A62" w:rsidRPr="007C0608" w:rsidRDefault="009E6A62" w:rsidP="009E6A62">
            <w:pPr>
              <w:jc w:val="center"/>
              <w:rPr>
                <w:sz w:val="20"/>
                <w:szCs w:val="20"/>
              </w:rPr>
            </w:pPr>
            <w:r w:rsidRPr="00241841">
              <w:rPr>
                <w:sz w:val="20"/>
                <w:szCs w:val="20"/>
              </w:rPr>
              <w:t>-2.31 ± 0.34</w:t>
            </w:r>
          </w:p>
        </w:tc>
        <w:tc>
          <w:tcPr>
            <w:tcW w:w="1247" w:type="dxa"/>
            <w:noWrap/>
            <w:vAlign w:val="center"/>
          </w:tcPr>
          <w:p w14:paraId="672D0AF4" w14:textId="6140065C" w:rsidR="009E6A62" w:rsidRPr="007C0608" w:rsidRDefault="009E6A62" w:rsidP="009E6A62">
            <w:pPr>
              <w:jc w:val="center"/>
              <w:rPr>
                <w:sz w:val="20"/>
                <w:szCs w:val="20"/>
              </w:rPr>
            </w:pPr>
            <w:r w:rsidRPr="00241841">
              <w:rPr>
                <w:sz w:val="20"/>
                <w:szCs w:val="20"/>
              </w:rPr>
              <w:t>0.04 ± 0.51</w:t>
            </w:r>
          </w:p>
        </w:tc>
        <w:tc>
          <w:tcPr>
            <w:tcW w:w="1247" w:type="dxa"/>
            <w:noWrap/>
            <w:vAlign w:val="center"/>
          </w:tcPr>
          <w:p w14:paraId="460A2BE0" w14:textId="7040E0B2" w:rsidR="009E6A62" w:rsidRPr="007C0608" w:rsidRDefault="009E6A62" w:rsidP="009E6A62">
            <w:pPr>
              <w:jc w:val="center"/>
              <w:rPr>
                <w:sz w:val="20"/>
                <w:szCs w:val="20"/>
              </w:rPr>
            </w:pPr>
            <w:r w:rsidRPr="00241841">
              <w:rPr>
                <w:sz w:val="20"/>
                <w:szCs w:val="20"/>
              </w:rPr>
              <w:t>0.63 ± 0.44</w:t>
            </w:r>
          </w:p>
        </w:tc>
      </w:tr>
      <w:tr w:rsidR="001B783F" w:rsidRPr="007C0608" w14:paraId="4C1E04CD" w14:textId="77777777" w:rsidTr="001B783F">
        <w:trPr>
          <w:trHeight w:val="340"/>
        </w:trPr>
        <w:tc>
          <w:tcPr>
            <w:tcW w:w="1814" w:type="dxa"/>
            <w:tcBorders>
              <w:bottom w:val="single" w:sz="4" w:space="0" w:color="auto"/>
            </w:tcBorders>
            <w:noWrap/>
            <w:vAlign w:val="center"/>
          </w:tcPr>
          <w:p w14:paraId="7A834618" w14:textId="1EB3F757" w:rsidR="009E6A62" w:rsidRPr="007C0608" w:rsidRDefault="009E6A62" w:rsidP="009E6A62">
            <w:pPr>
              <w:rPr>
                <w:sz w:val="20"/>
                <w:szCs w:val="20"/>
              </w:rPr>
            </w:pPr>
            <w:r w:rsidRPr="00241841">
              <w:rPr>
                <w:sz w:val="20"/>
                <w:szCs w:val="20"/>
              </w:rPr>
              <w:t>4</w:t>
            </w:r>
            <w:r>
              <w:rPr>
                <w:sz w:val="20"/>
                <w:szCs w:val="20"/>
              </w:rPr>
              <w:t xml:space="preserve"> (21)</w:t>
            </w:r>
          </w:p>
        </w:tc>
        <w:tc>
          <w:tcPr>
            <w:tcW w:w="1247" w:type="dxa"/>
            <w:tcBorders>
              <w:bottom w:val="single" w:sz="4" w:space="0" w:color="auto"/>
            </w:tcBorders>
            <w:noWrap/>
            <w:vAlign w:val="center"/>
          </w:tcPr>
          <w:p w14:paraId="1924F384" w14:textId="03F8EE60" w:rsidR="009E6A62" w:rsidRPr="007C0608" w:rsidRDefault="009E6A62" w:rsidP="009E6A62">
            <w:pPr>
              <w:jc w:val="center"/>
              <w:rPr>
                <w:sz w:val="20"/>
                <w:szCs w:val="20"/>
              </w:rPr>
            </w:pPr>
            <w:r w:rsidRPr="00241841">
              <w:rPr>
                <w:sz w:val="20"/>
                <w:szCs w:val="20"/>
              </w:rPr>
              <w:t>2.21 ± 1.12</w:t>
            </w:r>
          </w:p>
        </w:tc>
        <w:tc>
          <w:tcPr>
            <w:tcW w:w="1247" w:type="dxa"/>
            <w:tcBorders>
              <w:bottom w:val="single" w:sz="4" w:space="0" w:color="auto"/>
            </w:tcBorders>
            <w:noWrap/>
            <w:vAlign w:val="center"/>
          </w:tcPr>
          <w:p w14:paraId="399EDEE7" w14:textId="7FDD86F4" w:rsidR="009E6A62" w:rsidRPr="007C0608" w:rsidRDefault="009E6A62" w:rsidP="009E6A62">
            <w:pPr>
              <w:jc w:val="center"/>
              <w:rPr>
                <w:sz w:val="20"/>
                <w:szCs w:val="20"/>
              </w:rPr>
            </w:pPr>
            <w:r w:rsidRPr="00241841">
              <w:rPr>
                <w:sz w:val="20"/>
                <w:szCs w:val="20"/>
              </w:rPr>
              <w:t>-0.19 ± 1.05</w:t>
            </w:r>
          </w:p>
        </w:tc>
        <w:tc>
          <w:tcPr>
            <w:tcW w:w="1247" w:type="dxa"/>
            <w:tcBorders>
              <w:bottom w:val="single" w:sz="4" w:space="0" w:color="auto"/>
            </w:tcBorders>
            <w:noWrap/>
            <w:vAlign w:val="center"/>
          </w:tcPr>
          <w:p w14:paraId="1EDA167E" w14:textId="708F33AD" w:rsidR="009E6A62" w:rsidRPr="007C0608" w:rsidRDefault="009E6A62" w:rsidP="009E6A62">
            <w:pPr>
              <w:jc w:val="center"/>
              <w:rPr>
                <w:sz w:val="20"/>
                <w:szCs w:val="20"/>
              </w:rPr>
            </w:pPr>
            <w:r w:rsidRPr="00241841">
              <w:rPr>
                <w:sz w:val="20"/>
                <w:szCs w:val="20"/>
              </w:rPr>
              <w:t>0.12 ± 0.77</w:t>
            </w:r>
          </w:p>
        </w:tc>
        <w:tc>
          <w:tcPr>
            <w:tcW w:w="1247" w:type="dxa"/>
            <w:tcBorders>
              <w:bottom w:val="single" w:sz="4" w:space="0" w:color="auto"/>
            </w:tcBorders>
            <w:noWrap/>
            <w:vAlign w:val="center"/>
          </w:tcPr>
          <w:p w14:paraId="2F9D99B2" w14:textId="40BE698F" w:rsidR="009E6A62" w:rsidRPr="007C0608" w:rsidRDefault="009E6A62" w:rsidP="009E6A62">
            <w:pPr>
              <w:jc w:val="center"/>
              <w:rPr>
                <w:sz w:val="20"/>
                <w:szCs w:val="20"/>
              </w:rPr>
            </w:pPr>
            <w:r w:rsidRPr="00241841">
              <w:rPr>
                <w:sz w:val="20"/>
                <w:szCs w:val="20"/>
              </w:rPr>
              <w:t>0.12 ± 1.22</w:t>
            </w:r>
          </w:p>
        </w:tc>
      </w:tr>
      <w:tr w:rsidR="001B783F" w:rsidRPr="007C0608" w14:paraId="2E407C7C" w14:textId="77777777" w:rsidTr="001B783F">
        <w:trPr>
          <w:trHeight w:val="340"/>
        </w:trPr>
        <w:tc>
          <w:tcPr>
            <w:tcW w:w="1814" w:type="dxa"/>
            <w:tcBorders>
              <w:bottom w:val="single" w:sz="4" w:space="0" w:color="auto"/>
            </w:tcBorders>
            <w:noWrap/>
            <w:vAlign w:val="center"/>
          </w:tcPr>
          <w:p w14:paraId="263FA17C" w14:textId="7249D9F4" w:rsidR="009E6A62" w:rsidRPr="009E6A62" w:rsidRDefault="009E6A62" w:rsidP="009E6A62">
            <w:pPr>
              <w:rPr>
                <w:b/>
                <w:bCs/>
                <w:sz w:val="20"/>
                <w:szCs w:val="20"/>
              </w:rPr>
            </w:pPr>
            <w:r w:rsidRPr="009E6A62">
              <w:rPr>
                <w:b/>
                <w:bCs/>
                <w:sz w:val="20"/>
                <w:szCs w:val="20"/>
              </w:rPr>
              <w:t>K-W p-</w:t>
            </w:r>
            <w:proofErr w:type="spellStart"/>
            <w:r w:rsidRPr="009E6A62">
              <w:rPr>
                <w:b/>
                <w:bCs/>
                <w:sz w:val="20"/>
                <w:szCs w:val="20"/>
              </w:rPr>
              <w:t>value</w:t>
            </w:r>
            <w:proofErr w:type="spellEnd"/>
          </w:p>
        </w:tc>
        <w:tc>
          <w:tcPr>
            <w:tcW w:w="1247" w:type="dxa"/>
            <w:tcBorders>
              <w:top w:val="single" w:sz="4" w:space="0" w:color="auto"/>
              <w:bottom w:val="single" w:sz="4" w:space="0" w:color="auto"/>
            </w:tcBorders>
            <w:noWrap/>
            <w:vAlign w:val="center"/>
          </w:tcPr>
          <w:p w14:paraId="7222D6E7" w14:textId="63E47A93" w:rsidR="009E6A62" w:rsidRPr="007C0608" w:rsidRDefault="009E6A62" w:rsidP="009E6A62">
            <w:pPr>
              <w:jc w:val="center"/>
              <w:rPr>
                <w:sz w:val="20"/>
                <w:szCs w:val="20"/>
              </w:rPr>
            </w:pPr>
            <w:r w:rsidRPr="00241841">
              <w:rPr>
                <w:sz w:val="20"/>
                <w:szCs w:val="20"/>
              </w:rPr>
              <w:t>&lt;0.001*</w:t>
            </w:r>
          </w:p>
        </w:tc>
        <w:tc>
          <w:tcPr>
            <w:tcW w:w="1247" w:type="dxa"/>
            <w:tcBorders>
              <w:top w:val="single" w:sz="4" w:space="0" w:color="auto"/>
              <w:bottom w:val="single" w:sz="4" w:space="0" w:color="auto"/>
            </w:tcBorders>
            <w:noWrap/>
            <w:vAlign w:val="center"/>
          </w:tcPr>
          <w:p w14:paraId="3D9B5959" w14:textId="4F3F3B42" w:rsidR="009E6A62" w:rsidRPr="007C0608" w:rsidRDefault="009E6A62" w:rsidP="009E6A62">
            <w:pPr>
              <w:jc w:val="center"/>
              <w:rPr>
                <w:sz w:val="20"/>
                <w:szCs w:val="20"/>
              </w:rPr>
            </w:pPr>
            <w:r w:rsidRPr="00241841">
              <w:rPr>
                <w:sz w:val="20"/>
                <w:szCs w:val="20"/>
              </w:rPr>
              <w:t>0.002*</w:t>
            </w:r>
          </w:p>
        </w:tc>
        <w:tc>
          <w:tcPr>
            <w:tcW w:w="1247" w:type="dxa"/>
            <w:tcBorders>
              <w:top w:val="single" w:sz="4" w:space="0" w:color="auto"/>
              <w:bottom w:val="single" w:sz="4" w:space="0" w:color="auto"/>
            </w:tcBorders>
            <w:noWrap/>
            <w:vAlign w:val="center"/>
          </w:tcPr>
          <w:p w14:paraId="0BBF87DF" w14:textId="47D1355B" w:rsidR="009E6A62" w:rsidRPr="007C0608" w:rsidRDefault="009E6A62" w:rsidP="009E6A62">
            <w:pPr>
              <w:jc w:val="center"/>
              <w:rPr>
                <w:sz w:val="20"/>
                <w:szCs w:val="20"/>
              </w:rPr>
            </w:pPr>
            <w:r w:rsidRPr="00241841">
              <w:rPr>
                <w:sz w:val="20"/>
                <w:szCs w:val="20"/>
              </w:rPr>
              <w:t>&lt;0.001*</w:t>
            </w:r>
          </w:p>
        </w:tc>
        <w:tc>
          <w:tcPr>
            <w:tcW w:w="1247" w:type="dxa"/>
            <w:tcBorders>
              <w:top w:val="single" w:sz="4" w:space="0" w:color="auto"/>
              <w:bottom w:val="single" w:sz="4" w:space="0" w:color="auto"/>
            </w:tcBorders>
            <w:noWrap/>
            <w:vAlign w:val="center"/>
          </w:tcPr>
          <w:p w14:paraId="4DCC3600" w14:textId="3FF8D0DB" w:rsidR="009E6A62" w:rsidRPr="007C0608" w:rsidRDefault="009E6A62" w:rsidP="009E6A62">
            <w:pPr>
              <w:jc w:val="center"/>
              <w:rPr>
                <w:sz w:val="20"/>
                <w:szCs w:val="20"/>
              </w:rPr>
            </w:pPr>
            <w:r w:rsidRPr="00241841">
              <w:rPr>
                <w:sz w:val="20"/>
                <w:szCs w:val="20"/>
              </w:rPr>
              <w:t>0.254</w:t>
            </w:r>
          </w:p>
        </w:tc>
      </w:tr>
    </w:tbl>
    <w:p w14:paraId="53AA1043" w14:textId="77777777" w:rsidR="009E6A62" w:rsidRDefault="009E6A62" w:rsidP="007B7A41">
      <w:pPr>
        <w:spacing w:after="0" w:line="240" w:lineRule="auto"/>
        <w:jc w:val="both"/>
        <w:rPr>
          <w:sz w:val="18"/>
          <w:szCs w:val="18"/>
        </w:rPr>
      </w:pPr>
    </w:p>
    <w:p w14:paraId="40626CD7" w14:textId="1FE6825A" w:rsidR="007B7A41" w:rsidRDefault="007B7A41" w:rsidP="007B7A41">
      <w:pPr>
        <w:spacing w:after="0" w:line="240" w:lineRule="auto"/>
        <w:jc w:val="both"/>
        <w:rPr>
          <w:sz w:val="18"/>
          <w:szCs w:val="18"/>
          <w:lang w:val="en-US"/>
        </w:rPr>
      </w:pPr>
      <w:r w:rsidRPr="00970C5E">
        <w:rPr>
          <w:sz w:val="18"/>
          <w:szCs w:val="18"/>
        </w:rPr>
        <w:t xml:space="preserve">HAA = hip </w:t>
      </w:r>
      <w:proofErr w:type="spellStart"/>
      <w:r w:rsidRPr="00970C5E">
        <w:rPr>
          <w:sz w:val="18"/>
          <w:szCs w:val="18"/>
        </w:rPr>
        <w:t>adduction</w:t>
      </w:r>
      <w:proofErr w:type="spellEnd"/>
      <w:r w:rsidRPr="00970C5E">
        <w:rPr>
          <w:sz w:val="18"/>
          <w:szCs w:val="18"/>
        </w:rPr>
        <w:t xml:space="preserve"> angle, HFA = hip </w:t>
      </w:r>
      <w:proofErr w:type="spellStart"/>
      <w:r w:rsidRPr="00970C5E">
        <w:rPr>
          <w:sz w:val="18"/>
          <w:szCs w:val="18"/>
        </w:rPr>
        <w:t>flexion</w:t>
      </w:r>
      <w:proofErr w:type="spellEnd"/>
      <w:r w:rsidRPr="00970C5E">
        <w:rPr>
          <w:sz w:val="18"/>
          <w:szCs w:val="18"/>
        </w:rPr>
        <w:t xml:space="preserve"> angle, KAbA = </w:t>
      </w:r>
      <w:proofErr w:type="spellStart"/>
      <w:r w:rsidRPr="00970C5E">
        <w:rPr>
          <w:sz w:val="18"/>
          <w:szCs w:val="18"/>
        </w:rPr>
        <w:t>knee</w:t>
      </w:r>
      <w:proofErr w:type="spellEnd"/>
      <w:r w:rsidRPr="00970C5E">
        <w:rPr>
          <w:sz w:val="18"/>
          <w:szCs w:val="18"/>
        </w:rPr>
        <w:t xml:space="preserve"> </w:t>
      </w:r>
      <w:proofErr w:type="spellStart"/>
      <w:r w:rsidRPr="00970C5E">
        <w:rPr>
          <w:sz w:val="18"/>
          <w:szCs w:val="18"/>
        </w:rPr>
        <w:t>abduction</w:t>
      </w:r>
      <w:proofErr w:type="spellEnd"/>
      <w:r w:rsidRPr="00970C5E">
        <w:rPr>
          <w:sz w:val="18"/>
          <w:szCs w:val="18"/>
        </w:rPr>
        <w:t xml:space="preserve"> angle, KFA = </w:t>
      </w:r>
      <w:proofErr w:type="spellStart"/>
      <w:r w:rsidRPr="00970C5E">
        <w:rPr>
          <w:sz w:val="18"/>
          <w:szCs w:val="18"/>
        </w:rPr>
        <w:t>knee</w:t>
      </w:r>
      <w:proofErr w:type="spellEnd"/>
      <w:r w:rsidRPr="00970C5E">
        <w:rPr>
          <w:sz w:val="18"/>
          <w:szCs w:val="18"/>
        </w:rPr>
        <w:t xml:space="preserve"> </w:t>
      </w:r>
      <w:proofErr w:type="spellStart"/>
      <w:r w:rsidRPr="00970C5E">
        <w:rPr>
          <w:sz w:val="18"/>
          <w:szCs w:val="18"/>
        </w:rPr>
        <w:t>flexion</w:t>
      </w:r>
      <w:proofErr w:type="spellEnd"/>
      <w:r w:rsidRPr="00970C5E">
        <w:rPr>
          <w:sz w:val="18"/>
          <w:szCs w:val="18"/>
        </w:rPr>
        <w:t xml:space="preserve"> angle, HAM = hip </w:t>
      </w:r>
      <w:proofErr w:type="spellStart"/>
      <w:r w:rsidRPr="00970C5E">
        <w:rPr>
          <w:sz w:val="18"/>
          <w:szCs w:val="18"/>
        </w:rPr>
        <w:t>adduction</w:t>
      </w:r>
      <w:proofErr w:type="spellEnd"/>
      <w:r w:rsidRPr="00970C5E">
        <w:rPr>
          <w:sz w:val="18"/>
          <w:szCs w:val="18"/>
        </w:rPr>
        <w:t xml:space="preserve"> moment, HFM = hip </w:t>
      </w:r>
      <w:proofErr w:type="spellStart"/>
      <w:r w:rsidRPr="00970C5E">
        <w:rPr>
          <w:sz w:val="18"/>
          <w:szCs w:val="18"/>
        </w:rPr>
        <w:t>flexion</w:t>
      </w:r>
      <w:proofErr w:type="spellEnd"/>
      <w:r w:rsidRPr="00970C5E">
        <w:rPr>
          <w:sz w:val="18"/>
          <w:szCs w:val="18"/>
        </w:rPr>
        <w:t xml:space="preserve"> moment, </w:t>
      </w:r>
      <w:proofErr w:type="spellStart"/>
      <w:r w:rsidRPr="00970C5E">
        <w:rPr>
          <w:sz w:val="18"/>
          <w:szCs w:val="18"/>
        </w:rPr>
        <w:t>KAbM</w:t>
      </w:r>
      <w:proofErr w:type="spellEnd"/>
      <w:r w:rsidRPr="00970C5E">
        <w:rPr>
          <w:sz w:val="18"/>
          <w:szCs w:val="18"/>
        </w:rPr>
        <w:t xml:space="preserve"> = </w:t>
      </w:r>
      <w:proofErr w:type="spellStart"/>
      <w:r w:rsidRPr="00970C5E">
        <w:rPr>
          <w:sz w:val="18"/>
          <w:szCs w:val="18"/>
        </w:rPr>
        <w:t>knee</w:t>
      </w:r>
      <w:proofErr w:type="spellEnd"/>
      <w:r w:rsidRPr="00970C5E">
        <w:rPr>
          <w:sz w:val="18"/>
          <w:szCs w:val="18"/>
        </w:rPr>
        <w:t xml:space="preserve"> </w:t>
      </w:r>
      <w:proofErr w:type="spellStart"/>
      <w:r w:rsidRPr="00970C5E">
        <w:rPr>
          <w:sz w:val="18"/>
          <w:szCs w:val="18"/>
        </w:rPr>
        <w:t>abduction</w:t>
      </w:r>
      <w:proofErr w:type="spellEnd"/>
      <w:r w:rsidRPr="00970C5E">
        <w:rPr>
          <w:sz w:val="18"/>
          <w:szCs w:val="18"/>
        </w:rPr>
        <w:t xml:space="preserve"> moment, KFM = </w:t>
      </w:r>
      <w:proofErr w:type="spellStart"/>
      <w:r w:rsidRPr="00970C5E">
        <w:rPr>
          <w:sz w:val="18"/>
          <w:szCs w:val="18"/>
        </w:rPr>
        <w:t>knee</w:t>
      </w:r>
      <w:proofErr w:type="spellEnd"/>
      <w:r w:rsidRPr="00970C5E">
        <w:rPr>
          <w:sz w:val="18"/>
          <w:szCs w:val="18"/>
        </w:rPr>
        <w:t xml:space="preserve"> </w:t>
      </w:r>
      <w:proofErr w:type="spellStart"/>
      <w:r w:rsidRPr="00970C5E">
        <w:rPr>
          <w:sz w:val="18"/>
          <w:szCs w:val="18"/>
        </w:rPr>
        <w:t>flexion</w:t>
      </w:r>
      <w:proofErr w:type="spellEnd"/>
      <w:r w:rsidRPr="00970C5E">
        <w:rPr>
          <w:sz w:val="18"/>
          <w:szCs w:val="18"/>
        </w:rPr>
        <w:t xml:space="preserve"> moment. </w:t>
      </w:r>
      <w:r w:rsidRPr="000835AA">
        <w:rPr>
          <w:sz w:val="18"/>
          <w:szCs w:val="18"/>
          <w:lang w:val="en-US"/>
        </w:rPr>
        <w:t xml:space="preserve">Subscripts D and ND </w:t>
      </w:r>
      <w:r w:rsidR="009A515E">
        <w:rPr>
          <w:sz w:val="18"/>
          <w:szCs w:val="18"/>
          <w:lang w:val="en-US"/>
        </w:rPr>
        <w:t>denote</w:t>
      </w:r>
      <w:r w:rsidRPr="000835AA">
        <w:rPr>
          <w:sz w:val="18"/>
          <w:szCs w:val="18"/>
          <w:lang w:val="en-US"/>
        </w:rPr>
        <w:t xml:space="preserve"> </w:t>
      </w:r>
      <w:r w:rsidR="00264298">
        <w:rPr>
          <w:sz w:val="18"/>
          <w:szCs w:val="18"/>
          <w:lang w:val="en-US"/>
        </w:rPr>
        <w:t xml:space="preserve">the </w:t>
      </w:r>
      <w:r w:rsidRPr="000835AA">
        <w:rPr>
          <w:sz w:val="18"/>
          <w:szCs w:val="18"/>
          <w:lang w:val="en-US"/>
        </w:rPr>
        <w:t>dominant and non-do</w:t>
      </w:r>
      <w:r>
        <w:rPr>
          <w:sz w:val="18"/>
          <w:szCs w:val="18"/>
          <w:lang w:val="en-US"/>
        </w:rPr>
        <w:t>minant limb</w:t>
      </w:r>
      <w:r w:rsidR="009A515E">
        <w:rPr>
          <w:sz w:val="18"/>
          <w:szCs w:val="18"/>
          <w:lang w:val="en-US"/>
        </w:rPr>
        <w:t>s</w:t>
      </w:r>
      <w:r>
        <w:rPr>
          <w:sz w:val="18"/>
          <w:szCs w:val="18"/>
          <w:lang w:val="en-US"/>
        </w:rPr>
        <w:t>, respectively.</w:t>
      </w:r>
      <w:r w:rsidR="00EE00DC">
        <w:rPr>
          <w:sz w:val="18"/>
          <w:szCs w:val="18"/>
          <w:lang w:val="en-US"/>
        </w:rPr>
        <w:t xml:space="preserve"> </w:t>
      </w:r>
      <w:r w:rsidR="00245E49" w:rsidRPr="00245E49">
        <w:rPr>
          <w:sz w:val="18"/>
          <w:szCs w:val="18"/>
          <w:lang w:val="en-US"/>
        </w:rPr>
        <w:t>K-W = Kruskal-Wallis test. * represents significant results (p &lt; 0.05).</w:t>
      </w:r>
    </w:p>
    <w:p w14:paraId="1AF64568" w14:textId="77777777" w:rsidR="007B7A41" w:rsidRPr="00FD1266" w:rsidRDefault="007B7A41" w:rsidP="007B7A41">
      <w:pPr>
        <w:spacing w:line="360" w:lineRule="auto"/>
        <w:jc w:val="both"/>
        <w:rPr>
          <w:lang w:val="en-US"/>
        </w:rPr>
      </w:pPr>
    </w:p>
    <w:p w14:paraId="4D9DD186" w14:textId="77777777" w:rsidR="007B7A41" w:rsidRPr="007B7A41" w:rsidRDefault="007B7A41">
      <w:pPr>
        <w:rPr>
          <w:b/>
          <w:bCs/>
          <w:lang w:val="en-US"/>
        </w:rPr>
      </w:pPr>
      <w:r>
        <w:rPr>
          <w:b/>
          <w:bCs/>
          <w:i/>
          <w:iCs/>
          <w:lang w:val="en-US"/>
        </w:rPr>
        <w:br w:type="page"/>
      </w:r>
    </w:p>
    <w:p w14:paraId="4DE46F5D" w14:textId="304EFAD9" w:rsidR="005D5250" w:rsidRPr="002074F3" w:rsidRDefault="005D5250" w:rsidP="00FD1266">
      <w:pPr>
        <w:spacing w:line="360" w:lineRule="auto"/>
        <w:jc w:val="both"/>
        <w:rPr>
          <w:b/>
          <w:bCs/>
          <w:lang w:val="en-US"/>
        </w:rPr>
      </w:pPr>
      <w:r w:rsidRPr="005D5250">
        <w:rPr>
          <w:b/>
          <w:bCs/>
          <w:i/>
          <w:iCs/>
          <w:lang w:val="en-US"/>
        </w:rPr>
        <w:lastRenderedPageBreak/>
        <w:t xml:space="preserve">Table </w:t>
      </w:r>
      <w:r w:rsidR="0089247F">
        <w:rPr>
          <w:b/>
          <w:bCs/>
          <w:i/>
          <w:iCs/>
          <w:lang w:val="en-US"/>
        </w:rPr>
        <w:t>2</w:t>
      </w:r>
      <w:r w:rsidR="000D443E">
        <w:rPr>
          <w:b/>
          <w:bCs/>
          <w:i/>
          <w:iCs/>
          <w:lang w:val="en-US"/>
        </w:rPr>
        <w:t xml:space="preserve">. </w:t>
      </w:r>
      <w:r w:rsidR="002074F3" w:rsidRPr="007A024E">
        <w:rPr>
          <w:lang w:val="en-US"/>
        </w:rPr>
        <w:t xml:space="preserve">PC loadings </w:t>
      </w:r>
      <w:r w:rsidR="00EE55AF">
        <w:rPr>
          <w:lang w:val="en-US"/>
        </w:rPr>
        <w:t>(</w:t>
      </w:r>
      <w:r w:rsidR="002074F3" w:rsidRPr="007A024E">
        <w:rPr>
          <w:lang w:val="en-US"/>
        </w:rPr>
        <w:t>absolute value ≥ 0.30</w:t>
      </w:r>
      <w:r w:rsidR="00EE55AF">
        <w:rPr>
          <w:lang w:val="en-US"/>
        </w:rPr>
        <w:t>)</w:t>
      </w:r>
      <w:r w:rsidR="002074F3" w:rsidRPr="007A024E">
        <w:rPr>
          <w:lang w:val="en-US"/>
        </w:rPr>
        <w:t xml:space="preserve">, </w:t>
      </w:r>
      <w:r w:rsidR="00EE55AF">
        <w:rPr>
          <w:lang w:val="en-US"/>
        </w:rPr>
        <w:t>cluster-related PC</w:t>
      </w:r>
      <w:r w:rsidR="00EE55AF" w:rsidRPr="00EE55AF">
        <w:rPr>
          <w:lang w:val="en-US"/>
        </w:rPr>
        <w:t xml:space="preserve"> scores (mean ± SD), and the results of Mann–Whitney U tests for bad trials.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1247"/>
        <w:gridCol w:w="1247"/>
        <w:gridCol w:w="1304"/>
        <w:gridCol w:w="1247"/>
        <w:gridCol w:w="1304"/>
      </w:tblGrid>
      <w:tr w:rsidR="00EE55AF" w:rsidRPr="00FA4226" w14:paraId="55420917" w14:textId="45DABE72" w:rsidTr="00EE55AF">
        <w:trPr>
          <w:trHeight w:val="340"/>
        </w:trPr>
        <w:tc>
          <w:tcPr>
            <w:tcW w:w="1757" w:type="dxa"/>
            <w:tcBorders>
              <w:top w:val="single" w:sz="4" w:space="0" w:color="auto"/>
              <w:bottom w:val="single" w:sz="4" w:space="0" w:color="auto"/>
            </w:tcBorders>
            <w:noWrap/>
            <w:vAlign w:val="center"/>
            <w:hideMark/>
          </w:tcPr>
          <w:p w14:paraId="56660F6D" w14:textId="2016784C" w:rsidR="000D443E" w:rsidRPr="00A8585F" w:rsidRDefault="000D443E">
            <w:pPr>
              <w:rPr>
                <w:b/>
                <w:bCs/>
                <w:sz w:val="20"/>
                <w:szCs w:val="20"/>
                <w:lang w:val="en-US"/>
              </w:rPr>
            </w:pPr>
          </w:p>
        </w:tc>
        <w:tc>
          <w:tcPr>
            <w:tcW w:w="1247" w:type="dxa"/>
            <w:tcBorders>
              <w:top w:val="single" w:sz="4" w:space="0" w:color="auto"/>
              <w:bottom w:val="single" w:sz="4" w:space="0" w:color="auto"/>
            </w:tcBorders>
            <w:noWrap/>
            <w:vAlign w:val="center"/>
            <w:hideMark/>
          </w:tcPr>
          <w:p w14:paraId="246AB10D" w14:textId="483899FA" w:rsidR="000D443E" w:rsidRPr="00FA4226" w:rsidRDefault="000D443E">
            <w:pPr>
              <w:jc w:val="center"/>
              <w:rPr>
                <w:b/>
                <w:bCs/>
                <w:sz w:val="20"/>
                <w:szCs w:val="20"/>
              </w:rPr>
            </w:pPr>
            <w:r w:rsidRPr="00FA4226">
              <w:rPr>
                <w:b/>
                <w:bCs/>
                <w:sz w:val="20"/>
                <w:szCs w:val="20"/>
              </w:rPr>
              <w:t>PC1</w:t>
            </w:r>
            <w:r w:rsidR="006D0739" w:rsidRPr="006D0739">
              <w:rPr>
                <w:b/>
                <w:bCs/>
                <w:sz w:val="20"/>
                <w:szCs w:val="20"/>
                <w:vertAlign w:val="subscript"/>
              </w:rPr>
              <w:t>B</w:t>
            </w:r>
          </w:p>
        </w:tc>
        <w:tc>
          <w:tcPr>
            <w:tcW w:w="1247" w:type="dxa"/>
            <w:tcBorders>
              <w:top w:val="single" w:sz="4" w:space="0" w:color="auto"/>
              <w:bottom w:val="single" w:sz="4" w:space="0" w:color="auto"/>
            </w:tcBorders>
            <w:noWrap/>
            <w:vAlign w:val="center"/>
            <w:hideMark/>
          </w:tcPr>
          <w:p w14:paraId="2C16FB24" w14:textId="3E77EC67" w:rsidR="000D443E" w:rsidRPr="00FA4226" w:rsidRDefault="000D443E">
            <w:pPr>
              <w:jc w:val="center"/>
              <w:rPr>
                <w:b/>
                <w:bCs/>
                <w:sz w:val="20"/>
                <w:szCs w:val="20"/>
              </w:rPr>
            </w:pPr>
            <w:r w:rsidRPr="00FA4226">
              <w:rPr>
                <w:b/>
                <w:bCs/>
                <w:sz w:val="20"/>
                <w:szCs w:val="20"/>
              </w:rPr>
              <w:t>PC2</w:t>
            </w:r>
            <w:r w:rsidR="006D0739" w:rsidRPr="006D0739">
              <w:rPr>
                <w:b/>
                <w:bCs/>
                <w:sz w:val="20"/>
                <w:szCs w:val="20"/>
                <w:vertAlign w:val="subscript"/>
              </w:rPr>
              <w:t>B</w:t>
            </w:r>
          </w:p>
        </w:tc>
        <w:tc>
          <w:tcPr>
            <w:tcW w:w="1304" w:type="dxa"/>
            <w:tcBorders>
              <w:top w:val="single" w:sz="4" w:space="0" w:color="auto"/>
              <w:bottom w:val="single" w:sz="4" w:space="0" w:color="auto"/>
            </w:tcBorders>
            <w:noWrap/>
            <w:vAlign w:val="center"/>
            <w:hideMark/>
          </w:tcPr>
          <w:p w14:paraId="08AD6F7F" w14:textId="19B50A6E" w:rsidR="000D443E" w:rsidRPr="00FA4226" w:rsidRDefault="000D443E">
            <w:pPr>
              <w:jc w:val="center"/>
              <w:rPr>
                <w:b/>
                <w:bCs/>
                <w:sz w:val="20"/>
                <w:szCs w:val="20"/>
              </w:rPr>
            </w:pPr>
            <w:r w:rsidRPr="00FA4226">
              <w:rPr>
                <w:b/>
                <w:bCs/>
                <w:sz w:val="20"/>
                <w:szCs w:val="20"/>
              </w:rPr>
              <w:t>PC3</w:t>
            </w:r>
            <w:r w:rsidR="006D0739" w:rsidRPr="006D0739">
              <w:rPr>
                <w:b/>
                <w:bCs/>
                <w:sz w:val="20"/>
                <w:szCs w:val="20"/>
                <w:vertAlign w:val="subscript"/>
              </w:rPr>
              <w:t>B</w:t>
            </w:r>
          </w:p>
        </w:tc>
        <w:tc>
          <w:tcPr>
            <w:tcW w:w="1247" w:type="dxa"/>
            <w:tcBorders>
              <w:top w:val="single" w:sz="4" w:space="0" w:color="auto"/>
              <w:bottom w:val="single" w:sz="4" w:space="0" w:color="auto"/>
            </w:tcBorders>
            <w:noWrap/>
            <w:vAlign w:val="center"/>
            <w:hideMark/>
          </w:tcPr>
          <w:p w14:paraId="009AFF55" w14:textId="515DDDB9" w:rsidR="000D443E" w:rsidRPr="00FA4226" w:rsidRDefault="000D443E" w:rsidP="000D443E">
            <w:pPr>
              <w:jc w:val="center"/>
              <w:rPr>
                <w:b/>
                <w:bCs/>
                <w:sz w:val="20"/>
                <w:szCs w:val="20"/>
              </w:rPr>
            </w:pPr>
            <w:r w:rsidRPr="00FA4226">
              <w:rPr>
                <w:b/>
                <w:bCs/>
                <w:sz w:val="20"/>
                <w:szCs w:val="20"/>
              </w:rPr>
              <w:t>PC4</w:t>
            </w:r>
            <w:r w:rsidR="006D0739" w:rsidRPr="006D0739">
              <w:rPr>
                <w:b/>
                <w:bCs/>
                <w:sz w:val="20"/>
                <w:szCs w:val="20"/>
                <w:vertAlign w:val="subscript"/>
              </w:rPr>
              <w:t>B</w:t>
            </w:r>
          </w:p>
        </w:tc>
        <w:tc>
          <w:tcPr>
            <w:tcW w:w="1304" w:type="dxa"/>
            <w:tcBorders>
              <w:top w:val="single" w:sz="4" w:space="0" w:color="auto"/>
              <w:bottom w:val="single" w:sz="4" w:space="0" w:color="auto"/>
            </w:tcBorders>
            <w:vAlign w:val="center"/>
          </w:tcPr>
          <w:p w14:paraId="73C8FBFE" w14:textId="190FF227" w:rsidR="000D443E" w:rsidRPr="00FA4226" w:rsidRDefault="000D443E" w:rsidP="000D443E">
            <w:pPr>
              <w:jc w:val="center"/>
              <w:rPr>
                <w:b/>
                <w:bCs/>
                <w:sz w:val="20"/>
                <w:szCs w:val="20"/>
              </w:rPr>
            </w:pPr>
            <w:r>
              <w:rPr>
                <w:b/>
                <w:bCs/>
                <w:sz w:val="20"/>
                <w:szCs w:val="20"/>
              </w:rPr>
              <w:t>PC5</w:t>
            </w:r>
            <w:r w:rsidR="006D0739" w:rsidRPr="006D0739">
              <w:rPr>
                <w:b/>
                <w:bCs/>
                <w:sz w:val="20"/>
                <w:szCs w:val="20"/>
                <w:vertAlign w:val="subscript"/>
              </w:rPr>
              <w:t>B</w:t>
            </w:r>
          </w:p>
        </w:tc>
      </w:tr>
      <w:tr w:rsidR="00EE55AF" w:rsidRPr="00FA4226" w14:paraId="07E6BB8E" w14:textId="77777777" w:rsidTr="00EE55AF">
        <w:trPr>
          <w:trHeight w:val="340"/>
        </w:trPr>
        <w:tc>
          <w:tcPr>
            <w:tcW w:w="1757" w:type="dxa"/>
            <w:tcBorders>
              <w:top w:val="single" w:sz="4" w:space="0" w:color="auto"/>
              <w:bottom w:val="single" w:sz="4" w:space="0" w:color="auto"/>
            </w:tcBorders>
            <w:noWrap/>
            <w:vAlign w:val="center"/>
          </w:tcPr>
          <w:p w14:paraId="04212989" w14:textId="1911C75D" w:rsidR="00EE55AF" w:rsidRPr="00FA4226" w:rsidRDefault="00EE55AF">
            <w:pPr>
              <w:rPr>
                <w:b/>
                <w:bCs/>
                <w:sz w:val="20"/>
                <w:szCs w:val="20"/>
              </w:rPr>
            </w:pPr>
            <w:r w:rsidRPr="00FA4226">
              <w:rPr>
                <w:b/>
                <w:bCs/>
                <w:sz w:val="20"/>
                <w:szCs w:val="20"/>
              </w:rPr>
              <w:t>Variable</w:t>
            </w:r>
          </w:p>
        </w:tc>
        <w:tc>
          <w:tcPr>
            <w:tcW w:w="6349" w:type="dxa"/>
            <w:gridSpan w:val="5"/>
            <w:tcBorders>
              <w:top w:val="single" w:sz="4" w:space="0" w:color="auto"/>
              <w:bottom w:val="single" w:sz="4" w:space="0" w:color="auto"/>
            </w:tcBorders>
            <w:noWrap/>
            <w:vAlign w:val="center"/>
          </w:tcPr>
          <w:p w14:paraId="0ADAD33F" w14:textId="5151566A" w:rsidR="00EE55AF" w:rsidRDefault="00EE55AF" w:rsidP="000D443E">
            <w:pPr>
              <w:jc w:val="center"/>
              <w:rPr>
                <w:b/>
                <w:bCs/>
                <w:sz w:val="20"/>
                <w:szCs w:val="20"/>
              </w:rPr>
            </w:pPr>
            <w:r>
              <w:rPr>
                <w:b/>
                <w:bCs/>
                <w:sz w:val="20"/>
                <w:szCs w:val="20"/>
              </w:rPr>
              <w:t>Loadings</w:t>
            </w:r>
          </w:p>
        </w:tc>
      </w:tr>
      <w:tr w:rsidR="00393D75" w:rsidRPr="007C0608" w14:paraId="594DBE6D" w14:textId="007844A6" w:rsidTr="00393D75">
        <w:trPr>
          <w:trHeight w:val="340"/>
        </w:trPr>
        <w:tc>
          <w:tcPr>
            <w:tcW w:w="1757" w:type="dxa"/>
            <w:tcBorders>
              <w:top w:val="single" w:sz="4" w:space="0" w:color="auto"/>
            </w:tcBorders>
            <w:noWrap/>
            <w:vAlign w:val="center"/>
            <w:hideMark/>
          </w:tcPr>
          <w:p w14:paraId="61638D73" w14:textId="77777777" w:rsidR="00393D75" w:rsidRPr="007C0608" w:rsidRDefault="00393D75" w:rsidP="00393D75">
            <w:pPr>
              <w:rPr>
                <w:sz w:val="20"/>
                <w:szCs w:val="20"/>
              </w:rPr>
            </w:pPr>
            <w:r w:rsidRPr="005D5250">
              <w:rPr>
                <w:rFonts w:eastAsia="Times New Roman" w:cs="Calibri"/>
                <w:kern w:val="0"/>
                <w:sz w:val="20"/>
                <w:szCs w:val="20"/>
                <w:lang w:eastAsia="it-IT"/>
                <w14:ligatures w14:val="none"/>
              </w:rPr>
              <w:t>HAA</w:t>
            </w:r>
            <w:r w:rsidRPr="005D5250">
              <w:rPr>
                <w:rFonts w:eastAsia="Times New Roman" w:cs="Calibri"/>
                <w:kern w:val="0"/>
                <w:sz w:val="20"/>
                <w:szCs w:val="20"/>
                <w:vertAlign w:val="subscript"/>
                <w:lang w:eastAsia="it-IT"/>
                <w14:ligatures w14:val="none"/>
              </w:rPr>
              <w:t>D</w:t>
            </w:r>
          </w:p>
        </w:tc>
        <w:tc>
          <w:tcPr>
            <w:tcW w:w="1247" w:type="dxa"/>
            <w:tcBorders>
              <w:top w:val="single" w:sz="4" w:space="0" w:color="auto"/>
            </w:tcBorders>
            <w:noWrap/>
            <w:vAlign w:val="center"/>
          </w:tcPr>
          <w:p w14:paraId="43364EC4" w14:textId="14218F1C" w:rsidR="00393D75" w:rsidRPr="00393D75" w:rsidRDefault="00393D75" w:rsidP="00393D75">
            <w:pPr>
              <w:jc w:val="center"/>
              <w:rPr>
                <w:sz w:val="20"/>
                <w:szCs w:val="20"/>
              </w:rPr>
            </w:pPr>
            <w:r w:rsidRPr="00393D75">
              <w:rPr>
                <w:sz w:val="20"/>
                <w:szCs w:val="20"/>
              </w:rPr>
              <w:t>-0.15</w:t>
            </w:r>
          </w:p>
        </w:tc>
        <w:tc>
          <w:tcPr>
            <w:tcW w:w="1247" w:type="dxa"/>
            <w:tcBorders>
              <w:top w:val="single" w:sz="4" w:space="0" w:color="auto"/>
            </w:tcBorders>
            <w:noWrap/>
            <w:vAlign w:val="center"/>
          </w:tcPr>
          <w:p w14:paraId="157894D1" w14:textId="667BE4B6" w:rsidR="00393D75" w:rsidRPr="00393D75" w:rsidRDefault="00393D75" w:rsidP="00393D75">
            <w:pPr>
              <w:jc w:val="center"/>
              <w:rPr>
                <w:sz w:val="20"/>
                <w:szCs w:val="20"/>
              </w:rPr>
            </w:pPr>
            <w:r w:rsidRPr="00393D75">
              <w:rPr>
                <w:sz w:val="20"/>
                <w:szCs w:val="20"/>
              </w:rPr>
              <w:t>-0.23</w:t>
            </w:r>
          </w:p>
        </w:tc>
        <w:tc>
          <w:tcPr>
            <w:tcW w:w="1304" w:type="dxa"/>
            <w:tcBorders>
              <w:top w:val="single" w:sz="4" w:space="0" w:color="auto"/>
            </w:tcBorders>
            <w:noWrap/>
            <w:vAlign w:val="center"/>
          </w:tcPr>
          <w:p w14:paraId="4DF1C0B6" w14:textId="094411B7" w:rsidR="00393D75" w:rsidRPr="00393D75" w:rsidRDefault="00393D75" w:rsidP="00393D75">
            <w:pPr>
              <w:jc w:val="center"/>
              <w:rPr>
                <w:sz w:val="20"/>
                <w:szCs w:val="20"/>
              </w:rPr>
            </w:pPr>
            <w:r w:rsidRPr="00393D75">
              <w:rPr>
                <w:sz w:val="20"/>
                <w:szCs w:val="20"/>
              </w:rPr>
              <w:t>-0.31</w:t>
            </w:r>
          </w:p>
        </w:tc>
        <w:tc>
          <w:tcPr>
            <w:tcW w:w="1247" w:type="dxa"/>
            <w:tcBorders>
              <w:top w:val="single" w:sz="4" w:space="0" w:color="auto"/>
            </w:tcBorders>
            <w:noWrap/>
            <w:vAlign w:val="center"/>
          </w:tcPr>
          <w:p w14:paraId="4E7AD517" w14:textId="136861DD" w:rsidR="00393D75" w:rsidRPr="00393D75" w:rsidRDefault="00393D75" w:rsidP="00393D75">
            <w:pPr>
              <w:jc w:val="center"/>
              <w:rPr>
                <w:sz w:val="20"/>
                <w:szCs w:val="20"/>
              </w:rPr>
            </w:pPr>
            <w:r w:rsidRPr="00393D75">
              <w:rPr>
                <w:sz w:val="20"/>
                <w:szCs w:val="20"/>
              </w:rPr>
              <w:t>0.65</w:t>
            </w:r>
          </w:p>
        </w:tc>
        <w:tc>
          <w:tcPr>
            <w:tcW w:w="1304" w:type="dxa"/>
            <w:tcBorders>
              <w:top w:val="single" w:sz="4" w:space="0" w:color="auto"/>
            </w:tcBorders>
            <w:vAlign w:val="center"/>
          </w:tcPr>
          <w:p w14:paraId="20EE5412" w14:textId="2044627F" w:rsidR="00393D75" w:rsidRPr="00393D75" w:rsidRDefault="00393D75" w:rsidP="00393D75">
            <w:pPr>
              <w:jc w:val="center"/>
              <w:rPr>
                <w:sz w:val="20"/>
                <w:szCs w:val="20"/>
              </w:rPr>
            </w:pPr>
            <w:r w:rsidRPr="00393D75">
              <w:rPr>
                <w:sz w:val="20"/>
                <w:szCs w:val="20"/>
              </w:rPr>
              <w:t>-0.21</w:t>
            </w:r>
          </w:p>
        </w:tc>
      </w:tr>
      <w:tr w:rsidR="00393D75" w:rsidRPr="007C0608" w14:paraId="68C035A7" w14:textId="721C001E" w:rsidTr="00393D75">
        <w:trPr>
          <w:trHeight w:val="340"/>
        </w:trPr>
        <w:tc>
          <w:tcPr>
            <w:tcW w:w="1757" w:type="dxa"/>
            <w:noWrap/>
            <w:vAlign w:val="center"/>
            <w:hideMark/>
          </w:tcPr>
          <w:p w14:paraId="168F4B18" w14:textId="77777777" w:rsidR="00393D75" w:rsidRPr="007C0608" w:rsidRDefault="00393D75" w:rsidP="00393D75">
            <w:pPr>
              <w:rPr>
                <w:sz w:val="20"/>
                <w:szCs w:val="20"/>
              </w:rPr>
            </w:pPr>
            <w:r w:rsidRPr="005D5250">
              <w:rPr>
                <w:rFonts w:eastAsia="Times New Roman" w:cs="Calibri"/>
                <w:kern w:val="0"/>
                <w:sz w:val="20"/>
                <w:szCs w:val="20"/>
                <w:lang w:eastAsia="it-IT"/>
                <w14:ligatures w14:val="none"/>
              </w:rPr>
              <w:t>HFA</w:t>
            </w:r>
            <w:r w:rsidRPr="005D5250">
              <w:rPr>
                <w:rFonts w:eastAsia="Times New Roman" w:cs="Calibri"/>
                <w:kern w:val="0"/>
                <w:sz w:val="20"/>
                <w:szCs w:val="20"/>
                <w:vertAlign w:val="subscript"/>
                <w:lang w:eastAsia="it-IT"/>
                <w14:ligatures w14:val="none"/>
              </w:rPr>
              <w:t>D</w:t>
            </w:r>
          </w:p>
        </w:tc>
        <w:tc>
          <w:tcPr>
            <w:tcW w:w="1247" w:type="dxa"/>
            <w:tcBorders>
              <w:top w:val="nil"/>
            </w:tcBorders>
            <w:noWrap/>
            <w:vAlign w:val="center"/>
          </w:tcPr>
          <w:p w14:paraId="124095FD" w14:textId="7A835336" w:rsidR="00393D75" w:rsidRPr="00393D75" w:rsidRDefault="00393D75" w:rsidP="00393D75">
            <w:pPr>
              <w:jc w:val="center"/>
              <w:rPr>
                <w:sz w:val="20"/>
                <w:szCs w:val="20"/>
              </w:rPr>
            </w:pPr>
            <w:r w:rsidRPr="00393D75">
              <w:rPr>
                <w:sz w:val="20"/>
                <w:szCs w:val="20"/>
              </w:rPr>
              <w:t>-0.22</w:t>
            </w:r>
          </w:p>
        </w:tc>
        <w:tc>
          <w:tcPr>
            <w:tcW w:w="1247" w:type="dxa"/>
            <w:tcBorders>
              <w:top w:val="nil"/>
            </w:tcBorders>
            <w:noWrap/>
            <w:vAlign w:val="center"/>
          </w:tcPr>
          <w:p w14:paraId="52C6BC36" w14:textId="267F2099" w:rsidR="00393D75" w:rsidRPr="00393D75" w:rsidRDefault="00393D75" w:rsidP="00393D75">
            <w:pPr>
              <w:jc w:val="center"/>
              <w:rPr>
                <w:sz w:val="20"/>
                <w:szCs w:val="20"/>
              </w:rPr>
            </w:pPr>
            <w:r w:rsidRPr="00393D75">
              <w:rPr>
                <w:sz w:val="20"/>
                <w:szCs w:val="20"/>
              </w:rPr>
              <w:t>0.31</w:t>
            </w:r>
          </w:p>
        </w:tc>
        <w:tc>
          <w:tcPr>
            <w:tcW w:w="1304" w:type="dxa"/>
            <w:tcBorders>
              <w:top w:val="nil"/>
            </w:tcBorders>
            <w:noWrap/>
            <w:vAlign w:val="center"/>
          </w:tcPr>
          <w:p w14:paraId="2D2F5163" w14:textId="588348EB" w:rsidR="00393D75" w:rsidRPr="00393D75" w:rsidRDefault="00393D75" w:rsidP="00393D75">
            <w:pPr>
              <w:jc w:val="center"/>
              <w:rPr>
                <w:sz w:val="20"/>
                <w:szCs w:val="20"/>
              </w:rPr>
            </w:pPr>
            <w:r w:rsidRPr="00393D75">
              <w:rPr>
                <w:sz w:val="20"/>
                <w:szCs w:val="20"/>
              </w:rPr>
              <w:t>-0.27</w:t>
            </w:r>
          </w:p>
        </w:tc>
        <w:tc>
          <w:tcPr>
            <w:tcW w:w="1247" w:type="dxa"/>
            <w:tcBorders>
              <w:top w:val="nil"/>
            </w:tcBorders>
            <w:noWrap/>
            <w:vAlign w:val="center"/>
          </w:tcPr>
          <w:p w14:paraId="0B5220C7" w14:textId="3F9146D9" w:rsidR="00393D75" w:rsidRPr="00393D75" w:rsidRDefault="00393D75" w:rsidP="00393D75">
            <w:pPr>
              <w:jc w:val="center"/>
              <w:rPr>
                <w:sz w:val="20"/>
                <w:szCs w:val="20"/>
              </w:rPr>
            </w:pPr>
            <w:r w:rsidRPr="00393D75">
              <w:rPr>
                <w:sz w:val="20"/>
                <w:szCs w:val="20"/>
              </w:rPr>
              <w:t>-0.23</w:t>
            </w:r>
          </w:p>
        </w:tc>
        <w:tc>
          <w:tcPr>
            <w:tcW w:w="1304" w:type="dxa"/>
            <w:tcBorders>
              <w:top w:val="nil"/>
            </w:tcBorders>
            <w:vAlign w:val="center"/>
          </w:tcPr>
          <w:p w14:paraId="373D727A" w14:textId="4357C6C0" w:rsidR="00393D75" w:rsidRPr="00393D75" w:rsidRDefault="00393D75" w:rsidP="00393D75">
            <w:pPr>
              <w:jc w:val="center"/>
              <w:rPr>
                <w:sz w:val="20"/>
                <w:szCs w:val="20"/>
              </w:rPr>
            </w:pPr>
            <w:r w:rsidRPr="00393D75">
              <w:rPr>
                <w:sz w:val="20"/>
                <w:szCs w:val="20"/>
              </w:rPr>
              <w:t>-0.17</w:t>
            </w:r>
          </w:p>
        </w:tc>
      </w:tr>
      <w:tr w:rsidR="00393D75" w:rsidRPr="007C0608" w14:paraId="0DCEE93B" w14:textId="4B5D8005" w:rsidTr="00393D75">
        <w:trPr>
          <w:trHeight w:val="340"/>
        </w:trPr>
        <w:tc>
          <w:tcPr>
            <w:tcW w:w="1757" w:type="dxa"/>
            <w:noWrap/>
            <w:vAlign w:val="center"/>
            <w:hideMark/>
          </w:tcPr>
          <w:p w14:paraId="30D72CD3" w14:textId="77777777" w:rsidR="00393D75" w:rsidRPr="007C0608" w:rsidRDefault="00393D75" w:rsidP="00393D75">
            <w:pPr>
              <w:rPr>
                <w:sz w:val="20"/>
                <w:szCs w:val="20"/>
              </w:rPr>
            </w:pPr>
            <w:r w:rsidRPr="005D5250">
              <w:rPr>
                <w:rFonts w:eastAsia="Times New Roman" w:cs="Calibri"/>
                <w:kern w:val="0"/>
                <w:sz w:val="20"/>
                <w:szCs w:val="20"/>
                <w:lang w:eastAsia="it-IT"/>
                <w14:ligatures w14:val="none"/>
              </w:rPr>
              <w:t>KAbA</w:t>
            </w:r>
            <w:r w:rsidRPr="005D5250">
              <w:rPr>
                <w:rFonts w:eastAsia="Times New Roman" w:cs="Calibri"/>
                <w:kern w:val="0"/>
                <w:sz w:val="20"/>
                <w:szCs w:val="20"/>
                <w:vertAlign w:val="subscript"/>
                <w:lang w:eastAsia="it-IT"/>
                <w14:ligatures w14:val="none"/>
              </w:rPr>
              <w:t>D</w:t>
            </w:r>
          </w:p>
        </w:tc>
        <w:tc>
          <w:tcPr>
            <w:tcW w:w="1247" w:type="dxa"/>
            <w:tcBorders>
              <w:top w:val="nil"/>
            </w:tcBorders>
            <w:noWrap/>
            <w:vAlign w:val="center"/>
          </w:tcPr>
          <w:p w14:paraId="49DF565F" w14:textId="761241BB" w:rsidR="00393D75" w:rsidRPr="00393D75" w:rsidRDefault="00393D75" w:rsidP="00393D75">
            <w:pPr>
              <w:jc w:val="center"/>
              <w:rPr>
                <w:sz w:val="20"/>
                <w:szCs w:val="20"/>
              </w:rPr>
            </w:pPr>
            <w:r w:rsidRPr="00393D75">
              <w:rPr>
                <w:sz w:val="20"/>
                <w:szCs w:val="20"/>
              </w:rPr>
              <w:t>-0.35</w:t>
            </w:r>
          </w:p>
        </w:tc>
        <w:tc>
          <w:tcPr>
            <w:tcW w:w="1247" w:type="dxa"/>
            <w:tcBorders>
              <w:top w:val="nil"/>
            </w:tcBorders>
            <w:noWrap/>
            <w:vAlign w:val="center"/>
          </w:tcPr>
          <w:p w14:paraId="18014B70" w14:textId="7C01DAF0" w:rsidR="00393D75" w:rsidRPr="00393D75" w:rsidRDefault="00393D75" w:rsidP="00393D75">
            <w:pPr>
              <w:jc w:val="center"/>
              <w:rPr>
                <w:sz w:val="20"/>
                <w:szCs w:val="20"/>
              </w:rPr>
            </w:pPr>
            <w:r w:rsidRPr="00393D75">
              <w:rPr>
                <w:sz w:val="20"/>
                <w:szCs w:val="20"/>
              </w:rPr>
              <w:t>-0.26</w:t>
            </w:r>
          </w:p>
        </w:tc>
        <w:tc>
          <w:tcPr>
            <w:tcW w:w="1304" w:type="dxa"/>
            <w:tcBorders>
              <w:top w:val="nil"/>
            </w:tcBorders>
            <w:noWrap/>
            <w:vAlign w:val="center"/>
          </w:tcPr>
          <w:p w14:paraId="04B7C1C3" w14:textId="35708CF5" w:rsidR="00393D75" w:rsidRPr="00393D75" w:rsidRDefault="00393D75" w:rsidP="00393D75">
            <w:pPr>
              <w:jc w:val="center"/>
              <w:rPr>
                <w:sz w:val="20"/>
                <w:szCs w:val="20"/>
              </w:rPr>
            </w:pPr>
            <w:r w:rsidRPr="00393D75">
              <w:rPr>
                <w:sz w:val="20"/>
                <w:szCs w:val="20"/>
              </w:rPr>
              <w:t>-0.31</w:t>
            </w:r>
          </w:p>
        </w:tc>
        <w:tc>
          <w:tcPr>
            <w:tcW w:w="1247" w:type="dxa"/>
            <w:tcBorders>
              <w:top w:val="nil"/>
            </w:tcBorders>
            <w:noWrap/>
            <w:vAlign w:val="center"/>
          </w:tcPr>
          <w:p w14:paraId="1891008D" w14:textId="7FA678E9" w:rsidR="00393D75" w:rsidRPr="00393D75" w:rsidRDefault="00393D75" w:rsidP="00393D75">
            <w:pPr>
              <w:jc w:val="center"/>
              <w:rPr>
                <w:sz w:val="20"/>
                <w:szCs w:val="20"/>
              </w:rPr>
            </w:pPr>
            <w:r w:rsidRPr="00393D75">
              <w:rPr>
                <w:sz w:val="20"/>
                <w:szCs w:val="20"/>
              </w:rPr>
              <w:t>-0.13</w:t>
            </w:r>
          </w:p>
        </w:tc>
        <w:tc>
          <w:tcPr>
            <w:tcW w:w="1304" w:type="dxa"/>
            <w:tcBorders>
              <w:top w:val="nil"/>
            </w:tcBorders>
            <w:vAlign w:val="center"/>
          </w:tcPr>
          <w:p w14:paraId="5D052784" w14:textId="39DC6DBE" w:rsidR="00393D75" w:rsidRPr="00393D75" w:rsidRDefault="00393D75" w:rsidP="00393D75">
            <w:pPr>
              <w:jc w:val="center"/>
              <w:rPr>
                <w:sz w:val="20"/>
                <w:szCs w:val="20"/>
              </w:rPr>
            </w:pPr>
            <w:r w:rsidRPr="00393D75">
              <w:rPr>
                <w:sz w:val="20"/>
                <w:szCs w:val="20"/>
              </w:rPr>
              <w:t>-0.42</w:t>
            </w:r>
          </w:p>
        </w:tc>
      </w:tr>
      <w:tr w:rsidR="00393D75" w:rsidRPr="007C0608" w14:paraId="730EC7FD" w14:textId="29C9DBC8" w:rsidTr="00393D75">
        <w:trPr>
          <w:trHeight w:val="340"/>
        </w:trPr>
        <w:tc>
          <w:tcPr>
            <w:tcW w:w="1757" w:type="dxa"/>
            <w:noWrap/>
            <w:vAlign w:val="center"/>
            <w:hideMark/>
          </w:tcPr>
          <w:p w14:paraId="55D64543" w14:textId="77777777" w:rsidR="00393D75" w:rsidRPr="007C0608" w:rsidRDefault="00393D75" w:rsidP="00393D75">
            <w:pPr>
              <w:rPr>
                <w:sz w:val="20"/>
                <w:szCs w:val="20"/>
              </w:rPr>
            </w:pPr>
            <w:r w:rsidRPr="007C0608">
              <w:rPr>
                <w:sz w:val="20"/>
                <w:szCs w:val="20"/>
              </w:rPr>
              <w:t>KFA</w:t>
            </w:r>
            <w:r w:rsidRPr="007C0608">
              <w:rPr>
                <w:sz w:val="20"/>
                <w:szCs w:val="20"/>
                <w:vertAlign w:val="subscript"/>
              </w:rPr>
              <w:t>D</w:t>
            </w:r>
          </w:p>
        </w:tc>
        <w:tc>
          <w:tcPr>
            <w:tcW w:w="1247" w:type="dxa"/>
            <w:tcBorders>
              <w:top w:val="nil"/>
            </w:tcBorders>
            <w:noWrap/>
            <w:vAlign w:val="center"/>
          </w:tcPr>
          <w:p w14:paraId="182C0A76" w14:textId="3C655B0C" w:rsidR="00393D75" w:rsidRPr="00393D75" w:rsidRDefault="00393D75" w:rsidP="00393D75">
            <w:pPr>
              <w:jc w:val="center"/>
              <w:rPr>
                <w:sz w:val="20"/>
                <w:szCs w:val="20"/>
              </w:rPr>
            </w:pPr>
            <w:r w:rsidRPr="00393D75">
              <w:rPr>
                <w:sz w:val="20"/>
                <w:szCs w:val="20"/>
              </w:rPr>
              <w:t>-0.22</w:t>
            </w:r>
          </w:p>
        </w:tc>
        <w:tc>
          <w:tcPr>
            <w:tcW w:w="1247" w:type="dxa"/>
            <w:tcBorders>
              <w:top w:val="nil"/>
            </w:tcBorders>
            <w:noWrap/>
            <w:vAlign w:val="center"/>
          </w:tcPr>
          <w:p w14:paraId="6C9A12A7" w14:textId="1762B50D" w:rsidR="00393D75" w:rsidRPr="00393D75" w:rsidRDefault="00393D75" w:rsidP="00393D75">
            <w:pPr>
              <w:jc w:val="center"/>
              <w:rPr>
                <w:sz w:val="20"/>
                <w:szCs w:val="20"/>
              </w:rPr>
            </w:pPr>
            <w:r w:rsidRPr="00393D75">
              <w:rPr>
                <w:sz w:val="20"/>
                <w:szCs w:val="20"/>
              </w:rPr>
              <w:t>0.04</w:t>
            </w:r>
          </w:p>
        </w:tc>
        <w:tc>
          <w:tcPr>
            <w:tcW w:w="1304" w:type="dxa"/>
            <w:tcBorders>
              <w:top w:val="nil"/>
            </w:tcBorders>
            <w:noWrap/>
            <w:vAlign w:val="center"/>
          </w:tcPr>
          <w:p w14:paraId="6DCA7CF0" w14:textId="40C87775" w:rsidR="00393D75" w:rsidRPr="00393D75" w:rsidRDefault="00393D75" w:rsidP="00393D75">
            <w:pPr>
              <w:jc w:val="center"/>
              <w:rPr>
                <w:sz w:val="20"/>
                <w:szCs w:val="20"/>
              </w:rPr>
            </w:pPr>
            <w:r w:rsidRPr="00393D75">
              <w:rPr>
                <w:sz w:val="20"/>
                <w:szCs w:val="20"/>
              </w:rPr>
              <w:t>-0.01</w:t>
            </w:r>
          </w:p>
        </w:tc>
        <w:tc>
          <w:tcPr>
            <w:tcW w:w="1247" w:type="dxa"/>
            <w:tcBorders>
              <w:top w:val="nil"/>
            </w:tcBorders>
            <w:noWrap/>
            <w:vAlign w:val="center"/>
          </w:tcPr>
          <w:p w14:paraId="0C27EF2A" w14:textId="659BA522" w:rsidR="00393D75" w:rsidRPr="00393D75" w:rsidRDefault="00393D75" w:rsidP="00393D75">
            <w:pPr>
              <w:jc w:val="center"/>
              <w:rPr>
                <w:sz w:val="20"/>
                <w:szCs w:val="20"/>
              </w:rPr>
            </w:pPr>
            <w:r w:rsidRPr="00393D75">
              <w:rPr>
                <w:sz w:val="20"/>
                <w:szCs w:val="20"/>
              </w:rPr>
              <w:t>-0.06</w:t>
            </w:r>
          </w:p>
        </w:tc>
        <w:tc>
          <w:tcPr>
            <w:tcW w:w="1304" w:type="dxa"/>
            <w:tcBorders>
              <w:top w:val="nil"/>
            </w:tcBorders>
            <w:vAlign w:val="center"/>
          </w:tcPr>
          <w:p w14:paraId="40013F8E" w14:textId="1F1AFD31" w:rsidR="00393D75" w:rsidRPr="00393D75" w:rsidRDefault="00393D75" w:rsidP="00393D75">
            <w:pPr>
              <w:jc w:val="center"/>
              <w:rPr>
                <w:sz w:val="20"/>
                <w:szCs w:val="20"/>
              </w:rPr>
            </w:pPr>
            <w:r w:rsidRPr="00393D75">
              <w:rPr>
                <w:sz w:val="20"/>
                <w:szCs w:val="20"/>
              </w:rPr>
              <w:t>0.09</w:t>
            </w:r>
          </w:p>
        </w:tc>
      </w:tr>
      <w:tr w:rsidR="00393D75" w:rsidRPr="007C0608" w14:paraId="38D0AF87" w14:textId="0AEFF166" w:rsidTr="00393D75">
        <w:trPr>
          <w:trHeight w:val="340"/>
        </w:trPr>
        <w:tc>
          <w:tcPr>
            <w:tcW w:w="1757" w:type="dxa"/>
            <w:noWrap/>
            <w:vAlign w:val="center"/>
            <w:hideMark/>
          </w:tcPr>
          <w:p w14:paraId="191B3BC9" w14:textId="77777777" w:rsidR="00393D75" w:rsidRPr="007C0608" w:rsidRDefault="00393D75" w:rsidP="00393D75">
            <w:pPr>
              <w:rPr>
                <w:sz w:val="20"/>
                <w:szCs w:val="20"/>
              </w:rPr>
            </w:pPr>
            <w:r w:rsidRPr="005D5250">
              <w:rPr>
                <w:rFonts w:eastAsia="Times New Roman" w:cs="Calibri"/>
                <w:kern w:val="0"/>
                <w:sz w:val="20"/>
                <w:szCs w:val="20"/>
                <w:lang w:eastAsia="it-IT"/>
                <w14:ligatures w14:val="none"/>
              </w:rPr>
              <w:t>HAM</w:t>
            </w:r>
            <w:r w:rsidRPr="005D5250">
              <w:rPr>
                <w:rFonts w:eastAsia="Times New Roman" w:cs="Calibri"/>
                <w:kern w:val="0"/>
                <w:sz w:val="20"/>
                <w:szCs w:val="20"/>
                <w:vertAlign w:val="subscript"/>
                <w:lang w:eastAsia="it-IT"/>
                <w14:ligatures w14:val="none"/>
              </w:rPr>
              <w:t>D</w:t>
            </w:r>
          </w:p>
        </w:tc>
        <w:tc>
          <w:tcPr>
            <w:tcW w:w="1247" w:type="dxa"/>
            <w:tcBorders>
              <w:top w:val="nil"/>
            </w:tcBorders>
            <w:noWrap/>
            <w:vAlign w:val="center"/>
          </w:tcPr>
          <w:p w14:paraId="44D13FB2" w14:textId="69701398" w:rsidR="00393D75" w:rsidRPr="00393D75" w:rsidRDefault="00393D75" w:rsidP="00393D75">
            <w:pPr>
              <w:jc w:val="center"/>
              <w:rPr>
                <w:sz w:val="20"/>
                <w:szCs w:val="20"/>
              </w:rPr>
            </w:pPr>
            <w:r w:rsidRPr="00393D75">
              <w:rPr>
                <w:sz w:val="20"/>
                <w:szCs w:val="20"/>
              </w:rPr>
              <w:t>0.02</w:t>
            </w:r>
          </w:p>
        </w:tc>
        <w:tc>
          <w:tcPr>
            <w:tcW w:w="1247" w:type="dxa"/>
            <w:tcBorders>
              <w:top w:val="nil"/>
            </w:tcBorders>
            <w:noWrap/>
            <w:vAlign w:val="center"/>
          </w:tcPr>
          <w:p w14:paraId="2A8579EA" w14:textId="586AEA96" w:rsidR="00393D75" w:rsidRPr="00393D75" w:rsidRDefault="00393D75" w:rsidP="00393D75">
            <w:pPr>
              <w:jc w:val="center"/>
              <w:rPr>
                <w:sz w:val="20"/>
                <w:szCs w:val="20"/>
              </w:rPr>
            </w:pPr>
            <w:r w:rsidRPr="00393D75">
              <w:rPr>
                <w:sz w:val="20"/>
                <w:szCs w:val="20"/>
              </w:rPr>
              <w:t>-0.37</w:t>
            </w:r>
          </w:p>
        </w:tc>
        <w:tc>
          <w:tcPr>
            <w:tcW w:w="1304" w:type="dxa"/>
            <w:tcBorders>
              <w:top w:val="nil"/>
            </w:tcBorders>
            <w:noWrap/>
            <w:vAlign w:val="center"/>
          </w:tcPr>
          <w:p w14:paraId="5DA2CF36" w14:textId="69546DBE" w:rsidR="00393D75" w:rsidRPr="00393D75" w:rsidRDefault="00393D75" w:rsidP="00393D75">
            <w:pPr>
              <w:jc w:val="center"/>
              <w:rPr>
                <w:sz w:val="20"/>
                <w:szCs w:val="20"/>
              </w:rPr>
            </w:pPr>
            <w:r w:rsidRPr="00393D75">
              <w:rPr>
                <w:sz w:val="20"/>
                <w:szCs w:val="20"/>
              </w:rPr>
              <w:t>-0.02</w:t>
            </w:r>
          </w:p>
        </w:tc>
        <w:tc>
          <w:tcPr>
            <w:tcW w:w="1247" w:type="dxa"/>
            <w:tcBorders>
              <w:top w:val="nil"/>
            </w:tcBorders>
            <w:noWrap/>
            <w:vAlign w:val="center"/>
          </w:tcPr>
          <w:p w14:paraId="49F43637" w14:textId="6702F60D" w:rsidR="00393D75" w:rsidRPr="00393D75" w:rsidRDefault="00393D75" w:rsidP="00393D75">
            <w:pPr>
              <w:jc w:val="center"/>
              <w:rPr>
                <w:sz w:val="20"/>
                <w:szCs w:val="20"/>
              </w:rPr>
            </w:pPr>
            <w:r w:rsidRPr="00393D75">
              <w:rPr>
                <w:sz w:val="20"/>
                <w:szCs w:val="20"/>
              </w:rPr>
              <w:t>0.04</w:t>
            </w:r>
          </w:p>
        </w:tc>
        <w:tc>
          <w:tcPr>
            <w:tcW w:w="1304" w:type="dxa"/>
            <w:tcBorders>
              <w:top w:val="nil"/>
            </w:tcBorders>
            <w:vAlign w:val="center"/>
          </w:tcPr>
          <w:p w14:paraId="320C7C1F" w14:textId="77A63D5E" w:rsidR="00393D75" w:rsidRPr="00393D75" w:rsidRDefault="00393D75" w:rsidP="00393D75">
            <w:pPr>
              <w:jc w:val="center"/>
              <w:rPr>
                <w:sz w:val="20"/>
                <w:szCs w:val="20"/>
              </w:rPr>
            </w:pPr>
            <w:r w:rsidRPr="00393D75">
              <w:rPr>
                <w:sz w:val="20"/>
                <w:szCs w:val="20"/>
              </w:rPr>
              <w:t>0.03</w:t>
            </w:r>
          </w:p>
        </w:tc>
      </w:tr>
      <w:tr w:rsidR="00393D75" w:rsidRPr="007C0608" w14:paraId="373A5CC8" w14:textId="24026F3B" w:rsidTr="00393D75">
        <w:trPr>
          <w:trHeight w:val="340"/>
        </w:trPr>
        <w:tc>
          <w:tcPr>
            <w:tcW w:w="1757" w:type="dxa"/>
            <w:noWrap/>
            <w:vAlign w:val="center"/>
            <w:hideMark/>
          </w:tcPr>
          <w:p w14:paraId="38EA95D3" w14:textId="77777777" w:rsidR="00393D75" w:rsidRPr="007C0608" w:rsidRDefault="00393D75" w:rsidP="00393D75">
            <w:pPr>
              <w:rPr>
                <w:sz w:val="20"/>
                <w:szCs w:val="20"/>
              </w:rPr>
            </w:pPr>
            <w:r w:rsidRPr="005D5250">
              <w:rPr>
                <w:rFonts w:eastAsia="Times New Roman" w:cs="Calibri"/>
                <w:kern w:val="0"/>
                <w:sz w:val="20"/>
                <w:szCs w:val="20"/>
                <w:lang w:eastAsia="it-IT"/>
                <w14:ligatures w14:val="none"/>
              </w:rPr>
              <w:t>HFM</w:t>
            </w:r>
            <w:r w:rsidRPr="005D5250">
              <w:rPr>
                <w:rFonts w:eastAsia="Times New Roman" w:cs="Calibri"/>
                <w:kern w:val="0"/>
                <w:sz w:val="20"/>
                <w:szCs w:val="20"/>
                <w:vertAlign w:val="subscript"/>
                <w:lang w:eastAsia="it-IT"/>
                <w14:ligatures w14:val="none"/>
              </w:rPr>
              <w:t>D</w:t>
            </w:r>
          </w:p>
        </w:tc>
        <w:tc>
          <w:tcPr>
            <w:tcW w:w="1247" w:type="dxa"/>
            <w:tcBorders>
              <w:top w:val="nil"/>
            </w:tcBorders>
            <w:noWrap/>
            <w:vAlign w:val="center"/>
          </w:tcPr>
          <w:p w14:paraId="1A8299F2" w14:textId="18B67129" w:rsidR="00393D75" w:rsidRPr="00393D75" w:rsidRDefault="00393D75" w:rsidP="00393D75">
            <w:pPr>
              <w:jc w:val="center"/>
              <w:rPr>
                <w:sz w:val="20"/>
                <w:szCs w:val="20"/>
              </w:rPr>
            </w:pPr>
            <w:r w:rsidRPr="00393D75">
              <w:rPr>
                <w:sz w:val="20"/>
                <w:szCs w:val="20"/>
              </w:rPr>
              <w:t>0.39</w:t>
            </w:r>
          </w:p>
        </w:tc>
        <w:tc>
          <w:tcPr>
            <w:tcW w:w="1247" w:type="dxa"/>
            <w:tcBorders>
              <w:top w:val="nil"/>
            </w:tcBorders>
            <w:noWrap/>
            <w:vAlign w:val="center"/>
          </w:tcPr>
          <w:p w14:paraId="1F5887AC" w14:textId="0E32132E" w:rsidR="00393D75" w:rsidRPr="00393D75" w:rsidRDefault="00393D75" w:rsidP="00393D75">
            <w:pPr>
              <w:jc w:val="center"/>
              <w:rPr>
                <w:sz w:val="20"/>
                <w:szCs w:val="20"/>
              </w:rPr>
            </w:pPr>
            <w:r w:rsidRPr="00393D75">
              <w:rPr>
                <w:sz w:val="20"/>
                <w:szCs w:val="20"/>
              </w:rPr>
              <w:t>0.01</w:t>
            </w:r>
          </w:p>
        </w:tc>
        <w:tc>
          <w:tcPr>
            <w:tcW w:w="1304" w:type="dxa"/>
            <w:tcBorders>
              <w:top w:val="nil"/>
            </w:tcBorders>
            <w:noWrap/>
            <w:vAlign w:val="center"/>
          </w:tcPr>
          <w:p w14:paraId="22599226" w14:textId="321691C5" w:rsidR="00393D75" w:rsidRPr="00393D75" w:rsidRDefault="00393D75" w:rsidP="00393D75">
            <w:pPr>
              <w:jc w:val="center"/>
              <w:rPr>
                <w:sz w:val="20"/>
                <w:szCs w:val="20"/>
              </w:rPr>
            </w:pPr>
            <w:r w:rsidRPr="00393D75">
              <w:rPr>
                <w:sz w:val="20"/>
                <w:szCs w:val="20"/>
              </w:rPr>
              <w:t>-0.29</w:t>
            </w:r>
          </w:p>
        </w:tc>
        <w:tc>
          <w:tcPr>
            <w:tcW w:w="1247" w:type="dxa"/>
            <w:tcBorders>
              <w:top w:val="nil"/>
            </w:tcBorders>
            <w:noWrap/>
            <w:vAlign w:val="center"/>
          </w:tcPr>
          <w:p w14:paraId="61488C47" w14:textId="26E3060A" w:rsidR="00393D75" w:rsidRPr="00393D75" w:rsidRDefault="00393D75" w:rsidP="00393D75">
            <w:pPr>
              <w:jc w:val="center"/>
              <w:rPr>
                <w:sz w:val="20"/>
                <w:szCs w:val="20"/>
              </w:rPr>
            </w:pPr>
            <w:r w:rsidRPr="00393D75">
              <w:rPr>
                <w:sz w:val="20"/>
                <w:szCs w:val="20"/>
              </w:rPr>
              <w:t>-0.15</w:t>
            </w:r>
          </w:p>
        </w:tc>
        <w:tc>
          <w:tcPr>
            <w:tcW w:w="1304" w:type="dxa"/>
            <w:tcBorders>
              <w:top w:val="nil"/>
            </w:tcBorders>
            <w:vAlign w:val="center"/>
          </w:tcPr>
          <w:p w14:paraId="0C71E63B" w14:textId="6E6B6E71" w:rsidR="00393D75" w:rsidRPr="00393D75" w:rsidRDefault="00393D75" w:rsidP="00393D75">
            <w:pPr>
              <w:jc w:val="center"/>
              <w:rPr>
                <w:sz w:val="20"/>
                <w:szCs w:val="20"/>
              </w:rPr>
            </w:pPr>
            <w:r w:rsidRPr="00393D75">
              <w:rPr>
                <w:sz w:val="20"/>
                <w:szCs w:val="20"/>
              </w:rPr>
              <w:t>-0.16</w:t>
            </w:r>
          </w:p>
        </w:tc>
      </w:tr>
      <w:tr w:rsidR="00393D75" w:rsidRPr="007C0608" w14:paraId="53EAEF8D" w14:textId="089A16F7" w:rsidTr="00393D75">
        <w:trPr>
          <w:trHeight w:val="340"/>
        </w:trPr>
        <w:tc>
          <w:tcPr>
            <w:tcW w:w="1757" w:type="dxa"/>
            <w:noWrap/>
            <w:vAlign w:val="center"/>
            <w:hideMark/>
          </w:tcPr>
          <w:p w14:paraId="55062817" w14:textId="77777777" w:rsidR="00393D75" w:rsidRPr="007C0608" w:rsidRDefault="00393D75" w:rsidP="00393D75">
            <w:pPr>
              <w:rPr>
                <w:sz w:val="20"/>
                <w:szCs w:val="20"/>
              </w:rPr>
            </w:pPr>
            <w:proofErr w:type="spellStart"/>
            <w:r w:rsidRPr="007C0608">
              <w:rPr>
                <w:sz w:val="20"/>
                <w:szCs w:val="20"/>
              </w:rPr>
              <w:t>KAbM</w:t>
            </w:r>
            <w:r w:rsidRPr="007C0608">
              <w:rPr>
                <w:sz w:val="20"/>
                <w:szCs w:val="20"/>
                <w:vertAlign w:val="subscript"/>
              </w:rPr>
              <w:t>D</w:t>
            </w:r>
            <w:proofErr w:type="spellEnd"/>
          </w:p>
        </w:tc>
        <w:tc>
          <w:tcPr>
            <w:tcW w:w="1247" w:type="dxa"/>
            <w:tcBorders>
              <w:top w:val="nil"/>
            </w:tcBorders>
            <w:noWrap/>
            <w:vAlign w:val="center"/>
          </w:tcPr>
          <w:p w14:paraId="683CE67A" w14:textId="2A1FDE41" w:rsidR="00393D75" w:rsidRPr="00393D75" w:rsidRDefault="00393D75" w:rsidP="00393D75">
            <w:pPr>
              <w:jc w:val="center"/>
              <w:rPr>
                <w:sz w:val="20"/>
                <w:szCs w:val="20"/>
              </w:rPr>
            </w:pPr>
            <w:r w:rsidRPr="00393D75">
              <w:rPr>
                <w:sz w:val="20"/>
                <w:szCs w:val="20"/>
              </w:rPr>
              <w:t>-0.39</w:t>
            </w:r>
          </w:p>
        </w:tc>
        <w:tc>
          <w:tcPr>
            <w:tcW w:w="1247" w:type="dxa"/>
            <w:tcBorders>
              <w:top w:val="nil"/>
            </w:tcBorders>
            <w:noWrap/>
            <w:vAlign w:val="center"/>
          </w:tcPr>
          <w:p w14:paraId="0362B449" w14:textId="0747C53E" w:rsidR="00393D75" w:rsidRPr="00393D75" w:rsidRDefault="00393D75" w:rsidP="00393D75">
            <w:pPr>
              <w:jc w:val="center"/>
              <w:rPr>
                <w:sz w:val="20"/>
                <w:szCs w:val="20"/>
              </w:rPr>
            </w:pPr>
            <w:r w:rsidRPr="00393D75">
              <w:rPr>
                <w:sz w:val="20"/>
                <w:szCs w:val="20"/>
              </w:rPr>
              <w:t>-0.27</w:t>
            </w:r>
          </w:p>
        </w:tc>
        <w:tc>
          <w:tcPr>
            <w:tcW w:w="1304" w:type="dxa"/>
            <w:tcBorders>
              <w:top w:val="nil"/>
            </w:tcBorders>
            <w:noWrap/>
            <w:vAlign w:val="center"/>
          </w:tcPr>
          <w:p w14:paraId="7CAAFF73" w14:textId="67669A63" w:rsidR="00393D75" w:rsidRPr="00393D75" w:rsidRDefault="00393D75" w:rsidP="00393D75">
            <w:pPr>
              <w:jc w:val="center"/>
              <w:rPr>
                <w:sz w:val="20"/>
                <w:szCs w:val="20"/>
              </w:rPr>
            </w:pPr>
            <w:r w:rsidRPr="00393D75">
              <w:rPr>
                <w:sz w:val="20"/>
                <w:szCs w:val="20"/>
              </w:rPr>
              <w:t>-0.10</w:t>
            </w:r>
          </w:p>
        </w:tc>
        <w:tc>
          <w:tcPr>
            <w:tcW w:w="1247" w:type="dxa"/>
            <w:tcBorders>
              <w:top w:val="nil"/>
            </w:tcBorders>
            <w:noWrap/>
            <w:vAlign w:val="center"/>
          </w:tcPr>
          <w:p w14:paraId="4716E20D" w14:textId="239E2B79" w:rsidR="00393D75" w:rsidRPr="00393D75" w:rsidRDefault="00393D75" w:rsidP="00393D75">
            <w:pPr>
              <w:jc w:val="center"/>
              <w:rPr>
                <w:sz w:val="20"/>
                <w:szCs w:val="20"/>
              </w:rPr>
            </w:pPr>
            <w:r w:rsidRPr="00393D75">
              <w:rPr>
                <w:sz w:val="20"/>
                <w:szCs w:val="20"/>
              </w:rPr>
              <w:t>-0.35</w:t>
            </w:r>
          </w:p>
        </w:tc>
        <w:tc>
          <w:tcPr>
            <w:tcW w:w="1304" w:type="dxa"/>
            <w:tcBorders>
              <w:top w:val="nil"/>
            </w:tcBorders>
            <w:vAlign w:val="center"/>
          </w:tcPr>
          <w:p w14:paraId="1A6FB7AE" w14:textId="4D35A56C" w:rsidR="00393D75" w:rsidRPr="00393D75" w:rsidRDefault="00393D75" w:rsidP="00393D75">
            <w:pPr>
              <w:jc w:val="center"/>
              <w:rPr>
                <w:sz w:val="20"/>
                <w:szCs w:val="20"/>
              </w:rPr>
            </w:pPr>
            <w:r w:rsidRPr="00393D75">
              <w:rPr>
                <w:sz w:val="20"/>
                <w:szCs w:val="20"/>
              </w:rPr>
              <w:t>0.03</w:t>
            </w:r>
          </w:p>
        </w:tc>
      </w:tr>
      <w:tr w:rsidR="00393D75" w:rsidRPr="007C0608" w14:paraId="76EEEF0B" w14:textId="4AE65FA8" w:rsidTr="00393D75">
        <w:trPr>
          <w:trHeight w:val="340"/>
        </w:trPr>
        <w:tc>
          <w:tcPr>
            <w:tcW w:w="1757" w:type="dxa"/>
            <w:noWrap/>
            <w:vAlign w:val="center"/>
            <w:hideMark/>
          </w:tcPr>
          <w:p w14:paraId="76F4E476" w14:textId="77777777" w:rsidR="00393D75" w:rsidRPr="007C0608" w:rsidRDefault="00393D75" w:rsidP="00393D75">
            <w:pPr>
              <w:rPr>
                <w:sz w:val="20"/>
                <w:szCs w:val="20"/>
              </w:rPr>
            </w:pPr>
            <w:r w:rsidRPr="005D5250">
              <w:rPr>
                <w:rFonts w:eastAsia="Times New Roman" w:cs="Calibri"/>
                <w:kern w:val="0"/>
                <w:sz w:val="20"/>
                <w:szCs w:val="20"/>
                <w:lang w:eastAsia="it-IT"/>
                <w14:ligatures w14:val="none"/>
              </w:rPr>
              <w:t>KFM</w:t>
            </w:r>
            <w:r w:rsidRPr="000835AA">
              <w:rPr>
                <w:rFonts w:eastAsia="Times New Roman" w:cs="Calibri"/>
                <w:kern w:val="0"/>
                <w:sz w:val="20"/>
                <w:szCs w:val="20"/>
                <w:vertAlign w:val="subscript"/>
                <w:lang w:eastAsia="it-IT"/>
                <w14:ligatures w14:val="none"/>
              </w:rPr>
              <w:t>D</w:t>
            </w:r>
          </w:p>
        </w:tc>
        <w:tc>
          <w:tcPr>
            <w:tcW w:w="1247" w:type="dxa"/>
            <w:tcBorders>
              <w:top w:val="nil"/>
            </w:tcBorders>
            <w:noWrap/>
            <w:vAlign w:val="center"/>
          </w:tcPr>
          <w:p w14:paraId="2BED86D1" w14:textId="1E17EDCA" w:rsidR="00393D75" w:rsidRPr="00393D75" w:rsidRDefault="00393D75" w:rsidP="00393D75">
            <w:pPr>
              <w:jc w:val="center"/>
              <w:rPr>
                <w:sz w:val="20"/>
                <w:szCs w:val="20"/>
              </w:rPr>
            </w:pPr>
            <w:r w:rsidRPr="00393D75">
              <w:rPr>
                <w:sz w:val="20"/>
                <w:szCs w:val="20"/>
              </w:rPr>
              <w:t>-0.27</w:t>
            </w:r>
          </w:p>
        </w:tc>
        <w:tc>
          <w:tcPr>
            <w:tcW w:w="1247" w:type="dxa"/>
            <w:tcBorders>
              <w:top w:val="nil"/>
            </w:tcBorders>
            <w:noWrap/>
            <w:vAlign w:val="center"/>
          </w:tcPr>
          <w:p w14:paraId="5259D4D2" w14:textId="170A11C9" w:rsidR="00393D75" w:rsidRPr="00393D75" w:rsidRDefault="00393D75" w:rsidP="00393D75">
            <w:pPr>
              <w:jc w:val="center"/>
              <w:rPr>
                <w:sz w:val="20"/>
                <w:szCs w:val="20"/>
              </w:rPr>
            </w:pPr>
            <w:r w:rsidRPr="00393D75">
              <w:rPr>
                <w:sz w:val="20"/>
                <w:szCs w:val="20"/>
              </w:rPr>
              <w:t>-0.11</w:t>
            </w:r>
          </w:p>
        </w:tc>
        <w:tc>
          <w:tcPr>
            <w:tcW w:w="1304" w:type="dxa"/>
            <w:tcBorders>
              <w:top w:val="nil"/>
            </w:tcBorders>
            <w:noWrap/>
            <w:vAlign w:val="center"/>
          </w:tcPr>
          <w:p w14:paraId="5B464E69" w14:textId="785916B8" w:rsidR="00393D75" w:rsidRPr="00393D75" w:rsidRDefault="00393D75" w:rsidP="00393D75">
            <w:pPr>
              <w:jc w:val="center"/>
              <w:rPr>
                <w:sz w:val="20"/>
                <w:szCs w:val="20"/>
              </w:rPr>
            </w:pPr>
            <w:r w:rsidRPr="00393D75">
              <w:rPr>
                <w:sz w:val="20"/>
                <w:szCs w:val="20"/>
              </w:rPr>
              <w:t>0.14</w:t>
            </w:r>
          </w:p>
        </w:tc>
        <w:tc>
          <w:tcPr>
            <w:tcW w:w="1247" w:type="dxa"/>
            <w:tcBorders>
              <w:top w:val="nil"/>
            </w:tcBorders>
            <w:noWrap/>
            <w:vAlign w:val="center"/>
          </w:tcPr>
          <w:p w14:paraId="333AEEFB" w14:textId="0CC994B9" w:rsidR="00393D75" w:rsidRPr="00393D75" w:rsidRDefault="00393D75" w:rsidP="00393D75">
            <w:pPr>
              <w:jc w:val="center"/>
              <w:rPr>
                <w:sz w:val="20"/>
                <w:szCs w:val="20"/>
              </w:rPr>
            </w:pPr>
            <w:r w:rsidRPr="00393D75">
              <w:rPr>
                <w:sz w:val="20"/>
                <w:szCs w:val="20"/>
              </w:rPr>
              <w:t>-0.06</w:t>
            </w:r>
          </w:p>
        </w:tc>
        <w:tc>
          <w:tcPr>
            <w:tcW w:w="1304" w:type="dxa"/>
            <w:tcBorders>
              <w:top w:val="nil"/>
            </w:tcBorders>
            <w:vAlign w:val="center"/>
          </w:tcPr>
          <w:p w14:paraId="02F09AE2" w14:textId="2C5B24B2" w:rsidR="00393D75" w:rsidRPr="00393D75" w:rsidRDefault="00393D75" w:rsidP="00393D75">
            <w:pPr>
              <w:jc w:val="center"/>
              <w:rPr>
                <w:sz w:val="20"/>
                <w:szCs w:val="20"/>
              </w:rPr>
            </w:pPr>
            <w:r w:rsidRPr="00393D75">
              <w:rPr>
                <w:sz w:val="20"/>
                <w:szCs w:val="20"/>
              </w:rPr>
              <w:t>0.23</w:t>
            </w:r>
          </w:p>
        </w:tc>
      </w:tr>
      <w:tr w:rsidR="00393D75" w:rsidRPr="007C0608" w14:paraId="57AC295F" w14:textId="63728453" w:rsidTr="00393D75">
        <w:trPr>
          <w:trHeight w:val="340"/>
        </w:trPr>
        <w:tc>
          <w:tcPr>
            <w:tcW w:w="1757" w:type="dxa"/>
            <w:noWrap/>
            <w:vAlign w:val="center"/>
            <w:hideMark/>
          </w:tcPr>
          <w:p w14:paraId="47556D5C" w14:textId="77777777" w:rsidR="00393D75" w:rsidRPr="007C0608" w:rsidRDefault="00393D75" w:rsidP="00393D75">
            <w:pPr>
              <w:rPr>
                <w:sz w:val="20"/>
                <w:szCs w:val="20"/>
              </w:rPr>
            </w:pPr>
            <w:r w:rsidRPr="005D5250">
              <w:rPr>
                <w:rFonts w:eastAsia="Times New Roman" w:cs="Calibri"/>
                <w:kern w:val="0"/>
                <w:sz w:val="20"/>
                <w:szCs w:val="20"/>
                <w:lang w:eastAsia="it-IT"/>
                <w14:ligatures w14:val="none"/>
              </w:rPr>
              <w:t>HAA</w:t>
            </w:r>
            <w:r w:rsidRPr="000835AA">
              <w:rPr>
                <w:rFonts w:eastAsia="Times New Roman" w:cs="Calibri"/>
                <w:kern w:val="0"/>
                <w:sz w:val="20"/>
                <w:szCs w:val="20"/>
                <w:vertAlign w:val="subscript"/>
                <w:lang w:eastAsia="it-IT"/>
                <w14:ligatures w14:val="none"/>
              </w:rPr>
              <w:t>ND</w:t>
            </w:r>
          </w:p>
        </w:tc>
        <w:tc>
          <w:tcPr>
            <w:tcW w:w="1247" w:type="dxa"/>
            <w:tcBorders>
              <w:top w:val="nil"/>
            </w:tcBorders>
            <w:noWrap/>
            <w:vAlign w:val="center"/>
          </w:tcPr>
          <w:p w14:paraId="33513FB5" w14:textId="3F9B8FF0" w:rsidR="00393D75" w:rsidRPr="00393D75" w:rsidRDefault="00393D75" w:rsidP="00393D75">
            <w:pPr>
              <w:jc w:val="center"/>
              <w:rPr>
                <w:sz w:val="20"/>
                <w:szCs w:val="20"/>
              </w:rPr>
            </w:pPr>
            <w:r w:rsidRPr="00393D75">
              <w:rPr>
                <w:sz w:val="20"/>
                <w:szCs w:val="20"/>
              </w:rPr>
              <w:t>-0.04</w:t>
            </w:r>
          </w:p>
        </w:tc>
        <w:tc>
          <w:tcPr>
            <w:tcW w:w="1247" w:type="dxa"/>
            <w:tcBorders>
              <w:top w:val="nil"/>
            </w:tcBorders>
            <w:noWrap/>
            <w:vAlign w:val="center"/>
          </w:tcPr>
          <w:p w14:paraId="4F05E210" w14:textId="4DEDCAC5" w:rsidR="00393D75" w:rsidRPr="00393D75" w:rsidRDefault="00393D75" w:rsidP="00393D75">
            <w:pPr>
              <w:jc w:val="center"/>
              <w:rPr>
                <w:sz w:val="20"/>
                <w:szCs w:val="20"/>
              </w:rPr>
            </w:pPr>
            <w:r w:rsidRPr="00393D75">
              <w:rPr>
                <w:sz w:val="20"/>
                <w:szCs w:val="20"/>
              </w:rPr>
              <w:t>0.04</w:t>
            </w:r>
          </w:p>
        </w:tc>
        <w:tc>
          <w:tcPr>
            <w:tcW w:w="1304" w:type="dxa"/>
            <w:tcBorders>
              <w:top w:val="nil"/>
            </w:tcBorders>
            <w:noWrap/>
            <w:vAlign w:val="center"/>
          </w:tcPr>
          <w:p w14:paraId="2FBE5B73" w14:textId="05F67BDB" w:rsidR="00393D75" w:rsidRPr="00393D75" w:rsidRDefault="00393D75" w:rsidP="00393D75">
            <w:pPr>
              <w:jc w:val="center"/>
              <w:rPr>
                <w:sz w:val="20"/>
                <w:szCs w:val="20"/>
              </w:rPr>
            </w:pPr>
            <w:r w:rsidRPr="00393D75">
              <w:rPr>
                <w:sz w:val="20"/>
                <w:szCs w:val="20"/>
              </w:rPr>
              <w:t>0.63</w:t>
            </w:r>
          </w:p>
        </w:tc>
        <w:tc>
          <w:tcPr>
            <w:tcW w:w="1247" w:type="dxa"/>
            <w:tcBorders>
              <w:top w:val="nil"/>
            </w:tcBorders>
            <w:noWrap/>
            <w:vAlign w:val="center"/>
          </w:tcPr>
          <w:p w14:paraId="34C72A3D" w14:textId="2B90B9FD" w:rsidR="00393D75" w:rsidRPr="00393D75" w:rsidRDefault="00393D75" w:rsidP="00393D75">
            <w:pPr>
              <w:jc w:val="center"/>
              <w:rPr>
                <w:sz w:val="20"/>
                <w:szCs w:val="20"/>
              </w:rPr>
            </w:pPr>
            <w:r w:rsidRPr="00393D75">
              <w:rPr>
                <w:sz w:val="20"/>
                <w:szCs w:val="20"/>
              </w:rPr>
              <w:t>-0.26</w:t>
            </w:r>
          </w:p>
        </w:tc>
        <w:tc>
          <w:tcPr>
            <w:tcW w:w="1304" w:type="dxa"/>
            <w:tcBorders>
              <w:top w:val="nil"/>
            </w:tcBorders>
            <w:vAlign w:val="center"/>
          </w:tcPr>
          <w:p w14:paraId="3B4B5526" w14:textId="5BFA2B31" w:rsidR="00393D75" w:rsidRPr="00393D75" w:rsidRDefault="00393D75" w:rsidP="00393D75">
            <w:pPr>
              <w:jc w:val="center"/>
              <w:rPr>
                <w:sz w:val="20"/>
                <w:szCs w:val="20"/>
              </w:rPr>
            </w:pPr>
            <w:r w:rsidRPr="00393D75">
              <w:rPr>
                <w:sz w:val="20"/>
                <w:szCs w:val="20"/>
              </w:rPr>
              <w:t>-0.39</w:t>
            </w:r>
          </w:p>
        </w:tc>
      </w:tr>
      <w:tr w:rsidR="00393D75" w:rsidRPr="007C0608" w14:paraId="736EF42E" w14:textId="540E59FC" w:rsidTr="00393D75">
        <w:trPr>
          <w:trHeight w:val="340"/>
        </w:trPr>
        <w:tc>
          <w:tcPr>
            <w:tcW w:w="1757" w:type="dxa"/>
            <w:noWrap/>
            <w:vAlign w:val="center"/>
            <w:hideMark/>
          </w:tcPr>
          <w:p w14:paraId="02BBF8BB" w14:textId="77777777" w:rsidR="00393D75" w:rsidRPr="007C0608" w:rsidRDefault="00393D75" w:rsidP="00393D75">
            <w:pPr>
              <w:rPr>
                <w:sz w:val="20"/>
                <w:szCs w:val="20"/>
              </w:rPr>
            </w:pPr>
            <w:r w:rsidRPr="005D5250">
              <w:rPr>
                <w:rFonts w:eastAsia="Times New Roman" w:cs="Calibri"/>
                <w:kern w:val="0"/>
                <w:sz w:val="20"/>
                <w:szCs w:val="20"/>
                <w:lang w:eastAsia="it-IT"/>
                <w14:ligatures w14:val="none"/>
              </w:rPr>
              <w:t>HFA</w:t>
            </w:r>
            <w:r w:rsidRPr="000835AA">
              <w:rPr>
                <w:rFonts w:eastAsia="Times New Roman" w:cs="Calibri"/>
                <w:kern w:val="0"/>
                <w:sz w:val="20"/>
                <w:szCs w:val="20"/>
                <w:vertAlign w:val="subscript"/>
                <w:lang w:eastAsia="it-IT"/>
                <w14:ligatures w14:val="none"/>
              </w:rPr>
              <w:t>ND</w:t>
            </w:r>
          </w:p>
        </w:tc>
        <w:tc>
          <w:tcPr>
            <w:tcW w:w="1247" w:type="dxa"/>
            <w:tcBorders>
              <w:top w:val="nil"/>
            </w:tcBorders>
            <w:noWrap/>
            <w:vAlign w:val="center"/>
          </w:tcPr>
          <w:p w14:paraId="0041E1E6" w14:textId="283F6AD5" w:rsidR="00393D75" w:rsidRPr="00393D75" w:rsidRDefault="00393D75" w:rsidP="00393D75">
            <w:pPr>
              <w:jc w:val="center"/>
              <w:rPr>
                <w:sz w:val="20"/>
                <w:szCs w:val="20"/>
              </w:rPr>
            </w:pPr>
            <w:r w:rsidRPr="00393D75">
              <w:rPr>
                <w:sz w:val="20"/>
                <w:szCs w:val="20"/>
              </w:rPr>
              <w:t>-0.21</w:t>
            </w:r>
          </w:p>
        </w:tc>
        <w:tc>
          <w:tcPr>
            <w:tcW w:w="1247" w:type="dxa"/>
            <w:tcBorders>
              <w:top w:val="nil"/>
            </w:tcBorders>
            <w:noWrap/>
            <w:vAlign w:val="center"/>
          </w:tcPr>
          <w:p w14:paraId="7A83DE5D" w14:textId="2757DE34" w:rsidR="00393D75" w:rsidRPr="00393D75" w:rsidRDefault="00393D75" w:rsidP="00393D75">
            <w:pPr>
              <w:jc w:val="center"/>
              <w:rPr>
                <w:sz w:val="20"/>
                <w:szCs w:val="20"/>
              </w:rPr>
            </w:pPr>
            <w:r w:rsidRPr="00393D75">
              <w:rPr>
                <w:sz w:val="20"/>
                <w:szCs w:val="20"/>
              </w:rPr>
              <w:t>0.30</w:t>
            </w:r>
          </w:p>
        </w:tc>
        <w:tc>
          <w:tcPr>
            <w:tcW w:w="1304" w:type="dxa"/>
            <w:tcBorders>
              <w:top w:val="nil"/>
            </w:tcBorders>
            <w:noWrap/>
            <w:vAlign w:val="center"/>
          </w:tcPr>
          <w:p w14:paraId="2FF69443" w14:textId="036E16E2" w:rsidR="00393D75" w:rsidRPr="00393D75" w:rsidRDefault="00393D75" w:rsidP="00393D75">
            <w:pPr>
              <w:jc w:val="center"/>
              <w:rPr>
                <w:sz w:val="20"/>
                <w:szCs w:val="20"/>
              </w:rPr>
            </w:pPr>
            <w:r w:rsidRPr="00393D75">
              <w:rPr>
                <w:sz w:val="20"/>
                <w:szCs w:val="20"/>
              </w:rPr>
              <w:t>-0.27</w:t>
            </w:r>
          </w:p>
        </w:tc>
        <w:tc>
          <w:tcPr>
            <w:tcW w:w="1247" w:type="dxa"/>
            <w:tcBorders>
              <w:top w:val="nil"/>
            </w:tcBorders>
            <w:noWrap/>
            <w:vAlign w:val="center"/>
          </w:tcPr>
          <w:p w14:paraId="21A28903" w14:textId="3170A143" w:rsidR="00393D75" w:rsidRPr="00393D75" w:rsidRDefault="00393D75" w:rsidP="00393D75">
            <w:pPr>
              <w:jc w:val="center"/>
              <w:rPr>
                <w:sz w:val="20"/>
                <w:szCs w:val="20"/>
              </w:rPr>
            </w:pPr>
            <w:r w:rsidRPr="00393D75">
              <w:rPr>
                <w:sz w:val="20"/>
                <w:szCs w:val="20"/>
              </w:rPr>
              <w:t>-0.22</w:t>
            </w:r>
          </w:p>
        </w:tc>
        <w:tc>
          <w:tcPr>
            <w:tcW w:w="1304" w:type="dxa"/>
            <w:tcBorders>
              <w:top w:val="nil"/>
            </w:tcBorders>
            <w:vAlign w:val="center"/>
          </w:tcPr>
          <w:p w14:paraId="459F07D1" w14:textId="48E753EB" w:rsidR="00393D75" w:rsidRPr="00393D75" w:rsidRDefault="00393D75" w:rsidP="00393D75">
            <w:pPr>
              <w:jc w:val="center"/>
              <w:rPr>
                <w:sz w:val="20"/>
                <w:szCs w:val="20"/>
              </w:rPr>
            </w:pPr>
            <w:r w:rsidRPr="00393D75">
              <w:rPr>
                <w:sz w:val="20"/>
                <w:szCs w:val="20"/>
              </w:rPr>
              <w:t>-0.18</w:t>
            </w:r>
          </w:p>
        </w:tc>
      </w:tr>
      <w:tr w:rsidR="00393D75" w:rsidRPr="007C0608" w14:paraId="7D0D68DC" w14:textId="00FBACA7" w:rsidTr="00393D75">
        <w:trPr>
          <w:trHeight w:val="340"/>
        </w:trPr>
        <w:tc>
          <w:tcPr>
            <w:tcW w:w="1757" w:type="dxa"/>
            <w:noWrap/>
            <w:vAlign w:val="center"/>
            <w:hideMark/>
          </w:tcPr>
          <w:p w14:paraId="029A7C7B" w14:textId="77777777" w:rsidR="00393D75" w:rsidRPr="007C0608" w:rsidRDefault="00393D75" w:rsidP="00393D75">
            <w:pPr>
              <w:rPr>
                <w:sz w:val="20"/>
                <w:szCs w:val="20"/>
              </w:rPr>
            </w:pPr>
            <w:r w:rsidRPr="005D5250">
              <w:rPr>
                <w:rFonts w:eastAsia="Times New Roman" w:cs="Calibri"/>
                <w:kern w:val="0"/>
                <w:sz w:val="20"/>
                <w:szCs w:val="20"/>
                <w:lang w:eastAsia="it-IT"/>
                <w14:ligatures w14:val="none"/>
              </w:rPr>
              <w:t>KAbA</w:t>
            </w:r>
            <w:r w:rsidRPr="000835AA">
              <w:rPr>
                <w:rFonts w:eastAsia="Times New Roman" w:cs="Calibri"/>
                <w:kern w:val="0"/>
                <w:sz w:val="20"/>
                <w:szCs w:val="20"/>
                <w:vertAlign w:val="subscript"/>
                <w:lang w:eastAsia="it-IT"/>
                <w14:ligatures w14:val="none"/>
              </w:rPr>
              <w:t>ND</w:t>
            </w:r>
          </w:p>
        </w:tc>
        <w:tc>
          <w:tcPr>
            <w:tcW w:w="1247" w:type="dxa"/>
            <w:tcBorders>
              <w:top w:val="nil"/>
            </w:tcBorders>
            <w:noWrap/>
            <w:vAlign w:val="center"/>
          </w:tcPr>
          <w:p w14:paraId="7BA62038" w14:textId="6D8B2A45" w:rsidR="00393D75" w:rsidRPr="00393D75" w:rsidRDefault="00393D75" w:rsidP="00393D75">
            <w:pPr>
              <w:jc w:val="center"/>
              <w:rPr>
                <w:sz w:val="20"/>
                <w:szCs w:val="20"/>
              </w:rPr>
            </w:pPr>
            <w:r w:rsidRPr="00393D75">
              <w:rPr>
                <w:sz w:val="20"/>
                <w:szCs w:val="20"/>
              </w:rPr>
              <w:t>-0.25</w:t>
            </w:r>
          </w:p>
        </w:tc>
        <w:tc>
          <w:tcPr>
            <w:tcW w:w="1247" w:type="dxa"/>
            <w:tcBorders>
              <w:top w:val="nil"/>
            </w:tcBorders>
            <w:noWrap/>
            <w:vAlign w:val="center"/>
          </w:tcPr>
          <w:p w14:paraId="2F2F04A0" w14:textId="70F43DD7" w:rsidR="00393D75" w:rsidRPr="00393D75" w:rsidRDefault="00393D75" w:rsidP="00393D75">
            <w:pPr>
              <w:jc w:val="center"/>
              <w:rPr>
                <w:sz w:val="20"/>
                <w:szCs w:val="20"/>
              </w:rPr>
            </w:pPr>
            <w:r w:rsidRPr="00393D75">
              <w:rPr>
                <w:sz w:val="20"/>
                <w:szCs w:val="20"/>
              </w:rPr>
              <w:t>0.60</w:t>
            </w:r>
          </w:p>
        </w:tc>
        <w:tc>
          <w:tcPr>
            <w:tcW w:w="1304" w:type="dxa"/>
            <w:tcBorders>
              <w:top w:val="nil"/>
            </w:tcBorders>
            <w:noWrap/>
            <w:vAlign w:val="center"/>
          </w:tcPr>
          <w:p w14:paraId="39D1377B" w14:textId="34DF3EF1" w:rsidR="00393D75" w:rsidRPr="00393D75" w:rsidRDefault="00393D75" w:rsidP="00393D75">
            <w:pPr>
              <w:jc w:val="center"/>
              <w:rPr>
                <w:sz w:val="20"/>
                <w:szCs w:val="20"/>
              </w:rPr>
            </w:pPr>
            <w:r w:rsidRPr="00393D75">
              <w:rPr>
                <w:sz w:val="20"/>
                <w:szCs w:val="20"/>
              </w:rPr>
              <w:t>0.14</w:t>
            </w:r>
          </w:p>
        </w:tc>
        <w:tc>
          <w:tcPr>
            <w:tcW w:w="1247" w:type="dxa"/>
            <w:tcBorders>
              <w:top w:val="nil"/>
            </w:tcBorders>
            <w:noWrap/>
            <w:vAlign w:val="center"/>
          </w:tcPr>
          <w:p w14:paraId="2A4A3CDB" w14:textId="64F54FD9" w:rsidR="00393D75" w:rsidRPr="00393D75" w:rsidRDefault="00393D75" w:rsidP="00393D75">
            <w:pPr>
              <w:jc w:val="center"/>
              <w:rPr>
                <w:sz w:val="20"/>
                <w:szCs w:val="20"/>
              </w:rPr>
            </w:pPr>
            <w:r w:rsidRPr="00393D75">
              <w:rPr>
                <w:sz w:val="20"/>
                <w:szCs w:val="20"/>
              </w:rPr>
              <w:t>0.35</w:t>
            </w:r>
          </w:p>
        </w:tc>
        <w:tc>
          <w:tcPr>
            <w:tcW w:w="1304" w:type="dxa"/>
            <w:tcBorders>
              <w:top w:val="nil"/>
            </w:tcBorders>
            <w:vAlign w:val="center"/>
          </w:tcPr>
          <w:p w14:paraId="521B4055" w14:textId="279E9CB9" w:rsidR="00393D75" w:rsidRPr="00393D75" w:rsidRDefault="00393D75" w:rsidP="00393D75">
            <w:pPr>
              <w:jc w:val="center"/>
              <w:rPr>
                <w:sz w:val="20"/>
                <w:szCs w:val="20"/>
              </w:rPr>
            </w:pPr>
            <w:r w:rsidRPr="00393D75">
              <w:rPr>
                <w:sz w:val="20"/>
                <w:szCs w:val="20"/>
              </w:rPr>
              <w:t>-0.24</w:t>
            </w:r>
          </w:p>
        </w:tc>
      </w:tr>
      <w:tr w:rsidR="00393D75" w:rsidRPr="007C0608" w14:paraId="39FAA6E5" w14:textId="7A7FE986" w:rsidTr="00393D75">
        <w:trPr>
          <w:trHeight w:val="340"/>
        </w:trPr>
        <w:tc>
          <w:tcPr>
            <w:tcW w:w="1757" w:type="dxa"/>
            <w:noWrap/>
            <w:vAlign w:val="center"/>
            <w:hideMark/>
          </w:tcPr>
          <w:p w14:paraId="067CAED2" w14:textId="77777777" w:rsidR="00393D75" w:rsidRPr="007C0608" w:rsidRDefault="00393D75" w:rsidP="00393D75">
            <w:pPr>
              <w:rPr>
                <w:sz w:val="20"/>
                <w:szCs w:val="20"/>
              </w:rPr>
            </w:pPr>
            <w:r w:rsidRPr="007C0608">
              <w:rPr>
                <w:sz w:val="20"/>
                <w:szCs w:val="20"/>
              </w:rPr>
              <w:t>KFA</w:t>
            </w:r>
            <w:r w:rsidRPr="007C0608">
              <w:rPr>
                <w:sz w:val="20"/>
                <w:szCs w:val="20"/>
                <w:vertAlign w:val="subscript"/>
              </w:rPr>
              <w:t>ND</w:t>
            </w:r>
          </w:p>
        </w:tc>
        <w:tc>
          <w:tcPr>
            <w:tcW w:w="1247" w:type="dxa"/>
            <w:tcBorders>
              <w:top w:val="nil"/>
            </w:tcBorders>
            <w:noWrap/>
            <w:vAlign w:val="center"/>
          </w:tcPr>
          <w:p w14:paraId="784B5B2B" w14:textId="0AEF304A" w:rsidR="00393D75" w:rsidRPr="00393D75" w:rsidRDefault="00393D75" w:rsidP="00393D75">
            <w:pPr>
              <w:jc w:val="center"/>
              <w:rPr>
                <w:sz w:val="20"/>
                <w:szCs w:val="20"/>
              </w:rPr>
            </w:pPr>
            <w:r w:rsidRPr="00393D75">
              <w:rPr>
                <w:sz w:val="20"/>
                <w:szCs w:val="20"/>
              </w:rPr>
              <w:t>-0.21</w:t>
            </w:r>
          </w:p>
        </w:tc>
        <w:tc>
          <w:tcPr>
            <w:tcW w:w="1247" w:type="dxa"/>
            <w:tcBorders>
              <w:top w:val="nil"/>
            </w:tcBorders>
            <w:noWrap/>
            <w:vAlign w:val="center"/>
          </w:tcPr>
          <w:p w14:paraId="7DF57941" w14:textId="151C3A83" w:rsidR="00393D75" w:rsidRPr="00393D75" w:rsidRDefault="00393D75" w:rsidP="00393D75">
            <w:pPr>
              <w:jc w:val="center"/>
              <w:rPr>
                <w:sz w:val="20"/>
                <w:szCs w:val="20"/>
              </w:rPr>
            </w:pPr>
            <w:r w:rsidRPr="00393D75">
              <w:rPr>
                <w:sz w:val="20"/>
                <w:szCs w:val="20"/>
              </w:rPr>
              <w:t>0.01</w:t>
            </w:r>
          </w:p>
        </w:tc>
        <w:tc>
          <w:tcPr>
            <w:tcW w:w="1304" w:type="dxa"/>
            <w:tcBorders>
              <w:top w:val="nil"/>
            </w:tcBorders>
            <w:noWrap/>
            <w:vAlign w:val="center"/>
          </w:tcPr>
          <w:p w14:paraId="4D399D89" w14:textId="76FD6CD5" w:rsidR="00393D75" w:rsidRPr="00393D75" w:rsidRDefault="00393D75" w:rsidP="00393D75">
            <w:pPr>
              <w:jc w:val="center"/>
              <w:rPr>
                <w:sz w:val="20"/>
                <w:szCs w:val="20"/>
              </w:rPr>
            </w:pPr>
            <w:r w:rsidRPr="00393D75">
              <w:rPr>
                <w:sz w:val="20"/>
                <w:szCs w:val="20"/>
              </w:rPr>
              <w:t>-0.01</w:t>
            </w:r>
          </w:p>
        </w:tc>
        <w:tc>
          <w:tcPr>
            <w:tcW w:w="1247" w:type="dxa"/>
            <w:tcBorders>
              <w:top w:val="nil"/>
            </w:tcBorders>
            <w:noWrap/>
            <w:vAlign w:val="center"/>
          </w:tcPr>
          <w:p w14:paraId="365D7267" w14:textId="73451EE3" w:rsidR="00393D75" w:rsidRPr="00393D75" w:rsidRDefault="00393D75" w:rsidP="00393D75">
            <w:pPr>
              <w:jc w:val="center"/>
              <w:rPr>
                <w:sz w:val="20"/>
                <w:szCs w:val="20"/>
              </w:rPr>
            </w:pPr>
            <w:r w:rsidRPr="00393D75">
              <w:rPr>
                <w:sz w:val="20"/>
                <w:szCs w:val="20"/>
              </w:rPr>
              <w:t>-0.05</w:t>
            </w:r>
          </w:p>
        </w:tc>
        <w:tc>
          <w:tcPr>
            <w:tcW w:w="1304" w:type="dxa"/>
            <w:tcBorders>
              <w:top w:val="nil"/>
            </w:tcBorders>
            <w:vAlign w:val="center"/>
          </w:tcPr>
          <w:p w14:paraId="182EAD86" w14:textId="3DBEDFE1" w:rsidR="00393D75" w:rsidRPr="00393D75" w:rsidRDefault="00393D75" w:rsidP="00393D75">
            <w:pPr>
              <w:jc w:val="center"/>
              <w:rPr>
                <w:sz w:val="20"/>
                <w:szCs w:val="20"/>
              </w:rPr>
            </w:pPr>
            <w:r w:rsidRPr="00393D75">
              <w:rPr>
                <w:sz w:val="20"/>
                <w:szCs w:val="20"/>
              </w:rPr>
              <w:t>0.10</w:t>
            </w:r>
          </w:p>
        </w:tc>
      </w:tr>
      <w:tr w:rsidR="00393D75" w:rsidRPr="007C0608" w14:paraId="6BDE5034" w14:textId="51C39A43" w:rsidTr="00393D75">
        <w:trPr>
          <w:trHeight w:val="340"/>
        </w:trPr>
        <w:tc>
          <w:tcPr>
            <w:tcW w:w="1757" w:type="dxa"/>
            <w:noWrap/>
            <w:vAlign w:val="center"/>
            <w:hideMark/>
          </w:tcPr>
          <w:p w14:paraId="5FE171FC" w14:textId="77777777" w:rsidR="00393D75" w:rsidRPr="007C0608" w:rsidRDefault="00393D75" w:rsidP="00393D75">
            <w:pPr>
              <w:rPr>
                <w:sz w:val="20"/>
                <w:szCs w:val="20"/>
              </w:rPr>
            </w:pPr>
            <w:r w:rsidRPr="007C0608">
              <w:rPr>
                <w:sz w:val="20"/>
                <w:szCs w:val="20"/>
              </w:rPr>
              <w:t>HAM</w:t>
            </w:r>
            <w:r w:rsidRPr="007C0608">
              <w:rPr>
                <w:sz w:val="20"/>
                <w:szCs w:val="20"/>
                <w:vertAlign w:val="subscript"/>
              </w:rPr>
              <w:t>ND</w:t>
            </w:r>
          </w:p>
        </w:tc>
        <w:tc>
          <w:tcPr>
            <w:tcW w:w="1247" w:type="dxa"/>
            <w:tcBorders>
              <w:top w:val="nil"/>
            </w:tcBorders>
            <w:noWrap/>
            <w:vAlign w:val="center"/>
          </w:tcPr>
          <w:p w14:paraId="66DEC5BC" w14:textId="5E9F867D" w:rsidR="00393D75" w:rsidRPr="00393D75" w:rsidRDefault="00393D75" w:rsidP="00393D75">
            <w:pPr>
              <w:jc w:val="center"/>
              <w:rPr>
                <w:sz w:val="20"/>
                <w:szCs w:val="20"/>
              </w:rPr>
            </w:pPr>
            <w:r w:rsidRPr="00393D75">
              <w:rPr>
                <w:sz w:val="20"/>
                <w:szCs w:val="20"/>
              </w:rPr>
              <w:t>-0.07</w:t>
            </w:r>
          </w:p>
        </w:tc>
        <w:tc>
          <w:tcPr>
            <w:tcW w:w="1247" w:type="dxa"/>
            <w:tcBorders>
              <w:top w:val="nil"/>
            </w:tcBorders>
            <w:noWrap/>
            <w:vAlign w:val="center"/>
          </w:tcPr>
          <w:p w14:paraId="0B549A70" w14:textId="28F75BC1" w:rsidR="00393D75" w:rsidRPr="00393D75" w:rsidRDefault="00393D75" w:rsidP="00393D75">
            <w:pPr>
              <w:jc w:val="center"/>
              <w:rPr>
                <w:sz w:val="20"/>
                <w:szCs w:val="20"/>
              </w:rPr>
            </w:pPr>
            <w:r w:rsidRPr="00393D75">
              <w:rPr>
                <w:sz w:val="20"/>
                <w:szCs w:val="20"/>
              </w:rPr>
              <w:t>-0.22</w:t>
            </w:r>
          </w:p>
        </w:tc>
        <w:tc>
          <w:tcPr>
            <w:tcW w:w="1304" w:type="dxa"/>
            <w:tcBorders>
              <w:top w:val="nil"/>
            </w:tcBorders>
            <w:noWrap/>
            <w:vAlign w:val="center"/>
          </w:tcPr>
          <w:p w14:paraId="47B565B2" w14:textId="3487B5A2" w:rsidR="00393D75" w:rsidRPr="00393D75" w:rsidRDefault="00393D75" w:rsidP="00393D75">
            <w:pPr>
              <w:jc w:val="center"/>
              <w:rPr>
                <w:sz w:val="20"/>
                <w:szCs w:val="20"/>
              </w:rPr>
            </w:pPr>
            <w:r w:rsidRPr="00393D75">
              <w:rPr>
                <w:sz w:val="20"/>
                <w:szCs w:val="20"/>
              </w:rPr>
              <w:t>0.11</w:t>
            </w:r>
          </w:p>
        </w:tc>
        <w:tc>
          <w:tcPr>
            <w:tcW w:w="1247" w:type="dxa"/>
            <w:tcBorders>
              <w:top w:val="nil"/>
            </w:tcBorders>
            <w:noWrap/>
            <w:vAlign w:val="center"/>
          </w:tcPr>
          <w:p w14:paraId="150B418C" w14:textId="554FDC5F" w:rsidR="00393D75" w:rsidRPr="00393D75" w:rsidRDefault="00393D75" w:rsidP="00393D75">
            <w:pPr>
              <w:jc w:val="center"/>
              <w:rPr>
                <w:sz w:val="20"/>
                <w:szCs w:val="20"/>
              </w:rPr>
            </w:pPr>
            <w:r w:rsidRPr="00393D75">
              <w:rPr>
                <w:sz w:val="20"/>
                <w:szCs w:val="20"/>
              </w:rPr>
              <w:t>0.00</w:t>
            </w:r>
          </w:p>
        </w:tc>
        <w:tc>
          <w:tcPr>
            <w:tcW w:w="1304" w:type="dxa"/>
            <w:tcBorders>
              <w:top w:val="nil"/>
            </w:tcBorders>
            <w:vAlign w:val="center"/>
          </w:tcPr>
          <w:p w14:paraId="5801D91A" w14:textId="73C5FE27" w:rsidR="00393D75" w:rsidRPr="00393D75" w:rsidRDefault="00393D75" w:rsidP="00393D75">
            <w:pPr>
              <w:jc w:val="center"/>
              <w:rPr>
                <w:sz w:val="20"/>
                <w:szCs w:val="20"/>
              </w:rPr>
            </w:pPr>
            <w:r w:rsidRPr="00393D75">
              <w:rPr>
                <w:sz w:val="20"/>
                <w:szCs w:val="20"/>
              </w:rPr>
              <w:t>-0.23</w:t>
            </w:r>
          </w:p>
        </w:tc>
      </w:tr>
      <w:tr w:rsidR="00393D75" w:rsidRPr="007C0608" w14:paraId="4451E50E" w14:textId="59F28F56" w:rsidTr="00393D75">
        <w:trPr>
          <w:trHeight w:val="340"/>
        </w:trPr>
        <w:tc>
          <w:tcPr>
            <w:tcW w:w="1757" w:type="dxa"/>
            <w:noWrap/>
            <w:vAlign w:val="center"/>
            <w:hideMark/>
          </w:tcPr>
          <w:p w14:paraId="4AB7CB82" w14:textId="77777777" w:rsidR="00393D75" w:rsidRPr="007C0608" w:rsidRDefault="00393D75" w:rsidP="00393D75">
            <w:pPr>
              <w:rPr>
                <w:sz w:val="20"/>
                <w:szCs w:val="20"/>
              </w:rPr>
            </w:pPr>
            <w:r w:rsidRPr="007C0608">
              <w:rPr>
                <w:sz w:val="20"/>
                <w:szCs w:val="20"/>
              </w:rPr>
              <w:t>HFM</w:t>
            </w:r>
            <w:r w:rsidRPr="007C0608">
              <w:rPr>
                <w:sz w:val="20"/>
                <w:szCs w:val="20"/>
                <w:vertAlign w:val="subscript"/>
              </w:rPr>
              <w:t>ND</w:t>
            </w:r>
          </w:p>
        </w:tc>
        <w:tc>
          <w:tcPr>
            <w:tcW w:w="1247" w:type="dxa"/>
            <w:tcBorders>
              <w:top w:val="nil"/>
            </w:tcBorders>
            <w:noWrap/>
            <w:vAlign w:val="center"/>
          </w:tcPr>
          <w:p w14:paraId="0807145E" w14:textId="320523A8" w:rsidR="00393D75" w:rsidRPr="00393D75" w:rsidRDefault="00393D75" w:rsidP="00393D75">
            <w:pPr>
              <w:jc w:val="center"/>
              <w:rPr>
                <w:sz w:val="20"/>
                <w:szCs w:val="20"/>
              </w:rPr>
            </w:pPr>
            <w:r w:rsidRPr="00393D75">
              <w:rPr>
                <w:sz w:val="20"/>
                <w:szCs w:val="20"/>
              </w:rPr>
              <w:t>0.40</w:t>
            </w:r>
          </w:p>
        </w:tc>
        <w:tc>
          <w:tcPr>
            <w:tcW w:w="1247" w:type="dxa"/>
            <w:tcBorders>
              <w:top w:val="nil"/>
            </w:tcBorders>
            <w:noWrap/>
            <w:vAlign w:val="center"/>
          </w:tcPr>
          <w:p w14:paraId="12A52155" w14:textId="3A63CBBF" w:rsidR="00393D75" w:rsidRPr="00393D75" w:rsidRDefault="00393D75" w:rsidP="00393D75">
            <w:pPr>
              <w:jc w:val="center"/>
              <w:rPr>
                <w:sz w:val="20"/>
                <w:szCs w:val="20"/>
              </w:rPr>
            </w:pPr>
            <w:r w:rsidRPr="00393D75">
              <w:rPr>
                <w:sz w:val="20"/>
                <w:szCs w:val="20"/>
              </w:rPr>
              <w:t>0.10</w:t>
            </w:r>
          </w:p>
        </w:tc>
        <w:tc>
          <w:tcPr>
            <w:tcW w:w="1304" w:type="dxa"/>
            <w:tcBorders>
              <w:top w:val="nil"/>
            </w:tcBorders>
            <w:noWrap/>
            <w:vAlign w:val="center"/>
          </w:tcPr>
          <w:p w14:paraId="63FC82C8" w14:textId="218C274B" w:rsidR="00393D75" w:rsidRPr="00393D75" w:rsidRDefault="00393D75" w:rsidP="00393D75">
            <w:pPr>
              <w:jc w:val="center"/>
              <w:rPr>
                <w:sz w:val="20"/>
                <w:szCs w:val="20"/>
              </w:rPr>
            </w:pPr>
            <w:r w:rsidRPr="00393D75">
              <w:rPr>
                <w:sz w:val="20"/>
                <w:szCs w:val="20"/>
              </w:rPr>
              <w:t>-0.27</w:t>
            </w:r>
          </w:p>
        </w:tc>
        <w:tc>
          <w:tcPr>
            <w:tcW w:w="1247" w:type="dxa"/>
            <w:tcBorders>
              <w:top w:val="nil"/>
            </w:tcBorders>
            <w:noWrap/>
            <w:vAlign w:val="center"/>
          </w:tcPr>
          <w:p w14:paraId="693228BE" w14:textId="0A35A61F" w:rsidR="00393D75" w:rsidRPr="00393D75" w:rsidRDefault="00393D75" w:rsidP="00393D75">
            <w:pPr>
              <w:jc w:val="center"/>
              <w:rPr>
                <w:sz w:val="20"/>
                <w:szCs w:val="20"/>
              </w:rPr>
            </w:pPr>
            <w:r w:rsidRPr="00393D75">
              <w:rPr>
                <w:sz w:val="20"/>
                <w:szCs w:val="20"/>
              </w:rPr>
              <w:t>-0.30</w:t>
            </w:r>
          </w:p>
        </w:tc>
        <w:tc>
          <w:tcPr>
            <w:tcW w:w="1304" w:type="dxa"/>
            <w:tcBorders>
              <w:top w:val="nil"/>
            </w:tcBorders>
            <w:vAlign w:val="center"/>
          </w:tcPr>
          <w:p w14:paraId="4971CEBA" w14:textId="3046D6E9" w:rsidR="00393D75" w:rsidRPr="00393D75" w:rsidRDefault="00393D75" w:rsidP="00393D75">
            <w:pPr>
              <w:jc w:val="center"/>
              <w:rPr>
                <w:sz w:val="20"/>
                <w:szCs w:val="20"/>
              </w:rPr>
            </w:pPr>
            <w:r w:rsidRPr="00393D75">
              <w:rPr>
                <w:sz w:val="20"/>
                <w:szCs w:val="20"/>
              </w:rPr>
              <w:t>-0.16</w:t>
            </w:r>
          </w:p>
        </w:tc>
      </w:tr>
      <w:tr w:rsidR="00393D75" w:rsidRPr="007C0608" w14:paraId="0D7C0CD6" w14:textId="2E149268" w:rsidTr="00393D75">
        <w:trPr>
          <w:trHeight w:val="340"/>
        </w:trPr>
        <w:tc>
          <w:tcPr>
            <w:tcW w:w="1757" w:type="dxa"/>
            <w:noWrap/>
            <w:vAlign w:val="center"/>
            <w:hideMark/>
          </w:tcPr>
          <w:p w14:paraId="14CD105F" w14:textId="77777777" w:rsidR="00393D75" w:rsidRPr="007C0608" w:rsidRDefault="00393D75" w:rsidP="00393D75">
            <w:pPr>
              <w:rPr>
                <w:sz w:val="20"/>
                <w:szCs w:val="20"/>
              </w:rPr>
            </w:pPr>
            <w:proofErr w:type="spellStart"/>
            <w:r w:rsidRPr="007C0608">
              <w:rPr>
                <w:sz w:val="20"/>
                <w:szCs w:val="20"/>
              </w:rPr>
              <w:t>KAbM</w:t>
            </w:r>
            <w:r w:rsidRPr="007C0608">
              <w:rPr>
                <w:sz w:val="20"/>
                <w:szCs w:val="20"/>
                <w:vertAlign w:val="subscript"/>
              </w:rPr>
              <w:t>ND</w:t>
            </w:r>
            <w:proofErr w:type="spellEnd"/>
          </w:p>
        </w:tc>
        <w:tc>
          <w:tcPr>
            <w:tcW w:w="1247" w:type="dxa"/>
            <w:tcBorders>
              <w:top w:val="nil"/>
            </w:tcBorders>
            <w:vAlign w:val="center"/>
          </w:tcPr>
          <w:p w14:paraId="19F9CE87" w14:textId="28AF6ACF" w:rsidR="00393D75" w:rsidRPr="00393D75" w:rsidRDefault="00393D75" w:rsidP="00393D75">
            <w:pPr>
              <w:jc w:val="center"/>
              <w:rPr>
                <w:sz w:val="20"/>
                <w:szCs w:val="20"/>
              </w:rPr>
            </w:pPr>
            <w:r w:rsidRPr="00393D75">
              <w:rPr>
                <w:sz w:val="20"/>
                <w:szCs w:val="20"/>
              </w:rPr>
              <w:t>-0.12</w:t>
            </w:r>
          </w:p>
        </w:tc>
        <w:tc>
          <w:tcPr>
            <w:tcW w:w="1247" w:type="dxa"/>
            <w:tcBorders>
              <w:top w:val="nil"/>
            </w:tcBorders>
            <w:noWrap/>
            <w:vAlign w:val="center"/>
          </w:tcPr>
          <w:p w14:paraId="1F74C57F" w14:textId="6CA14995" w:rsidR="00393D75" w:rsidRPr="00393D75" w:rsidRDefault="00393D75" w:rsidP="00393D75">
            <w:pPr>
              <w:jc w:val="center"/>
              <w:rPr>
                <w:sz w:val="20"/>
                <w:szCs w:val="20"/>
              </w:rPr>
            </w:pPr>
            <w:r w:rsidRPr="00393D75">
              <w:rPr>
                <w:sz w:val="20"/>
                <w:szCs w:val="20"/>
              </w:rPr>
              <w:t>0.23</w:t>
            </w:r>
          </w:p>
        </w:tc>
        <w:tc>
          <w:tcPr>
            <w:tcW w:w="1304" w:type="dxa"/>
            <w:tcBorders>
              <w:top w:val="nil"/>
            </w:tcBorders>
            <w:noWrap/>
            <w:vAlign w:val="center"/>
          </w:tcPr>
          <w:p w14:paraId="5DC9524E" w14:textId="0290D6CA" w:rsidR="00393D75" w:rsidRPr="00393D75" w:rsidRDefault="00393D75" w:rsidP="00393D75">
            <w:pPr>
              <w:jc w:val="center"/>
              <w:rPr>
                <w:sz w:val="20"/>
                <w:szCs w:val="20"/>
              </w:rPr>
            </w:pPr>
            <w:r w:rsidRPr="00393D75">
              <w:rPr>
                <w:sz w:val="20"/>
                <w:szCs w:val="20"/>
              </w:rPr>
              <w:t>-0.21</w:t>
            </w:r>
          </w:p>
        </w:tc>
        <w:tc>
          <w:tcPr>
            <w:tcW w:w="1247" w:type="dxa"/>
            <w:tcBorders>
              <w:top w:val="nil"/>
            </w:tcBorders>
            <w:noWrap/>
            <w:vAlign w:val="center"/>
          </w:tcPr>
          <w:p w14:paraId="0F676AE2" w14:textId="098CA807" w:rsidR="00393D75" w:rsidRPr="00393D75" w:rsidRDefault="00393D75" w:rsidP="00393D75">
            <w:pPr>
              <w:jc w:val="center"/>
              <w:rPr>
                <w:sz w:val="20"/>
                <w:szCs w:val="20"/>
              </w:rPr>
            </w:pPr>
            <w:r w:rsidRPr="00393D75">
              <w:rPr>
                <w:sz w:val="20"/>
                <w:szCs w:val="20"/>
              </w:rPr>
              <w:t>-0.05</w:t>
            </w:r>
          </w:p>
        </w:tc>
        <w:tc>
          <w:tcPr>
            <w:tcW w:w="1304" w:type="dxa"/>
            <w:tcBorders>
              <w:top w:val="nil"/>
            </w:tcBorders>
            <w:vAlign w:val="center"/>
          </w:tcPr>
          <w:p w14:paraId="66417BA4" w14:textId="4732AEAE" w:rsidR="00393D75" w:rsidRPr="00393D75" w:rsidRDefault="00393D75" w:rsidP="00393D75">
            <w:pPr>
              <w:jc w:val="center"/>
              <w:rPr>
                <w:sz w:val="20"/>
                <w:szCs w:val="20"/>
              </w:rPr>
            </w:pPr>
            <w:r w:rsidRPr="00393D75">
              <w:rPr>
                <w:sz w:val="20"/>
                <w:szCs w:val="20"/>
              </w:rPr>
              <w:t>0.54</w:t>
            </w:r>
          </w:p>
        </w:tc>
      </w:tr>
      <w:tr w:rsidR="00393D75" w:rsidRPr="007C0608" w14:paraId="26C3B3BE" w14:textId="793136F0" w:rsidTr="00393D75">
        <w:trPr>
          <w:trHeight w:val="340"/>
        </w:trPr>
        <w:tc>
          <w:tcPr>
            <w:tcW w:w="1757" w:type="dxa"/>
            <w:tcBorders>
              <w:bottom w:val="single" w:sz="4" w:space="0" w:color="auto"/>
            </w:tcBorders>
            <w:noWrap/>
            <w:vAlign w:val="center"/>
            <w:hideMark/>
          </w:tcPr>
          <w:p w14:paraId="6B053213" w14:textId="77777777" w:rsidR="00393D75" w:rsidRPr="007C0608" w:rsidRDefault="00393D75" w:rsidP="00393D75">
            <w:pPr>
              <w:rPr>
                <w:sz w:val="20"/>
                <w:szCs w:val="20"/>
              </w:rPr>
            </w:pPr>
            <w:r w:rsidRPr="007C0608">
              <w:rPr>
                <w:sz w:val="20"/>
                <w:szCs w:val="20"/>
              </w:rPr>
              <w:t>KFM</w:t>
            </w:r>
            <w:r w:rsidRPr="007C0608">
              <w:rPr>
                <w:sz w:val="20"/>
                <w:szCs w:val="20"/>
                <w:vertAlign w:val="subscript"/>
              </w:rPr>
              <w:t>ND</w:t>
            </w:r>
          </w:p>
        </w:tc>
        <w:tc>
          <w:tcPr>
            <w:tcW w:w="1247" w:type="dxa"/>
            <w:tcBorders>
              <w:top w:val="nil"/>
              <w:bottom w:val="single" w:sz="4" w:space="0" w:color="auto"/>
            </w:tcBorders>
            <w:noWrap/>
            <w:vAlign w:val="center"/>
            <w:hideMark/>
          </w:tcPr>
          <w:p w14:paraId="415EF5EB" w14:textId="7288C22E" w:rsidR="00393D75" w:rsidRPr="00393D75" w:rsidRDefault="00393D75" w:rsidP="00393D75">
            <w:pPr>
              <w:jc w:val="center"/>
              <w:rPr>
                <w:sz w:val="20"/>
                <w:szCs w:val="20"/>
              </w:rPr>
            </w:pPr>
            <w:r w:rsidRPr="00393D75">
              <w:rPr>
                <w:sz w:val="20"/>
                <w:szCs w:val="20"/>
              </w:rPr>
              <w:t>-0.20</w:t>
            </w:r>
          </w:p>
        </w:tc>
        <w:tc>
          <w:tcPr>
            <w:tcW w:w="1247" w:type="dxa"/>
            <w:tcBorders>
              <w:top w:val="nil"/>
              <w:bottom w:val="single" w:sz="4" w:space="0" w:color="auto"/>
            </w:tcBorders>
            <w:noWrap/>
            <w:vAlign w:val="center"/>
          </w:tcPr>
          <w:p w14:paraId="730D0B50" w14:textId="038E643D" w:rsidR="00393D75" w:rsidRPr="00393D75" w:rsidRDefault="00393D75" w:rsidP="00393D75">
            <w:pPr>
              <w:jc w:val="center"/>
              <w:rPr>
                <w:sz w:val="20"/>
                <w:szCs w:val="20"/>
              </w:rPr>
            </w:pPr>
            <w:r w:rsidRPr="00393D75">
              <w:rPr>
                <w:sz w:val="20"/>
                <w:szCs w:val="20"/>
              </w:rPr>
              <w:t>-0.05</w:t>
            </w:r>
          </w:p>
        </w:tc>
        <w:tc>
          <w:tcPr>
            <w:tcW w:w="1304" w:type="dxa"/>
            <w:tcBorders>
              <w:top w:val="nil"/>
              <w:bottom w:val="single" w:sz="4" w:space="0" w:color="auto"/>
            </w:tcBorders>
            <w:noWrap/>
            <w:vAlign w:val="center"/>
          </w:tcPr>
          <w:p w14:paraId="5677FF30" w14:textId="08A81FA7" w:rsidR="00393D75" w:rsidRPr="00393D75" w:rsidRDefault="00393D75" w:rsidP="00393D75">
            <w:pPr>
              <w:jc w:val="center"/>
              <w:rPr>
                <w:sz w:val="20"/>
                <w:szCs w:val="20"/>
              </w:rPr>
            </w:pPr>
            <w:r w:rsidRPr="00393D75">
              <w:rPr>
                <w:sz w:val="20"/>
                <w:szCs w:val="20"/>
              </w:rPr>
              <w:t>0.09</w:t>
            </w:r>
          </w:p>
        </w:tc>
        <w:tc>
          <w:tcPr>
            <w:tcW w:w="1247" w:type="dxa"/>
            <w:tcBorders>
              <w:top w:val="nil"/>
              <w:bottom w:val="single" w:sz="4" w:space="0" w:color="auto"/>
            </w:tcBorders>
            <w:noWrap/>
            <w:vAlign w:val="center"/>
            <w:hideMark/>
          </w:tcPr>
          <w:p w14:paraId="5485A97B" w14:textId="34D2F294" w:rsidR="00393D75" w:rsidRPr="00393D75" w:rsidRDefault="00393D75" w:rsidP="00393D75">
            <w:pPr>
              <w:jc w:val="center"/>
              <w:rPr>
                <w:sz w:val="20"/>
                <w:szCs w:val="20"/>
              </w:rPr>
            </w:pPr>
            <w:r w:rsidRPr="00393D75">
              <w:rPr>
                <w:sz w:val="20"/>
                <w:szCs w:val="20"/>
              </w:rPr>
              <w:t>-0.14</w:t>
            </w:r>
          </w:p>
        </w:tc>
        <w:tc>
          <w:tcPr>
            <w:tcW w:w="1304" w:type="dxa"/>
            <w:tcBorders>
              <w:top w:val="nil"/>
              <w:bottom w:val="single" w:sz="4" w:space="0" w:color="auto"/>
            </w:tcBorders>
            <w:vAlign w:val="center"/>
          </w:tcPr>
          <w:p w14:paraId="701598C2" w14:textId="1BB0F85A" w:rsidR="00393D75" w:rsidRPr="00393D75" w:rsidRDefault="00393D75" w:rsidP="00393D75">
            <w:pPr>
              <w:jc w:val="center"/>
              <w:rPr>
                <w:sz w:val="20"/>
                <w:szCs w:val="20"/>
              </w:rPr>
            </w:pPr>
            <w:r w:rsidRPr="00393D75">
              <w:rPr>
                <w:sz w:val="20"/>
                <w:szCs w:val="20"/>
              </w:rPr>
              <w:t>0.19</w:t>
            </w:r>
          </w:p>
        </w:tc>
      </w:tr>
      <w:tr w:rsidR="00EE55AF" w:rsidRPr="007C0608" w14:paraId="200DD8C5" w14:textId="77777777" w:rsidTr="00EE55AF">
        <w:trPr>
          <w:trHeight w:val="340"/>
        </w:trPr>
        <w:tc>
          <w:tcPr>
            <w:tcW w:w="1757" w:type="dxa"/>
            <w:tcBorders>
              <w:top w:val="single" w:sz="4" w:space="0" w:color="auto"/>
              <w:bottom w:val="single" w:sz="4" w:space="0" w:color="auto"/>
            </w:tcBorders>
            <w:noWrap/>
            <w:vAlign w:val="center"/>
          </w:tcPr>
          <w:p w14:paraId="6BCCC705" w14:textId="74D3FE65" w:rsidR="00EE55AF" w:rsidRPr="007C0608" w:rsidRDefault="00EE55AF" w:rsidP="00EE55AF">
            <w:pPr>
              <w:rPr>
                <w:sz w:val="20"/>
                <w:szCs w:val="20"/>
              </w:rPr>
            </w:pPr>
            <w:r w:rsidRPr="007D26B5">
              <w:rPr>
                <w:b/>
                <w:bCs/>
                <w:sz w:val="20"/>
                <w:szCs w:val="20"/>
              </w:rPr>
              <w:t>Cluster</w:t>
            </w:r>
            <w:r>
              <w:rPr>
                <w:b/>
                <w:bCs/>
                <w:sz w:val="20"/>
                <w:szCs w:val="20"/>
              </w:rPr>
              <w:t xml:space="preserve"> (N trials)</w:t>
            </w:r>
          </w:p>
        </w:tc>
        <w:tc>
          <w:tcPr>
            <w:tcW w:w="6349" w:type="dxa"/>
            <w:gridSpan w:val="5"/>
            <w:tcBorders>
              <w:top w:val="single" w:sz="4" w:space="0" w:color="auto"/>
              <w:bottom w:val="single" w:sz="4" w:space="0" w:color="auto"/>
            </w:tcBorders>
            <w:noWrap/>
            <w:vAlign w:val="center"/>
          </w:tcPr>
          <w:p w14:paraId="1ED9AEA6" w14:textId="221FB646" w:rsidR="00EE55AF" w:rsidRPr="00EE55AF" w:rsidRDefault="00EE55AF" w:rsidP="00EE55AF">
            <w:pPr>
              <w:jc w:val="center"/>
              <w:rPr>
                <w:b/>
                <w:bCs/>
                <w:sz w:val="20"/>
                <w:szCs w:val="20"/>
              </w:rPr>
            </w:pPr>
            <w:r w:rsidRPr="00EE55AF">
              <w:rPr>
                <w:b/>
                <w:bCs/>
                <w:sz w:val="20"/>
                <w:szCs w:val="20"/>
              </w:rPr>
              <w:t>Scores</w:t>
            </w:r>
          </w:p>
        </w:tc>
      </w:tr>
      <w:tr w:rsidR="00EE55AF" w:rsidRPr="007C0608" w14:paraId="5B4D8D27" w14:textId="77777777" w:rsidTr="00EE55AF">
        <w:trPr>
          <w:trHeight w:val="340"/>
        </w:trPr>
        <w:tc>
          <w:tcPr>
            <w:tcW w:w="1757" w:type="dxa"/>
            <w:tcBorders>
              <w:top w:val="single" w:sz="4" w:space="0" w:color="auto"/>
            </w:tcBorders>
            <w:noWrap/>
            <w:vAlign w:val="center"/>
          </w:tcPr>
          <w:p w14:paraId="2EEAAF0B" w14:textId="22F946D2" w:rsidR="00EE55AF" w:rsidRPr="007C0608" w:rsidRDefault="00EE55AF" w:rsidP="00EE55AF">
            <w:pPr>
              <w:rPr>
                <w:sz w:val="20"/>
                <w:szCs w:val="20"/>
              </w:rPr>
            </w:pPr>
            <w:r w:rsidRPr="007D26B5">
              <w:rPr>
                <w:sz w:val="20"/>
                <w:szCs w:val="20"/>
              </w:rPr>
              <w:t>1</w:t>
            </w:r>
            <w:r>
              <w:rPr>
                <w:sz w:val="20"/>
                <w:szCs w:val="20"/>
              </w:rPr>
              <w:t xml:space="preserve"> (26)</w:t>
            </w:r>
          </w:p>
        </w:tc>
        <w:tc>
          <w:tcPr>
            <w:tcW w:w="1247" w:type="dxa"/>
            <w:tcBorders>
              <w:top w:val="single" w:sz="4" w:space="0" w:color="auto"/>
            </w:tcBorders>
            <w:noWrap/>
            <w:vAlign w:val="center"/>
          </w:tcPr>
          <w:p w14:paraId="7C4A0A97" w14:textId="46865B2C" w:rsidR="00EE55AF" w:rsidRPr="000D443E" w:rsidRDefault="00EE55AF" w:rsidP="00EE55AF">
            <w:pPr>
              <w:jc w:val="center"/>
              <w:rPr>
                <w:sz w:val="20"/>
                <w:szCs w:val="20"/>
              </w:rPr>
            </w:pPr>
            <w:r w:rsidRPr="007D26B5">
              <w:rPr>
                <w:sz w:val="20"/>
                <w:szCs w:val="20"/>
              </w:rPr>
              <w:t>1.79 ± 1.29</w:t>
            </w:r>
          </w:p>
        </w:tc>
        <w:tc>
          <w:tcPr>
            <w:tcW w:w="1247" w:type="dxa"/>
            <w:tcBorders>
              <w:top w:val="single" w:sz="4" w:space="0" w:color="auto"/>
            </w:tcBorders>
            <w:noWrap/>
            <w:vAlign w:val="center"/>
          </w:tcPr>
          <w:p w14:paraId="3F853BA4" w14:textId="2B64932F" w:rsidR="00EE55AF" w:rsidRPr="000D443E" w:rsidRDefault="00EE55AF" w:rsidP="00EE55AF">
            <w:pPr>
              <w:jc w:val="center"/>
              <w:rPr>
                <w:sz w:val="20"/>
                <w:szCs w:val="20"/>
              </w:rPr>
            </w:pPr>
            <w:r w:rsidRPr="007D26B5">
              <w:rPr>
                <w:sz w:val="20"/>
                <w:szCs w:val="20"/>
              </w:rPr>
              <w:t>0.35 ± 1.02</w:t>
            </w:r>
          </w:p>
        </w:tc>
        <w:tc>
          <w:tcPr>
            <w:tcW w:w="1304" w:type="dxa"/>
            <w:tcBorders>
              <w:top w:val="single" w:sz="4" w:space="0" w:color="auto"/>
            </w:tcBorders>
            <w:noWrap/>
            <w:vAlign w:val="center"/>
          </w:tcPr>
          <w:p w14:paraId="754DD4EC" w14:textId="4C6F30A4" w:rsidR="00EE55AF" w:rsidRPr="000D443E" w:rsidRDefault="00EE55AF" w:rsidP="00EE55AF">
            <w:pPr>
              <w:jc w:val="center"/>
              <w:rPr>
                <w:sz w:val="20"/>
                <w:szCs w:val="20"/>
              </w:rPr>
            </w:pPr>
            <w:r w:rsidRPr="007D26B5">
              <w:rPr>
                <w:sz w:val="20"/>
                <w:szCs w:val="20"/>
              </w:rPr>
              <w:t>-0.33 ± 1.12</w:t>
            </w:r>
          </w:p>
        </w:tc>
        <w:tc>
          <w:tcPr>
            <w:tcW w:w="1247" w:type="dxa"/>
            <w:tcBorders>
              <w:top w:val="single" w:sz="4" w:space="0" w:color="auto"/>
            </w:tcBorders>
            <w:noWrap/>
            <w:vAlign w:val="center"/>
          </w:tcPr>
          <w:p w14:paraId="45EE537A" w14:textId="60A9D0C1" w:rsidR="00EE55AF" w:rsidRPr="000D443E" w:rsidRDefault="00EE55AF" w:rsidP="00EE55AF">
            <w:pPr>
              <w:jc w:val="center"/>
              <w:rPr>
                <w:sz w:val="20"/>
                <w:szCs w:val="20"/>
              </w:rPr>
            </w:pPr>
            <w:r w:rsidRPr="007D26B5">
              <w:rPr>
                <w:sz w:val="20"/>
                <w:szCs w:val="20"/>
              </w:rPr>
              <w:t>0.17 ± 0.83</w:t>
            </w:r>
          </w:p>
        </w:tc>
        <w:tc>
          <w:tcPr>
            <w:tcW w:w="1304" w:type="dxa"/>
            <w:tcBorders>
              <w:top w:val="single" w:sz="4" w:space="0" w:color="auto"/>
            </w:tcBorders>
            <w:vAlign w:val="center"/>
          </w:tcPr>
          <w:p w14:paraId="63053EF8" w14:textId="6DBA5966" w:rsidR="00EE55AF" w:rsidRPr="000D443E" w:rsidRDefault="00EE55AF" w:rsidP="00EE55AF">
            <w:pPr>
              <w:rPr>
                <w:sz w:val="20"/>
                <w:szCs w:val="20"/>
              </w:rPr>
            </w:pPr>
            <w:r w:rsidRPr="007D26B5">
              <w:rPr>
                <w:sz w:val="20"/>
                <w:szCs w:val="20"/>
              </w:rPr>
              <w:t>-0.08 ± 0.97</w:t>
            </w:r>
          </w:p>
        </w:tc>
      </w:tr>
      <w:tr w:rsidR="00EE55AF" w:rsidRPr="007C0608" w14:paraId="53C8BA40" w14:textId="77777777" w:rsidTr="00EE55AF">
        <w:trPr>
          <w:trHeight w:val="340"/>
        </w:trPr>
        <w:tc>
          <w:tcPr>
            <w:tcW w:w="1757" w:type="dxa"/>
            <w:tcBorders>
              <w:bottom w:val="single" w:sz="4" w:space="0" w:color="auto"/>
            </w:tcBorders>
            <w:noWrap/>
            <w:vAlign w:val="center"/>
          </w:tcPr>
          <w:p w14:paraId="3FD6EEE8" w14:textId="501EA65A" w:rsidR="00EE55AF" w:rsidRPr="007C0608" w:rsidRDefault="00EE55AF" w:rsidP="00EE55AF">
            <w:pPr>
              <w:rPr>
                <w:sz w:val="20"/>
                <w:szCs w:val="20"/>
              </w:rPr>
            </w:pPr>
            <w:r w:rsidRPr="007D26B5">
              <w:rPr>
                <w:sz w:val="20"/>
                <w:szCs w:val="20"/>
              </w:rPr>
              <w:t>2</w:t>
            </w:r>
            <w:r>
              <w:rPr>
                <w:sz w:val="20"/>
                <w:szCs w:val="20"/>
              </w:rPr>
              <w:t xml:space="preserve"> (39)</w:t>
            </w:r>
          </w:p>
        </w:tc>
        <w:tc>
          <w:tcPr>
            <w:tcW w:w="1247" w:type="dxa"/>
            <w:tcBorders>
              <w:top w:val="nil"/>
              <w:bottom w:val="single" w:sz="4" w:space="0" w:color="auto"/>
            </w:tcBorders>
            <w:noWrap/>
            <w:vAlign w:val="center"/>
          </w:tcPr>
          <w:p w14:paraId="339821E8" w14:textId="21047D5E" w:rsidR="00EE55AF" w:rsidRPr="000D443E" w:rsidRDefault="00EE55AF" w:rsidP="00EE55AF">
            <w:pPr>
              <w:jc w:val="center"/>
              <w:rPr>
                <w:sz w:val="20"/>
                <w:szCs w:val="20"/>
              </w:rPr>
            </w:pPr>
            <w:r w:rsidRPr="007D26B5">
              <w:rPr>
                <w:sz w:val="20"/>
                <w:szCs w:val="20"/>
              </w:rPr>
              <w:t>-1.19 ± 0.89</w:t>
            </w:r>
          </w:p>
        </w:tc>
        <w:tc>
          <w:tcPr>
            <w:tcW w:w="1247" w:type="dxa"/>
            <w:tcBorders>
              <w:top w:val="nil"/>
              <w:bottom w:val="single" w:sz="4" w:space="0" w:color="auto"/>
            </w:tcBorders>
            <w:noWrap/>
            <w:vAlign w:val="center"/>
          </w:tcPr>
          <w:p w14:paraId="6E59A323" w14:textId="444A346C" w:rsidR="00EE55AF" w:rsidRPr="000D443E" w:rsidRDefault="00EE55AF" w:rsidP="00EE55AF">
            <w:pPr>
              <w:jc w:val="center"/>
              <w:rPr>
                <w:sz w:val="20"/>
                <w:szCs w:val="20"/>
              </w:rPr>
            </w:pPr>
            <w:r w:rsidRPr="007D26B5">
              <w:rPr>
                <w:sz w:val="20"/>
                <w:szCs w:val="20"/>
              </w:rPr>
              <w:t>-0.23 ± 1.50</w:t>
            </w:r>
          </w:p>
        </w:tc>
        <w:tc>
          <w:tcPr>
            <w:tcW w:w="1304" w:type="dxa"/>
            <w:tcBorders>
              <w:top w:val="nil"/>
              <w:bottom w:val="single" w:sz="4" w:space="0" w:color="auto"/>
            </w:tcBorders>
            <w:noWrap/>
            <w:vAlign w:val="center"/>
          </w:tcPr>
          <w:p w14:paraId="7FD45818" w14:textId="6DC9F2B1" w:rsidR="00EE55AF" w:rsidRPr="000D443E" w:rsidRDefault="00EE55AF" w:rsidP="00EE55AF">
            <w:pPr>
              <w:jc w:val="center"/>
              <w:rPr>
                <w:sz w:val="20"/>
                <w:szCs w:val="20"/>
              </w:rPr>
            </w:pPr>
            <w:r w:rsidRPr="007D26B5">
              <w:rPr>
                <w:sz w:val="20"/>
                <w:szCs w:val="20"/>
              </w:rPr>
              <w:t>0.22 ± 1.29</w:t>
            </w:r>
          </w:p>
        </w:tc>
        <w:tc>
          <w:tcPr>
            <w:tcW w:w="1247" w:type="dxa"/>
            <w:tcBorders>
              <w:top w:val="nil"/>
              <w:bottom w:val="single" w:sz="4" w:space="0" w:color="auto"/>
            </w:tcBorders>
            <w:noWrap/>
            <w:vAlign w:val="center"/>
          </w:tcPr>
          <w:p w14:paraId="10447D98" w14:textId="777059DF" w:rsidR="00EE55AF" w:rsidRPr="000D443E" w:rsidRDefault="00EE55AF" w:rsidP="00EE55AF">
            <w:pPr>
              <w:jc w:val="center"/>
              <w:rPr>
                <w:sz w:val="20"/>
                <w:szCs w:val="20"/>
              </w:rPr>
            </w:pPr>
            <w:r w:rsidRPr="007D26B5">
              <w:rPr>
                <w:sz w:val="20"/>
                <w:szCs w:val="20"/>
              </w:rPr>
              <w:t>-0.11 ± 1.19</w:t>
            </w:r>
          </w:p>
        </w:tc>
        <w:tc>
          <w:tcPr>
            <w:tcW w:w="1304" w:type="dxa"/>
            <w:tcBorders>
              <w:top w:val="nil"/>
              <w:bottom w:val="single" w:sz="4" w:space="0" w:color="auto"/>
            </w:tcBorders>
            <w:vAlign w:val="center"/>
          </w:tcPr>
          <w:p w14:paraId="2E92E0D9" w14:textId="2C34BDAB" w:rsidR="00EE55AF" w:rsidRPr="000D443E" w:rsidRDefault="00EE55AF" w:rsidP="00EE55AF">
            <w:pPr>
              <w:rPr>
                <w:sz w:val="20"/>
                <w:szCs w:val="20"/>
              </w:rPr>
            </w:pPr>
            <w:r w:rsidRPr="007D26B5">
              <w:rPr>
                <w:sz w:val="20"/>
                <w:szCs w:val="20"/>
              </w:rPr>
              <w:t>0.05 ± 0.95</w:t>
            </w:r>
          </w:p>
        </w:tc>
      </w:tr>
      <w:tr w:rsidR="00EE55AF" w:rsidRPr="007C0608" w14:paraId="731B3BF1" w14:textId="77777777" w:rsidTr="00EE55AF">
        <w:trPr>
          <w:trHeight w:val="340"/>
        </w:trPr>
        <w:tc>
          <w:tcPr>
            <w:tcW w:w="1757" w:type="dxa"/>
            <w:tcBorders>
              <w:bottom w:val="single" w:sz="4" w:space="0" w:color="auto"/>
            </w:tcBorders>
            <w:noWrap/>
            <w:vAlign w:val="center"/>
          </w:tcPr>
          <w:p w14:paraId="5F70FC03" w14:textId="57AE7C27" w:rsidR="00EE55AF" w:rsidRPr="007C0608" w:rsidRDefault="00EE55AF" w:rsidP="00EE55AF">
            <w:pPr>
              <w:rPr>
                <w:sz w:val="20"/>
                <w:szCs w:val="20"/>
              </w:rPr>
            </w:pPr>
            <w:r w:rsidRPr="007D26B5">
              <w:rPr>
                <w:b/>
                <w:bCs/>
                <w:sz w:val="20"/>
                <w:szCs w:val="20"/>
                <w:lang w:val="en-US"/>
              </w:rPr>
              <w:t>M</w:t>
            </w:r>
            <w:r>
              <w:rPr>
                <w:b/>
                <w:bCs/>
                <w:sz w:val="20"/>
                <w:szCs w:val="20"/>
                <w:lang w:val="en-US"/>
              </w:rPr>
              <w:t>-W p-values</w:t>
            </w:r>
          </w:p>
        </w:tc>
        <w:tc>
          <w:tcPr>
            <w:tcW w:w="1247" w:type="dxa"/>
            <w:tcBorders>
              <w:top w:val="nil"/>
              <w:bottom w:val="single" w:sz="4" w:space="0" w:color="auto"/>
            </w:tcBorders>
            <w:noWrap/>
            <w:vAlign w:val="center"/>
          </w:tcPr>
          <w:p w14:paraId="0C80F614" w14:textId="7E5D141F" w:rsidR="00EE55AF" w:rsidRPr="000D443E" w:rsidRDefault="00EE55AF" w:rsidP="00EE55AF">
            <w:pPr>
              <w:jc w:val="center"/>
              <w:rPr>
                <w:sz w:val="20"/>
                <w:szCs w:val="20"/>
              </w:rPr>
            </w:pPr>
            <w:r w:rsidRPr="007D26B5">
              <w:rPr>
                <w:sz w:val="20"/>
                <w:szCs w:val="20"/>
              </w:rPr>
              <w:t>&lt;0.001</w:t>
            </w:r>
            <w:r>
              <w:rPr>
                <w:sz w:val="20"/>
                <w:szCs w:val="20"/>
              </w:rPr>
              <w:t>*</w:t>
            </w:r>
          </w:p>
        </w:tc>
        <w:tc>
          <w:tcPr>
            <w:tcW w:w="1247" w:type="dxa"/>
            <w:tcBorders>
              <w:top w:val="nil"/>
              <w:bottom w:val="single" w:sz="4" w:space="0" w:color="auto"/>
            </w:tcBorders>
            <w:noWrap/>
            <w:vAlign w:val="center"/>
          </w:tcPr>
          <w:p w14:paraId="4A6D21D3" w14:textId="53D9E2A5" w:rsidR="00EE55AF" w:rsidRPr="000D443E" w:rsidRDefault="00EE55AF" w:rsidP="00EE55AF">
            <w:pPr>
              <w:jc w:val="center"/>
              <w:rPr>
                <w:sz w:val="20"/>
                <w:szCs w:val="20"/>
              </w:rPr>
            </w:pPr>
            <w:r w:rsidRPr="007D26B5">
              <w:rPr>
                <w:sz w:val="20"/>
                <w:szCs w:val="20"/>
              </w:rPr>
              <w:t>0.283</w:t>
            </w:r>
          </w:p>
        </w:tc>
        <w:tc>
          <w:tcPr>
            <w:tcW w:w="1304" w:type="dxa"/>
            <w:tcBorders>
              <w:top w:val="nil"/>
              <w:bottom w:val="single" w:sz="4" w:space="0" w:color="auto"/>
            </w:tcBorders>
            <w:noWrap/>
            <w:vAlign w:val="center"/>
          </w:tcPr>
          <w:p w14:paraId="57B77D35" w14:textId="68D8B7AB" w:rsidR="00EE55AF" w:rsidRPr="000D443E" w:rsidRDefault="00EE55AF" w:rsidP="00EE55AF">
            <w:pPr>
              <w:jc w:val="center"/>
              <w:rPr>
                <w:sz w:val="20"/>
                <w:szCs w:val="20"/>
              </w:rPr>
            </w:pPr>
            <w:r w:rsidRPr="007D26B5">
              <w:rPr>
                <w:sz w:val="20"/>
                <w:szCs w:val="20"/>
              </w:rPr>
              <w:t>0.154</w:t>
            </w:r>
          </w:p>
        </w:tc>
        <w:tc>
          <w:tcPr>
            <w:tcW w:w="1247" w:type="dxa"/>
            <w:tcBorders>
              <w:top w:val="nil"/>
              <w:bottom w:val="single" w:sz="4" w:space="0" w:color="auto"/>
            </w:tcBorders>
            <w:noWrap/>
            <w:vAlign w:val="center"/>
          </w:tcPr>
          <w:p w14:paraId="354B4720" w14:textId="5D0B1241" w:rsidR="00EE55AF" w:rsidRPr="000D443E" w:rsidRDefault="00EE55AF" w:rsidP="00EE55AF">
            <w:pPr>
              <w:jc w:val="center"/>
              <w:rPr>
                <w:sz w:val="20"/>
                <w:szCs w:val="20"/>
              </w:rPr>
            </w:pPr>
            <w:r w:rsidRPr="007D26B5">
              <w:rPr>
                <w:sz w:val="20"/>
                <w:szCs w:val="20"/>
              </w:rPr>
              <w:t>0.784</w:t>
            </w:r>
          </w:p>
        </w:tc>
        <w:tc>
          <w:tcPr>
            <w:tcW w:w="1304" w:type="dxa"/>
            <w:tcBorders>
              <w:top w:val="nil"/>
              <w:bottom w:val="single" w:sz="4" w:space="0" w:color="auto"/>
            </w:tcBorders>
            <w:vAlign w:val="center"/>
          </w:tcPr>
          <w:p w14:paraId="23F46D8B" w14:textId="0CC8407A" w:rsidR="00EE55AF" w:rsidRPr="000D443E" w:rsidRDefault="00EE55AF" w:rsidP="00EE55AF">
            <w:pPr>
              <w:jc w:val="center"/>
              <w:rPr>
                <w:sz w:val="20"/>
                <w:szCs w:val="20"/>
              </w:rPr>
            </w:pPr>
            <w:r w:rsidRPr="007D26B5">
              <w:rPr>
                <w:sz w:val="20"/>
                <w:szCs w:val="20"/>
              </w:rPr>
              <w:t>0.552</w:t>
            </w:r>
          </w:p>
        </w:tc>
      </w:tr>
    </w:tbl>
    <w:p w14:paraId="48415A9F" w14:textId="77777777" w:rsidR="00EE55AF" w:rsidRDefault="00EE55AF" w:rsidP="000D443E">
      <w:pPr>
        <w:spacing w:after="0" w:line="240" w:lineRule="auto"/>
        <w:jc w:val="both"/>
        <w:rPr>
          <w:sz w:val="18"/>
          <w:szCs w:val="18"/>
        </w:rPr>
      </w:pPr>
    </w:p>
    <w:p w14:paraId="4BBB8002" w14:textId="6E13902C" w:rsidR="000D443E" w:rsidRPr="005D5250" w:rsidRDefault="000D443E" w:rsidP="000D443E">
      <w:pPr>
        <w:spacing w:after="0" w:line="240" w:lineRule="auto"/>
        <w:jc w:val="both"/>
        <w:rPr>
          <w:sz w:val="18"/>
          <w:szCs w:val="18"/>
          <w:lang w:val="en-US"/>
        </w:rPr>
      </w:pPr>
      <w:r w:rsidRPr="00970C5E">
        <w:rPr>
          <w:sz w:val="18"/>
          <w:szCs w:val="18"/>
        </w:rPr>
        <w:t xml:space="preserve">HAA = hip </w:t>
      </w:r>
      <w:proofErr w:type="spellStart"/>
      <w:r w:rsidRPr="00970C5E">
        <w:rPr>
          <w:sz w:val="18"/>
          <w:szCs w:val="18"/>
        </w:rPr>
        <w:t>adduction</w:t>
      </w:r>
      <w:proofErr w:type="spellEnd"/>
      <w:r w:rsidRPr="00970C5E">
        <w:rPr>
          <w:sz w:val="18"/>
          <w:szCs w:val="18"/>
        </w:rPr>
        <w:t xml:space="preserve"> angle, HFA = hip </w:t>
      </w:r>
      <w:proofErr w:type="spellStart"/>
      <w:r w:rsidRPr="00970C5E">
        <w:rPr>
          <w:sz w:val="18"/>
          <w:szCs w:val="18"/>
        </w:rPr>
        <w:t>flexion</w:t>
      </w:r>
      <w:proofErr w:type="spellEnd"/>
      <w:r w:rsidRPr="00970C5E">
        <w:rPr>
          <w:sz w:val="18"/>
          <w:szCs w:val="18"/>
        </w:rPr>
        <w:t xml:space="preserve"> angle, KAbA = </w:t>
      </w:r>
      <w:proofErr w:type="spellStart"/>
      <w:r w:rsidRPr="00970C5E">
        <w:rPr>
          <w:sz w:val="18"/>
          <w:szCs w:val="18"/>
        </w:rPr>
        <w:t>knee</w:t>
      </w:r>
      <w:proofErr w:type="spellEnd"/>
      <w:r w:rsidRPr="00970C5E">
        <w:rPr>
          <w:sz w:val="18"/>
          <w:szCs w:val="18"/>
        </w:rPr>
        <w:t xml:space="preserve"> </w:t>
      </w:r>
      <w:proofErr w:type="spellStart"/>
      <w:r w:rsidRPr="00970C5E">
        <w:rPr>
          <w:sz w:val="18"/>
          <w:szCs w:val="18"/>
        </w:rPr>
        <w:t>abduction</w:t>
      </w:r>
      <w:proofErr w:type="spellEnd"/>
      <w:r w:rsidRPr="00970C5E">
        <w:rPr>
          <w:sz w:val="18"/>
          <w:szCs w:val="18"/>
        </w:rPr>
        <w:t xml:space="preserve"> angle, KFA = </w:t>
      </w:r>
      <w:proofErr w:type="spellStart"/>
      <w:r w:rsidRPr="00970C5E">
        <w:rPr>
          <w:sz w:val="18"/>
          <w:szCs w:val="18"/>
        </w:rPr>
        <w:t>knee</w:t>
      </w:r>
      <w:proofErr w:type="spellEnd"/>
      <w:r w:rsidRPr="00970C5E">
        <w:rPr>
          <w:sz w:val="18"/>
          <w:szCs w:val="18"/>
        </w:rPr>
        <w:t xml:space="preserve"> </w:t>
      </w:r>
      <w:proofErr w:type="spellStart"/>
      <w:r w:rsidRPr="00970C5E">
        <w:rPr>
          <w:sz w:val="18"/>
          <w:szCs w:val="18"/>
        </w:rPr>
        <w:t>flexion</w:t>
      </w:r>
      <w:proofErr w:type="spellEnd"/>
      <w:r w:rsidRPr="00970C5E">
        <w:rPr>
          <w:sz w:val="18"/>
          <w:szCs w:val="18"/>
        </w:rPr>
        <w:t xml:space="preserve"> angle, HAM = hip </w:t>
      </w:r>
      <w:proofErr w:type="spellStart"/>
      <w:r w:rsidRPr="00970C5E">
        <w:rPr>
          <w:sz w:val="18"/>
          <w:szCs w:val="18"/>
        </w:rPr>
        <w:t>adduction</w:t>
      </w:r>
      <w:proofErr w:type="spellEnd"/>
      <w:r w:rsidRPr="00970C5E">
        <w:rPr>
          <w:sz w:val="18"/>
          <w:szCs w:val="18"/>
        </w:rPr>
        <w:t xml:space="preserve"> moment, HFM = hip </w:t>
      </w:r>
      <w:proofErr w:type="spellStart"/>
      <w:r w:rsidRPr="00970C5E">
        <w:rPr>
          <w:sz w:val="18"/>
          <w:szCs w:val="18"/>
        </w:rPr>
        <w:t>flexion</w:t>
      </w:r>
      <w:proofErr w:type="spellEnd"/>
      <w:r w:rsidRPr="00970C5E">
        <w:rPr>
          <w:sz w:val="18"/>
          <w:szCs w:val="18"/>
        </w:rPr>
        <w:t xml:space="preserve"> moment, </w:t>
      </w:r>
      <w:proofErr w:type="spellStart"/>
      <w:r w:rsidRPr="00970C5E">
        <w:rPr>
          <w:sz w:val="18"/>
          <w:szCs w:val="18"/>
        </w:rPr>
        <w:t>KAbM</w:t>
      </w:r>
      <w:proofErr w:type="spellEnd"/>
      <w:r w:rsidRPr="00970C5E">
        <w:rPr>
          <w:sz w:val="18"/>
          <w:szCs w:val="18"/>
        </w:rPr>
        <w:t xml:space="preserve"> = </w:t>
      </w:r>
      <w:proofErr w:type="spellStart"/>
      <w:r w:rsidRPr="00970C5E">
        <w:rPr>
          <w:sz w:val="18"/>
          <w:szCs w:val="18"/>
        </w:rPr>
        <w:t>knee</w:t>
      </w:r>
      <w:proofErr w:type="spellEnd"/>
      <w:r w:rsidRPr="00970C5E">
        <w:rPr>
          <w:sz w:val="18"/>
          <w:szCs w:val="18"/>
        </w:rPr>
        <w:t xml:space="preserve"> </w:t>
      </w:r>
      <w:proofErr w:type="spellStart"/>
      <w:r w:rsidRPr="00970C5E">
        <w:rPr>
          <w:sz w:val="18"/>
          <w:szCs w:val="18"/>
        </w:rPr>
        <w:t>abduction</w:t>
      </w:r>
      <w:proofErr w:type="spellEnd"/>
      <w:r w:rsidRPr="00970C5E">
        <w:rPr>
          <w:sz w:val="18"/>
          <w:szCs w:val="18"/>
        </w:rPr>
        <w:t xml:space="preserve"> moment, KFM = </w:t>
      </w:r>
      <w:proofErr w:type="spellStart"/>
      <w:r w:rsidRPr="00970C5E">
        <w:rPr>
          <w:sz w:val="18"/>
          <w:szCs w:val="18"/>
        </w:rPr>
        <w:t>knee</w:t>
      </w:r>
      <w:proofErr w:type="spellEnd"/>
      <w:r w:rsidRPr="00970C5E">
        <w:rPr>
          <w:sz w:val="18"/>
          <w:szCs w:val="18"/>
        </w:rPr>
        <w:t xml:space="preserve"> </w:t>
      </w:r>
      <w:proofErr w:type="spellStart"/>
      <w:r w:rsidRPr="00970C5E">
        <w:rPr>
          <w:sz w:val="18"/>
          <w:szCs w:val="18"/>
        </w:rPr>
        <w:t>flexion</w:t>
      </w:r>
      <w:proofErr w:type="spellEnd"/>
      <w:r w:rsidRPr="00970C5E">
        <w:rPr>
          <w:sz w:val="18"/>
          <w:szCs w:val="18"/>
        </w:rPr>
        <w:t xml:space="preserve"> moment. </w:t>
      </w:r>
      <w:r w:rsidRPr="000835AA">
        <w:rPr>
          <w:sz w:val="18"/>
          <w:szCs w:val="18"/>
          <w:lang w:val="en-US"/>
        </w:rPr>
        <w:t xml:space="preserve">Subscripts D and ND </w:t>
      </w:r>
      <w:r w:rsidR="009A515E">
        <w:rPr>
          <w:sz w:val="18"/>
          <w:szCs w:val="18"/>
          <w:lang w:val="en-US"/>
        </w:rPr>
        <w:t>denote</w:t>
      </w:r>
      <w:r w:rsidRPr="000835AA">
        <w:rPr>
          <w:sz w:val="18"/>
          <w:szCs w:val="18"/>
          <w:lang w:val="en-US"/>
        </w:rPr>
        <w:t xml:space="preserve"> </w:t>
      </w:r>
      <w:r w:rsidR="00264298">
        <w:rPr>
          <w:sz w:val="18"/>
          <w:szCs w:val="18"/>
          <w:lang w:val="en-US"/>
        </w:rPr>
        <w:t xml:space="preserve">the </w:t>
      </w:r>
      <w:r w:rsidRPr="000835AA">
        <w:rPr>
          <w:sz w:val="18"/>
          <w:szCs w:val="18"/>
          <w:lang w:val="en-US"/>
        </w:rPr>
        <w:t>dominant and non-do</w:t>
      </w:r>
      <w:r>
        <w:rPr>
          <w:sz w:val="18"/>
          <w:szCs w:val="18"/>
          <w:lang w:val="en-US"/>
        </w:rPr>
        <w:t>minant limb</w:t>
      </w:r>
      <w:r w:rsidR="009A515E">
        <w:rPr>
          <w:sz w:val="18"/>
          <w:szCs w:val="18"/>
          <w:lang w:val="en-US"/>
        </w:rPr>
        <w:t>s</w:t>
      </w:r>
      <w:r>
        <w:rPr>
          <w:sz w:val="18"/>
          <w:szCs w:val="18"/>
          <w:lang w:val="en-US"/>
        </w:rPr>
        <w:t>, respectively.</w:t>
      </w:r>
      <w:r w:rsidR="00EE55AF">
        <w:rPr>
          <w:sz w:val="18"/>
          <w:szCs w:val="18"/>
          <w:lang w:val="en-US"/>
        </w:rPr>
        <w:t xml:space="preserve"> M</w:t>
      </w:r>
      <w:r w:rsidR="00EE55AF" w:rsidRPr="00245E49">
        <w:rPr>
          <w:sz w:val="18"/>
          <w:szCs w:val="18"/>
          <w:lang w:val="en-US"/>
        </w:rPr>
        <w:t xml:space="preserve">-W = </w:t>
      </w:r>
      <w:r w:rsidR="00EE55AF">
        <w:rPr>
          <w:sz w:val="18"/>
          <w:szCs w:val="18"/>
          <w:lang w:val="en-US"/>
        </w:rPr>
        <w:t>Mann-Whitney U</w:t>
      </w:r>
      <w:r w:rsidR="00EE55AF" w:rsidRPr="00245E49">
        <w:rPr>
          <w:sz w:val="18"/>
          <w:szCs w:val="18"/>
          <w:lang w:val="en-US"/>
        </w:rPr>
        <w:t xml:space="preserve"> test</w:t>
      </w:r>
      <w:r w:rsidR="00EE55AF">
        <w:rPr>
          <w:sz w:val="18"/>
          <w:szCs w:val="18"/>
          <w:lang w:val="en-US"/>
        </w:rPr>
        <w:t>.</w:t>
      </w:r>
      <w:r w:rsidR="00EE55AF" w:rsidRPr="00EE55AF">
        <w:rPr>
          <w:lang w:val="en-US"/>
        </w:rPr>
        <w:t xml:space="preserve"> </w:t>
      </w:r>
      <w:r w:rsidR="00EE55AF" w:rsidRPr="00EE55AF">
        <w:rPr>
          <w:sz w:val="18"/>
          <w:szCs w:val="18"/>
          <w:lang w:val="en-US"/>
        </w:rPr>
        <w:t>* represents significant results (p &lt; 0.05).</w:t>
      </w:r>
    </w:p>
    <w:p w14:paraId="12BBC501" w14:textId="77777777" w:rsidR="000D443E" w:rsidRPr="005D5250" w:rsidRDefault="000D443E" w:rsidP="00FD1266">
      <w:pPr>
        <w:spacing w:before="240" w:line="360" w:lineRule="auto"/>
        <w:jc w:val="both"/>
        <w:rPr>
          <w:b/>
          <w:bCs/>
          <w:i/>
          <w:iCs/>
          <w:lang w:val="en-US"/>
        </w:rPr>
      </w:pPr>
    </w:p>
    <w:p w14:paraId="766F3C97" w14:textId="77777777" w:rsidR="00494DE6" w:rsidRDefault="00494DE6">
      <w:pPr>
        <w:rPr>
          <w:b/>
          <w:bCs/>
          <w:lang w:val="en-US"/>
        </w:rPr>
      </w:pPr>
      <w:r>
        <w:rPr>
          <w:b/>
          <w:bCs/>
          <w:lang w:val="en-US"/>
        </w:rPr>
        <w:br w:type="page"/>
      </w:r>
    </w:p>
    <w:p w14:paraId="0234DA96" w14:textId="29E94E58" w:rsidR="005D5250" w:rsidRDefault="00B10901" w:rsidP="00CA097C">
      <w:pPr>
        <w:spacing w:line="360" w:lineRule="auto"/>
        <w:jc w:val="both"/>
        <w:rPr>
          <w:b/>
          <w:bCs/>
          <w:lang w:val="en-US"/>
        </w:rPr>
      </w:pPr>
      <w:r w:rsidRPr="00B10901">
        <w:rPr>
          <w:b/>
          <w:bCs/>
          <w:lang w:val="en-US"/>
        </w:rPr>
        <w:lastRenderedPageBreak/>
        <w:t>FIGURES</w:t>
      </w:r>
    </w:p>
    <w:p w14:paraId="2C4CF65E" w14:textId="17276F57" w:rsidR="005D5250" w:rsidRDefault="005D5250" w:rsidP="005D5250">
      <w:pPr>
        <w:spacing w:line="360" w:lineRule="auto"/>
        <w:rPr>
          <w:lang w:val="en-US"/>
        </w:rPr>
      </w:pPr>
      <w:r w:rsidRPr="005D5250">
        <w:rPr>
          <w:b/>
          <w:bCs/>
          <w:i/>
          <w:iCs/>
          <w:lang w:val="en-US"/>
        </w:rPr>
        <w:t>Figure 1</w:t>
      </w:r>
      <w:r w:rsidR="00F853D4">
        <w:rPr>
          <w:b/>
          <w:bCs/>
          <w:i/>
          <w:iCs/>
          <w:lang w:val="en-US"/>
        </w:rPr>
        <w:t xml:space="preserve">. </w:t>
      </w:r>
      <w:r w:rsidR="00F853D4">
        <w:rPr>
          <w:lang w:val="en-US"/>
        </w:rPr>
        <w:t xml:space="preserve">Representation of </w:t>
      </w:r>
      <w:r w:rsidR="001E64CC">
        <w:rPr>
          <w:lang w:val="en-US"/>
        </w:rPr>
        <w:t xml:space="preserve">the </w:t>
      </w:r>
      <w:r w:rsidR="00F853D4">
        <w:rPr>
          <w:lang w:val="en-US"/>
        </w:rPr>
        <w:t xml:space="preserve">blue-green COG condition. </w:t>
      </w:r>
    </w:p>
    <w:p w14:paraId="267B8B3E" w14:textId="59CCFE9B" w:rsidR="00F853D4" w:rsidRPr="00F853D4" w:rsidRDefault="00F853D4" w:rsidP="005D5250">
      <w:pPr>
        <w:spacing w:line="360" w:lineRule="auto"/>
        <w:rPr>
          <w:lang w:val="en-US"/>
        </w:rPr>
      </w:pPr>
      <w:r>
        <w:rPr>
          <w:noProof/>
          <w:lang w:val="en-US"/>
        </w:rPr>
        <w:drawing>
          <wp:inline distT="0" distB="0" distL="0" distR="0" wp14:anchorId="28507439" wp14:editId="08CA45B4">
            <wp:extent cx="6120130" cy="4224655"/>
            <wp:effectExtent l="0" t="0" r="0" b="4445"/>
            <wp:docPr id="1194274938" name="Immagine 5" descr="Immagine che contiene cartone animato, treppiede, illustrazion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274938" name="Immagine 5" descr="Immagine che contiene cartone animato, treppiede, illustrazione&#10;&#10;Il contenuto generato dall'IA potrebbe non essere corretto."/>
                    <pic:cNvPicPr/>
                  </pic:nvPicPr>
                  <pic:blipFill>
                    <a:blip r:embed="rId12">
                      <a:extLst>
                        <a:ext uri="{28A0092B-C50C-407E-A947-70E740481C1C}">
                          <a14:useLocalDpi xmlns:a14="http://schemas.microsoft.com/office/drawing/2010/main" val="0"/>
                        </a:ext>
                      </a:extLst>
                    </a:blip>
                    <a:stretch>
                      <a:fillRect/>
                    </a:stretch>
                  </pic:blipFill>
                  <pic:spPr>
                    <a:xfrm>
                      <a:off x="0" y="0"/>
                      <a:ext cx="6120130" cy="4224655"/>
                    </a:xfrm>
                    <a:prstGeom prst="rect">
                      <a:avLst/>
                    </a:prstGeom>
                  </pic:spPr>
                </pic:pic>
              </a:graphicData>
            </a:graphic>
          </wp:inline>
        </w:drawing>
      </w:r>
    </w:p>
    <w:p w14:paraId="63343D72" w14:textId="77777777" w:rsidR="00DC760A" w:rsidRDefault="00DC760A">
      <w:pPr>
        <w:rPr>
          <w:b/>
          <w:bCs/>
          <w:i/>
          <w:iCs/>
          <w:lang w:val="en-US"/>
        </w:rPr>
      </w:pPr>
      <w:r>
        <w:rPr>
          <w:b/>
          <w:bCs/>
          <w:i/>
          <w:iCs/>
          <w:lang w:val="en-US"/>
        </w:rPr>
        <w:br w:type="page"/>
      </w:r>
    </w:p>
    <w:p w14:paraId="3D0F2ECA" w14:textId="1C4AA14C" w:rsidR="00D67B1F" w:rsidRPr="007A024E" w:rsidRDefault="00B10901" w:rsidP="005D5250">
      <w:pPr>
        <w:spacing w:line="360" w:lineRule="auto"/>
        <w:rPr>
          <w:lang w:val="en-US"/>
        </w:rPr>
      </w:pPr>
      <w:r w:rsidRPr="007A024E">
        <w:rPr>
          <w:b/>
          <w:bCs/>
          <w:i/>
          <w:iCs/>
          <w:lang w:val="en-US"/>
        </w:rPr>
        <w:lastRenderedPageBreak/>
        <w:t>Figure 2</w:t>
      </w:r>
      <w:r w:rsidR="007A024E" w:rsidRPr="007A024E">
        <w:rPr>
          <w:b/>
          <w:bCs/>
          <w:i/>
          <w:iCs/>
          <w:lang w:val="en-US"/>
        </w:rPr>
        <w:t>.</w:t>
      </w:r>
      <w:r w:rsidR="007A024E">
        <w:rPr>
          <w:b/>
          <w:bCs/>
          <w:i/>
          <w:iCs/>
          <w:lang w:val="en-US"/>
        </w:rPr>
        <w:t xml:space="preserve"> </w:t>
      </w:r>
      <w:r w:rsidR="007A024E">
        <w:rPr>
          <w:lang w:val="en-US"/>
        </w:rPr>
        <w:t xml:space="preserve">(a) Boxplot representing the distribution of the total </w:t>
      </w:r>
      <w:r w:rsidR="00E376AE">
        <w:rPr>
          <w:lang w:val="en-US"/>
        </w:rPr>
        <w:t xml:space="preserve">multivariate </w:t>
      </w:r>
      <w:r w:rsidR="007A024E">
        <w:rPr>
          <w:lang w:val="en-US"/>
        </w:rPr>
        <w:t xml:space="preserve">Euclidean distance of valid and failed trials with respect to the optimal pattern; (b) </w:t>
      </w:r>
      <w:r w:rsidR="00E376AE">
        <w:rPr>
          <w:lang w:val="en-US"/>
        </w:rPr>
        <w:t xml:space="preserve">t-test through </w:t>
      </w:r>
      <w:r w:rsidR="007A024E">
        <w:rPr>
          <w:lang w:val="en-US"/>
        </w:rPr>
        <w:t xml:space="preserve">SPM on </w:t>
      </w:r>
      <w:r w:rsidR="00E376AE">
        <w:rPr>
          <w:lang w:val="en-US"/>
        </w:rPr>
        <w:t xml:space="preserve">the multivariate distance temporal series between valid and failed trials with respect to the optimal </w:t>
      </w:r>
      <w:r w:rsidR="003352BE">
        <w:rPr>
          <w:lang w:val="en-US"/>
        </w:rPr>
        <w:t>pattern;</w:t>
      </w:r>
      <w:r w:rsidR="007A024E">
        <w:rPr>
          <w:lang w:val="en-US"/>
        </w:rPr>
        <w:t xml:space="preserve"> (c) scree plot and cumulative variance for PCA; (d) silhouette analysis</w:t>
      </w:r>
      <w:r w:rsidR="00E376AE">
        <w:rPr>
          <w:lang w:val="en-US"/>
        </w:rPr>
        <w:t xml:space="preserve"> for clustering</w:t>
      </w:r>
      <w:r w:rsidR="007A024E">
        <w:rPr>
          <w:lang w:val="en-US"/>
        </w:rPr>
        <w:t xml:space="preserve">. </w:t>
      </w:r>
    </w:p>
    <w:p w14:paraId="7DE018E9" w14:textId="2908E38E" w:rsidR="005D5250" w:rsidRDefault="00527D89" w:rsidP="005D5250">
      <w:pPr>
        <w:spacing w:line="360" w:lineRule="auto"/>
        <w:rPr>
          <w:b/>
          <w:bCs/>
          <w:i/>
          <w:iCs/>
          <w:lang w:val="en-US"/>
        </w:rPr>
      </w:pPr>
      <w:r>
        <w:rPr>
          <w:b/>
          <w:bCs/>
          <w:i/>
          <w:iCs/>
          <w:noProof/>
          <w:lang w:val="en-US"/>
        </w:rPr>
        <w:drawing>
          <wp:inline distT="0" distB="0" distL="0" distR="0" wp14:anchorId="550E7B34" wp14:editId="4F1B3067">
            <wp:extent cx="6120130" cy="4646295"/>
            <wp:effectExtent l="0" t="0" r="0" b="1905"/>
            <wp:docPr id="952439960" name="Immagine 1" descr="Immagine che contiene testo, diagramm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39960" name="Immagine 1" descr="Immagine che contiene testo, diagramma, Diagramma, linea&#10;&#10;Il contenuto generato dall'IA potrebbe non essere corretto."/>
                    <pic:cNvPicPr/>
                  </pic:nvPicPr>
                  <pic:blipFill>
                    <a:blip r:embed="rId13">
                      <a:extLst>
                        <a:ext uri="{28A0092B-C50C-407E-A947-70E740481C1C}">
                          <a14:useLocalDpi xmlns:a14="http://schemas.microsoft.com/office/drawing/2010/main" val="0"/>
                        </a:ext>
                      </a:extLst>
                    </a:blip>
                    <a:stretch>
                      <a:fillRect/>
                    </a:stretch>
                  </pic:blipFill>
                  <pic:spPr>
                    <a:xfrm>
                      <a:off x="0" y="0"/>
                      <a:ext cx="6120130" cy="4646295"/>
                    </a:xfrm>
                    <a:prstGeom prst="rect">
                      <a:avLst/>
                    </a:prstGeom>
                  </pic:spPr>
                </pic:pic>
              </a:graphicData>
            </a:graphic>
          </wp:inline>
        </w:drawing>
      </w:r>
    </w:p>
    <w:p w14:paraId="1DFE5F3B" w14:textId="77777777" w:rsidR="00DC760A" w:rsidRDefault="00DC760A">
      <w:pPr>
        <w:rPr>
          <w:b/>
          <w:bCs/>
          <w:i/>
          <w:iCs/>
          <w:lang w:val="en-US"/>
        </w:rPr>
      </w:pPr>
      <w:r>
        <w:rPr>
          <w:b/>
          <w:bCs/>
          <w:i/>
          <w:iCs/>
          <w:lang w:val="en-US"/>
        </w:rPr>
        <w:br w:type="page"/>
      </w:r>
    </w:p>
    <w:p w14:paraId="3E1FC648" w14:textId="09CC513F" w:rsidR="00B10901" w:rsidRPr="00E376AE" w:rsidRDefault="005D5250" w:rsidP="00B10901">
      <w:pPr>
        <w:spacing w:line="360" w:lineRule="auto"/>
        <w:rPr>
          <w:lang w:val="en-US"/>
        </w:rPr>
      </w:pPr>
      <w:r w:rsidRPr="00FA4226">
        <w:rPr>
          <w:b/>
          <w:bCs/>
          <w:i/>
          <w:iCs/>
          <w:lang w:val="en-US"/>
        </w:rPr>
        <w:lastRenderedPageBreak/>
        <w:t>Figure 3</w:t>
      </w:r>
      <w:r w:rsidR="00E376AE" w:rsidRPr="00FA4226">
        <w:rPr>
          <w:b/>
          <w:bCs/>
          <w:i/>
          <w:iCs/>
          <w:lang w:val="en-US"/>
        </w:rPr>
        <w:t xml:space="preserve">. </w:t>
      </w:r>
      <w:r w:rsidR="00FA4226" w:rsidRPr="00FA4226">
        <w:rPr>
          <w:lang w:val="en-US"/>
        </w:rPr>
        <w:t>Dendrogram showing cluster separation for failed trials (top)</w:t>
      </w:r>
      <w:r w:rsidR="0018728D">
        <w:rPr>
          <w:lang w:val="en-US"/>
        </w:rPr>
        <w:t>;</w:t>
      </w:r>
      <w:r w:rsidR="00E376AE">
        <w:rPr>
          <w:lang w:val="en-US"/>
        </w:rPr>
        <w:t xml:space="preserve"> </w:t>
      </w:r>
      <w:r w:rsidR="003352BE">
        <w:rPr>
          <w:lang w:val="en-US"/>
        </w:rPr>
        <w:t>boxplot</w:t>
      </w:r>
      <w:r w:rsidR="00E376AE">
        <w:rPr>
          <w:lang w:val="en-US"/>
        </w:rPr>
        <w:t xml:space="preserve"> </w:t>
      </w:r>
      <w:r w:rsidR="00FA4226" w:rsidRPr="00FA4226">
        <w:rPr>
          <w:lang w:val="en-US"/>
        </w:rPr>
        <w:t>of score distributions across clusters for principal components showing significant differences in the Kruskal–Wallis test</w:t>
      </w:r>
      <w:r w:rsidR="00DC760A">
        <w:rPr>
          <w:lang w:val="en-US"/>
        </w:rPr>
        <w:t>s</w:t>
      </w:r>
      <w:r w:rsidR="00FA4226" w:rsidRPr="00FA4226">
        <w:rPr>
          <w:lang w:val="en-US"/>
        </w:rPr>
        <w:t xml:space="preserve"> </w:t>
      </w:r>
      <w:r w:rsidR="0018728D" w:rsidRPr="00FA4226">
        <w:rPr>
          <w:lang w:val="en-US"/>
        </w:rPr>
        <w:t>(</w:t>
      </w:r>
      <w:r w:rsidR="0018728D">
        <w:rPr>
          <w:lang w:val="en-US"/>
        </w:rPr>
        <w:t>middle</w:t>
      </w:r>
      <w:r w:rsidR="0018728D" w:rsidRPr="00FA4226">
        <w:rPr>
          <w:lang w:val="en-US"/>
        </w:rPr>
        <w:t>)</w:t>
      </w:r>
      <w:r w:rsidR="0018728D">
        <w:rPr>
          <w:lang w:val="en-US"/>
        </w:rPr>
        <w:t>; graphical representation of cluster motor patterns</w:t>
      </w:r>
      <w:r w:rsidR="0018728D" w:rsidRPr="00FA4226">
        <w:rPr>
          <w:lang w:val="en-US"/>
        </w:rPr>
        <w:t>.</w:t>
      </w:r>
    </w:p>
    <w:p w14:paraId="26CAE157" w14:textId="612E0432" w:rsidR="00527D89" w:rsidRDefault="00527D89" w:rsidP="00B10901">
      <w:pPr>
        <w:spacing w:line="360" w:lineRule="auto"/>
        <w:rPr>
          <w:b/>
          <w:bCs/>
          <w:i/>
          <w:iCs/>
          <w:lang w:val="fr-FR"/>
        </w:rPr>
      </w:pPr>
      <w:r>
        <w:rPr>
          <w:b/>
          <w:bCs/>
          <w:i/>
          <w:iCs/>
          <w:noProof/>
          <w:lang w:val="fr-FR"/>
        </w:rPr>
        <w:drawing>
          <wp:inline distT="0" distB="0" distL="0" distR="0" wp14:anchorId="4DCDAE26" wp14:editId="76436AE0">
            <wp:extent cx="5986285" cy="6480000"/>
            <wp:effectExtent l="0" t="0" r="0" b="0"/>
            <wp:docPr id="142158251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82519" name="Immagine 2"/>
                    <pic:cNvPicPr/>
                  </pic:nvPicPr>
                  <pic:blipFill>
                    <a:blip r:embed="rId14">
                      <a:extLst>
                        <a:ext uri="{28A0092B-C50C-407E-A947-70E740481C1C}">
                          <a14:useLocalDpi xmlns:a14="http://schemas.microsoft.com/office/drawing/2010/main" val="0"/>
                        </a:ext>
                      </a:extLst>
                    </a:blip>
                    <a:stretch>
                      <a:fillRect/>
                    </a:stretch>
                  </pic:blipFill>
                  <pic:spPr>
                    <a:xfrm>
                      <a:off x="0" y="0"/>
                      <a:ext cx="5986285" cy="6480000"/>
                    </a:xfrm>
                    <a:prstGeom prst="rect">
                      <a:avLst/>
                    </a:prstGeom>
                  </pic:spPr>
                </pic:pic>
              </a:graphicData>
            </a:graphic>
          </wp:inline>
        </w:drawing>
      </w:r>
    </w:p>
    <w:p w14:paraId="6918C2A6" w14:textId="5C26A3C4" w:rsidR="00DC760A" w:rsidRDefault="00DC760A">
      <w:pPr>
        <w:rPr>
          <w:b/>
          <w:bCs/>
          <w:i/>
          <w:iCs/>
          <w:lang w:val="en-US"/>
        </w:rPr>
      </w:pPr>
      <w:r>
        <w:rPr>
          <w:b/>
          <w:bCs/>
          <w:i/>
          <w:iCs/>
          <w:lang w:val="en-US"/>
        </w:rPr>
        <w:br w:type="page"/>
      </w:r>
    </w:p>
    <w:p w14:paraId="26B9CEA9" w14:textId="32F5D71F" w:rsidR="005D5250" w:rsidRDefault="005D5250" w:rsidP="00B10901">
      <w:pPr>
        <w:spacing w:line="360" w:lineRule="auto"/>
        <w:rPr>
          <w:lang w:val="en-US"/>
        </w:rPr>
      </w:pPr>
      <w:r w:rsidRPr="00DC760A">
        <w:rPr>
          <w:b/>
          <w:bCs/>
          <w:i/>
          <w:iCs/>
          <w:lang w:val="en-US"/>
        </w:rPr>
        <w:lastRenderedPageBreak/>
        <w:t>Figure 4</w:t>
      </w:r>
      <w:r w:rsidR="00DC760A" w:rsidRPr="00DC760A">
        <w:rPr>
          <w:b/>
          <w:bCs/>
          <w:i/>
          <w:iCs/>
          <w:lang w:val="en-US"/>
        </w:rPr>
        <w:t xml:space="preserve">. </w:t>
      </w:r>
      <w:r w:rsidR="00DC760A">
        <w:rPr>
          <w:lang w:val="en-US"/>
        </w:rPr>
        <w:t xml:space="preserve">(a) </w:t>
      </w:r>
      <w:r w:rsidR="003352BE">
        <w:rPr>
          <w:lang w:val="en-US"/>
        </w:rPr>
        <w:t>Boxplot</w:t>
      </w:r>
      <w:r w:rsidR="00DC760A">
        <w:rPr>
          <w:lang w:val="en-US"/>
        </w:rPr>
        <w:t xml:space="preserve"> representing the distribution of the total multivariate Euclidean distance of valid and bad trials with respect to the optimal pattern; (b) t-test through SPM on the multivariate distance temporal series between valid and bad trials with respect to the optimal </w:t>
      </w:r>
      <w:r w:rsidR="003352BE">
        <w:rPr>
          <w:lang w:val="en-US"/>
        </w:rPr>
        <w:t>pattern;</w:t>
      </w:r>
      <w:r w:rsidR="00DC760A">
        <w:rPr>
          <w:lang w:val="en-US"/>
        </w:rPr>
        <w:t xml:space="preserve"> (c) scree plot and cumulative variance for PCA; (d) silhouette analysis for clustering.</w:t>
      </w:r>
    </w:p>
    <w:p w14:paraId="7A283F59" w14:textId="70A22293" w:rsidR="00DC760A" w:rsidRDefault="00DC760A" w:rsidP="00B10901">
      <w:pPr>
        <w:spacing w:line="360" w:lineRule="auto"/>
        <w:rPr>
          <w:lang w:val="en-US"/>
        </w:rPr>
      </w:pPr>
      <w:r>
        <w:rPr>
          <w:b/>
          <w:bCs/>
          <w:i/>
          <w:iCs/>
          <w:noProof/>
          <w:lang w:val="en-US"/>
        </w:rPr>
        <w:drawing>
          <wp:inline distT="0" distB="0" distL="0" distR="0" wp14:anchorId="5C44A40E" wp14:editId="7F06066E">
            <wp:extent cx="6120130" cy="4646295"/>
            <wp:effectExtent l="0" t="0" r="0" b="1905"/>
            <wp:docPr id="2036295294" name="Immagine 3" descr="Immagine che contiene testo, diagramm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295294" name="Immagine 3" descr="Immagine che contiene testo, diagramma, Diagramma, linea&#10;&#10;Il contenuto generato dall'IA potrebbe non essere corretto."/>
                    <pic:cNvPicPr/>
                  </pic:nvPicPr>
                  <pic:blipFill>
                    <a:blip r:embed="rId15">
                      <a:extLst>
                        <a:ext uri="{28A0092B-C50C-407E-A947-70E740481C1C}">
                          <a14:useLocalDpi xmlns:a14="http://schemas.microsoft.com/office/drawing/2010/main" val="0"/>
                        </a:ext>
                      </a:extLst>
                    </a:blip>
                    <a:stretch>
                      <a:fillRect/>
                    </a:stretch>
                  </pic:blipFill>
                  <pic:spPr>
                    <a:xfrm>
                      <a:off x="0" y="0"/>
                      <a:ext cx="6120130" cy="4646295"/>
                    </a:xfrm>
                    <a:prstGeom prst="rect">
                      <a:avLst/>
                    </a:prstGeom>
                  </pic:spPr>
                </pic:pic>
              </a:graphicData>
            </a:graphic>
          </wp:inline>
        </w:drawing>
      </w:r>
    </w:p>
    <w:p w14:paraId="1715602F" w14:textId="77777777" w:rsidR="00DC760A" w:rsidRDefault="00DC760A">
      <w:pPr>
        <w:rPr>
          <w:lang w:val="en-US"/>
        </w:rPr>
      </w:pPr>
      <w:r>
        <w:rPr>
          <w:lang w:val="en-US"/>
        </w:rPr>
        <w:br w:type="page"/>
      </w:r>
    </w:p>
    <w:p w14:paraId="37A3FEBC" w14:textId="761A9CB3" w:rsidR="005D5250" w:rsidRDefault="005D5250" w:rsidP="00B10901">
      <w:pPr>
        <w:spacing w:line="360" w:lineRule="auto"/>
        <w:rPr>
          <w:lang w:val="en-US"/>
        </w:rPr>
      </w:pPr>
      <w:r w:rsidRPr="00DC760A">
        <w:rPr>
          <w:b/>
          <w:bCs/>
          <w:i/>
          <w:iCs/>
          <w:lang w:val="en-US"/>
        </w:rPr>
        <w:lastRenderedPageBreak/>
        <w:t>Figure 5</w:t>
      </w:r>
      <w:r w:rsidR="00DC760A" w:rsidRPr="00DC760A">
        <w:rPr>
          <w:b/>
          <w:bCs/>
          <w:i/>
          <w:iCs/>
          <w:lang w:val="en-US"/>
        </w:rPr>
        <w:t xml:space="preserve">. </w:t>
      </w:r>
      <w:r w:rsidR="00DC760A" w:rsidRPr="00FA4226">
        <w:rPr>
          <w:lang w:val="en-US"/>
        </w:rPr>
        <w:t xml:space="preserve">Dendrogram showing cluster separation for </w:t>
      </w:r>
      <w:r w:rsidR="00DC760A">
        <w:rPr>
          <w:lang w:val="en-US"/>
        </w:rPr>
        <w:t>bad</w:t>
      </w:r>
      <w:r w:rsidR="00DC760A" w:rsidRPr="00FA4226">
        <w:rPr>
          <w:lang w:val="en-US"/>
        </w:rPr>
        <w:t xml:space="preserve"> trials (top)</w:t>
      </w:r>
      <w:r w:rsidR="0018728D">
        <w:rPr>
          <w:lang w:val="en-US"/>
        </w:rPr>
        <w:t xml:space="preserve">; </w:t>
      </w:r>
      <w:r w:rsidR="003352BE">
        <w:rPr>
          <w:lang w:val="en-US"/>
        </w:rPr>
        <w:t>boxplot</w:t>
      </w:r>
      <w:r w:rsidR="00DC760A">
        <w:rPr>
          <w:lang w:val="en-US"/>
        </w:rPr>
        <w:t xml:space="preserve"> </w:t>
      </w:r>
      <w:r w:rsidR="00DC760A" w:rsidRPr="00FA4226">
        <w:rPr>
          <w:lang w:val="en-US"/>
        </w:rPr>
        <w:t xml:space="preserve">of score distributions across clusters for principal components showing significant differences in the </w:t>
      </w:r>
      <w:r w:rsidR="00DC760A" w:rsidRPr="00335136">
        <w:rPr>
          <w:lang w:val="en-US"/>
        </w:rPr>
        <w:t>Mann–Whitney U tests</w:t>
      </w:r>
      <w:r w:rsidR="00DC760A" w:rsidRPr="00FA4226">
        <w:rPr>
          <w:lang w:val="en-US"/>
        </w:rPr>
        <w:t xml:space="preserve"> (</w:t>
      </w:r>
      <w:r w:rsidR="0018728D">
        <w:rPr>
          <w:lang w:val="en-US"/>
        </w:rPr>
        <w:t>middle</w:t>
      </w:r>
      <w:r w:rsidR="00DC760A" w:rsidRPr="00FA4226">
        <w:rPr>
          <w:lang w:val="en-US"/>
        </w:rPr>
        <w:t>)</w:t>
      </w:r>
      <w:r w:rsidR="0018728D">
        <w:rPr>
          <w:lang w:val="en-US"/>
        </w:rPr>
        <w:t>; graphical representation of cluster motor patterns</w:t>
      </w:r>
      <w:r w:rsidR="00DC760A" w:rsidRPr="00FA4226">
        <w:rPr>
          <w:lang w:val="en-US"/>
        </w:rPr>
        <w:t>.</w:t>
      </w:r>
    </w:p>
    <w:p w14:paraId="45303F4F" w14:textId="0DA3FD92" w:rsidR="00DC760A" w:rsidRPr="00DC760A" w:rsidRDefault="00DC760A" w:rsidP="00B10901">
      <w:pPr>
        <w:spacing w:line="360" w:lineRule="auto"/>
        <w:rPr>
          <w:lang w:val="en-US"/>
        </w:rPr>
      </w:pPr>
      <w:r>
        <w:rPr>
          <w:b/>
          <w:bCs/>
          <w:i/>
          <w:iCs/>
          <w:noProof/>
          <w:lang w:val="en-US"/>
        </w:rPr>
        <w:drawing>
          <wp:inline distT="0" distB="0" distL="0" distR="0" wp14:anchorId="67437977" wp14:editId="17D5661E">
            <wp:extent cx="5616000" cy="6480000"/>
            <wp:effectExtent l="0" t="0" r="3810" b="0"/>
            <wp:docPr id="111297829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78291" name="Immagine 4"/>
                    <pic:cNvPicPr/>
                  </pic:nvPicPr>
                  <pic:blipFill>
                    <a:blip r:embed="rId16">
                      <a:extLst>
                        <a:ext uri="{28A0092B-C50C-407E-A947-70E740481C1C}">
                          <a14:useLocalDpi xmlns:a14="http://schemas.microsoft.com/office/drawing/2010/main" val="0"/>
                        </a:ext>
                      </a:extLst>
                    </a:blip>
                    <a:stretch>
                      <a:fillRect/>
                    </a:stretch>
                  </pic:blipFill>
                  <pic:spPr>
                    <a:xfrm>
                      <a:off x="0" y="0"/>
                      <a:ext cx="5616000" cy="6480000"/>
                    </a:xfrm>
                    <a:prstGeom prst="rect">
                      <a:avLst/>
                    </a:prstGeom>
                  </pic:spPr>
                </pic:pic>
              </a:graphicData>
            </a:graphic>
          </wp:inline>
        </w:drawing>
      </w:r>
    </w:p>
    <w:sectPr w:rsidR="00DC760A" w:rsidRPr="00DC760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200E"/>
    <w:multiLevelType w:val="hybridMultilevel"/>
    <w:tmpl w:val="124AE79A"/>
    <w:lvl w:ilvl="0" w:tplc="6D4A3DB0">
      <w:numFmt w:val="bullet"/>
      <w:lvlText w:val=""/>
      <w:lvlJc w:val="left"/>
      <w:pPr>
        <w:ind w:left="720" w:hanging="360"/>
      </w:pPr>
      <w:rPr>
        <w:rFonts w:ascii="Symbol" w:eastAsiaTheme="minorHAnsi" w:hAnsi="Symbol" w:cstheme="minorBidi" w:hint="default"/>
        <w:b w:val="0"/>
        <w:i w:val="0"/>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A4345B"/>
    <w:multiLevelType w:val="hybridMultilevel"/>
    <w:tmpl w:val="9DDA27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84D7056"/>
    <w:multiLevelType w:val="hybridMultilevel"/>
    <w:tmpl w:val="B84250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E841F3"/>
    <w:multiLevelType w:val="hybridMultilevel"/>
    <w:tmpl w:val="12F23B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6FF1CF7"/>
    <w:multiLevelType w:val="hybridMultilevel"/>
    <w:tmpl w:val="E58A6F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9692776"/>
    <w:multiLevelType w:val="hybridMultilevel"/>
    <w:tmpl w:val="D9F2CFA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74029E3"/>
    <w:multiLevelType w:val="hybridMultilevel"/>
    <w:tmpl w:val="E2CE9D94"/>
    <w:lvl w:ilvl="0" w:tplc="4CB05DE8">
      <w:start w:val="7"/>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C286FBC"/>
    <w:multiLevelType w:val="hybridMultilevel"/>
    <w:tmpl w:val="A664ECD0"/>
    <w:lvl w:ilvl="0" w:tplc="9B768482">
      <w:start w:val="1"/>
      <w:numFmt w:val="bullet"/>
      <w:lvlText w:val=""/>
      <w:lvlJc w:val="left"/>
      <w:pPr>
        <w:ind w:left="720" w:hanging="360"/>
      </w:pPr>
      <w:rPr>
        <w:rFonts w:ascii="Symbol" w:hAnsi="Symbol"/>
      </w:rPr>
    </w:lvl>
    <w:lvl w:ilvl="1" w:tplc="1492740C">
      <w:start w:val="1"/>
      <w:numFmt w:val="bullet"/>
      <w:lvlText w:val=""/>
      <w:lvlJc w:val="left"/>
      <w:pPr>
        <w:ind w:left="720" w:hanging="360"/>
      </w:pPr>
      <w:rPr>
        <w:rFonts w:ascii="Symbol" w:hAnsi="Symbol"/>
      </w:rPr>
    </w:lvl>
    <w:lvl w:ilvl="2" w:tplc="5E7AFB14">
      <w:start w:val="1"/>
      <w:numFmt w:val="bullet"/>
      <w:lvlText w:val=""/>
      <w:lvlJc w:val="left"/>
      <w:pPr>
        <w:ind w:left="720" w:hanging="360"/>
      </w:pPr>
      <w:rPr>
        <w:rFonts w:ascii="Symbol" w:hAnsi="Symbol"/>
      </w:rPr>
    </w:lvl>
    <w:lvl w:ilvl="3" w:tplc="BCBE3F00">
      <w:start w:val="1"/>
      <w:numFmt w:val="bullet"/>
      <w:lvlText w:val=""/>
      <w:lvlJc w:val="left"/>
      <w:pPr>
        <w:ind w:left="720" w:hanging="360"/>
      </w:pPr>
      <w:rPr>
        <w:rFonts w:ascii="Symbol" w:hAnsi="Symbol"/>
      </w:rPr>
    </w:lvl>
    <w:lvl w:ilvl="4" w:tplc="2C7A8C0A">
      <w:start w:val="1"/>
      <w:numFmt w:val="bullet"/>
      <w:lvlText w:val=""/>
      <w:lvlJc w:val="left"/>
      <w:pPr>
        <w:ind w:left="720" w:hanging="360"/>
      </w:pPr>
      <w:rPr>
        <w:rFonts w:ascii="Symbol" w:hAnsi="Symbol"/>
      </w:rPr>
    </w:lvl>
    <w:lvl w:ilvl="5" w:tplc="D4B6DF16">
      <w:start w:val="1"/>
      <w:numFmt w:val="bullet"/>
      <w:lvlText w:val=""/>
      <w:lvlJc w:val="left"/>
      <w:pPr>
        <w:ind w:left="720" w:hanging="360"/>
      </w:pPr>
      <w:rPr>
        <w:rFonts w:ascii="Symbol" w:hAnsi="Symbol"/>
      </w:rPr>
    </w:lvl>
    <w:lvl w:ilvl="6" w:tplc="F02C6CC6">
      <w:start w:val="1"/>
      <w:numFmt w:val="bullet"/>
      <w:lvlText w:val=""/>
      <w:lvlJc w:val="left"/>
      <w:pPr>
        <w:ind w:left="720" w:hanging="360"/>
      </w:pPr>
      <w:rPr>
        <w:rFonts w:ascii="Symbol" w:hAnsi="Symbol"/>
      </w:rPr>
    </w:lvl>
    <w:lvl w:ilvl="7" w:tplc="7E6EC810">
      <w:start w:val="1"/>
      <w:numFmt w:val="bullet"/>
      <w:lvlText w:val=""/>
      <w:lvlJc w:val="left"/>
      <w:pPr>
        <w:ind w:left="720" w:hanging="360"/>
      </w:pPr>
      <w:rPr>
        <w:rFonts w:ascii="Symbol" w:hAnsi="Symbol"/>
      </w:rPr>
    </w:lvl>
    <w:lvl w:ilvl="8" w:tplc="CAB2928A">
      <w:start w:val="1"/>
      <w:numFmt w:val="bullet"/>
      <w:lvlText w:val=""/>
      <w:lvlJc w:val="left"/>
      <w:pPr>
        <w:ind w:left="720" w:hanging="360"/>
      </w:pPr>
      <w:rPr>
        <w:rFonts w:ascii="Symbol" w:hAnsi="Symbol"/>
      </w:rPr>
    </w:lvl>
  </w:abstractNum>
  <w:abstractNum w:abstractNumId="8" w15:restartNumberingAfterBreak="0">
    <w:nsid w:val="5F9D647C"/>
    <w:multiLevelType w:val="hybridMultilevel"/>
    <w:tmpl w:val="44CEE36E"/>
    <w:lvl w:ilvl="0" w:tplc="922C302C">
      <w:start w:val="1"/>
      <w:numFmt w:val="bullet"/>
      <w:lvlText w:val=""/>
      <w:lvlJc w:val="left"/>
      <w:pPr>
        <w:ind w:left="720" w:hanging="360"/>
      </w:pPr>
      <w:rPr>
        <w:rFonts w:ascii="Symbol" w:hAnsi="Symbol"/>
      </w:rPr>
    </w:lvl>
    <w:lvl w:ilvl="1" w:tplc="61C8A26C">
      <w:start w:val="1"/>
      <w:numFmt w:val="bullet"/>
      <w:lvlText w:val=""/>
      <w:lvlJc w:val="left"/>
      <w:pPr>
        <w:ind w:left="720" w:hanging="360"/>
      </w:pPr>
      <w:rPr>
        <w:rFonts w:ascii="Symbol" w:hAnsi="Symbol"/>
      </w:rPr>
    </w:lvl>
    <w:lvl w:ilvl="2" w:tplc="AD74EBB4">
      <w:start w:val="1"/>
      <w:numFmt w:val="bullet"/>
      <w:lvlText w:val=""/>
      <w:lvlJc w:val="left"/>
      <w:pPr>
        <w:ind w:left="720" w:hanging="360"/>
      </w:pPr>
      <w:rPr>
        <w:rFonts w:ascii="Symbol" w:hAnsi="Symbol"/>
      </w:rPr>
    </w:lvl>
    <w:lvl w:ilvl="3" w:tplc="1ACEABBE">
      <w:start w:val="1"/>
      <w:numFmt w:val="bullet"/>
      <w:lvlText w:val=""/>
      <w:lvlJc w:val="left"/>
      <w:pPr>
        <w:ind w:left="720" w:hanging="360"/>
      </w:pPr>
      <w:rPr>
        <w:rFonts w:ascii="Symbol" w:hAnsi="Symbol"/>
      </w:rPr>
    </w:lvl>
    <w:lvl w:ilvl="4" w:tplc="43DA4F5A">
      <w:start w:val="1"/>
      <w:numFmt w:val="bullet"/>
      <w:lvlText w:val=""/>
      <w:lvlJc w:val="left"/>
      <w:pPr>
        <w:ind w:left="720" w:hanging="360"/>
      </w:pPr>
      <w:rPr>
        <w:rFonts w:ascii="Symbol" w:hAnsi="Symbol"/>
      </w:rPr>
    </w:lvl>
    <w:lvl w:ilvl="5" w:tplc="C186D232">
      <w:start w:val="1"/>
      <w:numFmt w:val="bullet"/>
      <w:lvlText w:val=""/>
      <w:lvlJc w:val="left"/>
      <w:pPr>
        <w:ind w:left="720" w:hanging="360"/>
      </w:pPr>
      <w:rPr>
        <w:rFonts w:ascii="Symbol" w:hAnsi="Symbol"/>
      </w:rPr>
    </w:lvl>
    <w:lvl w:ilvl="6" w:tplc="59046118">
      <w:start w:val="1"/>
      <w:numFmt w:val="bullet"/>
      <w:lvlText w:val=""/>
      <w:lvlJc w:val="left"/>
      <w:pPr>
        <w:ind w:left="720" w:hanging="360"/>
      </w:pPr>
      <w:rPr>
        <w:rFonts w:ascii="Symbol" w:hAnsi="Symbol"/>
      </w:rPr>
    </w:lvl>
    <w:lvl w:ilvl="7" w:tplc="42A04852">
      <w:start w:val="1"/>
      <w:numFmt w:val="bullet"/>
      <w:lvlText w:val=""/>
      <w:lvlJc w:val="left"/>
      <w:pPr>
        <w:ind w:left="720" w:hanging="360"/>
      </w:pPr>
      <w:rPr>
        <w:rFonts w:ascii="Symbol" w:hAnsi="Symbol"/>
      </w:rPr>
    </w:lvl>
    <w:lvl w:ilvl="8" w:tplc="CAB281D2">
      <w:start w:val="1"/>
      <w:numFmt w:val="bullet"/>
      <w:lvlText w:val=""/>
      <w:lvlJc w:val="left"/>
      <w:pPr>
        <w:ind w:left="720" w:hanging="360"/>
      </w:pPr>
      <w:rPr>
        <w:rFonts w:ascii="Symbol" w:hAnsi="Symbol"/>
      </w:rPr>
    </w:lvl>
  </w:abstractNum>
  <w:abstractNum w:abstractNumId="9" w15:restartNumberingAfterBreak="0">
    <w:nsid w:val="6F670E1B"/>
    <w:multiLevelType w:val="hybridMultilevel"/>
    <w:tmpl w:val="8408D11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78D96C63"/>
    <w:multiLevelType w:val="hybridMultilevel"/>
    <w:tmpl w:val="7F4E664C"/>
    <w:lvl w:ilvl="0" w:tplc="CE5EABC0">
      <w:numFmt w:val="bullet"/>
      <w:lvlText w:val=""/>
      <w:lvlJc w:val="left"/>
      <w:pPr>
        <w:ind w:left="720" w:hanging="360"/>
      </w:pPr>
      <w:rPr>
        <w:rFonts w:ascii="Symbol" w:eastAsiaTheme="minorHAnsi" w:hAnsi="Symbol" w:cstheme="minorBidi" w:hint="default"/>
        <w:b w:val="0"/>
        <w:i w:val="0"/>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92513838">
    <w:abstractNumId w:val="5"/>
  </w:num>
  <w:num w:numId="2" w16cid:durableId="1474446374">
    <w:abstractNumId w:val="2"/>
  </w:num>
  <w:num w:numId="3" w16cid:durableId="135488702">
    <w:abstractNumId w:val="6"/>
  </w:num>
  <w:num w:numId="4" w16cid:durableId="1938949686">
    <w:abstractNumId w:val="10"/>
  </w:num>
  <w:num w:numId="5" w16cid:durableId="656500146">
    <w:abstractNumId w:val="0"/>
  </w:num>
  <w:num w:numId="6" w16cid:durableId="328558191">
    <w:abstractNumId w:val="7"/>
  </w:num>
  <w:num w:numId="7" w16cid:durableId="1848326126">
    <w:abstractNumId w:val="8"/>
  </w:num>
  <w:num w:numId="8" w16cid:durableId="1927304188">
    <w:abstractNumId w:val="4"/>
  </w:num>
  <w:num w:numId="9" w16cid:durableId="554901732">
    <w:abstractNumId w:val="3"/>
  </w:num>
  <w:num w:numId="10" w16cid:durableId="1641837498">
    <w:abstractNumId w:val="9"/>
  </w:num>
  <w:num w:numId="11" w16cid:durableId="1491410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601"/>
    <w:rsid w:val="00003B5C"/>
    <w:rsid w:val="00004E32"/>
    <w:rsid w:val="000077C7"/>
    <w:rsid w:val="00010BC4"/>
    <w:rsid w:val="00010E9B"/>
    <w:rsid w:val="000173B7"/>
    <w:rsid w:val="00022606"/>
    <w:rsid w:val="00034603"/>
    <w:rsid w:val="00060B9F"/>
    <w:rsid w:val="00061F9D"/>
    <w:rsid w:val="00064D7A"/>
    <w:rsid w:val="00070D75"/>
    <w:rsid w:val="0007258B"/>
    <w:rsid w:val="00072D08"/>
    <w:rsid w:val="00076535"/>
    <w:rsid w:val="000835AA"/>
    <w:rsid w:val="000A40D0"/>
    <w:rsid w:val="000C38E1"/>
    <w:rsid w:val="000C39C3"/>
    <w:rsid w:val="000D443E"/>
    <w:rsid w:val="000D472E"/>
    <w:rsid w:val="000D6FBE"/>
    <w:rsid w:val="001013F7"/>
    <w:rsid w:val="00103CDD"/>
    <w:rsid w:val="001111C9"/>
    <w:rsid w:val="001136FB"/>
    <w:rsid w:val="00115480"/>
    <w:rsid w:val="00126F91"/>
    <w:rsid w:val="0013669C"/>
    <w:rsid w:val="00143DF0"/>
    <w:rsid w:val="00163F8C"/>
    <w:rsid w:val="00175FE6"/>
    <w:rsid w:val="00183FB1"/>
    <w:rsid w:val="00185472"/>
    <w:rsid w:val="001856FC"/>
    <w:rsid w:val="0018728D"/>
    <w:rsid w:val="001A4D55"/>
    <w:rsid w:val="001A7C33"/>
    <w:rsid w:val="001B0073"/>
    <w:rsid w:val="001B6499"/>
    <w:rsid w:val="001B783F"/>
    <w:rsid w:val="001C4DEB"/>
    <w:rsid w:val="001E64CC"/>
    <w:rsid w:val="001E73F1"/>
    <w:rsid w:val="001F00FD"/>
    <w:rsid w:val="002074F3"/>
    <w:rsid w:val="002149FD"/>
    <w:rsid w:val="002165AC"/>
    <w:rsid w:val="002201CA"/>
    <w:rsid w:val="00220BB8"/>
    <w:rsid w:val="00225C81"/>
    <w:rsid w:val="00232C5A"/>
    <w:rsid w:val="00241841"/>
    <w:rsid w:val="00245E49"/>
    <w:rsid w:val="0024779E"/>
    <w:rsid w:val="0025110B"/>
    <w:rsid w:val="00254F55"/>
    <w:rsid w:val="00255D56"/>
    <w:rsid w:val="00256724"/>
    <w:rsid w:val="002631E4"/>
    <w:rsid w:val="00263A7C"/>
    <w:rsid w:val="00264298"/>
    <w:rsid w:val="002717A0"/>
    <w:rsid w:val="0027184C"/>
    <w:rsid w:val="00280BB1"/>
    <w:rsid w:val="002810D8"/>
    <w:rsid w:val="00292199"/>
    <w:rsid w:val="002924CA"/>
    <w:rsid w:val="002A1F77"/>
    <w:rsid w:val="002B1BBE"/>
    <w:rsid w:val="002B1CB8"/>
    <w:rsid w:val="002C1B15"/>
    <w:rsid w:val="002E496B"/>
    <w:rsid w:val="002F2A4F"/>
    <w:rsid w:val="002F2C33"/>
    <w:rsid w:val="002F515E"/>
    <w:rsid w:val="00312272"/>
    <w:rsid w:val="00316888"/>
    <w:rsid w:val="00327B8A"/>
    <w:rsid w:val="00331C9C"/>
    <w:rsid w:val="003325F0"/>
    <w:rsid w:val="00335136"/>
    <w:rsid w:val="003352BE"/>
    <w:rsid w:val="00353B30"/>
    <w:rsid w:val="0035546F"/>
    <w:rsid w:val="00384953"/>
    <w:rsid w:val="003859ED"/>
    <w:rsid w:val="00391833"/>
    <w:rsid w:val="00393D75"/>
    <w:rsid w:val="003A1BE4"/>
    <w:rsid w:val="003A5DFB"/>
    <w:rsid w:val="003B57E4"/>
    <w:rsid w:val="003B711D"/>
    <w:rsid w:val="003C218D"/>
    <w:rsid w:val="003C686C"/>
    <w:rsid w:val="003C696B"/>
    <w:rsid w:val="003E2048"/>
    <w:rsid w:val="00401E24"/>
    <w:rsid w:val="004160BB"/>
    <w:rsid w:val="004174ED"/>
    <w:rsid w:val="0042106D"/>
    <w:rsid w:val="00432388"/>
    <w:rsid w:val="00434C93"/>
    <w:rsid w:val="0044163F"/>
    <w:rsid w:val="004433F2"/>
    <w:rsid w:val="0045509D"/>
    <w:rsid w:val="004607D7"/>
    <w:rsid w:val="00464F18"/>
    <w:rsid w:val="00474E8A"/>
    <w:rsid w:val="004777BB"/>
    <w:rsid w:val="00485F77"/>
    <w:rsid w:val="004908EB"/>
    <w:rsid w:val="004949A5"/>
    <w:rsid w:val="00494DE6"/>
    <w:rsid w:val="00495746"/>
    <w:rsid w:val="00496195"/>
    <w:rsid w:val="00497719"/>
    <w:rsid w:val="004A0869"/>
    <w:rsid w:val="004B4564"/>
    <w:rsid w:val="004C33F2"/>
    <w:rsid w:val="004D27DA"/>
    <w:rsid w:val="004F3C59"/>
    <w:rsid w:val="0050541A"/>
    <w:rsid w:val="005153B5"/>
    <w:rsid w:val="00523098"/>
    <w:rsid w:val="00527D89"/>
    <w:rsid w:val="005303E2"/>
    <w:rsid w:val="0053204F"/>
    <w:rsid w:val="00533551"/>
    <w:rsid w:val="005408CA"/>
    <w:rsid w:val="00542321"/>
    <w:rsid w:val="00551EEF"/>
    <w:rsid w:val="0055500B"/>
    <w:rsid w:val="00556E6C"/>
    <w:rsid w:val="005570F6"/>
    <w:rsid w:val="00562F3A"/>
    <w:rsid w:val="00570956"/>
    <w:rsid w:val="00584717"/>
    <w:rsid w:val="0059247F"/>
    <w:rsid w:val="005B1F93"/>
    <w:rsid w:val="005B22E2"/>
    <w:rsid w:val="005D4601"/>
    <w:rsid w:val="005D480A"/>
    <w:rsid w:val="005D5250"/>
    <w:rsid w:val="005F4770"/>
    <w:rsid w:val="005F4FB2"/>
    <w:rsid w:val="005F5E05"/>
    <w:rsid w:val="00607DA7"/>
    <w:rsid w:val="00615329"/>
    <w:rsid w:val="0062322D"/>
    <w:rsid w:val="00626AB9"/>
    <w:rsid w:val="0062768F"/>
    <w:rsid w:val="006301B5"/>
    <w:rsid w:val="00632C39"/>
    <w:rsid w:val="006479A1"/>
    <w:rsid w:val="00653B60"/>
    <w:rsid w:val="0066605F"/>
    <w:rsid w:val="00666E65"/>
    <w:rsid w:val="00667D90"/>
    <w:rsid w:val="0068318E"/>
    <w:rsid w:val="00693090"/>
    <w:rsid w:val="006968E6"/>
    <w:rsid w:val="006A0367"/>
    <w:rsid w:val="006A1974"/>
    <w:rsid w:val="006B0BDF"/>
    <w:rsid w:val="006B34BD"/>
    <w:rsid w:val="006B7BFD"/>
    <w:rsid w:val="006C33CD"/>
    <w:rsid w:val="006D0739"/>
    <w:rsid w:val="006D21C6"/>
    <w:rsid w:val="006E1D84"/>
    <w:rsid w:val="006E2FF4"/>
    <w:rsid w:val="006F0364"/>
    <w:rsid w:val="006F4966"/>
    <w:rsid w:val="006F6391"/>
    <w:rsid w:val="007026B9"/>
    <w:rsid w:val="00710D6A"/>
    <w:rsid w:val="00710DF5"/>
    <w:rsid w:val="007354FD"/>
    <w:rsid w:val="00737334"/>
    <w:rsid w:val="0073757E"/>
    <w:rsid w:val="00741970"/>
    <w:rsid w:val="007517A8"/>
    <w:rsid w:val="00754ABC"/>
    <w:rsid w:val="00763CDD"/>
    <w:rsid w:val="00767551"/>
    <w:rsid w:val="0077129F"/>
    <w:rsid w:val="007767FB"/>
    <w:rsid w:val="007933EF"/>
    <w:rsid w:val="007A024E"/>
    <w:rsid w:val="007A3636"/>
    <w:rsid w:val="007A58E9"/>
    <w:rsid w:val="007A72FE"/>
    <w:rsid w:val="007B3AF7"/>
    <w:rsid w:val="007B6A5F"/>
    <w:rsid w:val="007B7A41"/>
    <w:rsid w:val="007C0608"/>
    <w:rsid w:val="007C1636"/>
    <w:rsid w:val="007C3AA3"/>
    <w:rsid w:val="007C5E8D"/>
    <w:rsid w:val="007D26B5"/>
    <w:rsid w:val="007E57DC"/>
    <w:rsid w:val="007E649F"/>
    <w:rsid w:val="00800DD3"/>
    <w:rsid w:val="00820055"/>
    <w:rsid w:val="00834269"/>
    <w:rsid w:val="00834CCE"/>
    <w:rsid w:val="008362FF"/>
    <w:rsid w:val="00841356"/>
    <w:rsid w:val="00852ECE"/>
    <w:rsid w:val="00856A23"/>
    <w:rsid w:val="0087163C"/>
    <w:rsid w:val="00880369"/>
    <w:rsid w:val="00882999"/>
    <w:rsid w:val="0089247F"/>
    <w:rsid w:val="00893B47"/>
    <w:rsid w:val="00894382"/>
    <w:rsid w:val="008A5BDF"/>
    <w:rsid w:val="008C04F6"/>
    <w:rsid w:val="008C30E2"/>
    <w:rsid w:val="008E4FE0"/>
    <w:rsid w:val="008F373C"/>
    <w:rsid w:val="00906597"/>
    <w:rsid w:val="00910244"/>
    <w:rsid w:val="00913244"/>
    <w:rsid w:val="00926C0B"/>
    <w:rsid w:val="009279D0"/>
    <w:rsid w:val="00932E93"/>
    <w:rsid w:val="00933C22"/>
    <w:rsid w:val="00937983"/>
    <w:rsid w:val="00963971"/>
    <w:rsid w:val="00970C5E"/>
    <w:rsid w:val="00973A70"/>
    <w:rsid w:val="00974C13"/>
    <w:rsid w:val="0098096F"/>
    <w:rsid w:val="00990A5B"/>
    <w:rsid w:val="009A1A0E"/>
    <w:rsid w:val="009A250E"/>
    <w:rsid w:val="009A3ACC"/>
    <w:rsid w:val="009A515E"/>
    <w:rsid w:val="009A7964"/>
    <w:rsid w:val="009A7ABB"/>
    <w:rsid w:val="009B5FAE"/>
    <w:rsid w:val="009C0013"/>
    <w:rsid w:val="009C13BC"/>
    <w:rsid w:val="009D2EDE"/>
    <w:rsid w:val="009D7ED6"/>
    <w:rsid w:val="009E6A62"/>
    <w:rsid w:val="009E7ECD"/>
    <w:rsid w:val="009F1390"/>
    <w:rsid w:val="009F39F1"/>
    <w:rsid w:val="009F6A6F"/>
    <w:rsid w:val="00A019E4"/>
    <w:rsid w:val="00A07B51"/>
    <w:rsid w:val="00A15E51"/>
    <w:rsid w:val="00A22848"/>
    <w:rsid w:val="00A337E5"/>
    <w:rsid w:val="00A42D3E"/>
    <w:rsid w:val="00A443D7"/>
    <w:rsid w:val="00A525A2"/>
    <w:rsid w:val="00A616AB"/>
    <w:rsid w:val="00A659C5"/>
    <w:rsid w:val="00A76E34"/>
    <w:rsid w:val="00A8149D"/>
    <w:rsid w:val="00A8585F"/>
    <w:rsid w:val="00A85CEE"/>
    <w:rsid w:val="00A93105"/>
    <w:rsid w:val="00AA1641"/>
    <w:rsid w:val="00AA4F39"/>
    <w:rsid w:val="00AA72F8"/>
    <w:rsid w:val="00AB2043"/>
    <w:rsid w:val="00AD23CC"/>
    <w:rsid w:val="00AD73FC"/>
    <w:rsid w:val="00AE56B7"/>
    <w:rsid w:val="00AE6E78"/>
    <w:rsid w:val="00AF615C"/>
    <w:rsid w:val="00AF6D59"/>
    <w:rsid w:val="00B01295"/>
    <w:rsid w:val="00B10901"/>
    <w:rsid w:val="00B24EF2"/>
    <w:rsid w:val="00B2674A"/>
    <w:rsid w:val="00B42204"/>
    <w:rsid w:val="00B44677"/>
    <w:rsid w:val="00B52AE2"/>
    <w:rsid w:val="00B66785"/>
    <w:rsid w:val="00B707F0"/>
    <w:rsid w:val="00B73DB8"/>
    <w:rsid w:val="00B82A5F"/>
    <w:rsid w:val="00BB0A5F"/>
    <w:rsid w:val="00BB747D"/>
    <w:rsid w:val="00BC72EF"/>
    <w:rsid w:val="00BF5552"/>
    <w:rsid w:val="00BF71CE"/>
    <w:rsid w:val="00BF76CF"/>
    <w:rsid w:val="00BF77AD"/>
    <w:rsid w:val="00C03B4D"/>
    <w:rsid w:val="00C06520"/>
    <w:rsid w:val="00C15104"/>
    <w:rsid w:val="00C155DD"/>
    <w:rsid w:val="00C33885"/>
    <w:rsid w:val="00C4703B"/>
    <w:rsid w:val="00C51C01"/>
    <w:rsid w:val="00C54E68"/>
    <w:rsid w:val="00C5698C"/>
    <w:rsid w:val="00C60FF8"/>
    <w:rsid w:val="00C76CCC"/>
    <w:rsid w:val="00C80CE7"/>
    <w:rsid w:val="00C85F61"/>
    <w:rsid w:val="00C90F23"/>
    <w:rsid w:val="00C91A03"/>
    <w:rsid w:val="00CA097C"/>
    <w:rsid w:val="00CA34B8"/>
    <w:rsid w:val="00CA6E41"/>
    <w:rsid w:val="00CC1940"/>
    <w:rsid w:val="00CC566C"/>
    <w:rsid w:val="00CD3713"/>
    <w:rsid w:val="00CD45E0"/>
    <w:rsid w:val="00CE0003"/>
    <w:rsid w:val="00CE55EB"/>
    <w:rsid w:val="00CF578A"/>
    <w:rsid w:val="00D0478C"/>
    <w:rsid w:val="00D11A3C"/>
    <w:rsid w:val="00D247E5"/>
    <w:rsid w:val="00D25F1E"/>
    <w:rsid w:val="00D30F72"/>
    <w:rsid w:val="00D37851"/>
    <w:rsid w:val="00D475B4"/>
    <w:rsid w:val="00D565D1"/>
    <w:rsid w:val="00D63339"/>
    <w:rsid w:val="00D65155"/>
    <w:rsid w:val="00D6535A"/>
    <w:rsid w:val="00D67B1F"/>
    <w:rsid w:val="00D95B61"/>
    <w:rsid w:val="00DA49F4"/>
    <w:rsid w:val="00DC69B5"/>
    <w:rsid w:val="00DC760A"/>
    <w:rsid w:val="00DD1E85"/>
    <w:rsid w:val="00DD55DF"/>
    <w:rsid w:val="00DE01A7"/>
    <w:rsid w:val="00DF0BB1"/>
    <w:rsid w:val="00E21E58"/>
    <w:rsid w:val="00E24B60"/>
    <w:rsid w:val="00E34A89"/>
    <w:rsid w:val="00E363B6"/>
    <w:rsid w:val="00E376AE"/>
    <w:rsid w:val="00E61C74"/>
    <w:rsid w:val="00E66666"/>
    <w:rsid w:val="00E7183C"/>
    <w:rsid w:val="00E83F2F"/>
    <w:rsid w:val="00E86123"/>
    <w:rsid w:val="00E913C9"/>
    <w:rsid w:val="00E9226E"/>
    <w:rsid w:val="00E97D7F"/>
    <w:rsid w:val="00EA12CD"/>
    <w:rsid w:val="00EA66E9"/>
    <w:rsid w:val="00EB4879"/>
    <w:rsid w:val="00EB6192"/>
    <w:rsid w:val="00EC02C1"/>
    <w:rsid w:val="00EC075A"/>
    <w:rsid w:val="00EC0D1B"/>
    <w:rsid w:val="00EC4CB9"/>
    <w:rsid w:val="00ED0CB4"/>
    <w:rsid w:val="00ED5A33"/>
    <w:rsid w:val="00EE00DC"/>
    <w:rsid w:val="00EE0A76"/>
    <w:rsid w:val="00EE55AF"/>
    <w:rsid w:val="00EF1D40"/>
    <w:rsid w:val="00F01BE9"/>
    <w:rsid w:val="00F0638A"/>
    <w:rsid w:val="00F06705"/>
    <w:rsid w:val="00F06995"/>
    <w:rsid w:val="00F10096"/>
    <w:rsid w:val="00F12F01"/>
    <w:rsid w:val="00F3612F"/>
    <w:rsid w:val="00F40619"/>
    <w:rsid w:val="00F51CFD"/>
    <w:rsid w:val="00F71CB2"/>
    <w:rsid w:val="00F77873"/>
    <w:rsid w:val="00F8453E"/>
    <w:rsid w:val="00F8455F"/>
    <w:rsid w:val="00F853D4"/>
    <w:rsid w:val="00FA4226"/>
    <w:rsid w:val="00FB682D"/>
    <w:rsid w:val="00FC6A76"/>
    <w:rsid w:val="00FC6E55"/>
    <w:rsid w:val="00FC7EC4"/>
    <w:rsid w:val="00FD1266"/>
    <w:rsid w:val="00FD65F7"/>
    <w:rsid w:val="00FE1691"/>
    <w:rsid w:val="00FF24EC"/>
    <w:rsid w:val="00FF76D8"/>
    <w:rsid w:val="00FF7B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9AFDF"/>
  <w15:chartTrackingRefBased/>
  <w15:docId w15:val="{CCEBD53E-4E16-40D4-9920-5EB917608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443E"/>
  </w:style>
  <w:style w:type="paragraph" w:styleId="Titolo1">
    <w:name w:val="heading 1"/>
    <w:basedOn w:val="Normale"/>
    <w:next w:val="Normale"/>
    <w:link w:val="Titolo1Carattere"/>
    <w:uiPriority w:val="9"/>
    <w:qFormat/>
    <w:rsid w:val="005D46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D46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D460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D460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D460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D460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D460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D460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D460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D460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D460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D460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D460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D460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D460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D460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D460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D4601"/>
    <w:rPr>
      <w:rFonts w:eastAsiaTheme="majorEastAsia" w:cstheme="majorBidi"/>
      <w:color w:val="272727" w:themeColor="text1" w:themeTint="D8"/>
    </w:rPr>
  </w:style>
  <w:style w:type="paragraph" w:styleId="Titolo">
    <w:name w:val="Title"/>
    <w:basedOn w:val="Normale"/>
    <w:next w:val="Normale"/>
    <w:link w:val="TitoloCarattere"/>
    <w:uiPriority w:val="10"/>
    <w:qFormat/>
    <w:rsid w:val="005D46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D460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D460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D460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D460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D4601"/>
    <w:rPr>
      <w:i/>
      <w:iCs/>
      <w:color w:val="404040" w:themeColor="text1" w:themeTint="BF"/>
    </w:rPr>
  </w:style>
  <w:style w:type="paragraph" w:styleId="Paragrafoelenco">
    <w:name w:val="List Paragraph"/>
    <w:basedOn w:val="Normale"/>
    <w:uiPriority w:val="34"/>
    <w:qFormat/>
    <w:rsid w:val="005D4601"/>
    <w:pPr>
      <w:ind w:left="720"/>
      <w:contextualSpacing/>
    </w:pPr>
  </w:style>
  <w:style w:type="character" w:styleId="Enfasiintensa">
    <w:name w:val="Intense Emphasis"/>
    <w:basedOn w:val="Carpredefinitoparagrafo"/>
    <w:uiPriority w:val="21"/>
    <w:qFormat/>
    <w:rsid w:val="005D4601"/>
    <w:rPr>
      <w:i/>
      <w:iCs/>
      <w:color w:val="0F4761" w:themeColor="accent1" w:themeShade="BF"/>
    </w:rPr>
  </w:style>
  <w:style w:type="paragraph" w:styleId="Citazioneintensa">
    <w:name w:val="Intense Quote"/>
    <w:basedOn w:val="Normale"/>
    <w:next w:val="Normale"/>
    <w:link w:val="CitazioneintensaCarattere"/>
    <w:uiPriority w:val="30"/>
    <w:qFormat/>
    <w:rsid w:val="005D46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D4601"/>
    <w:rPr>
      <w:i/>
      <w:iCs/>
      <w:color w:val="0F4761" w:themeColor="accent1" w:themeShade="BF"/>
    </w:rPr>
  </w:style>
  <w:style w:type="character" w:styleId="Riferimentointenso">
    <w:name w:val="Intense Reference"/>
    <w:basedOn w:val="Carpredefinitoparagrafo"/>
    <w:uiPriority w:val="32"/>
    <w:qFormat/>
    <w:rsid w:val="005D4601"/>
    <w:rPr>
      <w:b/>
      <w:bCs/>
      <w:smallCaps/>
      <w:color w:val="0F4761" w:themeColor="accent1" w:themeShade="BF"/>
      <w:spacing w:val="5"/>
    </w:rPr>
  </w:style>
  <w:style w:type="character" w:styleId="Rimandocommento">
    <w:name w:val="annotation reference"/>
    <w:basedOn w:val="Carpredefinitoparagrafo"/>
    <w:uiPriority w:val="99"/>
    <w:semiHidden/>
    <w:unhideWhenUsed/>
    <w:rsid w:val="00F06995"/>
    <w:rPr>
      <w:sz w:val="16"/>
      <w:szCs w:val="16"/>
    </w:rPr>
  </w:style>
  <w:style w:type="paragraph" w:styleId="Testocommento">
    <w:name w:val="annotation text"/>
    <w:basedOn w:val="Normale"/>
    <w:link w:val="TestocommentoCarattere"/>
    <w:uiPriority w:val="99"/>
    <w:unhideWhenUsed/>
    <w:rsid w:val="00F06995"/>
    <w:pPr>
      <w:spacing w:line="240" w:lineRule="auto"/>
    </w:pPr>
    <w:rPr>
      <w:sz w:val="20"/>
      <w:szCs w:val="20"/>
    </w:rPr>
  </w:style>
  <w:style w:type="character" w:customStyle="1" w:styleId="TestocommentoCarattere">
    <w:name w:val="Testo commento Carattere"/>
    <w:basedOn w:val="Carpredefinitoparagrafo"/>
    <w:link w:val="Testocommento"/>
    <w:uiPriority w:val="99"/>
    <w:rsid w:val="00F06995"/>
    <w:rPr>
      <w:sz w:val="20"/>
      <w:szCs w:val="20"/>
    </w:rPr>
  </w:style>
  <w:style w:type="paragraph" w:styleId="Soggettocommento">
    <w:name w:val="annotation subject"/>
    <w:basedOn w:val="Testocommento"/>
    <w:next w:val="Testocommento"/>
    <w:link w:val="SoggettocommentoCarattere"/>
    <w:uiPriority w:val="99"/>
    <w:semiHidden/>
    <w:unhideWhenUsed/>
    <w:rsid w:val="00F06995"/>
    <w:rPr>
      <w:b/>
      <w:bCs/>
    </w:rPr>
  </w:style>
  <w:style w:type="character" w:customStyle="1" w:styleId="SoggettocommentoCarattere">
    <w:name w:val="Soggetto commento Carattere"/>
    <w:basedOn w:val="TestocommentoCarattere"/>
    <w:link w:val="Soggettocommento"/>
    <w:uiPriority w:val="99"/>
    <w:semiHidden/>
    <w:rsid w:val="00F06995"/>
    <w:rPr>
      <w:b/>
      <w:bCs/>
      <w:sz w:val="20"/>
      <w:szCs w:val="20"/>
    </w:rPr>
  </w:style>
  <w:style w:type="table" w:styleId="Grigliatabella">
    <w:name w:val="Table Grid"/>
    <w:basedOn w:val="Tabellanormale"/>
    <w:uiPriority w:val="39"/>
    <w:rsid w:val="00FA4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34269"/>
    <w:rPr>
      <w:color w:val="467886" w:themeColor="hyperlink"/>
      <w:u w:val="single"/>
    </w:rPr>
  </w:style>
  <w:style w:type="character" w:styleId="Menzionenonrisolta">
    <w:name w:val="Unresolved Mention"/>
    <w:basedOn w:val="Carpredefinitoparagrafo"/>
    <w:uiPriority w:val="99"/>
    <w:semiHidden/>
    <w:unhideWhenUsed/>
    <w:rsid w:val="00834269"/>
    <w:rPr>
      <w:color w:val="605E5C"/>
      <w:shd w:val="clear" w:color="auto" w:fill="E1DFDD"/>
    </w:rPr>
  </w:style>
  <w:style w:type="paragraph" w:styleId="Revisione">
    <w:name w:val="Revision"/>
    <w:hidden/>
    <w:uiPriority w:val="99"/>
    <w:semiHidden/>
    <w:rsid w:val="009D2EDE"/>
    <w:pPr>
      <w:spacing w:after="0" w:line="240" w:lineRule="auto"/>
    </w:pPr>
  </w:style>
  <w:style w:type="paragraph" w:styleId="Bibliografia">
    <w:name w:val="Bibliography"/>
    <w:basedOn w:val="Normale"/>
    <w:next w:val="Normale"/>
    <w:uiPriority w:val="37"/>
    <w:unhideWhenUsed/>
    <w:rsid w:val="00A42D3E"/>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o.tarabini@polimi.it"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ietro.maver@polimi.it" TargetMode="Externa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hyperlink" Target="mailto:Claudia.brunetti@polimi.it" TargetMode="External"/><Relationship Id="rId11" Type="http://schemas.openxmlformats.org/officeDocument/2006/relationships/hyperlink" Target="http://www.spm1d.org/index.html"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claudia.brunetti@polimi.it" TargetMode="External"/><Relationship Id="rId4" Type="http://schemas.openxmlformats.org/officeDocument/2006/relationships/settings" Target="settings.xml"/><Relationship Id="rId9" Type="http://schemas.openxmlformats.org/officeDocument/2006/relationships/hyperlink" Target="mailto:Filippobertozzi23@gmail.com" TargetMode="External"/><Relationship Id="rId1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DB64B-D2E3-44D4-8ADD-B8A5BED0C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28814</Words>
  <Characters>164243</Characters>
  <Application>Microsoft Office Word</Application>
  <DocSecurity>0</DocSecurity>
  <Lines>1368</Lines>
  <Paragraphs>385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Brunetti</dc:creator>
  <cp:keywords/>
  <dc:description/>
  <cp:lastModifiedBy>Claudia Brunetti</cp:lastModifiedBy>
  <cp:revision>23</cp:revision>
  <dcterms:created xsi:type="dcterms:W3CDTF">2026-03-06T10:51:00Z</dcterms:created>
  <dcterms:modified xsi:type="dcterms:W3CDTF">2026-03-06T17:36:00Z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id="dRvmwRi0"/&gt;&lt;style id="http://www.zotero.org/styles/american-medical-association" hasBibliography="1" bibliographyStyleHasBeenSet="1"/&gt;&lt;prefs&gt;&lt;pref name="fieldType" value="Field"/&gt;&lt;pref name="dont</vt:lpwstr>
  </property>
  <property fmtid="{D5CDD505-2E9C-101B-9397-08002B2CF9AE}" pid="3" name="ZOTERO_PREF_2">
    <vt:lpwstr>AskDelayCitationUpdates" value="true"/&gt;&lt;/prefs&gt;&lt;/data&gt;</vt:lpwstr>
  </property>
</Properties>
</file>