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E81C4" w14:textId="0161C898" w:rsidR="00B80FB8" w:rsidRPr="00F65686" w:rsidRDefault="00B80FB8" w:rsidP="00F65686">
      <w:pPr>
        <w:jc w:val="both"/>
        <w:rPr>
          <w:rFonts w:ascii="Times New Roman" w:hAnsi="Times New Roman"/>
        </w:rPr>
      </w:pPr>
      <w:bookmarkStart w:id="0" w:name="_Toc352171024"/>
      <w:r w:rsidRPr="00F65686">
        <w:rPr>
          <w:rFonts w:ascii="Times New Roman" w:hAnsi="Times New Roman"/>
        </w:rPr>
        <w:t>Andrea Caragliu</w:t>
      </w:r>
      <w:r w:rsidRPr="00F65686">
        <w:rPr>
          <w:rStyle w:val="Rimandonotaapidipagina"/>
          <w:rFonts w:ascii="Times New Roman" w:hAnsi="Times New Roman"/>
        </w:rPr>
        <w:footnoteReference w:id="2"/>
      </w:r>
      <w:r w:rsidR="009763CC" w:rsidRPr="00F65686">
        <w:rPr>
          <w:rFonts w:ascii="Times New Roman" w:hAnsi="Times New Roman"/>
          <w:vertAlign w:val="superscript"/>
        </w:rPr>
        <w:t>,</w:t>
      </w:r>
      <w:r w:rsidRPr="00F65686">
        <w:rPr>
          <w:rStyle w:val="Rimandonotaapidipagina"/>
          <w:rFonts w:ascii="Times New Roman" w:hAnsi="Times New Roman"/>
        </w:rPr>
        <w:footnoteReference w:id="3"/>
      </w:r>
    </w:p>
    <w:p w14:paraId="11E51A3E" w14:textId="10FE1A48" w:rsidR="00B80FB8" w:rsidRPr="00F65686" w:rsidRDefault="00B80FB8" w:rsidP="00F65686">
      <w:pPr>
        <w:jc w:val="both"/>
        <w:rPr>
          <w:rStyle w:val="orcid-id-https"/>
          <w:rFonts w:ascii="Times New Roman" w:hAnsi="Times New Roman"/>
          <w:shd w:val="clear" w:color="auto" w:fill="FFFFFF"/>
        </w:rPr>
      </w:pPr>
      <w:r w:rsidRPr="00F65686">
        <w:rPr>
          <w:rStyle w:val="orcid-id-https"/>
          <w:rFonts w:ascii="Times New Roman" w:hAnsi="Times New Roman"/>
          <w:shd w:val="clear" w:color="auto" w:fill="FFFFFF"/>
        </w:rPr>
        <w:t>Michele Coletti</w:t>
      </w:r>
      <w:r w:rsidRPr="00F65686">
        <w:rPr>
          <w:rStyle w:val="Rimandonotaapidipagina"/>
          <w:rFonts w:ascii="Times New Roman" w:hAnsi="Times New Roman"/>
          <w:shd w:val="clear" w:color="auto" w:fill="FFFFFF"/>
        </w:rPr>
        <w:footnoteReference w:id="4"/>
      </w:r>
    </w:p>
    <w:p w14:paraId="1D2C6E6E" w14:textId="7F42E85C" w:rsidR="00B80FB8" w:rsidRPr="00F65686" w:rsidRDefault="00B80FB8" w:rsidP="00F65686">
      <w:pPr>
        <w:jc w:val="both"/>
        <w:rPr>
          <w:rFonts w:ascii="Times New Roman" w:hAnsi="Times New Roman"/>
        </w:rPr>
      </w:pPr>
      <w:r w:rsidRPr="00F65686">
        <w:rPr>
          <w:rFonts w:ascii="Times New Roman" w:hAnsi="Times New Roman"/>
        </w:rPr>
        <w:t>Paolo Landoni</w:t>
      </w:r>
      <w:r w:rsidRPr="00F65686">
        <w:rPr>
          <w:rStyle w:val="Rimandonotaapidipagina"/>
          <w:rFonts w:ascii="Times New Roman" w:hAnsi="Times New Roman"/>
          <w:lang w:val="en-US"/>
        </w:rPr>
        <w:footnoteReference w:id="5"/>
      </w:r>
    </w:p>
    <w:p w14:paraId="4C952463" w14:textId="76ED7715" w:rsidR="00B80FB8" w:rsidRPr="00F65686" w:rsidRDefault="00B80FB8" w:rsidP="00F65686">
      <w:pPr>
        <w:spacing w:after="120"/>
        <w:jc w:val="both"/>
        <w:rPr>
          <w:rFonts w:ascii="Times New Roman" w:hAnsi="Times New Roman"/>
          <w:lang w:val="en-US"/>
        </w:rPr>
      </w:pPr>
      <w:r w:rsidRPr="00F65686">
        <w:rPr>
          <w:rStyle w:val="orcid-id-https"/>
          <w:rFonts w:ascii="Times New Roman" w:hAnsi="Times New Roman"/>
          <w:shd w:val="clear" w:color="auto" w:fill="FFFFFF"/>
          <w:lang w:val="en-GB"/>
        </w:rPr>
        <w:t>Alessandro Sala</w:t>
      </w:r>
      <w:r w:rsidRPr="00F65686">
        <w:rPr>
          <w:rStyle w:val="Rimandonotaapidipagina"/>
          <w:rFonts w:ascii="Times New Roman" w:hAnsi="Times New Roman"/>
          <w:shd w:val="clear" w:color="auto" w:fill="FFFFFF"/>
        </w:rPr>
        <w:footnoteReference w:id="6"/>
      </w:r>
    </w:p>
    <w:p w14:paraId="24B2F80A" w14:textId="0B3E453E" w:rsidR="003A15AD" w:rsidRPr="00F65686" w:rsidRDefault="00B80FB8" w:rsidP="00F65686">
      <w:pPr>
        <w:spacing w:after="120"/>
        <w:jc w:val="both"/>
        <w:rPr>
          <w:rFonts w:ascii="Times New Roman" w:hAnsi="Times New Roman"/>
          <w:b/>
          <w:bCs/>
          <w:sz w:val="28"/>
          <w:szCs w:val="28"/>
          <w:lang w:val="en-US"/>
        </w:rPr>
      </w:pPr>
      <w:r w:rsidRPr="00F65686">
        <w:rPr>
          <w:rFonts w:ascii="Times New Roman" w:hAnsi="Times New Roman"/>
          <w:b/>
          <w:bCs/>
          <w:sz w:val="28"/>
          <w:szCs w:val="28"/>
          <w:lang w:val="en-US"/>
        </w:rPr>
        <w:t xml:space="preserve">Why and how innovation vouchers work: </w:t>
      </w:r>
      <w:r w:rsidR="00F145A5" w:rsidRPr="00F65686">
        <w:rPr>
          <w:rFonts w:ascii="Times New Roman" w:hAnsi="Times New Roman"/>
          <w:b/>
          <w:bCs/>
          <w:sz w:val="28"/>
          <w:szCs w:val="28"/>
          <w:lang w:val="en-US"/>
        </w:rPr>
        <w:t>disentangling the role</w:t>
      </w:r>
      <w:r w:rsidR="009763CC" w:rsidRPr="00F65686">
        <w:rPr>
          <w:rFonts w:ascii="Times New Roman" w:hAnsi="Times New Roman"/>
          <w:b/>
          <w:bCs/>
          <w:sz w:val="28"/>
          <w:szCs w:val="28"/>
          <w:lang w:val="en-US"/>
        </w:rPr>
        <w:t>s</w:t>
      </w:r>
      <w:r w:rsidR="00F145A5" w:rsidRPr="00F65686">
        <w:rPr>
          <w:rFonts w:ascii="Times New Roman" w:hAnsi="Times New Roman"/>
          <w:b/>
          <w:bCs/>
          <w:sz w:val="28"/>
          <w:szCs w:val="28"/>
          <w:lang w:val="en-US"/>
        </w:rPr>
        <w:t xml:space="preserve"> of </w:t>
      </w:r>
      <w:r w:rsidRPr="00F65686">
        <w:rPr>
          <w:rFonts w:ascii="Times New Roman" w:hAnsi="Times New Roman"/>
          <w:b/>
          <w:bCs/>
          <w:sz w:val="28"/>
          <w:szCs w:val="28"/>
          <w:lang w:val="en-US"/>
        </w:rPr>
        <w:t xml:space="preserve">serendipity </w:t>
      </w:r>
      <w:r w:rsidR="00F145A5" w:rsidRPr="00F65686">
        <w:rPr>
          <w:rFonts w:ascii="Times New Roman" w:hAnsi="Times New Roman"/>
          <w:b/>
          <w:bCs/>
          <w:sz w:val="28"/>
          <w:szCs w:val="28"/>
          <w:lang w:val="en-US"/>
        </w:rPr>
        <w:t>and</w:t>
      </w:r>
      <w:r w:rsidRPr="00F65686">
        <w:rPr>
          <w:rFonts w:ascii="Times New Roman" w:hAnsi="Times New Roman"/>
          <w:b/>
          <w:bCs/>
          <w:sz w:val="28"/>
          <w:szCs w:val="28"/>
          <w:lang w:val="en-US"/>
        </w:rPr>
        <w:t xml:space="preserve"> funding</w:t>
      </w:r>
      <w:r w:rsidR="00E0251A">
        <w:rPr>
          <w:rStyle w:val="Rimandonotaapidipagina"/>
          <w:rFonts w:ascii="Times New Roman" w:hAnsi="Times New Roman"/>
          <w:b/>
          <w:bCs/>
          <w:sz w:val="28"/>
          <w:szCs w:val="28"/>
          <w:lang w:val="en-US"/>
        </w:rPr>
        <w:footnoteReference w:id="7"/>
      </w:r>
    </w:p>
    <w:p w14:paraId="0B054819" w14:textId="77777777" w:rsidR="00636CE5" w:rsidRPr="00F65686" w:rsidRDefault="00636CE5" w:rsidP="00F65686">
      <w:pPr>
        <w:spacing w:after="120"/>
        <w:jc w:val="both"/>
        <w:rPr>
          <w:rFonts w:ascii="Times New Roman" w:hAnsi="Times New Roman"/>
          <w:lang w:val="en-US"/>
        </w:rPr>
      </w:pPr>
    </w:p>
    <w:p w14:paraId="58E8AB0D" w14:textId="77777777" w:rsidR="00636CE5" w:rsidRPr="00F65686" w:rsidRDefault="00636CE5" w:rsidP="00F65686">
      <w:pPr>
        <w:spacing w:after="120"/>
        <w:jc w:val="center"/>
        <w:rPr>
          <w:rFonts w:ascii="Times New Roman" w:hAnsi="Times New Roman"/>
          <w:b/>
          <w:lang w:val="en-US"/>
        </w:rPr>
      </w:pPr>
      <w:r w:rsidRPr="00F65686">
        <w:rPr>
          <w:rFonts w:ascii="Times New Roman" w:hAnsi="Times New Roman"/>
          <w:b/>
          <w:lang w:val="en-US"/>
        </w:rPr>
        <w:t>Abstract</w:t>
      </w:r>
    </w:p>
    <w:p w14:paraId="7C64B360" w14:textId="05B6FCA6" w:rsidR="00905844" w:rsidRPr="00F65686" w:rsidRDefault="005C00E6" w:rsidP="00F65686">
      <w:pPr>
        <w:spacing w:after="120"/>
        <w:jc w:val="both"/>
        <w:rPr>
          <w:rFonts w:ascii="Times New Roman" w:hAnsi="Times New Roman"/>
          <w:lang w:val="en-US"/>
        </w:rPr>
      </w:pPr>
      <w:r w:rsidRPr="00F65686">
        <w:rPr>
          <w:rFonts w:ascii="Times New Roman" w:hAnsi="Times New Roman"/>
          <w:lang w:val="en-US"/>
        </w:rPr>
        <w:t>Innovation vouchers are</w:t>
      </w:r>
      <w:r w:rsidR="008F7E97" w:rsidRPr="00F65686">
        <w:rPr>
          <w:rFonts w:ascii="Times New Roman" w:hAnsi="Times New Roman"/>
          <w:lang w:val="en-US"/>
        </w:rPr>
        <w:t xml:space="preserve"> policy instrument</w:t>
      </w:r>
      <w:r w:rsidRPr="00F65686">
        <w:rPr>
          <w:rFonts w:ascii="Times New Roman" w:hAnsi="Times New Roman"/>
          <w:lang w:val="en-US"/>
        </w:rPr>
        <w:t>s</w:t>
      </w:r>
      <w:r w:rsidR="008F7E97" w:rsidRPr="00F65686">
        <w:rPr>
          <w:rFonts w:ascii="Times New Roman" w:hAnsi="Times New Roman"/>
          <w:lang w:val="en-US"/>
        </w:rPr>
        <w:t xml:space="preserve"> supporting </w:t>
      </w:r>
      <w:r w:rsidR="00F145A5" w:rsidRPr="00F65686">
        <w:rPr>
          <w:rFonts w:ascii="Times New Roman" w:hAnsi="Times New Roman"/>
          <w:lang w:val="en-US"/>
        </w:rPr>
        <w:t xml:space="preserve">the </w:t>
      </w:r>
      <w:r w:rsidR="008F7E97" w:rsidRPr="00F65686">
        <w:rPr>
          <w:rFonts w:ascii="Times New Roman" w:hAnsi="Times New Roman"/>
          <w:lang w:val="en-US"/>
        </w:rPr>
        <w:t xml:space="preserve">collaboration of </w:t>
      </w:r>
      <w:r w:rsidR="004D2791" w:rsidRPr="00F65686">
        <w:rPr>
          <w:rFonts w:ascii="Times New Roman" w:hAnsi="Times New Roman"/>
          <w:lang w:val="en-US"/>
        </w:rPr>
        <w:t xml:space="preserve">SMEs </w:t>
      </w:r>
      <w:r w:rsidR="008F7E97" w:rsidRPr="00F65686">
        <w:rPr>
          <w:rFonts w:ascii="Times New Roman" w:hAnsi="Times New Roman"/>
          <w:lang w:val="en-US"/>
        </w:rPr>
        <w:t>with specialized knowledge suppliers</w:t>
      </w:r>
      <w:r w:rsidR="00F145A5" w:rsidRPr="00F65686">
        <w:rPr>
          <w:rFonts w:ascii="Times New Roman" w:hAnsi="Times New Roman"/>
          <w:lang w:val="en-US"/>
        </w:rPr>
        <w:t>. These innovation vouchers are</w:t>
      </w:r>
      <w:r w:rsidR="00905844" w:rsidRPr="00F65686">
        <w:rPr>
          <w:rFonts w:ascii="Times New Roman" w:hAnsi="Times New Roman"/>
          <w:lang w:val="en-US"/>
        </w:rPr>
        <w:t xml:space="preserve"> typically </w:t>
      </w:r>
      <w:r w:rsidR="008F7E97" w:rsidRPr="00F65686">
        <w:rPr>
          <w:rFonts w:ascii="Times New Roman" w:hAnsi="Times New Roman"/>
          <w:lang w:val="en-US"/>
        </w:rPr>
        <w:t xml:space="preserve">appreciated by beneficiaries because of their simple application and reporting procedures. However, because of their small size, innovation vouchers </w:t>
      </w:r>
      <w:r w:rsidR="00F145A5" w:rsidRPr="00F65686">
        <w:rPr>
          <w:rFonts w:ascii="Times New Roman" w:hAnsi="Times New Roman"/>
          <w:lang w:val="en-US"/>
        </w:rPr>
        <w:t xml:space="preserve">seem to have </w:t>
      </w:r>
      <w:r w:rsidR="008F7E97" w:rsidRPr="00F65686">
        <w:rPr>
          <w:rFonts w:ascii="Times New Roman" w:hAnsi="Times New Roman"/>
          <w:lang w:val="en-US"/>
        </w:rPr>
        <w:t>relatively limited impact</w:t>
      </w:r>
      <w:r w:rsidRPr="00F65686">
        <w:rPr>
          <w:rFonts w:ascii="Times New Roman" w:hAnsi="Times New Roman"/>
          <w:lang w:val="en-US"/>
        </w:rPr>
        <w:t>s</w:t>
      </w:r>
      <w:r w:rsidR="008F7E97" w:rsidRPr="00F65686">
        <w:rPr>
          <w:rFonts w:ascii="Times New Roman" w:hAnsi="Times New Roman"/>
          <w:lang w:val="en-US"/>
        </w:rPr>
        <w:t>.</w:t>
      </w:r>
    </w:p>
    <w:p w14:paraId="4ED9C0E7" w14:textId="7C838761" w:rsidR="00636CE5" w:rsidRPr="00F65686" w:rsidRDefault="008F7E97" w:rsidP="00F65686">
      <w:pPr>
        <w:spacing w:after="120"/>
        <w:jc w:val="both"/>
        <w:rPr>
          <w:rFonts w:ascii="Times New Roman" w:hAnsi="Times New Roman"/>
          <w:lang w:val="en-US"/>
        </w:rPr>
      </w:pPr>
      <w:r w:rsidRPr="00F65686">
        <w:rPr>
          <w:rFonts w:ascii="Times New Roman" w:hAnsi="Times New Roman"/>
          <w:lang w:val="en-US"/>
        </w:rPr>
        <w:t>This study</w:t>
      </w:r>
      <w:r w:rsidR="00636CE5" w:rsidRPr="00F65686">
        <w:rPr>
          <w:rFonts w:ascii="Times New Roman" w:hAnsi="Times New Roman"/>
          <w:lang w:val="en-US"/>
        </w:rPr>
        <w:t xml:space="preserve"> analyses </w:t>
      </w:r>
      <w:r w:rsidR="00CA4EDB" w:rsidRPr="00F65686">
        <w:rPr>
          <w:rFonts w:ascii="Times New Roman" w:hAnsi="Times New Roman"/>
          <w:lang w:val="en-US"/>
        </w:rPr>
        <w:t xml:space="preserve">the </w:t>
      </w:r>
      <w:r w:rsidRPr="00F65686">
        <w:rPr>
          <w:rFonts w:ascii="Times New Roman" w:hAnsi="Times New Roman"/>
          <w:lang w:val="en-US"/>
        </w:rPr>
        <w:t xml:space="preserve">outcome </w:t>
      </w:r>
      <w:r w:rsidR="00CA4EDB" w:rsidRPr="00F65686">
        <w:rPr>
          <w:rFonts w:ascii="Times New Roman" w:hAnsi="Times New Roman"/>
          <w:lang w:val="en-US"/>
        </w:rPr>
        <w:t xml:space="preserve">of </w:t>
      </w:r>
      <w:r w:rsidRPr="00F65686">
        <w:rPr>
          <w:rFonts w:ascii="Times New Roman" w:hAnsi="Times New Roman"/>
          <w:lang w:val="en-US"/>
        </w:rPr>
        <w:t>an innovation voucher scheme through a survey</w:t>
      </w:r>
      <w:r w:rsidR="005C00E6" w:rsidRPr="00F65686">
        <w:rPr>
          <w:rFonts w:ascii="Times New Roman" w:hAnsi="Times New Roman"/>
          <w:lang w:val="en-US"/>
        </w:rPr>
        <w:t xml:space="preserve"> of</w:t>
      </w:r>
      <w:r w:rsidRPr="00F65686">
        <w:rPr>
          <w:rFonts w:ascii="Times New Roman" w:hAnsi="Times New Roman"/>
          <w:lang w:val="en-US"/>
        </w:rPr>
        <w:t xml:space="preserve"> </w:t>
      </w:r>
      <w:r w:rsidR="00636CE5" w:rsidRPr="00F65686">
        <w:rPr>
          <w:rFonts w:ascii="Times New Roman" w:hAnsi="Times New Roman"/>
          <w:lang w:val="en-US"/>
        </w:rPr>
        <w:t xml:space="preserve">582 </w:t>
      </w:r>
      <w:r w:rsidRPr="00F65686">
        <w:rPr>
          <w:rFonts w:ascii="Times New Roman" w:hAnsi="Times New Roman"/>
          <w:lang w:val="en-US"/>
        </w:rPr>
        <w:t xml:space="preserve">Italian </w:t>
      </w:r>
      <w:r w:rsidR="00636CE5" w:rsidRPr="00F65686">
        <w:rPr>
          <w:rFonts w:ascii="Times New Roman" w:hAnsi="Times New Roman"/>
          <w:lang w:val="en-US"/>
        </w:rPr>
        <w:t>fi</w:t>
      </w:r>
      <w:r w:rsidRPr="00F65686">
        <w:rPr>
          <w:rFonts w:ascii="Times New Roman" w:hAnsi="Times New Roman"/>
          <w:lang w:val="en-US"/>
        </w:rPr>
        <w:t xml:space="preserve">rms receiving </w:t>
      </w:r>
      <w:r w:rsidR="00F145A5" w:rsidRPr="00F65686">
        <w:rPr>
          <w:rFonts w:ascii="Times New Roman" w:hAnsi="Times New Roman"/>
          <w:lang w:val="en-US"/>
        </w:rPr>
        <w:t xml:space="preserve">these vouchers </w:t>
      </w:r>
      <w:r w:rsidR="00636CE5" w:rsidRPr="00F65686">
        <w:rPr>
          <w:rFonts w:ascii="Times New Roman" w:hAnsi="Times New Roman"/>
          <w:lang w:val="en-US"/>
        </w:rPr>
        <w:t>in 2011.</w:t>
      </w:r>
      <w:r w:rsidRPr="00F65686">
        <w:rPr>
          <w:rFonts w:ascii="Times New Roman" w:hAnsi="Times New Roman"/>
          <w:lang w:val="en-US"/>
        </w:rPr>
        <w:t xml:space="preserve"> Findings show that </w:t>
      </w:r>
      <w:r w:rsidR="00F145A5" w:rsidRPr="00F65686">
        <w:rPr>
          <w:rFonts w:ascii="Times New Roman" w:hAnsi="Times New Roman"/>
          <w:lang w:val="en-US"/>
        </w:rPr>
        <w:t xml:space="preserve">the </w:t>
      </w:r>
      <w:r w:rsidR="00CA4EDB" w:rsidRPr="00F65686">
        <w:rPr>
          <w:rFonts w:ascii="Times New Roman" w:hAnsi="Times New Roman"/>
          <w:lang w:val="en-US"/>
        </w:rPr>
        <w:t xml:space="preserve">voucher </w:t>
      </w:r>
      <w:r w:rsidR="00636CE5" w:rsidRPr="00F65686">
        <w:rPr>
          <w:rFonts w:ascii="Times New Roman" w:hAnsi="Times New Roman"/>
          <w:lang w:val="en-US"/>
        </w:rPr>
        <w:t>effects are</w:t>
      </w:r>
      <w:r w:rsidR="005B1AA4" w:rsidRPr="00F65686">
        <w:rPr>
          <w:rFonts w:ascii="Times New Roman" w:hAnsi="Times New Roman"/>
          <w:lang w:val="en-US"/>
        </w:rPr>
        <w:t xml:space="preserve"> mainly</w:t>
      </w:r>
      <w:r w:rsidR="00636CE5" w:rsidRPr="00F65686">
        <w:rPr>
          <w:rFonts w:ascii="Times New Roman" w:hAnsi="Times New Roman"/>
          <w:lang w:val="en-US"/>
        </w:rPr>
        <w:t xml:space="preserve"> indirect</w:t>
      </w:r>
      <w:r w:rsidR="00F145A5" w:rsidRPr="00F65686">
        <w:rPr>
          <w:rFonts w:ascii="Times New Roman" w:hAnsi="Times New Roman"/>
          <w:lang w:val="en-US"/>
        </w:rPr>
        <w:t>: the vouchers</w:t>
      </w:r>
      <w:r w:rsidR="00636CE5" w:rsidRPr="00F65686">
        <w:rPr>
          <w:rFonts w:ascii="Times New Roman" w:hAnsi="Times New Roman"/>
          <w:lang w:val="en-US"/>
        </w:rPr>
        <w:t xml:space="preserve"> </w:t>
      </w:r>
      <w:r w:rsidR="00CA4EDB" w:rsidRPr="00F65686">
        <w:rPr>
          <w:rFonts w:ascii="Times New Roman" w:hAnsi="Times New Roman"/>
          <w:lang w:val="en-US"/>
        </w:rPr>
        <w:t xml:space="preserve">foster new skills </w:t>
      </w:r>
      <w:r w:rsidRPr="00F65686">
        <w:rPr>
          <w:rFonts w:ascii="Times New Roman" w:hAnsi="Times New Roman"/>
          <w:lang w:val="en-US"/>
        </w:rPr>
        <w:t xml:space="preserve">development </w:t>
      </w:r>
      <w:r w:rsidR="00CA4EDB" w:rsidRPr="00F65686">
        <w:rPr>
          <w:rFonts w:ascii="Times New Roman" w:hAnsi="Times New Roman"/>
          <w:lang w:val="en-US"/>
        </w:rPr>
        <w:t>and</w:t>
      </w:r>
      <w:r w:rsidRPr="00F65686">
        <w:rPr>
          <w:rFonts w:ascii="Times New Roman" w:hAnsi="Times New Roman"/>
          <w:lang w:val="en-US"/>
        </w:rPr>
        <w:t xml:space="preserve"> trigger unforeseen results</w:t>
      </w:r>
      <w:r w:rsidR="00636CE5" w:rsidRPr="00F65686">
        <w:rPr>
          <w:rFonts w:ascii="Times New Roman" w:hAnsi="Times New Roman"/>
          <w:lang w:val="en-US"/>
        </w:rPr>
        <w:t xml:space="preserve">. </w:t>
      </w:r>
      <w:r w:rsidR="00905844" w:rsidRPr="00F65686">
        <w:rPr>
          <w:rFonts w:ascii="Times New Roman" w:hAnsi="Times New Roman"/>
          <w:lang w:val="en-US"/>
        </w:rPr>
        <w:t>Given the local nature of the voucher measure, results also control for geographical, technological, and social proximity among beneficiaries and suppliers.</w:t>
      </w:r>
    </w:p>
    <w:p w14:paraId="12CA3882" w14:textId="4908F73C" w:rsidR="00636CE5" w:rsidRPr="00F65686" w:rsidRDefault="00636CE5" w:rsidP="00F65686">
      <w:pPr>
        <w:spacing w:after="120"/>
        <w:jc w:val="both"/>
        <w:rPr>
          <w:rFonts w:ascii="Times New Roman" w:hAnsi="Times New Roman"/>
          <w:lang w:val="en-US"/>
        </w:rPr>
      </w:pPr>
      <w:r w:rsidRPr="00F65686">
        <w:rPr>
          <w:rFonts w:ascii="Times New Roman" w:hAnsi="Times New Roman"/>
          <w:b/>
          <w:lang w:val="en-US"/>
        </w:rPr>
        <w:t>Keywords</w:t>
      </w:r>
      <w:r w:rsidRPr="00F65686">
        <w:rPr>
          <w:rFonts w:ascii="Times New Roman" w:hAnsi="Times New Roman"/>
          <w:lang w:val="en-US"/>
        </w:rPr>
        <w:t>: innovation</w:t>
      </w:r>
      <w:r w:rsidR="00782E0A" w:rsidRPr="00F65686">
        <w:rPr>
          <w:rFonts w:ascii="Times New Roman" w:hAnsi="Times New Roman"/>
          <w:lang w:val="en-US"/>
        </w:rPr>
        <w:t xml:space="preserve"> policy</w:t>
      </w:r>
      <w:r w:rsidRPr="00F65686">
        <w:rPr>
          <w:rFonts w:ascii="Times New Roman" w:hAnsi="Times New Roman"/>
          <w:lang w:val="en-US"/>
        </w:rPr>
        <w:t xml:space="preserve">, innovation vouchers, </w:t>
      </w:r>
      <w:r w:rsidR="00231D9B" w:rsidRPr="00F65686">
        <w:rPr>
          <w:rFonts w:ascii="Times New Roman" w:hAnsi="Times New Roman"/>
          <w:lang w:val="en-US"/>
        </w:rPr>
        <w:t xml:space="preserve">output </w:t>
      </w:r>
      <w:r w:rsidR="00A44AED" w:rsidRPr="00F65686">
        <w:rPr>
          <w:rFonts w:ascii="Times New Roman" w:hAnsi="Times New Roman"/>
          <w:lang w:val="en-US"/>
        </w:rPr>
        <w:t>additionality</w:t>
      </w:r>
      <w:r w:rsidR="00782E0A" w:rsidRPr="00F65686">
        <w:rPr>
          <w:rFonts w:ascii="Times New Roman" w:hAnsi="Times New Roman"/>
          <w:lang w:val="en-US"/>
        </w:rPr>
        <w:t xml:space="preserve">, serendipity, </w:t>
      </w:r>
      <w:r w:rsidR="004D2791" w:rsidRPr="00F65686">
        <w:rPr>
          <w:rFonts w:ascii="Times New Roman" w:hAnsi="Times New Roman"/>
          <w:lang w:val="en-US"/>
        </w:rPr>
        <w:t>non-geographical proximity</w:t>
      </w:r>
    </w:p>
    <w:p w14:paraId="72E69DDA" w14:textId="2CAFFC40" w:rsidR="00636CE5" w:rsidRPr="00F65686" w:rsidRDefault="00636CE5" w:rsidP="00F65686">
      <w:pPr>
        <w:spacing w:after="120"/>
        <w:jc w:val="both"/>
        <w:rPr>
          <w:rFonts w:ascii="Times New Roman" w:hAnsi="Times New Roman"/>
          <w:i/>
          <w:lang w:val="en-US"/>
        </w:rPr>
      </w:pPr>
      <w:r w:rsidRPr="00F65686">
        <w:rPr>
          <w:rFonts w:ascii="Times New Roman" w:hAnsi="Times New Roman"/>
          <w:i/>
          <w:lang w:val="en-US"/>
        </w:rPr>
        <w:t xml:space="preserve">JEL Classification codes: </w:t>
      </w:r>
      <w:r w:rsidR="009901A0" w:rsidRPr="00F65686">
        <w:rPr>
          <w:rFonts w:ascii="Times New Roman" w:hAnsi="Times New Roman"/>
          <w:i/>
          <w:lang w:val="en-US"/>
        </w:rPr>
        <w:t>R11</w:t>
      </w:r>
      <w:r w:rsidR="009901A0" w:rsidRPr="00F65686">
        <w:rPr>
          <w:rFonts w:ascii="Times New Roman" w:hAnsi="Times New Roman"/>
          <w:lang w:val="en-US"/>
        </w:rPr>
        <w:t xml:space="preserve">, </w:t>
      </w:r>
      <w:r w:rsidRPr="00F65686">
        <w:rPr>
          <w:rFonts w:ascii="Times New Roman" w:hAnsi="Times New Roman"/>
          <w:i/>
          <w:lang w:val="en-US"/>
        </w:rPr>
        <w:t>O31</w:t>
      </w:r>
    </w:p>
    <w:p w14:paraId="5D006405" w14:textId="26F13C95" w:rsidR="00231D9B" w:rsidRPr="00F65686" w:rsidRDefault="00231D9B" w:rsidP="00F65686">
      <w:pPr>
        <w:spacing w:after="120"/>
        <w:jc w:val="both"/>
        <w:rPr>
          <w:rFonts w:ascii="Times New Roman" w:hAnsi="Times New Roman"/>
          <w:lang w:val="en-US"/>
        </w:rPr>
      </w:pPr>
    </w:p>
    <w:p w14:paraId="758A2BE6" w14:textId="108F83FD" w:rsidR="00636CE5" w:rsidRPr="00F65686" w:rsidRDefault="005360AC" w:rsidP="00F65686">
      <w:pPr>
        <w:spacing w:after="120"/>
        <w:jc w:val="both"/>
        <w:rPr>
          <w:rFonts w:ascii="Times New Roman" w:hAnsi="Times New Roman"/>
          <w:lang w:val="en-GB"/>
        </w:rPr>
      </w:pPr>
      <w:r w:rsidRPr="00F65686">
        <w:rPr>
          <w:rFonts w:ascii="Times New Roman" w:hAnsi="Times New Roman"/>
          <w:b/>
          <w:lang w:val="en-GB"/>
        </w:rPr>
        <w:t>Word count:</w:t>
      </w:r>
      <w:r w:rsidRPr="00F65686">
        <w:rPr>
          <w:rFonts w:ascii="Times New Roman" w:hAnsi="Times New Roman"/>
          <w:lang w:val="en-GB"/>
        </w:rPr>
        <w:t xml:space="preserve"> </w:t>
      </w:r>
      <w:r w:rsidR="004D2791" w:rsidRPr="00F65686">
        <w:rPr>
          <w:rFonts w:ascii="Times New Roman" w:hAnsi="Times New Roman"/>
          <w:lang w:val="en-GB"/>
        </w:rPr>
        <w:t>10,</w:t>
      </w:r>
      <w:r w:rsidR="00F22C96" w:rsidRPr="00F65686">
        <w:rPr>
          <w:rFonts w:ascii="Times New Roman" w:hAnsi="Times New Roman"/>
          <w:lang w:val="en-GB"/>
        </w:rPr>
        <w:t>261</w:t>
      </w:r>
    </w:p>
    <w:p w14:paraId="50C31F39" w14:textId="1D4B26EA" w:rsidR="00D61E15" w:rsidRPr="00F65686" w:rsidRDefault="00D61E15" w:rsidP="00F65686">
      <w:pPr>
        <w:spacing w:after="120"/>
        <w:jc w:val="both"/>
        <w:rPr>
          <w:rFonts w:ascii="Times New Roman" w:hAnsi="Times New Roman"/>
          <w:lang w:val="en-GB"/>
        </w:rPr>
      </w:pPr>
    </w:p>
    <w:p w14:paraId="414DE243" w14:textId="77777777" w:rsidR="00870021" w:rsidRPr="00F65686" w:rsidRDefault="00870021" w:rsidP="00F65686">
      <w:pPr>
        <w:jc w:val="both"/>
        <w:rPr>
          <w:rFonts w:ascii="Times New Roman" w:hAnsi="Times New Roman"/>
          <w:lang w:val="en-US"/>
        </w:rPr>
        <w:sectPr w:rsidR="00870021" w:rsidRPr="00F65686" w:rsidSect="004D0E94">
          <w:footerReference w:type="default" r:id="rId8"/>
          <w:footerReference w:type="first" r:id="rId9"/>
          <w:pgSz w:w="11906" w:h="16838"/>
          <w:pgMar w:top="1417" w:right="1134" w:bottom="1134" w:left="1134" w:header="708" w:footer="708" w:gutter="0"/>
          <w:cols w:space="708"/>
          <w:docGrid w:linePitch="360"/>
        </w:sectPr>
      </w:pPr>
    </w:p>
    <w:p w14:paraId="6891B388" w14:textId="038C2972" w:rsidR="00F27F57" w:rsidRPr="00F65686" w:rsidRDefault="00F27F57" w:rsidP="00F65686">
      <w:pPr>
        <w:pStyle w:val="Titolo1"/>
        <w:numPr>
          <w:ilvl w:val="0"/>
          <w:numId w:val="7"/>
        </w:numPr>
        <w:spacing w:before="0" w:after="120"/>
        <w:jc w:val="both"/>
        <w:rPr>
          <w:rFonts w:ascii="Times New Roman" w:hAnsi="Times New Roman"/>
        </w:rPr>
      </w:pPr>
      <w:r w:rsidRPr="00F65686">
        <w:rPr>
          <w:rFonts w:ascii="Times New Roman" w:hAnsi="Times New Roman"/>
        </w:rPr>
        <w:lastRenderedPageBreak/>
        <w:t>Introduction</w:t>
      </w:r>
      <w:bookmarkEnd w:id="0"/>
    </w:p>
    <w:p w14:paraId="6FFBC91D" w14:textId="3D120015" w:rsidR="006A5F36" w:rsidRPr="00F65686" w:rsidRDefault="006B58A1" w:rsidP="00F65686">
      <w:pPr>
        <w:jc w:val="both"/>
        <w:rPr>
          <w:rFonts w:ascii="Times New Roman" w:hAnsi="Times New Roman"/>
          <w:lang w:val="en-GB"/>
        </w:rPr>
      </w:pPr>
      <w:r w:rsidRPr="00F65686">
        <w:rPr>
          <w:rFonts w:ascii="Times New Roman" w:hAnsi="Times New Roman"/>
          <w:lang w:val="en-US"/>
        </w:rPr>
        <w:t>Coe and Helpman (1995</w:t>
      </w:r>
      <w:r w:rsidR="00905844" w:rsidRPr="00F65686">
        <w:rPr>
          <w:rFonts w:ascii="Times New Roman" w:hAnsi="Times New Roman"/>
          <w:lang w:val="en-US"/>
        </w:rPr>
        <w:t xml:space="preserve">) spurred a vast literature providing </w:t>
      </w:r>
      <w:r w:rsidR="00804610" w:rsidRPr="00F65686">
        <w:rPr>
          <w:rFonts w:ascii="Times New Roman" w:hAnsi="Times New Roman"/>
          <w:lang w:val="en-US"/>
        </w:rPr>
        <w:t xml:space="preserve">evidence on the fact </w:t>
      </w:r>
      <w:r w:rsidRPr="00F65686">
        <w:rPr>
          <w:rFonts w:ascii="Times New Roman" w:hAnsi="Times New Roman"/>
          <w:lang w:val="en-US"/>
        </w:rPr>
        <w:t xml:space="preserve">that domestic R&amp;D contributes significantly to a country’s productivity growth. </w:t>
      </w:r>
      <w:r w:rsidR="006A5F36" w:rsidRPr="00F65686">
        <w:rPr>
          <w:rFonts w:ascii="Times New Roman" w:hAnsi="Times New Roman"/>
          <w:lang w:val="en-GB"/>
        </w:rPr>
        <w:t xml:space="preserve">R&amp;D stimulates </w:t>
      </w:r>
      <w:r w:rsidR="00F145A5" w:rsidRPr="00F65686">
        <w:rPr>
          <w:rFonts w:ascii="Times New Roman" w:hAnsi="Times New Roman"/>
          <w:lang w:val="en-GB"/>
        </w:rPr>
        <w:t xml:space="preserve">the </w:t>
      </w:r>
      <w:r w:rsidR="006A5F36" w:rsidRPr="00F65686">
        <w:rPr>
          <w:rFonts w:ascii="Times New Roman" w:hAnsi="Times New Roman"/>
          <w:lang w:val="en-GB"/>
        </w:rPr>
        <w:t>growth not only directly through innovation, but also indirectly through technology transfer</w:t>
      </w:r>
      <w:r w:rsidR="00905844" w:rsidRPr="00F65686">
        <w:rPr>
          <w:rFonts w:ascii="Times New Roman" w:hAnsi="Times New Roman"/>
          <w:lang w:val="en-GB"/>
        </w:rPr>
        <w:t>, i.e.</w:t>
      </w:r>
      <w:r w:rsidR="006A5F36" w:rsidRPr="00F65686">
        <w:rPr>
          <w:rFonts w:ascii="Times New Roman" w:hAnsi="Times New Roman"/>
          <w:lang w:val="en-GB"/>
        </w:rPr>
        <w:t xml:space="preserve"> by improving the ability of firms to learn about </w:t>
      </w:r>
      <w:r w:rsidR="00905844" w:rsidRPr="00F65686">
        <w:rPr>
          <w:rFonts w:ascii="Times New Roman" w:hAnsi="Times New Roman"/>
          <w:lang w:val="en-GB"/>
        </w:rPr>
        <w:t>cutting</w:t>
      </w:r>
      <w:r w:rsidR="006A5F36" w:rsidRPr="00F65686">
        <w:rPr>
          <w:rFonts w:ascii="Times New Roman" w:hAnsi="Times New Roman"/>
          <w:lang w:val="en-GB"/>
        </w:rPr>
        <w:t>-edge advances (Griffith et al., 2004; Guellec and Van Pottelsberghe de la Potterie, 2002).</w:t>
      </w:r>
    </w:p>
    <w:p w14:paraId="79BBDCFB" w14:textId="0EAADC18" w:rsidR="00AE7804" w:rsidRPr="00F65686" w:rsidRDefault="002E05F4" w:rsidP="00F65686">
      <w:pPr>
        <w:jc w:val="both"/>
        <w:rPr>
          <w:rFonts w:ascii="Times New Roman" w:hAnsi="Times New Roman"/>
          <w:lang w:val="en-US"/>
        </w:rPr>
      </w:pPr>
      <w:r w:rsidRPr="00F65686">
        <w:rPr>
          <w:rFonts w:ascii="Times New Roman" w:hAnsi="Times New Roman"/>
          <w:lang w:val="en-US"/>
        </w:rPr>
        <w:t>Moreover,</w:t>
      </w:r>
      <w:r w:rsidR="00F43932" w:rsidRPr="00F65686">
        <w:rPr>
          <w:rFonts w:ascii="Times New Roman" w:hAnsi="Times New Roman"/>
          <w:lang w:val="en-US"/>
        </w:rPr>
        <w:t xml:space="preserve"> </w:t>
      </w:r>
      <w:r w:rsidR="00417A9A" w:rsidRPr="00F65686">
        <w:rPr>
          <w:rFonts w:ascii="Times New Roman" w:hAnsi="Times New Roman"/>
          <w:lang w:val="en-US"/>
        </w:rPr>
        <w:t>small firms use informal networks to gain information concerning product development, competitors and other business-related issues (King</w:t>
      </w:r>
      <w:r w:rsidR="00DF6D59" w:rsidRPr="00F65686">
        <w:rPr>
          <w:rFonts w:ascii="Times New Roman" w:hAnsi="Times New Roman"/>
          <w:lang w:val="en-US"/>
        </w:rPr>
        <w:t>s</w:t>
      </w:r>
      <w:r w:rsidR="00417A9A" w:rsidRPr="00F65686">
        <w:rPr>
          <w:rFonts w:ascii="Times New Roman" w:hAnsi="Times New Roman"/>
          <w:lang w:val="en-US"/>
        </w:rPr>
        <w:t xml:space="preserve">ley and Malecki, </w:t>
      </w:r>
      <w:r w:rsidR="00F43932" w:rsidRPr="00F65686">
        <w:rPr>
          <w:rFonts w:ascii="Times New Roman" w:hAnsi="Times New Roman"/>
          <w:lang w:val="en-US"/>
        </w:rPr>
        <w:t>2004</w:t>
      </w:r>
      <w:r w:rsidR="009901A0" w:rsidRPr="00F65686">
        <w:rPr>
          <w:rFonts w:ascii="Times New Roman" w:hAnsi="Times New Roman"/>
          <w:lang w:val="en-US"/>
        </w:rPr>
        <w:t>; Caragliu et al., 2019</w:t>
      </w:r>
      <w:r w:rsidR="00F43932" w:rsidRPr="00F65686">
        <w:rPr>
          <w:rFonts w:ascii="Times New Roman" w:hAnsi="Times New Roman"/>
          <w:lang w:val="en-US"/>
        </w:rPr>
        <w:t>)</w:t>
      </w:r>
      <w:r w:rsidR="00A47F0F" w:rsidRPr="00F65686">
        <w:rPr>
          <w:rFonts w:ascii="Times New Roman" w:hAnsi="Times New Roman"/>
          <w:lang w:val="en-US"/>
        </w:rPr>
        <w:t>. O</w:t>
      </w:r>
      <w:r w:rsidR="006B58A1" w:rsidRPr="00F65686">
        <w:rPr>
          <w:rFonts w:ascii="Times New Roman" w:hAnsi="Times New Roman"/>
          <w:lang w:val="en-US"/>
        </w:rPr>
        <w:t xml:space="preserve">penness </w:t>
      </w:r>
      <w:r w:rsidR="00A938B7" w:rsidRPr="00F65686">
        <w:rPr>
          <w:rFonts w:ascii="Times New Roman" w:hAnsi="Times New Roman"/>
          <w:lang w:val="en-US"/>
        </w:rPr>
        <w:t>to external inputs improves</w:t>
      </w:r>
      <w:r w:rsidR="006B58A1" w:rsidRPr="00F65686">
        <w:rPr>
          <w:rFonts w:ascii="Times New Roman" w:hAnsi="Times New Roman"/>
          <w:lang w:val="en-US"/>
        </w:rPr>
        <w:t xml:space="preserve"> innovative performance </w:t>
      </w:r>
      <w:r w:rsidR="00A47F0F" w:rsidRPr="00F65686">
        <w:rPr>
          <w:rFonts w:ascii="Times New Roman" w:hAnsi="Times New Roman"/>
          <w:lang w:val="en-US"/>
        </w:rPr>
        <w:t>and pro</w:t>
      </w:r>
      <w:r w:rsidR="006B58A1" w:rsidRPr="00F65686">
        <w:rPr>
          <w:rFonts w:ascii="Times New Roman" w:hAnsi="Times New Roman"/>
          <w:lang w:val="en-US"/>
        </w:rPr>
        <w:t>vides the ba</w:t>
      </w:r>
      <w:r w:rsidR="00A47F0F" w:rsidRPr="00F65686">
        <w:rPr>
          <w:rFonts w:ascii="Times New Roman" w:hAnsi="Times New Roman"/>
          <w:lang w:val="en-US"/>
        </w:rPr>
        <w:t xml:space="preserve">sis for learning effects, </w:t>
      </w:r>
      <w:r w:rsidR="006B58A1" w:rsidRPr="00F65686">
        <w:rPr>
          <w:rFonts w:ascii="Times New Roman" w:hAnsi="Times New Roman"/>
          <w:lang w:val="en-US"/>
        </w:rPr>
        <w:t>in</w:t>
      </w:r>
      <w:r w:rsidR="00A47F0F" w:rsidRPr="00F65686">
        <w:rPr>
          <w:rFonts w:ascii="Times New Roman" w:hAnsi="Times New Roman"/>
          <w:lang w:val="en-US"/>
        </w:rPr>
        <w:t>creasing</w:t>
      </w:r>
      <w:r w:rsidR="006B58A1" w:rsidRPr="00F65686">
        <w:rPr>
          <w:rFonts w:ascii="Times New Roman" w:hAnsi="Times New Roman"/>
          <w:lang w:val="en-US"/>
        </w:rPr>
        <w:t xml:space="preserve"> th</w:t>
      </w:r>
      <w:r w:rsidR="00A47F0F" w:rsidRPr="00F65686">
        <w:rPr>
          <w:rFonts w:ascii="Times New Roman" w:hAnsi="Times New Roman"/>
          <w:lang w:val="en-US"/>
        </w:rPr>
        <w:t>e benefits of future openness</w:t>
      </w:r>
      <w:r w:rsidR="006B58A1" w:rsidRPr="00F65686">
        <w:rPr>
          <w:rFonts w:ascii="Times New Roman" w:hAnsi="Times New Roman"/>
          <w:lang w:val="en-US"/>
        </w:rPr>
        <w:t xml:space="preserve"> (Love et al., 2014)</w:t>
      </w:r>
      <w:r w:rsidR="00A47F0F" w:rsidRPr="00F65686">
        <w:rPr>
          <w:rFonts w:ascii="Times New Roman" w:hAnsi="Times New Roman"/>
          <w:lang w:val="en-US"/>
        </w:rPr>
        <w:t>.</w:t>
      </w:r>
      <w:r w:rsidR="00AC66EE" w:rsidRPr="00F65686">
        <w:rPr>
          <w:rFonts w:ascii="Times New Roman" w:hAnsi="Times New Roman"/>
          <w:lang w:val="en-US"/>
        </w:rPr>
        <w:t xml:space="preserve"> </w:t>
      </w:r>
      <w:r w:rsidR="001A6587" w:rsidRPr="00F65686">
        <w:rPr>
          <w:rFonts w:ascii="Times New Roman" w:hAnsi="Times New Roman"/>
          <w:lang w:val="en-US"/>
        </w:rPr>
        <w:t xml:space="preserve">Face-to-face encounters and casual information flows are part of the </w:t>
      </w:r>
      <w:r w:rsidR="00F145A5" w:rsidRPr="00F65686">
        <w:rPr>
          <w:rFonts w:ascii="Times New Roman" w:hAnsi="Times New Roman"/>
          <w:lang w:val="en-US"/>
        </w:rPr>
        <w:t>so-</w:t>
      </w:r>
      <w:r w:rsidR="001A6587" w:rsidRPr="00F65686">
        <w:rPr>
          <w:rFonts w:ascii="Times New Roman" w:hAnsi="Times New Roman"/>
          <w:lang w:val="en-US"/>
        </w:rPr>
        <w:t>called</w:t>
      </w:r>
      <w:r w:rsidR="0014253F" w:rsidRPr="00F65686">
        <w:rPr>
          <w:rFonts w:ascii="Times New Roman" w:hAnsi="Times New Roman"/>
          <w:lang w:val="en-US"/>
        </w:rPr>
        <w:t xml:space="preserve"> </w:t>
      </w:r>
      <w:r w:rsidR="00EE0F3F" w:rsidRPr="00F65686">
        <w:rPr>
          <w:rFonts w:ascii="Times New Roman" w:hAnsi="Times New Roman"/>
          <w:i/>
          <w:lang w:val="en-US"/>
        </w:rPr>
        <w:t>c</w:t>
      </w:r>
      <w:r w:rsidR="001A6587" w:rsidRPr="00F65686">
        <w:rPr>
          <w:rFonts w:ascii="Times New Roman" w:hAnsi="Times New Roman"/>
          <w:i/>
          <w:lang w:val="en-US"/>
        </w:rPr>
        <w:t>afeteria effects</w:t>
      </w:r>
      <w:r w:rsidR="001A6587" w:rsidRPr="00F65686">
        <w:rPr>
          <w:rFonts w:ascii="Times New Roman" w:hAnsi="Times New Roman"/>
          <w:lang w:val="en-US"/>
        </w:rPr>
        <w:t xml:space="preserve"> beneficial to innovation (Camagni, 1991). </w:t>
      </w:r>
      <w:r w:rsidR="0014253F" w:rsidRPr="00F65686">
        <w:rPr>
          <w:rFonts w:ascii="Times New Roman" w:hAnsi="Times New Roman"/>
          <w:lang w:val="en-US"/>
        </w:rPr>
        <w:t xml:space="preserve">These </w:t>
      </w:r>
      <w:r w:rsidR="0014253F" w:rsidRPr="00F65686">
        <w:rPr>
          <w:rFonts w:ascii="Times New Roman" w:hAnsi="Times New Roman"/>
          <w:i/>
          <w:lang w:val="en-US"/>
        </w:rPr>
        <w:t>happy accidents</w:t>
      </w:r>
      <w:r w:rsidR="0014253F" w:rsidRPr="00F65686">
        <w:rPr>
          <w:rFonts w:ascii="Times New Roman" w:hAnsi="Times New Roman"/>
          <w:lang w:val="en-US"/>
        </w:rPr>
        <w:t xml:space="preserve"> can be triggers, catalysts and accelerators of ideas and actions.</w:t>
      </w:r>
    </w:p>
    <w:p w14:paraId="4352A74A" w14:textId="711B9CB4" w:rsidR="006B58A1" w:rsidRPr="00F65686" w:rsidRDefault="006A5F36" w:rsidP="00F65686">
      <w:pPr>
        <w:jc w:val="both"/>
        <w:rPr>
          <w:rFonts w:ascii="Times New Roman" w:hAnsi="Times New Roman"/>
          <w:lang w:val="en-US"/>
        </w:rPr>
      </w:pPr>
      <w:r w:rsidRPr="00F65686">
        <w:rPr>
          <w:rFonts w:ascii="Times New Roman" w:hAnsi="Times New Roman"/>
          <w:lang w:val="en-US"/>
        </w:rPr>
        <w:t xml:space="preserve">Sourcing external knowledge makes firm innovation activities more efficient, as firms can learn from benchmarking, external ideas, knowledge and problem-solving approaches, and identify new opportunities for innovation (Asimakopoulos et al., 2020). Governments can improve competitiveness through policies to foster learning, technology development and firms interaction (von Tunzelmann, 1995). </w:t>
      </w:r>
      <w:r w:rsidR="00120823" w:rsidRPr="00F65686">
        <w:rPr>
          <w:rFonts w:ascii="Times New Roman" w:hAnsi="Times New Roman"/>
          <w:lang w:val="en-GB"/>
        </w:rPr>
        <w:t xml:space="preserve">Policy-makers support inter-firm collaboration because firms with networking experience are more inclined to enter new alliances, fostering a </w:t>
      </w:r>
      <w:r w:rsidR="00417A9A" w:rsidRPr="00F65686">
        <w:rPr>
          <w:rFonts w:ascii="Times New Roman" w:hAnsi="Times New Roman"/>
          <w:lang w:val="en-GB"/>
        </w:rPr>
        <w:t xml:space="preserve">virtuous </w:t>
      </w:r>
      <w:r w:rsidR="00120823" w:rsidRPr="00F65686">
        <w:rPr>
          <w:rFonts w:ascii="Times New Roman" w:hAnsi="Times New Roman"/>
          <w:lang w:val="en-GB"/>
        </w:rPr>
        <w:t>self-reinforcing cycle (Gulati</w:t>
      </w:r>
      <w:r w:rsidR="004D396E" w:rsidRPr="00F65686">
        <w:rPr>
          <w:rFonts w:ascii="Times New Roman" w:hAnsi="Times New Roman"/>
          <w:lang w:val="en-GB"/>
        </w:rPr>
        <w:t>,</w:t>
      </w:r>
      <w:r w:rsidR="00120823" w:rsidRPr="00F65686">
        <w:rPr>
          <w:rFonts w:ascii="Times New Roman" w:hAnsi="Times New Roman"/>
          <w:lang w:val="en-GB"/>
        </w:rPr>
        <w:t xml:space="preserve"> 1999).</w:t>
      </w:r>
    </w:p>
    <w:p w14:paraId="7C1AAA4E" w14:textId="1DBF6356" w:rsidR="006A5F36" w:rsidRPr="00F65686" w:rsidRDefault="006A5F36" w:rsidP="00F65686">
      <w:pPr>
        <w:jc w:val="both"/>
        <w:rPr>
          <w:rFonts w:ascii="Times New Roman" w:hAnsi="Times New Roman"/>
          <w:lang w:val="en-GB"/>
        </w:rPr>
      </w:pPr>
      <w:r w:rsidRPr="00F65686">
        <w:rPr>
          <w:rFonts w:ascii="Times New Roman" w:hAnsi="Times New Roman"/>
          <w:lang w:val="en-GB"/>
        </w:rPr>
        <w:t>However, Small and Medium Enterprises (</w:t>
      </w:r>
      <w:r w:rsidR="001D0A84" w:rsidRPr="00F65686">
        <w:rPr>
          <w:rFonts w:ascii="Times New Roman" w:hAnsi="Times New Roman"/>
          <w:lang w:val="en-GB"/>
        </w:rPr>
        <w:t>SMEs</w:t>
      </w:r>
      <w:r w:rsidRPr="00F65686">
        <w:rPr>
          <w:rFonts w:ascii="Times New Roman" w:hAnsi="Times New Roman"/>
          <w:lang w:val="en-GB"/>
        </w:rPr>
        <w:t>)</w:t>
      </w:r>
      <w:r w:rsidR="001D0A84" w:rsidRPr="00F65686">
        <w:rPr>
          <w:rFonts w:ascii="Times New Roman" w:hAnsi="Times New Roman"/>
          <w:lang w:val="en-GB"/>
        </w:rPr>
        <w:t xml:space="preserve"> tend to rely more on </w:t>
      </w:r>
      <w:r w:rsidR="00F145A5" w:rsidRPr="00F65686">
        <w:rPr>
          <w:rFonts w:ascii="Times New Roman" w:hAnsi="Times New Roman"/>
          <w:lang w:val="en-GB"/>
        </w:rPr>
        <w:t xml:space="preserve">the </w:t>
      </w:r>
      <w:r w:rsidR="001D0A84" w:rsidRPr="00F65686">
        <w:rPr>
          <w:rFonts w:ascii="Times New Roman" w:hAnsi="Times New Roman"/>
          <w:lang w:val="en-GB"/>
        </w:rPr>
        <w:t xml:space="preserve">knowledge </w:t>
      </w:r>
      <w:r w:rsidR="00D95974" w:rsidRPr="00F65686">
        <w:rPr>
          <w:rFonts w:ascii="Times New Roman" w:hAnsi="Times New Roman"/>
          <w:lang w:val="en-GB"/>
        </w:rPr>
        <w:t>contained in</w:t>
      </w:r>
      <w:r w:rsidR="001D0A84" w:rsidRPr="00F65686">
        <w:rPr>
          <w:rFonts w:ascii="Times New Roman" w:hAnsi="Times New Roman"/>
          <w:lang w:val="en-GB"/>
        </w:rPr>
        <w:t xml:space="preserve"> the vertical chain (suppliers, customers’</w:t>
      </w:r>
      <w:r w:rsidR="005446FB" w:rsidRPr="00F65686">
        <w:rPr>
          <w:rFonts w:ascii="Times New Roman" w:hAnsi="Times New Roman"/>
          <w:lang w:val="en-GB"/>
        </w:rPr>
        <w:t xml:space="preserve"> </w:t>
      </w:r>
      <w:r w:rsidR="001D0A84" w:rsidRPr="00F65686">
        <w:rPr>
          <w:rFonts w:ascii="Times New Roman" w:hAnsi="Times New Roman"/>
          <w:lang w:val="en-GB"/>
        </w:rPr>
        <w:t>manufacturing operations) than on research orga</w:t>
      </w:r>
      <w:r w:rsidR="00D95974" w:rsidRPr="00F65686">
        <w:rPr>
          <w:rFonts w:ascii="Times New Roman" w:hAnsi="Times New Roman"/>
          <w:lang w:val="en-GB"/>
        </w:rPr>
        <w:t xml:space="preserve">nisations (Cohen et al., 2002). </w:t>
      </w:r>
      <w:r w:rsidRPr="00F65686">
        <w:rPr>
          <w:rFonts w:ascii="Times New Roman" w:hAnsi="Times New Roman"/>
          <w:lang w:val="en-GB"/>
        </w:rPr>
        <w:t xml:space="preserve">Indeed, </w:t>
      </w:r>
      <w:r w:rsidR="001D0A84" w:rsidRPr="00F65686">
        <w:rPr>
          <w:rFonts w:ascii="Times New Roman" w:hAnsi="Times New Roman"/>
          <w:lang w:val="en-GB"/>
        </w:rPr>
        <w:t>knowledge institutions seldom see benefits in working with smal</w:t>
      </w:r>
      <w:r w:rsidRPr="00F65686">
        <w:rPr>
          <w:rFonts w:ascii="Times New Roman" w:hAnsi="Times New Roman"/>
          <w:lang w:val="en-GB"/>
        </w:rPr>
        <w:t>l firms (Massa and Testa, 2008). Moreover, t</w:t>
      </w:r>
      <w:r w:rsidR="00CF331E" w:rsidRPr="00F65686">
        <w:rPr>
          <w:rFonts w:ascii="Times New Roman" w:hAnsi="Times New Roman"/>
          <w:lang w:val="en-GB"/>
        </w:rPr>
        <w:t xml:space="preserve">raditional national and regional funding schemes are, in many cases, </w:t>
      </w:r>
      <w:r w:rsidRPr="00F65686">
        <w:rPr>
          <w:rFonts w:ascii="Times New Roman" w:hAnsi="Times New Roman"/>
          <w:lang w:val="en-GB"/>
        </w:rPr>
        <w:t xml:space="preserve">administratively </w:t>
      </w:r>
      <w:r w:rsidR="00CF331E" w:rsidRPr="00F65686">
        <w:rPr>
          <w:rFonts w:ascii="Times New Roman" w:hAnsi="Times New Roman"/>
          <w:lang w:val="en-GB"/>
        </w:rPr>
        <w:t xml:space="preserve">too </w:t>
      </w:r>
      <w:r w:rsidRPr="00F65686">
        <w:rPr>
          <w:rFonts w:ascii="Times New Roman" w:hAnsi="Times New Roman"/>
          <w:lang w:val="en-GB"/>
        </w:rPr>
        <w:t>burdensome</w:t>
      </w:r>
      <w:r w:rsidR="00CF331E" w:rsidRPr="00F65686">
        <w:rPr>
          <w:rFonts w:ascii="Times New Roman" w:hAnsi="Times New Roman"/>
          <w:lang w:val="en-GB"/>
        </w:rPr>
        <w:t xml:space="preserve"> for SMEs,</w:t>
      </w:r>
      <w:r w:rsidRPr="00F65686">
        <w:rPr>
          <w:rFonts w:ascii="Times New Roman" w:hAnsi="Times New Roman"/>
          <w:lang w:val="en-GB"/>
        </w:rPr>
        <w:t xml:space="preserve"> and the long time necessary</w:t>
      </w:r>
      <w:r w:rsidR="00CF331E" w:rsidRPr="00F65686">
        <w:rPr>
          <w:rFonts w:ascii="Times New Roman" w:hAnsi="Times New Roman"/>
          <w:lang w:val="en-GB"/>
        </w:rPr>
        <w:t xml:space="preserve"> </w:t>
      </w:r>
      <w:r w:rsidRPr="00F65686">
        <w:rPr>
          <w:rFonts w:ascii="Times New Roman" w:hAnsi="Times New Roman"/>
          <w:lang w:val="en-GB"/>
        </w:rPr>
        <w:t>to</w:t>
      </w:r>
      <w:r w:rsidR="00CF331E" w:rsidRPr="00F65686">
        <w:rPr>
          <w:rFonts w:ascii="Times New Roman" w:hAnsi="Times New Roman"/>
          <w:lang w:val="en-GB"/>
        </w:rPr>
        <w:t xml:space="preserve"> obtaining funds does not fit with the needs of firms often pressed by fierce co</w:t>
      </w:r>
      <w:r w:rsidR="00C34C97" w:rsidRPr="00F65686">
        <w:rPr>
          <w:rFonts w:ascii="Times New Roman" w:hAnsi="Times New Roman"/>
          <w:lang w:val="en-GB"/>
        </w:rPr>
        <w:t>mpetition (Sala et al.</w:t>
      </w:r>
      <w:r w:rsidR="00CF331E" w:rsidRPr="00F65686">
        <w:rPr>
          <w:rFonts w:ascii="Times New Roman" w:hAnsi="Times New Roman"/>
          <w:lang w:val="en-GB"/>
        </w:rPr>
        <w:t>, 20</w:t>
      </w:r>
      <w:r w:rsidR="00C34C97" w:rsidRPr="00F65686">
        <w:rPr>
          <w:rFonts w:ascii="Times New Roman" w:hAnsi="Times New Roman"/>
          <w:lang w:val="en-GB"/>
        </w:rPr>
        <w:t>16</w:t>
      </w:r>
      <w:r w:rsidR="00CF331E" w:rsidRPr="00F65686">
        <w:rPr>
          <w:rFonts w:ascii="Times New Roman" w:hAnsi="Times New Roman"/>
          <w:lang w:val="en-GB"/>
        </w:rPr>
        <w:t>).</w:t>
      </w:r>
    </w:p>
    <w:p w14:paraId="44E96ED9" w14:textId="7D4EB61A" w:rsidR="00905844" w:rsidRPr="00F65686" w:rsidRDefault="00F145A5" w:rsidP="00F65686">
      <w:pPr>
        <w:jc w:val="both"/>
        <w:rPr>
          <w:rFonts w:ascii="Times New Roman" w:hAnsi="Times New Roman"/>
          <w:lang w:val="en-GB"/>
        </w:rPr>
      </w:pPr>
      <w:r w:rsidRPr="00F65686">
        <w:rPr>
          <w:rFonts w:ascii="Times New Roman" w:hAnsi="Times New Roman"/>
          <w:lang w:val="en-GB"/>
        </w:rPr>
        <w:t xml:space="preserve">The </w:t>
      </w:r>
      <w:r w:rsidR="00905844" w:rsidRPr="00F65686">
        <w:rPr>
          <w:rFonts w:ascii="Times New Roman" w:hAnsi="Times New Roman"/>
          <w:lang w:val="en-GB"/>
        </w:rPr>
        <w:t xml:space="preserve">last piece of this </w:t>
      </w:r>
      <w:r w:rsidR="00937ABF" w:rsidRPr="00F65686">
        <w:rPr>
          <w:rFonts w:ascii="Times New Roman" w:hAnsi="Times New Roman"/>
          <w:lang w:val="en-GB"/>
        </w:rPr>
        <w:t xml:space="preserve">canvas </w:t>
      </w:r>
      <w:r w:rsidR="00905844" w:rsidRPr="00F65686">
        <w:rPr>
          <w:rFonts w:ascii="Times New Roman" w:hAnsi="Times New Roman"/>
          <w:lang w:val="en-GB"/>
        </w:rPr>
        <w:t>is related to the geographical, social, and technological context where firm collaboration takes place. In fact, a niche but relevant Regional Science literature discusses the perks of geographical</w:t>
      </w:r>
      <w:r w:rsidR="0015210A" w:rsidRPr="00F65686">
        <w:rPr>
          <w:rFonts w:ascii="Times New Roman" w:hAnsi="Times New Roman"/>
          <w:lang w:val="en-GB"/>
        </w:rPr>
        <w:t>ly</w:t>
      </w:r>
      <w:r w:rsidR="00905844" w:rsidRPr="00F65686">
        <w:rPr>
          <w:rFonts w:ascii="Times New Roman" w:hAnsi="Times New Roman"/>
          <w:lang w:val="en-GB"/>
        </w:rPr>
        <w:t xml:space="preserve"> close locations (Capello, 2009)</w:t>
      </w:r>
      <w:r w:rsidR="0015210A" w:rsidRPr="00F65686">
        <w:rPr>
          <w:rFonts w:ascii="Times New Roman" w:hAnsi="Times New Roman"/>
          <w:lang w:val="en-GB"/>
        </w:rPr>
        <w:t xml:space="preserve"> and</w:t>
      </w:r>
      <w:r w:rsidR="00905844" w:rsidRPr="00F65686">
        <w:rPr>
          <w:rFonts w:ascii="Times New Roman" w:hAnsi="Times New Roman"/>
          <w:lang w:val="en-GB"/>
        </w:rPr>
        <w:t xml:space="preserve"> technologically and socially coherent productive environments (Caragliu, 2015 and 2021).</w:t>
      </w:r>
      <w:r w:rsidR="00937ABF" w:rsidRPr="00F65686">
        <w:rPr>
          <w:rFonts w:ascii="Times New Roman" w:hAnsi="Times New Roman"/>
          <w:lang w:val="en-GB"/>
        </w:rPr>
        <w:t xml:space="preserve"> </w:t>
      </w:r>
      <w:r w:rsidRPr="00F65686">
        <w:rPr>
          <w:rFonts w:ascii="Times New Roman" w:hAnsi="Times New Roman"/>
          <w:lang w:val="en-GB"/>
        </w:rPr>
        <w:t xml:space="preserve">The closeness </w:t>
      </w:r>
      <w:r w:rsidR="00937ABF" w:rsidRPr="00F65686">
        <w:rPr>
          <w:rFonts w:ascii="Times New Roman" w:hAnsi="Times New Roman"/>
          <w:lang w:val="en-GB"/>
        </w:rPr>
        <w:t xml:space="preserve">of actors and regions along these axes is often labelled </w:t>
      </w:r>
      <w:r w:rsidR="00937ABF" w:rsidRPr="00F65686">
        <w:rPr>
          <w:rFonts w:ascii="Times New Roman" w:hAnsi="Times New Roman"/>
          <w:i/>
          <w:lang w:val="en-GB"/>
        </w:rPr>
        <w:t>proximity</w:t>
      </w:r>
      <w:r w:rsidR="00937ABF" w:rsidRPr="00F65686">
        <w:rPr>
          <w:rFonts w:ascii="Times New Roman" w:hAnsi="Times New Roman"/>
          <w:lang w:val="en-GB"/>
        </w:rPr>
        <w:t>; this is typically found to be conducive to easier cooperation and more effective knowledge diffusion among actors and regions (Capello and Caragliu, 2018).</w:t>
      </w:r>
    </w:p>
    <w:p w14:paraId="47EBB3FC" w14:textId="3BB10635" w:rsidR="0077184C" w:rsidRPr="00F65686" w:rsidRDefault="006A5F36" w:rsidP="00F65686">
      <w:pPr>
        <w:jc w:val="both"/>
        <w:rPr>
          <w:rFonts w:ascii="Times New Roman" w:hAnsi="Times New Roman"/>
          <w:lang w:val="en-GB"/>
        </w:rPr>
      </w:pPr>
      <w:r w:rsidRPr="00F65686">
        <w:rPr>
          <w:rFonts w:ascii="Times New Roman" w:hAnsi="Times New Roman"/>
          <w:lang w:val="en-GB"/>
        </w:rPr>
        <w:t xml:space="preserve">To </w:t>
      </w:r>
      <w:r w:rsidR="00937ABF" w:rsidRPr="00F65686">
        <w:rPr>
          <w:rFonts w:ascii="Times New Roman" w:hAnsi="Times New Roman"/>
          <w:lang w:val="en-GB"/>
        </w:rPr>
        <w:t xml:space="preserve">bring together </w:t>
      </w:r>
      <w:r w:rsidRPr="00F65686">
        <w:rPr>
          <w:rFonts w:ascii="Times New Roman" w:hAnsi="Times New Roman"/>
          <w:lang w:val="en-GB"/>
        </w:rPr>
        <w:t>the</w:t>
      </w:r>
      <w:r w:rsidR="00937ABF" w:rsidRPr="00F65686">
        <w:rPr>
          <w:rFonts w:ascii="Times New Roman" w:hAnsi="Times New Roman"/>
          <w:lang w:val="en-GB"/>
        </w:rPr>
        <w:t xml:space="preserve"> pieces of the puzzle</w:t>
      </w:r>
      <w:r w:rsidRPr="00F65686">
        <w:rPr>
          <w:rFonts w:ascii="Times New Roman" w:hAnsi="Times New Roman"/>
          <w:lang w:val="en-GB"/>
        </w:rPr>
        <w:t xml:space="preserve">, </w:t>
      </w:r>
      <w:r w:rsidR="00937ABF" w:rsidRPr="00F65686">
        <w:rPr>
          <w:rFonts w:ascii="Times New Roman" w:hAnsi="Times New Roman"/>
          <w:lang w:val="en-GB"/>
        </w:rPr>
        <w:t>this paper focuses on innovation vouchers. I</w:t>
      </w:r>
      <w:r w:rsidR="00045F58" w:rsidRPr="00F65686">
        <w:rPr>
          <w:rFonts w:ascii="Times New Roman" w:hAnsi="Times New Roman"/>
          <w:lang w:val="en-GB"/>
        </w:rPr>
        <w:t xml:space="preserve">nnovation vouchers </w:t>
      </w:r>
      <w:r w:rsidR="0077184C" w:rsidRPr="00F65686">
        <w:rPr>
          <w:rFonts w:ascii="Times New Roman" w:hAnsi="Times New Roman"/>
          <w:lang w:val="en-GB"/>
        </w:rPr>
        <w:t xml:space="preserve">are policy instruments </w:t>
      </w:r>
      <w:r w:rsidRPr="00F65686">
        <w:rPr>
          <w:rFonts w:ascii="Times New Roman" w:hAnsi="Times New Roman"/>
          <w:lang w:val="en-GB"/>
        </w:rPr>
        <w:t xml:space="preserve">meant to </w:t>
      </w:r>
      <w:r w:rsidR="0077184C" w:rsidRPr="00F65686">
        <w:rPr>
          <w:rFonts w:ascii="Times New Roman" w:hAnsi="Times New Roman"/>
          <w:lang w:val="en-GB"/>
        </w:rPr>
        <w:t xml:space="preserve">support </w:t>
      </w:r>
      <w:r w:rsidR="00F145A5" w:rsidRPr="00F65686">
        <w:rPr>
          <w:rFonts w:ascii="Times New Roman" w:hAnsi="Times New Roman"/>
          <w:lang w:val="en-GB"/>
        </w:rPr>
        <w:t xml:space="preserve">the </w:t>
      </w:r>
      <w:r w:rsidR="0077184C" w:rsidRPr="00F65686">
        <w:rPr>
          <w:rFonts w:ascii="Times New Roman" w:hAnsi="Times New Roman"/>
          <w:lang w:val="en-GB"/>
        </w:rPr>
        <w:t xml:space="preserve">networking </w:t>
      </w:r>
      <w:r w:rsidR="00937ABF" w:rsidRPr="00F65686">
        <w:rPr>
          <w:rFonts w:ascii="Times New Roman" w:hAnsi="Times New Roman"/>
          <w:lang w:val="en-GB"/>
        </w:rPr>
        <w:t xml:space="preserve">activities </w:t>
      </w:r>
      <w:r w:rsidR="0077184C" w:rsidRPr="00F65686">
        <w:rPr>
          <w:rFonts w:ascii="Times New Roman" w:hAnsi="Times New Roman"/>
          <w:lang w:val="en-GB"/>
        </w:rPr>
        <w:t>of</w:t>
      </w:r>
      <w:r w:rsidR="00045F58" w:rsidRPr="00F65686">
        <w:rPr>
          <w:rFonts w:ascii="Times New Roman" w:hAnsi="Times New Roman"/>
          <w:lang w:val="en-GB"/>
        </w:rPr>
        <w:t xml:space="preserve"> s</w:t>
      </w:r>
      <w:r w:rsidR="0077184C" w:rsidRPr="00F65686">
        <w:rPr>
          <w:rFonts w:ascii="Times New Roman" w:hAnsi="Times New Roman"/>
          <w:lang w:val="en-GB"/>
        </w:rPr>
        <w:t>mall and medium enterprises (SMEs). Issued by a regional or national government agency, t</w:t>
      </w:r>
      <w:r w:rsidR="00B71FE8" w:rsidRPr="00F65686">
        <w:rPr>
          <w:rFonts w:ascii="Times New Roman" w:hAnsi="Times New Roman"/>
          <w:lang w:val="en-GB"/>
        </w:rPr>
        <w:t>hey consist of</w:t>
      </w:r>
      <w:r w:rsidR="00120823" w:rsidRPr="00F65686">
        <w:rPr>
          <w:rFonts w:ascii="Times New Roman" w:hAnsi="Times New Roman"/>
          <w:lang w:val="en-GB"/>
        </w:rPr>
        <w:t xml:space="preserve"> mini-grants </w:t>
      </w:r>
      <w:r w:rsidR="0077184C" w:rsidRPr="00F65686">
        <w:rPr>
          <w:rFonts w:ascii="Times New Roman" w:hAnsi="Times New Roman"/>
          <w:lang w:val="en-GB"/>
        </w:rPr>
        <w:t>fund</w:t>
      </w:r>
      <w:r w:rsidR="00B71FE8" w:rsidRPr="00F65686">
        <w:rPr>
          <w:rFonts w:ascii="Times New Roman" w:hAnsi="Times New Roman"/>
          <w:lang w:val="en-GB"/>
        </w:rPr>
        <w:t>ing</w:t>
      </w:r>
      <w:r w:rsidR="0077184C" w:rsidRPr="00F65686">
        <w:rPr>
          <w:rFonts w:ascii="Times New Roman" w:hAnsi="Times New Roman"/>
          <w:lang w:val="en-GB"/>
        </w:rPr>
        <w:t xml:space="preserve"> the acquisition of </w:t>
      </w:r>
      <w:r w:rsidR="00120823" w:rsidRPr="00F65686">
        <w:rPr>
          <w:rFonts w:ascii="Times New Roman" w:hAnsi="Times New Roman"/>
          <w:lang w:val="en-GB"/>
        </w:rPr>
        <w:t>external knowledge (</w:t>
      </w:r>
      <w:r w:rsidR="007560E3" w:rsidRPr="00F65686">
        <w:rPr>
          <w:rFonts w:ascii="Times New Roman" w:hAnsi="Times New Roman"/>
          <w:lang w:val="en-GB"/>
        </w:rPr>
        <w:t xml:space="preserve">Sala et al, </w:t>
      </w:r>
      <w:r w:rsidR="00120823" w:rsidRPr="00F65686">
        <w:rPr>
          <w:rFonts w:ascii="Times New Roman" w:hAnsi="Times New Roman"/>
          <w:lang w:val="en-GB"/>
        </w:rPr>
        <w:t xml:space="preserve">2016). </w:t>
      </w:r>
      <w:r w:rsidR="0077184C" w:rsidRPr="00F65686">
        <w:rPr>
          <w:rFonts w:ascii="Times New Roman" w:hAnsi="Times New Roman"/>
          <w:lang w:val="en-GB"/>
        </w:rPr>
        <w:t xml:space="preserve">Known also as Technological or Technology vouchers, they </w:t>
      </w:r>
      <w:r w:rsidR="00B71FE8" w:rsidRPr="00F65686">
        <w:rPr>
          <w:rFonts w:ascii="Times New Roman" w:hAnsi="Times New Roman"/>
          <w:lang w:val="en-GB"/>
        </w:rPr>
        <w:t>finance</w:t>
      </w:r>
      <w:r w:rsidR="00120823" w:rsidRPr="00F65686">
        <w:rPr>
          <w:rFonts w:ascii="Times New Roman" w:hAnsi="Times New Roman"/>
          <w:lang w:val="en-GB"/>
        </w:rPr>
        <w:t xml:space="preserve"> services related t</w:t>
      </w:r>
      <w:r w:rsidR="0077184C" w:rsidRPr="00F65686">
        <w:rPr>
          <w:rFonts w:ascii="Times New Roman" w:hAnsi="Times New Roman"/>
          <w:lang w:val="en-GB"/>
        </w:rPr>
        <w:t>o new product/services develop</w:t>
      </w:r>
      <w:r w:rsidR="00120823" w:rsidRPr="00F65686">
        <w:rPr>
          <w:rFonts w:ascii="Times New Roman" w:hAnsi="Times New Roman"/>
          <w:lang w:val="en-GB"/>
        </w:rPr>
        <w:t>ment, process improvements</w:t>
      </w:r>
      <w:r w:rsidR="0077184C" w:rsidRPr="00F65686">
        <w:rPr>
          <w:rFonts w:ascii="Times New Roman" w:hAnsi="Times New Roman"/>
          <w:lang w:val="en-GB"/>
        </w:rPr>
        <w:t>, patenting, audits</w:t>
      </w:r>
      <w:r w:rsidR="00F145A5" w:rsidRPr="00F65686">
        <w:rPr>
          <w:rFonts w:ascii="Times New Roman" w:hAnsi="Times New Roman"/>
          <w:lang w:val="en-GB"/>
        </w:rPr>
        <w:t>,</w:t>
      </w:r>
      <w:r w:rsidR="00120823" w:rsidRPr="00F65686">
        <w:rPr>
          <w:rFonts w:ascii="Times New Roman" w:hAnsi="Times New Roman"/>
          <w:lang w:val="en-GB"/>
        </w:rPr>
        <w:t xml:space="preserve"> or other </w:t>
      </w:r>
      <w:r w:rsidR="00F145A5" w:rsidRPr="00F65686">
        <w:rPr>
          <w:rFonts w:ascii="Times New Roman" w:hAnsi="Times New Roman"/>
          <w:lang w:val="en-GB"/>
        </w:rPr>
        <w:t>knowledge-</w:t>
      </w:r>
      <w:r w:rsidR="0077184C" w:rsidRPr="00F65686">
        <w:rPr>
          <w:rFonts w:ascii="Times New Roman" w:hAnsi="Times New Roman"/>
          <w:lang w:val="en-GB"/>
        </w:rPr>
        <w:t>intensive services (Iazzolino, 2013</w:t>
      </w:r>
      <w:r w:rsidR="00C623A1" w:rsidRPr="00F65686">
        <w:rPr>
          <w:rFonts w:ascii="Times New Roman" w:hAnsi="Times New Roman"/>
          <w:lang w:val="en-GB"/>
        </w:rPr>
        <w:t>).</w:t>
      </w:r>
    </w:p>
    <w:p w14:paraId="6C9F3B57" w14:textId="5B58DA5E" w:rsidR="00B46DA8" w:rsidRPr="00F65686" w:rsidRDefault="00CF331E" w:rsidP="00F65686">
      <w:pPr>
        <w:jc w:val="both"/>
        <w:rPr>
          <w:rFonts w:ascii="Times New Roman" w:hAnsi="Times New Roman"/>
          <w:lang w:val="en-GB"/>
        </w:rPr>
      </w:pPr>
      <w:r w:rsidRPr="00F65686">
        <w:rPr>
          <w:rFonts w:ascii="Times New Roman" w:hAnsi="Times New Roman"/>
          <w:lang w:val="en-GB"/>
        </w:rPr>
        <w:t xml:space="preserve">Initially introduced to make expertise from universities and public research centres available to beneficiaries, </w:t>
      </w:r>
      <w:r w:rsidR="00B71FE8" w:rsidRPr="00F65686">
        <w:rPr>
          <w:rFonts w:ascii="Times New Roman" w:hAnsi="Times New Roman"/>
          <w:lang w:val="en-GB"/>
        </w:rPr>
        <w:t xml:space="preserve">innovation </w:t>
      </w:r>
      <w:r w:rsidRPr="00F65686">
        <w:rPr>
          <w:rFonts w:ascii="Times New Roman" w:hAnsi="Times New Roman"/>
          <w:lang w:val="en-GB"/>
        </w:rPr>
        <w:t>vouchers have been extend</w:t>
      </w:r>
      <w:r w:rsidR="00804610" w:rsidRPr="00F65686">
        <w:rPr>
          <w:rFonts w:ascii="Times New Roman" w:hAnsi="Times New Roman"/>
          <w:lang w:val="en-GB"/>
        </w:rPr>
        <w:t>ed</w:t>
      </w:r>
      <w:r w:rsidRPr="00F65686">
        <w:rPr>
          <w:rFonts w:ascii="Times New Roman" w:hAnsi="Times New Roman"/>
          <w:lang w:val="en-GB"/>
        </w:rPr>
        <w:t xml:space="preserve"> to cover a wide range of services provided by a variety of knowledge suppliers (Coletti and Landoni, 2018). </w:t>
      </w:r>
      <w:r w:rsidR="00B71FE8" w:rsidRPr="00F65686">
        <w:rPr>
          <w:rFonts w:ascii="Times New Roman" w:hAnsi="Times New Roman"/>
          <w:lang w:val="en-GB"/>
        </w:rPr>
        <w:t>They</w:t>
      </w:r>
      <w:r w:rsidR="00B46DA8" w:rsidRPr="00F65686">
        <w:rPr>
          <w:rFonts w:ascii="Times New Roman" w:hAnsi="Times New Roman"/>
          <w:lang w:val="en-GB"/>
        </w:rPr>
        <w:t xml:space="preserve"> have been categorised as </w:t>
      </w:r>
      <w:r w:rsidR="00B71FE8" w:rsidRPr="00F65686">
        <w:rPr>
          <w:rFonts w:ascii="Times New Roman" w:hAnsi="Times New Roman"/>
          <w:lang w:val="en-GB"/>
        </w:rPr>
        <w:t xml:space="preserve">part of </w:t>
      </w:r>
      <w:r w:rsidR="00B46DA8" w:rsidRPr="00F65686">
        <w:rPr>
          <w:rFonts w:ascii="Times New Roman" w:hAnsi="Times New Roman"/>
          <w:lang w:val="en-GB"/>
        </w:rPr>
        <w:t xml:space="preserve">clustering and networking policies (Brown </w:t>
      </w:r>
      <w:r w:rsidR="00FC32FE" w:rsidRPr="00F65686">
        <w:rPr>
          <w:rFonts w:ascii="Times New Roman" w:hAnsi="Times New Roman"/>
          <w:lang w:val="en-GB"/>
        </w:rPr>
        <w:t>and</w:t>
      </w:r>
      <w:r w:rsidR="00B46DA8" w:rsidRPr="00F65686">
        <w:rPr>
          <w:rFonts w:ascii="Times New Roman" w:hAnsi="Times New Roman"/>
          <w:lang w:val="en-GB"/>
        </w:rPr>
        <w:t xml:space="preserve"> Mason, 2014)</w:t>
      </w:r>
      <w:r w:rsidR="00B71FE8" w:rsidRPr="00F65686">
        <w:rPr>
          <w:rFonts w:ascii="Times New Roman" w:hAnsi="Times New Roman"/>
          <w:lang w:val="en-GB"/>
        </w:rPr>
        <w:t>, though</w:t>
      </w:r>
      <w:r w:rsidR="00B46DA8" w:rsidRPr="00F65686">
        <w:rPr>
          <w:rFonts w:ascii="Times New Roman" w:hAnsi="Times New Roman"/>
          <w:lang w:val="en-GB"/>
        </w:rPr>
        <w:t xml:space="preserve"> Shapira and Youtie (2016) include them </w:t>
      </w:r>
      <w:r w:rsidR="00A3473C" w:rsidRPr="00F65686">
        <w:rPr>
          <w:rFonts w:ascii="Times New Roman" w:hAnsi="Times New Roman"/>
          <w:lang w:val="en-GB"/>
        </w:rPr>
        <w:t xml:space="preserve">among </w:t>
      </w:r>
      <w:r w:rsidR="00B46DA8" w:rsidRPr="00F65686">
        <w:rPr>
          <w:rFonts w:ascii="Times New Roman" w:hAnsi="Times New Roman"/>
          <w:lang w:val="en-GB"/>
        </w:rPr>
        <w:t>technology and innovation advisory services.</w:t>
      </w:r>
    </w:p>
    <w:p w14:paraId="3A1A3EEA" w14:textId="572FE4D5" w:rsidR="00A3473C" w:rsidRPr="00F65686" w:rsidRDefault="00E876B7" w:rsidP="00F65686">
      <w:pPr>
        <w:jc w:val="both"/>
        <w:rPr>
          <w:rFonts w:ascii="Times New Roman" w:hAnsi="Times New Roman"/>
          <w:lang w:val="en-GB"/>
        </w:rPr>
      </w:pPr>
      <w:r w:rsidRPr="00F65686">
        <w:rPr>
          <w:rFonts w:ascii="Times New Roman" w:hAnsi="Times New Roman"/>
          <w:lang w:val="en-GB"/>
        </w:rPr>
        <w:t xml:space="preserve">Despite the potential impact of innovation vouchers on SMEs innovativeness, this topic has received limited coverage in the scientific literature, </w:t>
      </w:r>
      <w:r w:rsidR="00777163" w:rsidRPr="00F65686">
        <w:rPr>
          <w:rFonts w:ascii="Times New Roman" w:hAnsi="Times New Roman"/>
          <w:lang w:val="en-GB"/>
        </w:rPr>
        <w:t xml:space="preserve">and often with </w:t>
      </w:r>
      <w:r w:rsidR="00A3473C" w:rsidRPr="00F65686">
        <w:rPr>
          <w:rFonts w:ascii="Times New Roman" w:hAnsi="Times New Roman"/>
          <w:lang w:val="en-GB"/>
        </w:rPr>
        <w:t>contrasting evidence</w:t>
      </w:r>
      <w:r w:rsidRPr="00F65686">
        <w:rPr>
          <w:rFonts w:ascii="Times New Roman" w:hAnsi="Times New Roman"/>
          <w:lang w:val="en-GB"/>
        </w:rPr>
        <w:t xml:space="preserve">. </w:t>
      </w:r>
      <w:r w:rsidR="00B46DA8" w:rsidRPr="00F65686">
        <w:rPr>
          <w:rFonts w:ascii="Times New Roman" w:hAnsi="Times New Roman"/>
          <w:lang w:val="en-GB"/>
        </w:rPr>
        <w:t>This paper pr</w:t>
      </w:r>
      <w:r w:rsidR="0089271F" w:rsidRPr="00F65686">
        <w:rPr>
          <w:rFonts w:ascii="Times New Roman" w:hAnsi="Times New Roman"/>
          <w:lang w:val="en-GB"/>
        </w:rPr>
        <w:t xml:space="preserve">ovides insights </w:t>
      </w:r>
      <w:r w:rsidR="00A3473C" w:rsidRPr="00F65686">
        <w:rPr>
          <w:rFonts w:ascii="Times New Roman" w:hAnsi="Times New Roman"/>
          <w:lang w:val="en-GB"/>
        </w:rPr>
        <w:t xml:space="preserve">on the </w:t>
      </w:r>
      <w:r w:rsidR="00B46DA8" w:rsidRPr="00F65686">
        <w:rPr>
          <w:rFonts w:ascii="Times New Roman" w:hAnsi="Times New Roman"/>
          <w:lang w:val="en-GB"/>
        </w:rPr>
        <w:t>innovation voucher’</w:t>
      </w:r>
      <w:r w:rsidR="00A56845" w:rsidRPr="00F65686">
        <w:rPr>
          <w:rFonts w:ascii="Times New Roman" w:hAnsi="Times New Roman"/>
          <w:lang w:val="en-GB"/>
        </w:rPr>
        <w:t xml:space="preserve">s effectiveness by </w:t>
      </w:r>
      <w:r w:rsidRPr="00F65686">
        <w:rPr>
          <w:rFonts w:ascii="Times New Roman" w:hAnsi="Times New Roman"/>
          <w:lang w:val="en-GB"/>
        </w:rPr>
        <w:t>quantitative</w:t>
      </w:r>
      <w:r w:rsidR="00A3473C" w:rsidRPr="00F65686">
        <w:rPr>
          <w:rFonts w:ascii="Times New Roman" w:hAnsi="Times New Roman"/>
          <w:lang w:val="en-GB"/>
        </w:rPr>
        <w:t>ly</w:t>
      </w:r>
      <w:r w:rsidRPr="00F65686">
        <w:rPr>
          <w:rFonts w:ascii="Times New Roman" w:hAnsi="Times New Roman"/>
          <w:lang w:val="en-GB"/>
        </w:rPr>
        <w:t xml:space="preserve"> </w:t>
      </w:r>
      <w:r w:rsidR="00B46DA8" w:rsidRPr="00F65686">
        <w:rPr>
          <w:rFonts w:ascii="Times New Roman" w:hAnsi="Times New Roman"/>
          <w:lang w:val="en-GB"/>
        </w:rPr>
        <w:t>analy</w:t>
      </w:r>
      <w:r w:rsidR="00A56845" w:rsidRPr="00F65686">
        <w:rPr>
          <w:rFonts w:ascii="Times New Roman" w:hAnsi="Times New Roman"/>
          <w:lang w:val="en-GB"/>
        </w:rPr>
        <w:t>si</w:t>
      </w:r>
      <w:r w:rsidR="00A3473C" w:rsidRPr="00F65686">
        <w:rPr>
          <w:rFonts w:ascii="Times New Roman" w:hAnsi="Times New Roman"/>
          <w:lang w:val="en-GB"/>
        </w:rPr>
        <w:t>ng</w:t>
      </w:r>
      <w:r w:rsidR="00A56845" w:rsidRPr="00F65686">
        <w:rPr>
          <w:rFonts w:ascii="Times New Roman" w:hAnsi="Times New Roman"/>
          <w:lang w:val="en-GB"/>
        </w:rPr>
        <w:t xml:space="preserve"> a scheme </w:t>
      </w:r>
      <w:r w:rsidR="00A3473C" w:rsidRPr="00F65686">
        <w:rPr>
          <w:rFonts w:ascii="Times New Roman" w:hAnsi="Times New Roman"/>
          <w:lang w:val="en-GB"/>
        </w:rPr>
        <w:t xml:space="preserve">proposed </w:t>
      </w:r>
      <w:r w:rsidR="00B46DA8" w:rsidRPr="00F65686">
        <w:rPr>
          <w:rFonts w:ascii="Times New Roman" w:hAnsi="Times New Roman"/>
          <w:lang w:val="en-GB"/>
        </w:rPr>
        <w:t xml:space="preserve">in </w:t>
      </w:r>
      <w:r w:rsidR="00A3473C" w:rsidRPr="00F65686">
        <w:rPr>
          <w:rFonts w:ascii="Times New Roman" w:hAnsi="Times New Roman"/>
          <w:lang w:val="en-GB"/>
        </w:rPr>
        <w:t>Italy’s Lombardy</w:t>
      </w:r>
      <w:r w:rsidR="00B46DA8" w:rsidRPr="00F65686">
        <w:rPr>
          <w:rFonts w:ascii="Times New Roman" w:hAnsi="Times New Roman"/>
          <w:lang w:val="en-GB"/>
        </w:rPr>
        <w:t xml:space="preserve">. The </w:t>
      </w:r>
      <w:r w:rsidR="00B46DA8" w:rsidRPr="00F65686">
        <w:rPr>
          <w:rFonts w:ascii="Times New Roman" w:hAnsi="Times New Roman"/>
          <w:lang w:val="en-GB"/>
        </w:rPr>
        <w:lastRenderedPageBreak/>
        <w:t xml:space="preserve">Lombardy regional authority </w:t>
      </w:r>
      <w:r w:rsidR="0089271F" w:rsidRPr="00F65686">
        <w:rPr>
          <w:rFonts w:ascii="Times New Roman" w:hAnsi="Times New Roman"/>
          <w:lang w:val="en-GB"/>
        </w:rPr>
        <w:t>was</w:t>
      </w:r>
      <w:r w:rsidR="00B46DA8" w:rsidRPr="00F65686">
        <w:rPr>
          <w:rFonts w:ascii="Times New Roman" w:hAnsi="Times New Roman"/>
          <w:lang w:val="en-GB"/>
        </w:rPr>
        <w:t xml:space="preserve"> among the forerunners in Europe by introducing the voucher </w:t>
      </w:r>
      <w:r w:rsidR="00A3473C" w:rsidRPr="00F65686">
        <w:rPr>
          <w:rFonts w:ascii="Times New Roman" w:hAnsi="Times New Roman"/>
          <w:lang w:val="en-GB"/>
        </w:rPr>
        <w:t xml:space="preserve">scheme </w:t>
      </w:r>
      <w:r w:rsidR="00B46DA8" w:rsidRPr="00F65686">
        <w:rPr>
          <w:rFonts w:ascii="Times New Roman" w:hAnsi="Times New Roman"/>
          <w:lang w:val="en-GB"/>
        </w:rPr>
        <w:t>in</w:t>
      </w:r>
      <w:r w:rsidR="00777163" w:rsidRPr="00F65686">
        <w:rPr>
          <w:rFonts w:ascii="Times New Roman" w:hAnsi="Times New Roman"/>
          <w:lang w:val="en-GB"/>
        </w:rPr>
        <w:t xml:space="preserve"> 2003 with the aim of</w:t>
      </w:r>
      <w:r w:rsidR="00935B1E" w:rsidRPr="00F65686">
        <w:rPr>
          <w:rFonts w:ascii="Times New Roman" w:hAnsi="Times New Roman"/>
          <w:lang w:val="en-GB"/>
        </w:rPr>
        <w:t xml:space="preserve"> </w:t>
      </w:r>
      <w:r w:rsidR="00A3473C" w:rsidRPr="00F65686">
        <w:rPr>
          <w:rFonts w:ascii="Times New Roman" w:hAnsi="Times New Roman"/>
          <w:lang w:val="en-GB"/>
        </w:rPr>
        <w:t xml:space="preserve">nudging </w:t>
      </w:r>
      <w:r w:rsidR="00B46DA8" w:rsidRPr="00F65686">
        <w:rPr>
          <w:rFonts w:ascii="Times New Roman" w:hAnsi="Times New Roman"/>
          <w:lang w:val="en-GB"/>
        </w:rPr>
        <w:t>SMEs to adopt a mor</w:t>
      </w:r>
      <w:r w:rsidR="00935B1E" w:rsidRPr="00F65686">
        <w:rPr>
          <w:rFonts w:ascii="Times New Roman" w:hAnsi="Times New Roman"/>
          <w:lang w:val="en-GB"/>
        </w:rPr>
        <w:t xml:space="preserve">e open approach to innovation </w:t>
      </w:r>
      <w:r w:rsidR="00A3473C" w:rsidRPr="00F65686">
        <w:rPr>
          <w:rFonts w:ascii="Times New Roman" w:hAnsi="Times New Roman"/>
          <w:lang w:val="en-GB"/>
        </w:rPr>
        <w:t xml:space="preserve">by </w:t>
      </w:r>
      <w:r w:rsidR="00B46DA8" w:rsidRPr="00F65686">
        <w:rPr>
          <w:rFonts w:ascii="Times New Roman" w:hAnsi="Times New Roman"/>
          <w:lang w:val="en-GB"/>
        </w:rPr>
        <w:t>collaborating w</w:t>
      </w:r>
      <w:r w:rsidR="00935B1E" w:rsidRPr="00F65686">
        <w:rPr>
          <w:rFonts w:ascii="Times New Roman" w:hAnsi="Times New Roman"/>
          <w:lang w:val="en-GB"/>
        </w:rPr>
        <w:t>ith knowledge suppliers</w:t>
      </w:r>
      <w:r w:rsidR="00B46DA8" w:rsidRPr="00F65686">
        <w:rPr>
          <w:rFonts w:ascii="Times New Roman" w:hAnsi="Times New Roman"/>
          <w:lang w:val="en-GB"/>
        </w:rPr>
        <w:t xml:space="preserve">. </w:t>
      </w:r>
      <w:r w:rsidR="00A3473C" w:rsidRPr="00F65686">
        <w:rPr>
          <w:rFonts w:ascii="Times New Roman" w:hAnsi="Times New Roman"/>
          <w:lang w:val="en-GB"/>
        </w:rPr>
        <w:t>Our data are based on a unique survey that, t</w:t>
      </w:r>
      <w:r w:rsidR="00B46DA8" w:rsidRPr="00F65686">
        <w:rPr>
          <w:rFonts w:ascii="Times New Roman" w:hAnsi="Times New Roman"/>
          <w:lang w:val="en-GB"/>
        </w:rPr>
        <w:t xml:space="preserve">o </w:t>
      </w:r>
      <w:r w:rsidR="00A56845" w:rsidRPr="00F65686">
        <w:rPr>
          <w:rFonts w:ascii="Times New Roman" w:hAnsi="Times New Roman"/>
          <w:lang w:val="en-GB"/>
        </w:rPr>
        <w:t xml:space="preserve">the best of </w:t>
      </w:r>
      <w:r w:rsidR="00B46DA8" w:rsidRPr="00F65686">
        <w:rPr>
          <w:rFonts w:ascii="Times New Roman" w:hAnsi="Times New Roman"/>
          <w:lang w:val="en-GB"/>
        </w:rPr>
        <w:t xml:space="preserve">our knowledge, is the largest ever </w:t>
      </w:r>
      <w:r w:rsidR="00777163" w:rsidRPr="00F65686">
        <w:rPr>
          <w:rFonts w:ascii="Times New Roman" w:hAnsi="Times New Roman"/>
          <w:lang w:val="en-GB"/>
        </w:rPr>
        <w:t>carried out</w:t>
      </w:r>
      <w:r w:rsidR="00935B1E" w:rsidRPr="00F65686">
        <w:rPr>
          <w:rFonts w:ascii="Times New Roman" w:hAnsi="Times New Roman"/>
          <w:lang w:val="en-GB"/>
        </w:rPr>
        <w:t xml:space="preserve"> on this topic, covering</w:t>
      </w:r>
      <w:r w:rsidR="00B46DA8" w:rsidRPr="00F65686">
        <w:rPr>
          <w:rFonts w:ascii="Times New Roman" w:hAnsi="Times New Roman"/>
          <w:lang w:val="en-GB"/>
        </w:rPr>
        <w:t xml:space="preserve"> a </w:t>
      </w:r>
      <w:r w:rsidR="00F145A5" w:rsidRPr="00F65686">
        <w:rPr>
          <w:rFonts w:ascii="Times New Roman" w:hAnsi="Times New Roman"/>
          <w:lang w:val="en-GB"/>
        </w:rPr>
        <w:t>cross-</w:t>
      </w:r>
      <w:r w:rsidR="00B46DA8" w:rsidRPr="00F65686">
        <w:rPr>
          <w:rFonts w:ascii="Times New Roman" w:hAnsi="Times New Roman"/>
          <w:lang w:val="en-GB"/>
        </w:rPr>
        <w:t xml:space="preserve">section of 582 </w:t>
      </w:r>
      <w:r w:rsidR="00935B1E" w:rsidRPr="00F65686">
        <w:rPr>
          <w:rFonts w:ascii="Times New Roman" w:hAnsi="Times New Roman"/>
          <w:lang w:val="en-GB"/>
        </w:rPr>
        <w:t>beneficiary firms</w:t>
      </w:r>
      <w:r w:rsidR="00A3473C" w:rsidRPr="00F65686">
        <w:rPr>
          <w:rFonts w:ascii="Times New Roman" w:hAnsi="Times New Roman"/>
          <w:lang w:val="en-GB"/>
        </w:rPr>
        <w:t>.</w:t>
      </w:r>
    </w:p>
    <w:p w14:paraId="39ACBF43" w14:textId="1E927B92" w:rsidR="00B46DA8" w:rsidRPr="00F65686" w:rsidRDefault="00A3473C" w:rsidP="00F65686">
      <w:pPr>
        <w:jc w:val="both"/>
        <w:rPr>
          <w:rFonts w:ascii="Times New Roman" w:hAnsi="Times New Roman"/>
          <w:lang w:val="en-GB"/>
        </w:rPr>
      </w:pPr>
      <w:r w:rsidRPr="00F65686">
        <w:rPr>
          <w:rFonts w:ascii="Times New Roman" w:hAnsi="Times New Roman"/>
          <w:lang w:val="en-GB"/>
        </w:rPr>
        <w:t xml:space="preserve">This paper presents three main novel contributions to the literature of innovation in cities. </w:t>
      </w:r>
      <w:r w:rsidRPr="00F65686">
        <w:rPr>
          <w:rFonts w:ascii="Times New Roman" w:hAnsi="Times New Roman"/>
          <w:i/>
          <w:lang w:val="en-GB"/>
        </w:rPr>
        <w:t>Firstly</w:t>
      </w:r>
      <w:r w:rsidRPr="00F65686">
        <w:rPr>
          <w:rFonts w:ascii="Times New Roman" w:hAnsi="Times New Roman"/>
          <w:lang w:val="en-GB"/>
        </w:rPr>
        <w:t xml:space="preserve">, our work aims at shedding light </w:t>
      </w:r>
      <w:r w:rsidR="00777163" w:rsidRPr="00F65686">
        <w:rPr>
          <w:rFonts w:ascii="Times New Roman" w:hAnsi="Times New Roman"/>
          <w:lang w:val="en-GB"/>
        </w:rPr>
        <w:t>on the benefits of vouchers</w:t>
      </w:r>
      <w:r w:rsidRPr="00F65686">
        <w:rPr>
          <w:rFonts w:ascii="Times New Roman" w:hAnsi="Times New Roman"/>
          <w:lang w:val="en-GB"/>
        </w:rPr>
        <w:t xml:space="preserve"> exploiting the largest quantitative survey ever collected on this topic</w:t>
      </w:r>
      <w:r w:rsidR="00777163" w:rsidRPr="00F65686">
        <w:rPr>
          <w:rFonts w:ascii="Times New Roman" w:hAnsi="Times New Roman"/>
          <w:lang w:val="en-GB"/>
        </w:rPr>
        <w:t>.</w:t>
      </w:r>
      <w:r w:rsidRPr="00F65686">
        <w:rPr>
          <w:rFonts w:ascii="Times New Roman" w:hAnsi="Times New Roman"/>
          <w:lang w:val="en-GB"/>
        </w:rPr>
        <w:t xml:space="preserve"> </w:t>
      </w:r>
      <w:r w:rsidRPr="00F65686">
        <w:rPr>
          <w:rFonts w:ascii="Times New Roman" w:hAnsi="Times New Roman"/>
          <w:i/>
          <w:lang w:val="en-GB"/>
        </w:rPr>
        <w:t>Secondly</w:t>
      </w:r>
      <w:r w:rsidRPr="00F65686">
        <w:rPr>
          <w:rFonts w:ascii="Times New Roman" w:hAnsi="Times New Roman"/>
          <w:lang w:val="en-GB"/>
        </w:rPr>
        <w:t xml:space="preserve">, given the inherently local nature of the innovation voucher scheme, we also </w:t>
      </w:r>
      <w:r w:rsidR="00EE0F3F" w:rsidRPr="00F65686">
        <w:rPr>
          <w:rFonts w:ascii="Times New Roman" w:hAnsi="Times New Roman"/>
          <w:lang w:val="en-GB"/>
        </w:rPr>
        <w:t>assess whether, and how,</w:t>
      </w:r>
      <w:r w:rsidRPr="00F65686">
        <w:rPr>
          <w:rFonts w:ascii="Times New Roman" w:hAnsi="Times New Roman"/>
          <w:lang w:val="en-GB"/>
        </w:rPr>
        <w:t xml:space="preserve"> the impact of voucher</w:t>
      </w:r>
      <w:r w:rsidR="00F145A5" w:rsidRPr="00F65686">
        <w:rPr>
          <w:rFonts w:ascii="Times New Roman" w:hAnsi="Times New Roman"/>
          <w:lang w:val="en-GB"/>
        </w:rPr>
        <w:t>s</w:t>
      </w:r>
      <w:r w:rsidRPr="00F65686">
        <w:rPr>
          <w:rFonts w:ascii="Times New Roman" w:hAnsi="Times New Roman"/>
          <w:lang w:val="en-GB"/>
        </w:rPr>
        <w:t xml:space="preserve"> depends on the local characteristics of firms and territories where the voucher scheme has been enacted, through the notions of geographical and non-geographical proximity. </w:t>
      </w:r>
      <w:r w:rsidRPr="00F65686">
        <w:rPr>
          <w:rFonts w:ascii="Times New Roman" w:hAnsi="Times New Roman"/>
          <w:i/>
          <w:lang w:val="en-GB"/>
        </w:rPr>
        <w:t>Lastly</w:t>
      </w:r>
      <w:r w:rsidRPr="00F65686">
        <w:rPr>
          <w:rFonts w:ascii="Times New Roman" w:hAnsi="Times New Roman"/>
          <w:lang w:val="en-GB"/>
        </w:rPr>
        <w:t>, our work relies on the latest identification techniques to rule out possible reverse causality issues,</w:t>
      </w:r>
      <w:r w:rsidR="000B1E31" w:rsidRPr="00F65686">
        <w:rPr>
          <w:rStyle w:val="Rimandonotaapidipagina"/>
          <w:rFonts w:ascii="Times New Roman" w:hAnsi="Times New Roman"/>
          <w:lang w:val="en-GB"/>
        </w:rPr>
        <w:footnoteReference w:id="8"/>
      </w:r>
      <w:r w:rsidRPr="00F65686">
        <w:rPr>
          <w:rFonts w:ascii="Times New Roman" w:hAnsi="Times New Roman"/>
          <w:lang w:val="en-GB"/>
        </w:rPr>
        <w:t xml:space="preserve"> thereby identifying the direction of causality in the voucher scheme.</w:t>
      </w:r>
    </w:p>
    <w:p w14:paraId="3DDC7A9C" w14:textId="43F898A1" w:rsidR="00B46DA8" w:rsidRPr="00F65686" w:rsidRDefault="00E876B7" w:rsidP="00F65686">
      <w:pPr>
        <w:jc w:val="both"/>
        <w:rPr>
          <w:rFonts w:ascii="Times New Roman" w:hAnsi="Times New Roman"/>
          <w:lang w:val="en-GB"/>
        </w:rPr>
      </w:pPr>
      <w:r w:rsidRPr="00F65686">
        <w:rPr>
          <w:rFonts w:ascii="Times New Roman" w:hAnsi="Times New Roman"/>
          <w:lang w:val="en-GB"/>
        </w:rPr>
        <w:t>The paper is organized as fol</w:t>
      </w:r>
      <w:r w:rsidR="00B71FE8" w:rsidRPr="00F65686">
        <w:rPr>
          <w:rFonts w:ascii="Times New Roman" w:hAnsi="Times New Roman"/>
          <w:lang w:val="en-GB"/>
        </w:rPr>
        <w:t xml:space="preserve">lows: </w:t>
      </w:r>
      <w:r w:rsidR="00804610" w:rsidRPr="00F65686">
        <w:rPr>
          <w:rFonts w:ascii="Times New Roman" w:hAnsi="Times New Roman"/>
          <w:lang w:val="en-GB"/>
        </w:rPr>
        <w:t xml:space="preserve">Section </w:t>
      </w:r>
      <w:r w:rsidRPr="00F65686">
        <w:rPr>
          <w:rFonts w:ascii="Times New Roman" w:hAnsi="Times New Roman"/>
          <w:lang w:val="en-GB"/>
        </w:rPr>
        <w:t xml:space="preserve">2 critically reviews the relevant literature for this applied study and introduces the research questions. Section 3 describes the empirical methodology adopted to address </w:t>
      </w:r>
      <w:r w:rsidR="00127AC5" w:rsidRPr="00F65686">
        <w:rPr>
          <w:rFonts w:ascii="Times New Roman" w:hAnsi="Times New Roman"/>
          <w:lang w:val="en-GB"/>
        </w:rPr>
        <w:t xml:space="preserve">those </w:t>
      </w:r>
      <w:r w:rsidR="00A65A21" w:rsidRPr="00F65686">
        <w:rPr>
          <w:rFonts w:ascii="Times New Roman" w:hAnsi="Times New Roman"/>
          <w:lang w:val="en-GB"/>
        </w:rPr>
        <w:t>questions, the</w:t>
      </w:r>
      <w:r w:rsidRPr="00F65686">
        <w:rPr>
          <w:rFonts w:ascii="Times New Roman" w:hAnsi="Times New Roman"/>
          <w:lang w:val="en-GB"/>
        </w:rPr>
        <w:t xml:space="preserve"> effects investigated, and the</w:t>
      </w:r>
      <w:r w:rsidR="00A65A21" w:rsidRPr="00F65686">
        <w:rPr>
          <w:rFonts w:ascii="Times New Roman" w:hAnsi="Times New Roman"/>
          <w:lang w:val="en-GB"/>
        </w:rPr>
        <w:t xml:space="preserve"> data collected</w:t>
      </w:r>
      <w:r w:rsidRPr="00F65686">
        <w:rPr>
          <w:rFonts w:ascii="Times New Roman" w:hAnsi="Times New Roman"/>
          <w:lang w:val="en-GB"/>
        </w:rPr>
        <w:t>. Section 4 discusses the results of the empirical analysis by breaking down the effectiveness of the voucher into the three effects d</w:t>
      </w:r>
      <w:r w:rsidR="008C447B" w:rsidRPr="00F65686">
        <w:rPr>
          <w:rFonts w:ascii="Times New Roman" w:hAnsi="Times New Roman"/>
          <w:lang w:val="en-GB"/>
        </w:rPr>
        <w:t xml:space="preserve">escribed in Section 3. In </w:t>
      </w:r>
      <w:r w:rsidRPr="00F65686">
        <w:rPr>
          <w:rFonts w:ascii="Times New Roman" w:hAnsi="Times New Roman"/>
          <w:lang w:val="en-GB"/>
        </w:rPr>
        <w:t>Section 5</w:t>
      </w:r>
      <w:r w:rsidR="008C447B" w:rsidRPr="00F65686">
        <w:rPr>
          <w:rFonts w:ascii="Times New Roman" w:hAnsi="Times New Roman"/>
          <w:lang w:val="en-GB"/>
        </w:rPr>
        <w:t>, the managerial and policy implications are presented.</w:t>
      </w:r>
    </w:p>
    <w:p w14:paraId="57152C7D" w14:textId="77777777" w:rsidR="00804610" w:rsidRPr="00F65686" w:rsidRDefault="00804610" w:rsidP="00F65686">
      <w:pPr>
        <w:jc w:val="both"/>
        <w:rPr>
          <w:rFonts w:ascii="Times New Roman" w:hAnsi="Times New Roman"/>
          <w:lang w:val="en-GB"/>
        </w:rPr>
      </w:pPr>
    </w:p>
    <w:p w14:paraId="4E0B592A" w14:textId="38F6A3CE" w:rsidR="000C57B5" w:rsidRPr="00F65686" w:rsidRDefault="00F27F57" w:rsidP="00F65686">
      <w:pPr>
        <w:pStyle w:val="Titolo1"/>
        <w:numPr>
          <w:ilvl w:val="0"/>
          <w:numId w:val="7"/>
        </w:numPr>
        <w:jc w:val="both"/>
        <w:rPr>
          <w:rFonts w:ascii="Times New Roman" w:hAnsi="Times New Roman"/>
        </w:rPr>
      </w:pPr>
      <w:r w:rsidRPr="00F65686">
        <w:rPr>
          <w:rFonts w:ascii="Times New Roman" w:hAnsi="Times New Roman"/>
        </w:rPr>
        <w:t>Literature review</w:t>
      </w:r>
    </w:p>
    <w:p w14:paraId="717F7089" w14:textId="2A7A92DB" w:rsidR="00D95974" w:rsidRPr="00F65686" w:rsidRDefault="00A938B7" w:rsidP="00F65686">
      <w:pPr>
        <w:pStyle w:val="Titolo3"/>
        <w:jc w:val="both"/>
        <w:rPr>
          <w:rFonts w:ascii="Times New Roman" w:hAnsi="Times New Roman"/>
          <w:lang w:val="en-GB"/>
        </w:rPr>
      </w:pPr>
      <w:r w:rsidRPr="00F65686">
        <w:rPr>
          <w:rFonts w:ascii="Times New Roman" w:hAnsi="Times New Roman"/>
        </w:rPr>
        <w:t xml:space="preserve">2.1 </w:t>
      </w:r>
      <w:r w:rsidR="00F27F57" w:rsidRPr="00F65686">
        <w:rPr>
          <w:rFonts w:ascii="Times New Roman" w:hAnsi="Times New Roman"/>
        </w:rPr>
        <w:t>Collaborative</w:t>
      </w:r>
      <w:r w:rsidR="00F27F57" w:rsidRPr="00F65686">
        <w:rPr>
          <w:rFonts w:ascii="Times New Roman" w:hAnsi="Times New Roman"/>
          <w:lang w:val="en-GB"/>
        </w:rPr>
        <w:t xml:space="preserve"> innovation and SMEs</w:t>
      </w:r>
    </w:p>
    <w:p w14:paraId="0595D911" w14:textId="4D63B1EA" w:rsidR="001E39F2" w:rsidRPr="00F65686" w:rsidRDefault="00F27F57" w:rsidP="00F65686">
      <w:pPr>
        <w:jc w:val="both"/>
        <w:rPr>
          <w:rFonts w:ascii="Times New Roman" w:hAnsi="Times New Roman"/>
          <w:lang w:val="en-US"/>
        </w:rPr>
      </w:pPr>
      <w:r w:rsidRPr="00F65686">
        <w:rPr>
          <w:rFonts w:ascii="Times New Roman" w:hAnsi="Times New Roman"/>
          <w:lang w:val="en-US"/>
        </w:rPr>
        <w:t xml:space="preserve">Firms increasingly </w:t>
      </w:r>
      <w:r w:rsidR="001E39F2" w:rsidRPr="00F65686">
        <w:rPr>
          <w:rFonts w:ascii="Times New Roman" w:hAnsi="Times New Roman"/>
          <w:lang w:val="en-US"/>
        </w:rPr>
        <w:t>leverage</w:t>
      </w:r>
      <w:r w:rsidR="00547CDF" w:rsidRPr="00F65686">
        <w:rPr>
          <w:rFonts w:ascii="Times New Roman" w:hAnsi="Times New Roman"/>
          <w:lang w:val="en-US"/>
        </w:rPr>
        <w:t xml:space="preserve"> </w:t>
      </w:r>
      <w:r w:rsidR="00EE5EEF" w:rsidRPr="00F65686">
        <w:rPr>
          <w:rFonts w:ascii="Times New Roman" w:hAnsi="Times New Roman"/>
          <w:lang w:val="en-US"/>
        </w:rPr>
        <w:t xml:space="preserve">the </w:t>
      </w:r>
      <w:r w:rsidRPr="00F65686">
        <w:rPr>
          <w:rFonts w:ascii="Times New Roman" w:hAnsi="Times New Roman"/>
          <w:lang w:val="en-US"/>
        </w:rPr>
        <w:t xml:space="preserve">competencies and skills of external actors </w:t>
      </w:r>
      <w:r w:rsidR="00F77A93" w:rsidRPr="00F65686">
        <w:rPr>
          <w:rFonts w:ascii="Times New Roman" w:hAnsi="Times New Roman"/>
          <w:lang w:val="en-US"/>
        </w:rPr>
        <w:t xml:space="preserve">to develop new ideas and products </w:t>
      </w:r>
      <w:r w:rsidRPr="00F65686">
        <w:rPr>
          <w:rFonts w:ascii="Times New Roman" w:hAnsi="Times New Roman"/>
          <w:lang w:val="en-US"/>
        </w:rPr>
        <w:t xml:space="preserve">(Chesbrough, 2003). They rely on external ideas and knowledge </w:t>
      </w:r>
      <w:r w:rsidR="00547CDF" w:rsidRPr="00F65686">
        <w:rPr>
          <w:rFonts w:ascii="Times New Roman" w:hAnsi="Times New Roman"/>
          <w:lang w:val="en-US"/>
        </w:rPr>
        <w:t>to</w:t>
      </w:r>
      <w:r w:rsidRPr="00F65686">
        <w:rPr>
          <w:rFonts w:ascii="Times New Roman" w:hAnsi="Times New Roman"/>
          <w:lang w:val="en-US"/>
        </w:rPr>
        <w:t xml:space="preserve"> innovat</w:t>
      </w:r>
      <w:r w:rsidR="00EE5EEF" w:rsidRPr="00F65686">
        <w:rPr>
          <w:rFonts w:ascii="Times New Roman" w:hAnsi="Times New Roman"/>
          <w:lang w:val="en-US"/>
        </w:rPr>
        <w:t>e</w:t>
      </w:r>
      <w:r w:rsidRPr="00F65686">
        <w:rPr>
          <w:rFonts w:ascii="Times New Roman" w:hAnsi="Times New Roman"/>
          <w:lang w:val="en-US"/>
        </w:rPr>
        <w:t xml:space="preserve"> (</w:t>
      </w:r>
      <w:r w:rsidR="00755E74" w:rsidRPr="00F65686">
        <w:rPr>
          <w:rFonts w:ascii="Times New Roman" w:hAnsi="Times New Roman"/>
          <w:lang w:val="en-US"/>
        </w:rPr>
        <w:t xml:space="preserve">e.g. Dodgson </w:t>
      </w:r>
      <w:r w:rsidR="00CD5640" w:rsidRPr="00F65686">
        <w:rPr>
          <w:rFonts w:ascii="Times New Roman" w:hAnsi="Times New Roman"/>
          <w:lang w:val="en-US"/>
        </w:rPr>
        <w:t>et</w:t>
      </w:r>
      <w:r w:rsidR="00BF5C02" w:rsidRPr="00F65686">
        <w:rPr>
          <w:rFonts w:ascii="Times New Roman" w:hAnsi="Times New Roman"/>
          <w:lang w:val="en-US"/>
        </w:rPr>
        <w:t xml:space="preserve"> al., 2006), so</w:t>
      </w:r>
      <w:r w:rsidR="00547CDF" w:rsidRPr="00F65686">
        <w:rPr>
          <w:rFonts w:ascii="Times New Roman" w:hAnsi="Times New Roman"/>
          <w:lang w:val="en-US"/>
        </w:rPr>
        <w:t xml:space="preserve"> they can</w:t>
      </w:r>
      <w:r w:rsidRPr="00F65686">
        <w:rPr>
          <w:rFonts w:ascii="Times New Roman" w:hAnsi="Times New Roman"/>
          <w:lang w:val="en-US"/>
        </w:rPr>
        <w:t xml:space="preserve"> acquire most technologies </w:t>
      </w:r>
      <w:r w:rsidR="00755E74" w:rsidRPr="00F65686">
        <w:rPr>
          <w:rFonts w:ascii="Times New Roman" w:hAnsi="Times New Roman"/>
          <w:lang w:val="en-US"/>
        </w:rPr>
        <w:t>even without</w:t>
      </w:r>
      <w:r w:rsidRPr="00F65686">
        <w:rPr>
          <w:rFonts w:ascii="Times New Roman" w:hAnsi="Times New Roman"/>
          <w:lang w:val="en-US"/>
        </w:rPr>
        <w:t xml:space="preserve"> internal R&amp;D functions (Gassmann, 2006).</w:t>
      </w:r>
      <w:r w:rsidR="001E39F2" w:rsidRPr="00F65686">
        <w:rPr>
          <w:rFonts w:ascii="Times New Roman" w:hAnsi="Times New Roman"/>
          <w:lang w:val="en-US"/>
        </w:rPr>
        <w:t xml:space="preserve"> </w:t>
      </w:r>
      <w:r w:rsidRPr="00F65686">
        <w:rPr>
          <w:rFonts w:ascii="Times New Roman" w:hAnsi="Times New Roman"/>
          <w:lang w:val="en-US"/>
        </w:rPr>
        <w:t xml:space="preserve">Companies that </w:t>
      </w:r>
      <w:r w:rsidR="00495D9F" w:rsidRPr="00F65686">
        <w:rPr>
          <w:rFonts w:ascii="Times New Roman" w:hAnsi="Times New Roman"/>
          <w:lang w:val="en-US"/>
        </w:rPr>
        <w:t xml:space="preserve">have </w:t>
      </w:r>
      <w:r w:rsidRPr="00F65686">
        <w:rPr>
          <w:rFonts w:ascii="Times New Roman" w:hAnsi="Times New Roman"/>
          <w:lang w:val="en-US"/>
        </w:rPr>
        <w:t xml:space="preserve">entered </w:t>
      </w:r>
      <w:r w:rsidR="00495D9F" w:rsidRPr="00F65686">
        <w:rPr>
          <w:rFonts w:ascii="Times New Roman" w:hAnsi="Times New Roman"/>
          <w:lang w:val="en-US"/>
        </w:rPr>
        <w:t xml:space="preserve">into </w:t>
      </w:r>
      <w:r w:rsidR="00E851BD" w:rsidRPr="00F65686">
        <w:rPr>
          <w:rFonts w:ascii="Times New Roman" w:hAnsi="Times New Roman"/>
          <w:lang w:val="en-US"/>
        </w:rPr>
        <w:t>cooperative agreements with knowledge providers</w:t>
      </w:r>
      <w:r w:rsidRPr="00F65686">
        <w:rPr>
          <w:rFonts w:ascii="Times New Roman" w:hAnsi="Times New Roman"/>
          <w:lang w:val="en-US"/>
        </w:rPr>
        <w:t xml:space="preserve"> report a higher proportion of their sales due to innovative products (Abramovsky et al., 2005). </w:t>
      </w:r>
      <w:r w:rsidR="001332A6" w:rsidRPr="00F65686">
        <w:rPr>
          <w:rFonts w:ascii="Times New Roman" w:hAnsi="Times New Roman"/>
          <w:lang w:val="en-US"/>
        </w:rPr>
        <w:t>Successful economies have robust, yet adaptable, network connections, so that organizations can work together to use new knowledge and transform it into new products and service</w:t>
      </w:r>
      <w:r w:rsidR="00F145A5" w:rsidRPr="00F65686">
        <w:rPr>
          <w:rFonts w:ascii="Times New Roman" w:hAnsi="Times New Roman"/>
          <w:lang w:val="en-US"/>
        </w:rPr>
        <w:t>s</w:t>
      </w:r>
      <w:r w:rsidR="001332A6" w:rsidRPr="00F65686">
        <w:rPr>
          <w:rFonts w:ascii="Times New Roman" w:hAnsi="Times New Roman"/>
          <w:lang w:val="en-US"/>
        </w:rPr>
        <w:t xml:space="preserve"> and improved processes and capabilities (Dodgson et al., 2011).</w:t>
      </w:r>
    </w:p>
    <w:p w14:paraId="61B1FCDE" w14:textId="775CDE61" w:rsidR="00E70B71" w:rsidRPr="00F65686" w:rsidRDefault="00E70B71" w:rsidP="00F65686">
      <w:pPr>
        <w:jc w:val="both"/>
        <w:rPr>
          <w:rFonts w:ascii="Times New Roman" w:hAnsi="Times New Roman"/>
          <w:lang w:val="en-US"/>
        </w:rPr>
      </w:pPr>
      <w:r w:rsidRPr="00F65686">
        <w:rPr>
          <w:rFonts w:ascii="Times New Roman" w:hAnsi="Times New Roman"/>
          <w:lang w:val="en-US"/>
        </w:rPr>
        <w:t>Social networking leads to knowledge serendipity (</w:t>
      </w:r>
      <w:r w:rsidR="000748CB" w:rsidRPr="00F65686">
        <w:rPr>
          <w:rFonts w:ascii="Times New Roman" w:hAnsi="Times New Roman"/>
          <w:lang w:val="en-US"/>
        </w:rPr>
        <w:t xml:space="preserve">Baruffaldi et al., 2017; </w:t>
      </w:r>
      <w:r w:rsidRPr="00F65686">
        <w:rPr>
          <w:rFonts w:ascii="Times New Roman" w:hAnsi="Times New Roman"/>
          <w:lang w:val="en-US"/>
        </w:rPr>
        <w:t xml:space="preserve">Carayannis and Rakhmatullin, 2014). A networking policy may induce serendipity and strengthen the whole ecosystem (Spigel, 2017). Serendipity relations </w:t>
      </w:r>
      <w:r w:rsidR="00071E48" w:rsidRPr="00F65686">
        <w:rPr>
          <w:rFonts w:ascii="Times New Roman" w:hAnsi="Times New Roman"/>
          <w:lang w:val="en-US"/>
        </w:rPr>
        <w:t xml:space="preserve">are those whereby one </w:t>
      </w:r>
      <w:r w:rsidRPr="00F65686">
        <w:rPr>
          <w:rFonts w:ascii="Times New Roman" w:hAnsi="Times New Roman"/>
          <w:lang w:val="en-US"/>
        </w:rPr>
        <w:t>unexpectedly me</w:t>
      </w:r>
      <w:r w:rsidR="00071E48" w:rsidRPr="00F65686">
        <w:rPr>
          <w:rFonts w:ascii="Times New Roman" w:hAnsi="Times New Roman"/>
          <w:lang w:val="en-US"/>
        </w:rPr>
        <w:t>e</w:t>
      </w:r>
      <w:r w:rsidRPr="00F65686">
        <w:rPr>
          <w:rFonts w:ascii="Times New Roman" w:hAnsi="Times New Roman"/>
          <w:lang w:val="en-US"/>
        </w:rPr>
        <w:t>t</w:t>
      </w:r>
      <w:r w:rsidR="00071E48" w:rsidRPr="00F65686">
        <w:rPr>
          <w:rFonts w:ascii="Times New Roman" w:hAnsi="Times New Roman"/>
          <w:lang w:val="en-US"/>
        </w:rPr>
        <w:t>s</w:t>
      </w:r>
      <w:r w:rsidRPr="00F65686">
        <w:rPr>
          <w:rFonts w:ascii="Times New Roman" w:hAnsi="Times New Roman"/>
          <w:lang w:val="en-US"/>
        </w:rPr>
        <w:t xml:space="preserve"> people bring</w:t>
      </w:r>
      <w:r w:rsidR="00071E48" w:rsidRPr="00F65686">
        <w:rPr>
          <w:rFonts w:ascii="Times New Roman" w:hAnsi="Times New Roman"/>
          <w:lang w:val="en-US"/>
        </w:rPr>
        <w:t>ing</w:t>
      </w:r>
      <w:r w:rsidRPr="00F65686">
        <w:rPr>
          <w:rFonts w:ascii="Times New Roman" w:hAnsi="Times New Roman"/>
          <w:lang w:val="en-US"/>
        </w:rPr>
        <w:t xml:space="preserve"> valuable knowledge or who introduce other valuable people. Other forms of serendipity are analytical, described as a combination of concepts, </w:t>
      </w:r>
      <w:r w:rsidR="003B1909" w:rsidRPr="00F65686">
        <w:rPr>
          <w:rFonts w:ascii="Times New Roman" w:hAnsi="Times New Roman"/>
          <w:lang w:val="en-US"/>
        </w:rPr>
        <w:t>or</w:t>
      </w:r>
      <w:r w:rsidRPr="00F65686">
        <w:rPr>
          <w:rFonts w:ascii="Times New Roman" w:hAnsi="Times New Roman"/>
          <w:lang w:val="en-US"/>
        </w:rPr>
        <w:t xml:space="preserve"> temporal, when an unexpected circumstance provides an opportunity that would be </w:t>
      </w:r>
      <w:r w:rsidR="003B1909" w:rsidRPr="00F65686">
        <w:rPr>
          <w:rFonts w:ascii="Times New Roman" w:hAnsi="Times New Roman"/>
          <w:lang w:val="en-US"/>
        </w:rPr>
        <w:t xml:space="preserve">otherwise </w:t>
      </w:r>
      <w:r w:rsidRPr="00F65686">
        <w:rPr>
          <w:rFonts w:ascii="Times New Roman" w:hAnsi="Times New Roman"/>
          <w:lang w:val="en-US"/>
        </w:rPr>
        <w:t xml:space="preserve">missed. Serendipity is crucial in many scientific discoveries, </w:t>
      </w:r>
      <w:r w:rsidR="003B1909" w:rsidRPr="00F65686">
        <w:rPr>
          <w:rFonts w:ascii="Times New Roman" w:hAnsi="Times New Roman"/>
          <w:lang w:val="en-US"/>
        </w:rPr>
        <w:t xml:space="preserve">although </w:t>
      </w:r>
      <w:r w:rsidRPr="00F65686">
        <w:rPr>
          <w:rFonts w:ascii="Times New Roman" w:hAnsi="Times New Roman"/>
          <w:lang w:val="en-US"/>
        </w:rPr>
        <w:t>it depends on chance and wisdom (Copeland, 2019).</w:t>
      </w:r>
    </w:p>
    <w:p w14:paraId="3C8EF60F" w14:textId="04AD4A35" w:rsidR="005A33CE" w:rsidRPr="00F65686" w:rsidRDefault="003B1909" w:rsidP="00F65686">
      <w:pPr>
        <w:jc w:val="both"/>
        <w:rPr>
          <w:rFonts w:ascii="Times New Roman" w:hAnsi="Times New Roman"/>
          <w:lang w:val="en-US"/>
        </w:rPr>
      </w:pPr>
      <w:r w:rsidRPr="00F65686">
        <w:rPr>
          <w:rFonts w:ascii="Times New Roman" w:hAnsi="Times New Roman"/>
          <w:lang w:val="en-US"/>
        </w:rPr>
        <w:t>L</w:t>
      </w:r>
      <w:r w:rsidR="00F27F57" w:rsidRPr="00F65686">
        <w:rPr>
          <w:rFonts w:ascii="Times New Roman" w:hAnsi="Times New Roman"/>
          <w:lang w:val="en-US"/>
        </w:rPr>
        <w:t xml:space="preserve">arge firms are more likely to </w:t>
      </w:r>
      <w:r w:rsidR="00A729C8" w:rsidRPr="00F65686">
        <w:rPr>
          <w:rFonts w:ascii="Times New Roman" w:hAnsi="Times New Roman"/>
          <w:lang w:val="en-US"/>
        </w:rPr>
        <w:t>maintain</w:t>
      </w:r>
      <w:r w:rsidR="00F27F57" w:rsidRPr="00F65686">
        <w:rPr>
          <w:rFonts w:ascii="Times New Roman" w:hAnsi="Times New Roman"/>
          <w:lang w:val="en-US"/>
        </w:rPr>
        <w:t xml:space="preserve"> t</w:t>
      </w:r>
      <w:r w:rsidR="00755E74" w:rsidRPr="00F65686">
        <w:rPr>
          <w:rFonts w:ascii="Times New Roman" w:hAnsi="Times New Roman"/>
          <w:lang w:val="en-US"/>
        </w:rPr>
        <w:t>ies with public research organiz</w:t>
      </w:r>
      <w:r w:rsidR="00F27F57" w:rsidRPr="00F65686">
        <w:rPr>
          <w:rFonts w:ascii="Times New Roman" w:hAnsi="Times New Roman"/>
          <w:lang w:val="en-US"/>
        </w:rPr>
        <w:t>ations</w:t>
      </w:r>
      <w:r w:rsidRPr="00F65686">
        <w:rPr>
          <w:rFonts w:ascii="Times New Roman" w:hAnsi="Times New Roman"/>
          <w:lang w:val="en-US"/>
        </w:rPr>
        <w:t xml:space="preserve">, thanks to their internal </w:t>
      </w:r>
      <w:r w:rsidR="00F27F57" w:rsidRPr="00F65686">
        <w:rPr>
          <w:rFonts w:ascii="Times New Roman" w:hAnsi="Times New Roman"/>
          <w:lang w:val="en-US"/>
        </w:rPr>
        <w:t xml:space="preserve">R&amp;D labs and researchers (Kim </w:t>
      </w:r>
      <w:r w:rsidR="00A37FA5" w:rsidRPr="00F65686">
        <w:rPr>
          <w:rFonts w:ascii="Times New Roman" w:hAnsi="Times New Roman"/>
          <w:lang w:val="en-US"/>
        </w:rPr>
        <w:t>and Marschke, 2005</w:t>
      </w:r>
      <w:r w:rsidR="00F27F57" w:rsidRPr="00F65686">
        <w:rPr>
          <w:rFonts w:ascii="Times New Roman" w:hAnsi="Times New Roman"/>
          <w:lang w:val="en-US"/>
        </w:rPr>
        <w:t>)</w:t>
      </w:r>
      <w:r w:rsidR="00A729C8" w:rsidRPr="00F65686">
        <w:rPr>
          <w:rFonts w:ascii="Times New Roman" w:hAnsi="Times New Roman"/>
          <w:lang w:val="en-US"/>
        </w:rPr>
        <w:t>,</w:t>
      </w:r>
      <w:r w:rsidR="00F27F57" w:rsidRPr="00F65686">
        <w:rPr>
          <w:rFonts w:ascii="Times New Roman" w:hAnsi="Times New Roman"/>
          <w:lang w:val="en-US"/>
        </w:rPr>
        <w:t xml:space="preserve"> allowing </w:t>
      </w:r>
      <w:r w:rsidR="00495D9F" w:rsidRPr="00F65686">
        <w:rPr>
          <w:rFonts w:ascii="Times New Roman" w:hAnsi="Times New Roman"/>
          <w:lang w:val="en-US"/>
        </w:rPr>
        <w:t xml:space="preserve">for </w:t>
      </w:r>
      <w:r w:rsidR="00F27F57" w:rsidRPr="00F65686">
        <w:rPr>
          <w:rFonts w:ascii="Times New Roman" w:hAnsi="Times New Roman"/>
          <w:lang w:val="en-US"/>
        </w:rPr>
        <w:t xml:space="preserve">an effective combination of internal and external knowledge (Barge-Gil, 2010; Cohen and Levinthal, 1990). </w:t>
      </w:r>
      <w:r w:rsidR="00495D9F" w:rsidRPr="00F65686">
        <w:rPr>
          <w:rFonts w:ascii="Times New Roman" w:hAnsi="Times New Roman"/>
          <w:lang w:val="en-US"/>
        </w:rPr>
        <w:t>By contrast</w:t>
      </w:r>
      <w:r w:rsidR="00F27F57" w:rsidRPr="00F65686">
        <w:rPr>
          <w:rFonts w:ascii="Times New Roman" w:hAnsi="Times New Roman"/>
          <w:lang w:val="en-US"/>
        </w:rPr>
        <w:t>, SMEs tend to have fewer collaborations with external sources of knowledge (</w:t>
      </w:r>
      <w:r w:rsidR="00A93BE2" w:rsidRPr="00F65686">
        <w:rPr>
          <w:rFonts w:ascii="Times New Roman" w:hAnsi="Times New Roman"/>
          <w:lang w:val="en-US"/>
        </w:rPr>
        <w:t xml:space="preserve">Tether and Tajar, 2006) and </w:t>
      </w:r>
      <w:r w:rsidR="00F27F57" w:rsidRPr="00F65686">
        <w:rPr>
          <w:rFonts w:ascii="Times New Roman" w:hAnsi="Times New Roman"/>
          <w:lang w:val="en-US"/>
        </w:rPr>
        <w:t>prefer collaborat</w:t>
      </w:r>
      <w:r w:rsidR="00A93BE2" w:rsidRPr="00F65686">
        <w:rPr>
          <w:rFonts w:ascii="Times New Roman" w:hAnsi="Times New Roman"/>
          <w:lang w:val="en-US"/>
        </w:rPr>
        <w:t>ions</w:t>
      </w:r>
      <w:r w:rsidR="00F27F57" w:rsidRPr="00F65686">
        <w:rPr>
          <w:rFonts w:ascii="Times New Roman" w:hAnsi="Times New Roman"/>
          <w:lang w:val="en-US"/>
        </w:rPr>
        <w:t xml:space="preserve"> with suppliers and customers (Doloreux, 2004). </w:t>
      </w:r>
      <w:r w:rsidR="00A93BE2" w:rsidRPr="00F65686">
        <w:rPr>
          <w:rFonts w:ascii="Times New Roman" w:hAnsi="Times New Roman"/>
          <w:lang w:val="en-US"/>
        </w:rPr>
        <w:t xml:space="preserve">Generally, </w:t>
      </w:r>
      <w:r w:rsidR="00F27F57" w:rsidRPr="00F65686">
        <w:rPr>
          <w:rFonts w:ascii="Times New Roman" w:hAnsi="Times New Roman"/>
          <w:lang w:val="en-US"/>
        </w:rPr>
        <w:t xml:space="preserve">SMEs </w:t>
      </w:r>
      <w:r w:rsidR="00495D9F" w:rsidRPr="00F65686">
        <w:rPr>
          <w:rFonts w:ascii="Times New Roman" w:hAnsi="Times New Roman"/>
          <w:lang w:val="en-US"/>
        </w:rPr>
        <w:t>interact</w:t>
      </w:r>
      <w:r w:rsidR="00F27F57" w:rsidRPr="00F65686">
        <w:rPr>
          <w:rFonts w:ascii="Times New Roman" w:hAnsi="Times New Roman"/>
          <w:lang w:val="en-US"/>
        </w:rPr>
        <w:t xml:space="preserve"> insufficient</w:t>
      </w:r>
      <w:r w:rsidR="00495D9F" w:rsidRPr="00F65686">
        <w:rPr>
          <w:rFonts w:ascii="Times New Roman" w:hAnsi="Times New Roman"/>
          <w:lang w:val="en-US"/>
        </w:rPr>
        <w:t>ly</w:t>
      </w:r>
      <w:r w:rsidR="00F27F57" w:rsidRPr="00F65686">
        <w:rPr>
          <w:rFonts w:ascii="Times New Roman" w:hAnsi="Times New Roman"/>
          <w:lang w:val="en-US"/>
        </w:rPr>
        <w:t xml:space="preserve"> with </w:t>
      </w:r>
      <w:r w:rsidR="00755E74" w:rsidRPr="00F65686">
        <w:rPr>
          <w:rFonts w:ascii="Times New Roman" w:hAnsi="Times New Roman"/>
          <w:lang w:val="en-US"/>
        </w:rPr>
        <w:t>knowledge suppliers</w:t>
      </w:r>
      <w:r w:rsidRPr="00F65686">
        <w:rPr>
          <w:rFonts w:ascii="Times New Roman" w:hAnsi="Times New Roman"/>
          <w:lang w:val="en-US"/>
        </w:rPr>
        <w:t xml:space="preserve">; this </w:t>
      </w:r>
      <w:r w:rsidR="00A93BE2" w:rsidRPr="00F65686">
        <w:rPr>
          <w:rFonts w:ascii="Times New Roman" w:hAnsi="Times New Roman"/>
          <w:lang w:val="en-US"/>
        </w:rPr>
        <w:t>behavio</w:t>
      </w:r>
      <w:r w:rsidR="00F27F57" w:rsidRPr="00F65686">
        <w:rPr>
          <w:rFonts w:ascii="Times New Roman" w:hAnsi="Times New Roman"/>
          <w:lang w:val="en-US"/>
        </w:rPr>
        <w:t xml:space="preserve">r reduces the potential of external sources to stimulate innovation (Un et al., 2010). </w:t>
      </w:r>
      <w:r w:rsidRPr="00F65686">
        <w:rPr>
          <w:rFonts w:ascii="Times New Roman" w:hAnsi="Times New Roman"/>
          <w:lang w:val="en-US"/>
        </w:rPr>
        <w:t>In fact, t</w:t>
      </w:r>
      <w:r w:rsidR="00BF5C02" w:rsidRPr="00F65686">
        <w:rPr>
          <w:rFonts w:ascii="Times New Roman" w:hAnsi="Times New Roman"/>
          <w:lang w:val="en-US"/>
        </w:rPr>
        <w:t>he</w:t>
      </w:r>
      <w:r w:rsidR="005A33CE" w:rsidRPr="00F65686">
        <w:rPr>
          <w:rFonts w:ascii="Times New Roman" w:hAnsi="Times New Roman"/>
          <w:lang w:val="en-US"/>
        </w:rPr>
        <w:t xml:space="preserve"> </w:t>
      </w:r>
      <w:r w:rsidR="005A33CE" w:rsidRPr="00F65686">
        <w:rPr>
          <w:rFonts w:ascii="Times New Roman" w:hAnsi="Times New Roman"/>
          <w:lang w:val="en-US"/>
        </w:rPr>
        <w:lastRenderedPageBreak/>
        <w:t>value and potential of collaboration</w:t>
      </w:r>
      <w:r w:rsidR="00BF5C02" w:rsidRPr="00F65686">
        <w:rPr>
          <w:rFonts w:ascii="Times New Roman" w:hAnsi="Times New Roman"/>
          <w:lang w:val="en-US"/>
        </w:rPr>
        <w:t>s are</w:t>
      </w:r>
      <w:r w:rsidR="005A33CE" w:rsidRPr="00F65686">
        <w:rPr>
          <w:rFonts w:ascii="Times New Roman" w:hAnsi="Times New Roman"/>
          <w:lang w:val="en-US"/>
        </w:rPr>
        <w:t xml:space="preserve"> difficult</w:t>
      </w:r>
      <w:r w:rsidR="00BF5C02" w:rsidRPr="00F65686">
        <w:rPr>
          <w:rFonts w:ascii="Times New Roman" w:hAnsi="Times New Roman"/>
          <w:lang w:val="en-US"/>
        </w:rPr>
        <w:t xml:space="preserve"> to assess for</w:t>
      </w:r>
      <w:r w:rsidR="005A33CE" w:rsidRPr="00F65686">
        <w:rPr>
          <w:rFonts w:ascii="Times New Roman" w:hAnsi="Times New Roman"/>
          <w:lang w:val="en-US"/>
        </w:rPr>
        <w:t xml:space="preserve"> </w:t>
      </w:r>
      <w:r w:rsidR="00A93BE2" w:rsidRPr="00F65686">
        <w:rPr>
          <w:rFonts w:ascii="Times New Roman" w:hAnsi="Times New Roman"/>
          <w:lang w:val="en-US"/>
        </w:rPr>
        <w:t>SMEs</w:t>
      </w:r>
      <w:r w:rsidRPr="00F65686">
        <w:rPr>
          <w:rFonts w:ascii="Times New Roman" w:hAnsi="Times New Roman"/>
          <w:lang w:val="en-US"/>
        </w:rPr>
        <w:t>; therefore,</w:t>
      </w:r>
      <w:r w:rsidR="00A93BE2" w:rsidRPr="00F65686">
        <w:rPr>
          <w:rFonts w:ascii="Times New Roman" w:hAnsi="Times New Roman"/>
          <w:lang w:val="en-US"/>
        </w:rPr>
        <w:t xml:space="preserve"> </w:t>
      </w:r>
      <w:r w:rsidR="00BF5C02" w:rsidRPr="00F65686">
        <w:rPr>
          <w:rFonts w:ascii="Times New Roman" w:hAnsi="Times New Roman"/>
          <w:lang w:val="en-US"/>
        </w:rPr>
        <w:t>they do not master</w:t>
      </w:r>
      <w:r w:rsidR="005A33CE" w:rsidRPr="00F65686">
        <w:rPr>
          <w:rFonts w:ascii="Times New Roman" w:hAnsi="Times New Roman"/>
          <w:lang w:val="en-US"/>
        </w:rPr>
        <w:t xml:space="preserve"> the skills to </w:t>
      </w:r>
      <w:r w:rsidR="00A93BE2" w:rsidRPr="00F65686">
        <w:rPr>
          <w:rFonts w:ascii="Times New Roman" w:hAnsi="Times New Roman"/>
          <w:lang w:val="en-US"/>
        </w:rPr>
        <w:t xml:space="preserve">manage </w:t>
      </w:r>
      <w:r w:rsidR="005A33CE" w:rsidRPr="00F65686">
        <w:rPr>
          <w:rFonts w:ascii="Times New Roman" w:hAnsi="Times New Roman"/>
          <w:lang w:val="en-US"/>
        </w:rPr>
        <w:t>those</w:t>
      </w:r>
      <w:r w:rsidR="00A93BE2" w:rsidRPr="00F65686">
        <w:rPr>
          <w:rFonts w:ascii="Times New Roman" w:hAnsi="Times New Roman"/>
          <w:lang w:val="en-US"/>
        </w:rPr>
        <w:t xml:space="preserve"> relationships (de Jong and Hulsink</w:t>
      </w:r>
      <w:r w:rsidR="00F61750" w:rsidRPr="00F65686">
        <w:rPr>
          <w:rFonts w:ascii="Times New Roman" w:hAnsi="Times New Roman"/>
          <w:lang w:val="en-US"/>
        </w:rPr>
        <w:t>,</w:t>
      </w:r>
      <w:r w:rsidR="00A93BE2" w:rsidRPr="00F65686">
        <w:rPr>
          <w:rFonts w:ascii="Times New Roman" w:hAnsi="Times New Roman"/>
          <w:lang w:val="en-US"/>
        </w:rPr>
        <w:t xml:space="preserve"> 2012).</w:t>
      </w:r>
    </w:p>
    <w:p w14:paraId="703AC9E9" w14:textId="357CBA88" w:rsidR="001332A6" w:rsidRPr="00F65686" w:rsidRDefault="003B1909" w:rsidP="00F65686">
      <w:pPr>
        <w:jc w:val="both"/>
        <w:rPr>
          <w:rFonts w:ascii="Times New Roman" w:hAnsi="Times New Roman"/>
          <w:lang w:val="en-GB"/>
        </w:rPr>
      </w:pPr>
      <w:r w:rsidRPr="00F65686">
        <w:rPr>
          <w:rFonts w:ascii="Times New Roman" w:hAnsi="Times New Roman"/>
          <w:lang w:val="en-GB"/>
        </w:rPr>
        <w:t xml:space="preserve">Yet, contrasting evidence suggests </w:t>
      </w:r>
      <w:r w:rsidR="00F27F57" w:rsidRPr="00F65686">
        <w:rPr>
          <w:rFonts w:ascii="Times New Roman" w:hAnsi="Times New Roman"/>
          <w:lang w:val="en-GB"/>
        </w:rPr>
        <w:t xml:space="preserve">that small firms </w:t>
      </w:r>
      <w:r w:rsidRPr="00F65686">
        <w:rPr>
          <w:rFonts w:ascii="Times New Roman" w:hAnsi="Times New Roman"/>
          <w:lang w:val="en-GB"/>
        </w:rPr>
        <w:t xml:space="preserve">would instead be </w:t>
      </w:r>
      <w:r w:rsidR="00BF5C02" w:rsidRPr="00F65686">
        <w:rPr>
          <w:rFonts w:ascii="Times New Roman" w:hAnsi="Times New Roman"/>
          <w:lang w:val="en-GB"/>
        </w:rPr>
        <w:t xml:space="preserve">more </w:t>
      </w:r>
      <w:r w:rsidR="00F27F57" w:rsidRPr="00F65686">
        <w:rPr>
          <w:rFonts w:ascii="Times New Roman" w:hAnsi="Times New Roman"/>
          <w:lang w:val="en-GB"/>
        </w:rPr>
        <w:t xml:space="preserve">capable </w:t>
      </w:r>
      <w:r w:rsidR="00495D9F" w:rsidRPr="00F65686">
        <w:rPr>
          <w:rFonts w:ascii="Times New Roman" w:hAnsi="Times New Roman"/>
          <w:lang w:val="en-GB"/>
        </w:rPr>
        <w:t>of</w:t>
      </w:r>
      <w:r w:rsidR="00F27F57" w:rsidRPr="00F65686">
        <w:rPr>
          <w:rFonts w:ascii="Times New Roman" w:hAnsi="Times New Roman"/>
          <w:lang w:val="en-GB"/>
        </w:rPr>
        <w:t xml:space="preserve"> </w:t>
      </w:r>
      <w:r w:rsidR="001332A6" w:rsidRPr="00F65686">
        <w:rPr>
          <w:rFonts w:ascii="Times New Roman" w:hAnsi="Times New Roman"/>
          <w:lang w:val="en-GB"/>
        </w:rPr>
        <w:t>leveraging</w:t>
      </w:r>
      <w:r w:rsidR="00F27F57" w:rsidRPr="00F65686">
        <w:rPr>
          <w:rFonts w:ascii="Times New Roman" w:hAnsi="Times New Roman"/>
          <w:lang w:val="en-GB"/>
        </w:rPr>
        <w:t xml:space="preserve"> knowledge</w:t>
      </w:r>
      <w:r w:rsidR="00BF5C02" w:rsidRPr="00F65686">
        <w:rPr>
          <w:rFonts w:ascii="Times New Roman" w:hAnsi="Times New Roman"/>
          <w:lang w:val="en-GB"/>
        </w:rPr>
        <w:t xml:space="preserve"> from external sources</w:t>
      </w:r>
      <w:r w:rsidR="00F27F57" w:rsidRPr="00F65686">
        <w:rPr>
          <w:rFonts w:ascii="Times New Roman" w:hAnsi="Times New Roman"/>
          <w:lang w:val="en-GB"/>
        </w:rPr>
        <w:t xml:space="preserve"> than larger ones (Link and Rees, 1990; Acs et al., 1992)</w:t>
      </w:r>
      <w:r w:rsidR="00BF5C02" w:rsidRPr="00F65686">
        <w:rPr>
          <w:rFonts w:ascii="Times New Roman" w:hAnsi="Times New Roman"/>
          <w:lang w:val="en-GB"/>
        </w:rPr>
        <w:t>. SMEs</w:t>
      </w:r>
      <w:r w:rsidR="00F27F57" w:rsidRPr="00F65686">
        <w:rPr>
          <w:rFonts w:ascii="Times New Roman" w:hAnsi="Times New Roman"/>
          <w:lang w:val="en-GB"/>
        </w:rPr>
        <w:t xml:space="preserve"> </w:t>
      </w:r>
      <w:r w:rsidR="00901505" w:rsidRPr="00F65686">
        <w:rPr>
          <w:rFonts w:ascii="Times New Roman" w:hAnsi="Times New Roman"/>
          <w:lang w:val="en-GB"/>
        </w:rPr>
        <w:t>enjoy</w:t>
      </w:r>
      <w:r w:rsidR="00F27F57" w:rsidRPr="00F65686">
        <w:rPr>
          <w:rFonts w:ascii="Times New Roman" w:hAnsi="Times New Roman"/>
          <w:lang w:val="en-GB"/>
        </w:rPr>
        <w:t xml:space="preserve"> a comparative advantage </w:t>
      </w:r>
      <w:r w:rsidR="00495D9F" w:rsidRPr="00F65686">
        <w:rPr>
          <w:rFonts w:ascii="Times New Roman" w:hAnsi="Times New Roman"/>
          <w:lang w:val="en-GB"/>
        </w:rPr>
        <w:t>in</w:t>
      </w:r>
      <w:r w:rsidR="00F27F57" w:rsidRPr="00F65686">
        <w:rPr>
          <w:rFonts w:ascii="Times New Roman" w:hAnsi="Times New Roman"/>
          <w:lang w:val="en-GB"/>
        </w:rPr>
        <w:t xml:space="preserve"> exploiting knowledge spillovers from external sources (Acs et al., 1994).</w:t>
      </w:r>
      <w:r w:rsidR="001332A6" w:rsidRPr="00F65686">
        <w:rPr>
          <w:rFonts w:ascii="Times New Roman" w:hAnsi="Times New Roman"/>
          <w:lang w:val="en-GB"/>
        </w:rPr>
        <w:t xml:space="preserve"> K</w:t>
      </w:r>
      <w:r w:rsidR="002F43F0" w:rsidRPr="00F65686">
        <w:rPr>
          <w:rFonts w:ascii="Times New Roman" w:hAnsi="Times New Roman"/>
          <w:lang w:val="en-GB"/>
        </w:rPr>
        <w:t>nowledge suppliers</w:t>
      </w:r>
      <w:r w:rsidR="00F27F57" w:rsidRPr="00F65686">
        <w:rPr>
          <w:rFonts w:ascii="Times New Roman" w:hAnsi="Times New Roman"/>
          <w:lang w:val="en-GB"/>
        </w:rPr>
        <w:t xml:space="preserve"> </w:t>
      </w:r>
      <w:r w:rsidR="001332A6" w:rsidRPr="00F65686">
        <w:rPr>
          <w:rFonts w:ascii="Times New Roman" w:hAnsi="Times New Roman"/>
          <w:lang w:val="en-GB"/>
        </w:rPr>
        <w:t>are</w:t>
      </w:r>
      <w:r w:rsidR="00F27F57" w:rsidRPr="00F65686">
        <w:rPr>
          <w:rFonts w:ascii="Times New Roman" w:hAnsi="Times New Roman"/>
          <w:lang w:val="en-GB"/>
        </w:rPr>
        <w:t xml:space="preserve"> an important option </w:t>
      </w:r>
      <w:r w:rsidR="001E39F2" w:rsidRPr="00F65686">
        <w:rPr>
          <w:rFonts w:ascii="Times New Roman" w:hAnsi="Times New Roman"/>
          <w:lang w:val="en-GB"/>
        </w:rPr>
        <w:t xml:space="preserve">for SMEs </w:t>
      </w:r>
      <w:r w:rsidR="00F27F57" w:rsidRPr="00F65686">
        <w:rPr>
          <w:rFonts w:ascii="Times New Roman" w:hAnsi="Times New Roman"/>
          <w:lang w:val="en-GB"/>
        </w:rPr>
        <w:t xml:space="preserve">to </w:t>
      </w:r>
      <w:r w:rsidR="002F43F0" w:rsidRPr="00F65686">
        <w:rPr>
          <w:rFonts w:ascii="Times New Roman" w:hAnsi="Times New Roman"/>
          <w:lang w:val="en-GB"/>
        </w:rPr>
        <w:t>foster</w:t>
      </w:r>
      <w:r w:rsidR="00495D9F" w:rsidRPr="00F65686">
        <w:rPr>
          <w:rFonts w:ascii="Times New Roman" w:hAnsi="Times New Roman"/>
          <w:lang w:val="en-GB"/>
        </w:rPr>
        <w:t xml:space="preserve"> </w:t>
      </w:r>
      <w:r w:rsidR="001E39F2" w:rsidRPr="00F65686">
        <w:rPr>
          <w:rFonts w:ascii="Times New Roman" w:hAnsi="Times New Roman"/>
          <w:lang w:val="en-GB"/>
        </w:rPr>
        <w:t>their</w:t>
      </w:r>
      <w:r w:rsidR="00F27F57" w:rsidRPr="00F65686">
        <w:rPr>
          <w:rFonts w:ascii="Times New Roman" w:hAnsi="Times New Roman"/>
          <w:lang w:val="en-GB"/>
        </w:rPr>
        <w:t xml:space="preserve"> competitiveness, because these firms </w:t>
      </w:r>
      <w:r w:rsidR="00495D9F" w:rsidRPr="00F65686">
        <w:rPr>
          <w:rFonts w:ascii="Times New Roman" w:hAnsi="Times New Roman"/>
          <w:lang w:val="en-GB"/>
        </w:rPr>
        <w:t>are unable to</w:t>
      </w:r>
      <w:r w:rsidR="00F27F57" w:rsidRPr="00F65686">
        <w:rPr>
          <w:rFonts w:ascii="Times New Roman" w:hAnsi="Times New Roman"/>
          <w:lang w:val="en-GB"/>
        </w:rPr>
        <w:t xml:space="preserve"> cover the spectrum of knowledge a</w:t>
      </w:r>
      <w:r w:rsidR="001332A6" w:rsidRPr="00F65686">
        <w:rPr>
          <w:rFonts w:ascii="Times New Roman" w:hAnsi="Times New Roman"/>
          <w:lang w:val="en-GB"/>
        </w:rPr>
        <w:t>nd technology needed for their R&amp;D efforts</w:t>
      </w:r>
      <w:r w:rsidR="00F27F57" w:rsidRPr="00F65686">
        <w:rPr>
          <w:rFonts w:ascii="Times New Roman" w:hAnsi="Times New Roman"/>
          <w:lang w:val="en-GB"/>
        </w:rPr>
        <w:t>.</w:t>
      </w:r>
    </w:p>
    <w:p w14:paraId="6671EB7B" w14:textId="51349617" w:rsidR="00BF5C02" w:rsidRPr="00F65686" w:rsidRDefault="001332A6" w:rsidP="00F65686">
      <w:pPr>
        <w:jc w:val="both"/>
        <w:rPr>
          <w:rFonts w:ascii="Times New Roman" w:hAnsi="Times New Roman"/>
          <w:lang w:val="en-US"/>
        </w:rPr>
      </w:pPr>
      <w:r w:rsidRPr="00F65686">
        <w:rPr>
          <w:rFonts w:ascii="Times New Roman" w:hAnsi="Times New Roman"/>
          <w:lang w:val="en-GB"/>
        </w:rPr>
        <w:t>In smaller firms</w:t>
      </w:r>
      <w:r w:rsidR="00F27F57" w:rsidRPr="00F65686">
        <w:rPr>
          <w:rFonts w:ascii="Times New Roman" w:hAnsi="Times New Roman"/>
          <w:lang w:val="en-GB"/>
        </w:rPr>
        <w:t xml:space="preserve">, internal innovative activities </w:t>
      </w:r>
      <w:r w:rsidRPr="00F65686">
        <w:rPr>
          <w:rFonts w:ascii="Times New Roman" w:hAnsi="Times New Roman"/>
          <w:lang w:val="en-GB"/>
        </w:rPr>
        <w:t>are often</w:t>
      </w:r>
      <w:r w:rsidR="00BF5C02" w:rsidRPr="00F65686">
        <w:rPr>
          <w:rFonts w:ascii="Times New Roman" w:hAnsi="Times New Roman"/>
          <w:lang w:val="en-GB"/>
        </w:rPr>
        <w:t xml:space="preserve"> haphazard</w:t>
      </w:r>
      <w:r w:rsidRPr="00F65686">
        <w:rPr>
          <w:rFonts w:ascii="Times New Roman" w:hAnsi="Times New Roman"/>
          <w:lang w:val="en-GB"/>
        </w:rPr>
        <w:t xml:space="preserve"> because of their difficulty</w:t>
      </w:r>
      <w:r w:rsidR="00F27F57" w:rsidRPr="00F65686">
        <w:rPr>
          <w:rFonts w:ascii="Times New Roman" w:hAnsi="Times New Roman"/>
          <w:lang w:val="en-GB"/>
        </w:rPr>
        <w:t xml:space="preserve"> to sustain </w:t>
      </w:r>
      <w:r w:rsidRPr="00F65686">
        <w:rPr>
          <w:rFonts w:ascii="Times New Roman" w:hAnsi="Times New Roman"/>
          <w:lang w:val="en-GB"/>
        </w:rPr>
        <w:t>financially internal R&amp;D</w:t>
      </w:r>
      <w:r w:rsidR="00F27F57" w:rsidRPr="00F65686">
        <w:rPr>
          <w:rFonts w:ascii="Times New Roman" w:hAnsi="Times New Roman"/>
          <w:lang w:val="en-GB"/>
        </w:rPr>
        <w:t xml:space="preserve"> (O'Regan and Kling, 2011). </w:t>
      </w:r>
      <w:r w:rsidRPr="00F65686">
        <w:rPr>
          <w:rFonts w:ascii="Times New Roman" w:hAnsi="Times New Roman"/>
          <w:lang w:val="en-US"/>
        </w:rPr>
        <w:t>Therefore</w:t>
      </w:r>
      <w:r w:rsidR="00255BF5" w:rsidRPr="00F65686">
        <w:rPr>
          <w:rFonts w:ascii="Times New Roman" w:hAnsi="Times New Roman"/>
          <w:lang w:val="en-US"/>
        </w:rPr>
        <w:t xml:space="preserve">, SMEs </w:t>
      </w:r>
      <w:r w:rsidR="00D24242" w:rsidRPr="00F65686">
        <w:rPr>
          <w:rFonts w:ascii="Times New Roman" w:hAnsi="Times New Roman"/>
          <w:lang w:val="en-US"/>
        </w:rPr>
        <w:t>need to be supported when choosing</w:t>
      </w:r>
      <w:r w:rsidR="00255BF5" w:rsidRPr="00F65686">
        <w:rPr>
          <w:rFonts w:ascii="Times New Roman" w:hAnsi="Times New Roman"/>
          <w:lang w:val="en-US"/>
        </w:rPr>
        <w:t xml:space="preserve"> their </w:t>
      </w:r>
      <w:r w:rsidR="00BF5C02" w:rsidRPr="00F65686">
        <w:rPr>
          <w:rFonts w:ascii="Times New Roman" w:hAnsi="Times New Roman"/>
          <w:lang w:val="en-US"/>
        </w:rPr>
        <w:t xml:space="preserve">knowledge </w:t>
      </w:r>
      <w:r w:rsidR="00255BF5" w:rsidRPr="00F65686">
        <w:rPr>
          <w:rFonts w:ascii="Times New Roman" w:hAnsi="Times New Roman"/>
          <w:lang w:val="en-US"/>
        </w:rPr>
        <w:t xml:space="preserve">partners </w:t>
      </w:r>
      <w:r w:rsidR="00BF5C02" w:rsidRPr="00F65686">
        <w:rPr>
          <w:rFonts w:ascii="Times New Roman" w:hAnsi="Times New Roman"/>
          <w:lang w:val="en-US"/>
        </w:rPr>
        <w:t>and learn</w:t>
      </w:r>
      <w:r w:rsidR="00D24242" w:rsidRPr="00F65686">
        <w:rPr>
          <w:rFonts w:ascii="Times New Roman" w:hAnsi="Times New Roman"/>
          <w:lang w:val="en-US"/>
        </w:rPr>
        <w:t>ing</w:t>
      </w:r>
      <w:r w:rsidR="00BF5C02" w:rsidRPr="00F65686">
        <w:rPr>
          <w:rFonts w:ascii="Times New Roman" w:hAnsi="Times New Roman"/>
          <w:lang w:val="en-US"/>
        </w:rPr>
        <w:t xml:space="preserve"> </w:t>
      </w:r>
      <w:r w:rsidR="00255BF5" w:rsidRPr="00F65686">
        <w:rPr>
          <w:rFonts w:ascii="Times New Roman" w:hAnsi="Times New Roman"/>
          <w:lang w:val="en-US"/>
        </w:rPr>
        <w:t>to collaborate with them (Coletti and Landoni, 2018).</w:t>
      </w:r>
    </w:p>
    <w:p w14:paraId="696EE0F8" w14:textId="77777777" w:rsidR="009901A0" w:rsidRPr="00F65686" w:rsidRDefault="009901A0" w:rsidP="00F65686">
      <w:pPr>
        <w:jc w:val="both"/>
        <w:rPr>
          <w:rFonts w:ascii="Times New Roman" w:hAnsi="Times New Roman"/>
          <w:lang w:val="en-US"/>
        </w:rPr>
      </w:pPr>
    </w:p>
    <w:p w14:paraId="4C8E5BC7" w14:textId="2F92FFA6" w:rsidR="0093582D" w:rsidRPr="00F65686" w:rsidRDefault="00EA53FD" w:rsidP="00F65686">
      <w:pPr>
        <w:pStyle w:val="Titolo3"/>
        <w:jc w:val="both"/>
        <w:rPr>
          <w:rFonts w:ascii="Times New Roman" w:hAnsi="Times New Roman"/>
          <w:lang w:val="en-GB"/>
        </w:rPr>
      </w:pPr>
      <w:r w:rsidRPr="00F65686">
        <w:rPr>
          <w:rFonts w:ascii="Times New Roman" w:hAnsi="Times New Roman"/>
          <w:lang w:val="en-GB"/>
        </w:rPr>
        <w:t xml:space="preserve">2.2 </w:t>
      </w:r>
      <w:r w:rsidR="00F27F57" w:rsidRPr="00F65686">
        <w:rPr>
          <w:rFonts w:ascii="Times New Roman" w:hAnsi="Times New Roman"/>
          <w:lang w:val="en-GB"/>
        </w:rPr>
        <w:t xml:space="preserve">Innovation </w:t>
      </w:r>
      <w:r w:rsidR="003F2694" w:rsidRPr="00F65686">
        <w:rPr>
          <w:rFonts w:ascii="Times New Roman" w:hAnsi="Times New Roman"/>
          <w:lang w:val="en-GB"/>
        </w:rPr>
        <w:t>p</w:t>
      </w:r>
      <w:r w:rsidR="00F27F57" w:rsidRPr="00F65686">
        <w:rPr>
          <w:rFonts w:ascii="Times New Roman" w:hAnsi="Times New Roman"/>
          <w:lang w:val="en-GB"/>
        </w:rPr>
        <w:t>olicies</w:t>
      </w:r>
    </w:p>
    <w:p w14:paraId="3725B37C" w14:textId="7DDB9335" w:rsidR="004E4BF0" w:rsidRPr="00F65686" w:rsidRDefault="003B1909" w:rsidP="00F65686">
      <w:pPr>
        <w:jc w:val="both"/>
        <w:rPr>
          <w:rFonts w:ascii="Times New Roman" w:hAnsi="Times New Roman"/>
          <w:lang w:val="en-GB"/>
        </w:rPr>
      </w:pPr>
      <w:r w:rsidRPr="00F65686">
        <w:rPr>
          <w:rFonts w:ascii="Times New Roman" w:hAnsi="Times New Roman"/>
          <w:lang w:val="en-GB"/>
        </w:rPr>
        <w:t xml:space="preserve">The rationale for subsidizing research activities is classically based on the notion of </w:t>
      </w:r>
      <w:r w:rsidR="0079038A" w:rsidRPr="00F65686">
        <w:rPr>
          <w:rFonts w:ascii="Times New Roman" w:hAnsi="Times New Roman"/>
          <w:lang w:val="en-GB"/>
        </w:rPr>
        <w:t xml:space="preserve">market failure. When the private rate of return to the potential innovator </w:t>
      </w:r>
      <w:r w:rsidRPr="00F65686">
        <w:rPr>
          <w:rFonts w:ascii="Times New Roman" w:hAnsi="Times New Roman"/>
          <w:lang w:val="en-GB"/>
        </w:rPr>
        <w:t xml:space="preserve">is </w:t>
      </w:r>
      <w:r w:rsidR="0079038A" w:rsidRPr="00F65686">
        <w:rPr>
          <w:rFonts w:ascii="Times New Roman" w:hAnsi="Times New Roman"/>
          <w:lang w:val="en-GB"/>
        </w:rPr>
        <w:t xml:space="preserve">too low to invest in an innovation, while the social rate of return for the rest of the economy </w:t>
      </w:r>
      <w:r w:rsidR="003E6282" w:rsidRPr="00F65686">
        <w:rPr>
          <w:rFonts w:ascii="Times New Roman" w:hAnsi="Times New Roman"/>
          <w:lang w:val="en-GB"/>
        </w:rPr>
        <w:t>is</w:t>
      </w:r>
      <w:r w:rsidR="0079038A" w:rsidRPr="00F65686">
        <w:rPr>
          <w:rFonts w:ascii="Times New Roman" w:hAnsi="Times New Roman"/>
          <w:lang w:val="en-GB"/>
        </w:rPr>
        <w:t xml:space="preserve"> high, </w:t>
      </w:r>
      <w:r w:rsidRPr="00F65686">
        <w:rPr>
          <w:rFonts w:ascii="Times New Roman" w:hAnsi="Times New Roman"/>
          <w:lang w:val="en-GB"/>
        </w:rPr>
        <w:t xml:space="preserve">firms will underinvest in R&amp;D w.r.t. </w:t>
      </w:r>
      <w:r w:rsidR="003E6282" w:rsidRPr="00F65686">
        <w:rPr>
          <w:rFonts w:ascii="Times New Roman" w:hAnsi="Times New Roman"/>
          <w:lang w:val="en-GB"/>
        </w:rPr>
        <w:t>the social optimum.</w:t>
      </w:r>
      <w:r w:rsidR="0079038A" w:rsidRPr="00F65686">
        <w:rPr>
          <w:rFonts w:ascii="Times New Roman" w:hAnsi="Times New Roman"/>
          <w:lang w:val="en-GB"/>
        </w:rPr>
        <w:t xml:space="preserve"> </w:t>
      </w:r>
      <w:r w:rsidR="004E4BF0" w:rsidRPr="00F65686">
        <w:rPr>
          <w:rFonts w:ascii="Times New Roman" w:hAnsi="Times New Roman"/>
          <w:lang w:val="en-GB"/>
        </w:rPr>
        <w:t xml:space="preserve">Another policy rationale is the systemic failure approach. Rooted in evolutionary economics, it has </w:t>
      </w:r>
      <w:r w:rsidR="008B6CB8" w:rsidRPr="00F65686">
        <w:rPr>
          <w:rFonts w:ascii="Times New Roman" w:hAnsi="Times New Roman"/>
          <w:lang w:val="en-GB"/>
        </w:rPr>
        <w:t xml:space="preserve">been </w:t>
      </w:r>
      <w:r w:rsidR="004E4BF0" w:rsidRPr="00F65686">
        <w:rPr>
          <w:rFonts w:ascii="Times New Roman" w:hAnsi="Times New Roman"/>
          <w:lang w:val="en-GB"/>
        </w:rPr>
        <w:t>proposed either as an alternative to the market failure rationale</w:t>
      </w:r>
      <w:r w:rsidR="008B6CB8" w:rsidRPr="00F65686">
        <w:rPr>
          <w:rFonts w:ascii="Times New Roman" w:hAnsi="Times New Roman"/>
          <w:lang w:val="en-GB"/>
        </w:rPr>
        <w:t xml:space="preserve"> or as a more general and comprehensive form </w:t>
      </w:r>
      <w:r w:rsidR="008B1A1C" w:rsidRPr="00F65686">
        <w:rPr>
          <w:rFonts w:ascii="Times New Roman" w:hAnsi="Times New Roman"/>
          <w:lang w:val="en-GB"/>
        </w:rPr>
        <w:t xml:space="preserve">of failure </w:t>
      </w:r>
      <w:r w:rsidR="008B6CB8" w:rsidRPr="00F65686">
        <w:rPr>
          <w:rFonts w:ascii="Times New Roman" w:hAnsi="Times New Roman"/>
          <w:lang w:val="en-GB"/>
        </w:rPr>
        <w:t xml:space="preserve">(Bleda and Rio, </w:t>
      </w:r>
      <w:r w:rsidR="004E4BF0" w:rsidRPr="00F65686">
        <w:rPr>
          <w:rFonts w:ascii="Times New Roman" w:hAnsi="Times New Roman"/>
          <w:lang w:val="en-GB"/>
        </w:rPr>
        <w:t>2013)</w:t>
      </w:r>
      <w:r w:rsidR="008B6CB8" w:rsidRPr="00F65686">
        <w:rPr>
          <w:rFonts w:ascii="Times New Roman" w:hAnsi="Times New Roman"/>
          <w:lang w:val="en-GB"/>
        </w:rPr>
        <w:t>. The main tenet is</w:t>
      </w:r>
      <w:r w:rsidR="004E4BF0" w:rsidRPr="00F65686">
        <w:rPr>
          <w:rFonts w:ascii="Times New Roman" w:hAnsi="Times New Roman"/>
          <w:lang w:val="en-GB"/>
        </w:rPr>
        <w:t xml:space="preserve"> that</w:t>
      </w:r>
      <w:r w:rsidR="00AB4C1D" w:rsidRPr="00F65686">
        <w:rPr>
          <w:rFonts w:ascii="Times New Roman" w:hAnsi="Times New Roman"/>
          <w:lang w:val="en-GB"/>
        </w:rPr>
        <w:t xml:space="preserve"> </w:t>
      </w:r>
      <w:r w:rsidR="004E4BF0" w:rsidRPr="00F65686">
        <w:rPr>
          <w:rFonts w:ascii="Times New Roman" w:hAnsi="Times New Roman"/>
          <w:lang w:val="en-GB"/>
        </w:rPr>
        <w:t xml:space="preserve">innovation is </w:t>
      </w:r>
      <w:r w:rsidR="00AB4C1D" w:rsidRPr="00F65686">
        <w:rPr>
          <w:rFonts w:ascii="Times New Roman" w:hAnsi="Times New Roman"/>
          <w:lang w:val="en-GB"/>
        </w:rPr>
        <w:t xml:space="preserve">the result of </w:t>
      </w:r>
      <w:r w:rsidR="004E4BF0" w:rsidRPr="00F65686">
        <w:rPr>
          <w:rFonts w:ascii="Times New Roman" w:hAnsi="Times New Roman"/>
          <w:lang w:val="en-GB"/>
        </w:rPr>
        <w:t>complex process</w:t>
      </w:r>
      <w:r w:rsidRPr="00F65686">
        <w:rPr>
          <w:rFonts w:ascii="Times New Roman" w:hAnsi="Times New Roman"/>
          <w:lang w:val="en-GB"/>
        </w:rPr>
        <w:t>es</w:t>
      </w:r>
      <w:r w:rsidR="004E4BF0" w:rsidRPr="00F65686">
        <w:rPr>
          <w:rFonts w:ascii="Times New Roman" w:hAnsi="Times New Roman"/>
          <w:lang w:val="en-GB"/>
        </w:rPr>
        <w:t xml:space="preserve"> </w:t>
      </w:r>
      <w:r w:rsidR="008B1A1C" w:rsidRPr="00F65686">
        <w:rPr>
          <w:rFonts w:ascii="Times New Roman" w:hAnsi="Times New Roman"/>
          <w:lang w:val="en-GB"/>
        </w:rPr>
        <w:t>where</w:t>
      </w:r>
      <w:r w:rsidRPr="00F65686">
        <w:rPr>
          <w:rFonts w:ascii="Times New Roman" w:hAnsi="Times New Roman"/>
          <w:lang w:val="en-GB"/>
        </w:rPr>
        <w:t>by</w:t>
      </w:r>
      <w:r w:rsidR="008B1A1C" w:rsidRPr="00F65686">
        <w:rPr>
          <w:rFonts w:ascii="Times New Roman" w:hAnsi="Times New Roman"/>
          <w:lang w:val="en-GB"/>
        </w:rPr>
        <w:t xml:space="preserve"> </w:t>
      </w:r>
      <w:r w:rsidRPr="00F65686">
        <w:rPr>
          <w:rFonts w:ascii="Times New Roman" w:hAnsi="Times New Roman"/>
          <w:lang w:val="en-GB"/>
        </w:rPr>
        <w:t xml:space="preserve">several </w:t>
      </w:r>
      <w:r w:rsidR="00AB4C1D" w:rsidRPr="00F65686">
        <w:rPr>
          <w:rFonts w:ascii="Times New Roman" w:hAnsi="Times New Roman"/>
          <w:lang w:val="en-GB"/>
        </w:rPr>
        <w:t>agents exchange and create resources and knowledge. Therefore, learning is not only an individual but also a cumulative and collective process. Public and private organizations interplay systemically in a context-specific fashion</w:t>
      </w:r>
      <w:r w:rsidR="008B1A1C" w:rsidRPr="00F65686">
        <w:rPr>
          <w:rFonts w:ascii="Times New Roman" w:hAnsi="Times New Roman"/>
          <w:lang w:val="en-GB"/>
        </w:rPr>
        <w:t>,</w:t>
      </w:r>
      <w:r w:rsidR="005135FC" w:rsidRPr="00F65686">
        <w:rPr>
          <w:rFonts w:ascii="Times New Roman" w:hAnsi="Times New Roman"/>
          <w:lang w:val="en-GB"/>
        </w:rPr>
        <w:t xml:space="preserve"> which makes difficult to identify an </w:t>
      </w:r>
      <w:r w:rsidR="004E4BF0" w:rsidRPr="00F65686">
        <w:rPr>
          <w:rFonts w:ascii="Times New Roman" w:hAnsi="Times New Roman"/>
          <w:lang w:val="en-GB"/>
        </w:rPr>
        <w:t>optimal situation</w:t>
      </w:r>
      <w:r w:rsidR="005135FC" w:rsidRPr="00F65686">
        <w:rPr>
          <w:rFonts w:ascii="Times New Roman" w:hAnsi="Times New Roman"/>
          <w:lang w:val="en-GB"/>
        </w:rPr>
        <w:t>,</w:t>
      </w:r>
      <w:r w:rsidR="004E4BF0" w:rsidRPr="00F65686">
        <w:rPr>
          <w:rFonts w:ascii="Times New Roman" w:hAnsi="Times New Roman"/>
          <w:lang w:val="en-GB"/>
        </w:rPr>
        <w:t xml:space="preserve"> </w:t>
      </w:r>
      <w:r w:rsidR="005135FC" w:rsidRPr="00F65686">
        <w:rPr>
          <w:rFonts w:ascii="Times New Roman" w:hAnsi="Times New Roman"/>
          <w:lang w:val="en-GB"/>
        </w:rPr>
        <w:t>though it may still be possible to understand when the system does not work efficiently. S</w:t>
      </w:r>
      <w:r w:rsidR="004E4BF0" w:rsidRPr="00F65686">
        <w:rPr>
          <w:rFonts w:ascii="Times New Roman" w:hAnsi="Times New Roman"/>
          <w:lang w:val="en-GB"/>
        </w:rPr>
        <w:t>ystemic failures might occur if the</w:t>
      </w:r>
      <w:r w:rsidRPr="00F65686">
        <w:rPr>
          <w:rFonts w:ascii="Times New Roman" w:hAnsi="Times New Roman"/>
          <w:lang w:val="en-GB"/>
        </w:rPr>
        <w:t xml:space="preserve">se </w:t>
      </w:r>
      <w:r w:rsidR="004E4BF0" w:rsidRPr="00F65686">
        <w:rPr>
          <w:rFonts w:ascii="Times New Roman" w:hAnsi="Times New Roman"/>
          <w:lang w:val="en-GB"/>
        </w:rPr>
        <w:t xml:space="preserve">mechanisms are not </w:t>
      </w:r>
      <w:r w:rsidRPr="00F65686">
        <w:rPr>
          <w:rFonts w:ascii="Times New Roman" w:hAnsi="Times New Roman"/>
          <w:lang w:val="en-GB"/>
        </w:rPr>
        <w:t>efficiently working</w:t>
      </w:r>
      <w:r w:rsidR="004E4BF0" w:rsidRPr="00F65686">
        <w:rPr>
          <w:rFonts w:ascii="Times New Roman" w:hAnsi="Times New Roman"/>
          <w:lang w:val="en-GB"/>
        </w:rPr>
        <w:t xml:space="preserve">. </w:t>
      </w:r>
      <w:r w:rsidR="005135FC" w:rsidRPr="00F65686">
        <w:rPr>
          <w:rFonts w:ascii="Times New Roman" w:hAnsi="Times New Roman"/>
          <w:lang w:val="en-GB"/>
        </w:rPr>
        <w:t xml:space="preserve">Bach et al. (2014) </w:t>
      </w:r>
      <w:r w:rsidR="004E4BF0" w:rsidRPr="00F65686">
        <w:rPr>
          <w:rFonts w:ascii="Times New Roman" w:hAnsi="Times New Roman"/>
          <w:lang w:val="en-GB"/>
        </w:rPr>
        <w:t>identify four types of failures:</w:t>
      </w:r>
    </w:p>
    <w:p w14:paraId="3C635B70" w14:textId="0171049E" w:rsidR="004E4BF0" w:rsidRPr="00F65686" w:rsidRDefault="005135FC" w:rsidP="00F65686">
      <w:pPr>
        <w:pStyle w:val="Paragrafoelenco"/>
        <w:numPr>
          <w:ilvl w:val="0"/>
          <w:numId w:val="8"/>
        </w:numPr>
        <w:ind w:left="284"/>
        <w:jc w:val="both"/>
        <w:rPr>
          <w:rFonts w:ascii="Times New Roman" w:hAnsi="Times New Roman"/>
          <w:lang w:val="en-GB"/>
        </w:rPr>
      </w:pPr>
      <w:r w:rsidRPr="00F65686">
        <w:rPr>
          <w:rFonts w:ascii="Times New Roman" w:hAnsi="Times New Roman"/>
          <w:lang w:val="en-GB"/>
        </w:rPr>
        <w:t>infrastructural, which relate to the lack of facilities such as research centres and laboratories</w:t>
      </w:r>
      <w:r w:rsidR="00937ABF" w:rsidRPr="00F65686">
        <w:rPr>
          <w:rFonts w:ascii="Times New Roman" w:hAnsi="Times New Roman"/>
          <w:lang w:val="en-GB"/>
        </w:rPr>
        <w:t>;</w:t>
      </w:r>
    </w:p>
    <w:p w14:paraId="4AB7A4CA" w14:textId="6AE26C38" w:rsidR="004E4BF0" w:rsidRPr="00F65686" w:rsidRDefault="004E4BF0" w:rsidP="00F65686">
      <w:pPr>
        <w:pStyle w:val="Paragrafoelenco"/>
        <w:numPr>
          <w:ilvl w:val="0"/>
          <w:numId w:val="8"/>
        </w:numPr>
        <w:ind w:left="284"/>
        <w:jc w:val="both"/>
        <w:rPr>
          <w:rFonts w:ascii="Times New Roman" w:hAnsi="Times New Roman"/>
          <w:lang w:val="en-GB"/>
        </w:rPr>
      </w:pPr>
      <w:r w:rsidRPr="00F65686">
        <w:rPr>
          <w:rFonts w:ascii="Times New Roman" w:hAnsi="Times New Roman"/>
          <w:lang w:val="en-GB"/>
        </w:rPr>
        <w:t>institutional</w:t>
      </w:r>
      <w:r w:rsidR="005135FC" w:rsidRPr="00F65686">
        <w:rPr>
          <w:rFonts w:ascii="Times New Roman" w:hAnsi="Times New Roman"/>
          <w:lang w:val="en-GB"/>
        </w:rPr>
        <w:t>,</w:t>
      </w:r>
      <w:r w:rsidRPr="00F65686">
        <w:rPr>
          <w:rFonts w:ascii="Times New Roman" w:hAnsi="Times New Roman"/>
          <w:lang w:val="en-GB"/>
        </w:rPr>
        <w:t xml:space="preserve"> </w:t>
      </w:r>
      <w:r w:rsidR="005135FC" w:rsidRPr="00F65686">
        <w:rPr>
          <w:rFonts w:ascii="Times New Roman" w:hAnsi="Times New Roman"/>
          <w:lang w:val="en-GB"/>
        </w:rPr>
        <w:t xml:space="preserve">such as laws and </w:t>
      </w:r>
      <w:r w:rsidRPr="00F65686">
        <w:rPr>
          <w:rFonts w:ascii="Times New Roman" w:hAnsi="Times New Roman"/>
          <w:lang w:val="en-GB"/>
        </w:rPr>
        <w:t>regulati</w:t>
      </w:r>
      <w:r w:rsidR="005135FC" w:rsidRPr="00F65686">
        <w:rPr>
          <w:rFonts w:ascii="Times New Roman" w:hAnsi="Times New Roman"/>
          <w:lang w:val="en-GB"/>
        </w:rPr>
        <w:t>ons,</w:t>
      </w:r>
      <w:r w:rsidRPr="00F65686">
        <w:rPr>
          <w:rFonts w:ascii="Times New Roman" w:hAnsi="Times New Roman"/>
          <w:lang w:val="en-GB"/>
        </w:rPr>
        <w:t xml:space="preserve"> </w:t>
      </w:r>
      <w:r w:rsidR="005135FC" w:rsidRPr="00F65686">
        <w:rPr>
          <w:rFonts w:ascii="Times New Roman" w:hAnsi="Times New Roman"/>
          <w:lang w:val="en-GB"/>
        </w:rPr>
        <w:t>but a</w:t>
      </w:r>
      <w:r w:rsidR="0043612E" w:rsidRPr="00F65686">
        <w:rPr>
          <w:rFonts w:ascii="Times New Roman" w:hAnsi="Times New Roman"/>
          <w:lang w:val="en-GB"/>
        </w:rPr>
        <w:t>lso political and socio-</w:t>
      </w:r>
      <w:r w:rsidRPr="00F65686">
        <w:rPr>
          <w:rFonts w:ascii="Times New Roman" w:hAnsi="Times New Roman"/>
          <w:lang w:val="en-GB"/>
        </w:rPr>
        <w:t>economic norms and values</w:t>
      </w:r>
      <w:r w:rsidR="00937ABF" w:rsidRPr="00F65686">
        <w:rPr>
          <w:rFonts w:ascii="Times New Roman" w:hAnsi="Times New Roman"/>
          <w:lang w:val="en-GB"/>
        </w:rPr>
        <w:t>;</w:t>
      </w:r>
    </w:p>
    <w:p w14:paraId="0239AFB4" w14:textId="0B5E9097" w:rsidR="004E4BF0" w:rsidRPr="00F65686" w:rsidRDefault="004E4BF0" w:rsidP="00F65686">
      <w:pPr>
        <w:pStyle w:val="Paragrafoelenco"/>
        <w:numPr>
          <w:ilvl w:val="0"/>
          <w:numId w:val="8"/>
        </w:numPr>
        <w:ind w:left="284"/>
        <w:jc w:val="both"/>
        <w:rPr>
          <w:rFonts w:ascii="Times New Roman" w:hAnsi="Times New Roman"/>
          <w:lang w:val="en-GB"/>
        </w:rPr>
      </w:pPr>
      <w:r w:rsidRPr="00F65686">
        <w:rPr>
          <w:rFonts w:ascii="Times New Roman" w:hAnsi="Times New Roman"/>
          <w:lang w:val="en-GB"/>
        </w:rPr>
        <w:t>capabilities</w:t>
      </w:r>
      <w:r w:rsidR="0043612E" w:rsidRPr="00F65686">
        <w:rPr>
          <w:rFonts w:ascii="Times New Roman" w:hAnsi="Times New Roman"/>
          <w:lang w:val="en-GB"/>
        </w:rPr>
        <w:t xml:space="preserve">, relating to </w:t>
      </w:r>
      <w:r w:rsidRPr="00F65686">
        <w:rPr>
          <w:rFonts w:ascii="Times New Roman" w:hAnsi="Times New Roman"/>
          <w:lang w:val="en-GB"/>
        </w:rPr>
        <w:t>the cognitive capacit</w:t>
      </w:r>
      <w:r w:rsidR="0043612E" w:rsidRPr="00F65686">
        <w:rPr>
          <w:rFonts w:ascii="Times New Roman" w:hAnsi="Times New Roman"/>
          <w:lang w:val="en-GB"/>
        </w:rPr>
        <w:t>y of agents in the system and their limits</w:t>
      </w:r>
      <w:r w:rsidR="00937ABF" w:rsidRPr="00F65686">
        <w:rPr>
          <w:rFonts w:ascii="Times New Roman" w:hAnsi="Times New Roman"/>
          <w:lang w:val="en-GB"/>
        </w:rPr>
        <w:t>;</w:t>
      </w:r>
    </w:p>
    <w:p w14:paraId="7EEE31AB" w14:textId="7EC2D9C9" w:rsidR="004E4BF0" w:rsidRPr="00F65686" w:rsidRDefault="004E4BF0" w:rsidP="00F65686">
      <w:pPr>
        <w:pStyle w:val="Paragrafoelenco"/>
        <w:numPr>
          <w:ilvl w:val="0"/>
          <w:numId w:val="8"/>
        </w:numPr>
        <w:ind w:left="284"/>
        <w:jc w:val="both"/>
        <w:rPr>
          <w:rFonts w:ascii="Times New Roman" w:hAnsi="Times New Roman"/>
          <w:lang w:val="en-GB"/>
        </w:rPr>
      </w:pPr>
      <w:r w:rsidRPr="00F65686">
        <w:rPr>
          <w:rFonts w:ascii="Times New Roman" w:hAnsi="Times New Roman"/>
          <w:lang w:val="en-GB"/>
        </w:rPr>
        <w:t>interaction</w:t>
      </w:r>
      <w:r w:rsidR="0043612E" w:rsidRPr="00F65686">
        <w:rPr>
          <w:rFonts w:ascii="Times New Roman" w:hAnsi="Times New Roman"/>
          <w:lang w:val="en-GB"/>
        </w:rPr>
        <w:t>,</w:t>
      </w:r>
      <w:r w:rsidRPr="00F65686">
        <w:rPr>
          <w:rFonts w:ascii="Times New Roman" w:hAnsi="Times New Roman"/>
          <w:lang w:val="en-GB"/>
        </w:rPr>
        <w:t xml:space="preserve"> </w:t>
      </w:r>
      <w:r w:rsidR="0043612E" w:rsidRPr="00F65686">
        <w:rPr>
          <w:rFonts w:ascii="Times New Roman" w:hAnsi="Times New Roman"/>
          <w:lang w:val="en-GB"/>
        </w:rPr>
        <w:t>when the</w:t>
      </w:r>
      <w:r w:rsidRPr="00F65686">
        <w:rPr>
          <w:rFonts w:ascii="Times New Roman" w:hAnsi="Times New Roman"/>
          <w:lang w:val="en-GB"/>
        </w:rPr>
        <w:t xml:space="preserve"> coordination between the agents </w:t>
      </w:r>
      <w:r w:rsidR="0043612E" w:rsidRPr="00F65686">
        <w:rPr>
          <w:rFonts w:ascii="Times New Roman" w:hAnsi="Times New Roman"/>
          <w:lang w:val="en-GB"/>
        </w:rPr>
        <w:t>is not enough or too much, hampering innovation in both cases.</w:t>
      </w:r>
    </w:p>
    <w:p w14:paraId="043A4217" w14:textId="4B816EEC" w:rsidR="00CC4F9C" w:rsidRPr="00F65686" w:rsidRDefault="00314EFE" w:rsidP="00F65686">
      <w:pPr>
        <w:jc w:val="both"/>
        <w:rPr>
          <w:rFonts w:ascii="Times New Roman" w:hAnsi="Times New Roman"/>
          <w:lang w:val="en-GB"/>
        </w:rPr>
      </w:pPr>
      <w:r w:rsidRPr="00F65686">
        <w:rPr>
          <w:rFonts w:ascii="Times New Roman" w:hAnsi="Times New Roman"/>
          <w:lang w:val="en-US"/>
        </w:rPr>
        <w:t xml:space="preserve">At every </w:t>
      </w:r>
      <w:r w:rsidR="00675778" w:rsidRPr="00F65686">
        <w:rPr>
          <w:rFonts w:ascii="Times New Roman" w:hAnsi="Times New Roman"/>
          <w:lang w:val="en-US"/>
        </w:rPr>
        <w:t xml:space="preserve">institutional </w:t>
      </w:r>
      <w:r w:rsidRPr="00F65686">
        <w:rPr>
          <w:rFonts w:ascii="Times New Roman" w:hAnsi="Times New Roman"/>
          <w:lang w:val="en-US"/>
        </w:rPr>
        <w:t>level, p</w:t>
      </w:r>
      <w:r w:rsidR="00D72D90" w:rsidRPr="00F65686">
        <w:rPr>
          <w:rFonts w:ascii="Times New Roman" w:hAnsi="Times New Roman"/>
          <w:lang w:val="en-US"/>
        </w:rPr>
        <w:t xml:space="preserve">olicy-makers promote research and innovation to improve the competitiveness of their territories. </w:t>
      </w:r>
      <w:r w:rsidR="00CC4F9C" w:rsidRPr="00F65686">
        <w:rPr>
          <w:rFonts w:ascii="Times New Roman" w:hAnsi="Times New Roman"/>
          <w:lang w:val="en-GB"/>
        </w:rPr>
        <w:t>Despite the importance attributed to R&amp;D policies, a major concern of policy-makers is how they can foster innovation thereby maximiz</w:t>
      </w:r>
      <w:r w:rsidR="00675778" w:rsidRPr="00F65686">
        <w:rPr>
          <w:rFonts w:ascii="Times New Roman" w:hAnsi="Times New Roman"/>
          <w:lang w:val="en-GB"/>
        </w:rPr>
        <w:t>ing</w:t>
      </w:r>
      <w:r w:rsidR="00CC4F9C" w:rsidRPr="00F65686">
        <w:rPr>
          <w:rFonts w:ascii="Times New Roman" w:hAnsi="Times New Roman"/>
          <w:lang w:val="en-GB"/>
        </w:rPr>
        <w:t xml:space="preserve"> the impact of public funding on the competitiveness of a productive system</w:t>
      </w:r>
      <w:r w:rsidRPr="00F65686">
        <w:rPr>
          <w:rFonts w:ascii="Times New Roman" w:hAnsi="Times New Roman"/>
          <w:lang w:val="en-GB"/>
        </w:rPr>
        <w:t xml:space="preserve"> (Bronzini and Piselli, 2016)</w:t>
      </w:r>
      <w:r w:rsidR="00CC4F9C" w:rsidRPr="00F65686">
        <w:rPr>
          <w:rFonts w:ascii="Times New Roman" w:hAnsi="Times New Roman"/>
          <w:lang w:val="en-GB"/>
        </w:rPr>
        <w:t xml:space="preserve">. </w:t>
      </w:r>
      <w:r w:rsidR="002569A0" w:rsidRPr="00F65686">
        <w:rPr>
          <w:rFonts w:ascii="Times New Roman" w:hAnsi="Times New Roman"/>
          <w:lang w:val="en-GB"/>
        </w:rPr>
        <w:t>On the other hand,</w:t>
      </w:r>
      <w:r w:rsidR="00CC4F9C" w:rsidRPr="00F65686">
        <w:rPr>
          <w:rFonts w:ascii="Times New Roman" w:hAnsi="Times New Roman"/>
          <w:lang w:val="en-GB"/>
        </w:rPr>
        <w:t xml:space="preserve"> government </w:t>
      </w:r>
      <w:r w:rsidR="00675778" w:rsidRPr="00F65686">
        <w:rPr>
          <w:rFonts w:ascii="Times New Roman" w:hAnsi="Times New Roman"/>
          <w:lang w:val="en-GB"/>
        </w:rPr>
        <w:t>intervention</w:t>
      </w:r>
      <w:r w:rsidR="00CC4F9C" w:rsidRPr="00F65686">
        <w:rPr>
          <w:rFonts w:ascii="Times New Roman" w:hAnsi="Times New Roman"/>
          <w:lang w:val="en-GB"/>
        </w:rPr>
        <w:t xml:space="preserve"> </w:t>
      </w:r>
      <w:r w:rsidR="006F57D5" w:rsidRPr="00F65686">
        <w:rPr>
          <w:rFonts w:ascii="Times New Roman" w:hAnsi="Times New Roman"/>
          <w:lang w:val="en-GB"/>
        </w:rPr>
        <w:t>in science and technology</w:t>
      </w:r>
      <w:r w:rsidR="00CC4F9C" w:rsidRPr="00F65686">
        <w:rPr>
          <w:rFonts w:ascii="Times New Roman" w:hAnsi="Times New Roman"/>
          <w:lang w:val="en-GB"/>
        </w:rPr>
        <w:t xml:space="preserve"> could displace or crowd </w:t>
      </w:r>
      <w:r w:rsidR="00E73207" w:rsidRPr="00F65686">
        <w:rPr>
          <w:rFonts w:ascii="Times New Roman" w:hAnsi="Times New Roman"/>
          <w:lang w:val="en-GB"/>
        </w:rPr>
        <w:t xml:space="preserve">out private resources (González and Pazó, 2008). </w:t>
      </w:r>
      <w:r w:rsidR="00804610" w:rsidRPr="00F65686">
        <w:rPr>
          <w:rFonts w:ascii="Times New Roman" w:hAnsi="Times New Roman"/>
          <w:lang w:val="en-GB"/>
        </w:rPr>
        <w:t>Moreover,</w:t>
      </w:r>
      <w:r w:rsidR="00E73207" w:rsidRPr="00F65686">
        <w:rPr>
          <w:rFonts w:ascii="Times New Roman" w:hAnsi="Times New Roman"/>
          <w:lang w:val="en-GB"/>
        </w:rPr>
        <w:t xml:space="preserve"> beyond a certain level, public support becomes ineffective</w:t>
      </w:r>
      <w:r w:rsidR="00CC4F9C" w:rsidRPr="00F65686">
        <w:rPr>
          <w:rFonts w:ascii="Times New Roman" w:hAnsi="Times New Roman"/>
          <w:lang w:val="en-GB"/>
        </w:rPr>
        <w:t xml:space="preserve"> </w:t>
      </w:r>
      <w:r w:rsidR="00E73207" w:rsidRPr="00F65686">
        <w:rPr>
          <w:rFonts w:ascii="Times New Roman" w:hAnsi="Times New Roman"/>
          <w:lang w:val="en-GB"/>
        </w:rPr>
        <w:t>(</w:t>
      </w:r>
      <w:r w:rsidR="00CC4F9C" w:rsidRPr="00F65686">
        <w:rPr>
          <w:rFonts w:ascii="Times New Roman" w:hAnsi="Times New Roman"/>
          <w:lang w:val="en-GB"/>
        </w:rPr>
        <w:t>Guellec and Van Pottelsberghe de la Potterie, 200</w:t>
      </w:r>
      <w:r w:rsidR="00E73207" w:rsidRPr="00F65686">
        <w:rPr>
          <w:rFonts w:ascii="Times New Roman" w:hAnsi="Times New Roman"/>
          <w:lang w:val="en-GB"/>
        </w:rPr>
        <w:t>3</w:t>
      </w:r>
      <w:r w:rsidR="00CC4F9C" w:rsidRPr="00F65686">
        <w:rPr>
          <w:rFonts w:ascii="Times New Roman" w:hAnsi="Times New Roman"/>
          <w:lang w:val="en-GB"/>
        </w:rPr>
        <w:t>). This issue</w:t>
      </w:r>
      <w:r w:rsidRPr="00F65686">
        <w:rPr>
          <w:rFonts w:ascii="Times New Roman" w:hAnsi="Times New Roman"/>
          <w:lang w:val="en-GB"/>
        </w:rPr>
        <w:t xml:space="preserve"> is even more important </w:t>
      </w:r>
      <w:r w:rsidR="00804610" w:rsidRPr="00F65686">
        <w:rPr>
          <w:rFonts w:ascii="Times New Roman" w:hAnsi="Times New Roman"/>
          <w:lang w:val="en-GB"/>
        </w:rPr>
        <w:t xml:space="preserve">when, due to tight </w:t>
      </w:r>
      <w:r w:rsidR="00CC4F9C" w:rsidRPr="00F65686">
        <w:rPr>
          <w:rFonts w:ascii="Times New Roman" w:hAnsi="Times New Roman"/>
          <w:lang w:val="en-GB"/>
        </w:rPr>
        <w:t>public budget constraints and increasing global competition</w:t>
      </w:r>
      <w:r w:rsidR="00804610" w:rsidRPr="00F65686">
        <w:rPr>
          <w:rFonts w:ascii="Times New Roman" w:hAnsi="Times New Roman"/>
          <w:lang w:val="en-GB"/>
        </w:rPr>
        <w:t>,</w:t>
      </w:r>
      <w:r w:rsidR="00CC4F9C" w:rsidRPr="00F65686">
        <w:rPr>
          <w:rFonts w:ascii="Times New Roman" w:hAnsi="Times New Roman"/>
          <w:lang w:val="en-GB"/>
        </w:rPr>
        <w:t xml:space="preserve"> the </w:t>
      </w:r>
      <w:r w:rsidR="00804610" w:rsidRPr="00F65686">
        <w:rPr>
          <w:rFonts w:ascii="Times New Roman" w:hAnsi="Times New Roman"/>
          <w:lang w:val="en-GB"/>
        </w:rPr>
        <w:t xml:space="preserve">chances </w:t>
      </w:r>
      <w:r w:rsidR="00CC4F9C" w:rsidRPr="00F65686">
        <w:rPr>
          <w:rFonts w:ascii="Times New Roman" w:hAnsi="Times New Roman"/>
          <w:lang w:val="en-GB"/>
        </w:rPr>
        <w:t xml:space="preserve">of European firms to create new jobs and to maintain </w:t>
      </w:r>
      <w:r w:rsidR="00804610" w:rsidRPr="00F65686">
        <w:rPr>
          <w:rFonts w:ascii="Times New Roman" w:hAnsi="Times New Roman"/>
          <w:lang w:val="en-GB"/>
        </w:rPr>
        <w:t xml:space="preserve">high </w:t>
      </w:r>
      <w:r w:rsidR="00CC4F9C" w:rsidRPr="00F65686">
        <w:rPr>
          <w:rFonts w:ascii="Times New Roman" w:hAnsi="Times New Roman"/>
          <w:lang w:val="en-GB"/>
        </w:rPr>
        <w:t xml:space="preserve">standards of living </w:t>
      </w:r>
      <w:r w:rsidR="00804610" w:rsidRPr="00F65686">
        <w:rPr>
          <w:rFonts w:ascii="Times New Roman" w:hAnsi="Times New Roman"/>
          <w:lang w:val="en-GB"/>
        </w:rPr>
        <w:t xml:space="preserve">are threatened </w:t>
      </w:r>
      <w:r w:rsidR="00CC4F9C" w:rsidRPr="00F65686">
        <w:rPr>
          <w:rFonts w:ascii="Times New Roman" w:hAnsi="Times New Roman"/>
          <w:lang w:val="en-GB"/>
        </w:rPr>
        <w:t>(Missikoff et al., 2012).</w:t>
      </w:r>
    </w:p>
    <w:p w14:paraId="709DC211" w14:textId="1D149C85" w:rsidR="009A1103" w:rsidRPr="00F65686" w:rsidRDefault="00472B94" w:rsidP="00F65686">
      <w:pPr>
        <w:jc w:val="both"/>
        <w:rPr>
          <w:rFonts w:ascii="Times New Roman" w:hAnsi="Times New Roman"/>
          <w:lang w:val="en-US"/>
        </w:rPr>
      </w:pPr>
      <w:r w:rsidRPr="00F65686">
        <w:rPr>
          <w:rFonts w:ascii="Times New Roman" w:hAnsi="Times New Roman"/>
          <w:lang w:val="en-US"/>
        </w:rPr>
        <w:t xml:space="preserve">The benefits from policy initiatives are called ‘additionalities’. Input additionality is the investment in R&amp;D that the beneficiary would not have done without public subsidies. Output additionality is what was developed thanks to the </w:t>
      </w:r>
      <w:r w:rsidR="00A65F1B" w:rsidRPr="00F65686">
        <w:rPr>
          <w:rFonts w:ascii="Times New Roman" w:hAnsi="Times New Roman"/>
          <w:lang w:val="en-US"/>
        </w:rPr>
        <w:t>subsidy, being new products, improved processes</w:t>
      </w:r>
      <w:r w:rsidR="00F145A5" w:rsidRPr="00F65686">
        <w:rPr>
          <w:rFonts w:ascii="Times New Roman" w:hAnsi="Times New Roman"/>
          <w:lang w:val="en-US"/>
        </w:rPr>
        <w:t>,</w:t>
      </w:r>
      <w:r w:rsidR="00A65F1B" w:rsidRPr="00F65686">
        <w:rPr>
          <w:rFonts w:ascii="Times New Roman" w:hAnsi="Times New Roman"/>
          <w:lang w:val="en-US"/>
        </w:rPr>
        <w:t xml:space="preserve"> or the innovation pipeline and related</w:t>
      </w:r>
      <w:r w:rsidRPr="00F65686">
        <w:rPr>
          <w:rFonts w:ascii="Times New Roman" w:hAnsi="Times New Roman"/>
          <w:lang w:val="en-US"/>
        </w:rPr>
        <w:t xml:space="preserve"> knowledge</w:t>
      </w:r>
      <w:r w:rsidR="00A65F1B" w:rsidRPr="00F65686">
        <w:rPr>
          <w:rFonts w:ascii="Times New Roman" w:hAnsi="Times New Roman"/>
          <w:lang w:val="en-US"/>
        </w:rPr>
        <w:t>. Behavio</w:t>
      </w:r>
      <w:r w:rsidRPr="00F65686">
        <w:rPr>
          <w:rFonts w:ascii="Times New Roman" w:hAnsi="Times New Roman"/>
          <w:lang w:val="en-US"/>
        </w:rPr>
        <w:t>ral additionality</w:t>
      </w:r>
      <w:r w:rsidR="00A65F1B" w:rsidRPr="00F65686">
        <w:rPr>
          <w:rFonts w:ascii="Times New Roman" w:hAnsi="Times New Roman"/>
          <w:lang w:val="en-US"/>
        </w:rPr>
        <w:t xml:space="preserve"> is both the</w:t>
      </w:r>
      <w:r w:rsidRPr="00F65686">
        <w:rPr>
          <w:rFonts w:ascii="Times New Roman" w:hAnsi="Times New Roman"/>
          <w:lang w:val="en-US"/>
        </w:rPr>
        <w:t xml:space="preserve"> </w:t>
      </w:r>
      <w:r w:rsidR="00A65F1B" w:rsidRPr="00F65686">
        <w:rPr>
          <w:rFonts w:ascii="Times New Roman" w:hAnsi="Times New Roman"/>
          <w:lang w:val="en-US"/>
        </w:rPr>
        <w:t xml:space="preserve">beneficiary’s </w:t>
      </w:r>
      <w:r w:rsidRPr="00F65686">
        <w:rPr>
          <w:rFonts w:ascii="Times New Roman" w:hAnsi="Times New Roman"/>
          <w:lang w:val="en-US"/>
        </w:rPr>
        <w:t>increased</w:t>
      </w:r>
      <w:r w:rsidR="00A65F1B" w:rsidRPr="00F65686">
        <w:rPr>
          <w:rFonts w:ascii="Times New Roman" w:hAnsi="Times New Roman"/>
          <w:lang w:val="en-US"/>
        </w:rPr>
        <w:t xml:space="preserve"> innovation</w:t>
      </w:r>
      <w:r w:rsidRPr="00F65686">
        <w:rPr>
          <w:rFonts w:ascii="Times New Roman" w:hAnsi="Times New Roman"/>
          <w:lang w:val="en-US"/>
        </w:rPr>
        <w:t xml:space="preserve"> capabilities </w:t>
      </w:r>
      <w:r w:rsidR="00A65F1B" w:rsidRPr="00F65686">
        <w:rPr>
          <w:rFonts w:ascii="Times New Roman" w:hAnsi="Times New Roman"/>
          <w:lang w:val="en-US"/>
        </w:rPr>
        <w:t xml:space="preserve">and the involvement in </w:t>
      </w:r>
      <w:r w:rsidRPr="00F65686">
        <w:rPr>
          <w:rFonts w:ascii="Times New Roman" w:hAnsi="Times New Roman"/>
          <w:lang w:val="en-US"/>
        </w:rPr>
        <w:t>new business relationships</w:t>
      </w:r>
      <w:r w:rsidR="00A65F1B" w:rsidRPr="00F65686">
        <w:rPr>
          <w:rFonts w:ascii="Times New Roman" w:hAnsi="Times New Roman"/>
          <w:lang w:val="en-US"/>
        </w:rPr>
        <w:t xml:space="preserve"> (Coletti and Landoni, 2018)</w:t>
      </w:r>
      <w:r w:rsidRPr="00F65686">
        <w:rPr>
          <w:rFonts w:ascii="Times New Roman" w:hAnsi="Times New Roman"/>
          <w:lang w:val="en-US"/>
        </w:rPr>
        <w:t xml:space="preserve">. </w:t>
      </w:r>
      <w:r w:rsidR="00865A74" w:rsidRPr="00F65686">
        <w:rPr>
          <w:rFonts w:ascii="Times New Roman" w:hAnsi="Times New Roman"/>
          <w:lang w:val="en-US"/>
        </w:rPr>
        <w:t xml:space="preserve">In </w:t>
      </w:r>
      <w:r w:rsidR="00597BAC" w:rsidRPr="00F65686">
        <w:rPr>
          <w:rFonts w:ascii="Times New Roman" w:hAnsi="Times New Roman"/>
          <w:lang w:val="en-US"/>
        </w:rPr>
        <w:t>practice, things are less clear-</w:t>
      </w:r>
      <w:r w:rsidR="00865A74" w:rsidRPr="00F65686">
        <w:rPr>
          <w:rFonts w:ascii="Times New Roman" w:hAnsi="Times New Roman"/>
          <w:lang w:val="en-US"/>
        </w:rPr>
        <w:t>c</w:t>
      </w:r>
      <w:r w:rsidR="006A1429" w:rsidRPr="00F65686">
        <w:rPr>
          <w:rFonts w:ascii="Times New Roman" w:hAnsi="Times New Roman"/>
          <w:lang w:val="en-US"/>
        </w:rPr>
        <w:t>ut:</w:t>
      </w:r>
      <w:r w:rsidR="00284F76" w:rsidRPr="00F65686">
        <w:rPr>
          <w:rFonts w:ascii="Times New Roman" w:hAnsi="Times New Roman"/>
          <w:lang w:val="en-US"/>
        </w:rPr>
        <w:t xml:space="preserve"> Antonioli et al. (2014)</w:t>
      </w:r>
      <w:r w:rsidR="00865A74" w:rsidRPr="00F65686">
        <w:rPr>
          <w:rFonts w:ascii="Times New Roman" w:hAnsi="Times New Roman"/>
          <w:lang w:val="en-US"/>
        </w:rPr>
        <w:t xml:space="preserve"> define behavioral additionality as </w:t>
      </w:r>
      <w:r w:rsidR="006A1429" w:rsidRPr="00F65686">
        <w:rPr>
          <w:rFonts w:ascii="Times New Roman" w:hAnsi="Times New Roman"/>
          <w:lang w:val="en-US"/>
        </w:rPr>
        <w:t xml:space="preserve">the </w:t>
      </w:r>
      <w:r w:rsidR="00865A74" w:rsidRPr="00F65686">
        <w:rPr>
          <w:rFonts w:ascii="Times New Roman" w:hAnsi="Times New Roman"/>
          <w:lang w:val="en-US"/>
        </w:rPr>
        <w:t xml:space="preserve">change in the way a company carries out R&amp;D and includes </w:t>
      </w:r>
      <w:r w:rsidR="006A1429" w:rsidRPr="00F65686">
        <w:rPr>
          <w:rFonts w:ascii="Times New Roman" w:hAnsi="Times New Roman"/>
          <w:lang w:val="en-US"/>
        </w:rPr>
        <w:t xml:space="preserve">improved </w:t>
      </w:r>
      <w:r w:rsidR="00865A74" w:rsidRPr="00F65686">
        <w:rPr>
          <w:rFonts w:ascii="Times New Roman" w:hAnsi="Times New Roman"/>
          <w:lang w:val="en-US"/>
        </w:rPr>
        <w:t>competencies</w:t>
      </w:r>
      <w:r w:rsidR="006A1429" w:rsidRPr="00F65686">
        <w:rPr>
          <w:rFonts w:ascii="Times New Roman" w:hAnsi="Times New Roman"/>
          <w:lang w:val="en-US"/>
        </w:rPr>
        <w:t>, cooperation with business partners</w:t>
      </w:r>
      <w:r w:rsidR="00F145A5" w:rsidRPr="00F65686">
        <w:rPr>
          <w:rFonts w:ascii="Times New Roman" w:hAnsi="Times New Roman"/>
          <w:lang w:val="en-US"/>
        </w:rPr>
        <w:t>,</w:t>
      </w:r>
      <w:r w:rsidR="006A1429" w:rsidRPr="00F65686">
        <w:rPr>
          <w:rFonts w:ascii="Times New Roman" w:hAnsi="Times New Roman"/>
          <w:lang w:val="en-US"/>
        </w:rPr>
        <w:t xml:space="preserve"> and extra-regional collaboration as </w:t>
      </w:r>
      <w:r w:rsidR="006A1429" w:rsidRPr="00F65686">
        <w:rPr>
          <w:rFonts w:ascii="Times New Roman" w:hAnsi="Times New Roman"/>
          <w:lang w:val="en-US"/>
        </w:rPr>
        <w:lastRenderedPageBreak/>
        <w:t xml:space="preserve">the elements to measure it. Output additionality </w:t>
      </w:r>
      <w:r w:rsidR="00F14A32" w:rsidRPr="00F65686">
        <w:rPr>
          <w:rFonts w:ascii="Times New Roman" w:hAnsi="Times New Roman"/>
          <w:lang w:val="en-US"/>
        </w:rPr>
        <w:t xml:space="preserve">is more elusive and subject to a wider range of definitions. </w:t>
      </w:r>
      <w:r w:rsidR="00597BAC" w:rsidRPr="00F65686">
        <w:rPr>
          <w:rFonts w:ascii="Times New Roman" w:hAnsi="Times New Roman"/>
          <w:lang w:val="en-US"/>
        </w:rPr>
        <w:t xml:space="preserve">Besides the typical increases </w:t>
      </w:r>
      <w:r w:rsidR="00F145A5" w:rsidRPr="00F65686">
        <w:rPr>
          <w:rFonts w:ascii="Times New Roman" w:hAnsi="Times New Roman"/>
          <w:lang w:val="en-US"/>
        </w:rPr>
        <w:t xml:space="preserve">in </w:t>
      </w:r>
      <w:r w:rsidR="00597BAC" w:rsidRPr="00F65686">
        <w:rPr>
          <w:rFonts w:ascii="Times New Roman" w:hAnsi="Times New Roman"/>
          <w:lang w:val="en-US"/>
        </w:rPr>
        <w:t xml:space="preserve">sales and turnover, there may be new </w:t>
      </w:r>
      <w:r w:rsidR="006F57D5" w:rsidRPr="00F65686">
        <w:rPr>
          <w:rFonts w:ascii="Times New Roman" w:hAnsi="Times New Roman"/>
          <w:lang w:val="en-US"/>
        </w:rPr>
        <w:t xml:space="preserve">prototypes and patents, but also </w:t>
      </w:r>
      <w:r w:rsidR="006A1429" w:rsidRPr="00F65686">
        <w:rPr>
          <w:rFonts w:ascii="Times New Roman" w:hAnsi="Times New Roman"/>
          <w:lang w:val="en-US"/>
        </w:rPr>
        <w:t>learning, attitude</w:t>
      </w:r>
      <w:r w:rsidR="00597BAC" w:rsidRPr="00F65686">
        <w:rPr>
          <w:rFonts w:ascii="Times New Roman" w:hAnsi="Times New Roman"/>
          <w:lang w:val="en-US"/>
        </w:rPr>
        <w:t xml:space="preserve"> changes</w:t>
      </w:r>
      <w:r w:rsidR="00F145A5" w:rsidRPr="00F65686">
        <w:rPr>
          <w:rFonts w:ascii="Times New Roman" w:hAnsi="Times New Roman"/>
          <w:lang w:val="en-US"/>
        </w:rPr>
        <w:t>,</w:t>
      </w:r>
      <w:r w:rsidR="00597BAC" w:rsidRPr="00F65686">
        <w:rPr>
          <w:rFonts w:ascii="Times New Roman" w:hAnsi="Times New Roman"/>
          <w:lang w:val="en-US"/>
        </w:rPr>
        <w:t xml:space="preserve"> and</w:t>
      </w:r>
      <w:r w:rsidR="006A1429" w:rsidRPr="00F65686">
        <w:rPr>
          <w:rFonts w:ascii="Times New Roman" w:hAnsi="Times New Roman"/>
          <w:lang w:val="en-US"/>
        </w:rPr>
        <w:t xml:space="preserve"> </w:t>
      </w:r>
      <w:r w:rsidR="00597BAC" w:rsidRPr="00F65686">
        <w:rPr>
          <w:rFonts w:ascii="Times New Roman" w:hAnsi="Times New Roman"/>
          <w:lang w:val="en-US"/>
        </w:rPr>
        <w:t xml:space="preserve">new </w:t>
      </w:r>
      <w:r w:rsidR="006A1429" w:rsidRPr="00F65686">
        <w:rPr>
          <w:rFonts w:ascii="Times New Roman" w:hAnsi="Times New Roman"/>
          <w:lang w:val="en-US"/>
        </w:rPr>
        <w:t>collaboration</w:t>
      </w:r>
      <w:r w:rsidR="00597BAC" w:rsidRPr="00F65686">
        <w:rPr>
          <w:rFonts w:ascii="Times New Roman" w:hAnsi="Times New Roman"/>
          <w:lang w:val="en-US"/>
        </w:rPr>
        <w:t xml:space="preserve">s </w:t>
      </w:r>
      <w:r w:rsidR="006A1429" w:rsidRPr="00F65686">
        <w:rPr>
          <w:rFonts w:ascii="Times New Roman" w:hAnsi="Times New Roman"/>
          <w:lang w:val="en-US"/>
        </w:rPr>
        <w:t>(Cunningham and Gök, 2012).</w:t>
      </w:r>
    </w:p>
    <w:p w14:paraId="4521EF84" w14:textId="5F7E2072" w:rsidR="00323EBE" w:rsidRPr="00F65686" w:rsidRDefault="00EA336B" w:rsidP="00F65686">
      <w:pPr>
        <w:jc w:val="both"/>
        <w:rPr>
          <w:rFonts w:ascii="Times New Roman" w:hAnsi="Times New Roman"/>
          <w:lang w:val="en-GB"/>
        </w:rPr>
      </w:pPr>
      <w:r w:rsidRPr="00F65686">
        <w:rPr>
          <w:rFonts w:ascii="Times New Roman" w:hAnsi="Times New Roman"/>
          <w:lang w:val="en-GB"/>
        </w:rPr>
        <w:t>Collaborative research projects increase the innovativeness of companies and the innovation output is propor</w:t>
      </w:r>
      <w:r w:rsidR="00080A3E" w:rsidRPr="00F65686">
        <w:rPr>
          <w:rFonts w:ascii="Times New Roman" w:hAnsi="Times New Roman"/>
          <w:lang w:val="en-GB"/>
        </w:rPr>
        <w:t>tional to the amount financed by</w:t>
      </w:r>
      <w:r w:rsidRPr="00F65686">
        <w:rPr>
          <w:rFonts w:ascii="Times New Roman" w:hAnsi="Times New Roman"/>
          <w:lang w:val="en-GB"/>
        </w:rPr>
        <w:t xml:space="preserve"> the firms </w:t>
      </w:r>
      <w:r w:rsidRPr="00F65686">
        <w:rPr>
          <w:rFonts w:ascii="Times New Roman" w:hAnsi="Times New Roman"/>
          <w:lang w:val="en-US"/>
        </w:rPr>
        <w:t xml:space="preserve">and to the number of partners, which points out to </w:t>
      </w:r>
      <w:r w:rsidR="00B04DD3" w:rsidRPr="00F65686">
        <w:rPr>
          <w:rFonts w:ascii="Times New Roman" w:hAnsi="Times New Roman"/>
          <w:lang w:val="en-US"/>
        </w:rPr>
        <w:t xml:space="preserve">the importance of knowledge </w:t>
      </w:r>
      <w:r w:rsidRPr="00F65686">
        <w:rPr>
          <w:rFonts w:ascii="Times New Roman" w:hAnsi="Times New Roman"/>
          <w:lang w:val="en-US"/>
        </w:rPr>
        <w:t>spillover</w:t>
      </w:r>
      <w:r w:rsidR="007D3F43" w:rsidRPr="00F65686">
        <w:rPr>
          <w:rFonts w:ascii="Times New Roman" w:hAnsi="Times New Roman"/>
          <w:lang w:val="en-US"/>
        </w:rPr>
        <w:t>s</w:t>
      </w:r>
      <w:r w:rsidRPr="00F65686">
        <w:rPr>
          <w:rFonts w:ascii="Times New Roman" w:hAnsi="Times New Roman"/>
          <w:lang w:val="en-US"/>
        </w:rPr>
        <w:t xml:space="preserve"> </w:t>
      </w:r>
      <w:r w:rsidR="00B04DD3" w:rsidRPr="00F65686">
        <w:rPr>
          <w:rFonts w:ascii="Times New Roman" w:hAnsi="Times New Roman"/>
          <w:lang w:val="en-US"/>
        </w:rPr>
        <w:t xml:space="preserve">among participants </w:t>
      </w:r>
      <w:r w:rsidR="00B04DD3" w:rsidRPr="00F65686">
        <w:rPr>
          <w:rFonts w:ascii="Times New Roman" w:hAnsi="Times New Roman"/>
          <w:lang w:val="en-GB"/>
        </w:rPr>
        <w:t>(</w:t>
      </w:r>
      <w:r w:rsidR="00B04DD3" w:rsidRPr="00F65686">
        <w:rPr>
          <w:rFonts w:ascii="Times New Roman" w:hAnsi="Times New Roman"/>
          <w:lang w:val="en-US"/>
        </w:rPr>
        <w:t>Szücs, 2018)</w:t>
      </w:r>
      <w:r w:rsidRPr="00F65686">
        <w:rPr>
          <w:rFonts w:ascii="Times New Roman" w:hAnsi="Times New Roman"/>
          <w:lang w:val="en-US"/>
        </w:rPr>
        <w:t>. H</w:t>
      </w:r>
      <w:r w:rsidR="00B04DD3" w:rsidRPr="00F65686">
        <w:rPr>
          <w:rFonts w:ascii="Times New Roman" w:hAnsi="Times New Roman"/>
          <w:lang w:val="en-US"/>
        </w:rPr>
        <w:t xml:space="preserve">owever, there is </w:t>
      </w:r>
      <w:r w:rsidR="00F145A5" w:rsidRPr="00F65686">
        <w:rPr>
          <w:rFonts w:ascii="Times New Roman" w:hAnsi="Times New Roman"/>
          <w:lang w:val="en-US"/>
        </w:rPr>
        <w:t xml:space="preserve">an </w:t>
      </w:r>
      <w:r w:rsidR="00B04DD3" w:rsidRPr="00F65686">
        <w:rPr>
          <w:rFonts w:ascii="Times New Roman" w:hAnsi="Times New Roman"/>
          <w:lang w:val="en-US"/>
        </w:rPr>
        <w:t xml:space="preserve">ongoing debate on whether R&amp;D subsidies </w:t>
      </w:r>
      <w:r w:rsidR="00D7620A" w:rsidRPr="00F65686">
        <w:rPr>
          <w:rFonts w:ascii="Times New Roman" w:hAnsi="Times New Roman"/>
          <w:lang w:val="en-US"/>
        </w:rPr>
        <w:t xml:space="preserve">crowd out </w:t>
      </w:r>
      <w:r w:rsidR="00B04DD3" w:rsidRPr="00F65686">
        <w:rPr>
          <w:rFonts w:ascii="Times New Roman" w:hAnsi="Times New Roman"/>
          <w:lang w:val="en-US"/>
        </w:rPr>
        <w:t>firm-financed R&amp;D activity</w:t>
      </w:r>
      <w:r w:rsidR="00080A3E" w:rsidRPr="00F65686">
        <w:rPr>
          <w:rFonts w:ascii="Times New Roman" w:hAnsi="Times New Roman"/>
          <w:lang w:val="en-US"/>
        </w:rPr>
        <w:t>, or rather</w:t>
      </w:r>
      <w:r w:rsidR="00B04DD3" w:rsidRPr="00F65686">
        <w:rPr>
          <w:rFonts w:ascii="Times New Roman" w:hAnsi="Times New Roman"/>
          <w:lang w:val="en-US"/>
        </w:rPr>
        <w:t xml:space="preserve"> complement </w:t>
      </w:r>
      <w:r w:rsidR="00080A3E" w:rsidRPr="00F65686">
        <w:rPr>
          <w:rFonts w:ascii="Times New Roman" w:hAnsi="Times New Roman"/>
          <w:lang w:val="en-US"/>
        </w:rPr>
        <w:t xml:space="preserve">it </w:t>
      </w:r>
      <w:r w:rsidR="00A65F1B" w:rsidRPr="00F65686">
        <w:rPr>
          <w:rFonts w:ascii="Times New Roman" w:hAnsi="Times New Roman"/>
          <w:lang w:val="en-US"/>
        </w:rPr>
        <w:t xml:space="preserve">(input </w:t>
      </w:r>
      <w:r w:rsidR="00B04DD3" w:rsidRPr="00F65686">
        <w:rPr>
          <w:rFonts w:ascii="Times New Roman" w:hAnsi="Times New Roman"/>
          <w:lang w:val="en-US"/>
        </w:rPr>
        <w:t>additionality</w:t>
      </w:r>
      <w:r w:rsidR="00DB3516" w:rsidRPr="00F65686">
        <w:rPr>
          <w:rFonts w:ascii="Times New Roman" w:hAnsi="Times New Roman"/>
          <w:lang w:val="en-US"/>
        </w:rPr>
        <w:t>, or crowding-in</w:t>
      </w:r>
      <w:r w:rsidR="00A65F1B" w:rsidRPr="00F65686">
        <w:rPr>
          <w:rFonts w:ascii="Times New Roman" w:hAnsi="Times New Roman"/>
          <w:lang w:val="en-US"/>
        </w:rPr>
        <w:t xml:space="preserve"> effect</w:t>
      </w:r>
      <w:r w:rsidR="00080A3E" w:rsidRPr="00F65686">
        <w:rPr>
          <w:rFonts w:ascii="Times New Roman" w:hAnsi="Times New Roman"/>
          <w:lang w:val="en-US"/>
        </w:rPr>
        <w:t>).</w:t>
      </w:r>
      <w:r w:rsidR="00B04DD3" w:rsidRPr="00F65686">
        <w:rPr>
          <w:rFonts w:ascii="Times New Roman" w:hAnsi="Times New Roman"/>
          <w:lang w:val="en-US"/>
        </w:rPr>
        <w:t xml:space="preserve"> </w:t>
      </w:r>
      <w:r w:rsidR="00080A3E" w:rsidRPr="00F65686">
        <w:rPr>
          <w:rFonts w:ascii="Times New Roman" w:hAnsi="Times New Roman"/>
          <w:lang w:val="en-US"/>
        </w:rPr>
        <w:t>Certain scholars affirm</w:t>
      </w:r>
      <w:r w:rsidR="00B04DD3" w:rsidRPr="00F65686">
        <w:rPr>
          <w:rFonts w:ascii="Times New Roman" w:hAnsi="Times New Roman"/>
          <w:lang w:val="en-US"/>
        </w:rPr>
        <w:t xml:space="preserve"> that public funds foster private </w:t>
      </w:r>
      <w:r w:rsidR="00DB3516" w:rsidRPr="00F65686">
        <w:rPr>
          <w:rFonts w:ascii="Times New Roman" w:hAnsi="Times New Roman"/>
          <w:lang w:val="en-US"/>
        </w:rPr>
        <w:t xml:space="preserve">R&amp;D investment (BenHassine et Mathieu, 2020), whereas others found evidence </w:t>
      </w:r>
      <w:r w:rsidR="00080A3E" w:rsidRPr="00F65686">
        <w:rPr>
          <w:rFonts w:ascii="Times New Roman" w:hAnsi="Times New Roman"/>
          <w:lang w:val="en-US"/>
        </w:rPr>
        <w:t xml:space="preserve">of </w:t>
      </w:r>
      <w:r w:rsidR="00DB3516" w:rsidRPr="00F65686">
        <w:rPr>
          <w:rFonts w:ascii="Times New Roman" w:hAnsi="Times New Roman"/>
          <w:lang w:val="en-US"/>
        </w:rPr>
        <w:t>crowding-out especially for larger subsidies (Marino et al., 20</w:t>
      </w:r>
      <w:r w:rsidR="00B45A3B" w:rsidRPr="00F65686">
        <w:rPr>
          <w:rFonts w:ascii="Times New Roman" w:hAnsi="Times New Roman"/>
          <w:lang w:val="en-US"/>
        </w:rPr>
        <w:t>1</w:t>
      </w:r>
      <w:r w:rsidR="00DB3516" w:rsidRPr="00F65686">
        <w:rPr>
          <w:rFonts w:ascii="Times New Roman" w:hAnsi="Times New Roman"/>
          <w:lang w:val="en-US"/>
        </w:rPr>
        <w:t>6)</w:t>
      </w:r>
      <w:r w:rsidR="00B45A3B" w:rsidRPr="00F65686">
        <w:rPr>
          <w:rFonts w:ascii="Times New Roman" w:hAnsi="Times New Roman"/>
          <w:lang w:val="en-US"/>
        </w:rPr>
        <w:t xml:space="preserve">. </w:t>
      </w:r>
      <w:r w:rsidR="00C051DC" w:rsidRPr="00F65686">
        <w:rPr>
          <w:rFonts w:ascii="Times New Roman" w:hAnsi="Times New Roman"/>
          <w:lang w:val="en-US"/>
        </w:rPr>
        <w:t>B</w:t>
      </w:r>
      <w:r w:rsidR="00B45A3B" w:rsidRPr="00F65686">
        <w:rPr>
          <w:rFonts w:ascii="Times New Roman" w:hAnsi="Times New Roman"/>
          <w:lang w:val="en-US"/>
        </w:rPr>
        <w:t xml:space="preserve">ecause SMEs have limited resources in all business functions, when they receive public funds for research activities, they </w:t>
      </w:r>
      <w:r w:rsidR="00D7620A" w:rsidRPr="00F65686">
        <w:rPr>
          <w:rFonts w:ascii="Times New Roman" w:hAnsi="Times New Roman"/>
          <w:lang w:val="en-US"/>
        </w:rPr>
        <w:t xml:space="preserve">could </w:t>
      </w:r>
      <w:r w:rsidR="00B45A3B" w:rsidRPr="00F65686">
        <w:rPr>
          <w:rFonts w:ascii="Times New Roman" w:hAnsi="Times New Roman"/>
          <w:lang w:val="en-US"/>
        </w:rPr>
        <w:t>divert some of the R&amp;D capabilities to support the non-technological elements of the subsidized product. This should not be seen as partial crowding-out or a limitation of input additional</w:t>
      </w:r>
      <w:r w:rsidR="004106D9" w:rsidRPr="00F65686">
        <w:rPr>
          <w:rFonts w:ascii="Times New Roman" w:hAnsi="Times New Roman"/>
          <w:lang w:val="en-US"/>
        </w:rPr>
        <w:t>ity, but a way to maximi</w:t>
      </w:r>
      <w:r w:rsidR="00804610" w:rsidRPr="00F65686">
        <w:rPr>
          <w:rFonts w:ascii="Times New Roman" w:hAnsi="Times New Roman"/>
          <w:lang w:val="en-US"/>
        </w:rPr>
        <w:t>z</w:t>
      </w:r>
      <w:r w:rsidR="004106D9" w:rsidRPr="00F65686">
        <w:rPr>
          <w:rFonts w:ascii="Times New Roman" w:hAnsi="Times New Roman"/>
          <w:lang w:val="en-US"/>
        </w:rPr>
        <w:t xml:space="preserve">e the </w:t>
      </w:r>
      <w:r w:rsidR="00B45A3B" w:rsidRPr="00F65686">
        <w:rPr>
          <w:rFonts w:ascii="Times New Roman" w:hAnsi="Times New Roman"/>
          <w:lang w:val="en-US"/>
        </w:rPr>
        <w:t>chance of success of the development activity and thus enable full additionality</w:t>
      </w:r>
      <w:r w:rsidR="00113BEE" w:rsidRPr="00F65686">
        <w:rPr>
          <w:rFonts w:ascii="Times New Roman" w:hAnsi="Times New Roman"/>
          <w:lang w:val="en-US"/>
        </w:rPr>
        <w:t xml:space="preserve"> </w:t>
      </w:r>
      <w:r w:rsidR="00113BEE" w:rsidRPr="00F65686">
        <w:rPr>
          <w:rFonts w:ascii="Times New Roman" w:hAnsi="Times New Roman"/>
          <w:lang w:val="en-GB"/>
        </w:rPr>
        <w:t>(Radas and Anic, 2013).</w:t>
      </w:r>
    </w:p>
    <w:p w14:paraId="6684D423" w14:textId="18B6B248" w:rsidR="006C10E6" w:rsidRPr="00F65686" w:rsidRDefault="00F22707" w:rsidP="00F65686">
      <w:pPr>
        <w:jc w:val="both"/>
        <w:rPr>
          <w:rFonts w:ascii="Times New Roman" w:hAnsi="Times New Roman"/>
          <w:lang w:val="en-GB"/>
        </w:rPr>
      </w:pPr>
      <w:r w:rsidRPr="00F65686">
        <w:rPr>
          <w:rFonts w:ascii="Times New Roman" w:hAnsi="Times New Roman"/>
          <w:lang w:val="en-GB"/>
        </w:rPr>
        <w:t xml:space="preserve">R&amp;D grants increase </w:t>
      </w:r>
      <w:r w:rsidR="00582BF8" w:rsidRPr="00F65686">
        <w:rPr>
          <w:rFonts w:ascii="Times New Roman" w:hAnsi="Times New Roman"/>
          <w:lang w:val="en-GB"/>
        </w:rPr>
        <w:t xml:space="preserve">innovation outputs </w:t>
      </w:r>
      <w:r w:rsidRPr="00F65686">
        <w:rPr>
          <w:rFonts w:ascii="Times New Roman" w:hAnsi="Times New Roman"/>
          <w:lang w:val="en-GB"/>
        </w:rPr>
        <w:t>such as patent applications especially for small firms (Bronzini and Piselli, 2016).</w:t>
      </w:r>
      <w:r w:rsidR="00323EBE" w:rsidRPr="00F65686">
        <w:rPr>
          <w:rFonts w:ascii="Times New Roman" w:hAnsi="Times New Roman"/>
          <w:lang w:val="en-GB"/>
        </w:rPr>
        <w:t xml:space="preserve"> R&amp;D and innovation capabilities of SMEs can be increased by public subsidies, though there is a positive correlation between </w:t>
      </w:r>
      <w:r w:rsidR="00F145A5" w:rsidRPr="00F65686">
        <w:rPr>
          <w:rFonts w:ascii="Times New Roman" w:hAnsi="Times New Roman"/>
          <w:lang w:val="en-GB"/>
        </w:rPr>
        <w:t xml:space="preserve">the </w:t>
      </w:r>
      <w:r w:rsidR="00323EBE" w:rsidRPr="00F65686">
        <w:rPr>
          <w:rFonts w:ascii="Times New Roman" w:hAnsi="Times New Roman"/>
          <w:lang w:val="en-GB"/>
        </w:rPr>
        <w:t xml:space="preserve">initial R&amp;D capabilities of the firm and the outputs fostered by these subsidies (Radas </w:t>
      </w:r>
      <w:r w:rsidR="000B281F" w:rsidRPr="00F65686">
        <w:rPr>
          <w:rFonts w:ascii="Times New Roman" w:hAnsi="Times New Roman"/>
          <w:lang w:val="en-GB"/>
        </w:rPr>
        <w:t>et al.</w:t>
      </w:r>
      <w:r w:rsidR="00323EBE" w:rsidRPr="00F65686">
        <w:rPr>
          <w:rFonts w:ascii="Times New Roman" w:hAnsi="Times New Roman"/>
          <w:lang w:val="en-GB"/>
        </w:rPr>
        <w:t>, 20</w:t>
      </w:r>
      <w:r w:rsidR="000B281F" w:rsidRPr="00F65686">
        <w:rPr>
          <w:rFonts w:ascii="Times New Roman" w:hAnsi="Times New Roman"/>
          <w:lang w:val="en-GB"/>
        </w:rPr>
        <w:t>15</w:t>
      </w:r>
      <w:r w:rsidR="00323EBE" w:rsidRPr="00F65686">
        <w:rPr>
          <w:rFonts w:ascii="Times New Roman" w:hAnsi="Times New Roman"/>
          <w:lang w:val="en-GB"/>
        </w:rPr>
        <w:t xml:space="preserve">). </w:t>
      </w:r>
      <w:r w:rsidR="00A65F1B" w:rsidRPr="00F65686">
        <w:rPr>
          <w:rFonts w:ascii="Times New Roman" w:hAnsi="Times New Roman"/>
          <w:lang w:val="en-GB"/>
        </w:rPr>
        <w:t>Understandi</w:t>
      </w:r>
      <w:r w:rsidR="00C051DC" w:rsidRPr="00F65686">
        <w:rPr>
          <w:rFonts w:ascii="Times New Roman" w:hAnsi="Times New Roman"/>
          <w:lang w:val="en-GB"/>
        </w:rPr>
        <w:t>ng the outcome</w:t>
      </w:r>
      <w:r w:rsidR="00A65F1B" w:rsidRPr="00F65686">
        <w:rPr>
          <w:rFonts w:ascii="Times New Roman" w:hAnsi="Times New Roman"/>
          <w:lang w:val="en-GB"/>
        </w:rPr>
        <w:t xml:space="preserve"> of</w:t>
      </w:r>
      <w:r w:rsidR="00C051DC" w:rsidRPr="00F65686">
        <w:rPr>
          <w:rFonts w:ascii="Times New Roman" w:hAnsi="Times New Roman"/>
          <w:lang w:val="en-GB"/>
        </w:rPr>
        <w:t xml:space="preserve"> innovation policies</w:t>
      </w:r>
      <w:r w:rsidR="009C2C75" w:rsidRPr="00F65686">
        <w:rPr>
          <w:rFonts w:ascii="Times New Roman" w:hAnsi="Times New Roman"/>
          <w:lang w:val="en-GB"/>
        </w:rPr>
        <w:t xml:space="preserve"> is </w:t>
      </w:r>
      <w:r w:rsidR="00C051DC" w:rsidRPr="00F65686">
        <w:rPr>
          <w:rFonts w:ascii="Times New Roman" w:hAnsi="Times New Roman"/>
          <w:lang w:val="en-GB"/>
        </w:rPr>
        <w:t>crucial</w:t>
      </w:r>
      <w:r w:rsidR="009C2C75" w:rsidRPr="00F65686">
        <w:rPr>
          <w:rFonts w:ascii="Times New Roman" w:hAnsi="Times New Roman"/>
          <w:lang w:val="en-GB"/>
        </w:rPr>
        <w:t xml:space="preserve"> </w:t>
      </w:r>
      <w:r w:rsidR="006C10E6" w:rsidRPr="00F65686">
        <w:rPr>
          <w:rFonts w:ascii="Times New Roman" w:hAnsi="Times New Roman"/>
          <w:lang w:val="en-GB"/>
        </w:rPr>
        <w:t>when public funds are limited</w:t>
      </w:r>
      <w:r w:rsidR="00F145A5" w:rsidRPr="00F65686">
        <w:rPr>
          <w:rFonts w:ascii="Times New Roman" w:hAnsi="Times New Roman"/>
          <w:lang w:val="en-GB"/>
        </w:rPr>
        <w:t>. Funds need to</w:t>
      </w:r>
      <w:r w:rsidR="004361FE" w:rsidRPr="00F65686">
        <w:rPr>
          <w:rFonts w:ascii="Times New Roman" w:hAnsi="Times New Roman"/>
          <w:lang w:val="en-GB"/>
        </w:rPr>
        <w:t xml:space="preserve"> be directed towards</w:t>
      </w:r>
      <w:r w:rsidR="009C2C75" w:rsidRPr="00F65686">
        <w:rPr>
          <w:rFonts w:ascii="Times New Roman" w:hAnsi="Times New Roman"/>
          <w:lang w:val="en-GB"/>
        </w:rPr>
        <w:t xml:space="preserve"> promising projects </w:t>
      </w:r>
      <w:r w:rsidR="004361FE" w:rsidRPr="00F65686">
        <w:rPr>
          <w:rFonts w:ascii="Times New Roman" w:hAnsi="Times New Roman"/>
          <w:lang w:val="en-GB"/>
        </w:rPr>
        <w:t xml:space="preserve">rather than assigned to </w:t>
      </w:r>
      <w:r w:rsidR="009C2C75" w:rsidRPr="00F65686">
        <w:rPr>
          <w:rFonts w:ascii="Times New Roman" w:hAnsi="Times New Roman"/>
          <w:lang w:val="en-GB"/>
        </w:rPr>
        <w:t xml:space="preserve">companies </w:t>
      </w:r>
      <w:r w:rsidR="00F145A5" w:rsidRPr="00F65686">
        <w:rPr>
          <w:rFonts w:ascii="Times New Roman" w:hAnsi="Times New Roman"/>
          <w:lang w:val="en-GB"/>
        </w:rPr>
        <w:t xml:space="preserve">that </w:t>
      </w:r>
      <w:r w:rsidR="004361FE" w:rsidRPr="00F65686">
        <w:rPr>
          <w:rFonts w:ascii="Times New Roman" w:hAnsi="Times New Roman"/>
          <w:lang w:val="en-GB"/>
        </w:rPr>
        <w:t xml:space="preserve">do not need them </w:t>
      </w:r>
      <w:r w:rsidR="00A65F1B" w:rsidRPr="00F65686">
        <w:rPr>
          <w:rFonts w:ascii="Times New Roman" w:hAnsi="Times New Roman"/>
          <w:lang w:val="en-GB"/>
        </w:rPr>
        <w:t>(Marino et al., 2016).</w:t>
      </w:r>
      <w:r w:rsidR="004361FE" w:rsidRPr="00F65686">
        <w:rPr>
          <w:rFonts w:ascii="Times New Roman" w:hAnsi="Times New Roman"/>
          <w:lang w:val="en-GB"/>
        </w:rPr>
        <w:t xml:space="preserve"> </w:t>
      </w:r>
    </w:p>
    <w:p w14:paraId="12269EE8" w14:textId="0872E85E" w:rsidR="00CC4F9C" w:rsidRPr="00F65686" w:rsidRDefault="004361FE" w:rsidP="00F65686">
      <w:pPr>
        <w:jc w:val="both"/>
        <w:rPr>
          <w:rFonts w:ascii="Times New Roman" w:hAnsi="Times New Roman"/>
          <w:lang w:val="en-GB"/>
        </w:rPr>
      </w:pPr>
      <w:r w:rsidRPr="00F65686">
        <w:rPr>
          <w:rFonts w:ascii="Times New Roman" w:hAnsi="Times New Roman"/>
          <w:lang w:val="en-GB"/>
        </w:rPr>
        <w:t>In other words, R&amp;D subsidies should make a</w:t>
      </w:r>
      <w:r w:rsidR="00C051DC" w:rsidRPr="00F65686">
        <w:rPr>
          <w:rFonts w:ascii="Times New Roman" w:hAnsi="Times New Roman"/>
          <w:lang w:val="en-GB"/>
        </w:rPr>
        <w:t xml:space="preserve"> positive</w:t>
      </w:r>
      <w:r w:rsidR="006C10E6" w:rsidRPr="00F65686">
        <w:rPr>
          <w:rFonts w:ascii="Times New Roman" w:hAnsi="Times New Roman"/>
          <w:lang w:val="en-GB"/>
        </w:rPr>
        <w:t xml:space="preserve"> impact</w:t>
      </w:r>
      <w:r w:rsidR="00B636AE" w:rsidRPr="00F65686">
        <w:rPr>
          <w:rFonts w:ascii="Times New Roman" w:hAnsi="Times New Roman"/>
          <w:lang w:val="en-GB"/>
        </w:rPr>
        <w:t>, both at the firm level and</w:t>
      </w:r>
      <w:r w:rsidR="006C10E6" w:rsidRPr="00F65686">
        <w:rPr>
          <w:rFonts w:ascii="Times New Roman" w:hAnsi="Times New Roman"/>
          <w:lang w:val="en-GB"/>
        </w:rPr>
        <w:t xml:space="preserve"> the regions involved. </w:t>
      </w:r>
      <w:r w:rsidR="00F145A5" w:rsidRPr="00F65686">
        <w:rPr>
          <w:rFonts w:ascii="Times New Roman" w:hAnsi="Times New Roman"/>
          <w:lang w:val="en-GB"/>
        </w:rPr>
        <w:t>T</w:t>
      </w:r>
      <w:r w:rsidR="00CC4F9C" w:rsidRPr="00F65686">
        <w:rPr>
          <w:rFonts w:ascii="Times New Roman" w:hAnsi="Times New Roman"/>
          <w:lang w:val="en-GB"/>
        </w:rPr>
        <w:t xml:space="preserve">o stimulate innovation, policy-makers can adopt </w:t>
      </w:r>
      <w:r w:rsidR="00F000B9" w:rsidRPr="00F65686">
        <w:rPr>
          <w:rFonts w:ascii="Times New Roman" w:hAnsi="Times New Roman"/>
          <w:lang w:val="en-GB"/>
        </w:rPr>
        <w:t>a range of</w:t>
      </w:r>
      <w:r w:rsidR="00CC4F9C" w:rsidRPr="00F65686">
        <w:rPr>
          <w:rFonts w:ascii="Times New Roman" w:hAnsi="Times New Roman"/>
          <w:lang w:val="en-GB"/>
        </w:rPr>
        <w:t xml:space="preserve"> </w:t>
      </w:r>
      <w:r w:rsidR="00CF1705" w:rsidRPr="00F65686">
        <w:rPr>
          <w:rFonts w:ascii="Times New Roman" w:hAnsi="Times New Roman"/>
          <w:lang w:val="en-GB"/>
        </w:rPr>
        <w:t>instruments</w:t>
      </w:r>
      <w:r w:rsidR="00CC4F9C" w:rsidRPr="00F65686">
        <w:rPr>
          <w:rFonts w:ascii="Times New Roman" w:hAnsi="Times New Roman"/>
          <w:lang w:val="en-GB"/>
        </w:rPr>
        <w:t>, which are usually clust</w:t>
      </w:r>
      <w:r w:rsidR="00C87A04" w:rsidRPr="00F65686">
        <w:rPr>
          <w:rFonts w:ascii="Times New Roman" w:hAnsi="Times New Roman"/>
          <w:lang w:val="en-GB"/>
        </w:rPr>
        <w:t>ered into two main categories (</w:t>
      </w:r>
      <w:r w:rsidR="00CC4F9C" w:rsidRPr="00F65686">
        <w:rPr>
          <w:rFonts w:ascii="Times New Roman" w:hAnsi="Times New Roman"/>
          <w:lang w:val="en-GB"/>
        </w:rPr>
        <w:t>Rothwell and Zegveld, 1981; Edler and Georghiou, 2007):</w:t>
      </w:r>
    </w:p>
    <w:p w14:paraId="6EAAD6A3" w14:textId="49EC4D8B" w:rsidR="00CC4F9C" w:rsidRPr="00F65686" w:rsidRDefault="00CC4F9C" w:rsidP="00F65686">
      <w:pPr>
        <w:pStyle w:val="Paragrafoelenco"/>
        <w:numPr>
          <w:ilvl w:val="0"/>
          <w:numId w:val="3"/>
        </w:numPr>
        <w:jc w:val="both"/>
        <w:rPr>
          <w:rFonts w:ascii="Times New Roman" w:hAnsi="Times New Roman"/>
          <w:lang w:val="en-GB"/>
        </w:rPr>
      </w:pPr>
      <w:r w:rsidRPr="00F65686">
        <w:rPr>
          <w:rFonts w:ascii="Times New Roman" w:hAnsi="Times New Roman"/>
          <w:lang w:val="en-GB"/>
        </w:rPr>
        <w:t>Supply-side policies</w:t>
      </w:r>
      <w:r w:rsidR="00CF1705" w:rsidRPr="00F65686">
        <w:rPr>
          <w:rFonts w:ascii="Times New Roman" w:hAnsi="Times New Roman"/>
          <w:lang w:val="en-GB"/>
        </w:rPr>
        <w:t>,</w:t>
      </w:r>
      <w:r w:rsidRPr="00F65686">
        <w:rPr>
          <w:rFonts w:ascii="Times New Roman" w:hAnsi="Times New Roman"/>
          <w:lang w:val="en-GB"/>
        </w:rPr>
        <w:t xml:space="preserve"> defined as “</w:t>
      </w:r>
      <w:r w:rsidRPr="00F65686">
        <w:rPr>
          <w:rFonts w:ascii="Times New Roman" w:hAnsi="Times New Roman"/>
          <w:i/>
          <w:lang w:val="en-GB"/>
        </w:rPr>
        <w:t>instruments providing additional inputs for the private innovation process</w:t>
      </w:r>
      <w:r w:rsidRPr="00F65686">
        <w:rPr>
          <w:rFonts w:ascii="Times New Roman" w:hAnsi="Times New Roman"/>
          <w:lang w:val="en-GB"/>
        </w:rPr>
        <w:t>” (Aschhoff and Sofka</w:t>
      </w:r>
      <w:r w:rsidR="00F000B9" w:rsidRPr="00F65686">
        <w:rPr>
          <w:rFonts w:ascii="Times New Roman" w:hAnsi="Times New Roman"/>
          <w:lang w:val="en-GB"/>
        </w:rPr>
        <w:t xml:space="preserve">, 2009; p. 1236) which include </w:t>
      </w:r>
      <w:r w:rsidRPr="00F65686">
        <w:rPr>
          <w:rFonts w:ascii="Times New Roman" w:hAnsi="Times New Roman"/>
          <w:lang w:val="en-GB"/>
        </w:rPr>
        <w:t xml:space="preserve">R&amp;D funding or </w:t>
      </w:r>
      <w:r w:rsidR="00CF1705" w:rsidRPr="00F65686">
        <w:rPr>
          <w:rFonts w:ascii="Times New Roman" w:hAnsi="Times New Roman"/>
          <w:lang w:val="en-GB"/>
        </w:rPr>
        <w:t>tax credits.</w:t>
      </w:r>
    </w:p>
    <w:p w14:paraId="5BA3E797" w14:textId="77777777" w:rsidR="00F000B9" w:rsidRPr="00F65686" w:rsidRDefault="00CC4F9C" w:rsidP="00F65686">
      <w:pPr>
        <w:pStyle w:val="Paragrafoelenco"/>
        <w:numPr>
          <w:ilvl w:val="0"/>
          <w:numId w:val="3"/>
        </w:numPr>
        <w:jc w:val="both"/>
        <w:rPr>
          <w:rFonts w:ascii="Times New Roman" w:hAnsi="Times New Roman"/>
          <w:lang w:val="en-GB"/>
        </w:rPr>
      </w:pPr>
      <w:r w:rsidRPr="00F65686">
        <w:rPr>
          <w:rFonts w:ascii="Times New Roman" w:hAnsi="Times New Roman"/>
          <w:lang w:val="en-GB"/>
        </w:rPr>
        <w:t>Demand-side policies</w:t>
      </w:r>
      <w:r w:rsidR="00F000B9" w:rsidRPr="00F65686">
        <w:rPr>
          <w:rFonts w:ascii="Times New Roman" w:hAnsi="Times New Roman"/>
          <w:lang w:val="en-GB"/>
        </w:rPr>
        <w:t>,</w:t>
      </w:r>
      <w:r w:rsidRPr="00F65686">
        <w:rPr>
          <w:rFonts w:ascii="Times New Roman" w:hAnsi="Times New Roman"/>
          <w:lang w:val="en-GB"/>
        </w:rPr>
        <w:t xml:space="preserve"> defined as </w:t>
      </w:r>
      <w:r w:rsidR="00F000B9" w:rsidRPr="00F65686">
        <w:rPr>
          <w:rFonts w:ascii="Times New Roman" w:hAnsi="Times New Roman"/>
          <w:lang w:val="en-GB"/>
        </w:rPr>
        <w:t>“</w:t>
      </w:r>
      <w:r w:rsidRPr="00F65686">
        <w:rPr>
          <w:rFonts w:ascii="Times New Roman" w:hAnsi="Times New Roman"/>
          <w:i/>
          <w:lang w:val="en-GB"/>
        </w:rPr>
        <w:t>public measures to induce innovations and/or speed up diffusion of innovations through increasing the demand for innovations, defining new functional requirements for products and services or better articulating demand</w:t>
      </w:r>
      <w:r w:rsidRPr="00F65686">
        <w:rPr>
          <w:rFonts w:ascii="Times New Roman" w:hAnsi="Times New Roman"/>
          <w:lang w:val="en-GB"/>
        </w:rPr>
        <w:t>” (Edler and Georghiou, 2007; p.</w:t>
      </w:r>
      <w:r w:rsidR="00F000B9" w:rsidRPr="00F65686">
        <w:rPr>
          <w:rFonts w:ascii="Times New Roman" w:hAnsi="Times New Roman"/>
          <w:lang w:val="en-GB"/>
        </w:rPr>
        <w:t xml:space="preserve"> </w:t>
      </w:r>
      <w:r w:rsidRPr="00F65686">
        <w:rPr>
          <w:rFonts w:ascii="Times New Roman" w:hAnsi="Times New Roman"/>
          <w:lang w:val="en-GB"/>
        </w:rPr>
        <w:t>95</w:t>
      </w:r>
      <w:r w:rsidR="00F000B9" w:rsidRPr="00F65686">
        <w:rPr>
          <w:rFonts w:ascii="Times New Roman" w:hAnsi="Times New Roman"/>
          <w:lang w:val="en-GB"/>
        </w:rPr>
        <w:t>2). Such measures include</w:t>
      </w:r>
      <w:r w:rsidRPr="00F65686">
        <w:rPr>
          <w:rFonts w:ascii="Times New Roman" w:hAnsi="Times New Roman"/>
          <w:lang w:val="en-GB"/>
        </w:rPr>
        <w:t xml:space="preserve"> systemic policies, regulation, and public procurement (Gheorgiou et al., 2014).</w:t>
      </w:r>
    </w:p>
    <w:p w14:paraId="5F136EB1" w14:textId="7167D016" w:rsidR="007B7FE2" w:rsidRPr="00F65686" w:rsidRDefault="00A27296" w:rsidP="00F65686">
      <w:pPr>
        <w:jc w:val="both"/>
        <w:rPr>
          <w:rFonts w:ascii="Times New Roman" w:hAnsi="Times New Roman"/>
          <w:lang w:val="en-GB"/>
        </w:rPr>
      </w:pPr>
      <w:r w:rsidRPr="00F65686">
        <w:rPr>
          <w:rFonts w:ascii="Times New Roman" w:hAnsi="Times New Roman"/>
          <w:lang w:val="en-GB"/>
        </w:rPr>
        <w:t>At first, i</w:t>
      </w:r>
      <w:r w:rsidR="00CC4F9C" w:rsidRPr="00F65686">
        <w:rPr>
          <w:rFonts w:ascii="Times New Roman" w:hAnsi="Times New Roman"/>
          <w:lang w:val="en-GB"/>
        </w:rPr>
        <w:t xml:space="preserve">nnovation policies </w:t>
      </w:r>
      <w:r w:rsidR="00F000B9" w:rsidRPr="00F65686">
        <w:rPr>
          <w:rFonts w:ascii="Times New Roman" w:hAnsi="Times New Roman"/>
          <w:lang w:val="en-GB"/>
        </w:rPr>
        <w:t>were implemented through</w:t>
      </w:r>
      <w:r w:rsidR="00CC4F9C" w:rsidRPr="00F65686">
        <w:rPr>
          <w:rFonts w:ascii="Times New Roman" w:hAnsi="Times New Roman"/>
          <w:lang w:val="en-GB"/>
        </w:rPr>
        <w:t xml:space="preserve"> supply-side </w:t>
      </w:r>
      <w:r w:rsidR="00F000B9" w:rsidRPr="00F65686">
        <w:rPr>
          <w:rFonts w:ascii="Times New Roman" w:hAnsi="Times New Roman"/>
          <w:lang w:val="en-GB"/>
        </w:rPr>
        <w:t>schemes</w:t>
      </w:r>
      <w:r w:rsidR="00CC4F9C" w:rsidRPr="00F65686">
        <w:rPr>
          <w:rFonts w:ascii="Times New Roman" w:hAnsi="Times New Roman"/>
          <w:lang w:val="en-GB"/>
        </w:rPr>
        <w:t xml:space="preserve"> </w:t>
      </w:r>
      <w:r w:rsidRPr="00F65686">
        <w:rPr>
          <w:rFonts w:ascii="Times New Roman" w:hAnsi="Times New Roman"/>
          <w:lang w:val="en-GB"/>
        </w:rPr>
        <w:t>such as</w:t>
      </w:r>
      <w:r w:rsidR="00CC4F9C" w:rsidRPr="00F65686">
        <w:rPr>
          <w:rFonts w:ascii="Times New Roman" w:hAnsi="Times New Roman"/>
          <w:lang w:val="en-GB"/>
        </w:rPr>
        <w:t xml:space="preserve"> the funding of scien</w:t>
      </w:r>
      <w:r w:rsidR="00F000B9" w:rsidRPr="00F65686">
        <w:rPr>
          <w:rFonts w:ascii="Times New Roman" w:hAnsi="Times New Roman"/>
          <w:lang w:val="en-GB"/>
        </w:rPr>
        <w:t>ce through collaborative</w:t>
      </w:r>
      <w:r w:rsidRPr="00F65686">
        <w:rPr>
          <w:rFonts w:ascii="Times New Roman" w:hAnsi="Times New Roman"/>
          <w:lang w:val="en-GB"/>
        </w:rPr>
        <w:t xml:space="preserve"> projects or fiscal incentives to</w:t>
      </w:r>
      <w:r w:rsidR="00CC4F9C" w:rsidRPr="00F65686">
        <w:rPr>
          <w:rFonts w:ascii="Times New Roman" w:hAnsi="Times New Roman"/>
          <w:lang w:val="en-GB"/>
        </w:rPr>
        <w:t xml:space="preserve"> R&amp;</w:t>
      </w:r>
      <w:r w:rsidR="00735425" w:rsidRPr="00F65686">
        <w:rPr>
          <w:rFonts w:ascii="Times New Roman" w:hAnsi="Times New Roman"/>
          <w:lang w:val="en-GB"/>
        </w:rPr>
        <w:t>D spending (Georghiou, 2006). Segerstrom (2000) found that permanent increases in R&amp;D subsidies trigger higher firm investments in R&amp;D expenditures. However, this</w:t>
      </w:r>
      <w:r w:rsidR="00D7620A" w:rsidRPr="00F65686">
        <w:rPr>
          <w:rFonts w:ascii="Times New Roman" w:hAnsi="Times New Roman"/>
          <w:lang w:val="en-GB"/>
        </w:rPr>
        <w:t xml:space="preserve"> does</w:t>
      </w:r>
      <w:r w:rsidR="00735425" w:rsidRPr="00F65686">
        <w:rPr>
          <w:rFonts w:ascii="Times New Roman" w:hAnsi="Times New Roman"/>
          <w:lang w:val="en-GB"/>
        </w:rPr>
        <w:t xml:space="preserve"> not directly translate in</w:t>
      </w:r>
      <w:r w:rsidR="00F145A5" w:rsidRPr="00F65686">
        <w:rPr>
          <w:rFonts w:ascii="Times New Roman" w:hAnsi="Times New Roman"/>
          <w:lang w:val="en-GB"/>
        </w:rPr>
        <w:t>to</w:t>
      </w:r>
      <w:r w:rsidR="00735425" w:rsidRPr="00F65686">
        <w:rPr>
          <w:rFonts w:ascii="Times New Roman" w:hAnsi="Times New Roman"/>
          <w:lang w:val="en-GB"/>
        </w:rPr>
        <w:t xml:space="preserve"> more innovation, because with more R&amp;D resources, technological complexity increases rapidly</w:t>
      </w:r>
      <w:r w:rsidR="00D7620A" w:rsidRPr="00F65686">
        <w:rPr>
          <w:rFonts w:ascii="Times New Roman" w:hAnsi="Times New Roman"/>
          <w:lang w:val="en-GB"/>
        </w:rPr>
        <w:t>, too</w:t>
      </w:r>
      <w:r w:rsidR="00735425" w:rsidRPr="00F65686">
        <w:rPr>
          <w:rFonts w:ascii="Times New Roman" w:hAnsi="Times New Roman"/>
          <w:lang w:val="en-GB"/>
        </w:rPr>
        <w:t xml:space="preserve">. This causes a decline in the productivity of </w:t>
      </w:r>
      <w:r w:rsidR="00D7620A" w:rsidRPr="00F65686">
        <w:rPr>
          <w:rFonts w:ascii="Times New Roman" w:hAnsi="Times New Roman"/>
          <w:lang w:val="en-GB"/>
        </w:rPr>
        <w:t xml:space="preserve">the </w:t>
      </w:r>
      <w:r w:rsidR="00735425" w:rsidRPr="00F65686">
        <w:rPr>
          <w:rFonts w:ascii="Times New Roman" w:hAnsi="Times New Roman"/>
          <w:lang w:val="en-GB"/>
        </w:rPr>
        <w:t xml:space="preserve">R&amp;D </w:t>
      </w:r>
      <w:r w:rsidR="00D7620A" w:rsidRPr="00F65686">
        <w:rPr>
          <w:rFonts w:ascii="Times New Roman" w:hAnsi="Times New Roman"/>
          <w:lang w:val="en-GB"/>
        </w:rPr>
        <w:t xml:space="preserve">function, </w:t>
      </w:r>
      <w:r w:rsidR="00735425" w:rsidRPr="00F65686">
        <w:rPr>
          <w:rFonts w:ascii="Times New Roman" w:hAnsi="Times New Roman"/>
          <w:lang w:val="en-GB"/>
        </w:rPr>
        <w:t>and</w:t>
      </w:r>
      <w:r w:rsidR="00D7620A" w:rsidRPr="00F65686">
        <w:rPr>
          <w:rFonts w:ascii="Times New Roman" w:hAnsi="Times New Roman"/>
          <w:lang w:val="en-GB"/>
        </w:rPr>
        <w:t>,</w:t>
      </w:r>
      <w:r w:rsidR="00735425" w:rsidRPr="00F65686">
        <w:rPr>
          <w:rFonts w:ascii="Times New Roman" w:hAnsi="Times New Roman"/>
          <w:lang w:val="en-GB"/>
        </w:rPr>
        <w:t xml:space="preserve"> consequently</w:t>
      </w:r>
      <w:r w:rsidR="00D7620A" w:rsidRPr="00F65686">
        <w:rPr>
          <w:rFonts w:ascii="Times New Roman" w:hAnsi="Times New Roman"/>
          <w:lang w:val="en-GB"/>
        </w:rPr>
        <w:t>,</w:t>
      </w:r>
      <w:r w:rsidR="00C87A04" w:rsidRPr="00F65686">
        <w:rPr>
          <w:rFonts w:ascii="Times New Roman" w:hAnsi="Times New Roman"/>
          <w:lang w:val="en-GB"/>
        </w:rPr>
        <w:t xml:space="preserve"> the innovation rate declines</w:t>
      </w:r>
      <w:r w:rsidR="00735425" w:rsidRPr="00F65686">
        <w:rPr>
          <w:rFonts w:ascii="Times New Roman" w:hAnsi="Times New Roman"/>
          <w:lang w:val="en-GB"/>
        </w:rPr>
        <w:t xml:space="preserve"> over time. </w:t>
      </w:r>
      <w:r w:rsidR="007B7FE2" w:rsidRPr="00F65686">
        <w:rPr>
          <w:rFonts w:ascii="Times New Roman" w:hAnsi="Times New Roman"/>
          <w:lang w:val="en-GB"/>
        </w:rPr>
        <w:t>Supply-side instruments aim at supporting the recipients to innovate more quickly or in different directions, as the interaction with new partners may cause (Edler et al, 2016).</w:t>
      </w:r>
    </w:p>
    <w:p w14:paraId="438603F4" w14:textId="7FAE5C57" w:rsidR="007B7FE2" w:rsidRPr="00F65686" w:rsidRDefault="00CC4F9C" w:rsidP="00F65686">
      <w:pPr>
        <w:jc w:val="both"/>
        <w:rPr>
          <w:rFonts w:ascii="Times New Roman" w:hAnsi="Times New Roman"/>
          <w:lang w:val="en-GB"/>
        </w:rPr>
      </w:pPr>
      <w:r w:rsidRPr="00F65686">
        <w:rPr>
          <w:rFonts w:ascii="Times New Roman" w:hAnsi="Times New Roman"/>
          <w:lang w:val="en-GB"/>
        </w:rPr>
        <w:t>M</w:t>
      </w:r>
      <w:r w:rsidR="00C87A04" w:rsidRPr="00F65686">
        <w:rPr>
          <w:rFonts w:ascii="Times New Roman" w:hAnsi="Times New Roman"/>
          <w:lang w:val="en-GB"/>
        </w:rPr>
        <w:t>ore recently, policy-makers</w:t>
      </w:r>
      <w:r w:rsidRPr="00F65686">
        <w:rPr>
          <w:rFonts w:ascii="Times New Roman" w:hAnsi="Times New Roman"/>
          <w:lang w:val="en-GB"/>
        </w:rPr>
        <w:t xml:space="preserve"> started to pay more atte</w:t>
      </w:r>
      <w:r w:rsidR="00A27296" w:rsidRPr="00F65686">
        <w:rPr>
          <w:rFonts w:ascii="Times New Roman" w:hAnsi="Times New Roman"/>
          <w:lang w:val="en-GB"/>
        </w:rPr>
        <w:t xml:space="preserve">ntion to demand-side policies to </w:t>
      </w:r>
      <w:r w:rsidR="00955BC5" w:rsidRPr="00F65686">
        <w:rPr>
          <w:rFonts w:ascii="Times New Roman" w:hAnsi="Times New Roman"/>
          <w:lang w:val="en-GB"/>
        </w:rPr>
        <w:t>enable entrepreneurs to commercialize their ideas on the market</w:t>
      </w:r>
      <w:r w:rsidRPr="00F65686">
        <w:rPr>
          <w:rFonts w:ascii="Times New Roman" w:hAnsi="Times New Roman"/>
          <w:lang w:val="en-GB"/>
        </w:rPr>
        <w:t xml:space="preserve"> (European Commission, 20</w:t>
      </w:r>
      <w:r w:rsidR="00A37FA5" w:rsidRPr="00F65686">
        <w:rPr>
          <w:rFonts w:ascii="Times New Roman" w:hAnsi="Times New Roman"/>
          <w:lang w:val="en-GB"/>
        </w:rPr>
        <w:t>09</w:t>
      </w:r>
      <w:r w:rsidRPr="00F65686">
        <w:rPr>
          <w:rFonts w:ascii="Times New Roman" w:hAnsi="Times New Roman"/>
          <w:lang w:val="en-GB"/>
        </w:rPr>
        <w:t>)</w:t>
      </w:r>
      <w:r w:rsidR="00735425" w:rsidRPr="00F65686">
        <w:rPr>
          <w:rFonts w:ascii="Times New Roman" w:hAnsi="Times New Roman"/>
          <w:lang w:val="en-GB"/>
        </w:rPr>
        <w:t xml:space="preserve">. </w:t>
      </w:r>
      <w:r w:rsidR="00F145A5" w:rsidRPr="00F65686">
        <w:rPr>
          <w:rFonts w:ascii="Times New Roman" w:hAnsi="Times New Roman"/>
          <w:lang w:val="en-GB"/>
        </w:rPr>
        <w:t>Demand-</w:t>
      </w:r>
      <w:r w:rsidR="007B7FE2" w:rsidRPr="00F65686">
        <w:rPr>
          <w:rFonts w:ascii="Times New Roman" w:hAnsi="Times New Roman"/>
          <w:lang w:val="en-GB"/>
        </w:rPr>
        <w:t xml:space="preserve">side instruments foster demand for innovation by public and private organizations. </w:t>
      </w:r>
      <w:r w:rsidR="00010494" w:rsidRPr="00F65686">
        <w:rPr>
          <w:rFonts w:ascii="Times New Roman" w:hAnsi="Times New Roman"/>
          <w:lang w:val="en-GB"/>
        </w:rPr>
        <w:t>However</w:t>
      </w:r>
      <w:r w:rsidR="00735425" w:rsidRPr="00F65686">
        <w:rPr>
          <w:rFonts w:ascii="Times New Roman" w:hAnsi="Times New Roman"/>
          <w:lang w:val="en-GB"/>
        </w:rPr>
        <w:t>, if</w:t>
      </w:r>
      <w:r w:rsidR="00010494" w:rsidRPr="00F65686">
        <w:rPr>
          <w:rFonts w:ascii="Times New Roman" w:hAnsi="Times New Roman"/>
          <w:lang w:val="en-GB"/>
        </w:rPr>
        <w:t xml:space="preserve"> demand-based measures are rolled out prematurely</w:t>
      </w:r>
      <w:r w:rsidR="00735425" w:rsidRPr="00F65686">
        <w:rPr>
          <w:rFonts w:ascii="Times New Roman" w:hAnsi="Times New Roman"/>
          <w:lang w:val="en-GB"/>
        </w:rPr>
        <w:t>, there is the risk of</w:t>
      </w:r>
      <w:r w:rsidR="00010494" w:rsidRPr="00F65686">
        <w:rPr>
          <w:rFonts w:ascii="Times New Roman" w:hAnsi="Times New Roman"/>
          <w:lang w:val="en-GB"/>
        </w:rPr>
        <w:t xml:space="preserve"> hig</w:t>
      </w:r>
      <w:r w:rsidR="00735425" w:rsidRPr="00F65686">
        <w:rPr>
          <w:rFonts w:ascii="Times New Roman" w:hAnsi="Times New Roman"/>
          <w:lang w:val="en-GB"/>
        </w:rPr>
        <w:t>h transaction and learning cost</w:t>
      </w:r>
      <w:r w:rsidR="00F145A5" w:rsidRPr="00F65686">
        <w:rPr>
          <w:rFonts w:ascii="Times New Roman" w:hAnsi="Times New Roman"/>
          <w:lang w:val="en-GB"/>
        </w:rPr>
        <w:t>s</w:t>
      </w:r>
      <w:r w:rsidR="00735425" w:rsidRPr="00F65686">
        <w:rPr>
          <w:rFonts w:ascii="Times New Roman" w:hAnsi="Times New Roman"/>
          <w:lang w:val="en-GB"/>
        </w:rPr>
        <w:t xml:space="preserve"> (Izsak and Edler, 2011</w:t>
      </w:r>
      <w:r w:rsidR="00010494" w:rsidRPr="00F65686">
        <w:rPr>
          <w:rFonts w:ascii="Times New Roman" w:hAnsi="Times New Roman"/>
          <w:lang w:val="en-GB"/>
        </w:rPr>
        <w:t xml:space="preserve">). </w:t>
      </w:r>
      <w:r w:rsidR="007B7FE2" w:rsidRPr="00F65686">
        <w:rPr>
          <w:rFonts w:ascii="Times New Roman" w:hAnsi="Times New Roman"/>
          <w:lang w:val="en-GB"/>
        </w:rPr>
        <w:t xml:space="preserve">It is crucial to identify the success factors driving </w:t>
      </w:r>
      <w:r w:rsidR="00F145A5" w:rsidRPr="00F65686">
        <w:rPr>
          <w:rFonts w:ascii="Times New Roman" w:hAnsi="Times New Roman"/>
          <w:lang w:val="en-GB"/>
        </w:rPr>
        <w:t xml:space="preserve">the </w:t>
      </w:r>
      <w:r w:rsidR="007B7FE2" w:rsidRPr="00F65686">
        <w:rPr>
          <w:rFonts w:ascii="Times New Roman" w:hAnsi="Times New Roman"/>
          <w:lang w:val="en-GB"/>
        </w:rPr>
        <w:t xml:space="preserve">effective implementation of demand-side measures, especially when new measures developed in a country are replicated </w:t>
      </w:r>
      <w:r w:rsidR="00C87A04" w:rsidRPr="00F65686">
        <w:rPr>
          <w:rFonts w:ascii="Times New Roman" w:hAnsi="Times New Roman"/>
          <w:lang w:val="en-GB"/>
        </w:rPr>
        <w:t>in a different context.</w:t>
      </w:r>
    </w:p>
    <w:p w14:paraId="63E5AC6A" w14:textId="471AF30D" w:rsidR="007B7FE2" w:rsidRPr="00F65686" w:rsidRDefault="007B7FE2" w:rsidP="00F65686">
      <w:pPr>
        <w:jc w:val="both"/>
        <w:rPr>
          <w:rFonts w:ascii="Times New Roman" w:hAnsi="Times New Roman"/>
          <w:lang w:val="en-GB"/>
        </w:rPr>
      </w:pPr>
      <w:r w:rsidRPr="00F65686">
        <w:rPr>
          <w:rFonts w:ascii="Times New Roman" w:hAnsi="Times New Roman"/>
          <w:lang w:val="en-GB"/>
        </w:rPr>
        <w:lastRenderedPageBreak/>
        <w:t>N</w:t>
      </w:r>
      <w:r w:rsidR="00C87A04" w:rsidRPr="00F65686">
        <w:rPr>
          <w:rFonts w:ascii="Times New Roman" w:hAnsi="Times New Roman"/>
          <w:lang w:val="en-GB"/>
        </w:rPr>
        <w:t>onetheless, many public</w:t>
      </w:r>
      <w:r w:rsidRPr="00F65686">
        <w:rPr>
          <w:rFonts w:ascii="Times New Roman" w:hAnsi="Times New Roman"/>
          <w:lang w:val="en-GB"/>
        </w:rPr>
        <w:t xml:space="preserve"> programmes aim at strengthening the interplay of demand and supply, therefore the distinction between the two kinds of instrument</w:t>
      </w:r>
      <w:r w:rsidR="00F145A5" w:rsidRPr="00F65686">
        <w:rPr>
          <w:rFonts w:ascii="Times New Roman" w:hAnsi="Times New Roman"/>
          <w:lang w:val="en-GB"/>
        </w:rPr>
        <w:t>s</w:t>
      </w:r>
      <w:r w:rsidRPr="00F65686">
        <w:rPr>
          <w:rFonts w:ascii="Times New Roman" w:hAnsi="Times New Roman"/>
          <w:lang w:val="en-GB"/>
        </w:rPr>
        <w:t xml:space="preserve"> may be not so straightforward in practice </w:t>
      </w:r>
      <w:r w:rsidRPr="00F65686">
        <w:rPr>
          <w:rFonts w:ascii="Times New Roman" w:hAnsi="Times New Roman"/>
          <w:lang w:val="en-US"/>
        </w:rPr>
        <w:t>(Bleda and Del Rio, 2013).</w:t>
      </w:r>
      <w:r w:rsidR="00286CC9" w:rsidRPr="00F65686">
        <w:rPr>
          <w:rFonts w:ascii="Times New Roman" w:hAnsi="Times New Roman"/>
          <w:lang w:val="en-US"/>
        </w:rPr>
        <w:t xml:space="preserve"> In this sense, it is worth mentioning </w:t>
      </w:r>
      <w:r w:rsidR="009F39FC" w:rsidRPr="00F65686">
        <w:rPr>
          <w:rFonts w:ascii="Times New Roman" w:hAnsi="Times New Roman"/>
          <w:lang w:val="en-US"/>
        </w:rPr>
        <w:t>a</w:t>
      </w:r>
      <w:r w:rsidR="00286CC9" w:rsidRPr="00F65686">
        <w:rPr>
          <w:rFonts w:ascii="Times New Roman" w:hAnsi="Times New Roman"/>
          <w:lang w:val="en-US"/>
        </w:rPr>
        <w:t xml:space="preserve"> classification of innovation policies as basically belonging to three subsequent waves, the first (taking place after WWII) institutionalizing government support for R&amp;D with the goal to address market failures; the second, following globalization mega-trends, and stressing the role of national and regional systems of innovation for knowledge creation and diffusion; and the third, recently emerging and connected to present-day social and environmental challenges, requiring transformative change (Schot and Steinmueller, 2018).</w:t>
      </w:r>
    </w:p>
    <w:p w14:paraId="271790A7" w14:textId="77777777" w:rsidR="002213E6" w:rsidRPr="00F65686" w:rsidRDefault="002213E6" w:rsidP="00F65686">
      <w:pPr>
        <w:spacing w:after="120"/>
        <w:jc w:val="both"/>
        <w:rPr>
          <w:rFonts w:ascii="Times New Roman" w:hAnsi="Times New Roman"/>
          <w:lang w:val="en-GB"/>
        </w:rPr>
      </w:pPr>
    </w:p>
    <w:p w14:paraId="22B2A65A" w14:textId="39797B26" w:rsidR="00472648" w:rsidRPr="00F65686" w:rsidRDefault="00C87A04" w:rsidP="00F65686">
      <w:pPr>
        <w:pStyle w:val="Titolo3"/>
        <w:jc w:val="both"/>
        <w:rPr>
          <w:rFonts w:ascii="Times New Roman" w:hAnsi="Times New Roman"/>
          <w:lang w:val="en-GB"/>
        </w:rPr>
      </w:pPr>
      <w:r w:rsidRPr="00F65686">
        <w:rPr>
          <w:rFonts w:ascii="Times New Roman" w:hAnsi="Times New Roman"/>
          <w:lang w:val="en-GB"/>
        </w:rPr>
        <w:t xml:space="preserve">2.3 </w:t>
      </w:r>
      <w:r w:rsidR="00F27F57" w:rsidRPr="00F65686">
        <w:rPr>
          <w:rFonts w:ascii="Times New Roman" w:hAnsi="Times New Roman"/>
          <w:lang w:val="en-GB"/>
        </w:rPr>
        <w:t>Innovation vouchers</w:t>
      </w:r>
    </w:p>
    <w:p w14:paraId="3B9A038E" w14:textId="5F198371" w:rsidR="007B7FE2" w:rsidRPr="00F65686" w:rsidRDefault="0018021B" w:rsidP="00F65686">
      <w:pPr>
        <w:jc w:val="both"/>
        <w:rPr>
          <w:rFonts w:ascii="Times New Roman" w:hAnsi="Times New Roman"/>
          <w:lang w:val="en-GB"/>
        </w:rPr>
      </w:pPr>
      <w:r w:rsidRPr="00F65686">
        <w:rPr>
          <w:rFonts w:ascii="Times New Roman" w:hAnsi="Times New Roman"/>
          <w:lang w:val="en-GB"/>
        </w:rPr>
        <w:t>L</w:t>
      </w:r>
      <w:r w:rsidR="00F9341D" w:rsidRPr="00F65686">
        <w:rPr>
          <w:rFonts w:ascii="Times New Roman" w:hAnsi="Times New Roman"/>
          <w:lang w:val="en-GB"/>
        </w:rPr>
        <w:t>inkages between SMEs and knowledge suppliers</w:t>
      </w:r>
      <w:r w:rsidRPr="00F65686">
        <w:rPr>
          <w:rFonts w:ascii="Times New Roman" w:hAnsi="Times New Roman"/>
          <w:lang w:val="en-GB"/>
        </w:rPr>
        <w:t xml:space="preserve"> can foster innovation</w:t>
      </w:r>
      <w:r w:rsidR="000031C9" w:rsidRPr="00F65686">
        <w:rPr>
          <w:rFonts w:ascii="Times New Roman" w:hAnsi="Times New Roman"/>
          <w:lang w:val="en-GB"/>
        </w:rPr>
        <w:t xml:space="preserve">. </w:t>
      </w:r>
      <w:r w:rsidRPr="00F65686">
        <w:rPr>
          <w:rFonts w:ascii="Times New Roman" w:hAnsi="Times New Roman"/>
          <w:lang w:val="en-GB"/>
        </w:rPr>
        <w:t>However,</w:t>
      </w:r>
      <w:r w:rsidR="00F9341D" w:rsidRPr="00F65686">
        <w:rPr>
          <w:rFonts w:ascii="Times New Roman" w:hAnsi="Times New Roman"/>
          <w:lang w:val="en-GB"/>
        </w:rPr>
        <w:t xml:space="preserve"> SMEs </w:t>
      </w:r>
      <w:r w:rsidRPr="00F65686">
        <w:rPr>
          <w:rFonts w:ascii="Times New Roman" w:hAnsi="Times New Roman"/>
          <w:lang w:val="en-GB"/>
        </w:rPr>
        <w:t>are not very effective at</w:t>
      </w:r>
      <w:r w:rsidR="00F9341D" w:rsidRPr="00F65686">
        <w:rPr>
          <w:rFonts w:ascii="Times New Roman" w:hAnsi="Times New Roman"/>
          <w:lang w:val="en-GB"/>
        </w:rPr>
        <w:t xml:space="preserve"> identify</w:t>
      </w:r>
      <w:r w:rsidRPr="00F65686">
        <w:rPr>
          <w:rFonts w:ascii="Times New Roman" w:hAnsi="Times New Roman"/>
          <w:lang w:val="en-GB"/>
        </w:rPr>
        <w:t>ing</w:t>
      </w:r>
      <w:r w:rsidR="00F9341D" w:rsidRPr="00F65686">
        <w:rPr>
          <w:rFonts w:ascii="Times New Roman" w:hAnsi="Times New Roman"/>
          <w:lang w:val="en-GB"/>
        </w:rPr>
        <w:t xml:space="preserve"> their</w:t>
      </w:r>
      <w:r w:rsidR="00F9341D" w:rsidRPr="00F65686">
        <w:rPr>
          <w:rFonts w:ascii="Times New Roman" w:hAnsi="Times New Roman"/>
          <w:lang w:val="en-US"/>
        </w:rPr>
        <w:t xml:space="preserve"> needs </w:t>
      </w:r>
      <w:r w:rsidR="00F9341D" w:rsidRPr="00F65686">
        <w:rPr>
          <w:rFonts w:ascii="Times New Roman" w:hAnsi="Times New Roman"/>
          <w:lang w:val="en-GB"/>
        </w:rPr>
        <w:t xml:space="preserve">and access relevant knowledge (Hussler et al., 2010). </w:t>
      </w:r>
      <w:r w:rsidR="006C26AD" w:rsidRPr="00F65686">
        <w:rPr>
          <w:rFonts w:ascii="Times New Roman" w:hAnsi="Times New Roman"/>
          <w:lang w:val="en-GB"/>
        </w:rPr>
        <w:t xml:space="preserve">Some guidance to address these weaknesses can be useful. </w:t>
      </w:r>
      <w:r w:rsidR="000031C9" w:rsidRPr="00F65686">
        <w:rPr>
          <w:rFonts w:ascii="Times New Roman" w:hAnsi="Times New Roman"/>
          <w:lang w:val="en-GB"/>
        </w:rPr>
        <w:t>Technology and innovation advisory services are real services that differ from general business</w:t>
      </w:r>
      <w:r w:rsidRPr="00F65686">
        <w:rPr>
          <w:rFonts w:ascii="Times New Roman" w:hAnsi="Times New Roman"/>
          <w:lang w:val="en-GB"/>
        </w:rPr>
        <w:t xml:space="preserve"> support</w:t>
      </w:r>
      <w:r w:rsidR="000031C9" w:rsidRPr="00F65686">
        <w:rPr>
          <w:rFonts w:ascii="Times New Roman" w:hAnsi="Times New Roman"/>
          <w:lang w:val="en-GB"/>
        </w:rPr>
        <w:t xml:space="preserve"> because they are directly provided </w:t>
      </w:r>
      <w:r w:rsidRPr="00F65686">
        <w:rPr>
          <w:rFonts w:ascii="Times New Roman" w:hAnsi="Times New Roman"/>
          <w:lang w:val="en-GB"/>
        </w:rPr>
        <w:t xml:space="preserve">to SMEs </w:t>
      </w:r>
      <w:r w:rsidR="000031C9" w:rsidRPr="00F65686">
        <w:rPr>
          <w:rFonts w:ascii="Times New Roman" w:hAnsi="Times New Roman"/>
          <w:lang w:val="en-GB"/>
        </w:rPr>
        <w:t>by specialists (Shapira and Youtie, 2016). These services may include audits, consulting, financial analyses, supp</w:t>
      </w:r>
      <w:r w:rsidR="007B7FE2" w:rsidRPr="00F65686">
        <w:rPr>
          <w:rFonts w:ascii="Times New Roman" w:hAnsi="Times New Roman"/>
          <w:lang w:val="en-GB"/>
        </w:rPr>
        <w:t>lier and IT solutions sourcing, with the aim of business operations improvement in terms of productivity, efficiency, quality</w:t>
      </w:r>
      <w:r w:rsidR="00F145A5" w:rsidRPr="00F65686">
        <w:rPr>
          <w:rFonts w:ascii="Times New Roman" w:hAnsi="Times New Roman"/>
          <w:lang w:val="en-GB"/>
        </w:rPr>
        <w:t>,</w:t>
      </w:r>
      <w:r w:rsidR="007B7FE2" w:rsidRPr="00F65686">
        <w:rPr>
          <w:rFonts w:ascii="Times New Roman" w:hAnsi="Times New Roman"/>
          <w:lang w:val="en-GB"/>
        </w:rPr>
        <w:t xml:space="preserve"> and of course innovation. </w:t>
      </w:r>
      <w:r w:rsidR="000031C9" w:rsidRPr="00F65686">
        <w:rPr>
          <w:rFonts w:ascii="Times New Roman" w:hAnsi="Times New Roman"/>
          <w:lang w:val="en-GB"/>
        </w:rPr>
        <w:t>Their main targets are small firms with an established business cycle and a mature technology focus.</w:t>
      </w:r>
      <w:r w:rsidR="007B7FE2" w:rsidRPr="00F65686">
        <w:rPr>
          <w:rFonts w:ascii="Times New Roman" w:hAnsi="Times New Roman"/>
          <w:lang w:val="en-GB"/>
        </w:rPr>
        <w:t xml:space="preserve"> </w:t>
      </w:r>
      <w:r w:rsidR="00F145A5" w:rsidRPr="00F65686">
        <w:rPr>
          <w:rFonts w:ascii="Times New Roman" w:hAnsi="Times New Roman"/>
          <w:lang w:val="en-GB"/>
        </w:rPr>
        <w:t xml:space="preserve">The government </w:t>
      </w:r>
      <w:r w:rsidR="006C26AD" w:rsidRPr="00F65686">
        <w:rPr>
          <w:rFonts w:ascii="Times New Roman" w:hAnsi="Times New Roman"/>
          <w:lang w:val="en-GB"/>
        </w:rPr>
        <w:t>may support t</w:t>
      </w:r>
      <w:r w:rsidR="000031C9" w:rsidRPr="00F65686">
        <w:rPr>
          <w:rFonts w:ascii="Times New Roman" w:hAnsi="Times New Roman"/>
          <w:lang w:val="en-GB"/>
        </w:rPr>
        <w:t>echnical services and advi</w:t>
      </w:r>
      <w:r w:rsidR="006C26AD" w:rsidRPr="00F65686">
        <w:rPr>
          <w:rFonts w:ascii="Times New Roman" w:hAnsi="Times New Roman"/>
          <w:lang w:val="en-GB"/>
        </w:rPr>
        <w:t>ce</w:t>
      </w:r>
      <w:r w:rsidR="000031C9" w:rsidRPr="00F65686">
        <w:rPr>
          <w:rFonts w:ascii="Times New Roman" w:hAnsi="Times New Roman"/>
          <w:lang w:val="en-GB"/>
        </w:rPr>
        <w:t xml:space="preserve"> as well as innovat</w:t>
      </w:r>
      <w:r w:rsidR="006C26AD" w:rsidRPr="00F65686">
        <w:rPr>
          <w:rFonts w:ascii="Times New Roman" w:hAnsi="Times New Roman"/>
          <w:lang w:val="en-GB"/>
        </w:rPr>
        <w:t>ion network schemes.</w:t>
      </w:r>
      <w:r w:rsidR="000031C9" w:rsidRPr="00F65686">
        <w:rPr>
          <w:rFonts w:ascii="Times New Roman" w:hAnsi="Times New Roman"/>
          <w:lang w:val="en-GB"/>
        </w:rPr>
        <w:t xml:space="preserve"> </w:t>
      </w:r>
      <w:r w:rsidR="006C26AD" w:rsidRPr="00F65686">
        <w:rPr>
          <w:rFonts w:ascii="Times New Roman" w:hAnsi="Times New Roman"/>
          <w:lang w:val="en-GB"/>
        </w:rPr>
        <w:t xml:space="preserve">These </w:t>
      </w:r>
      <w:r w:rsidR="000031C9" w:rsidRPr="00F65686">
        <w:rPr>
          <w:rFonts w:ascii="Times New Roman" w:hAnsi="Times New Roman"/>
          <w:lang w:val="en-GB"/>
        </w:rPr>
        <w:t>p</w:t>
      </w:r>
      <w:r w:rsidR="006C26AD" w:rsidRPr="00F65686">
        <w:rPr>
          <w:rFonts w:ascii="Times New Roman" w:hAnsi="Times New Roman"/>
          <w:lang w:val="en-GB"/>
        </w:rPr>
        <w:t xml:space="preserve">olicy instruments are considered supply-side </w:t>
      </w:r>
      <w:r w:rsidR="007B7FE2" w:rsidRPr="00F65686">
        <w:rPr>
          <w:rFonts w:ascii="Times New Roman" w:hAnsi="Times New Roman"/>
          <w:lang w:val="en-GB"/>
        </w:rPr>
        <w:t xml:space="preserve">when </w:t>
      </w:r>
      <w:r w:rsidR="00BA622B" w:rsidRPr="00F65686">
        <w:rPr>
          <w:rFonts w:ascii="Times New Roman" w:hAnsi="Times New Roman"/>
          <w:lang w:val="en-GB"/>
        </w:rPr>
        <w:t xml:space="preserve">they </w:t>
      </w:r>
      <w:r w:rsidR="000031C9" w:rsidRPr="00F65686">
        <w:rPr>
          <w:rFonts w:ascii="Times New Roman" w:hAnsi="Times New Roman"/>
          <w:lang w:val="en-GB"/>
        </w:rPr>
        <w:t>target preliminarily producers of innovation, i.e. the beneficiary firms.</w:t>
      </w:r>
    </w:p>
    <w:p w14:paraId="79948060" w14:textId="4A737737" w:rsidR="007560E3" w:rsidRPr="00F65686" w:rsidRDefault="007560E3" w:rsidP="00F65686">
      <w:pPr>
        <w:jc w:val="both"/>
        <w:rPr>
          <w:rFonts w:ascii="Times New Roman" w:hAnsi="Times New Roman"/>
          <w:lang w:val="en-GB"/>
        </w:rPr>
      </w:pPr>
      <w:r w:rsidRPr="00F65686">
        <w:rPr>
          <w:rFonts w:ascii="Times New Roman" w:hAnsi="Times New Roman"/>
          <w:lang w:val="en-GB"/>
        </w:rPr>
        <w:t>The innovation voucher</w:t>
      </w:r>
      <w:r w:rsidR="006C26AD" w:rsidRPr="00F65686">
        <w:rPr>
          <w:rFonts w:ascii="Times New Roman" w:hAnsi="Times New Roman"/>
          <w:lang w:val="en-GB"/>
        </w:rPr>
        <w:t xml:space="preserve">, called also or </w:t>
      </w:r>
      <w:r w:rsidR="007E5874" w:rsidRPr="00F65686">
        <w:rPr>
          <w:rFonts w:ascii="Times New Roman" w:hAnsi="Times New Roman"/>
          <w:lang w:val="en-GB"/>
        </w:rPr>
        <w:t xml:space="preserve">technology </w:t>
      </w:r>
      <w:r w:rsidR="006C26AD" w:rsidRPr="00F65686">
        <w:rPr>
          <w:rFonts w:ascii="Times New Roman" w:hAnsi="Times New Roman"/>
          <w:lang w:val="en-GB"/>
        </w:rPr>
        <w:t>voucher,</w:t>
      </w:r>
      <w:r w:rsidRPr="00F65686">
        <w:rPr>
          <w:rFonts w:ascii="Times New Roman" w:hAnsi="Times New Roman"/>
          <w:lang w:val="en-GB"/>
        </w:rPr>
        <w:t xml:space="preserve"> is a type of technology and innovation advisory service increasingly popular in Europe</w:t>
      </w:r>
      <w:r w:rsidR="003C0D59" w:rsidRPr="00F65686">
        <w:rPr>
          <w:rFonts w:ascii="Times New Roman" w:hAnsi="Times New Roman"/>
          <w:lang w:val="en-GB"/>
        </w:rPr>
        <w:t xml:space="preserve">. </w:t>
      </w:r>
      <w:r w:rsidR="003C0D59" w:rsidRPr="00F65686">
        <w:rPr>
          <w:rFonts w:ascii="Times New Roman" w:hAnsi="Times New Roman"/>
          <w:lang w:val="en-US"/>
        </w:rPr>
        <w:t xml:space="preserve">Éupolis Lombardia </w:t>
      </w:r>
      <w:r w:rsidR="00F145A5" w:rsidRPr="00F65686">
        <w:rPr>
          <w:rFonts w:ascii="Times New Roman" w:hAnsi="Times New Roman"/>
          <w:lang w:val="en-US"/>
        </w:rPr>
        <w:t xml:space="preserve">has </w:t>
      </w:r>
      <w:r w:rsidR="003C0D59" w:rsidRPr="00F65686">
        <w:rPr>
          <w:rFonts w:ascii="Times New Roman" w:hAnsi="Times New Roman"/>
          <w:lang w:val="en-GB"/>
        </w:rPr>
        <w:t>mapped more than 50 voucher initiatives in European Countries and Regions since 2003</w:t>
      </w:r>
      <w:r w:rsidR="000B281F" w:rsidRPr="00F65686">
        <w:rPr>
          <w:rFonts w:ascii="Times New Roman" w:hAnsi="Times New Roman"/>
          <w:lang w:val="en-GB"/>
        </w:rPr>
        <w:t xml:space="preserve"> </w:t>
      </w:r>
      <w:r w:rsidR="000B281F" w:rsidRPr="00F65686">
        <w:rPr>
          <w:rFonts w:ascii="Times New Roman" w:hAnsi="Times New Roman"/>
          <w:lang w:val="en-US"/>
        </w:rPr>
        <w:t>(De Crinito et al., 2013)</w:t>
      </w:r>
      <w:r w:rsidR="003C0D59" w:rsidRPr="00F65686">
        <w:rPr>
          <w:rFonts w:ascii="Times New Roman" w:hAnsi="Times New Roman"/>
          <w:lang w:val="en-GB"/>
        </w:rPr>
        <w:t>. Innovation vouchers</w:t>
      </w:r>
      <w:r w:rsidRPr="00F65686">
        <w:rPr>
          <w:rFonts w:ascii="Times New Roman" w:hAnsi="Times New Roman"/>
          <w:lang w:val="en-GB"/>
        </w:rPr>
        <w:t xml:space="preserve"> </w:t>
      </w:r>
      <w:r w:rsidR="003C0D59" w:rsidRPr="00F65686">
        <w:rPr>
          <w:rFonts w:ascii="Times New Roman" w:hAnsi="Times New Roman"/>
          <w:lang w:val="en-GB"/>
        </w:rPr>
        <w:t xml:space="preserve">are financial provisions </w:t>
      </w:r>
      <w:r w:rsidRPr="00F65686">
        <w:rPr>
          <w:rFonts w:ascii="Times New Roman" w:hAnsi="Times New Roman"/>
          <w:lang w:val="en-GB"/>
        </w:rPr>
        <w:t xml:space="preserve">in the form of a credit note intended to foster links between SMEs and knowledge providers </w:t>
      </w:r>
      <w:r w:rsidR="00CF47BC" w:rsidRPr="00F65686">
        <w:rPr>
          <w:rFonts w:ascii="Times New Roman" w:hAnsi="Times New Roman"/>
          <w:lang w:val="en-GB"/>
        </w:rPr>
        <w:t>by financing the acquisition of specialist services</w:t>
      </w:r>
      <w:r w:rsidRPr="00F65686">
        <w:rPr>
          <w:rFonts w:ascii="Times New Roman" w:hAnsi="Times New Roman"/>
          <w:lang w:val="en-GB"/>
        </w:rPr>
        <w:t xml:space="preserve"> (Sala et al, 2016). </w:t>
      </w:r>
      <w:r w:rsidR="003C0D59" w:rsidRPr="00F65686">
        <w:rPr>
          <w:rFonts w:ascii="Times New Roman" w:hAnsi="Times New Roman"/>
          <w:lang w:val="en-GB"/>
        </w:rPr>
        <w:t>These instruments foster collaboration by empowering SMEs to establish relationships with knowledge holders while providing an incentive for the latter to work with SMEs (e.g. Cornet et al., 2006).</w:t>
      </w:r>
    </w:p>
    <w:p w14:paraId="559BAFE7" w14:textId="5AF0B1AE" w:rsidR="003C0D59" w:rsidRPr="00F65686" w:rsidRDefault="00A02779" w:rsidP="00F65686">
      <w:pPr>
        <w:jc w:val="both"/>
        <w:rPr>
          <w:rFonts w:ascii="Times New Roman" w:hAnsi="Times New Roman"/>
          <w:lang w:val="en-GB"/>
        </w:rPr>
      </w:pPr>
      <w:r w:rsidRPr="00F65686">
        <w:rPr>
          <w:rFonts w:ascii="Times New Roman" w:hAnsi="Times New Roman"/>
          <w:lang w:val="en-GB"/>
        </w:rPr>
        <w:t xml:space="preserve">The main features of </w:t>
      </w:r>
      <w:r w:rsidR="003C0D59" w:rsidRPr="00F65686">
        <w:rPr>
          <w:rFonts w:ascii="Times New Roman" w:hAnsi="Times New Roman"/>
          <w:lang w:val="en-GB"/>
        </w:rPr>
        <w:t>innovation vouchers can be summarized as follows</w:t>
      </w:r>
      <w:r w:rsidRPr="00F65686">
        <w:rPr>
          <w:rFonts w:ascii="Times New Roman" w:hAnsi="Times New Roman"/>
          <w:lang w:val="en-GB"/>
        </w:rPr>
        <w:t xml:space="preserve"> (Schade and Grigore 2009)</w:t>
      </w:r>
      <w:r w:rsidR="003C0D59" w:rsidRPr="00F65686">
        <w:rPr>
          <w:rFonts w:ascii="Times New Roman" w:hAnsi="Times New Roman"/>
          <w:lang w:val="en-GB"/>
        </w:rPr>
        <w:t>:</w:t>
      </w:r>
    </w:p>
    <w:p w14:paraId="50B81612" w14:textId="70D48068" w:rsidR="003C0D59" w:rsidRPr="00F65686" w:rsidRDefault="003C0D59" w:rsidP="00F65686">
      <w:pPr>
        <w:pStyle w:val="Paragrafoelenco"/>
        <w:numPr>
          <w:ilvl w:val="0"/>
          <w:numId w:val="5"/>
        </w:numPr>
        <w:jc w:val="both"/>
        <w:rPr>
          <w:rFonts w:ascii="Times New Roman" w:hAnsi="Times New Roman"/>
          <w:lang w:val="en-GB"/>
        </w:rPr>
      </w:pPr>
      <w:r w:rsidRPr="00F65686">
        <w:rPr>
          <w:rFonts w:ascii="Times New Roman" w:hAnsi="Times New Roman"/>
          <w:lang w:val="en-GB"/>
        </w:rPr>
        <w:t>They are issued by national or regional policy-makers with a specific commitment to pay the service provider (or to reimburse the firm’s</w:t>
      </w:r>
      <w:r w:rsidR="00827AFE" w:rsidRPr="00F65686">
        <w:rPr>
          <w:rFonts w:ascii="Times New Roman" w:hAnsi="Times New Roman"/>
          <w:lang w:val="en-GB"/>
        </w:rPr>
        <w:t xml:space="preserve"> expenses)</w:t>
      </w:r>
    </w:p>
    <w:p w14:paraId="4133929F" w14:textId="31D94C2B" w:rsidR="003C0D59" w:rsidRPr="00F65686" w:rsidRDefault="003C0D59" w:rsidP="00F65686">
      <w:pPr>
        <w:pStyle w:val="Paragrafoelenco"/>
        <w:numPr>
          <w:ilvl w:val="0"/>
          <w:numId w:val="5"/>
        </w:numPr>
        <w:jc w:val="both"/>
        <w:rPr>
          <w:rFonts w:ascii="Times New Roman" w:hAnsi="Times New Roman"/>
          <w:lang w:val="en-GB"/>
        </w:rPr>
      </w:pPr>
      <w:r w:rsidRPr="00F65686">
        <w:rPr>
          <w:rFonts w:ascii="Times New Roman" w:hAnsi="Times New Roman"/>
          <w:lang w:val="en-GB"/>
        </w:rPr>
        <w:t>The cont</w:t>
      </w:r>
      <w:r w:rsidR="00A02779" w:rsidRPr="00F65686">
        <w:rPr>
          <w:rFonts w:ascii="Times New Roman" w:hAnsi="Times New Roman"/>
          <w:lang w:val="en-GB"/>
        </w:rPr>
        <w:t>ribution paid is generally small</w:t>
      </w:r>
      <w:r w:rsidRPr="00F65686">
        <w:rPr>
          <w:rFonts w:ascii="Times New Roman" w:hAnsi="Times New Roman"/>
          <w:lang w:val="en-GB"/>
        </w:rPr>
        <w:t xml:space="preserve">. In fact, vouchers range from 500€ to 25,000€, with an average of 8,000€. </w:t>
      </w:r>
      <w:r w:rsidR="00827AFE" w:rsidRPr="00F65686">
        <w:rPr>
          <w:rFonts w:ascii="Times New Roman" w:hAnsi="Times New Roman"/>
          <w:lang w:val="en-GB"/>
        </w:rPr>
        <w:t>In many cases, projects are not evaluated, but</w:t>
      </w:r>
      <w:r w:rsidRPr="00F65686">
        <w:rPr>
          <w:rFonts w:ascii="Times New Roman" w:hAnsi="Times New Roman"/>
          <w:lang w:val="en-GB"/>
        </w:rPr>
        <w:t xml:space="preserve"> </w:t>
      </w:r>
      <w:r w:rsidR="00827AFE" w:rsidRPr="00F65686">
        <w:rPr>
          <w:rFonts w:ascii="Times New Roman" w:hAnsi="Times New Roman"/>
          <w:lang w:val="en-GB"/>
        </w:rPr>
        <w:t>beneficiary firms</w:t>
      </w:r>
      <w:r w:rsidRPr="00F65686">
        <w:rPr>
          <w:rFonts w:ascii="Times New Roman" w:hAnsi="Times New Roman"/>
          <w:lang w:val="en-GB"/>
        </w:rPr>
        <w:t xml:space="preserve"> need to match public funding with private resources (up to 50%)</w:t>
      </w:r>
    </w:p>
    <w:p w14:paraId="728CAEAE" w14:textId="6AB5F104" w:rsidR="003C0D59" w:rsidRPr="00F65686" w:rsidRDefault="00827AFE" w:rsidP="00F65686">
      <w:pPr>
        <w:pStyle w:val="Paragrafoelenco"/>
        <w:numPr>
          <w:ilvl w:val="0"/>
          <w:numId w:val="5"/>
        </w:numPr>
        <w:jc w:val="both"/>
        <w:rPr>
          <w:rFonts w:ascii="Times New Roman" w:hAnsi="Times New Roman"/>
          <w:lang w:val="en-GB"/>
        </w:rPr>
      </w:pPr>
      <w:r w:rsidRPr="00F65686">
        <w:rPr>
          <w:rFonts w:ascii="Times New Roman" w:hAnsi="Times New Roman"/>
          <w:lang w:val="en-GB"/>
        </w:rPr>
        <w:t>T</w:t>
      </w:r>
      <w:r w:rsidR="003C0D59" w:rsidRPr="00F65686">
        <w:rPr>
          <w:rFonts w:ascii="Times New Roman" w:hAnsi="Times New Roman"/>
          <w:lang w:val="en-GB"/>
        </w:rPr>
        <w:t xml:space="preserve">ypes of services </w:t>
      </w:r>
      <w:r w:rsidRPr="00F65686">
        <w:rPr>
          <w:rFonts w:ascii="Times New Roman" w:hAnsi="Times New Roman"/>
          <w:lang w:val="en-GB"/>
        </w:rPr>
        <w:t xml:space="preserve">that </w:t>
      </w:r>
      <w:r w:rsidR="003C0D59" w:rsidRPr="00F65686">
        <w:rPr>
          <w:rFonts w:ascii="Times New Roman" w:hAnsi="Times New Roman"/>
          <w:lang w:val="en-GB"/>
        </w:rPr>
        <w:t xml:space="preserve">can be </w:t>
      </w:r>
      <w:r w:rsidRPr="00F65686">
        <w:rPr>
          <w:rFonts w:ascii="Times New Roman" w:hAnsi="Times New Roman"/>
          <w:lang w:val="en-GB"/>
        </w:rPr>
        <w:t>acquired with the voucher are</w:t>
      </w:r>
      <w:r w:rsidR="003C0D59" w:rsidRPr="00F65686">
        <w:rPr>
          <w:rFonts w:ascii="Times New Roman" w:hAnsi="Times New Roman"/>
          <w:lang w:val="en-GB"/>
        </w:rPr>
        <w:t xml:space="preserve"> proof</w:t>
      </w:r>
      <w:r w:rsidRPr="00F65686">
        <w:rPr>
          <w:rFonts w:ascii="Times New Roman" w:hAnsi="Times New Roman"/>
          <w:lang w:val="en-GB"/>
        </w:rPr>
        <w:t>s</w:t>
      </w:r>
      <w:r w:rsidR="003C0D59" w:rsidRPr="00F65686">
        <w:rPr>
          <w:rFonts w:ascii="Times New Roman" w:hAnsi="Times New Roman"/>
          <w:lang w:val="en-GB"/>
        </w:rPr>
        <w:t xml:space="preserve"> of concept, technical development, testing, design</w:t>
      </w:r>
      <w:r w:rsidR="00F145A5" w:rsidRPr="00F65686">
        <w:rPr>
          <w:rFonts w:ascii="Times New Roman" w:hAnsi="Times New Roman"/>
          <w:lang w:val="en-GB"/>
        </w:rPr>
        <w:t>,</w:t>
      </w:r>
      <w:r w:rsidR="003C0D59" w:rsidRPr="00F65686">
        <w:rPr>
          <w:rFonts w:ascii="Times New Roman" w:hAnsi="Times New Roman"/>
          <w:lang w:val="en-GB"/>
        </w:rPr>
        <w:t xml:space="preserve"> and technology exploration. In some cases, consult</w:t>
      </w:r>
      <w:r w:rsidRPr="00F65686">
        <w:rPr>
          <w:rFonts w:ascii="Times New Roman" w:hAnsi="Times New Roman"/>
          <w:lang w:val="en-GB"/>
        </w:rPr>
        <w:t>ing</w:t>
      </w:r>
      <w:r w:rsidR="003C0D59" w:rsidRPr="00F65686">
        <w:rPr>
          <w:rFonts w:ascii="Times New Roman" w:hAnsi="Times New Roman"/>
          <w:lang w:val="en-GB"/>
        </w:rPr>
        <w:t xml:space="preserve"> services (innovation management, </w:t>
      </w:r>
      <w:r w:rsidRPr="00F65686">
        <w:rPr>
          <w:rFonts w:ascii="Times New Roman" w:hAnsi="Times New Roman"/>
          <w:lang w:val="en-GB"/>
        </w:rPr>
        <w:t xml:space="preserve">intellectual property rights, </w:t>
      </w:r>
      <w:r w:rsidR="003C0D59" w:rsidRPr="00F65686">
        <w:rPr>
          <w:rFonts w:ascii="Times New Roman" w:hAnsi="Times New Roman"/>
          <w:lang w:val="en-GB"/>
        </w:rPr>
        <w:t>business process re-engineering</w:t>
      </w:r>
      <w:r w:rsidR="00F145A5" w:rsidRPr="00F65686">
        <w:rPr>
          <w:rFonts w:ascii="Times New Roman" w:hAnsi="Times New Roman"/>
          <w:lang w:val="en-GB"/>
        </w:rPr>
        <w:t>,</w:t>
      </w:r>
      <w:r w:rsidR="003C0D59" w:rsidRPr="00F65686">
        <w:rPr>
          <w:rFonts w:ascii="Times New Roman" w:hAnsi="Times New Roman"/>
          <w:lang w:val="en-GB"/>
        </w:rPr>
        <w:t xml:space="preserve"> and market studies)</w:t>
      </w:r>
      <w:r w:rsidRPr="00F65686">
        <w:rPr>
          <w:rFonts w:ascii="Times New Roman" w:hAnsi="Times New Roman"/>
          <w:lang w:val="en-GB"/>
        </w:rPr>
        <w:t>.</w:t>
      </w:r>
      <w:r w:rsidR="003C0D59" w:rsidRPr="00F65686">
        <w:rPr>
          <w:rFonts w:ascii="Times New Roman" w:hAnsi="Times New Roman"/>
          <w:lang w:val="en-GB"/>
        </w:rPr>
        <w:t xml:space="preserve"> </w:t>
      </w:r>
      <w:r w:rsidRPr="00F65686">
        <w:rPr>
          <w:rFonts w:ascii="Times New Roman" w:hAnsi="Times New Roman"/>
          <w:lang w:val="en-GB"/>
        </w:rPr>
        <w:t>O</w:t>
      </w:r>
      <w:r w:rsidR="003C0D59" w:rsidRPr="00F65686">
        <w:rPr>
          <w:rFonts w:ascii="Times New Roman" w:hAnsi="Times New Roman"/>
          <w:lang w:val="en-GB"/>
        </w:rPr>
        <w:t xml:space="preserve">nly </w:t>
      </w:r>
      <w:r w:rsidR="00F145A5" w:rsidRPr="00F65686">
        <w:rPr>
          <w:rFonts w:ascii="Times New Roman" w:hAnsi="Times New Roman"/>
          <w:lang w:val="en-GB"/>
        </w:rPr>
        <w:t xml:space="preserve">a </w:t>
      </w:r>
      <w:r w:rsidR="003C0D59" w:rsidRPr="00F65686">
        <w:rPr>
          <w:rFonts w:ascii="Times New Roman" w:hAnsi="Times New Roman"/>
          <w:lang w:val="en-GB"/>
        </w:rPr>
        <w:t xml:space="preserve">few </w:t>
      </w:r>
      <w:r w:rsidR="00515A80" w:rsidRPr="00F65686">
        <w:rPr>
          <w:rFonts w:ascii="Times New Roman" w:hAnsi="Times New Roman"/>
          <w:lang w:val="en-GB"/>
        </w:rPr>
        <w:t>schemes</w:t>
      </w:r>
      <w:r w:rsidR="003C0D59" w:rsidRPr="00F65686">
        <w:rPr>
          <w:rFonts w:ascii="Times New Roman" w:hAnsi="Times New Roman"/>
          <w:lang w:val="en-GB"/>
        </w:rPr>
        <w:t xml:space="preserve"> involve</w:t>
      </w:r>
      <w:r w:rsidRPr="00F65686">
        <w:rPr>
          <w:rFonts w:ascii="Times New Roman" w:hAnsi="Times New Roman"/>
          <w:lang w:val="en-GB"/>
        </w:rPr>
        <w:t xml:space="preserve"> training</w:t>
      </w:r>
      <w:r w:rsidR="00515A80" w:rsidRPr="00F65686">
        <w:rPr>
          <w:rFonts w:ascii="Times New Roman" w:hAnsi="Times New Roman"/>
          <w:lang w:val="en-GB"/>
        </w:rPr>
        <w:t>.</w:t>
      </w:r>
    </w:p>
    <w:p w14:paraId="1A165002" w14:textId="2E2E9288" w:rsidR="003C0D59" w:rsidRPr="00F65686" w:rsidRDefault="003C0D59" w:rsidP="00F65686">
      <w:pPr>
        <w:pStyle w:val="Paragrafoelenco"/>
        <w:numPr>
          <w:ilvl w:val="0"/>
          <w:numId w:val="5"/>
        </w:numPr>
        <w:jc w:val="both"/>
        <w:rPr>
          <w:rFonts w:ascii="Times New Roman" w:hAnsi="Times New Roman"/>
          <w:lang w:val="en-GB"/>
        </w:rPr>
      </w:pPr>
      <w:r w:rsidRPr="00F65686">
        <w:rPr>
          <w:rFonts w:ascii="Times New Roman" w:hAnsi="Times New Roman"/>
          <w:lang w:val="en-GB"/>
        </w:rPr>
        <w:t xml:space="preserve">Eligible </w:t>
      </w:r>
      <w:r w:rsidR="00515A80" w:rsidRPr="00F65686">
        <w:rPr>
          <w:rFonts w:ascii="Times New Roman" w:hAnsi="Times New Roman"/>
          <w:lang w:val="en-GB"/>
        </w:rPr>
        <w:t>service providers differ among programs</w:t>
      </w:r>
      <w:r w:rsidRPr="00F65686">
        <w:rPr>
          <w:rFonts w:ascii="Times New Roman" w:hAnsi="Times New Roman"/>
          <w:lang w:val="en-GB"/>
        </w:rPr>
        <w:t xml:space="preserve">. </w:t>
      </w:r>
      <w:r w:rsidR="00827AFE" w:rsidRPr="00F65686">
        <w:rPr>
          <w:rFonts w:ascii="Times New Roman" w:hAnsi="Times New Roman"/>
          <w:lang w:val="en-GB"/>
        </w:rPr>
        <w:t xml:space="preserve">Often </w:t>
      </w:r>
      <w:r w:rsidRPr="00F65686">
        <w:rPr>
          <w:rFonts w:ascii="Times New Roman" w:hAnsi="Times New Roman"/>
          <w:lang w:val="en-GB"/>
        </w:rPr>
        <w:t xml:space="preserve">public or semi-public bodies </w:t>
      </w:r>
      <w:r w:rsidR="00827AFE" w:rsidRPr="00F65686">
        <w:rPr>
          <w:rFonts w:ascii="Times New Roman" w:hAnsi="Times New Roman"/>
          <w:lang w:val="en-GB"/>
        </w:rPr>
        <w:t>such as</w:t>
      </w:r>
      <w:r w:rsidRPr="00F65686">
        <w:rPr>
          <w:rFonts w:ascii="Times New Roman" w:hAnsi="Times New Roman"/>
          <w:lang w:val="en-GB"/>
        </w:rPr>
        <w:t xml:space="preserve"> universities</w:t>
      </w:r>
      <w:r w:rsidR="00827AFE" w:rsidRPr="00F65686">
        <w:rPr>
          <w:rFonts w:ascii="Times New Roman" w:hAnsi="Times New Roman"/>
          <w:lang w:val="en-GB"/>
        </w:rPr>
        <w:t xml:space="preserve"> a</w:t>
      </w:r>
      <w:r w:rsidR="00515A80" w:rsidRPr="00F65686">
        <w:rPr>
          <w:rFonts w:ascii="Times New Roman" w:hAnsi="Times New Roman"/>
          <w:lang w:val="en-GB"/>
        </w:rPr>
        <w:t>nd</w:t>
      </w:r>
      <w:r w:rsidRPr="00F65686">
        <w:rPr>
          <w:rFonts w:ascii="Times New Roman" w:hAnsi="Times New Roman"/>
          <w:lang w:val="en-GB"/>
        </w:rPr>
        <w:t xml:space="preserve"> research labs </w:t>
      </w:r>
      <w:r w:rsidR="00827AFE" w:rsidRPr="00F65686">
        <w:rPr>
          <w:rFonts w:ascii="Times New Roman" w:hAnsi="Times New Roman"/>
          <w:lang w:val="en-GB"/>
        </w:rPr>
        <w:t xml:space="preserve">are those that </w:t>
      </w:r>
      <w:r w:rsidRPr="00F65686">
        <w:rPr>
          <w:rFonts w:ascii="Times New Roman" w:hAnsi="Times New Roman"/>
          <w:lang w:val="en-GB"/>
        </w:rPr>
        <w:t xml:space="preserve">can deliver the services. </w:t>
      </w:r>
    </w:p>
    <w:p w14:paraId="290529BA" w14:textId="60EC2993" w:rsidR="00313303" w:rsidRPr="00F65686" w:rsidRDefault="003C0D59" w:rsidP="00F65686">
      <w:pPr>
        <w:pStyle w:val="Paragrafoelenco"/>
        <w:numPr>
          <w:ilvl w:val="0"/>
          <w:numId w:val="5"/>
        </w:numPr>
        <w:jc w:val="both"/>
        <w:rPr>
          <w:rFonts w:ascii="Times New Roman" w:hAnsi="Times New Roman"/>
          <w:lang w:val="en-GB"/>
        </w:rPr>
      </w:pPr>
      <w:r w:rsidRPr="00F65686">
        <w:rPr>
          <w:rFonts w:ascii="Times New Roman" w:hAnsi="Times New Roman"/>
          <w:lang w:val="en-GB"/>
        </w:rPr>
        <w:t xml:space="preserve">Innovation vouchers are </w:t>
      </w:r>
      <w:r w:rsidR="00827AFE" w:rsidRPr="00F65686">
        <w:rPr>
          <w:rFonts w:ascii="Times New Roman" w:hAnsi="Times New Roman"/>
          <w:lang w:val="en-GB"/>
        </w:rPr>
        <w:t>lighter</w:t>
      </w:r>
      <w:r w:rsidRPr="00F65686">
        <w:rPr>
          <w:rFonts w:ascii="Times New Roman" w:hAnsi="Times New Roman"/>
          <w:lang w:val="en-GB"/>
        </w:rPr>
        <w:t xml:space="preserve"> and </w:t>
      </w:r>
      <w:r w:rsidR="00827AFE" w:rsidRPr="00F65686">
        <w:rPr>
          <w:rFonts w:ascii="Times New Roman" w:hAnsi="Times New Roman"/>
          <w:lang w:val="en-GB"/>
        </w:rPr>
        <w:t xml:space="preserve">more </w:t>
      </w:r>
      <w:r w:rsidRPr="00F65686">
        <w:rPr>
          <w:rFonts w:ascii="Times New Roman" w:hAnsi="Times New Roman"/>
          <w:lang w:val="en-GB"/>
        </w:rPr>
        <w:t xml:space="preserve">flexible than standard funding schemes in terms of </w:t>
      </w:r>
      <w:r w:rsidR="00F145A5" w:rsidRPr="00F65686">
        <w:rPr>
          <w:rFonts w:ascii="Times New Roman" w:hAnsi="Times New Roman"/>
          <w:lang w:val="en-GB"/>
        </w:rPr>
        <w:t xml:space="preserve">the </w:t>
      </w:r>
      <w:r w:rsidR="00827AFE" w:rsidRPr="00F65686">
        <w:rPr>
          <w:rFonts w:ascii="Times New Roman" w:hAnsi="Times New Roman"/>
          <w:lang w:val="en-GB"/>
        </w:rPr>
        <w:t xml:space="preserve">application procedure, time to receive approval, </w:t>
      </w:r>
      <w:r w:rsidRPr="00F65686">
        <w:rPr>
          <w:rFonts w:ascii="Times New Roman" w:hAnsi="Times New Roman"/>
          <w:lang w:val="en-GB"/>
        </w:rPr>
        <w:t>and reporting.</w:t>
      </w:r>
    </w:p>
    <w:p w14:paraId="51D85233" w14:textId="28CF0313" w:rsidR="00593DF1" w:rsidRPr="00F65686" w:rsidRDefault="007E5874" w:rsidP="00F65686">
      <w:pPr>
        <w:jc w:val="both"/>
        <w:rPr>
          <w:rFonts w:ascii="Times New Roman" w:hAnsi="Times New Roman"/>
          <w:lang w:val="en-GB"/>
        </w:rPr>
      </w:pPr>
      <w:r w:rsidRPr="00F65686">
        <w:rPr>
          <w:rFonts w:ascii="Times New Roman" w:hAnsi="Times New Roman"/>
          <w:lang w:val="en-GB"/>
        </w:rPr>
        <w:t>Although the policy’s broad rationale is consistent, innovation vouchers schemes have been implemented in many different ways, which may significantly affect their impact (Flanagan et al., 2011). Moreover, given the small amount of money involved, it is rare to see a huge impact of these programs (Bakhshi et a</w:t>
      </w:r>
      <w:r w:rsidR="00472DBF" w:rsidRPr="00F65686">
        <w:rPr>
          <w:rFonts w:ascii="Times New Roman" w:hAnsi="Times New Roman"/>
          <w:lang w:val="en-GB"/>
        </w:rPr>
        <w:t>l</w:t>
      </w:r>
      <w:r w:rsidRPr="00F65686">
        <w:rPr>
          <w:rFonts w:ascii="Times New Roman" w:hAnsi="Times New Roman"/>
          <w:lang w:val="en-GB"/>
        </w:rPr>
        <w:t xml:space="preserve">., 2015). </w:t>
      </w:r>
      <w:r w:rsidR="0089271F" w:rsidRPr="00F65686">
        <w:rPr>
          <w:rFonts w:ascii="Times New Roman" w:hAnsi="Times New Roman"/>
          <w:lang w:val="en-GB"/>
        </w:rPr>
        <w:t xml:space="preserve">However, even small grants can have a significant impact on smaller firms, because their limited access to </w:t>
      </w:r>
      <w:r w:rsidR="0089271F" w:rsidRPr="00F65686">
        <w:rPr>
          <w:rFonts w:ascii="Times New Roman" w:hAnsi="Times New Roman"/>
          <w:lang w:val="en-GB"/>
        </w:rPr>
        <w:lastRenderedPageBreak/>
        <w:t xml:space="preserve">capital makes additional resources welcome, but also </w:t>
      </w:r>
      <w:r w:rsidR="009A4026" w:rsidRPr="00F65686">
        <w:rPr>
          <w:rFonts w:ascii="Times New Roman" w:hAnsi="Times New Roman"/>
          <w:lang w:val="en-GB"/>
        </w:rPr>
        <w:t>for the so-called certification effect, i.e. receiving a public grant</w:t>
      </w:r>
      <w:r w:rsidR="0089271F" w:rsidRPr="00F65686">
        <w:rPr>
          <w:rFonts w:ascii="Times New Roman" w:hAnsi="Times New Roman"/>
          <w:lang w:val="en-GB"/>
        </w:rPr>
        <w:t xml:space="preserve"> certifies a firm’</w:t>
      </w:r>
      <w:r w:rsidR="009A4026" w:rsidRPr="00F65686">
        <w:rPr>
          <w:rFonts w:ascii="Times New Roman" w:hAnsi="Times New Roman"/>
          <w:lang w:val="en-GB"/>
        </w:rPr>
        <w:t xml:space="preserve">s quality to banks making </w:t>
      </w:r>
      <w:r w:rsidR="0089271F" w:rsidRPr="00F65686">
        <w:rPr>
          <w:rFonts w:ascii="Times New Roman" w:hAnsi="Times New Roman"/>
          <w:lang w:val="en-GB"/>
        </w:rPr>
        <w:t xml:space="preserve">it easier to obtain </w:t>
      </w:r>
      <w:r w:rsidR="009A4026" w:rsidRPr="00F65686">
        <w:rPr>
          <w:rFonts w:ascii="Times New Roman" w:hAnsi="Times New Roman"/>
          <w:lang w:val="en-GB"/>
        </w:rPr>
        <w:t xml:space="preserve">loans or credit </w:t>
      </w:r>
      <w:r w:rsidR="00B44641" w:rsidRPr="00F65686">
        <w:rPr>
          <w:rFonts w:ascii="Times New Roman" w:hAnsi="Times New Roman"/>
          <w:lang w:val="en-GB"/>
        </w:rPr>
        <w:t>(S</w:t>
      </w:r>
      <w:r w:rsidR="00876E7C" w:rsidRPr="00F65686">
        <w:rPr>
          <w:rFonts w:ascii="Times New Roman" w:hAnsi="Times New Roman"/>
          <w:lang w:val="en-GB"/>
        </w:rPr>
        <w:t>rh</w:t>
      </w:r>
      <w:r w:rsidR="00B44641" w:rsidRPr="00F65686">
        <w:rPr>
          <w:rFonts w:ascii="Times New Roman" w:hAnsi="Times New Roman"/>
          <w:lang w:val="en-GB"/>
        </w:rPr>
        <w:t>oj et al., 2019</w:t>
      </w:r>
      <w:r w:rsidR="009A4026" w:rsidRPr="00F65686">
        <w:rPr>
          <w:rFonts w:ascii="Times New Roman" w:hAnsi="Times New Roman"/>
          <w:lang w:val="en-GB"/>
        </w:rPr>
        <w:t>).</w:t>
      </w:r>
    </w:p>
    <w:p w14:paraId="1F1FD688" w14:textId="29DAAF70" w:rsidR="00B06C94" w:rsidRPr="00F65686" w:rsidRDefault="00313303" w:rsidP="00F65686">
      <w:pPr>
        <w:jc w:val="both"/>
        <w:rPr>
          <w:rFonts w:ascii="Times New Roman" w:hAnsi="Times New Roman"/>
          <w:lang w:val="en-GB"/>
        </w:rPr>
      </w:pPr>
      <w:r w:rsidRPr="00F65686">
        <w:rPr>
          <w:rFonts w:ascii="Times New Roman" w:hAnsi="Times New Roman"/>
          <w:lang w:val="en-GB"/>
        </w:rPr>
        <w:t xml:space="preserve">The first study on innovation vouchers was conducted by Wintjes (1999) on the Limburg experience. The assessment was carried out by means of interviews with SMEs that had received the voucher, leading to the conclusion that vouchers were effective in solving technical problems, but there was no evidence about lasting effects. By introducing a control group (i.e. a sample of firms </w:t>
      </w:r>
      <w:r w:rsidR="00F145A5" w:rsidRPr="00F65686">
        <w:rPr>
          <w:rFonts w:ascii="Times New Roman" w:hAnsi="Times New Roman"/>
          <w:lang w:val="en-GB"/>
        </w:rPr>
        <w:t xml:space="preserve">that </w:t>
      </w:r>
      <w:r w:rsidRPr="00F65686">
        <w:rPr>
          <w:rFonts w:ascii="Times New Roman" w:hAnsi="Times New Roman"/>
          <w:lang w:val="en-GB"/>
        </w:rPr>
        <w:t xml:space="preserve">had not received a voucher), Cornet et al. (2006) added insights on the effectiveness of vouchers. Observing the SMEs involved in the Dutch voucher programme, they found that without </w:t>
      </w:r>
      <w:r w:rsidR="00F53AD0" w:rsidRPr="00F65686">
        <w:rPr>
          <w:rFonts w:ascii="Times New Roman" w:hAnsi="Times New Roman"/>
          <w:lang w:val="en-GB"/>
        </w:rPr>
        <w:t>public funding</w:t>
      </w:r>
      <w:r w:rsidRPr="00F65686">
        <w:rPr>
          <w:rFonts w:ascii="Times New Roman" w:hAnsi="Times New Roman"/>
          <w:lang w:val="en-GB"/>
        </w:rPr>
        <w:t xml:space="preserve"> most beneficiaries would not have involved external providers in their projects, in other words</w:t>
      </w:r>
      <w:r w:rsidR="00F145A5" w:rsidRPr="00F65686">
        <w:rPr>
          <w:rFonts w:ascii="Times New Roman" w:hAnsi="Times New Roman"/>
          <w:lang w:val="en-GB"/>
        </w:rPr>
        <w:t>,</w:t>
      </w:r>
      <w:r w:rsidRPr="00F65686">
        <w:rPr>
          <w:rFonts w:ascii="Times New Roman" w:hAnsi="Times New Roman"/>
          <w:lang w:val="en-GB"/>
        </w:rPr>
        <w:t xml:space="preserve"> they provided evidence of behavioural additionality.</w:t>
      </w:r>
      <w:r w:rsidR="007E5874" w:rsidRPr="00F65686">
        <w:rPr>
          <w:rFonts w:ascii="Times New Roman" w:hAnsi="Times New Roman"/>
          <w:lang w:val="en-GB"/>
        </w:rPr>
        <w:t xml:space="preserve"> </w:t>
      </w:r>
      <w:r w:rsidR="00B06C94" w:rsidRPr="00F65686">
        <w:rPr>
          <w:rFonts w:ascii="Times New Roman" w:hAnsi="Times New Roman"/>
          <w:lang w:val="en-GB"/>
        </w:rPr>
        <w:t xml:space="preserve">An analysis of the same Dutch program showed that while </w:t>
      </w:r>
      <w:r w:rsidR="00F145A5" w:rsidRPr="00F65686">
        <w:rPr>
          <w:rFonts w:ascii="Times New Roman" w:hAnsi="Times New Roman"/>
          <w:lang w:val="en-GB"/>
        </w:rPr>
        <w:t>knowledge-</w:t>
      </w:r>
      <w:r w:rsidR="00B06C94" w:rsidRPr="00F65686">
        <w:rPr>
          <w:rFonts w:ascii="Times New Roman" w:hAnsi="Times New Roman"/>
          <w:lang w:val="en-GB"/>
        </w:rPr>
        <w:t>intensive fi</w:t>
      </w:r>
      <w:r w:rsidR="00AD7AB4" w:rsidRPr="00F65686">
        <w:rPr>
          <w:rFonts w:ascii="Times New Roman" w:hAnsi="Times New Roman"/>
          <w:lang w:val="en-GB"/>
        </w:rPr>
        <w:t>rms collaborate quite easily with kno</w:t>
      </w:r>
      <w:r w:rsidR="00F53AD0" w:rsidRPr="00F65686">
        <w:rPr>
          <w:rFonts w:ascii="Times New Roman" w:hAnsi="Times New Roman"/>
          <w:lang w:val="en-GB"/>
        </w:rPr>
        <w:t>wledge suppliers, this is less frequent</w:t>
      </w:r>
      <w:r w:rsidR="00AD7AB4" w:rsidRPr="00F65686">
        <w:rPr>
          <w:rFonts w:ascii="Times New Roman" w:hAnsi="Times New Roman"/>
          <w:lang w:val="en-GB"/>
        </w:rPr>
        <w:t xml:space="preserve"> for more traditional compan</w:t>
      </w:r>
      <w:r w:rsidR="00F53AD0" w:rsidRPr="00F65686">
        <w:rPr>
          <w:rFonts w:ascii="Times New Roman" w:hAnsi="Times New Roman"/>
          <w:lang w:val="en-GB"/>
        </w:rPr>
        <w:t>ies, due to their limited</w:t>
      </w:r>
      <w:r w:rsidR="00B06C94" w:rsidRPr="00F65686">
        <w:rPr>
          <w:rFonts w:ascii="Times New Roman" w:hAnsi="Times New Roman"/>
          <w:lang w:val="en-GB"/>
        </w:rPr>
        <w:t xml:space="preserve"> </w:t>
      </w:r>
      <w:r w:rsidR="00F53AD0" w:rsidRPr="00F65686">
        <w:rPr>
          <w:rFonts w:ascii="Times New Roman" w:hAnsi="Times New Roman"/>
          <w:lang w:val="en-GB"/>
        </w:rPr>
        <w:t>absorptive capacity. Therefore,</w:t>
      </w:r>
      <w:r w:rsidR="00AD7AB4" w:rsidRPr="00F65686">
        <w:rPr>
          <w:rFonts w:ascii="Times New Roman" w:hAnsi="Times New Roman"/>
          <w:lang w:val="en-GB"/>
        </w:rPr>
        <w:t xml:space="preserve"> the former </w:t>
      </w:r>
      <w:r w:rsidR="00F53AD0" w:rsidRPr="00F65686">
        <w:rPr>
          <w:rFonts w:ascii="Times New Roman" w:hAnsi="Times New Roman"/>
          <w:lang w:val="en-GB"/>
        </w:rPr>
        <w:t>may</w:t>
      </w:r>
      <w:r w:rsidR="00AD7AB4" w:rsidRPr="00F65686">
        <w:rPr>
          <w:rFonts w:ascii="Times New Roman" w:hAnsi="Times New Roman"/>
          <w:lang w:val="en-GB"/>
        </w:rPr>
        <w:t xml:space="preserve"> not need the subsidies</w:t>
      </w:r>
      <w:r w:rsidR="00F53AD0" w:rsidRPr="00F65686">
        <w:rPr>
          <w:rFonts w:ascii="Times New Roman" w:hAnsi="Times New Roman"/>
          <w:lang w:val="en-GB"/>
        </w:rPr>
        <w:t>,</w:t>
      </w:r>
      <w:r w:rsidR="00AD7AB4" w:rsidRPr="00F65686">
        <w:rPr>
          <w:rFonts w:ascii="Times New Roman" w:hAnsi="Times New Roman"/>
          <w:lang w:val="en-GB"/>
        </w:rPr>
        <w:t xml:space="preserve"> while for t</w:t>
      </w:r>
      <w:r w:rsidR="00F53AD0" w:rsidRPr="00F65686">
        <w:rPr>
          <w:rFonts w:ascii="Times New Roman" w:hAnsi="Times New Roman"/>
          <w:lang w:val="en-GB"/>
        </w:rPr>
        <w:t>he latter the voucher may</w:t>
      </w:r>
      <w:r w:rsidR="00AD7AB4" w:rsidRPr="00F65686">
        <w:rPr>
          <w:rFonts w:ascii="Times New Roman" w:hAnsi="Times New Roman"/>
          <w:lang w:val="en-GB"/>
        </w:rPr>
        <w:t xml:space="preserve"> not </w:t>
      </w:r>
      <w:r w:rsidR="00F53AD0" w:rsidRPr="00F65686">
        <w:rPr>
          <w:rFonts w:ascii="Times New Roman" w:hAnsi="Times New Roman"/>
          <w:lang w:val="en-GB"/>
        </w:rPr>
        <w:t xml:space="preserve">be </w:t>
      </w:r>
      <w:r w:rsidR="00AD7AB4" w:rsidRPr="00F65686">
        <w:rPr>
          <w:rFonts w:ascii="Times New Roman" w:hAnsi="Times New Roman"/>
          <w:lang w:val="en-GB"/>
        </w:rPr>
        <w:t>enough to build mutual understa</w:t>
      </w:r>
      <w:r w:rsidR="00F53AD0" w:rsidRPr="00F65686">
        <w:rPr>
          <w:rFonts w:ascii="Times New Roman" w:hAnsi="Times New Roman"/>
          <w:lang w:val="en-GB"/>
        </w:rPr>
        <w:t xml:space="preserve">nding with universities, triggering little behavioural additionality </w:t>
      </w:r>
      <w:r w:rsidR="00AD7AB4" w:rsidRPr="00F65686">
        <w:rPr>
          <w:rFonts w:ascii="Times New Roman" w:hAnsi="Times New Roman"/>
          <w:lang w:val="en-GB"/>
        </w:rPr>
        <w:t xml:space="preserve">(Noteboom and Stam, 2008). </w:t>
      </w:r>
      <w:r w:rsidR="0098602D" w:rsidRPr="00F65686">
        <w:rPr>
          <w:rFonts w:ascii="Times New Roman" w:hAnsi="Times New Roman"/>
          <w:lang w:val="en-GB"/>
        </w:rPr>
        <w:t xml:space="preserve">Moreover, </w:t>
      </w:r>
      <w:r w:rsidR="00AD7AB4" w:rsidRPr="00F65686">
        <w:rPr>
          <w:rFonts w:ascii="Times New Roman" w:hAnsi="Times New Roman"/>
          <w:lang w:val="en-GB"/>
        </w:rPr>
        <w:t xml:space="preserve">Radas and </w:t>
      </w:r>
      <w:r w:rsidR="00876E7C" w:rsidRPr="00F65686">
        <w:rPr>
          <w:rFonts w:ascii="Times New Roman" w:hAnsi="Times New Roman"/>
          <w:lang w:val="en-GB"/>
        </w:rPr>
        <w:t>A</w:t>
      </w:r>
      <w:r w:rsidR="00AD7AB4" w:rsidRPr="00F65686">
        <w:rPr>
          <w:rFonts w:ascii="Times New Roman" w:hAnsi="Times New Roman"/>
          <w:lang w:val="en-GB"/>
        </w:rPr>
        <w:t xml:space="preserve">nic (2013) found that </w:t>
      </w:r>
      <w:r w:rsidR="00794B65" w:rsidRPr="00F65686">
        <w:rPr>
          <w:rFonts w:ascii="Times New Roman" w:hAnsi="Times New Roman"/>
          <w:lang w:val="en-GB"/>
        </w:rPr>
        <w:t xml:space="preserve">the </w:t>
      </w:r>
      <w:r w:rsidR="00AD7AB4" w:rsidRPr="00F65686">
        <w:rPr>
          <w:rFonts w:ascii="Times New Roman" w:hAnsi="Times New Roman"/>
          <w:lang w:val="en-GB"/>
        </w:rPr>
        <w:t xml:space="preserve">more advanced </w:t>
      </w:r>
      <w:r w:rsidR="00794B65" w:rsidRPr="00F65686">
        <w:rPr>
          <w:rFonts w:ascii="Times New Roman" w:hAnsi="Times New Roman"/>
          <w:lang w:val="en-GB"/>
        </w:rPr>
        <w:t xml:space="preserve">the beneficiary </w:t>
      </w:r>
      <w:r w:rsidR="00AD7AB4" w:rsidRPr="00F65686">
        <w:rPr>
          <w:rFonts w:ascii="Times New Roman" w:hAnsi="Times New Roman"/>
          <w:lang w:val="en-GB"/>
        </w:rPr>
        <w:t>firms</w:t>
      </w:r>
      <w:r w:rsidR="00794B65" w:rsidRPr="00F65686">
        <w:rPr>
          <w:rFonts w:ascii="Times New Roman" w:hAnsi="Times New Roman"/>
          <w:lang w:val="en-GB"/>
        </w:rPr>
        <w:t xml:space="preserve">, the better it is </w:t>
      </w:r>
      <w:r w:rsidR="00AD7AB4" w:rsidRPr="00F65686">
        <w:rPr>
          <w:rFonts w:ascii="Times New Roman" w:hAnsi="Times New Roman"/>
          <w:lang w:val="en-GB"/>
        </w:rPr>
        <w:t>able to leverage the financial support provided by vouchers. Interestingly enough, they discove</w:t>
      </w:r>
      <w:r w:rsidR="00A2314C" w:rsidRPr="00F65686">
        <w:rPr>
          <w:rFonts w:ascii="Times New Roman" w:hAnsi="Times New Roman"/>
          <w:lang w:val="en-GB"/>
        </w:rPr>
        <w:t xml:space="preserve">red higher additionality in </w:t>
      </w:r>
      <w:r w:rsidR="00AD7AB4" w:rsidRPr="00F65686">
        <w:rPr>
          <w:rFonts w:ascii="Times New Roman" w:hAnsi="Times New Roman"/>
          <w:lang w:val="en-GB"/>
        </w:rPr>
        <w:t xml:space="preserve">projects involving </w:t>
      </w:r>
      <w:r w:rsidR="00A2314C" w:rsidRPr="00F65686">
        <w:rPr>
          <w:rFonts w:ascii="Times New Roman" w:hAnsi="Times New Roman"/>
          <w:lang w:val="en-GB"/>
        </w:rPr>
        <w:t xml:space="preserve">universities and research centres </w:t>
      </w:r>
      <w:r w:rsidR="00042F8D" w:rsidRPr="00F65686">
        <w:rPr>
          <w:rFonts w:ascii="Times New Roman" w:hAnsi="Times New Roman"/>
          <w:lang w:val="en-GB"/>
        </w:rPr>
        <w:t>as knowledge suppliers,</w:t>
      </w:r>
      <w:r w:rsidR="00AD7AB4" w:rsidRPr="00F65686">
        <w:rPr>
          <w:rFonts w:ascii="Times New Roman" w:hAnsi="Times New Roman"/>
          <w:lang w:val="en-GB"/>
        </w:rPr>
        <w:t xml:space="preserve"> than in those involving private companies, which </w:t>
      </w:r>
      <w:r w:rsidR="00042F8D" w:rsidRPr="00F65686">
        <w:rPr>
          <w:rFonts w:ascii="Times New Roman" w:hAnsi="Times New Roman"/>
          <w:lang w:val="en-GB"/>
        </w:rPr>
        <w:t xml:space="preserve">often </w:t>
      </w:r>
      <w:r w:rsidR="00AD7AB4" w:rsidRPr="00F65686">
        <w:rPr>
          <w:rFonts w:ascii="Times New Roman" w:hAnsi="Times New Roman"/>
          <w:lang w:val="en-GB"/>
        </w:rPr>
        <w:t>were already business partners</w:t>
      </w:r>
      <w:r w:rsidR="00A2314C" w:rsidRPr="00F65686">
        <w:rPr>
          <w:rFonts w:ascii="Times New Roman" w:hAnsi="Times New Roman"/>
          <w:lang w:val="en-GB"/>
        </w:rPr>
        <w:t xml:space="preserve"> of beneficiary firms</w:t>
      </w:r>
      <w:r w:rsidR="00AD7AB4" w:rsidRPr="00F65686">
        <w:rPr>
          <w:rFonts w:ascii="Times New Roman" w:hAnsi="Times New Roman"/>
          <w:lang w:val="en-GB"/>
        </w:rPr>
        <w:t xml:space="preserve">.  </w:t>
      </w:r>
    </w:p>
    <w:p w14:paraId="257463DA" w14:textId="389F59B5" w:rsidR="00593DF1" w:rsidRPr="00F65686" w:rsidRDefault="00593DF1" w:rsidP="00F65686">
      <w:pPr>
        <w:jc w:val="both"/>
        <w:rPr>
          <w:rFonts w:ascii="Times New Roman" w:hAnsi="Times New Roman"/>
          <w:lang w:val="en-GB"/>
        </w:rPr>
      </w:pPr>
      <w:r w:rsidRPr="00F65686">
        <w:rPr>
          <w:rFonts w:ascii="Times New Roman" w:hAnsi="Times New Roman"/>
          <w:lang w:val="en-GB"/>
        </w:rPr>
        <w:t xml:space="preserve">Assessing the impact of the voucher scheme that involved the University of Szczecin and Polish entrepreneurs, Szymański (2011) found that the benefits were both for the knowledge supplier and the recipients. The firms acquired </w:t>
      </w:r>
      <w:r w:rsidR="00E56C24" w:rsidRPr="00F65686">
        <w:rPr>
          <w:rFonts w:ascii="Times New Roman" w:hAnsi="Times New Roman"/>
          <w:lang w:val="en-GB"/>
        </w:rPr>
        <w:t xml:space="preserve">scientific </w:t>
      </w:r>
      <w:r w:rsidRPr="00F65686">
        <w:rPr>
          <w:rFonts w:ascii="Times New Roman" w:hAnsi="Times New Roman"/>
          <w:lang w:val="en-GB"/>
        </w:rPr>
        <w:t>knowledge applicable to business, while the academics confront</w:t>
      </w:r>
      <w:r w:rsidR="00E56C24" w:rsidRPr="00F65686">
        <w:rPr>
          <w:rFonts w:ascii="Times New Roman" w:hAnsi="Times New Roman"/>
          <w:lang w:val="en-GB"/>
        </w:rPr>
        <w:t>ed</w:t>
      </w:r>
      <w:r w:rsidRPr="00F65686">
        <w:rPr>
          <w:rFonts w:ascii="Times New Roman" w:hAnsi="Times New Roman"/>
          <w:lang w:val="en-GB"/>
        </w:rPr>
        <w:t xml:space="preserve"> real </w:t>
      </w:r>
      <w:r w:rsidR="00E75D23" w:rsidRPr="00F65686">
        <w:rPr>
          <w:rFonts w:ascii="Times New Roman" w:hAnsi="Times New Roman"/>
          <w:lang w:val="en-GB"/>
        </w:rPr>
        <w:t>issues</w:t>
      </w:r>
      <w:r w:rsidRPr="00F65686">
        <w:rPr>
          <w:rFonts w:ascii="Times New Roman" w:hAnsi="Times New Roman"/>
          <w:lang w:val="en-GB"/>
        </w:rPr>
        <w:t xml:space="preserve"> and learn</w:t>
      </w:r>
      <w:r w:rsidR="00E56C24" w:rsidRPr="00F65686">
        <w:rPr>
          <w:rFonts w:ascii="Times New Roman" w:hAnsi="Times New Roman"/>
          <w:lang w:val="en-GB"/>
        </w:rPr>
        <w:t>t</w:t>
      </w:r>
      <w:r w:rsidRPr="00F65686">
        <w:rPr>
          <w:rFonts w:ascii="Times New Roman" w:hAnsi="Times New Roman"/>
          <w:lang w:val="en-GB"/>
        </w:rPr>
        <w:t xml:space="preserve"> business practice</w:t>
      </w:r>
      <w:r w:rsidR="00E56C24" w:rsidRPr="00F65686">
        <w:rPr>
          <w:rFonts w:ascii="Times New Roman" w:hAnsi="Times New Roman"/>
          <w:lang w:val="en-GB"/>
        </w:rPr>
        <w:t>s</w:t>
      </w:r>
      <w:r w:rsidRPr="00F65686">
        <w:rPr>
          <w:rFonts w:ascii="Times New Roman" w:hAnsi="Times New Roman"/>
          <w:lang w:val="en-GB"/>
        </w:rPr>
        <w:t xml:space="preserve">. </w:t>
      </w:r>
      <w:r w:rsidR="00E56C24" w:rsidRPr="00F65686">
        <w:rPr>
          <w:rFonts w:ascii="Times New Roman" w:hAnsi="Times New Roman"/>
          <w:lang w:val="en-GB"/>
        </w:rPr>
        <w:t>In many cases,</w:t>
      </w:r>
      <w:r w:rsidRPr="00F65686">
        <w:rPr>
          <w:rFonts w:ascii="Times New Roman" w:hAnsi="Times New Roman"/>
          <w:lang w:val="en-GB"/>
        </w:rPr>
        <w:t xml:space="preserve"> </w:t>
      </w:r>
      <w:r w:rsidR="00E56C24" w:rsidRPr="00F65686">
        <w:rPr>
          <w:rFonts w:ascii="Times New Roman" w:hAnsi="Times New Roman"/>
          <w:lang w:val="en-GB"/>
        </w:rPr>
        <w:t xml:space="preserve">further contracts were signed </w:t>
      </w:r>
      <w:r w:rsidRPr="00F65686">
        <w:rPr>
          <w:rFonts w:ascii="Times New Roman" w:hAnsi="Times New Roman"/>
          <w:lang w:val="en-GB"/>
        </w:rPr>
        <w:t>be</w:t>
      </w:r>
      <w:r w:rsidR="00E56C24" w:rsidRPr="00F65686">
        <w:rPr>
          <w:rFonts w:ascii="Times New Roman" w:hAnsi="Times New Roman"/>
          <w:lang w:val="en-GB"/>
        </w:rPr>
        <w:t>tween be</w:t>
      </w:r>
      <w:r w:rsidRPr="00F65686">
        <w:rPr>
          <w:rFonts w:ascii="Times New Roman" w:hAnsi="Times New Roman"/>
          <w:lang w:val="en-GB"/>
        </w:rPr>
        <w:t xml:space="preserve">neficiaries </w:t>
      </w:r>
      <w:r w:rsidR="00E56C24" w:rsidRPr="00F65686">
        <w:rPr>
          <w:rFonts w:ascii="Times New Roman" w:hAnsi="Times New Roman"/>
          <w:lang w:val="en-GB"/>
        </w:rPr>
        <w:t>and the University</w:t>
      </w:r>
      <w:r w:rsidRPr="00F65686">
        <w:rPr>
          <w:rFonts w:ascii="Times New Roman" w:hAnsi="Times New Roman"/>
          <w:lang w:val="en-GB"/>
        </w:rPr>
        <w:t xml:space="preserve">. </w:t>
      </w:r>
    </w:p>
    <w:p w14:paraId="0B925E9A" w14:textId="3B7871FC" w:rsidR="00A34CB0" w:rsidRPr="00F65686" w:rsidRDefault="00924801" w:rsidP="00F65686">
      <w:pPr>
        <w:jc w:val="both"/>
        <w:rPr>
          <w:rFonts w:ascii="Times New Roman" w:hAnsi="Times New Roman"/>
          <w:lang w:val="en-GB"/>
        </w:rPr>
      </w:pPr>
      <w:r w:rsidRPr="00F65686">
        <w:rPr>
          <w:rFonts w:ascii="Times New Roman" w:hAnsi="Times New Roman"/>
          <w:lang w:val="en-GB"/>
        </w:rPr>
        <w:t xml:space="preserve">However, van Hemert et al. (2013) claim that the interaction of SMEs with </w:t>
      </w:r>
      <w:r w:rsidR="00F145A5" w:rsidRPr="00F65686">
        <w:rPr>
          <w:rFonts w:ascii="Times New Roman" w:hAnsi="Times New Roman"/>
          <w:lang w:val="en-GB"/>
        </w:rPr>
        <w:t xml:space="preserve">universities </w:t>
      </w:r>
      <w:r w:rsidRPr="00F65686">
        <w:rPr>
          <w:rFonts w:ascii="Times New Roman" w:hAnsi="Times New Roman"/>
          <w:lang w:val="en-GB"/>
        </w:rPr>
        <w:t>triggered by voucher schemes focuses on</w:t>
      </w:r>
      <w:r w:rsidR="00A34CB0" w:rsidRPr="00F65686">
        <w:rPr>
          <w:rFonts w:ascii="Times New Roman" w:hAnsi="Times New Roman"/>
          <w:lang w:val="en-GB"/>
        </w:rPr>
        <w:t xml:space="preserve"> </w:t>
      </w:r>
      <w:r w:rsidRPr="00F65686">
        <w:rPr>
          <w:rFonts w:ascii="Times New Roman" w:hAnsi="Times New Roman"/>
          <w:lang w:val="en-GB"/>
        </w:rPr>
        <w:t>the early stages of inno</w:t>
      </w:r>
      <w:r w:rsidR="00A34CB0" w:rsidRPr="00F65686">
        <w:rPr>
          <w:rFonts w:ascii="Times New Roman" w:hAnsi="Times New Roman"/>
          <w:lang w:val="en-GB"/>
        </w:rPr>
        <w:t xml:space="preserve">vation, </w:t>
      </w:r>
      <w:r w:rsidRPr="00F65686">
        <w:rPr>
          <w:rFonts w:ascii="Times New Roman" w:hAnsi="Times New Roman"/>
          <w:lang w:val="en-GB"/>
        </w:rPr>
        <w:t xml:space="preserve">but small firms need support also in </w:t>
      </w:r>
      <w:r w:rsidR="00F145A5" w:rsidRPr="00F65686">
        <w:rPr>
          <w:rFonts w:ascii="Times New Roman" w:hAnsi="Times New Roman"/>
          <w:lang w:val="en-GB"/>
        </w:rPr>
        <w:t xml:space="preserve">the </w:t>
      </w:r>
      <w:r w:rsidRPr="00F65686">
        <w:rPr>
          <w:rFonts w:ascii="Times New Roman" w:hAnsi="Times New Roman"/>
          <w:lang w:val="en-GB"/>
        </w:rPr>
        <w:t>following phases of development and knowledge interaction would be beneficial also in the commercialization stage.</w:t>
      </w:r>
    </w:p>
    <w:p w14:paraId="24B6B8F0" w14:textId="5A19F0D2" w:rsidR="005170A2" w:rsidRPr="00F65686" w:rsidRDefault="005170A2" w:rsidP="00F65686">
      <w:pPr>
        <w:jc w:val="both"/>
        <w:rPr>
          <w:rFonts w:ascii="Times New Roman" w:hAnsi="Times New Roman"/>
          <w:lang w:val="en-GB"/>
        </w:rPr>
      </w:pPr>
      <w:r w:rsidRPr="00F65686">
        <w:rPr>
          <w:rFonts w:ascii="Times New Roman" w:hAnsi="Times New Roman"/>
          <w:lang w:val="en-GB"/>
        </w:rPr>
        <w:t xml:space="preserve">A study with over three hundred British micro and small had received voucher grants found that the biggest benefit </w:t>
      </w:r>
      <w:r w:rsidR="00FF1EA3" w:rsidRPr="00F65686">
        <w:rPr>
          <w:rFonts w:ascii="Times New Roman" w:hAnsi="Times New Roman"/>
          <w:lang w:val="en-GB"/>
        </w:rPr>
        <w:t>of innovation vouchers was the</w:t>
      </w:r>
      <w:r w:rsidRPr="00F65686">
        <w:rPr>
          <w:rFonts w:ascii="Times New Roman" w:hAnsi="Times New Roman"/>
          <w:lang w:val="en-GB"/>
        </w:rPr>
        <w:t xml:space="preserve"> increased openness </w:t>
      </w:r>
      <w:r w:rsidR="00FF1EA3" w:rsidRPr="00F65686">
        <w:rPr>
          <w:rFonts w:ascii="Times New Roman" w:hAnsi="Times New Roman"/>
          <w:lang w:val="en-US"/>
        </w:rPr>
        <w:t xml:space="preserve">of their managers </w:t>
      </w:r>
      <w:r w:rsidRPr="00F65686">
        <w:rPr>
          <w:rFonts w:ascii="Times New Roman" w:hAnsi="Times New Roman"/>
          <w:lang w:val="en-GB"/>
        </w:rPr>
        <w:t>to external knowledge (Chapman and Hevitt-Dundas, 2018).</w:t>
      </w:r>
    </w:p>
    <w:p w14:paraId="52C036AB" w14:textId="16B9987B" w:rsidR="00FF1EA3" w:rsidRPr="00F65686" w:rsidRDefault="00A2552B" w:rsidP="00F65686">
      <w:pPr>
        <w:jc w:val="both"/>
        <w:rPr>
          <w:rFonts w:ascii="Times New Roman" w:hAnsi="Times New Roman"/>
          <w:lang w:val="en-GB"/>
        </w:rPr>
      </w:pPr>
      <w:r w:rsidRPr="00F65686">
        <w:rPr>
          <w:rFonts w:ascii="Times New Roman" w:hAnsi="Times New Roman"/>
          <w:lang w:val="en-GB"/>
        </w:rPr>
        <w:t>Sala et al. (2016) found that voucher programmes d</w:t>
      </w:r>
      <w:r w:rsidR="00FF1EA3" w:rsidRPr="00F65686">
        <w:rPr>
          <w:rFonts w:ascii="Times New Roman" w:hAnsi="Times New Roman"/>
          <w:lang w:val="en-GB"/>
        </w:rPr>
        <w:t>o not deliver homogenous impacts.</w:t>
      </w:r>
      <w:r w:rsidRPr="00F65686">
        <w:rPr>
          <w:rFonts w:ascii="Times New Roman" w:hAnsi="Times New Roman"/>
          <w:lang w:val="en-GB"/>
        </w:rPr>
        <w:t xml:space="preserve"> </w:t>
      </w:r>
      <w:r w:rsidR="00FF1EA3" w:rsidRPr="00F65686">
        <w:rPr>
          <w:rFonts w:ascii="Times New Roman" w:hAnsi="Times New Roman"/>
          <w:lang w:val="en-GB"/>
        </w:rPr>
        <w:t>T</w:t>
      </w:r>
      <w:r w:rsidRPr="00F65686">
        <w:rPr>
          <w:rFonts w:ascii="Times New Roman" w:hAnsi="Times New Roman"/>
          <w:lang w:val="en-GB"/>
        </w:rPr>
        <w:t>hey also showed that in some cases</w:t>
      </w:r>
      <w:r w:rsidR="00FF1EA3" w:rsidRPr="00F65686">
        <w:rPr>
          <w:rFonts w:ascii="Times New Roman" w:hAnsi="Times New Roman"/>
          <w:lang w:val="en-GB"/>
        </w:rPr>
        <w:t>,</w:t>
      </w:r>
      <w:r w:rsidRPr="00F65686">
        <w:rPr>
          <w:rFonts w:ascii="Times New Roman" w:hAnsi="Times New Roman"/>
          <w:lang w:val="en-GB"/>
        </w:rPr>
        <w:t xml:space="preserve"> these instruments led beneficiaries to improve their innovation processes reducing the time-to-market, i.e</w:t>
      </w:r>
      <w:r w:rsidR="0070119D" w:rsidRPr="00F65686">
        <w:rPr>
          <w:rFonts w:ascii="Times New Roman" w:hAnsi="Times New Roman"/>
          <w:lang w:val="en-GB"/>
        </w:rPr>
        <w:t>.</w:t>
      </w:r>
      <w:r w:rsidR="00FF1EA3" w:rsidRPr="00F65686">
        <w:rPr>
          <w:rFonts w:ascii="Times New Roman" w:hAnsi="Times New Roman"/>
          <w:lang w:val="en-GB"/>
        </w:rPr>
        <w:t xml:space="preserve"> proving</w:t>
      </w:r>
      <w:r w:rsidRPr="00F65686">
        <w:rPr>
          <w:rFonts w:ascii="Times New Roman" w:hAnsi="Times New Roman"/>
          <w:lang w:val="en-GB"/>
        </w:rPr>
        <w:t xml:space="preserve"> output additionality. Concerning input additionality, they found </w:t>
      </w:r>
      <w:r w:rsidR="00F42F5B" w:rsidRPr="00F65686">
        <w:rPr>
          <w:rFonts w:ascii="Times New Roman" w:hAnsi="Times New Roman"/>
          <w:lang w:val="en-GB"/>
        </w:rPr>
        <w:t xml:space="preserve">that </w:t>
      </w:r>
      <w:r w:rsidR="00FF1EA3" w:rsidRPr="00F65686">
        <w:rPr>
          <w:rFonts w:ascii="Times New Roman" w:hAnsi="Times New Roman"/>
          <w:lang w:val="en-GB"/>
        </w:rPr>
        <w:t>often</w:t>
      </w:r>
      <w:r w:rsidRPr="00F65686">
        <w:rPr>
          <w:rFonts w:ascii="Times New Roman" w:hAnsi="Times New Roman"/>
          <w:lang w:val="en-GB"/>
        </w:rPr>
        <w:t xml:space="preserve"> projects would have been carried out anyway, so there was some crowding out. However, the several follow-up projects implemented without public money </w:t>
      </w:r>
      <w:r w:rsidR="0099028E" w:rsidRPr="00F65686">
        <w:rPr>
          <w:rFonts w:ascii="Times New Roman" w:hAnsi="Times New Roman"/>
          <w:lang w:val="en-GB"/>
        </w:rPr>
        <w:t>may imply that</w:t>
      </w:r>
      <w:r w:rsidR="00F42F5B" w:rsidRPr="00F65686">
        <w:rPr>
          <w:rFonts w:ascii="Times New Roman" w:hAnsi="Times New Roman"/>
          <w:lang w:val="en-GB"/>
        </w:rPr>
        <w:t xml:space="preserve"> vouchers</w:t>
      </w:r>
      <w:r w:rsidR="0099028E" w:rsidRPr="00F65686">
        <w:rPr>
          <w:rFonts w:ascii="Times New Roman" w:hAnsi="Times New Roman"/>
          <w:lang w:val="en-GB"/>
        </w:rPr>
        <w:t xml:space="preserve"> have triggered</w:t>
      </w:r>
      <w:r w:rsidRPr="00F65686">
        <w:rPr>
          <w:rFonts w:ascii="Times New Roman" w:hAnsi="Times New Roman"/>
          <w:lang w:val="en-GB"/>
        </w:rPr>
        <w:t xml:space="preserve"> </w:t>
      </w:r>
      <w:r w:rsidR="00F42F5B" w:rsidRPr="00F65686">
        <w:rPr>
          <w:rFonts w:ascii="Times New Roman" w:hAnsi="Times New Roman"/>
          <w:lang w:val="en-GB"/>
        </w:rPr>
        <w:t>fresh</w:t>
      </w:r>
      <w:r w:rsidRPr="00F65686">
        <w:rPr>
          <w:rFonts w:ascii="Times New Roman" w:hAnsi="Times New Roman"/>
          <w:lang w:val="en-GB"/>
        </w:rPr>
        <w:t xml:space="preserve"> investments in innovation.</w:t>
      </w:r>
      <w:r w:rsidR="00F42F5B" w:rsidRPr="00F65686">
        <w:rPr>
          <w:rFonts w:ascii="Times New Roman" w:hAnsi="Times New Roman"/>
          <w:lang w:val="en-GB"/>
        </w:rPr>
        <w:t xml:space="preserve"> Moreover, this study show</w:t>
      </w:r>
      <w:r w:rsidR="00C164F4" w:rsidRPr="00F65686">
        <w:rPr>
          <w:rFonts w:ascii="Times New Roman" w:hAnsi="Times New Roman"/>
          <w:lang w:val="en-GB"/>
        </w:rPr>
        <w:t>s</w:t>
      </w:r>
      <w:r w:rsidR="00F42F5B" w:rsidRPr="00F65686">
        <w:rPr>
          <w:rFonts w:ascii="Times New Roman" w:hAnsi="Times New Roman"/>
          <w:lang w:val="en-GB"/>
        </w:rPr>
        <w:t xml:space="preserve"> that</w:t>
      </w:r>
      <w:r w:rsidR="00FF1EA3" w:rsidRPr="00F65686">
        <w:rPr>
          <w:rFonts w:ascii="Times New Roman" w:hAnsi="Times New Roman"/>
          <w:lang w:val="en-GB"/>
        </w:rPr>
        <w:t xml:space="preserve"> most</w:t>
      </w:r>
      <w:r w:rsidR="00C164F4" w:rsidRPr="00F65686">
        <w:rPr>
          <w:rFonts w:ascii="Times New Roman" w:hAnsi="Times New Roman"/>
          <w:lang w:val="en-GB"/>
        </w:rPr>
        <w:t xml:space="preserve"> beneficiaries were already acquainted with collaborative innovation and its public funding, though they attribute this to the “first come, first served” distribution mechanism</w:t>
      </w:r>
      <w:r w:rsidR="006A1EBB" w:rsidRPr="00F65686">
        <w:rPr>
          <w:rFonts w:ascii="Times New Roman" w:hAnsi="Times New Roman"/>
          <w:lang w:val="en-GB"/>
        </w:rPr>
        <w:t>,</w:t>
      </w:r>
      <w:r w:rsidR="00C164F4" w:rsidRPr="00F65686">
        <w:rPr>
          <w:rFonts w:ascii="Times New Roman" w:hAnsi="Times New Roman"/>
          <w:lang w:val="en-GB"/>
        </w:rPr>
        <w:t xml:space="preserve"> which penalises the firms that have never accessed this kind of programs.</w:t>
      </w:r>
      <w:r w:rsidR="008217FC" w:rsidRPr="00F65686">
        <w:rPr>
          <w:rFonts w:ascii="Times New Roman" w:hAnsi="Times New Roman"/>
          <w:lang w:val="en-GB"/>
        </w:rPr>
        <w:t xml:space="preserve"> Analogously, an assessment of Czech innovation voucher schemes found that firms from the most ad</w:t>
      </w:r>
      <w:r w:rsidR="00BD40EF" w:rsidRPr="00F65686">
        <w:rPr>
          <w:rFonts w:ascii="Times New Roman" w:hAnsi="Times New Roman"/>
          <w:lang w:val="en-GB"/>
        </w:rPr>
        <w:t>vanced regions benefit more than</w:t>
      </w:r>
      <w:r w:rsidR="008217FC" w:rsidRPr="00F65686">
        <w:rPr>
          <w:rFonts w:ascii="Times New Roman" w:hAnsi="Times New Roman"/>
          <w:lang w:val="en-GB"/>
        </w:rPr>
        <w:t xml:space="preserve"> firms from less advanced </w:t>
      </w:r>
      <w:r w:rsidR="00BD40EF" w:rsidRPr="00F65686">
        <w:rPr>
          <w:rFonts w:ascii="Times New Roman" w:hAnsi="Times New Roman"/>
          <w:lang w:val="en-GB"/>
        </w:rPr>
        <w:t>parts of the country</w:t>
      </w:r>
      <w:r w:rsidR="008217FC" w:rsidRPr="00F65686">
        <w:rPr>
          <w:rFonts w:ascii="Times New Roman" w:hAnsi="Times New Roman"/>
          <w:lang w:val="en-GB"/>
        </w:rPr>
        <w:t xml:space="preserve"> (</w:t>
      </w:r>
      <w:r w:rsidR="009A4026" w:rsidRPr="00F65686">
        <w:rPr>
          <w:rFonts w:ascii="Times New Roman" w:hAnsi="Times New Roman"/>
          <w:lang w:val="en-GB"/>
        </w:rPr>
        <w:t>Klímová and Žítek, 2020).</w:t>
      </w:r>
    </w:p>
    <w:p w14:paraId="5D193444" w14:textId="2AF6F344" w:rsidR="00D7620A" w:rsidRPr="00F65686" w:rsidRDefault="00D7620A" w:rsidP="00F65686">
      <w:pPr>
        <w:jc w:val="both"/>
        <w:rPr>
          <w:rFonts w:ascii="Times New Roman" w:hAnsi="Times New Roman"/>
          <w:lang w:val="en-GB"/>
        </w:rPr>
      </w:pPr>
    </w:p>
    <w:p w14:paraId="33DB8620" w14:textId="2EE47987" w:rsidR="00D7620A" w:rsidRPr="00F65686" w:rsidRDefault="00D7620A" w:rsidP="00F65686">
      <w:pPr>
        <w:pStyle w:val="Titolo3"/>
        <w:numPr>
          <w:ilvl w:val="1"/>
          <w:numId w:val="10"/>
        </w:numPr>
        <w:jc w:val="both"/>
        <w:rPr>
          <w:rFonts w:ascii="Times New Roman" w:hAnsi="Times New Roman"/>
          <w:u w:val="single"/>
          <w:lang w:val="en-GB"/>
        </w:rPr>
      </w:pPr>
      <w:r w:rsidRPr="00F65686">
        <w:rPr>
          <w:rFonts w:ascii="Times New Roman" w:hAnsi="Times New Roman"/>
          <w:lang w:val="en-GB"/>
        </w:rPr>
        <w:t>Proximities in knowledge diffusion</w:t>
      </w:r>
    </w:p>
    <w:p w14:paraId="40CFB20D" w14:textId="0FD68D59" w:rsidR="00BE0722" w:rsidRPr="00F65686" w:rsidRDefault="00D7620A" w:rsidP="00F65686">
      <w:pPr>
        <w:jc w:val="both"/>
        <w:rPr>
          <w:rFonts w:ascii="Times New Roman" w:hAnsi="Times New Roman"/>
          <w:lang w:val="en-GB"/>
        </w:rPr>
      </w:pPr>
      <w:r w:rsidRPr="00F65686">
        <w:rPr>
          <w:rFonts w:ascii="Times New Roman" w:hAnsi="Times New Roman"/>
          <w:lang w:val="en-GB"/>
        </w:rPr>
        <w:t>The last branch of literature that needs to be briefly summarized here is related to the concept of proximity.</w:t>
      </w:r>
      <w:r w:rsidR="00204AC4" w:rsidRPr="00F65686">
        <w:rPr>
          <w:rFonts w:ascii="Times New Roman" w:hAnsi="Times New Roman"/>
          <w:lang w:val="en-GB"/>
        </w:rPr>
        <w:t xml:space="preserve"> </w:t>
      </w:r>
      <w:r w:rsidR="00675778" w:rsidRPr="00F65686">
        <w:rPr>
          <w:rFonts w:ascii="Times New Roman" w:hAnsi="Times New Roman"/>
          <w:lang w:val="en-GB"/>
        </w:rPr>
        <w:t>T</w:t>
      </w:r>
      <w:r w:rsidR="00582C30" w:rsidRPr="00F65686">
        <w:rPr>
          <w:rFonts w:ascii="Times New Roman" w:hAnsi="Times New Roman"/>
          <w:lang w:val="en-GB"/>
        </w:rPr>
        <w:t xml:space="preserve">he first half of the twentieth </w:t>
      </w:r>
      <w:r w:rsidR="00F145A5" w:rsidRPr="00F65686">
        <w:rPr>
          <w:rFonts w:ascii="Times New Roman" w:hAnsi="Times New Roman"/>
          <w:lang w:val="en-GB"/>
        </w:rPr>
        <w:t xml:space="preserve">century </w:t>
      </w:r>
      <w:r w:rsidR="00582C30" w:rsidRPr="00F65686">
        <w:rPr>
          <w:rFonts w:ascii="Times New Roman" w:hAnsi="Times New Roman"/>
          <w:lang w:val="en-GB"/>
        </w:rPr>
        <w:t>witnessed the emergence of quantitative economic studies whose modelling framework was based on a frictionless world where space played no role.</w:t>
      </w:r>
      <w:r w:rsidR="00BE0722" w:rsidRPr="00F65686">
        <w:rPr>
          <w:lang w:val="en-GB"/>
        </w:rPr>
        <w:t xml:space="preserve"> </w:t>
      </w:r>
      <w:r w:rsidR="00BE0722" w:rsidRPr="00F65686">
        <w:rPr>
          <w:rFonts w:ascii="Times New Roman" w:hAnsi="Times New Roman"/>
          <w:lang w:val="en-GB"/>
        </w:rPr>
        <w:t xml:space="preserve">This statement leaves room for notable exceptions, mainly in the celebrated Hotelling model </w:t>
      </w:r>
      <w:r w:rsidR="000B1E31" w:rsidRPr="00F65686">
        <w:rPr>
          <w:rFonts w:ascii="Times New Roman" w:hAnsi="Times New Roman"/>
          <w:lang w:val="en-GB"/>
        </w:rPr>
        <w:t xml:space="preserve">(Hotelling, 1929) </w:t>
      </w:r>
      <w:r w:rsidR="00BE0722" w:rsidRPr="00F65686">
        <w:rPr>
          <w:rFonts w:ascii="Times New Roman" w:hAnsi="Times New Roman"/>
          <w:lang w:val="en-GB"/>
        </w:rPr>
        <w:t xml:space="preserve">showing the role of spatial imperfect competition for the formation of market areas, and the economic/geographic school </w:t>
      </w:r>
      <w:r w:rsidR="00BE0722" w:rsidRPr="00F65686">
        <w:rPr>
          <w:rFonts w:ascii="Times New Roman" w:hAnsi="Times New Roman"/>
          <w:lang w:val="en-GB"/>
        </w:rPr>
        <w:lastRenderedPageBreak/>
        <w:t xml:space="preserve">describing the mechanisms leading to the formation of urban </w:t>
      </w:r>
      <w:r w:rsidR="00F145A5" w:rsidRPr="00F65686">
        <w:rPr>
          <w:rFonts w:ascii="Times New Roman" w:hAnsi="Times New Roman"/>
          <w:lang w:val="en-GB"/>
        </w:rPr>
        <w:t xml:space="preserve">hierarchies </w:t>
      </w:r>
      <w:r w:rsidR="00BE0722" w:rsidRPr="00F65686">
        <w:rPr>
          <w:rFonts w:ascii="Times New Roman" w:hAnsi="Times New Roman"/>
          <w:lang w:val="en-GB"/>
        </w:rPr>
        <w:t>(the celebrated Central Place Theory spurred by Christaller, 1933 and Lösch, 1940).</w:t>
      </w:r>
    </w:p>
    <w:p w14:paraId="435DBD12" w14:textId="6FAFA812" w:rsidR="00582C30" w:rsidRPr="00F65686" w:rsidRDefault="00582C30" w:rsidP="00F65686">
      <w:pPr>
        <w:jc w:val="both"/>
        <w:rPr>
          <w:rFonts w:ascii="Times New Roman" w:hAnsi="Times New Roman"/>
          <w:lang w:val="en-GB"/>
        </w:rPr>
      </w:pPr>
      <w:r w:rsidRPr="00F65686">
        <w:rPr>
          <w:rFonts w:ascii="Times New Roman" w:hAnsi="Times New Roman"/>
          <w:lang w:val="en-GB"/>
        </w:rPr>
        <w:t xml:space="preserve">Dissatisfaction with this simplistic approach eventually led to the emergence of a new discipline, regional science, founded by Walter Isard </w:t>
      </w:r>
      <w:r w:rsidR="00BE0722" w:rsidRPr="00F65686">
        <w:rPr>
          <w:rFonts w:ascii="Times New Roman" w:hAnsi="Times New Roman"/>
          <w:lang w:val="en-GB"/>
        </w:rPr>
        <w:t>(Boyce, 2003), precisely with the aim to look more closely at the proximity mechanisms enhancing, or hampering, economic interactions.</w:t>
      </w:r>
    </w:p>
    <w:p w14:paraId="3E247632" w14:textId="151899DE" w:rsidR="00BE0722" w:rsidRPr="00F65686" w:rsidRDefault="00BE0722" w:rsidP="00F65686">
      <w:pPr>
        <w:jc w:val="both"/>
        <w:rPr>
          <w:rFonts w:ascii="Times New Roman" w:hAnsi="Times New Roman"/>
          <w:lang w:val="en-GB"/>
        </w:rPr>
      </w:pPr>
      <w:r w:rsidRPr="00F65686">
        <w:rPr>
          <w:rFonts w:ascii="Times New Roman" w:hAnsi="Times New Roman"/>
          <w:lang w:val="en-GB"/>
        </w:rPr>
        <w:t>While initially this literature focused primarily, if not totally, on the role of geographical space as a lubricant of economic exchange, subsequently first theoretical, then empirical work shifted towards a more complex view of proximity (Caragliu, 2022). In fact, p</w:t>
      </w:r>
      <w:r w:rsidR="00204AC4" w:rsidRPr="00F65686">
        <w:rPr>
          <w:rFonts w:ascii="Times New Roman" w:hAnsi="Times New Roman"/>
          <w:lang w:val="en-GB"/>
        </w:rPr>
        <w:t>roximity can be broken down in</w:t>
      </w:r>
      <w:r w:rsidR="00F145A5" w:rsidRPr="00F65686">
        <w:rPr>
          <w:rFonts w:ascii="Times New Roman" w:hAnsi="Times New Roman"/>
          <w:lang w:val="en-GB"/>
        </w:rPr>
        <w:t>to</w:t>
      </w:r>
      <w:r w:rsidR="00204AC4" w:rsidRPr="00F65686">
        <w:rPr>
          <w:rFonts w:ascii="Times New Roman" w:hAnsi="Times New Roman"/>
          <w:lang w:val="en-GB"/>
        </w:rPr>
        <w:t xml:space="preserve"> several classes beyond pure geography. For instance, higher technological proximity may foster inter-regional knowledge diffusion (Caragliu and Nijkamp, 2016)</w:t>
      </w:r>
      <w:r w:rsidRPr="00F65686">
        <w:rPr>
          <w:rFonts w:ascii="Times New Roman" w:hAnsi="Times New Roman"/>
          <w:lang w:val="en-GB"/>
        </w:rPr>
        <w:t xml:space="preserve">. By the same token, </w:t>
      </w:r>
      <w:r w:rsidR="00204AC4" w:rsidRPr="00F65686">
        <w:rPr>
          <w:rFonts w:ascii="Times New Roman" w:hAnsi="Times New Roman"/>
          <w:lang w:val="en-GB"/>
        </w:rPr>
        <w:t xml:space="preserve">social proximity between local actors </w:t>
      </w:r>
      <w:r w:rsidRPr="00F65686">
        <w:rPr>
          <w:rFonts w:ascii="Times New Roman" w:hAnsi="Times New Roman"/>
          <w:lang w:val="en-GB"/>
        </w:rPr>
        <w:t xml:space="preserve">can </w:t>
      </w:r>
      <w:r w:rsidR="00204AC4" w:rsidRPr="00F65686">
        <w:rPr>
          <w:rFonts w:ascii="Times New Roman" w:hAnsi="Times New Roman"/>
          <w:lang w:val="en-GB"/>
        </w:rPr>
        <w:t>stimulate firm productivity (Becattini et al., 2009).</w:t>
      </w:r>
    </w:p>
    <w:p w14:paraId="5EDF3405" w14:textId="5F25C97E" w:rsidR="00D7620A" w:rsidRPr="00F65686" w:rsidRDefault="00BE0722" w:rsidP="00F65686">
      <w:pPr>
        <w:jc w:val="both"/>
        <w:rPr>
          <w:rFonts w:ascii="Times New Roman" w:hAnsi="Times New Roman"/>
          <w:lang w:val="en-GB"/>
        </w:rPr>
      </w:pPr>
      <w:r w:rsidRPr="00F65686">
        <w:rPr>
          <w:rFonts w:ascii="Times New Roman" w:hAnsi="Times New Roman"/>
          <w:lang w:val="en-GB"/>
        </w:rPr>
        <w:t>T</w:t>
      </w:r>
      <w:r w:rsidR="00204AC4" w:rsidRPr="00F65686">
        <w:rPr>
          <w:rFonts w:ascii="Times New Roman" w:hAnsi="Times New Roman"/>
          <w:lang w:val="en-GB"/>
        </w:rPr>
        <w:t xml:space="preserve">his paper will </w:t>
      </w:r>
      <w:r w:rsidRPr="00F65686">
        <w:rPr>
          <w:rFonts w:ascii="Times New Roman" w:hAnsi="Times New Roman"/>
          <w:lang w:val="en-GB"/>
        </w:rPr>
        <w:t>delve into the role that geographical and non-geographical proximity play in shaping the impact of local innovation policies</w:t>
      </w:r>
      <w:r w:rsidR="00733CC1" w:rsidRPr="00F65686">
        <w:rPr>
          <w:rFonts w:ascii="Times New Roman" w:hAnsi="Times New Roman"/>
          <w:lang w:val="en-GB"/>
        </w:rPr>
        <w:t>.</w:t>
      </w:r>
    </w:p>
    <w:p w14:paraId="4D5D292E" w14:textId="77777777" w:rsidR="00D7620A" w:rsidRPr="00F65686" w:rsidRDefault="00D7620A" w:rsidP="00F65686">
      <w:pPr>
        <w:jc w:val="both"/>
        <w:rPr>
          <w:rFonts w:ascii="Times New Roman" w:hAnsi="Times New Roman"/>
          <w:lang w:val="en-GB"/>
        </w:rPr>
      </w:pPr>
    </w:p>
    <w:p w14:paraId="5B753E33" w14:textId="77962CB5" w:rsidR="0093582D" w:rsidRPr="00F65686" w:rsidRDefault="00777163" w:rsidP="00F65686">
      <w:pPr>
        <w:pStyle w:val="Titolo3"/>
        <w:numPr>
          <w:ilvl w:val="1"/>
          <w:numId w:val="10"/>
        </w:numPr>
        <w:jc w:val="both"/>
        <w:rPr>
          <w:rFonts w:ascii="Times New Roman" w:hAnsi="Times New Roman"/>
          <w:u w:val="single"/>
          <w:lang w:val="en-GB"/>
        </w:rPr>
      </w:pPr>
      <w:r w:rsidRPr="00F65686">
        <w:rPr>
          <w:rFonts w:ascii="Times New Roman" w:hAnsi="Times New Roman"/>
          <w:lang w:val="en-GB"/>
        </w:rPr>
        <w:t xml:space="preserve">Research </w:t>
      </w:r>
      <w:r w:rsidR="003F2694" w:rsidRPr="00F65686">
        <w:rPr>
          <w:rFonts w:ascii="Times New Roman" w:hAnsi="Times New Roman"/>
          <w:lang w:val="en-GB"/>
        </w:rPr>
        <w:t>q</w:t>
      </w:r>
      <w:r w:rsidRPr="00F65686">
        <w:rPr>
          <w:rFonts w:ascii="Times New Roman" w:hAnsi="Times New Roman"/>
          <w:lang w:val="en-GB"/>
        </w:rPr>
        <w:t>uestions</w:t>
      </w:r>
    </w:p>
    <w:p w14:paraId="34E47675" w14:textId="20854F98" w:rsidR="00297BB5" w:rsidRPr="00F65686" w:rsidRDefault="00472DBF" w:rsidP="00F65686">
      <w:pPr>
        <w:pStyle w:val="imported-Free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76" w:lineRule="auto"/>
        <w:jc w:val="both"/>
        <w:rPr>
          <w:rFonts w:ascii="Times New Roman" w:hAnsi="Times New Roman"/>
          <w:sz w:val="22"/>
          <w:szCs w:val="22"/>
          <w:lang w:val="en-GB"/>
        </w:rPr>
      </w:pPr>
      <w:r w:rsidRPr="00F65686">
        <w:rPr>
          <w:rFonts w:ascii="Times New Roman" w:hAnsi="Times New Roman"/>
          <w:sz w:val="22"/>
          <w:szCs w:val="22"/>
          <w:lang w:val="en-GB"/>
        </w:rPr>
        <w:t>T</w:t>
      </w:r>
      <w:r w:rsidR="00633725" w:rsidRPr="00F65686">
        <w:rPr>
          <w:rFonts w:ascii="Times New Roman" w:hAnsi="Times New Roman"/>
          <w:sz w:val="22"/>
          <w:szCs w:val="22"/>
          <w:lang w:val="en-GB"/>
        </w:rPr>
        <w:t xml:space="preserve">he </w:t>
      </w:r>
      <w:r w:rsidR="00633725" w:rsidRPr="00F65686">
        <w:rPr>
          <w:rFonts w:ascii="Times New Roman" w:hAnsi="Times New Roman"/>
          <w:sz w:val="22"/>
          <w:lang w:val="en-GB"/>
        </w:rPr>
        <w:t xml:space="preserve">extant literature </w:t>
      </w:r>
      <w:r w:rsidR="00633725" w:rsidRPr="00F65686">
        <w:rPr>
          <w:rFonts w:ascii="Times New Roman" w:hAnsi="Times New Roman"/>
          <w:sz w:val="22"/>
          <w:szCs w:val="22"/>
          <w:lang w:val="en-GB"/>
        </w:rPr>
        <w:t>provides ambiguous</w:t>
      </w:r>
      <w:r w:rsidR="00592A4D" w:rsidRPr="00F65686">
        <w:rPr>
          <w:rFonts w:ascii="Times New Roman" w:hAnsi="Times New Roman"/>
          <w:sz w:val="22"/>
          <w:szCs w:val="22"/>
          <w:lang w:val="en-GB"/>
        </w:rPr>
        <w:t xml:space="preserve"> and incomplete </w:t>
      </w:r>
      <w:r w:rsidR="00633725" w:rsidRPr="00F65686">
        <w:rPr>
          <w:rFonts w:ascii="Times New Roman" w:hAnsi="Times New Roman"/>
          <w:sz w:val="22"/>
          <w:szCs w:val="22"/>
          <w:lang w:val="en-GB"/>
        </w:rPr>
        <w:t xml:space="preserve">answers </w:t>
      </w:r>
      <w:r w:rsidR="00592A4D" w:rsidRPr="00F65686">
        <w:rPr>
          <w:rFonts w:ascii="Times New Roman" w:hAnsi="Times New Roman"/>
          <w:sz w:val="22"/>
          <w:szCs w:val="22"/>
          <w:lang w:val="en-GB"/>
        </w:rPr>
        <w:t>regarding the effectiveness</w:t>
      </w:r>
      <w:r w:rsidR="00F27F57" w:rsidRPr="00F65686">
        <w:rPr>
          <w:rFonts w:ascii="Times New Roman" w:hAnsi="Times New Roman"/>
          <w:sz w:val="22"/>
          <w:szCs w:val="22"/>
          <w:lang w:val="en-GB"/>
        </w:rPr>
        <w:t xml:space="preserve"> of </w:t>
      </w:r>
      <w:r w:rsidR="00592A4D" w:rsidRPr="00F65686">
        <w:rPr>
          <w:rFonts w:ascii="Times New Roman" w:hAnsi="Times New Roman"/>
          <w:sz w:val="22"/>
          <w:lang w:val="en-GB"/>
        </w:rPr>
        <w:t xml:space="preserve">innovation </w:t>
      </w:r>
      <w:r w:rsidR="00F27F57" w:rsidRPr="00F65686">
        <w:rPr>
          <w:rFonts w:ascii="Times New Roman" w:hAnsi="Times New Roman"/>
          <w:sz w:val="22"/>
          <w:lang w:val="en-GB"/>
        </w:rPr>
        <w:t>voucher</w:t>
      </w:r>
      <w:r w:rsidR="00592A4D" w:rsidRPr="00F65686">
        <w:rPr>
          <w:rFonts w:ascii="Times New Roman" w:hAnsi="Times New Roman"/>
          <w:sz w:val="22"/>
          <w:lang w:val="en-GB"/>
        </w:rPr>
        <w:t>s</w:t>
      </w:r>
      <w:r w:rsidR="00592A4D" w:rsidRPr="00F65686">
        <w:rPr>
          <w:rFonts w:ascii="Times New Roman" w:hAnsi="Times New Roman"/>
          <w:sz w:val="22"/>
          <w:szCs w:val="22"/>
          <w:lang w:val="en-GB"/>
        </w:rPr>
        <w:t>. In</w:t>
      </w:r>
      <w:r w:rsidR="00592A4D" w:rsidRPr="00F65686">
        <w:rPr>
          <w:rFonts w:ascii="Times New Roman" w:hAnsi="Times New Roman"/>
          <w:sz w:val="22"/>
          <w:lang w:val="en-GB"/>
        </w:rPr>
        <w:t xml:space="preserve"> this paper, we address three </w:t>
      </w:r>
      <w:r w:rsidR="00592A4D" w:rsidRPr="00F65686">
        <w:rPr>
          <w:rFonts w:ascii="Times New Roman" w:hAnsi="Times New Roman"/>
          <w:sz w:val="22"/>
          <w:szCs w:val="22"/>
          <w:lang w:val="en-GB"/>
        </w:rPr>
        <w:t xml:space="preserve">specific </w:t>
      </w:r>
      <w:r w:rsidR="00592A4D" w:rsidRPr="00F65686">
        <w:rPr>
          <w:rFonts w:ascii="Times New Roman" w:hAnsi="Times New Roman"/>
          <w:sz w:val="22"/>
          <w:lang w:val="en-GB"/>
        </w:rPr>
        <w:t xml:space="preserve">issues </w:t>
      </w:r>
      <w:r w:rsidR="00592A4D" w:rsidRPr="00F65686">
        <w:rPr>
          <w:rFonts w:ascii="Times New Roman" w:hAnsi="Times New Roman"/>
          <w:sz w:val="22"/>
          <w:szCs w:val="22"/>
          <w:lang w:val="en-GB"/>
        </w:rPr>
        <w:t xml:space="preserve">loosely </w:t>
      </w:r>
      <w:r w:rsidR="00592A4D" w:rsidRPr="00F65686">
        <w:rPr>
          <w:rFonts w:ascii="Times New Roman" w:hAnsi="Times New Roman"/>
          <w:sz w:val="22"/>
          <w:lang w:val="en-GB"/>
        </w:rPr>
        <w:t xml:space="preserve">related to </w:t>
      </w:r>
      <w:r w:rsidR="00592A4D" w:rsidRPr="00F65686">
        <w:rPr>
          <w:rFonts w:ascii="Times New Roman" w:hAnsi="Times New Roman"/>
          <w:sz w:val="22"/>
          <w:szCs w:val="22"/>
          <w:lang w:val="en-GB"/>
        </w:rPr>
        <w:t>the additionalities previously introduced</w:t>
      </w:r>
      <w:r w:rsidR="00D81057" w:rsidRPr="00F65686">
        <w:rPr>
          <w:rFonts w:ascii="Times New Roman" w:hAnsi="Times New Roman"/>
          <w:sz w:val="22"/>
          <w:szCs w:val="22"/>
          <w:lang w:val="en-GB"/>
        </w:rPr>
        <w:t xml:space="preserve">, </w:t>
      </w:r>
      <w:r w:rsidR="00756AC9" w:rsidRPr="00F65686">
        <w:rPr>
          <w:rFonts w:ascii="Times New Roman" w:hAnsi="Times New Roman"/>
          <w:sz w:val="22"/>
          <w:szCs w:val="22"/>
          <w:lang w:val="en-GB"/>
        </w:rPr>
        <w:t>address</w:t>
      </w:r>
      <w:r w:rsidR="00D81057" w:rsidRPr="00F65686">
        <w:rPr>
          <w:rFonts w:ascii="Times New Roman" w:hAnsi="Times New Roman"/>
          <w:sz w:val="22"/>
          <w:szCs w:val="22"/>
          <w:lang w:val="en-GB"/>
        </w:rPr>
        <w:t>ing</w:t>
      </w:r>
      <w:r w:rsidR="00756AC9" w:rsidRPr="00F65686">
        <w:rPr>
          <w:rFonts w:ascii="Times New Roman" w:hAnsi="Times New Roman"/>
          <w:sz w:val="22"/>
          <w:szCs w:val="22"/>
          <w:lang w:val="en-GB"/>
        </w:rPr>
        <w:t xml:space="preserve"> </w:t>
      </w:r>
      <w:r w:rsidR="00D81057" w:rsidRPr="00F65686">
        <w:rPr>
          <w:rFonts w:ascii="Times New Roman" w:hAnsi="Times New Roman"/>
          <w:sz w:val="22"/>
          <w:szCs w:val="22"/>
          <w:lang w:val="en-GB"/>
        </w:rPr>
        <w:t xml:space="preserve">different </w:t>
      </w:r>
      <w:r w:rsidR="00756AC9" w:rsidRPr="00F65686">
        <w:rPr>
          <w:rFonts w:ascii="Times New Roman" w:hAnsi="Times New Roman"/>
          <w:sz w:val="22"/>
          <w:szCs w:val="22"/>
          <w:lang w:val="en-GB"/>
        </w:rPr>
        <w:t xml:space="preserve">forms of </w:t>
      </w:r>
      <w:r w:rsidRPr="00F65686">
        <w:rPr>
          <w:rFonts w:ascii="Times New Roman" w:hAnsi="Times New Roman"/>
          <w:sz w:val="22"/>
          <w:szCs w:val="22"/>
          <w:lang w:val="en-GB"/>
        </w:rPr>
        <w:t xml:space="preserve">outcome </w:t>
      </w:r>
      <w:r w:rsidR="00756AC9" w:rsidRPr="00F65686">
        <w:rPr>
          <w:rFonts w:ascii="Times New Roman" w:hAnsi="Times New Roman"/>
          <w:sz w:val="22"/>
          <w:lang w:val="en-GB"/>
        </w:rPr>
        <w:t>additionality.</w:t>
      </w:r>
      <w:r w:rsidR="00756AC9" w:rsidRPr="00F65686">
        <w:rPr>
          <w:rFonts w:ascii="Times New Roman" w:hAnsi="Times New Roman"/>
          <w:sz w:val="22"/>
          <w:szCs w:val="22"/>
          <w:lang w:val="en-GB"/>
        </w:rPr>
        <w:t xml:space="preserve"> </w:t>
      </w:r>
      <w:r w:rsidR="00F27F57" w:rsidRPr="00F65686">
        <w:rPr>
          <w:rFonts w:ascii="Times New Roman" w:hAnsi="Times New Roman"/>
          <w:sz w:val="22"/>
          <w:szCs w:val="22"/>
          <w:lang w:val="en-GB"/>
        </w:rPr>
        <w:t>Th</w:t>
      </w:r>
      <w:r w:rsidR="00811F1D" w:rsidRPr="00F65686">
        <w:rPr>
          <w:rFonts w:ascii="Times New Roman" w:hAnsi="Times New Roman"/>
          <w:sz w:val="22"/>
          <w:szCs w:val="22"/>
          <w:lang w:val="en-GB"/>
        </w:rPr>
        <w:t>e</w:t>
      </w:r>
      <w:r w:rsidR="00F27F57" w:rsidRPr="00F65686">
        <w:rPr>
          <w:rFonts w:ascii="Times New Roman" w:hAnsi="Times New Roman"/>
          <w:sz w:val="22"/>
          <w:szCs w:val="22"/>
          <w:lang w:val="en-GB"/>
        </w:rPr>
        <w:t xml:space="preserve"> first </w:t>
      </w:r>
      <w:r w:rsidR="00C34F16" w:rsidRPr="00F65686">
        <w:rPr>
          <w:rFonts w:ascii="Times New Roman" w:hAnsi="Times New Roman"/>
          <w:sz w:val="22"/>
          <w:szCs w:val="22"/>
          <w:lang w:val="en-GB"/>
        </w:rPr>
        <w:t>issue</w:t>
      </w:r>
      <w:r w:rsidR="00F27F57" w:rsidRPr="00F65686">
        <w:rPr>
          <w:rFonts w:ascii="Times New Roman" w:hAnsi="Times New Roman"/>
          <w:sz w:val="22"/>
          <w:szCs w:val="22"/>
          <w:lang w:val="en-GB"/>
        </w:rPr>
        <w:t xml:space="preserve"> </w:t>
      </w:r>
      <w:r w:rsidR="00CF5E20" w:rsidRPr="00F65686">
        <w:rPr>
          <w:rFonts w:ascii="Times New Roman" w:hAnsi="Times New Roman"/>
          <w:sz w:val="22"/>
          <w:szCs w:val="22"/>
          <w:lang w:val="en-GB"/>
        </w:rPr>
        <w:t xml:space="preserve">is whether </w:t>
      </w:r>
      <w:r w:rsidR="00297BB5" w:rsidRPr="00F65686">
        <w:rPr>
          <w:rFonts w:ascii="Times New Roman" w:hAnsi="Times New Roman"/>
          <w:sz w:val="22"/>
          <w:szCs w:val="22"/>
          <w:lang w:val="en-GB"/>
        </w:rPr>
        <w:t xml:space="preserve">receiving a </w:t>
      </w:r>
      <w:r w:rsidR="00CF5E20" w:rsidRPr="00F65686">
        <w:rPr>
          <w:rFonts w:ascii="Times New Roman" w:hAnsi="Times New Roman"/>
          <w:sz w:val="22"/>
          <w:szCs w:val="22"/>
          <w:lang w:val="en-GB"/>
        </w:rPr>
        <w:t>voucher</w:t>
      </w:r>
      <w:r w:rsidR="00297BB5" w:rsidRPr="00F65686">
        <w:rPr>
          <w:rFonts w:ascii="Times New Roman" w:hAnsi="Times New Roman"/>
          <w:sz w:val="22"/>
          <w:szCs w:val="22"/>
          <w:lang w:val="en-GB"/>
        </w:rPr>
        <w:t xml:space="preserve"> improves the</w:t>
      </w:r>
      <w:r w:rsidR="00712D96" w:rsidRPr="00F65686">
        <w:rPr>
          <w:rFonts w:ascii="Times New Roman" w:hAnsi="Times New Roman"/>
          <w:sz w:val="22"/>
          <w:szCs w:val="22"/>
          <w:lang w:val="en-GB"/>
        </w:rPr>
        <w:t xml:space="preserve"> firm</w:t>
      </w:r>
      <w:r w:rsidR="009E0774" w:rsidRPr="00F65686">
        <w:rPr>
          <w:rFonts w:ascii="Times New Roman" w:hAnsi="Times New Roman"/>
          <w:sz w:val="22"/>
          <w:szCs w:val="22"/>
          <w:lang w:val="en-GB"/>
        </w:rPr>
        <w:t>’</w:t>
      </w:r>
      <w:r w:rsidR="00712D96" w:rsidRPr="00F65686">
        <w:rPr>
          <w:rFonts w:ascii="Times New Roman" w:hAnsi="Times New Roman"/>
          <w:sz w:val="22"/>
          <w:szCs w:val="22"/>
          <w:lang w:val="en-GB"/>
        </w:rPr>
        <w:t>s</w:t>
      </w:r>
      <w:r w:rsidR="009E0774" w:rsidRPr="00F65686">
        <w:rPr>
          <w:rFonts w:ascii="Times New Roman" w:hAnsi="Times New Roman"/>
          <w:sz w:val="22"/>
          <w:szCs w:val="22"/>
          <w:lang w:val="en-GB"/>
        </w:rPr>
        <w:t xml:space="preserve"> </w:t>
      </w:r>
      <w:r w:rsidR="007F6ACC" w:rsidRPr="00F65686">
        <w:rPr>
          <w:rFonts w:ascii="Times New Roman" w:hAnsi="Times New Roman"/>
          <w:sz w:val="22"/>
          <w:szCs w:val="22"/>
          <w:lang w:val="en-GB"/>
        </w:rPr>
        <w:t xml:space="preserve">economic </w:t>
      </w:r>
      <w:r w:rsidR="00712D96" w:rsidRPr="00F65686">
        <w:rPr>
          <w:rFonts w:ascii="Times New Roman" w:hAnsi="Times New Roman"/>
          <w:sz w:val="22"/>
          <w:szCs w:val="22"/>
          <w:lang w:val="en-GB"/>
        </w:rPr>
        <w:t>performance</w:t>
      </w:r>
      <w:r w:rsidR="00297BB5" w:rsidRPr="00F65686">
        <w:rPr>
          <w:rFonts w:ascii="Times New Roman" w:hAnsi="Times New Roman"/>
          <w:sz w:val="22"/>
          <w:szCs w:val="22"/>
          <w:lang w:val="en-GB"/>
        </w:rPr>
        <w:t xml:space="preserve"> in a </w:t>
      </w:r>
      <w:r w:rsidR="00D81057" w:rsidRPr="00F65686">
        <w:rPr>
          <w:rFonts w:ascii="Times New Roman" w:hAnsi="Times New Roman"/>
          <w:sz w:val="22"/>
          <w:szCs w:val="22"/>
          <w:lang w:val="en-GB"/>
        </w:rPr>
        <w:t xml:space="preserve">direct </w:t>
      </w:r>
      <w:r w:rsidR="00297BB5" w:rsidRPr="00F65686">
        <w:rPr>
          <w:rFonts w:ascii="Times New Roman" w:hAnsi="Times New Roman"/>
          <w:sz w:val="22"/>
          <w:szCs w:val="22"/>
          <w:lang w:val="en-GB"/>
        </w:rPr>
        <w:t xml:space="preserve">way, </w:t>
      </w:r>
      <w:r w:rsidR="00D81057" w:rsidRPr="00F65686">
        <w:rPr>
          <w:rFonts w:ascii="Times New Roman" w:hAnsi="Times New Roman"/>
          <w:sz w:val="22"/>
          <w:szCs w:val="22"/>
          <w:lang w:val="en-GB"/>
        </w:rPr>
        <w:t xml:space="preserve">i.e. causing </w:t>
      </w:r>
      <w:r w:rsidR="00297BB5" w:rsidRPr="00F65686">
        <w:rPr>
          <w:rFonts w:ascii="Times New Roman" w:hAnsi="Times New Roman"/>
          <w:sz w:val="22"/>
          <w:szCs w:val="22"/>
          <w:lang w:val="en-GB"/>
        </w:rPr>
        <w:t xml:space="preserve">turnover </w:t>
      </w:r>
      <w:r w:rsidR="00D81057" w:rsidRPr="00F65686">
        <w:rPr>
          <w:rFonts w:ascii="Times New Roman" w:hAnsi="Times New Roman"/>
          <w:sz w:val="22"/>
          <w:szCs w:val="22"/>
          <w:lang w:val="en-GB"/>
        </w:rPr>
        <w:t>increases</w:t>
      </w:r>
      <w:r w:rsidR="00297BB5" w:rsidRPr="00F65686">
        <w:rPr>
          <w:rFonts w:ascii="Times New Roman" w:hAnsi="Times New Roman"/>
          <w:sz w:val="22"/>
          <w:szCs w:val="22"/>
          <w:lang w:val="en-GB"/>
        </w:rPr>
        <w:t xml:space="preserve">. This is consistent with the concept of </w:t>
      </w:r>
      <w:r w:rsidRPr="00F65686">
        <w:rPr>
          <w:rFonts w:ascii="Times New Roman" w:hAnsi="Times New Roman"/>
          <w:sz w:val="22"/>
          <w:szCs w:val="22"/>
          <w:lang w:val="en-GB"/>
        </w:rPr>
        <w:t>o</w:t>
      </w:r>
      <w:r w:rsidR="00297BB5" w:rsidRPr="00F65686">
        <w:rPr>
          <w:rFonts w:ascii="Times New Roman" w:hAnsi="Times New Roman"/>
          <w:sz w:val="22"/>
          <w:szCs w:val="22"/>
          <w:lang w:val="en-GB"/>
        </w:rPr>
        <w:t>utput additionality</w:t>
      </w:r>
      <w:r w:rsidR="00CD1404" w:rsidRPr="00F65686">
        <w:rPr>
          <w:rFonts w:ascii="Times New Roman" w:hAnsi="Times New Roman"/>
          <w:sz w:val="22"/>
          <w:szCs w:val="22"/>
          <w:lang w:val="en-GB"/>
        </w:rPr>
        <w:t xml:space="preserve"> even in its narrowest interpretation</w:t>
      </w:r>
      <w:r w:rsidR="00297BB5" w:rsidRPr="00F65686">
        <w:rPr>
          <w:rFonts w:ascii="Times New Roman" w:hAnsi="Times New Roman"/>
          <w:sz w:val="22"/>
          <w:szCs w:val="22"/>
          <w:lang w:val="en-GB"/>
        </w:rPr>
        <w:t xml:space="preserve">. </w:t>
      </w:r>
      <w:r w:rsidR="00872D61" w:rsidRPr="00F65686">
        <w:rPr>
          <w:rFonts w:ascii="Times New Roman" w:hAnsi="Times New Roman"/>
          <w:sz w:val="22"/>
          <w:szCs w:val="22"/>
          <w:lang w:val="en-GB"/>
        </w:rPr>
        <w:t>A</w:t>
      </w:r>
      <w:r w:rsidR="00AB5CFD" w:rsidRPr="00F65686">
        <w:rPr>
          <w:rFonts w:ascii="Times New Roman" w:hAnsi="Times New Roman"/>
          <w:sz w:val="22"/>
          <w:szCs w:val="22"/>
          <w:lang w:val="en-GB"/>
        </w:rPr>
        <w:t xml:space="preserve"> </w:t>
      </w:r>
      <w:r w:rsidR="00297BB5" w:rsidRPr="00F65686">
        <w:rPr>
          <w:rFonts w:ascii="Times New Roman" w:hAnsi="Times New Roman"/>
          <w:sz w:val="22"/>
          <w:szCs w:val="22"/>
          <w:lang w:val="en-GB"/>
        </w:rPr>
        <w:t xml:space="preserve">second issue is </w:t>
      </w:r>
      <w:r w:rsidR="00756AC9" w:rsidRPr="00F65686">
        <w:rPr>
          <w:rFonts w:ascii="Times New Roman" w:hAnsi="Times New Roman"/>
          <w:sz w:val="22"/>
          <w:szCs w:val="22"/>
          <w:lang w:val="en-GB"/>
        </w:rPr>
        <w:t xml:space="preserve">whether </w:t>
      </w:r>
      <w:r w:rsidR="00AB5CFD" w:rsidRPr="00F65686">
        <w:rPr>
          <w:rFonts w:ascii="Times New Roman" w:hAnsi="Times New Roman"/>
          <w:sz w:val="22"/>
          <w:szCs w:val="22"/>
          <w:lang w:val="en-GB"/>
        </w:rPr>
        <w:t xml:space="preserve">the beneficiary firm acquired </w:t>
      </w:r>
      <w:r w:rsidR="00352BE1" w:rsidRPr="00F65686">
        <w:rPr>
          <w:rFonts w:ascii="Times New Roman" w:hAnsi="Times New Roman"/>
          <w:sz w:val="22"/>
          <w:szCs w:val="22"/>
          <w:lang w:val="en-GB"/>
        </w:rPr>
        <w:t>new skills</w:t>
      </w:r>
      <w:r w:rsidR="00AB5CFD" w:rsidRPr="00F65686">
        <w:rPr>
          <w:rFonts w:ascii="Times New Roman" w:hAnsi="Times New Roman"/>
          <w:sz w:val="22"/>
          <w:szCs w:val="22"/>
          <w:lang w:val="en-GB"/>
        </w:rPr>
        <w:t xml:space="preserve"> during the collaboration with the knowledge supplier entailed by the voucher. </w:t>
      </w:r>
      <w:r w:rsidR="00CC0D16" w:rsidRPr="00F65686">
        <w:rPr>
          <w:rFonts w:ascii="Times New Roman" w:hAnsi="Times New Roman"/>
          <w:sz w:val="22"/>
          <w:szCs w:val="22"/>
          <w:lang w:val="en-GB"/>
        </w:rPr>
        <w:t>Many authors will agree in</w:t>
      </w:r>
      <w:r w:rsidR="00872D61" w:rsidRPr="00F65686">
        <w:rPr>
          <w:rFonts w:ascii="Times New Roman" w:hAnsi="Times New Roman"/>
          <w:sz w:val="22"/>
          <w:szCs w:val="22"/>
          <w:lang w:val="en-GB"/>
        </w:rPr>
        <w:t xml:space="preserve"> </w:t>
      </w:r>
      <w:r w:rsidR="00CC0D16" w:rsidRPr="00F65686">
        <w:rPr>
          <w:rFonts w:ascii="Times New Roman" w:hAnsi="Times New Roman"/>
          <w:sz w:val="22"/>
          <w:szCs w:val="22"/>
          <w:lang w:val="en-GB"/>
        </w:rPr>
        <w:t>qualifying also this</w:t>
      </w:r>
      <w:r w:rsidR="00872D61" w:rsidRPr="00F65686">
        <w:rPr>
          <w:rFonts w:ascii="Times New Roman" w:hAnsi="Times New Roman"/>
          <w:sz w:val="22"/>
          <w:szCs w:val="22"/>
          <w:lang w:val="en-GB"/>
        </w:rPr>
        <w:t xml:space="preserve"> </w:t>
      </w:r>
      <w:r w:rsidR="00CC0D16" w:rsidRPr="00F65686">
        <w:rPr>
          <w:rFonts w:ascii="Times New Roman" w:hAnsi="Times New Roman"/>
          <w:sz w:val="22"/>
          <w:szCs w:val="22"/>
          <w:lang w:val="en-GB"/>
        </w:rPr>
        <w:t xml:space="preserve">one </w:t>
      </w:r>
      <w:r w:rsidR="00872D61" w:rsidRPr="00F65686">
        <w:rPr>
          <w:rFonts w:ascii="Times New Roman" w:hAnsi="Times New Roman"/>
          <w:sz w:val="22"/>
          <w:szCs w:val="22"/>
          <w:lang w:val="en-GB"/>
        </w:rPr>
        <w:t xml:space="preserve">as an </w:t>
      </w:r>
      <w:r w:rsidR="009F39FC" w:rsidRPr="00F65686">
        <w:rPr>
          <w:rFonts w:ascii="Times New Roman" w:hAnsi="Times New Roman"/>
          <w:sz w:val="22"/>
          <w:szCs w:val="22"/>
          <w:lang w:val="en-GB"/>
        </w:rPr>
        <w:t>o</w:t>
      </w:r>
      <w:r w:rsidR="00872D61" w:rsidRPr="00F65686">
        <w:rPr>
          <w:rFonts w:ascii="Times New Roman" w:hAnsi="Times New Roman"/>
          <w:sz w:val="22"/>
          <w:szCs w:val="22"/>
          <w:lang w:val="en-GB"/>
        </w:rPr>
        <w:t>utput additionality</w:t>
      </w:r>
      <w:r w:rsidR="00CC0D16" w:rsidRPr="00F65686">
        <w:rPr>
          <w:rFonts w:ascii="Times New Roman" w:hAnsi="Times New Roman"/>
          <w:sz w:val="22"/>
          <w:szCs w:val="22"/>
          <w:lang w:val="en-GB"/>
        </w:rPr>
        <w:t xml:space="preserve"> </w:t>
      </w:r>
      <w:r w:rsidR="00C051DC" w:rsidRPr="00F65686">
        <w:rPr>
          <w:rFonts w:ascii="Times New Roman" w:hAnsi="Times New Roman"/>
          <w:sz w:val="22"/>
          <w:szCs w:val="22"/>
          <w:lang w:val="en-US"/>
        </w:rPr>
        <w:t>(Cunningham and Gök, 2012)</w:t>
      </w:r>
      <w:r w:rsidR="00872D61" w:rsidRPr="00F65686">
        <w:rPr>
          <w:rFonts w:ascii="Times New Roman" w:hAnsi="Times New Roman"/>
          <w:sz w:val="22"/>
          <w:szCs w:val="22"/>
          <w:lang w:val="en-GB"/>
        </w:rPr>
        <w:t xml:space="preserve">. A third question investigated </w:t>
      </w:r>
      <w:r w:rsidR="00D81057" w:rsidRPr="00F65686">
        <w:rPr>
          <w:rFonts w:ascii="Times New Roman" w:hAnsi="Times New Roman"/>
          <w:sz w:val="22"/>
          <w:szCs w:val="22"/>
          <w:lang w:val="en-GB"/>
        </w:rPr>
        <w:t xml:space="preserve">here, and one </w:t>
      </w:r>
      <w:r w:rsidR="00CC0D16" w:rsidRPr="00F65686">
        <w:rPr>
          <w:rFonts w:ascii="Times New Roman" w:hAnsi="Times New Roman"/>
          <w:sz w:val="22"/>
          <w:szCs w:val="22"/>
          <w:lang w:val="en-GB"/>
        </w:rPr>
        <w:t>under-researched in the innovation policy literature</w:t>
      </w:r>
      <w:r w:rsidR="00D81057" w:rsidRPr="00F65686">
        <w:rPr>
          <w:rFonts w:ascii="Times New Roman" w:hAnsi="Times New Roman"/>
          <w:sz w:val="22"/>
          <w:szCs w:val="22"/>
          <w:lang w:val="en-GB"/>
        </w:rPr>
        <w:t>, is</w:t>
      </w:r>
      <w:r w:rsidR="000B281F" w:rsidRPr="00F65686">
        <w:rPr>
          <w:rFonts w:ascii="Times New Roman" w:hAnsi="Times New Roman"/>
          <w:sz w:val="22"/>
          <w:szCs w:val="22"/>
          <w:lang w:val="en-GB"/>
        </w:rPr>
        <w:t xml:space="preserve"> </w:t>
      </w:r>
      <w:r w:rsidR="00E50728" w:rsidRPr="00F65686">
        <w:rPr>
          <w:rFonts w:ascii="Times New Roman" w:hAnsi="Times New Roman"/>
          <w:sz w:val="22"/>
          <w:szCs w:val="22"/>
          <w:lang w:val="en-GB"/>
        </w:rPr>
        <w:t xml:space="preserve">whether the collaboration funded by the voucher spurred results </w:t>
      </w:r>
      <w:r w:rsidR="00D81057" w:rsidRPr="00F65686">
        <w:rPr>
          <w:rFonts w:ascii="Times New Roman" w:hAnsi="Times New Roman"/>
          <w:sz w:val="22"/>
          <w:szCs w:val="22"/>
          <w:lang w:val="en-GB"/>
        </w:rPr>
        <w:t xml:space="preserve">that were </w:t>
      </w:r>
      <w:r w:rsidR="00E50728" w:rsidRPr="00F65686">
        <w:rPr>
          <w:rFonts w:ascii="Times New Roman" w:hAnsi="Times New Roman"/>
          <w:sz w:val="22"/>
          <w:szCs w:val="22"/>
          <w:lang w:val="en-GB"/>
        </w:rPr>
        <w:t xml:space="preserve">not initially foreseen. Though the term ‘results’ can be quite generic, it has a character of tangibility that </w:t>
      </w:r>
      <w:r w:rsidR="00D81057" w:rsidRPr="00F65686">
        <w:rPr>
          <w:rFonts w:ascii="Times New Roman" w:hAnsi="Times New Roman"/>
          <w:sz w:val="22"/>
          <w:szCs w:val="22"/>
          <w:lang w:val="en-GB"/>
        </w:rPr>
        <w:t xml:space="preserve">allows one to classify it among </w:t>
      </w:r>
      <w:r w:rsidR="00E50728" w:rsidRPr="00F65686">
        <w:rPr>
          <w:rFonts w:ascii="Times New Roman" w:hAnsi="Times New Roman"/>
          <w:sz w:val="22"/>
          <w:szCs w:val="22"/>
          <w:lang w:val="en-GB"/>
        </w:rPr>
        <w:t xml:space="preserve">Output additionalities. However, these are unexpected results, i.e. not those for which the project was funded, and ultimately the taxpayer paid for. Shedding light on this point may help assess the </w:t>
      </w:r>
      <w:r w:rsidR="00F145A5" w:rsidRPr="00F65686">
        <w:rPr>
          <w:rFonts w:ascii="Times New Roman" w:hAnsi="Times New Roman"/>
          <w:sz w:val="22"/>
          <w:szCs w:val="22"/>
          <w:lang w:val="en-GB"/>
        </w:rPr>
        <w:t>lesser-</w:t>
      </w:r>
      <w:r w:rsidR="00E50728" w:rsidRPr="00F65686">
        <w:rPr>
          <w:rFonts w:ascii="Times New Roman" w:hAnsi="Times New Roman"/>
          <w:sz w:val="22"/>
          <w:szCs w:val="22"/>
          <w:lang w:val="en-GB"/>
        </w:rPr>
        <w:t xml:space="preserve">known </w:t>
      </w:r>
      <w:r w:rsidR="0003429D" w:rsidRPr="00F65686">
        <w:rPr>
          <w:rFonts w:ascii="Times New Roman" w:hAnsi="Times New Roman"/>
          <w:sz w:val="22"/>
          <w:szCs w:val="22"/>
          <w:lang w:val="en-GB"/>
        </w:rPr>
        <w:t xml:space="preserve">and most difficult to measure </w:t>
      </w:r>
      <w:r w:rsidR="00E50728" w:rsidRPr="00F65686">
        <w:rPr>
          <w:rFonts w:ascii="Times New Roman" w:hAnsi="Times New Roman"/>
          <w:sz w:val="22"/>
          <w:szCs w:val="22"/>
          <w:lang w:val="en-GB"/>
        </w:rPr>
        <w:t>impacts of voucher schemes.</w:t>
      </w:r>
      <w:r w:rsidR="00A83B2B" w:rsidRPr="00F65686">
        <w:rPr>
          <w:rStyle w:val="Rimandonotaapidipagina"/>
          <w:rFonts w:ascii="Times New Roman" w:hAnsi="Times New Roman"/>
          <w:sz w:val="22"/>
          <w:szCs w:val="22"/>
          <w:lang w:val="en-GB"/>
        </w:rPr>
        <w:t xml:space="preserve"> </w:t>
      </w:r>
      <w:r w:rsidR="00A83B2B" w:rsidRPr="00F65686">
        <w:rPr>
          <w:rStyle w:val="Rimandonotaapidipagina"/>
          <w:rFonts w:ascii="Times New Roman" w:hAnsi="Times New Roman"/>
          <w:sz w:val="22"/>
          <w:szCs w:val="22"/>
          <w:lang w:val="en-GB"/>
        </w:rPr>
        <w:footnoteReference w:id="9"/>
      </w:r>
    </w:p>
    <w:p w14:paraId="5E647C0B" w14:textId="146FFA6B" w:rsidR="0003429D" w:rsidRPr="00F65686" w:rsidRDefault="0003429D" w:rsidP="00F65686">
      <w:pPr>
        <w:pStyle w:val="imported-Free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76" w:lineRule="auto"/>
        <w:jc w:val="both"/>
        <w:rPr>
          <w:rFonts w:ascii="Times New Roman" w:hAnsi="Times New Roman"/>
          <w:i/>
          <w:sz w:val="22"/>
          <w:szCs w:val="22"/>
          <w:lang w:val="en-US"/>
        </w:rPr>
      </w:pPr>
      <w:r w:rsidRPr="00F65686">
        <w:rPr>
          <w:rFonts w:ascii="Times New Roman" w:hAnsi="Times New Roman"/>
          <w:sz w:val="22"/>
          <w:szCs w:val="22"/>
          <w:lang w:val="en-GB"/>
        </w:rPr>
        <w:t xml:space="preserve">Therefore, the three questions addressed by </w:t>
      </w:r>
      <w:r w:rsidR="00D81057" w:rsidRPr="00F65686">
        <w:rPr>
          <w:rFonts w:ascii="Times New Roman" w:hAnsi="Times New Roman"/>
          <w:sz w:val="22"/>
          <w:szCs w:val="22"/>
          <w:lang w:val="en-GB"/>
        </w:rPr>
        <w:t xml:space="preserve">our paper </w:t>
      </w:r>
      <w:r w:rsidRPr="00F65686">
        <w:rPr>
          <w:rFonts w:ascii="Times New Roman" w:hAnsi="Times New Roman"/>
          <w:sz w:val="22"/>
          <w:szCs w:val="22"/>
          <w:lang w:val="en-GB"/>
        </w:rPr>
        <w:t>are:</w:t>
      </w:r>
    </w:p>
    <w:p w14:paraId="6A8236F5" w14:textId="03C4C3D1" w:rsidR="0003429D" w:rsidRPr="00F65686" w:rsidRDefault="00D81057" w:rsidP="00F65686">
      <w:pPr>
        <w:pStyle w:val="imported-Free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76" w:lineRule="auto"/>
        <w:jc w:val="both"/>
        <w:rPr>
          <w:rFonts w:ascii="Times New Roman" w:hAnsi="Times New Roman"/>
          <w:i/>
          <w:sz w:val="22"/>
          <w:szCs w:val="22"/>
          <w:lang w:val="en-US"/>
        </w:rPr>
      </w:pPr>
      <w:r w:rsidRPr="00F65686">
        <w:rPr>
          <w:rFonts w:ascii="Times New Roman" w:hAnsi="Times New Roman"/>
          <w:i/>
          <w:sz w:val="22"/>
          <w:szCs w:val="22"/>
          <w:lang w:val="en-US"/>
        </w:rPr>
        <w:t>RQ.1</w:t>
      </w:r>
      <w:r w:rsidRPr="00F65686">
        <w:rPr>
          <w:rFonts w:ascii="Times New Roman" w:hAnsi="Times New Roman"/>
          <w:i/>
          <w:sz w:val="22"/>
          <w:szCs w:val="22"/>
          <w:lang w:val="en-US"/>
        </w:rPr>
        <w:tab/>
      </w:r>
      <w:r w:rsidR="0003429D" w:rsidRPr="00F65686">
        <w:rPr>
          <w:rFonts w:ascii="Times New Roman" w:hAnsi="Times New Roman"/>
          <w:i/>
          <w:sz w:val="22"/>
          <w:szCs w:val="22"/>
          <w:lang w:val="en-US"/>
        </w:rPr>
        <w:t>Does the innovation voucher enhance firm turnover?</w:t>
      </w:r>
    </w:p>
    <w:p w14:paraId="68CD6AE8" w14:textId="40F5F8D2" w:rsidR="0003429D" w:rsidRPr="00F65686" w:rsidRDefault="00D81057" w:rsidP="00F65686">
      <w:pPr>
        <w:pStyle w:val="imported-Free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76" w:lineRule="auto"/>
        <w:jc w:val="both"/>
        <w:rPr>
          <w:rFonts w:ascii="Times New Roman" w:hAnsi="Times New Roman"/>
          <w:i/>
          <w:sz w:val="22"/>
          <w:szCs w:val="22"/>
          <w:lang w:val="en-US"/>
        </w:rPr>
      </w:pPr>
      <w:r w:rsidRPr="00F65686">
        <w:rPr>
          <w:rFonts w:ascii="Times New Roman" w:hAnsi="Times New Roman"/>
          <w:sz w:val="22"/>
          <w:szCs w:val="22"/>
          <w:lang w:val="en-US"/>
        </w:rPr>
        <w:t>RQ.2</w:t>
      </w:r>
      <w:r w:rsidRPr="00F65686">
        <w:rPr>
          <w:rFonts w:ascii="Times New Roman" w:hAnsi="Times New Roman"/>
          <w:sz w:val="22"/>
          <w:szCs w:val="22"/>
          <w:lang w:val="en-US"/>
        </w:rPr>
        <w:tab/>
      </w:r>
      <w:r w:rsidR="0003429D" w:rsidRPr="00F65686">
        <w:rPr>
          <w:rFonts w:ascii="Times New Roman" w:hAnsi="Times New Roman"/>
          <w:i/>
          <w:sz w:val="22"/>
          <w:szCs w:val="22"/>
          <w:lang w:val="en-US"/>
        </w:rPr>
        <w:t>Does the innovation voucher foster the development of new skills within the firm?</w:t>
      </w:r>
    </w:p>
    <w:p w14:paraId="25420C36" w14:textId="53611347" w:rsidR="0003429D" w:rsidRPr="00F65686" w:rsidRDefault="00D81057" w:rsidP="00F65686">
      <w:pPr>
        <w:pStyle w:val="imported-Free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76" w:lineRule="auto"/>
        <w:jc w:val="both"/>
        <w:rPr>
          <w:rFonts w:ascii="Times New Roman" w:hAnsi="Times New Roman"/>
          <w:sz w:val="22"/>
          <w:szCs w:val="22"/>
          <w:lang w:val="en-GB"/>
        </w:rPr>
      </w:pPr>
      <w:r w:rsidRPr="00F65686">
        <w:rPr>
          <w:rFonts w:ascii="Times New Roman" w:hAnsi="Times New Roman"/>
          <w:i/>
          <w:sz w:val="22"/>
          <w:szCs w:val="22"/>
          <w:lang w:val="en-US"/>
        </w:rPr>
        <w:t>RQ.3</w:t>
      </w:r>
      <w:r w:rsidRPr="00F65686">
        <w:rPr>
          <w:rFonts w:ascii="Times New Roman" w:hAnsi="Times New Roman"/>
          <w:i/>
          <w:sz w:val="22"/>
          <w:szCs w:val="22"/>
          <w:lang w:val="en-US"/>
        </w:rPr>
        <w:tab/>
      </w:r>
      <w:r w:rsidR="0003429D" w:rsidRPr="00F65686">
        <w:rPr>
          <w:rFonts w:ascii="Times New Roman" w:hAnsi="Times New Roman"/>
          <w:i/>
          <w:sz w:val="22"/>
          <w:szCs w:val="22"/>
          <w:lang w:val="en-US"/>
        </w:rPr>
        <w:t>Does the innovation voucher foster the emergence of results not originally anticipated?</w:t>
      </w:r>
    </w:p>
    <w:p w14:paraId="6EA5D763" w14:textId="5FE6FFAA" w:rsidR="00F27F57" w:rsidRPr="00F65686" w:rsidRDefault="00712D96" w:rsidP="00F65686">
      <w:pPr>
        <w:spacing w:after="120"/>
        <w:jc w:val="both"/>
        <w:rPr>
          <w:rFonts w:ascii="Times New Roman" w:hAnsi="Times New Roman"/>
          <w:lang w:val="en-US"/>
        </w:rPr>
      </w:pPr>
      <w:r w:rsidRPr="00F65686">
        <w:rPr>
          <w:rFonts w:ascii="Times New Roman" w:hAnsi="Times New Roman"/>
          <w:lang w:val="en-US"/>
        </w:rPr>
        <w:t>The analyse</w:t>
      </w:r>
      <w:r w:rsidR="00F27F57" w:rsidRPr="00F65686">
        <w:rPr>
          <w:rFonts w:ascii="Times New Roman" w:hAnsi="Times New Roman"/>
          <w:lang w:val="en-US"/>
        </w:rPr>
        <w:t xml:space="preserve">s </w:t>
      </w:r>
      <w:r w:rsidR="008B3805" w:rsidRPr="00F65686">
        <w:rPr>
          <w:rFonts w:ascii="Times New Roman" w:hAnsi="Times New Roman"/>
          <w:lang w:val="en-US"/>
        </w:rPr>
        <w:t xml:space="preserve">reported </w:t>
      </w:r>
      <w:r w:rsidR="00F27F57" w:rsidRPr="00F65686">
        <w:rPr>
          <w:rFonts w:ascii="Times New Roman" w:hAnsi="Times New Roman"/>
          <w:lang w:val="en-US"/>
        </w:rPr>
        <w:t>in this paper aim at providing an empirical answer to each of the three above research questions, thereby capturing three different dimensions of the effectiveness of the innovation voucher.</w:t>
      </w:r>
      <w:r w:rsidR="007A7824" w:rsidRPr="00F65686">
        <w:rPr>
          <w:rFonts w:ascii="Times New Roman" w:hAnsi="Times New Roman"/>
          <w:lang w:val="en-US"/>
        </w:rPr>
        <w:t xml:space="preserve"> Moreover, </w:t>
      </w:r>
      <w:r w:rsidR="00D81057" w:rsidRPr="00F65686">
        <w:rPr>
          <w:rFonts w:ascii="Times New Roman" w:hAnsi="Times New Roman"/>
          <w:lang w:val="en-US"/>
        </w:rPr>
        <w:t>we also address a question relevant to the local nature of the policy assessed:</w:t>
      </w:r>
    </w:p>
    <w:p w14:paraId="3BEAFA7E" w14:textId="106A134A" w:rsidR="00D81057" w:rsidRPr="00F65686" w:rsidRDefault="00D81057" w:rsidP="00F65686">
      <w:pPr>
        <w:spacing w:after="120"/>
        <w:jc w:val="both"/>
        <w:rPr>
          <w:rFonts w:ascii="Times New Roman" w:hAnsi="Times New Roman"/>
          <w:i/>
          <w:lang w:val="en-US"/>
        </w:rPr>
      </w:pPr>
      <w:r w:rsidRPr="00F65686">
        <w:rPr>
          <w:rFonts w:ascii="Times New Roman" w:hAnsi="Times New Roman"/>
          <w:i/>
          <w:lang w:val="en-US"/>
        </w:rPr>
        <w:t>RQ.4</w:t>
      </w:r>
      <w:r w:rsidRPr="00F65686">
        <w:rPr>
          <w:rFonts w:ascii="Times New Roman" w:hAnsi="Times New Roman"/>
          <w:i/>
          <w:lang w:val="en-US"/>
        </w:rPr>
        <w:tab/>
        <w:t>What is the role of geographical, social, and technological proximities in the voucher effect?</w:t>
      </w:r>
    </w:p>
    <w:p w14:paraId="0FB66416" w14:textId="6570A74C" w:rsidR="00D81057" w:rsidRPr="00F65686" w:rsidRDefault="00D81057" w:rsidP="00F65686">
      <w:pPr>
        <w:spacing w:after="120"/>
        <w:ind w:firstLine="284"/>
        <w:jc w:val="both"/>
        <w:rPr>
          <w:rFonts w:ascii="Times New Roman" w:hAnsi="Times New Roman"/>
          <w:lang w:val="en-US"/>
        </w:rPr>
      </w:pPr>
      <w:r w:rsidRPr="00F65686">
        <w:rPr>
          <w:rFonts w:ascii="Times New Roman" w:hAnsi="Times New Roman"/>
          <w:lang w:val="en-US"/>
        </w:rPr>
        <w:t>This fourth question will be dealt with by controlling for local characteristics in driving the impact of the innovation voucher on the three economic outcomes object of RQ.1 through 3.</w:t>
      </w:r>
    </w:p>
    <w:p w14:paraId="6B44E986" w14:textId="4ED02481" w:rsidR="00F27F57" w:rsidRPr="00F65686" w:rsidRDefault="00F27F57" w:rsidP="00F65686">
      <w:pPr>
        <w:spacing w:after="120"/>
        <w:ind w:firstLine="284"/>
        <w:jc w:val="both"/>
        <w:rPr>
          <w:rFonts w:ascii="Times New Roman" w:hAnsi="Times New Roman"/>
          <w:lang w:val="en-US"/>
        </w:rPr>
      </w:pPr>
      <w:r w:rsidRPr="00F65686">
        <w:rPr>
          <w:rFonts w:ascii="Times New Roman" w:hAnsi="Times New Roman"/>
          <w:lang w:val="en-US"/>
        </w:rPr>
        <w:lastRenderedPageBreak/>
        <w:t xml:space="preserve">In </w:t>
      </w:r>
      <w:r w:rsidR="00D81057" w:rsidRPr="00F65686">
        <w:rPr>
          <w:rFonts w:ascii="Times New Roman" w:hAnsi="Times New Roman"/>
          <w:lang w:val="en-US"/>
        </w:rPr>
        <w:t>the next s</w:t>
      </w:r>
      <w:r w:rsidRPr="00F65686">
        <w:rPr>
          <w:rFonts w:ascii="Times New Roman" w:hAnsi="Times New Roman"/>
          <w:lang w:val="en-US"/>
        </w:rPr>
        <w:t>ection</w:t>
      </w:r>
      <w:r w:rsidR="00D81057" w:rsidRPr="00F65686">
        <w:rPr>
          <w:rFonts w:ascii="Times New Roman" w:hAnsi="Times New Roman"/>
          <w:lang w:val="en-US"/>
        </w:rPr>
        <w:t xml:space="preserve"> we first introduce Lombardy’s innovation vouchers (Section 3.1); next (Section 3.2)</w:t>
      </w:r>
      <w:r w:rsidRPr="00F65686">
        <w:rPr>
          <w:rFonts w:ascii="Times New Roman" w:hAnsi="Times New Roman"/>
          <w:lang w:val="en-US"/>
        </w:rPr>
        <w:t xml:space="preserve"> </w:t>
      </w:r>
      <w:r w:rsidR="0003429D" w:rsidRPr="00F65686">
        <w:rPr>
          <w:rFonts w:ascii="Times New Roman" w:hAnsi="Times New Roman"/>
          <w:lang w:val="en-US"/>
        </w:rPr>
        <w:t xml:space="preserve">we introduce </w:t>
      </w:r>
      <w:r w:rsidR="00D81057" w:rsidRPr="00F65686">
        <w:rPr>
          <w:rFonts w:ascii="Times New Roman" w:hAnsi="Times New Roman"/>
          <w:lang w:val="en-US"/>
        </w:rPr>
        <w:t>the research methodology and describe the sample analyzed; lastly, in Section 3.3 we describe our indicators of proximity</w:t>
      </w:r>
      <w:r w:rsidRPr="00F65686">
        <w:rPr>
          <w:rFonts w:ascii="Times New Roman" w:hAnsi="Times New Roman"/>
          <w:lang w:val="en-US"/>
        </w:rPr>
        <w:t>.</w:t>
      </w:r>
    </w:p>
    <w:p w14:paraId="66FD4F92" w14:textId="77777777" w:rsidR="005170A2" w:rsidRPr="00F65686" w:rsidRDefault="005170A2" w:rsidP="00F65686">
      <w:pPr>
        <w:spacing w:after="120"/>
        <w:ind w:firstLine="284"/>
        <w:jc w:val="both"/>
        <w:rPr>
          <w:rFonts w:ascii="Times New Roman" w:hAnsi="Times New Roman"/>
          <w:lang w:val="en-US"/>
        </w:rPr>
      </w:pPr>
    </w:p>
    <w:p w14:paraId="4DBF9D8F" w14:textId="0A763508" w:rsidR="00F27F57" w:rsidRPr="00F65686" w:rsidRDefault="00F6412D" w:rsidP="00F65686">
      <w:pPr>
        <w:pStyle w:val="Titolo1"/>
        <w:spacing w:before="0" w:after="120"/>
        <w:jc w:val="both"/>
        <w:rPr>
          <w:rFonts w:ascii="Times New Roman" w:hAnsi="Times New Roman"/>
          <w:lang w:val="en-US"/>
        </w:rPr>
      </w:pPr>
      <w:r w:rsidRPr="00F65686">
        <w:rPr>
          <w:rFonts w:ascii="Times New Roman" w:hAnsi="Times New Roman"/>
          <w:b w:val="0"/>
          <w:bCs w:val="0"/>
          <w:lang w:val="en-US"/>
        </w:rPr>
        <w:t>3.</w:t>
      </w:r>
      <w:r w:rsidRPr="00F65686">
        <w:rPr>
          <w:rFonts w:ascii="Times New Roman" w:hAnsi="Times New Roman"/>
          <w:lang w:val="en-US"/>
        </w:rPr>
        <w:t xml:space="preserve"> </w:t>
      </w:r>
      <w:r w:rsidR="00F27F57" w:rsidRPr="00F65686">
        <w:rPr>
          <w:rFonts w:ascii="Times New Roman" w:hAnsi="Times New Roman"/>
          <w:lang w:val="en-US"/>
        </w:rPr>
        <w:t>Data and methodology</w:t>
      </w:r>
    </w:p>
    <w:p w14:paraId="0BC15C17" w14:textId="46311575" w:rsidR="00102484" w:rsidRPr="00F65686" w:rsidRDefault="003B7E70" w:rsidP="00F65686">
      <w:pPr>
        <w:pStyle w:val="Titolo3"/>
        <w:jc w:val="both"/>
        <w:rPr>
          <w:rFonts w:ascii="Times New Roman" w:hAnsi="Times New Roman"/>
          <w:lang w:val="en-US"/>
        </w:rPr>
      </w:pPr>
      <w:r w:rsidRPr="00F65686">
        <w:rPr>
          <w:rFonts w:ascii="Times New Roman" w:hAnsi="Times New Roman"/>
          <w:lang w:val="en-US"/>
        </w:rPr>
        <w:t xml:space="preserve">3.1 </w:t>
      </w:r>
      <w:r w:rsidR="00F27F57" w:rsidRPr="00F65686">
        <w:rPr>
          <w:rFonts w:ascii="Times New Roman" w:hAnsi="Times New Roman"/>
          <w:lang w:val="en-US"/>
        </w:rPr>
        <w:t xml:space="preserve">The </w:t>
      </w:r>
      <w:r w:rsidR="00B656EB" w:rsidRPr="00F65686">
        <w:rPr>
          <w:rFonts w:ascii="Times New Roman" w:hAnsi="Times New Roman"/>
          <w:lang w:val="en-US"/>
        </w:rPr>
        <w:t>Lombardy region voucher</w:t>
      </w:r>
      <w:r w:rsidR="00102484" w:rsidRPr="00F65686">
        <w:rPr>
          <w:rFonts w:ascii="Times New Roman" w:hAnsi="Times New Roman"/>
          <w:lang w:val="en-US"/>
        </w:rPr>
        <w:t xml:space="preserve"> program</w:t>
      </w:r>
    </w:p>
    <w:p w14:paraId="5FB49B14" w14:textId="7BA023C6" w:rsidR="00C16B8B" w:rsidRPr="00F65686" w:rsidRDefault="00F27F57" w:rsidP="00F65686">
      <w:pPr>
        <w:spacing w:after="120"/>
        <w:jc w:val="both"/>
        <w:rPr>
          <w:rFonts w:ascii="Times New Roman" w:hAnsi="Times New Roman"/>
          <w:lang w:val="en-US"/>
        </w:rPr>
      </w:pPr>
      <w:r w:rsidRPr="00F65686">
        <w:rPr>
          <w:rFonts w:ascii="Times New Roman" w:hAnsi="Times New Roman"/>
          <w:lang w:val="en-US"/>
        </w:rPr>
        <w:t>In June 2011</w:t>
      </w:r>
      <w:r w:rsidR="00F0144F" w:rsidRPr="00F65686">
        <w:rPr>
          <w:rFonts w:ascii="Times New Roman" w:hAnsi="Times New Roman"/>
          <w:lang w:val="en-US"/>
        </w:rPr>
        <w:t>,</w:t>
      </w:r>
      <w:r w:rsidRPr="00F65686">
        <w:rPr>
          <w:rFonts w:ascii="Times New Roman" w:hAnsi="Times New Roman"/>
          <w:lang w:val="en-US"/>
        </w:rPr>
        <w:t xml:space="preserve"> the Lombardy </w:t>
      </w:r>
      <w:r w:rsidR="003E3C50" w:rsidRPr="00F65686">
        <w:rPr>
          <w:rFonts w:ascii="Times New Roman" w:hAnsi="Times New Roman"/>
          <w:lang w:val="en-US"/>
        </w:rPr>
        <w:t>r</w:t>
      </w:r>
      <w:r w:rsidRPr="00F65686">
        <w:rPr>
          <w:rFonts w:ascii="Times New Roman" w:hAnsi="Times New Roman"/>
          <w:lang w:val="en-US"/>
        </w:rPr>
        <w:t xml:space="preserve">egional </w:t>
      </w:r>
      <w:r w:rsidR="003E3C50" w:rsidRPr="00F65686">
        <w:rPr>
          <w:rFonts w:ascii="Times New Roman" w:hAnsi="Times New Roman"/>
          <w:lang w:val="en-US"/>
        </w:rPr>
        <w:t>a</w:t>
      </w:r>
      <w:r w:rsidRPr="00F65686">
        <w:rPr>
          <w:rFonts w:ascii="Times New Roman" w:hAnsi="Times New Roman"/>
          <w:lang w:val="en-US"/>
        </w:rPr>
        <w:t xml:space="preserve">uthority </w:t>
      </w:r>
      <w:r w:rsidR="00F0144F" w:rsidRPr="00F65686">
        <w:rPr>
          <w:rFonts w:ascii="Times New Roman" w:hAnsi="Times New Roman"/>
          <w:lang w:val="en-US"/>
        </w:rPr>
        <w:t>opened</w:t>
      </w:r>
      <w:r w:rsidRPr="00F65686">
        <w:rPr>
          <w:rFonts w:ascii="Times New Roman" w:hAnsi="Times New Roman"/>
          <w:lang w:val="en-US"/>
        </w:rPr>
        <w:t xml:space="preserve"> a call for </w:t>
      </w:r>
      <w:r w:rsidRPr="00F65686">
        <w:rPr>
          <w:rFonts w:ascii="Times New Roman" w:hAnsi="Times New Roman"/>
          <w:i/>
          <w:lang w:val="en-US"/>
        </w:rPr>
        <w:t>Vouchers for research and innovation</w:t>
      </w:r>
      <w:r w:rsidR="00D81057" w:rsidRPr="00F65686">
        <w:rPr>
          <w:rFonts w:ascii="Times New Roman" w:hAnsi="Times New Roman"/>
          <w:lang w:val="en-US"/>
        </w:rPr>
        <w:t>; the call was m</w:t>
      </w:r>
      <w:r w:rsidR="00F0144F" w:rsidRPr="00F65686">
        <w:rPr>
          <w:rFonts w:ascii="Times New Roman" w:hAnsi="Times New Roman"/>
          <w:lang w:val="en-US"/>
        </w:rPr>
        <w:t xml:space="preserve">anaged by the Chambers of </w:t>
      </w:r>
      <w:r w:rsidR="003B7E70" w:rsidRPr="00F65686">
        <w:rPr>
          <w:rFonts w:ascii="Times New Roman" w:hAnsi="Times New Roman"/>
          <w:lang w:val="en-US"/>
        </w:rPr>
        <w:t>Commerce. T</w:t>
      </w:r>
      <w:r w:rsidRPr="00F65686">
        <w:rPr>
          <w:rFonts w:ascii="Times New Roman" w:hAnsi="Times New Roman"/>
          <w:lang w:val="en-US"/>
        </w:rPr>
        <w:t xml:space="preserve">he goal </w:t>
      </w:r>
      <w:r w:rsidR="00C16B8B" w:rsidRPr="00F65686">
        <w:rPr>
          <w:rFonts w:ascii="Times New Roman" w:hAnsi="Times New Roman"/>
          <w:lang w:val="en-US"/>
        </w:rPr>
        <w:t xml:space="preserve">of this scheme </w:t>
      </w:r>
      <w:r w:rsidR="00A9479A" w:rsidRPr="00F65686">
        <w:rPr>
          <w:rFonts w:ascii="Times New Roman" w:hAnsi="Times New Roman"/>
          <w:lang w:val="en-US"/>
        </w:rPr>
        <w:t xml:space="preserve">was to increase SMEs innovativeness through </w:t>
      </w:r>
      <w:r w:rsidR="00F0144F" w:rsidRPr="00F65686">
        <w:rPr>
          <w:rFonts w:ascii="Times New Roman" w:hAnsi="Times New Roman"/>
          <w:lang w:val="en-US"/>
        </w:rPr>
        <w:t xml:space="preserve">collaboration with </w:t>
      </w:r>
      <w:r w:rsidR="00F145A5" w:rsidRPr="00F65686">
        <w:rPr>
          <w:rFonts w:ascii="Times New Roman" w:hAnsi="Times New Roman"/>
          <w:lang w:val="en-US"/>
        </w:rPr>
        <w:t>knowledge-</w:t>
      </w:r>
      <w:r w:rsidR="00F0144F" w:rsidRPr="00F65686">
        <w:rPr>
          <w:rFonts w:ascii="Times New Roman" w:hAnsi="Times New Roman"/>
          <w:lang w:val="en-US"/>
        </w:rPr>
        <w:t xml:space="preserve">intensive firms. </w:t>
      </w:r>
      <w:r w:rsidR="004032BA" w:rsidRPr="00F65686">
        <w:rPr>
          <w:rFonts w:ascii="Times New Roman" w:hAnsi="Times New Roman"/>
          <w:lang w:val="en-US"/>
        </w:rPr>
        <w:t xml:space="preserve">Consistently with the </w:t>
      </w:r>
      <w:r w:rsidR="000457A4" w:rsidRPr="00F65686">
        <w:rPr>
          <w:rFonts w:ascii="Times New Roman" w:hAnsi="Times New Roman"/>
          <w:lang w:val="en-US"/>
        </w:rPr>
        <w:t xml:space="preserve">regional </w:t>
      </w:r>
      <w:r w:rsidR="004032BA" w:rsidRPr="00F65686">
        <w:rPr>
          <w:rFonts w:ascii="Times New Roman" w:hAnsi="Times New Roman"/>
          <w:lang w:val="en-US"/>
        </w:rPr>
        <w:t xml:space="preserve">innovation system theoretical framework (Cooke et al., 1997), </w:t>
      </w:r>
      <w:r w:rsidRPr="00F65686">
        <w:rPr>
          <w:rFonts w:ascii="Times New Roman" w:hAnsi="Times New Roman"/>
          <w:lang w:val="en-US"/>
        </w:rPr>
        <w:t xml:space="preserve">Lombardy </w:t>
      </w:r>
      <w:r w:rsidR="00C16B8B" w:rsidRPr="00F65686">
        <w:rPr>
          <w:rFonts w:ascii="Times New Roman" w:hAnsi="Times New Roman"/>
          <w:lang w:val="en-US"/>
        </w:rPr>
        <w:t>policy-makers</w:t>
      </w:r>
      <w:r w:rsidRPr="00F65686">
        <w:rPr>
          <w:rFonts w:ascii="Times New Roman" w:hAnsi="Times New Roman"/>
          <w:lang w:val="en-US"/>
        </w:rPr>
        <w:t xml:space="preserve"> </w:t>
      </w:r>
      <w:r w:rsidR="009B1A51" w:rsidRPr="00F65686">
        <w:rPr>
          <w:rFonts w:ascii="Times New Roman" w:hAnsi="Times New Roman"/>
          <w:lang w:val="en-US"/>
        </w:rPr>
        <w:t>aimed at</w:t>
      </w:r>
      <w:r w:rsidRPr="00F65686">
        <w:rPr>
          <w:rFonts w:ascii="Times New Roman" w:hAnsi="Times New Roman"/>
          <w:lang w:val="en-US"/>
        </w:rPr>
        <w:t xml:space="preserve"> strengthen</w:t>
      </w:r>
      <w:r w:rsidR="009B1A51" w:rsidRPr="00F65686">
        <w:rPr>
          <w:rFonts w:ascii="Times New Roman" w:hAnsi="Times New Roman"/>
          <w:lang w:val="en-US"/>
        </w:rPr>
        <w:t>ing</w:t>
      </w:r>
      <w:r w:rsidRPr="00F65686">
        <w:rPr>
          <w:rFonts w:ascii="Times New Roman" w:hAnsi="Times New Roman"/>
          <w:lang w:val="en-US"/>
        </w:rPr>
        <w:t xml:space="preserve"> </w:t>
      </w:r>
      <w:r w:rsidR="00C16B8B" w:rsidRPr="00F65686">
        <w:rPr>
          <w:rFonts w:ascii="Times New Roman" w:hAnsi="Times New Roman"/>
          <w:lang w:val="en-US"/>
        </w:rPr>
        <w:t xml:space="preserve">regional </w:t>
      </w:r>
      <w:r w:rsidR="000457A4" w:rsidRPr="00F65686">
        <w:rPr>
          <w:rFonts w:ascii="Times New Roman" w:hAnsi="Times New Roman"/>
          <w:lang w:val="en-US"/>
        </w:rPr>
        <w:t>competitiveness</w:t>
      </w:r>
      <w:r w:rsidR="00C16B8B" w:rsidRPr="00F65686">
        <w:rPr>
          <w:rFonts w:ascii="Times New Roman" w:hAnsi="Times New Roman"/>
          <w:lang w:val="en-US"/>
        </w:rPr>
        <w:t xml:space="preserve"> by actively involving </w:t>
      </w:r>
      <w:r w:rsidRPr="00F65686">
        <w:rPr>
          <w:rFonts w:ascii="Times New Roman" w:hAnsi="Times New Roman"/>
          <w:lang w:val="en-US"/>
        </w:rPr>
        <w:t>firms, universit</w:t>
      </w:r>
      <w:r w:rsidR="00C16B8B" w:rsidRPr="00F65686">
        <w:rPr>
          <w:rFonts w:ascii="Times New Roman" w:hAnsi="Times New Roman"/>
          <w:lang w:val="en-US"/>
        </w:rPr>
        <w:t>ies, research centers and other</w:t>
      </w:r>
      <w:r w:rsidRPr="00F65686">
        <w:rPr>
          <w:rFonts w:ascii="Times New Roman" w:hAnsi="Times New Roman"/>
          <w:lang w:val="en-US"/>
        </w:rPr>
        <w:t xml:space="preserve"> institutions in the implementation of innovative processes.</w:t>
      </w:r>
    </w:p>
    <w:p w14:paraId="01026A43" w14:textId="348AB9AC" w:rsidR="00F27F57" w:rsidRPr="00F65686" w:rsidRDefault="009B1A51" w:rsidP="00F65686">
      <w:pPr>
        <w:spacing w:after="120"/>
        <w:jc w:val="both"/>
        <w:rPr>
          <w:rFonts w:ascii="Times New Roman" w:hAnsi="Times New Roman"/>
          <w:lang w:val="en-US"/>
        </w:rPr>
      </w:pPr>
      <w:r w:rsidRPr="00F65686">
        <w:rPr>
          <w:rFonts w:ascii="Times New Roman" w:hAnsi="Times New Roman"/>
          <w:lang w:val="en-US"/>
        </w:rPr>
        <w:t>With a total budget of eight million euros, the</w:t>
      </w:r>
      <w:r w:rsidR="00537105" w:rsidRPr="00F65686">
        <w:rPr>
          <w:rFonts w:ascii="Times New Roman" w:hAnsi="Times New Roman"/>
          <w:lang w:val="en-US"/>
        </w:rPr>
        <w:t xml:space="preserve"> scheme f</w:t>
      </w:r>
      <w:r w:rsidRPr="00F65686">
        <w:rPr>
          <w:rFonts w:ascii="Times New Roman" w:hAnsi="Times New Roman"/>
          <w:lang w:val="en-US"/>
        </w:rPr>
        <w:t>unded a wide range of technical and advisory services</w:t>
      </w:r>
      <w:r w:rsidR="003E3C50" w:rsidRPr="00F65686">
        <w:rPr>
          <w:rFonts w:ascii="Times New Roman" w:hAnsi="Times New Roman"/>
          <w:lang w:val="en-US"/>
        </w:rPr>
        <w:t>:</w:t>
      </w:r>
      <w:r w:rsidRPr="00F65686">
        <w:rPr>
          <w:rFonts w:ascii="Times New Roman" w:hAnsi="Times New Roman"/>
          <w:lang w:val="en-US"/>
        </w:rPr>
        <w:t xml:space="preserve"> technology audits, </w:t>
      </w:r>
      <w:r w:rsidR="00537105" w:rsidRPr="00F65686">
        <w:rPr>
          <w:rFonts w:ascii="Times New Roman" w:hAnsi="Times New Roman"/>
          <w:lang w:val="en-US"/>
        </w:rPr>
        <w:t xml:space="preserve">new </w:t>
      </w:r>
      <w:r w:rsidR="00F27F57" w:rsidRPr="00F65686">
        <w:rPr>
          <w:rFonts w:ascii="Times New Roman" w:hAnsi="Times New Roman"/>
          <w:lang w:val="en-US"/>
        </w:rPr>
        <w:t xml:space="preserve">product/process </w:t>
      </w:r>
      <w:r w:rsidRPr="00F65686">
        <w:rPr>
          <w:rFonts w:ascii="Times New Roman" w:hAnsi="Times New Roman"/>
          <w:lang w:val="en-US"/>
        </w:rPr>
        <w:t xml:space="preserve">development, participation </w:t>
      </w:r>
      <w:r w:rsidR="00F145A5" w:rsidRPr="00F65686">
        <w:rPr>
          <w:rFonts w:ascii="Times New Roman" w:hAnsi="Times New Roman"/>
          <w:lang w:val="en-US"/>
        </w:rPr>
        <w:t xml:space="preserve">in </w:t>
      </w:r>
      <w:r w:rsidR="00F27F57" w:rsidRPr="00F65686">
        <w:rPr>
          <w:rFonts w:ascii="Times New Roman" w:hAnsi="Times New Roman"/>
          <w:lang w:val="en-US"/>
        </w:rPr>
        <w:t xml:space="preserve">European </w:t>
      </w:r>
      <w:r w:rsidRPr="00F65686">
        <w:rPr>
          <w:rFonts w:ascii="Times New Roman" w:hAnsi="Times New Roman"/>
          <w:lang w:val="en-US"/>
        </w:rPr>
        <w:t xml:space="preserve">collaborative </w:t>
      </w:r>
      <w:r w:rsidR="00F27F57" w:rsidRPr="00F65686">
        <w:rPr>
          <w:rFonts w:ascii="Times New Roman" w:hAnsi="Times New Roman"/>
          <w:lang w:val="en-US"/>
        </w:rPr>
        <w:t xml:space="preserve">research programs, </w:t>
      </w:r>
      <w:r w:rsidR="00537105" w:rsidRPr="00F65686">
        <w:rPr>
          <w:rFonts w:ascii="Times New Roman" w:hAnsi="Times New Roman"/>
          <w:lang w:val="en-US"/>
        </w:rPr>
        <w:t xml:space="preserve">business planning for startups and </w:t>
      </w:r>
      <w:r w:rsidRPr="00F65686">
        <w:rPr>
          <w:rFonts w:ascii="Times New Roman" w:hAnsi="Times New Roman"/>
          <w:lang w:val="en-US"/>
        </w:rPr>
        <w:t xml:space="preserve">hiring of </w:t>
      </w:r>
      <w:r w:rsidR="00F27F57" w:rsidRPr="00F65686">
        <w:rPr>
          <w:rFonts w:ascii="Times New Roman" w:hAnsi="Times New Roman"/>
          <w:lang w:val="en-US"/>
        </w:rPr>
        <w:t xml:space="preserve">innovation </w:t>
      </w:r>
      <w:r w:rsidRPr="00F65686">
        <w:rPr>
          <w:rFonts w:ascii="Times New Roman" w:hAnsi="Times New Roman"/>
          <w:lang w:val="en-US"/>
        </w:rPr>
        <w:t>personnel</w:t>
      </w:r>
      <w:r w:rsidR="00F27F57" w:rsidRPr="00F65686">
        <w:rPr>
          <w:rFonts w:ascii="Times New Roman" w:hAnsi="Times New Roman"/>
          <w:lang w:val="en-US"/>
        </w:rPr>
        <w:t xml:space="preserve"> (Regione Lombardia, 2011).</w:t>
      </w:r>
    </w:p>
    <w:p w14:paraId="40C0634D" w14:textId="68A6C4F5" w:rsidR="00F27F57" w:rsidRPr="00F65686" w:rsidRDefault="00F27F57" w:rsidP="00F65686">
      <w:pPr>
        <w:pStyle w:val="Didascalia"/>
        <w:keepNext/>
        <w:spacing w:after="120" w:line="276" w:lineRule="auto"/>
        <w:jc w:val="both"/>
        <w:rPr>
          <w:rFonts w:ascii="Times New Roman" w:hAnsi="Times New Roman"/>
          <w:sz w:val="20"/>
          <w:szCs w:val="20"/>
          <w:lang w:val="en-US"/>
        </w:rPr>
      </w:pPr>
      <w:r w:rsidRPr="00F65686">
        <w:rPr>
          <w:rFonts w:ascii="Times New Roman" w:hAnsi="Times New Roman"/>
          <w:sz w:val="20"/>
          <w:szCs w:val="20"/>
          <w:lang w:val="en-US"/>
        </w:rPr>
        <w:t xml:space="preserve">Table </w:t>
      </w:r>
      <w:r w:rsidR="009B1A51" w:rsidRPr="00F65686">
        <w:rPr>
          <w:rFonts w:ascii="Times New Roman" w:hAnsi="Times New Roman"/>
          <w:sz w:val="20"/>
          <w:szCs w:val="20"/>
          <w:lang w:val="en-US"/>
        </w:rPr>
        <w:t>1</w:t>
      </w:r>
      <w:r w:rsidRPr="00F65686">
        <w:rPr>
          <w:rFonts w:ascii="Times New Roman" w:hAnsi="Times New Roman"/>
          <w:sz w:val="20"/>
          <w:szCs w:val="20"/>
          <w:lang w:val="en-US"/>
        </w:rPr>
        <w:t xml:space="preserve">. Types of </w:t>
      </w:r>
      <w:r w:rsidR="003E3C50" w:rsidRPr="00F65686">
        <w:rPr>
          <w:rFonts w:ascii="Times New Roman" w:hAnsi="Times New Roman"/>
          <w:sz w:val="20"/>
          <w:szCs w:val="20"/>
          <w:lang w:val="en-US"/>
        </w:rPr>
        <w:t>v</w:t>
      </w:r>
      <w:r w:rsidRPr="00F65686">
        <w:rPr>
          <w:rFonts w:ascii="Times New Roman" w:hAnsi="Times New Roman"/>
          <w:sz w:val="20"/>
          <w:szCs w:val="20"/>
          <w:lang w:val="en-US"/>
        </w:rPr>
        <w:t xml:space="preserve">oucher, </w:t>
      </w:r>
      <w:r w:rsidR="003E3C50" w:rsidRPr="00F65686">
        <w:rPr>
          <w:rFonts w:ascii="Times New Roman" w:hAnsi="Times New Roman"/>
          <w:sz w:val="20"/>
          <w:szCs w:val="20"/>
          <w:lang w:val="en-US"/>
        </w:rPr>
        <w:t>amounts</w:t>
      </w:r>
      <w:r w:rsidRPr="00F65686">
        <w:rPr>
          <w:rFonts w:ascii="Times New Roman" w:hAnsi="Times New Roman"/>
          <w:sz w:val="20"/>
          <w:szCs w:val="20"/>
          <w:lang w:val="en-US"/>
        </w:rPr>
        <w:t xml:space="preserve"> of funds </w:t>
      </w:r>
      <w:r w:rsidR="003E3C50" w:rsidRPr="00F65686">
        <w:rPr>
          <w:rFonts w:ascii="Times New Roman" w:hAnsi="Times New Roman"/>
          <w:sz w:val="20"/>
          <w:szCs w:val="20"/>
          <w:lang w:val="en-US"/>
        </w:rPr>
        <w:t>granted</w:t>
      </w:r>
      <w:r w:rsidR="003B57DD" w:rsidRPr="00F65686">
        <w:rPr>
          <w:rFonts w:ascii="Times New Roman" w:hAnsi="Times New Roman"/>
          <w:sz w:val="20"/>
          <w:szCs w:val="20"/>
          <w:lang w:val="en-US"/>
        </w:rPr>
        <w:t>,</w:t>
      </w:r>
      <w:r w:rsidR="003E3C50" w:rsidRPr="00F65686">
        <w:rPr>
          <w:rFonts w:ascii="Times New Roman" w:hAnsi="Times New Roman"/>
          <w:sz w:val="20"/>
          <w:szCs w:val="20"/>
          <w:lang w:val="en-US"/>
        </w:rPr>
        <w:t xml:space="preserve"> </w:t>
      </w:r>
      <w:r w:rsidRPr="00F65686">
        <w:rPr>
          <w:rFonts w:ascii="Times New Roman" w:hAnsi="Times New Roman"/>
          <w:sz w:val="20"/>
          <w:szCs w:val="20"/>
          <w:lang w:val="en-US"/>
        </w:rPr>
        <w:t>and number of firms surveyed</w:t>
      </w:r>
    </w:p>
    <w:tbl>
      <w:tblPr>
        <w:tblW w:w="9854" w:type="dxa"/>
        <w:tblBorders>
          <w:top w:val="single" w:sz="8" w:space="0" w:color="4F81BD"/>
          <w:bottom w:val="single" w:sz="8" w:space="0" w:color="4F81BD"/>
        </w:tblBorders>
        <w:tblLook w:val="00A0" w:firstRow="1" w:lastRow="0" w:firstColumn="1" w:lastColumn="0" w:noHBand="0" w:noVBand="0"/>
      </w:tblPr>
      <w:tblGrid>
        <w:gridCol w:w="842"/>
        <w:gridCol w:w="2840"/>
        <w:gridCol w:w="1575"/>
        <w:gridCol w:w="1797"/>
        <w:gridCol w:w="1843"/>
        <w:gridCol w:w="957"/>
      </w:tblGrid>
      <w:tr w:rsidR="00F27F57" w:rsidRPr="00F65686" w14:paraId="75F7764F" w14:textId="77777777" w:rsidTr="00AE7EA4">
        <w:trPr>
          <w:trHeight w:val="780"/>
        </w:trPr>
        <w:tc>
          <w:tcPr>
            <w:tcW w:w="842" w:type="dxa"/>
            <w:tcBorders>
              <w:top w:val="single" w:sz="8" w:space="0" w:color="4F81BD"/>
              <w:left w:val="nil"/>
              <w:bottom w:val="single" w:sz="8" w:space="0" w:color="4F81BD"/>
              <w:right w:val="nil"/>
            </w:tcBorders>
            <w:vAlign w:val="center"/>
          </w:tcPr>
          <w:p w14:paraId="2FAE6275" w14:textId="77777777" w:rsidR="00F27F57" w:rsidRPr="00F65686" w:rsidRDefault="00F27F57" w:rsidP="00F65686">
            <w:pPr>
              <w:spacing w:after="120"/>
              <w:jc w:val="both"/>
              <w:rPr>
                <w:rFonts w:ascii="Times New Roman" w:hAnsi="Times New Roman"/>
                <w:b/>
                <w:bCs/>
                <w:color w:val="365F91"/>
                <w:sz w:val="20"/>
                <w:szCs w:val="20"/>
              </w:rPr>
            </w:pPr>
            <w:r w:rsidRPr="00F65686">
              <w:rPr>
                <w:rFonts w:ascii="Times New Roman" w:hAnsi="Times New Roman"/>
                <w:b/>
                <w:bCs/>
                <w:color w:val="365F91"/>
                <w:sz w:val="20"/>
                <w:szCs w:val="20"/>
              </w:rPr>
              <w:t>Action</w:t>
            </w:r>
          </w:p>
        </w:tc>
        <w:tc>
          <w:tcPr>
            <w:tcW w:w="2840" w:type="dxa"/>
            <w:tcBorders>
              <w:top w:val="single" w:sz="8" w:space="0" w:color="4F81BD"/>
              <w:left w:val="nil"/>
              <w:bottom w:val="single" w:sz="8" w:space="0" w:color="4F81BD"/>
              <w:right w:val="nil"/>
            </w:tcBorders>
            <w:vAlign w:val="center"/>
          </w:tcPr>
          <w:p w14:paraId="5003E20B" w14:textId="77777777" w:rsidR="00F27F57" w:rsidRPr="00F65686" w:rsidRDefault="00F27F57" w:rsidP="00F65686">
            <w:pPr>
              <w:spacing w:after="120"/>
              <w:jc w:val="both"/>
              <w:rPr>
                <w:rFonts w:ascii="Times New Roman" w:hAnsi="Times New Roman"/>
                <w:b/>
                <w:bCs/>
                <w:color w:val="365F91"/>
                <w:sz w:val="20"/>
                <w:szCs w:val="20"/>
              </w:rPr>
            </w:pPr>
            <w:r w:rsidRPr="00F65686">
              <w:rPr>
                <w:rFonts w:ascii="Times New Roman" w:hAnsi="Times New Roman"/>
                <w:b/>
                <w:bCs/>
                <w:color w:val="365F91"/>
                <w:sz w:val="20"/>
                <w:szCs w:val="20"/>
              </w:rPr>
              <w:t>Type of support</w:t>
            </w:r>
          </w:p>
        </w:tc>
        <w:tc>
          <w:tcPr>
            <w:tcW w:w="1575" w:type="dxa"/>
            <w:tcBorders>
              <w:top w:val="single" w:sz="8" w:space="0" w:color="4F81BD"/>
              <w:left w:val="nil"/>
              <w:bottom w:val="single" w:sz="8" w:space="0" w:color="4F81BD"/>
              <w:right w:val="nil"/>
            </w:tcBorders>
            <w:vAlign w:val="center"/>
          </w:tcPr>
          <w:p w14:paraId="40039B09" w14:textId="7A861EF4" w:rsidR="00F27F57" w:rsidRPr="00F65686" w:rsidRDefault="009B1A51" w:rsidP="00F65686">
            <w:pPr>
              <w:spacing w:after="120"/>
              <w:jc w:val="both"/>
              <w:rPr>
                <w:rFonts w:ascii="Times New Roman" w:hAnsi="Times New Roman"/>
                <w:b/>
                <w:bCs/>
                <w:color w:val="365F91"/>
                <w:sz w:val="20"/>
                <w:szCs w:val="20"/>
              </w:rPr>
            </w:pPr>
            <w:r w:rsidRPr="00F65686">
              <w:rPr>
                <w:rFonts w:ascii="Times New Roman" w:hAnsi="Times New Roman"/>
                <w:b/>
                <w:bCs/>
                <w:color w:val="365F91"/>
                <w:sz w:val="20"/>
                <w:szCs w:val="20"/>
              </w:rPr>
              <w:t>Minimum investment</w:t>
            </w:r>
          </w:p>
        </w:tc>
        <w:tc>
          <w:tcPr>
            <w:tcW w:w="1797" w:type="dxa"/>
            <w:tcBorders>
              <w:top w:val="single" w:sz="8" w:space="0" w:color="4F81BD"/>
              <w:left w:val="nil"/>
              <w:bottom w:val="single" w:sz="8" w:space="0" w:color="4F81BD"/>
              <w:right w:val="nil"/>
            </w:tcBorders>
            <w:vAlign w:val="center"/>
          </w:tcPr>
          <w:p w14:paraId="655F7658" w14:textId="77777777" w:rsidR="00F27F57" w:rsidRPr="00F65686" w:rsidRDefault="00F27F57" w:rsidP="00F65686">
            <w:pPr>
              <w:spacing w:after="120"/>
              <w:jc w:val="both"/>
              <w:rPr>
                <w:rFonts w:ascii="Times New Roman" w:hAnsi="Times New Roman"/>
                <w:b/>
                <w:bCs/>
                <w:color w:val="365F91"/>
                <w:sz w:val="20"/>
                <w:szCs w:val="20"/>
              </w:rPr>
            </w:pPr>
            <w:r w:rsidRPr="00F65686">
              <w:rPr>
                <w:rFonts w:ascii="Times New Roman" w:hAnsi="Times New Roman"/>
                <w:b/>
                <w:bCs/>
                <w:color w:val="365F91"/>
                <w:sz w:val="20"/>
                <w:szCs w:val="20"/>
              </w:rPr>
              <w:t xml:space="preserve">Maximum </w:t>
            </w:r>
            <w:r w:rsidR="002213E6" w:rsidRPr="00F65686">
              <w:rPr>
                <w:rFonts w:ascii="Times New Roman" w:hAnsi="Times New Roman"/>
                <w:b/>
                <w:bCs/>
                <w:color w:val="365F91"/>
                <w:sz w:val="20"/>
                <w:szCs w:val="20"/>
              </w:rPr>
              <w:t xml:space="preserve">public </w:t>
            </w:r>
            <w:r w:rsidRPr="00F65686">
              <w:rPr>
                <w:rFonts w:ascii="Times New Roman" w:hAnsi="Times New Roman"/>
                <w:b/>
                <w:bCs/>
                <w:color w:val="365F91"/>
                <w:sz w:val="20"/>
                <w:szCs w:val="20"/>
              </w:rPr>
              <w:t>contribution</w:t>
            </w:r>
          </w:p>
        </w:tc>
        <w:tc>
          <w:tcPr>
            <w:tcW w:w="1843" w:type="dxa"/>
            <w:tcBorders>
              <w:top w:val="single" w:sz="8" w:space="0" w:color="4F81BD"/>
              <w:left w:val="nil"/>
              <w:bottom w:val="single" w:sz="8" w:space="0" w:color="4F81BD"/>
              <w:right w:val="nil"/>
            </w:tcBorders>
            <w:vAlign w:val="center"/>
          </w:tcPr>
          <w:p w14:paraId="1A4BF227" w14:textId="77777777" w:rsidR="00F27F57" w:rsidRPr="00F65686" w:rsidRDefault="00F27F57" w:rsidP="00F65686">
            <w:pPr>
              <w:spacing w:after="120"/>
              <w:jc w:val="both"/>
              <w:rPr>
                <w:rFonts w:ascii="Times New Roman" w:hAnsi="Times New Roman"/>
                <w:b/>
                <w:bCs/>
                <w:color w:val="365F91"/>
                <w:sz w:val="20"/>
                <w:szCs w:val="20"/>
                <w:lang w:val="en-US"/>
              </w:rPr>
            </w:pPr>
            <w:r w:rsidRPr="00F65686">
              <w:rPr>
                <w:rFonts w:ascii="Times New Roman" w:hAnsi="Times New Roman"/>
                <w:b/>
                <w:bCs/>
                <w:color w:val="365F91"/>
                <w:sz w:val="20"/>
                <w:szCs w:val="20"/>
                <w:lang w:val="en-US"/>
              </w:rPr>
              <w:t>Number of beneficiaries</w:t>
            </w:r>
          </w:p>
        </w:tc>
        <w:tc>
          <w:tcPr>
            <w:tcW w:w="957" w:type="dxa"/>
            <w:tcBorders>
              <w:top w:val="single" w:sz="8" w:space="0" w:color="4F81BD"/>
              <w:left w:val="nil"/>
              <w:bottom w:val="single" w:sz="8" w:space="0" w:color="4F81BD"/>
              <w:right w:val="nil"/>
            </w:tcBorders>
            <w:vAlign w:val="center"/>
          </w:tcPr>
          <w:p w14:paraId="6E957006" w14:textId="73395DF2" w:rsidR="00F27F57" w:rsidRPr="00F65686" w:rsidRDefault="00F27F57" w:rsidP="00F65686">
            <w:pPr>
              <w:spacing w:after="120"/>
              <w:jc w:val="both"/>
              <w:rPr>
                <w:rFonts w:ascii="Times New Roman" w:hAnsi="Times New Roman"/>
                <w:b/>
                <w:bCs/>
                <w:color w:val="365F91"/>
                <w:sz w:val="20"/>
                <w:szCs w:val="20"/>
                <w:lang w:val="en-US"/>
              </w:rPr>
            </w:pPr>
            <w:r w:rsidRPr="00F65686">
              <w:rPr>
                <w:rFonts w:ascii="Times New Roman" w:hAnsi="Times New Roman"/>
                <w:b/>
                <w:bCs/>
                <w:color w:val="365F91"/>
                <w:sz w:val="20"/>
                <w:szCs w:val="20"/>
                <w:lang w:val="en-US"/>
              </w:rPr>
              <w:t>%</w:t>
            </w:r>
            <w:r w:rsidR="00537105" w:rsidRPr="00F65686">
              <w:rPr>
                <w:rFonts w:ascii="Times New Roman" w:hAnsi="Times New Roman"/>
                <w:b/>
                <w:bCs/>
                <w:color w:val="365F91"/>
                <w:sz w:val="20"/>
                <w:szCs w:val="20"/>
                <w:lang w:val="en-US"/>
              </w:rPr>
              <w:t xml:space="preserve"> of the sample</w:t>
            </w:r>
          </w:p>
        </w:tc>
      </w:tr>
      <w:tr w:rsidR="00F27F57" w:rsidRPr="00F65686" w14:paraId="1D8649E7" w14:textId="77777777" w:rsidTr="00AE7EA4">
        <w:trPr>
          <w:trHeight w:val="270"/>
        </w:trPr>
        <w:tc>
          <w:tcPr>
            <w:tcW w:w="842" w:type="dxa"/>
            <w:tcBorders>
              <w:left w:val="nil"/>
              <w:right w:val="nil"/>
            </w:tcBorders>
            <w:shd w:val="clear" w:color="auto" w:fill="D3DFEE"/>
            <w:vAlign w:val="center"/>
          </w:tcPr>
          <w:p w14:paraId="3182B6B3" w14:textId="77777777" w:rsidR="00F27F57" w:rsidRPr="00F65686" w:rsidRDefault="00F27F57" w:rsidP="00F65686">
            <w:pPr>
              <w:spacing w:after="120"/>
              <w:jc w:val="both"/>
              <w:rPr>
                <w:rFonts w:ascii="Times New Roman" w:hAnsi="Times New Roman"/>
                <w:b/>
                <w:bCs/>
                <w:color w:val="365F91"/>
                <w:sz w:val="20"/>
                <w:szCs w:val="20"/>
              </w:rPr>
            </w:pPr>
            <w:r w:rsidRPr="00F65686">
              <w:rPr>
                <w:rFonts w:ascii="Times New Roman" w:hAnsi="Times New Roman"/>
                <w:b/>
                <w:bCs/>
                <w:color w:val="365F91"/>
                <w:sz w:val="20"/>
                <w:szCs w:val="20"/>
              </w:rPr>
              <w:t>A1</w:t>
            </w:r>
          </w:p>
        </w:tc>
        <w:tc>
          <w:tcPr>
            <w:tcW w:w="2840" w:type="dxa"/>
            <w:tcBorders>
              <w:left w:val="nil"/>
              <w:right w:val="nil"/>
            </w:tcBorders>
            <w:shd w:val="clear" w:color="auto" w:fill="D3DFEE"/>
            <w:vAlign w:val="center"/>
          </w:tcPr>
          <w:p w14:paraId="7EA7D08F" w14:textId="77777777" w:rsidR="00F27F57" w:rsidRPr="00F65686" w:rsidRDefault="00F27F57" w:rsidP="00F65686">
            <w:pPr>
              <w:spacing w:after="120"/>
              <w:jc w:val="both"/>
              <w:rPr>
                <w:rFonts w:ascii="Times New Roman" w:hAnsi="Times New Roman"/>
                <w:color w:val="365F91"/>
                <w:sz w:val="20"/>
                <w:szCs w:val="20"/>
                <w:lang w:val="en-US"/>
              </w:rPr>
            </w:pPr>
            <w:r w:rsidRPr="00F65686">
              <w:rPr>
                <w:rFonts w:ascii="Times New Roman" w:hAnsi="Times New Roman"/>
                <w:color w:val="365F91"/>
                <w:sz w:val="20"/>
                <w:szCs w:val="20"/>
                <w:lang w:val="en-US"/>
              </w:rPr>
              <w:t>Detection of areas of technological improvement</w:t>
            </w:r>
          </w:p>
        </w:tc>
        <w:tc>
          <w:tcPr>
            <w:tcW w:w="1575" w:type="dxa"/>
            <w:tcBorders>
              <w:left w:val="nil"/>
              <w:right w:val="nil"/>
            </w:tcBorders>
            <w:shd w:val="clear" w:color="auto" w:fill="D3DFEE"/>
            <w:vAlign w:val="center"/>
          </w:tcPr>
          <w:p w14:paraId="06F8EE7F" w14:textId="77777777" w:rsidR="00F27F57" w:rsidRPr="00F65686" w:rsidRDefault="003E3C50"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w:t>
            </w:r>
            <w:r w:rsidR="00F27F57" w:rsidRPr="00F65686">
              <w:rPr>
                <w:rFonts w:ascii="Times New Roman" w:hAnsi="Times New Roman"/>
                <w:color w:val="365F91"/>
                <w:sz w:val="20"/>
                <w:szCs w:val="20"/>
              </w:rPr>
              <w:t xml:space="preserve"> 4,000</w:t>
            </w:r>
          </w:p>
        </w:tc>
        <w:tc>
          <w:tcPr>
            <w:tcW w:w="1797" w:type="dxa"/>
            <w:tcBorders>
              <w:left w:val="nil"/>
              <w:right w:val="nil"/>
            </w:tcBorders>
            <w:shd w:val="clear" w:color="auto" w:fill="D3DFEE"/>
            <w:vAlign w:val="center"/>
          </w:tcPr>
          <w:p w14:paraId="16E22B06" w14:textId="77777777" w:rsidR="00F27F57" w:rsidRPr="00F65686" w:rsidRDefault="003E3C50"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w:t>
            </w:r>
            <w:r w:rsidR="00F27F57" w:rsidRPr="00F65686">
              <w:rPr>
                <w:rFonts w:ascii="Times New Roman" w:hAnsi="Times New Roman"/>
                <w:color w:val="365F91"/>
                <w:sz w:val="20"/>
                <w:szCs w:val="20"/>
              </w:rPr>
              <w:t xml:space="preserve"> 2,000</w:t>
            </w:r>
          </w:p>
        </w:tc>
        <w:tc>
          <w:tcPr>
            <w:tcW w:w="1843" w:type="dxa"/>
            <w:tcBorders>
              <w:left w:val="nil"/>
              <w:right w:val="nil"/>
            </w:tcBorders>
            <w:shd w:val="clear" w:color="auto" w:fill="D3DFEE"/>
            <w:noWrap/>
            <w:vAlign w:val="center"/>
          </w:tcPr>
          <w:p w14:paraId="7D993116" w14:textId="77777777" w:rsidR="00F27F57" w:rsidRPr="00F65686" w:rsidRDefault="00F27F57"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69</w:t>
            </w:r>
          </w:p>
        </w:tc>
        <w:tc>
          <w:tcPr>
            <w:tcW w:w="957" w:type="dxa"/>
            <w:tcBorders>
              <w:left w:val="nil"/>
              <w:right w:val="nil"/>
            </w:tcBorders>
            <w:shd w:val="clear" w:color="auto" w:fill="D3DFEE"/>
            <w:vAlign w:val="center"/>
          </w:tcPr>
          <w:p w14:paraId="78FD03C3" w14:textId="77777777" w:rsidR="00F27F57" w:rsidRPr="00F65686" w:rsidRDefault="00F27F57"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12%</w:t>
            </w:r>
          </w:p>
        </w:tc>
      </w:tr>
      <w:tr w:rsidR="00F27F57" w:rsidRPr="00F65686" w14:paraId="71377FC4" w14:textId="77777777" w:rsidTr="00AE7EA4">
        <w:trPr>
          <w:trHeight w:val="255"/>
        </w:trPr>
        <w:tc>
          <w:tcPr>
            <w:tcW w:w="842" w:type="dxa"/>
            <w:vAlign w:val="center"/>
          </w:tcPr>
          <w:p w14:paraId="43CDD259" w14:textId="77777777" w:rsidR="00F27F57" w:rsidRPr="00F65686" w:rsidRDefault="00F27F57" w:rsidP="00F65686">
            <w:pPr>
              <w:spacing w:after="120"/>
              <w:jc w:val="both"/>
              <w:rPr>
                <w:rFonts w:ascii="Times New Roman" w:hAnsi="Times New Roman"/>
                <w:b/>
                <w:bCs/>
                <w:color w:val="365F91"/>
                <w:sz w:val="20"/>
                <w:szCs w:val="20"/>
              </w:rPr>
            </w:pPr>
            <w:r w:rsidRPr="00F65686">
              <w:rPr>
                <w:rFonts w:ascii="Times New Roman" w:hAnsi="Times New Roman"/>
                <w:b/>
                <w:bCs/>
                <w:color w:val="365F91"/>
                <w:sz w:val="20"/>
                <w:szCs w:val="20"/>
              </w:rPr>
              <w:t>A2</w:t>
            </w:r>
          </w:p>
        </w:tc>
        <w:tc>
          <w:tcPr>
            <w:tcW w:w="2840" w:type="dxa"/>
            <w:vAlign w:val="center"/>
          </w:tcPr>
          <w:p w14:paraId="4A0B7959" w14:textId="77777777" w:rsidR="00F27F57" w:rsidRPr="00F65686" w:rsidRDefault="00F27F57" w:rsidP="00F65686">
            <w:pPr>
              <w:spacing w:after="120"/>
              <w:jc w:val="both"/>
              <w:rPr>
                <w:rFonts w:ascii="Times New Roman" w:hAnsi="Times New Roman"/>
                <w:color w:val="365F91"/>
                <w:sz w:val="20"/>
                <w:szCs w:val="20"/>
                <w:lang w:val="en-US"/>
              </w:rPr>
            </w:pPr>
            <w:r w:rsidRPr="00F65686">
              <w:rPr>
                <w:rFonts w:ascii="Times New Roman" w:hAnsi="Times New Roman"/>
                <w:color w:val="365F91"/>
                <w:sz w:val="20"/>
                <w:szCs w:val="20"/>
                <w:lang w:val="en-US"/>
              </w:rPr>
              <w:t>Technological support in innovation projects</w:t>
            </w:r>
          </w:p>
        </w:tc>
        <w:tc>
          <w:tcPr>
            <w:tcW w:w="1575" w:type="dxa"/>
            <w:vAlign w:val="center"/>
          </w:tcPr>
          <w:p w14:paraId="353B1D14" w14:textId="77777777" w:rsidR="00F27F57" w:rsidRPr="00F65686" w:rsidRDefault="003E3C50"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w:t>
            </w:r>
            <w:r w:rsidR="00F27F57" w:rsidRPr="00F65686">
              <w:rPr>
                <w:rFonts w:ascii="Times New Roman" w:hAnsi="Times New Roman"/>
                <w:color w:val="365F91"/>
                <w:sz w:val="20"/>
                <w:szCs w:val="20"/>
              </w:rPr>
              <w:t xml:space="preserve"> 15,000</w:t>
            </w:r>
          </w:p>
        </w:tc>
        <w:tc>
          <w:tcPr>
            <w:tcW w:w="1797" w:type="dxa"/>
            <w:vAlign w:val="center"/>
          </w:tcPr>
          <w:p w14:paraId="37D768A0" w14:textId="77777777" w:rsidR="00F27F57" w:rsidRPr="00F65686" w:rsidRDefault="003E3C50"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w:t>
            </w:r>
            <w:r w:rsidR="00F27F57" w:rsidRPr="00F65686">
              <w:rPr>
                <w:rFonts w:ascii="Times New Roman" w:hAnsi="Times New Roman"/>
                <w:color w:val="365F91"/>
                <w:sz w:val="20"/>
                <w:szCs w:val="20"/>
              </w:rPr>
              <w:t xml:space="preserve"> 9,000</w:t>
            </w:r>
          </w:p>
        </w:tc>
        <w:tc>
          <w:tcPr>
            <w:tcW w:w="1843" w:type="dxa"/>
            <w:noWrap/>
            <w:vAlign w:val="center"/>
          </w:tcPr>
          <w:p w14:paraId="5DD58C3A" w14:textId="77777777" w:rsidR="00F27F57" w:rsidRPr="00F65686" w:rsidRDefault="00F27F57"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65</w:t>
            </w:r>
          </w:p>
        </w:tc>
        <w:tc>
          <w:tcPr>
            <w:tcW w:w="957" w:type="dxa"/>
            <w:vAlign w:val="center"/>
          </w:tcPr>
          <w:p w14:paraId="64717F8F" w14:textId="77777777" w:rsidR="00F27F57" w:rsidRPr="00F65686" w:rsidRDefault="00F27F57"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11%</w:t>
            </w:r>
          </w:p>
        </w:tc>
      </w:tr>
      <w:tr w:rsidR="00F27F57" w:rsidRPr="00F65686" w14:paraId="098F9969" w14:textId="77777777" w:rsidTr="00AE7EA4">
        <w:trPr>
          <w:trHeight w:val="765"/>
        </w:trPr>
        <w:tc>
          <w:tcPr>
            <w:tcW w:w="842" w:type="dxa"/>
            <w:tcBorders>
              <w:left w:val="nil"/>
              <w:right w:val="nil"/>
            </w:tcBorders>
            <w:shd w:val="clear" w:color="auto" w:fill="D3DFEE"/>
            <w:vAlign w:val="center"/>
          </w:tcPr>
          <w:p w14:paraId="792D74D7" w14:textId="77777777" w:rsidR="00F27F57" w:rsidRPr="00F65686" w:rsidRDefault="00F27F57" w:rsidP="00F65686">
            <w:pPr>
              <w:spacing w:after="120"/>
              <w:jc w:val="both"/>
              <w:rPr>
                <w:rFonts w:ascii="Times New Roman" w:hAnsi="Times New Roman"/>
                <w:b/>
                <w:bCs/>
                <w:color w:val="365F91"/>
                <w:sz w:val="20"/>
                <w:szCs w:val="20"/>
              </w:rPr>
            </w:pPr>
            <w:r w:rsidRPr="00F65686">
              <w:rPr>
                <w:rFonts w:ascii="Times New Roman" w:hAnsi="Times New Roman"/>
                <w:b/>
                <w:bCs/>
                <w:color w:val="365F91"/>
                <w:sz w:val="20"/>
                <w:szCs w:val="20"/>
              </w:rPr>
              <w:t>B</w:t>
            </w:r>
          </w:p>
        </w:tc>
        <w:tc>
          <w:tcPr>
            <w:tcW w:w="2840" w:type="dxa"/>
            <w:tcBorders>
              <w:left w:val="nil"/>
              <w:right w:val="nil"/>
            </w:tcBorders>
            <w:shd w:val="clear" w:color="auto" w:fill="D3DFEE"/>
            <w:vAlign w:val="center"/>
          </w:tcPr>
          <w:p w14:paraId="5FE85902" w14:textId="77777777" w:rsidR="00F27F57" w:rsidRPr="00F65686" w:rsidRDefault="00F27F57" w:rsidP="00F65686">
            <w:pPr>
              <w:spacing w:after="120"/>
              <w:jc w:val="both"/>
              <w:rPr>
                <w:rFonts w:ascii="Times New Roman" w:hAnsi="Times New Roman"/>
                <w:color w:val="365F91"/>
                <w:sz w:val="20"/>
                <w:szCs w:val="20"/>
                <w:lang w:val="en-US"/>
              </w:rPr>
            </w:pPr>
            <w:r w:rsidRPr="00F65686">
              <w:rPr>
                <w:rFonts w:ascii="Times New Roman" w:hAnsi="Times New Roman"/>
                <w:color w:val="365F91"/>
                <w:sz w:val="20"/>
                <w:szCs w:val="20"/>
                <w:lang w:val="en-US"/>
              </w:rPr>
              <w:t>Financial analysis for the development of start-ups</w:t>
            </w:r>
          </w:p>
        </w:tc>
        <w:tc>
          <w:tcPr>
            <w:tcW w:w="1575" w:type="dxa"/>
            <w:tcBorders>
              <w:left w:val="nil"/>
              <w:right w:val="nil"/>
            </w:tcBorders>
            <w:shd w:val="clear" w:color="auto" w:fill="D3DFEE"/>
            <w:vAlign w:val="center"/>
          </w:tcPr>
          <w:p w14:paraId="6FAB9A22" w14:textId="77777777" w:rsidR="00F27F57" w:rsidRPr="00F65686" w:rsidRDefault="003E3C50"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w:t>
            </w:r>
            <w:r w:rsidR="00F27F57" w:rsidRPr="00F65686">
              <w:rPr>
                <w:rFonts w:ascii="Times New Roman" w:hAnsi="Times New Roman"/>
                <w:color w:val="365F91"/>
                <w:sz w:val="20"/>
                <w:szCs w:val="20"/>
              </w:rPr>
              <w:t xml:space="preserve"> 7,500</w:t>
            </w:r>
          </w:p>
        </w:tc>
        <w:tc>
          <w:tcPr>
            <w:tcW w:w="1797" w:type="dxa"/>
            <w:tcBorders>
              <w:left w:val="nil"/>
              <w:right w:val="nil"/>
            </w:tcBorders>
            <w:shd w:val="clear" w:color="auto" w:fill="D3DFEE"/>
            <w:vAlign w:val="center"/>
          </w:tcPr>
          <w:p w14:paraId="25450696" w14:textId="77777777" w:rsidR="00F27F57" w:rsidRPr="00F65686" w:rsidRDefault="003E3C50"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w:t>
            </w:r>
            <w:r w:rsidR="00F27F57" w:rsidRPr="00F65686">
              <w:rPr>
                <w:rFonts w:ascii="Times New Roman" w:hAnsi="Times New Roman"/>
                <w:color w:val="365F91"/>
                <w:sz w:val="20"/>
                <w:szCs w:val="20"/>
              </w:rPr>
              <w:t xml:space="preserve"> 4,500</w:t>
            </w:r>
          </w:p>
        </w:tc>
        <w:tc>
          <w:tcPr>
            <w:tcW w:w="1843" w:type="dxa"/>
            <w:tcBorders>
              <w:left w:val="nil"/>
              <w:right w:val="nil"/>
            </w:tcBorders>
            <w:shd w:val="clear" w:color="auto" w:fill="D3DFEE"/>
            <w:noWrap/>
            <w:vAlign w:val="center"/>
          </w:tcPr>
          <w:p w14:paraId="641A6243" w14:textId="77777777" w:rsidR="00F27F57" w:rsidRPr="00F65686" w:rsidRDefault="00F27F57"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6</w:t>
            </w:r>
          </w:p>
        </w:tc>
        <w:tc>
          <w:tcPr>
            <w:tcW w:w="957" w:type="dxa"/>
            <w:tcBorders>
              <w:left w:val="nil"/>
              <w:right w:val="nil"/>
            </w:tcBorders>
            <w:shd w:val="clear" w:color="auto" w:fill="D3DFEE"/>
            <w:vAlign w:val="center"/>
          </w:tcPr>
          <w:p w14:paraId="63387FE7" w14:textId="77777777" w:rsidR="00F27F57" w:rsidRPr="00F65686" w:rsidRDefault="00F27F57"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1%</w:t>
            </w:r>
          </w:p>
        </w:tc>
      </w:tr>
      <w:tr w:rsidR="00F27F57" w:rsidRPr="00F65686" w14:paraId="1F5F94B5" w14:textId="77777777" w:rsidTr="00AE7EA4">
        <w:trPr>
          <w:trHeight w:val="255"/>
        </w:trPr>
        <w:tc>
          <w:tcPr>
            <w:tcW w:w="842" w:type="dxa"/>
            <w:vAlign w:val="center"/>
          </w:tcPr>
          <w:p w14:paraId="64FD1879" w14:textId="77777777" w:rsidR="00F27F57" w:rsidRPr="00F65686" w:rsidRDefault="00F27F57" w:rsidP="00F65686">
            <w:pPr>
              <w:spacing w:after="120"/>
              <w:jc w:val="both"/>
              <w:rPr>
                <w:rFonts w:ascii="Times New Roman" w:hAnsi="Times New Roman"/>
                <w:b/>
                <w:bCs/>
                <w:color w:val="365F91"/>
                <w:sz w:val="20"/>
                <w:szCs w:val="20"/>
              </w:rPr>
            </w:pPr>
            <w:r w:rsidRPr="00F65686">
              <w:rPr>
                <w:rFonts w:ascii="Times New Roman" w:hAnsi="Times New Roman"/>
                <w:b/>
                <w:bCs/>
                <w:color w:val="365F91"/>
                <w:sz w:val="20"/>
                <w:szCs w:val="20"/>
              </w:rPr>
              <w:t>C1</w:t>
            </w:r>
          </w:p>
        </w:tc>
        <w:tc>
          <w:tcPr>
            <w:tcW w:w="2840" w:type="dxa"/>
            <w:vAlign w:val="center"/>
          </w:tcPr>
          <w:p w14:paraId="5CA0D729" w14:textId="77777777" w:rsidR="00F27F57" w:rsidRPr="00F65686" w:rsidRDefault="00F27F57" w:rsidP="00F65686">
            <w:pPr>
              <w:spacing w:after="120"/>
              <w:jc w:val="both"/>
              <w:rPr>
                <w:rFonts w:ascii="Times New Roman" w:hAnsi="Times New Roman"/>
                <w:color w:val="365F91"/>
                <w:sz w:val="20"/>
                <w:szCs w:val="20"/>
                <w:lang w:val="en-US"/>
              </w:rPr>
            </w:pPr>
            <w:r w:rsidRPr="00F65686">
              <w:rPr>
                <w:rFonts w:ascii="Times New Roman" w:hAnsi="Times New Roman"/>
                <w:color w:val="365F91"/>
                <w:sz w:val="20"/>
                <w:szCs w:val="20"/>
                <w:lang w:val="en-GB"/>
              </w:rPr>
              <w:t>Application and management in EU projects</w:t>
            </w:r>
          </w:p>
        </w:tc>
        <w:tc>
          <w:tcPr>
            <w:tcW w:w="1575" w:type="dxa"/>
            <w:vAlign w:val="center"/>
          </w:tcPr>
          <w:p w14:paraId="216B2DBE" w14:textId="77777777" w:rsidR="00F27F57" w:rsidRPr="00F65686" w:rsidRDefault="003E3C50"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w:t>
            </w:r>
            <w:r w:rsidR="00F27F57" w:rsidRPr="00F65686">
              <w:rPr>
                <w:rFonts w:ascii="Times New Roman" w:hAnsi="Times New Roman"/>
                <w:color w:val="365F91"/>
                <w:sz w:val="20"/>
                <w:szCs w:val="20"/>
              </w:rPr>
              <w:t xml:space="preserve"> 12,000</w:t>
            </w:r>
          </w:p>
        </w:tc>
        <w:tc>
          <w:tcPr>
            <w:tcW w:w="1797" w:type="dxa"/>
            <w:vAlign w:val="center"/>
          </w:tcPr>
          <w:p w14:paraId="27C69071" w14:textId="77777777" w:rsidR="00F27F57" w:rsidRPr="00F65686" w:rsidRDefault="003E3C50"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w:t>
            </w:r>
            <w:r w:rsidR="00F27F57" w:rsidRPr="00F65686">
              <w:rPr>
                <w:rFonts w:ascii="Times New Roman" w:hAnsi="Times New Roman"/>
                <w:color w:val="365F91"/>
                <w:sz w:val="20"/>
                <w:szCs w:val="20"/>
              </w:rPr>
              <w:t xml:space="preserve"> 7,000</w:t>
            </w:r>
          </w:p>
        </w:tc>
        <w:tc>
          <w:tcPr>
            <w:tcW w:w="1843" w:type="dxa"/>
            <w:noWrap/>
            <w:vAlign w:val="center"/>
          </w:tcPr>
          <w:p w14:paraId="079FFE4B" w14:textId="77777777" w:rsidR="00F27F57" w:rsidRPr="00F65686" w:rsidRDefault="00F27F57"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12</w:t>
            </w:r>
          </w:p>
        </w:tc>
        <w:tc>
          <w:tcPr>
            <w:tcW w:w="957" w:type="dxa"/>
            <w:vAlign w:val="center"/>
          </w:tcPr>
          <w:p w14:paraId="1FEB426A" w14:textId="77777777" w:rsidR="00F27F57" w:rsidRPr="00F65686" w:rsidRDefault="00F27F57"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2%</w:t>
            </w:r>
          </w:p>
        </w:tc>
      </w:tr>
      <w:tr w:rsidR="00F27F57" w:rsidRPr="00F65686" w14:paraId="252C583F" w14:textId="77777777" w:rsidTr="00AE7EA4">
        <w:trPr>
          <w:trHeight w:val="510"/>
        </w:trPr>
        <w:tc>
          <w:tcPr>
            <w:tcW w:w="842" w:type="dxa"/>
            <w:tcBorders>
              <w:left w:val="nil"/>
              <w:right w:val="nil"/>
            </w:tcBorders>
            <w:shd w:val="clear" w:color="auto" w:fill="D3DFEE"/>
            <w:vAlign w:val="center"/>
          </w:tcPr>
          <w:p w14:paraId="30D8A013" w14:textId="77777777" w:rsidR="00F27F57" w:rsidRPr="00F65686" w:rsidRDefault="00F27F57" w:rsidP="00F65686">
            <w:pPr>
              <w:spacing w:after="120"/>
              <w:jc w:val="both"/>
              <w:rPr>
                <w:rFonts w:ascii="Times New Roman" w:hAnsi="Times New Roman"/>
                <w:b/>
                <w:bCs/>
                <w:color w:val="365F91"/>
                <w:sz w:val="20"/>
                <w:szCs w:val="20"/>
              </w:rPr>
            </w:pPr>
            <w:r w:rsidRPr="00F65686">
              <w:rPr>
                <w:rFonts w:ascii="Times New Roman" w:hAnsi="Times New Roman"/>
                <w:b/>
                <w:bCs/>
                <w:color w:val="365F91"/>
                <w:sz w:val="20"/>
                <w:szCs w:val="20"/>
              </w:rPr>
              <w:t>C2</w:t>
            </w:r>
          </w:p>
        </w:tc>
        <w:tc>
          <w:tcPr>
            <w:tcW w:w="2840" w:type="dxa"/>
            <w:tcBorders>
              <w:left w:val="nil"/>
              <w:right w:val="nil"/>
            </w:tcBorders>
            <w:shd w:val="clear" w:color="auto" w:fill="D3DFEE"/>
            <w:vAlign w:val="center"/>
          </w:tcPr>
          <w:p w14:paraId="0181B4D9" w14:textId="77777777" w:rsidR="00F27F57" w:rsidRPr="00F65686" w:rsidRDefault="00F27F57" w:rsidP="00F65686">
            <w:pPr>
              <w:spacing w:after="120"/>
              <w:jc w:val="both"/>
              <w:rPr>
                <w:rFonts w:ascii="Times New Roman" w:hAnsi="Times New Roman"/>
                <w:color w:val="365F91"/>
                <w:sz w:val="20"/>
                <w:szCs w:val="20"/>
                <w:lang w:val="en-US"/>
              </w:rPr>
            </w:pPr>
            <w:r w:rsidRPr="00F65686">
              <w:rPr>
                <w:rFonts w:ascii="Times New Roman" w:hAnsi="Times New Roman"/>
                <w:color w:val="365F91"/>
                <w:sz w:val="20"/>
                <w:szCs w:val="20"/>
                <w:lang w:val="en-US"/>
              </w:rPr>
              <w:t>Inclusion of firms as consortium partners</w:t>
            </w:r>
          </w:p>
        </w:tc>
        <w:tc>
          <w:tcPr>
            <w:tcW w:w="1575" w:type="dxa"/>
            <w:tcBorders>
              <w:left w:val="nil"/>
              <w:right w:val="nil"/>
            </w:tcBorders>
            <w:shd w:val="clear" w:color="auto" w:fill="D3DFEE"/>
            <w:vAlign w:val="center"/>
          </w:tcPr>
          <w:p w14:paraId="6803A84B" w14:textId="77777777" w:rsidR="00F27F57" w:rsidRPr="00F65686" w:rsidRDefault="003E3C50"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w:t>
            </w:r>
            <w:r w:rsidR="00F27F57" w:rsidRPr="00F65686">
              <w:rPr>
                <w:rFonts w:ascii="Times New Roman" w:hAnsi="Times New Roman"/>
                <w:color w:val="365F91"/>
                <w:sz w:val="20"/>
                <w:szCs w:val="20"/>
              </w:rPr>
              <w:t xml:space="preserve"> 4,000</w:t>
            </w:r>
          </w:p>
        </w:tc>
        <w:tc>
          <w:tcPr>
            <w:tcW w:w="1797" w:type="dxa"/>
            <w:tcBorders>
              <w:left w:val="nil"/>
              <w:right w:val="nil"/>
            </w:tcBorders>
            <w:shd w:val="clear" w:color="auto" w:fill="D3DFEE"/>
            <w:vAlign w:val="center"/>
          </w:tcPr>
          <w:p w14:paraId="6F5C3FAD" w14:textId="77777777" w:rsidR="00F27F57" w:rsidRPr="00F65686" w:rsidRDefault="003E3C50"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w:t>
            </w:r>
            <w:r w:rsidR="00F27F57" w:rsidRPr="00F65686">
              <w:rPr>
                <w:rFonts w:ascii="Times New Roman" w:hAnsi="Times New Roman"/>
                <w:color w:val="365F91"/>
                <w:sz w:val="20"/>
                <w:szCs w:val="20"/>
              </w:rPr>
              <w:t xml:space="preserve"> 2,000</w:t>
            </w:r>
          </w:p>
        </w:tc>
        <w:tc>
          <w:tcPr>
            <w:tcW w:w="1843" w:type="dxa"/>
            <w:tcBorders>
              <w:left w:val="nil"/>
              <w:right w:val="nil"/>
            </w:tcBorders>
            <w:shd w:val="clear" w:color="auto" w:fill="D3DFEE"/>
            <w:noWrap/>
            <w:vAlign w:val="center"/>
          </w:tcPr>
          <w:p w14:paraId="4103D3DF" w14:textId="77777777" w:rsidR="00F27F57" w:rsidRPr="00F65686" w:rsidRDefault="00F27F57"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11</w:t>
            </w:r>
          </w:p>
        </w:tc>
        <w:tc>
          <w:tcPr>
            <w:tcW w:w="957" w:type="dxa"/>
            <w:tcBorders>
              <w:left w:val="nil"/>
              <w:right w:val="nil"/>
            </w:tcBorders>
            <w:shd w:val="clear" w:color="auto" w:fill="D3DFEE"/>
            <w:vAlign w:val="center"/>
          </w:tcPr>
          <w:p w14:paraId="4AE3EDF3" w14:textId="77777777" w:rsidR="00F27F57" w:rsidRPr="00F65686" w:rsidRDefault="00F27F57"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2%</w:t>
            </w:r>
          </w:p>
        </w:tc>
      </w:tr>
      <w:tr w:rsidR="00F27F57" w:rsidRPr="00F65686" w14:paraId="65552ADD" w14:textId="77777777" w:rsidTr="00AE7EA4">
        <w:trPr>
          <w:trHeight w:val="510"/>
        </w:trPr>
        <w:tc>
          <w:tcPr>
            <w:tcW w:w="842" w:type="dxa"/>
            <w:vAlign w:val="center"/>
          </w:tcPr>
          <w:p w14:paraId="314241FA" w14:textId="77777777" w:rsidR="00F27F57" w:rsidRPr="00F65686" w:rsidRDefault="00F27F57" w:rsidP="00F65686">
            <w:pPr>
              <w:spacing w:after="120"/>
              <w:jc w:val="both"/>
              <w:rPr>
                <w:rFonts w:ascii="Times New Roman" w:hAnsi="Times New Roman"/>
                <w:b/>
                <w:bCs/>
                <w:color w:val="365F91"/>
                <w:sz w:val="20"/>
                <w:szCs w:val="20"/>
              </w:rPr>
            </w:pPr>
            <w:r w:rsidRPr="00F65686">
              <w:rPr>
                <w:rFonts w:ascii="Times New Roman" w:hAnsi="Times New Roman"/>
                <w:b/>
                <w:bCs/>
                <w:color w:val="365F91"/>
                <w:sz w:val="20"/>
                <w:szCs w:val="20"/>
              </w:rPr>
              <w:t>D</w:t>
            </w:r>
          </w:p>
        </w:tc>
        <w:tc>
          <w:tcPr>
            <w:tcW w:w="2840" w:type="dxa"/>
            <w:vAlign w:val="center"/>
          </w:tcPr>
          <w:p w14:paraId="55E9EC89" w14:textId="77777777" w:rsidR="00F27F57" w:rsidRPr="00F65686" w:rsidRDefault="00F27F57" w:rsidP="00F65686">
            <w:pPr>
              <w:spacing w:after="120"/>
              <w:jc w:val="both"/>
              <w:rPr>
                <w:rFonts w:ascii="Times New Roman" w:hAnsi="Times New Roman"/>
                <w:color w:val="365F91"/>
                <w:sz w:val="20"/>
                <w:szCs w:val="20"/>
                <w:lang w:val="en-US"/>
              </w:rPr>
            </w:pPr>
            <w:r w:rsidRPr="00F65686">
              <w:rPr>
                <w:rFonts w:ascii="Times New Roman" w:hAnsi="Times New Roman"/>
                <w:color w:val="365F91"/>
                <w:sz w:val="20"/>
                <w:szCs w:val="20"/>
                <w:lang w:val="en-US"/>
              </w:rPr>
              <w:t>Consultancy in terms of financial check-up</w:t>
            </w:r>
          </w:p>
        </w:tc>
        <w:tc>
          <w:tcPr>
            <w:tcW w:w="1575" w:type="dxa"/>
            <w:vAlign w:val="center"/>
          </w:tcPr>
          <w:p w14:paraId="0A242003" w14:textId="77777777" w:rsidR="00F27F57" w:rsidRPr="00F65686" w:rsidRDefault="003E3C50"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w:t>
            </w:r>
            <w:r w:rsidR="00F27F57" w:rsidRPr="00F65686">
              <w:rPr>
                <w:rFonts w:ascii="Times New Roman" w:hAnsi="Times New Roman"/>
                <w:color w:val="365F91"/>
                <w:sz w:val="20"/>
                <w:szCs w:val="20"/>
              </w:rPr>
              <w:t xml:space="preserve"> 3,000</w:t>
            </w:r>
          </w:p>
        </w:tc>
        <w:tc>
          <w:tcPr>
            <w:tcW w:w="1797" w:type="dxa"/>
            <w:vAlign w:val="center"/>
          </w:tcPr>
          <w:p w14:paraId="26ECB735" w14:textId="77777777" w:rsidR="00F27F57" w:rsidRPr="00F65686" w:rsidRDefault="003E3C50"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w:t>
            </w:r>
            <w:r w:rsidR="00F27F57" w:rsidRPr="00F65686">
              <w:rPr>
                <w:rFonts w:ascii="Times New Roman" w:hAnsi="Times New Roman"/>
                <w:color w:val="365F91"/>
                <w:sz w:val="20"/>
                <w:szCs w:val="20"/>
              </w:rPr>
              <w:t xml:space="preserve"> 2,000</w:t>
            </w:r>
          </w:p>
        </w:tc>
        <w:tc>
          <w:tcPr>
            <w:tcW w:w="1843" w:type="dxa"/>
            <w:noWrap/>
            <w:vAlign w:val="center"/>
          </w:tcPr>
          <w:p w14:paraId="623D34DC" w14:textId="77777777" w:rsidR="00F27F57" w:rsidRPr="00F65686" w:rsidRDefault="00F27F57"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279</w:t>
            </w:r>
          </w:p>
        </w:tc>
        <w:tc>
          <w:tcPr>
            <w:tcW w:w="957" w:type="dxa"/>
            <w:vAlign w:val="center"/>
          </w:tcPr>
          <w:p w14:paraId="6121B622" w14:textId="77777777" w:rsidR="00F27F57" w:rsidRPr="00F65686" w:rsidRDefault="00F27F57"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48%</w:t>
            </w:r>
          </w:p>
        </w:tc>
      </w:tr>
      <w:tr w:rsidR="00F27F57" w:rsidRPr="00F65686" w14:paraId="2B7C99F2" w14:textId="77777777" w:rsidTr="00AE7EA4">
        <w:trPr>
          <w:trHeight w:val="255"/>
        </w:trPr>
        <w:tc>
          <w:tcPr>
            <w:tcW w:w="842" w:type="dxa"/>
            <w:tcBorders>
              <w:left w:val="nil"/>
              <w:bottom w:val="nil"/>
              <w:right w:val="nil"/>
            </w:tcBorders>
            <w:shd w:val="clear" w:color="auto" w:fill="D3DFEE"/>
            <w:vAlign w:val="center"/>
          </w:tcPr>
          <w:p w14:paraId="0F5A4B70" w14:textId="77777777" w:rsidR="00F27F57" w:rsidRPr="00F65686" w:rsidRDefault="00F27F57" w:rsidP="00F65686">
            <w:pPr>
              <w:spacing w:after="120"/>
              <w:jc w:val="both"/>
              <w:rPr>
                <w:rFonts w:ascii="Times New Roman" w:hAnsi="Times New Roman"/>
                <w:b/>
                <w:bCs/>
                <w:color w:val="365F91"/>
                <w:sz w:val="20"/>
                <w:szCs w:val="20"/>
              </w:rPr>
            </w:pPr>
            <w:r w:rsidRPr="00F65686">
              <w:rPr>
                <w:rFonts w:ascii="Times New Roman" w:hAnsi="Times New Roman"/>
                <w:b/>
                <w:bCs/>
                <w:color w:val="365F91"/>
                <w:sz w:val="20"/>
                <w:szCs w:val="20"/>
              </w:rPr>
              <w:t>E1</w:t>
            </w:r>
          </w:p>
        </w:tc>
        <w:tc>
          <w:tcPr>
            <w:tcW w:w="2840" w:type="dxa"/>
            <w:tcBorders>
              <w:left w:val="nil"/>
              <w:bottom w:val="nil"/>
              <w:right w:val="nil"/>
            </w:tcBorders>
            <w:shd w:val="clear" w:color="auto" w:fill="D3DFEE"/>
            <w:vAlign w:val="center"/>
          </w:tcPr>
          <w:p w14:paraId="160CB16D" w14:textId="77777777" w:rsidR="00F27F57" w:rsidRPr="00F65686" w:rsidRDefault="00F27F57" w:rsidP="00F65686">
            <w:pPr>
              <w:spacing w:after="120"/>
              <w:jc w:val="both"/>
              <w:rPr>
                <w:rFonts w:ascii="Times New Roman" w:hAnsi="Times New Roman"/>
                <w:color w:val="365F91"/>
                <w:sz w:val="20"/>
                <w:szCs w:val="20"/>
                <w:lang w:val="en-US"/>
              </w:rPr>
            </w:pPr>
            <w:r w:rsidRPr="00F65686">
              <w:rPr>
                <w:rFonts w:ascii="Times New Roman" w:hAnsi="Times New Roman"/>
                <w:color w:val="365F91"/>
                <w:sz w:val="20"/>
                <w:szCs w:val="20"/>
                <w:lang w:val="en-US"/>
              </w:rPr>
              <w:t>Recruitment of a young researcher</w:t>
            </w:r>
          </w:p>
        </w:tc>
        <w:tc>
          <w:tcPr>
            <w:tcW w:w="1575" w:type="dxa"/>
            <w:tcBorders>
              <w:left w:val="nil"/>
              <w:bottom w:val="nil"/>
              <w:right w:val="nil"/>
            </w:tcBorders>
            <w:shd w:val="clear" w:color="auto" w:fill="D3DFEE"/>
            <w:vAlign w:val="center"/>
          </w:tcPr>
          <w:p w14:paraId="7FFF5CBD" w14:textId="77777777" w:rsidR="00F27F57" w:rsidRPr="00F65686" w:rsidRDefault="003E3C50"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w:t>
            </w:r>
            <w:r w:rsidR="00F27F57" w:rsidRPr="00F65686">
              <w:rPr>
                <w:rFonts w:ascii="Times New Roman" w:hAnsi="Times New Roman"/>
                <w:color w:val="365F91"/>
                <w:sz w:val="20"/>
                <w:szCs w:val="20"/>
              </w:rPr>
              <w:t xml:space="preserve"> 15,000</w:t>
            </w:r>
          </w:p>
        </w:tc>
        <w:tc>
          <w:tcPr>
            <w:tcW w:w="1797" w:type="dxa"/>
            <w:tcBorders>
              <w:left w:val="nil"/>
              <w:bottom w:val="nil"/>
              <w:right w:val="nil"/>
            </w:tcBorders>
            <w:shd w:val="clear" w:color="auto" w:fill="D3DFEE"/>
            <w:vAlign w:val="center"/>
          </w:tcPr>
          <w:p w14:paraId="0295BD11" w14:textId="77777777" w:rsidR="00F27F57" w:rsidRPr="00F65686" w:rsidRDefault="003E3C50"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w:t>
            </w:r>
            <w:r w:rsidR="00F27F57" w:rsidRPr="00F65686">
              <w:rPr>
                <w:rFonts w:ascii="Times New Roman" w:hAnsi="Times New Roman"/>
                <w:color w:val="365F91"/>
                <w:sz w:val="20"/>
                <w:szCs w:val="20"/>
              </w:rPr>
              <w:t xml:space="preserve"> 12,000</w:t>
            </w:r>
          </w:p>
        </w:tc>
        <w:tc>
          <w:tcPr>
            <w:tcW w:w="1843" w:type="dxa"/>
            <w:tcBorders>
              <w:left w:val="nil"/>
              <w:bottom w:val="nil"/>
              <w:right w:val="nil"/>
            </w:tcBorders>
            <w:shd w:val="clear" w:color="auto" w:fill="D3DFEE"/>
            <w:noWrap/>
            <w:vAlign w:val="center"/>
          </w:tcPr>
          <w:p w14:paraId="4582F923" w14:textId="77777777" w:rsidR="00F27F57" w:rsidRPr="00F65686" w:rsidRDefault="00F27F57"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41</w:t>
            </w:r>
          </w:p>
        </w:tc>
        <w:tc>
          <w:tcPr>
            <w:tcW w:w="957" w:type="dxa"/>
            <w:tcBorders>
              <w:left w:val="nil"/>
              <w:bottom w:val="nil"/>
              <w:right w:val="nil"/>
            </w:tcBorders>
            <w:shd w:val="clear" w:color="auto" w:fill="D3DFEE"/>
            <w:vAlign w:val="center"/>
          </w:tcPr>
          <w:p w14:paraId="4C9C83E4" w14:textId="77777777" w:rsidR="00F27F57" w:rsidRPr="00F65686" w:rsidRDefault="00F27F57"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7%</w:t>
            </w:r>
          </w:p>
        </w:tc>
      </w:tr>
      <w:tr w:rsidR="00F27F57" w:rsidRPr="00F65686" w14:paraId="594D0E12" w14:textId="77777777" w:rsidTr="00AE7EA4">
        <w:trPr>
          <w:trHeight w:val="618"/>
        </w:trPr>
        <w:tc>
          <w:tcPr>
            <w:tcW w:w="842" w:type="dxa"/>
            <w:tcBorders>
              <w:top w:val="nil"/>
              <w:bottom w:val="single" w:sz="4" w:space="0" w:color="4F81BD"/>
            </w:tcBorders>
            <w:vAlign w:val="center"/>
          </w:tcPr>
          <w:p w14:paraId="662AA3C4" w14:textId="77777777" w:rsidR="00F27F57" w:rsidRPr="00F65686" w:rsidRDefault="00F27F57" w:rsidP="00F65686">
            <w:pPr>
              <w:spacing w:after="120"/>
              <w:jc w:val="both"/>
              <w:rPr>
                <w:rFonts w:ascii="Times New Roman" w:hAnsi="Times New Roman"/>
                <w:b/>
                <w:bCs/>
                <w:color w:val="365F91"/>
                <w:sz w:val="20"/>
                <w:szCs w:val="20"/>
              </w:rPr>
            </w:pPr>
            <w:r w:rsidRPr="00F65686">
              <w:rPr>
                <w:rFonts w:ascii="Times New Roman" w:hAnsi="Times New Roman"/>
                <w:b/>
                <w:bCs/>
                <w:color w:val="365F91"/>
                <w:sz w:val="20"/>
                <w:szCs w:val="20"/>
              </w:rPr>
              <w:t>E2</w:t>
            </w:r>
          </w:p>
        </w:tc>
        <w:tc>
          <w:tcPr>
            <w:tcW w:w="2840" w:type="dxa"/>
            <w:tcBorders>
              <w:top w:val="nil"/>
              <w:bottom w:val="single" w:sz="4" w:space="0" w:color="4F81BD"/>
            </w:tcBorders>
            <w:vAlign w:val="center"/>
          </w:tcPr>
          <w:p w14:paraId="0CD981A7" w14:textId="77777777" w:rsidR="00F27F57" w:rsidRPr="00F65686" w:rsidRDefault="00F27F57" w:rsidP="00F65686">
            <w:pPr>
              <w:spacing w:after="120"/>
              <w:jc w:val="both"/>
              <w:rPr>
                <w:rFonts w:ascii="Times New Roman" w:hAnsi="Times New Roman"/>
                <w:color w:val="365F91"/>
                <w:sz w:val="20"/>
                <w:szCs w:val="20"/>
                <w:lang w:val="en-US"/>
              </w:rPr>
            </w:pPr>
            <w:r w:rsidRPr="00F65686">
              <w:rPr>
                <w:rFonts w:ascii="Times New Roman" w:hAnsi="Times New Roman"/>
                <w:color w:val="365F91"/>
                <w:sz w:val="20"/>
                <w:szCs w:val="20"/>
                <w:lang w:val="en-US"/>
              </w:rPr>
              <w:t>Recruitment of an innovation manager</w:t>
            </w:r>
          </w:p>
        </w:tc>
        <w:tc>
          <w:tcPr>
            <w:tcW w:w="1575" w:type="dxa"/>
            <w:tcBorders>
              <w:top w:val="nil"/>
              <w:bottom w:val="single" w:sz="4" w:space="0" w:color="4F81BD"/>
            </w:tcBorders>
            <w:vAlign w:val="center"/>
          </w:tcPr>
          <w:p w14:paraId="0F4FA948" w14:textId="77777777" w:rsidR="00F27F57" w:rsidRPr="00F65686" w:rsidRDefault="003E3C50"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w:t>
            </w:r>
            <w:r w:rsidR="00F27F57" w:rsidRPr="00F65686">
              <w:rPr>
                <w:rFonts w:ascii="Times New Roman" w:hAnsi="Times New Roman"/>
                <w:color w:val="365F91"/>
                <w:sz w:val="20"/>
                <w:szCs w:val="20"/>
              </w:rPr>
              <w:t xml:space="preserve"> 20,000</w:t>
            </w:r>
          </w:p>
        </w:tc>
        <w:tc>
          <w:tcPr>
            <w:tcW w:w="1797" w:type="dxa"/>
            <w:tcBorders>
              <w:top w:val="nil"/>
              <w:bottom w:val="single" w:sz="4" w:space="0" w:color="4F81BD"/>
            </w:tcBorders>
            <w:vAlign w:val="center"/>
          </w:tcPr>
          <w:p w14:paraId="7E1DD8D0" w14:textId="77777777" w:rsidR="00F27F57" w:rsidRPr="00F65686" w:rsidRDefault="003E3C50"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w:t>
            </w:r>
            <w:r w:rsidR="00F27F57" w:rsidRPr="00F65686">
              <w:rPr>
                <w:rFonts w:ascii="Times New Roman" w:hAnsi="Times New Roman"/>
                <w:color w:val="365F91"/>
                <w:sz w:val="20"/>
                <w:szCs w:val="20"/>
              </w:rPr>
              <w:t xml:space="preserve"> 10,000</w:t>
            </w:r>
          </w:p>
        </w:tc>
        <w:tc>
          <w:tcPr>
            <w:tcW w:w="1843" w:type="dxa"/>
            <w:tcBorders>
              <w:top w:val="nil"/>
              <w:bottom w:val="single" w:sz="4" w:space="0" w:color="4F81BD"/>
            </w:tcBorders>
            <w:noWrap/>
            <w:vAlign w:val="center"/>
          </w:tcPr>
          <w:p w14:paraId="5A13A377" w14:textId="77777777" w:rsidR="00F27F57" w:rsidRPr="00F65686" w:rsidRDefault="00F27F57"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99</w:t>
            </w:r>
          </w:p>
        </w:tc>
        <w:tc>
          <w:tcPr>
            <w:tcW w:w="957" w:type="dxa"/>
            <w:tcBorders>
              <w:top w:val="nil"/>
              <w:bottom w:val="single" w:sz="4" w:space="0" w:color="4F81BD"/>
            </w:tcBorders>
            <w:vAlign w:val="center"/>
          </w:tcPr>
          <w:p w14:paraId="3E72E878" w14:textId="77777777" w:rsidR="00F27F57" w:rsidRPr="00F65686" w:rsidRDefault="00F27F57" w:rsidP="00F65686">
            <w:pPr>
              <w:spacing w:after="120"/>
              <w:jc w:val="both"/>
              <w:rPr>
                <w:rFonts w:ascii="Times New Roman" w:hAnsi="Times New Roman"/>
                <w:color w:val="365F91"/>
                <w:sz w:val="20"/>
                <w:szCs w:val="20"/>
              </w:rPr>
            </w:pPr>
            <w:r w:rsidRPr="00F65686">
              <w:rPr>
                <w:rFonts w:ascii="Times New Roman" w:hAnsi="Times New Roman"/>
                <w:color w:val="365F91"/>
                <w:sz w:val="20"/>
                <w:szCs w:val="20"/>
              </w:rPr>
              <w:t>17%</w:t>
            </w:r>
          </w:p>
        </w:tc>
      </w:tr>
      <w:tr w:rsidR="00F27F57" w:rsidRPr="00F65686" w14:paraId="0DB488AE" w14:textId="77777777" w:rsidTr="00AE7EA4">
        <w:trPr>
          <w:trHeight w:val="250"/>
        </w:trPr>
        <w:tc>
          <w:tcPr>
            <w:tcW w:w="7054" w:type="dxa"/>
            <w:gridSpan w:val="4"/>
            <w:tcBorders>
              <w:top w:val="single" w:sz="4" w:space="0" w:color="4F81BD"/>
              <w:left w:val="nil"/>
              <w:bottom w:val="single" w:sz="8" w:space="0" w:color="4F81BD"/>
              <w:right w:val="nil"/>
            </w:tcBorders>
            <w:shd w:val="clear" w:color="auto" w:fill="D3DFEE"/>
            <w:vAlign w:val="center"/>
          </w:tcPr>
          <w:p w14:paraId="7C21B781" w14:textId="77777777" w:rsidR="00F27F57" w:rsidRPr="00F65686" w:rsidRDefault="00F27F57" w:rsidP="00F65686">
            <w:pPr>
              <w:spacing w:after="120"/>
              <w:jc w:val="both"/>
              <w:rPr>
                <w:rFonts w:ascii="Times New Roman" w:hAnsi="Times New Roman"/>
                <w:b/>
                <w:bCs/>
                <w:i/>
                <w:iCs/>
                <w:color w:val="365F91"/>
                <w:sz w:val="20"/>
                <w:szCs w:val="20"/>
                <w:lang w:val="en-US"/>
              </w:rPr>
            </w:pPr>
            <w:r w:rsidRPr="00F65686">
              <w:rPr>
                <w:rFonts w:ascii="Times New Roman" w:hAnsi="Times New Roman"/>
                <w:b/>
                <w:bCs/>
                <w:i/>
                <w:iCs/>
                <w:color w:val="365F91"/>
                <w:sz w:val="20"/>
                <w:szCs w:val="20"/>
                <w:lang w:val="en-US"/>
              </w:rPr>
              <w:t>Total firms in the sample</w:t>
            </w:r>
          </w:p>
        </w:tc>
        <w:tc>
          <w:tcPr>
            <w:tcW w:w="1843" w:type="dxa"/>
            <w:tcBorders>
              <w:top w:val="single" w:sz="4" w:space="0" w:color="4F81BD"/>
              <w:left w:val="nil"/>
              <w:bottom w:val="single" w:sz="8" w:space="0" w:color="4F81BD"/>
              <w:right w:val="nil"/>
            </w:tcBorders>
            <w:shd w:val="clear" w:color="auto" w:fill="D3DFEE"/>
            <w:vAlign w:val="center"/>
          </w:tcPr>
          <w:p w14:paraId="3489D071" w14:textId="77777777" w:rsidR="00F27F57" w:rsidRPr="00F65686" w:rsidRDefault="00F27F57" w:rsidP="00F65686">
            <w:pPr>
              <w:spacing w:after="120"/>
              <w:jc w:val="both"/>
              <w:rPr>
                <w:rFonts w:ascii="Times New Roman" w:hAnsi="Times New Roman"/>
                <w:b/>
                <w:bCs/>
                <w:i/>
                <w:color w:val="365F91"/>
                <w:sz w:val="20"/>
                <w:szCs w:val="20"/>
              </w:rPr>
            </w:pPr>
            <w:r w:rsidRPr="00F65686">
              <w:rPr>
                <w:rFonts w:ascii="Times New Roman" w:hAnsi="Times New Roman"/>
                <w:b/>
                <w:i/>
                <w:color w:val="365F91"/>
                <w:sz w:val="20"/>
                <w:szCs w:val="20"/>
              </w:rPr>
              <w:t>582</w:t>
            </w:r>
          </w:p>
        </w:tc>
        <w:tc>
          <w:tcPr>
            <w:tcW w:w="957" w:type="dxa"/>
            <w:tcBorders>
              <w:top w:val="single" w:sz="4" w:space="0" w:color="4F81BD"/>
              <w:left w:val="nil"/>
              <w:bottom w:val="single" w:sz="8" w:space="0" w:color="4F81BD"/>
              <w:right w:val="nil"/>
            </w:tcBorders>
            <w:shd w:val="clear" w:color="auto" w:fill="D3DFEE"/>
          </w:tcPr>
          <w:p w14:paraId="260E4D34" w14:textId="77777777" w:rsidR="00F27F57" w:rsidRPr="00F65686" w:rsidRDefault="00F27F57" w:rsidP="00F65686">
            <w:pPr>
              <w:spacing w:after="120"/>
              <w:jc w:val="both"/>
              <w:rPr>
                <w:rFonts w:ascii="Times New Roman" w:hAnsi="Times New Roman"/>
                <w:b/>
                <w:i/>
                <w:color w:val="365F91"/>
                <w:sz w:val="20"/>
                <w:szCs w:val="20"/>
              </w:rPr>
            </w:pPr>
            <w:r w:rsidRPr="00F65686">
              <w:rPr>
                <w:rFonts w:ascii="Times New Roman" w:hAnsi="Times New Roman"/>
                <w:color w:val="365F91"/>
                <w:sz w:val="20"/>
                <w:szCs w:val="20"/>
              </w:rPr>
              <w:t>100%</w:t>
            </w:r>
          </w:p>
        </w:tc>
      </w:tr>
    </w:tbl>
    <w:p w14:paraId="11376BE5" w14:textId="681F11B3" w:rsidR="00D50086" w:rsidRPr="00F65686" w:rsidRDefault="00F27F57" w:rsidP="00F65686">
      <w:pPr>
        <w:spacing w:after="120"/>
        <w:jc w:val="both"/>
        <w:rPr>
          <w:rFonts w:ascii="Times New Roman" w:hAnsi="Times New Roman"/>
          <w:i/>
          <w:sz w:val="20"/>
          <w:szCs w:val="20"/>
          <w:lang w:val="en-US"/>
        </w:rPr>
      </w:pPr>
      <w:r w:rsidRPr="00F65686">
        <w:rPr>
          <w:rFonts w:ascii="Times New Roman" w:hAnsi="Times New Roman"/>
          <w:i/>
          <w:sz w:val="20"/>
          <w:szCs w:val="20"/>
          <w:lang w:val="en-US"/>
        </w:rPr>
        <w:t>Source: Authors’ elaboration on Regione Lombardia (2011) data</w:t>
      </w:r>
    </w:p>
    <w:p w14:paraId="35DCD436" w14:textId="2D8D638D" w:rsidR="001B2146" w:rsidRPr="00F65686" w:rsidRDefault="001B2146" w:rsidP="00F65686">
      <w:pPr>
        <w:spacing w:after="120"/>
        <w:jc w:val="both"/>
        <w:rPr>
          <w:rFonts w:ascii="Times New Roman" w:hAnsi="Times New Roman"/>
          <w:lang w:val="en-US"/>
        </w:rPr>
      </w:pPr>
      <w:bookmarkStart w:id="2" w:name="_MON_1313071804"/>
      <w:bookmarkStart w:id="3" w:name="_MON_1424952301"/>
      <w:bookmarkEnd w:id="2"/>
      <w:bookmarkEnd w:id="3"/>
      <w:r w:rsidRPr="00F65686">
        <w:rPr>
          <w:rFonts w:ascii="Times New Roman" w:hAnsi="Times New Roman"/>
          <w:lang w:val="en-US"/>
        </w:rPr>
        <w:t xml:space="preserve">For each action of this scheme, Table 1 shows the minimum investment allowed to the beneficiary as well as the maximum amount of the voucher. In actions such as A1, C2, and E2, the voucher covered up to 50% of the firm expenditure, while this share peaked </w:t>
      </w:r>
      <w:r w:rsidR="00F145A5" w:rsidRPr="00F65686">
        <w:rPr>
          <w:rFonts w:ascii="Times New Roman" w:hAnsi="Times New Roman"/>
          <w:lang w:val="en-US"/>
        </w:rPr>
        <w:t xml:space="preserve">at </w:t>
      </w:r>
      <w:r w:rsidRPr="00F65686">
        <w:rPr>
          <w:rFonts w:ascii="Times New Roman" w:hAnsi="Times New Roman"/>
          <w:lang w:val="en-US"/>
        </w:rPr>
        <w:t>80% for Action E1. Firms could ask up to three vouchers, but only one for any action.</w:t>
      </w:r>
    </w:p>
    <w:p w14:paraId="73C5E5F1" w14:textId="777DB0EC" w:rsidR="001B2146" w:rsidRPr="00F65686" w:rsidRDefault="001B2146" w:rsidP="00F65686">
      <w:pPr>
        <w:spacing w:after="120"/>
        <w:jc w:val="both"/>
        <w:rPr>
          <w:rFonts w:ascii="Times New Roman" w:hAnsi="Times New Roman"/>
          <w:lang w:val="en-US"/>
        </w:rPr>
      </w:pPr>
      <w:r w:rsidRPr="00F65686">
        <w:rPr>
          <w:rFonts w:ascii="Times New Roman" w:hAnsi="Times New Roman"/>
          <w:lang w:val="en-US"/>
        </w:rPr>
        <w:t xml:space="preserve">Beneficiaries were asked to identify, and find an agreement with, a collaboration partner before applying for the voucher, so that they could plan the activity and estimate the budget together with the service provider. For </w:t>
      </w:r>
      <w:r w:rsidRPr="00F65686">
        <w:rPr>
          <w:rFonts w:ascii="Times New Roman" w:hAnsi="Times New Roman"/>
          <w:lang w:val="en-US"/>
        </w:rPr>
        <w:lastRenderedPageBreak/>
        <w:t>actions A, B and C</w:t>
      </w:r>
      <w:r w:rsidR="001B200A" w:rsidRPr="00F65686">
        <w:rPr>
          <w:rFonts w:ascii="Times New Roman" w:hAnsi="Times New Roman"/>
          <w:lang w:val="en-US"/>
        </w:rPr>
        <w:t>,</w:t>
      </w:r>
      <w:r w:rsidRPr="00F65686">
        <w:rPr>
          <w:rFonts w:ascii="Times New Roman" w:hAnsi="Times New Roman"/>
          <w:lang w:val="en-US"/>
        </w:rPr>
        <w:t xml:space="preserve"> firms could select the knowledge partner among a list of structures certified by the regional government. The government provided a public database </w:t>
      </w:r>
      <w:r w:rsidR="00F145A5" w:rsidRPr="00F65686">
        <w:rPr>
          <w:rFonts w:ascii="Times New Roman" w:hAnsi="Times New Roman"/>
          <w:lang w:val="en-US"/>
        </w:rPr>
        <w:t xml:space="preserve">that </w:t>
      </w:r>
      <w:r w:rsidRPr="00F65686">
        <w:rPr>
          <w:rFonts w:ascii="Times New Roman" w:hAnsi="Times New Roman"/>
          <w:lang w:val="en-US"/>
        </w:rPr>
        <w:t>allowed beneficiaries to check services competenc</w:t>
      </w:r>
      <w:r w:rsidR="00F145A5" w:rsidRPr="00F65686">
        <w:rPr>
          <w:rFonts w:ascii="Times New Roman" w:hAnsi="Times New Roman"/>
          <w:lang w:val="en-US"/>
        </w:rPr>
        <w:t>i</w:t>
      </w:r>
      <w:r w:rsidRPr="00F65686">
        <w:rPr>
          <w:rFonts w:ascii="Times New Roman" w:hAnsi="Times New Roman"/>
          <w:lang w:val="en-US"/>
        </w:rPr>
        <w:t>es, technological infrastructures, previous projects and to compare them. Action A financed solutions to technical issues (duration 6 months); action B supported start-ups in developing a business plan (duration 6 months); action C helped firms in participating in EU project</w:t>
      </w:r>
      <w:r w:rsidR="00F145A5" w:rsidRPr="00F65686">
        <w:rPr>
          <w:rFonts w:ascii="Times New Roman" w:hAnsi="Times New Roman"/>
          <w:lang w:val="en-US"/>
        </w:rPr>
        <w:t>s</w:t>
      </w:r>
      <w:r w:rsidRPr="00F65686">
        <w:rPr>
          <w:rFonts w:ascii="Times New Roman" w:hAnsi="Times New Roman"/>
          <w:lang w:val="en-US"/>
        </w:rPr>
        <w:t>, from searching the most suitable call and partners to managing the application (duration 8 months).</w:t>
      </w:r>
    </w:p>
    <w:p w14:paraId="0A1355F3" w14:textId="103F35F7" w:rsidR="001B2146" w:rsidRPr="00F65686" w:rsidRDefault="001B2146" w:rsidP="00F65686">
      <w:pPr>
        <w:spacing w:after="120"/>
        <w:jc w:val="both"/>
        <w:rPr>
          <w:rFonts w:ascii="Times New Roman" w:hAnsi="Times New Roman"/>
          <w:lang w:val="en-US"/>
        </w:rPr>
      </w:pPr>
      <w:r w:rsidRPr="00F65686">
        <w:rPr>
          <w:rFonts w:ascii="Times New Roman" w:hAnsi="Times New Roman"/>
          <w:lang w:val="en-US"/>
        </w:rPr>
        <w:t>For action D, firms were free to use the voucher with consultancy firms that could help them to assess the financial sustainability of projects and to perform market analyses (duration 6 months). Action E1 could be used to involve young researchers or post-doctoral students, while action E2 involve</w:t>
      </w:r>
      <w:r w:rsidR="00F145A5" w:rsidRPr="00F65686">
        <w:rPr>
          <w:rFonts w:ascii="Times New Roman" w:hAnsi="Times New Roman"/>
          <w:lang w:val="en-US"/>
        </w:rPr>
        <w:t>s</w:t>
      </w:r>
      <w:r w:rsidRPr="00F65686">
        <w:rPr>
          <w:rFonts w:ascii="Times New Roman" w:hAnsi="Times New Roman"/>
          <w:lang w:val="en-US"/>
        </w:rPr>
        <w:t xml:space="preserve"> professionals with more than 10 years of experience in complex innovation projects. In these last two cases, voucher recipients signed a fixed-term contract for a maximum of 6 months.</w:t>
      </w:r>
    </w:p>
    <w:p w14:paraId="22D50772" w14:textId="6405EC25" w:rsidR="001B2146" w:rsidRPr="00F65686" w:rsidRDefault="001B2146" w:rsidP="00F65686">
      <w:pPr>
        <w:spacing w:after="120"/>
        <w:jc w:val="both"/>
        <w:rPr>
          <w:rFonts w:ascii="Times New Roman" w:hAnsi="Times New Roman"/>
          <w:lang w:val="en-US"/>
        </w:rPr>
      </w:pPr>
      <w:r w:rsidRPr="00F65686">
        <w:rPr>
          <w:rFonts w:ascii="Times New Roman" w:hAnsi="Times New Roman"/>
          <w:lang w:val="en-US"/>
        </w:rPr>
        <w:t>As part of the reporting, beneficiaries answered a survey questionnaire. Eventually, 582 responses out of the total of 1,162 beneficiaries were collected, with an excellent response rate of 50 per cent. In Table 1 we detail the number of respondents for each action and their share of the total sample.</w:t>
      </w:r>
    </w:p>
    <w:p w14:paraId="618B74C8" w14:textId="3C7E6F49" w:rsidR="001B2146" w:rsidRPr="00F65686" w:rsidRDefault="001B2146" w:rsidP="00F65686">
      <w:pPr>
        <w:spacing w:after="120"/>
        <w:jc w:val="both"/>
        <w:rPr>
          <w:rFonts w:ascii="Times New Roman" w:hAnsi="Times New Roman"/>
          <w:lang w:val="en-US"/>
        </w:rPr>
      </w:pPr>
      <w:r w:rsidRPr="00F65686">
        <w:rPr>
          <w:rFonts w:ascii="Times New Roman" w:hAnsi="Times New Roman"/>
          <w:lang w:val="en-US"/>
        </w:rPr>
        <w:t xml:space="preserve">Most interventions took the form of financial check-ups (279 projects carried out at the time of the survey), followed by </w:t>
      </w:r>
      <w:r w:rsidR="00F145A5" w:rsidRPr="00F65686">
        <w:rPr>
          <w:rFonts w:ascii="Times New Roman" w:hAnsi="Times New Roman"/>
          <w:lang w:val="en-US"/>
        </w:rPr>
        <w:t xml:space="preserve">the </w:t>
      </w:r>
      <w:r w:rsidRPr="00F65686">
        <w:rPr>
          <w:rFonts w:ascii="Times New Roman" w:hAnsi="Times New Roman"/>
          <w:lang w:val="en-US"/>
        </w:rPr>
        <w:t xml:space="preserve">hiring of innovation managers (99 cases). The survey collected information on the type of voucher received, the impacts of the voucher, and the beneficiary characteristics (R&amp;D and human capital intensity, workforce composition as well as firm’s attitude towards collaboration). Additional information on the respondents and their providers of technical services </w:t>
      </w:r>
      <w:r w:rsidR="00F145A5" w:rsidRPr="00F65686">
        <w:rPr>
          <w:rFonts w:ascii="Times New Roman" w:hAnsi="Times New Roman"/>
          <w:lang w:val="en-US"/>
        </w:rPr>
        <w:t xml:space="preserve">was </w:t>
      </w:r>
      <w:r w:rsidRPr="00F65686">
        <w:rPr>
          <w:rFonts w:ascii="Times New Roman" w:hAnsi="Times New Roman"/>
          <w:lang w:val="en-US"/>
        </w:rPr>
        <w:t>obtained by matching data from the Chamber of Commerce with those in the register of authorized providers (QuESTIO)</w:t>
      </w:r>
      <w:r w:rsidR="001B200A" w:rsidRPr="00F65686">
        <w:rPr>
          <w:rFonts w:ascii="Times New Roman" w:hAnsi="Times New Roman"/>
          <w:lang w:val="en-US"/>
        </w:rPr>
        <w:t>.</w:t>
      </w:r>
      <w:r w:rsidRPr="00F65686">
        <w:rPr>
          <w:rFonts w:ascii="Times New Roman" w:hAnsi="Times New Roman"/>
          <w:vertAlign w:val="superscript"/>
        </w:rPr>
        <w:footnoteReference w:id="10"/>
      </w:r>
    </w:p>
    <w:p w14:paraId="3E0C0ABA" w14:textId="77777777" w:rsidR="001B2146" w:rsidRPr="00F65686" w:rsidRDefault="001B2146" w:rsidP="00F65686">
      <w:pPr>
        <w:spacing w:after="120"/>
        <w:jc w:val="both"/>
        <w:rPr>
          <w:rFonts w:ascii="Times New Roman" w:hAnsi="Times New Roman"/>
          <w:lang w:val="en-US"/>
        </w:rPr>
      </w:pPr>
    </w:p>
    <w:p w14:paraId="6F0454E3" w14:textId="77777777" w:rsidR="001B2146" w:rsidRPr="00F65686" w:rsidRDefault="001B2146" w:rsidP="00F65686">
      <w:pPr>
        <w:pStyle w:val="Titolo3"/>
        <w:numPr>
          <w:ilvl w:val="1"/>
          <w:numId w:val="11"/>
        </w:numPr>
        <w:jc w:val="both"/>
        <w:rPr>
          <w:rFonts w:ascii="Times New Roman" w:hAnsi="Times New Roman"/>
          <w:lang w:val="en-US"/>
        </w:rPr>
      </w:pPr>
      <w:bookmarkStart w:id="4" w:name="_Toc352171026"/>
      <w:r w:rsidRPr="00F65686">
        <w:rPr>
          <w:rFonts w:ascii="Times New Roman" w:hAnsi="Times New Roman"/>
          <w:lang w:val="en-US"/>
        </w:rPr>
        <w:t>Research methodology and sample description</w:t>
      </w:r>
      <w:bookmarkEnd w:id="4"/>
    </w:p>
    <w:p w14:paraId="14398812" w14:textId="684E726A" w:rsidR="001B2146" w:rsidRPr="00F65686" w:rsidRDefault="001B2146" w:rsidP="00F65686">
      <w:pPr>
        <w:spacing w:after="120"/>
        <w:ind w:firstLine="284"/>
        <w:jc w:val="both"/>
        <w:rPr>
          <w:rFonts w:ascii="Times New Roman" w:hAnsi="Times New Roman"/>
          <w:lang w:val="en-US"/>
        </w:rPr>
      </w:pPr>
      <w:r w:rsidRPr="00F65686">
        <w:rPr>
          <w:rFonts w:ascii="Times New Roman" w:hAnsi="Times New Roman"/>
          <w:lang w:val="en-US"/>
        </w:rPr>
        <w:t xml:space="preserve">Innovation program evaluation typically takes place by matching treated units to a comparable control group (Klette et al., 2000). However, in most cases treatment (i.e. whether the firm is </w:t>
      </w:r>
      <w:r w:rsidR="00F145A5" w:rsidRPr="00F65686">
        <w:rPr>
          <w:rFonts w:ascii="Times New Roman" w:hAnsi="Times New Roman"/>
          <w:lang w:val="en-US"/>
        </w:rPr>
        <w:t xml:space="preserve">the </w:t>
      </w:r>
      <w:r w:rsidRPr="00F65686">
        <w:rPr>
          <w:rFonts w:ascii="Times New Roman" w:hAnsi="Times New Roman"/>
          <w:lang w:val="en-US"/>
        </w:rPr>
        <w:t>object of a policy intervention) is not independent from firm characteristics, because of both direct and indirect channels. Among the first, some firm features may make a company more prone to apply for a voucher. Among the latter, firms with some specific characteristics could be more likely to access the subsidy. In both cases, the treatment cannot be considered exogenous, and methods specific for endogenous treatment must be resorted to in order to make causal inference</w:t>
      </w:r>
      <w:r w:rsidR="00F145A5" w:rsidRPr="00F65686">
        <w:rPr>
          <w:rFonts w:ascii="Times New Roman" w:hAnsi="Times New Roman"/>
          <w:lang w:val="en-US"/>
        </w:rPr>
        <w:t>s</w:t>
      </w:r>
      <w:r w:rsidRPr="00F65686">
        <w:rPr>
          <w:rFonts w:ascii="Times New Roman" w:hAnsi="Times New Roman"/>
          <w:lang w:val="en-US"/>
        </w:rPr>
        <w:t xml:space="preserve"> about a program’s impact. This is the so-called </w:t>
      </w:r>
      <w:r w:rsidRPr="00F65686">
        <w:rPr>
          <w:rFonts w:ascii="Times New Roman" w:hAnsi="Times New Roman"/>
          <w:i/>
          <w:lang w:val="en-US"/>
        </w:rPr>
        <w:t>Rubin causal model</w:t>
      </w:r>
      <w:r w:rsidRPr="00F65686">
        <w:rPr>
          <w:rFonts w:ascii="Times New Roman" w:hAnsi="Times New Roman"/>
          <w:lang w:val="en-US"/>
        </w:rPr>
        <w:t xml:space="preserve"> (counterfactual model; Rubin, 1974), whose key assumption is that treatment assignment is dependent on outcomes because unobservables affecting treatment assignment and outcomes are in fact correlated (Wooldridge, 2010).</w:t>
      </w:r>
    </w:p>
    <w:p w14:paraId="1EFE741B" w14:textId="75035575" w:rsidR="00E36539" w:rsidRPr="00F65686" w:rsidRDefault="00EE2668" w:rsidP="00F65686">
      <w:pPr>
        <w:spacing w:after="120"/>
        <w:ind w:firstLine="284"/>
        <w:jc w:val="both"/>
        <w:rPr>
          <w:rFonts w:ascii="Times New Roman" w:hAnsi="Times New Roman"/>
          <w:lang w:val="en-US"/>
        </w:rPr>
      </w:pPr>
      <w:r w:rsidRPr="00F65686">
        <w:rPr>
          <w:rFonts w:ascii="Times New Roman" w:hAnsi="Times New Roman"/>
          <w:lang w:val="en-US"/>
        </w:rPr>
        <w:t>In the Lombardy scheme</w:t>
      </w:r>
      <w:r w:rsidR="00E36539" w:rsidRPr="00F65686">
        <w:rPr>
          <w:rFonts w:ascii="Times New Roman" w:hAnsi="Times New Roman"/>
          <w:lang w:val="en-US"/>
        </w:rPr>
        <w:t>, innovation vouchers differ in the intensity of the treatment among different units, ranging from a maximum contribution of € 2,000 for vouchers targeting technological scouting activities (A1 type), consorti</w:t>
      </w:r>
      <w:r w:rsidRPr="00F65686">
        <w:rPr>
          <w:rFonts w:ascii="Times New Roman" w:hAnsi="Times New Roman"/>
          <w:lang w:val="en-US"/>
        </w:rPr>
        <w:t>um-enhancing vouchers (C2 type)</w:t>
      </w:r>
      <w:r w:rsidR="00E36539" w:rsidRPr="00F65686">
        <w:rPr>
          <w:rFonts w:ascii="Times New Roman" w:hAnsi="Times New Roman"/>
          <w:lang w:val="en-US"/>
        </w:rPr>
        <w:t xml:space="preserve"> and financial check-up advisory activity (D type), through a maximum co-financing of </w:t>
      </w:r>
      <w:r w:rsidR="00B656EB" w:rsidRPr="00F65686">
        <w:rPr>
          <w:rFonts w:ascii="Times New Roman" w:hAnsi="Times New Roman"/>
          <w:lang w:val="en-US"/>
        </w:rPr>
        <w:t>€</w:t>
      </w:r>
      <w:r w:rsidR="00E36539" w:rsidRPr="00F65686">
        <w:rPr>
          <w:rFonts w:ascii="Times New Roman" w:hAnsi="Times New Roman"/>
          <w:lang w:val="en-US"/>
        </w:rPr>
        <w:t xml:space="preserve"> 12,000 for hiring junior researchers.</w:t>
      </w:r>
      <w:r w:rsidR="001B200A" w:rsidRPr="00F65686">
        <w:rPr>
          <w:rFonts w:ascii="Times New Roman" w:hAnsi="Times New Roman"/>
          <w:lang w:val="en-US"/>
        </w:rPr>
        <w:t xml:space="preserve"> The intensity of treatment is what is formally defined dose, and the outcome is termed response (hence, the definition of dose-response function).</w:t>
      </w:r>
    </w:p>
    <w:p w14:paraId="7011F568" w14:textId="43493400" w:rsidR="00102484" w:rsidRPr="00F65686" w:rsidRDefault="00900871" w:rsidP="00F65686">
      <w:pPr>
        <w:spacing w:after="120"/>
        <w:ind w:firstLine="284"/>
        <w:jc w:val="both"/>
        <w:rPr>
          <w:rFonts w:ascii="Times New Roman" w:hAnsi="Times New Roman"/>
          <w:lang w:val="en-US"/>
        </w:rPr>
      </w:pPr>
      <w:r w:rsidRPr="00F65686">
        <w:rPr>
          <w:rFonts w:ascii="Times New Roman" w:hAnsi="Times New Roman"/>
          <w:lang w:val="en-US"/>
        </w:rPr>
        <w:t xml:space="preserve">Among the </w:t>
      </w:r>
      <w:r w:rsidR="00526266" w:rsidRPr="00F65686">
        <w:rPr>
          <w:rFonts w:ascii="Times New Roman" w:hAnsi="Times New Roman"/>
          <w:lang w:val="en-US"/>
        </w:rPr>
        <w:t>responses</w:t>
      </w:r>
      <w:r w:rsidRPr="00F65686">
        <w:rPr>
          <w:rFonts w:ascii="Times New Roman" w:hAnsi="Times New Roman"/>
          <w:lang w:val="en-US"/>
        </w:rPr>
        <w:t xml:space="preserve"> collected in the questionnaire, three </w:t>
      </w:r>
      <w:r w:rsidR="00416E9B" w:rsidRPr="00F65686">
        <w:rPr>
          <w:rFonts w:ascii="Times New Roman" w:hAnsi="Times New Roman"/>
          <w:lang w:val="en-US"/>
        </w:rPr>
        <w:t xml:space="preserve">items </w:t>
      </w:r>
      <w:r w:rsidR="00D101B9" w:rsidRPr="00F65686">
        <w:rPr>
          <w:rFonts w:ascii="Times New Roman" w:hAnsi="Times New Roman"/>
          <w:lang w:val="en-US"/>
        </w:rPr>
        <w:t>were</w:t>
      </w:r>
      <w:r w:rsidRPr="00F65686">
        <w:rPr>
          <w:rFonts w:ascii="Times New Roman" w:hAnsi="Times New Roman"/>
          <w:lang w:val="en-US"/>
        </w:rPr>
        <w:t xml:space="preserve"> selected as measures of firm performance</w:t>
      </w:r>
      <w:r w:rsidR="00BC6C79" w:rsidRPr="00F65686">
        <w:rPr>
          <w:rFonts w:ascii="Times New Roman" w:hAnsi="Times New Roman"/>
          <w:lang w:val="en-US"/>
        </w:rPr>
        <w:t xml:space="preserve"> to match the research questions </w:t>
      </w:r>
      <w:r w:rsidR="00526266" w:rsidRPr="00F65686">
        <w:rPr>
          <w:rFonts w:ascii="Times New Roman" w:hAnsi="Times New Roman"/>
          <w:lang w:val="en-US"/>
        </w:rPr>
        <w:t>introduced</w:t>
      </w:r>
      <w:r w:rsidR="00BC6C79" w:rsidRPr="00F65686">
        <w:rPr>
          <w:rFonts w:ascii="Times New Roman" w:hAnsi="Times New Roman"/>
          <w:lang w:val="en-US"/>
        </w:rPr>
        <w:t xml:space="preserve"> in Section 2.</w:t>
      </w:r>
      <w:r w:rsidR="006D7E93" w:rsidRPr="00F65686">
        <w:rPr>
          <w:rFonts w:ascii="Times New Roman" w:hAnsi="Times New Roman"/>
          <w:lang w:val="en-US"/>
        </w:rPr>
        <w:t>5</w:t>
      </w:r>
      <w:r w:rsidR="00526266" w:rsidRPr="00F65686">
        <w:rPr>
          <w:rFonts w:ascii="Times New Roman" w:hAnsi="Times New Roman"/>
          <w:lang w:val="en-US"/>
        </w:rPr>
        <w:t>. Table 2</w:t>
      </w:r>
      <w:r w:rsidRPr="00F65686">
        <w:rPr>
          <w:rFonts w:ascii="Times New Roman" w:hAnsi="Times New Roman"/>
          <w:lang w:val="en-US"/>
        </w:rPr>
        <w:t xml:space="preserve"> shows the main descriptive statistics of the three questions </w:t>
      </w:r>
      <w:r w:rsidR="00416E9B" w:rsidRPr="00F65686">
        <w:rPr>
          <w:rFonts w:ascii="Times New Roman" w:hAnsi="Times New Roman"/>
          <w:lang w:val="en-US"/>
        </w:rPr>
        <w:t xml:space="preserve">(in bold) </w:t>
      </w:r>
      <w:r w:rsidRPr="00F65686">
        <w:rPr>
          <w:rFonts w:ascii="Times New Roman" w:hAnsi="Times New Roman"/>
          <w:lang w:val="en-US"/>
        </w:rPr>
        <w:t>used as dependent variables in the empirical models</w:t>
      </w:r>
      <w:r w:rsidR="00BC6C79" w:rsidRPr="00F65686">
        <w:rPr>
          <w:rFonts w:ascii="Times New Roman" w:hAnsi="Times New Roman"/>
          <w:lang w:val="en-US"/>
        </w:rPr>
        <w:t xml:space="preserve"> as well as for the main covariates used for calculating </w:t>
      </w:r>
      <w:r w:rsidR="00526266" w:rsidRPr="00F65686">
        <w:rPr>
          <w:rFonts w:ascii="Times New Roman" w:hAnsi="Times New Roman"/>
          <w:lang w:val="en-US"/>
        </w:rPr>
        <w:t xml:space="preserve">the </w:t>
      </w:r>
      <w:r w:rsidR="00BC6C79" w:rsidRPr="00F65686">
        <w:rPr>
          <w:rFonts w:ascii="Times New Roman" w:hAnsi="Times New Roman"/>
          <w:lang w:val="en-US"/>
        </w:rPr>
        <w:t>GPS</w:t>
      </w:r>
      <w:r w:rsidR="00D50086" w:rsidRPr="00F65686">
        <w:rPr>
          <w:rFonts w:ascii="Times New Roman" w:hAnsi="Times New Roman"/>
          <w:lang w:val="en-US"/>
        </w:rPr>
        <w:t>.</w:t>
      </w:r>
    </w:p>
    <w:p w14:paraId="45874953" w14:textId="27EBFA58" w:rsidR="009901A0" w:rsidRPr="00F65686" w:rsidRDefault="009901A0" w:rsidP="00F65686">
      <w:pPr>
        <w:spacing w:after="120"/>
        <w:jc w:val="both"/>
        <w:rPr>
          <w:rFonts w:ascii="Times New Roman" w:hAnsi="Times New Roman"/>
          <w:lang w:val="en-US"/>
        </w:rPr>
      </w:pPr>
      <w:r w:rsidRPr="00F65686">
        <w:rPr>
          <w:rFonts w:ascii="Times New Roman" w:hAnsi="Times New Roman"/>
          <w:lang w:val="en-US"/>
        </w:rPr>
        <w:lastRenderedPageBreak/>
        <w:t>All dependent variables have a binary nature, i.e. they reflect a yes/no question; the questionnaire verified whether as a consequence of being treated by the voucher, beneficiary firms had witnessed a turnover increase, developed new skills (either managerial or technical), and if they were achieving initially unexpected results.</w:t>
      </w:r>
    </w:p>
    <w:p w14:paraId="2EC281D7" w14:textId="362D9FBE" w:rsidR="00F27F57" w:rsidRPr="00F65686" w:rsidRDefault="00F27F57" w:rsidP="00F65686">
      <w:pPr>
        <w:pStyle w:val="Didascalia"/>
        <w:keepNext/>
        <w:spacing w:after="120" w:line="276" w:lineRule="auto"/>
        <w:jc w:val="both"/>
        <w:rPr>
          <w:rFonts w:ascii="Times New Roman" w:hAnsi="Times New Roman"/>
          <w:sz w:val="20"/>
          <w:szCs w:val="20"/>
          <w:lang w:val="en-US"/>
        </w:rPr>
      </w:pPr>
      <w:r w:rsidRPr="00F65686">
        <w:rPr>
          <w:rFonts w:ascii="Times New Roman" w:hAnsi="Times New Roman"/>
          <w:sz w:val="20"/>
          <w:szCs w:val="20"/>
          <w:lang w:val="en-US"/>
        </w:rPr>
        <w:t xml:space="preserve">Table </w:t>
      </w:r>
      <w:r w:rsidR="00526266" w:rsidRPr="00F65686">
        <w:rPr>
          <w:rFonts w:ascii="Times New Roman" w:hAnsi="Times New Roman"/>
          <w:sz w:val="20"/>
          <w:szCs w:val="20"/>
          <w:lang w:val="en-US"/>
        </w:rPr>
        <w:t>2</w:t>
      </w:r>
      <w:r w:rsidRPr="00F65686">
        <w:rPr>
          <w:rFonts w:ascii="Times New Roman" w:hAnsi="Times New Roman"/>
          <w:sz w:val="20"/>
          <w:szCs w:val="20"/>
          <w:lang w:val="en-US"/>
        </w:rPr>
        <w:t xml:space="preserve">. Firm performance </w:t>
      </w:r>
      <w:r w:rsidR="004152D7" w:rsidRPr="00F65686">
        <w:rPr>
          <w:rFonts w:ascii="Times New Roman" w:hAnsi="Times New Roman"/>
          <w:sz w:val="20"/>
          <w:szCs w:val="20"/>
          <w:lang w:val="en-US"/>
        </w:rPr>
        <w:t xml:space="preserve">and characteristics </w:t>
      </w:r>
      <w:r w:rsidRPr="00F65686">
        <w:rPr>
          <w:rFonts w:ascii="Times New Roman" w:hAnsi="Times New Roman"/>
          <w:sz w:val="20"/>
          <w:szCs w:val="20"/>
          <w:lang w:val="en-US"/>
        </w:rPr>
        <w:t>indicators</w:t>
      </w:r>
      <w:r w:rsidR="004152D7" w:rsidRPr="00F65686">
        <w:rPr>
          <w:rFonts w:ascii="Times New Roman" w:hAnsi="Times New Roman"/>
          <w:sz w:val="20"/>
          <w:szCs w:val="20"/>
          <w:lang w:val="en-US"/>
        </w:rPr>
        <w:t>; descriptive statistics</w:t>
      </w:r>
    </w:p>
    <w:tbl>
      <w:tblPr>
        <w:tblW w:w="9746" w:type="dxa"/>
        <w:tblInd w:w="108" w:type="dxa"/>
        <w:tblLook w:val="04A0" w:firstRow="1" w:lastRow="0" w:firstColumn="1" w:lastColumn="0" w:noHBand="0" w:noVBand="1"/>
      </w:tblPr>
      <w:tblGrid>
        <w:gridCol w:w="5812"/>
        <w:gridCol w:w="851"/>
        <w:gridCol w:w="708"/>
        <w:gridCol w:w="1129"/>
        <w:gridCol w:w="572"/>
        <w:gridCol w:w="674"/>
      </w:tblGrid>
      <w:tr w:rsidR="00DC3D19" w:rsidRPr="00F65686" w14:paraId="5AC87ECE" w14:textId="77777777" w:rsidTr="00DC3D19">
        <w:trPr>
          <w:trHeight w:val="270"/>
        </w:trPr>
        <w:tc>
          <w:tcPr>
            <w:tcW w:w="5812" w:type="dxa"/>
            <w:tcBorders>
              <w:top w:val="single" w:sz="4" w:space="0" w:color="auto"/>
              <w:left w:val="nil"/>
              <w:bottom w:val="double" w:sz="6" w:space="0" w:color="auto"/>
              <w:right w:val="nil"/>
            </w:tcBorders>
            <w:shd w:val="clear" w:color="auto" w:fill="auto"/>
            <w:noWrap/>
            <w:vAlign w:val="center"/>
            <w:hideMark/>
          </w:tcPr>
          <w:p w14:paraId="76FBEF64" w14:textId="77777777" w:rsidR="004152D7" w:rsidRPr="00F65686" w:rsidRDefault="004152D7" w:rsidP="00F65686">
            <w:pPr>
              <w:spacing w:after="120"/>
              <w:jc w:val="both"/>
              <w:rPr>
                <w:rFonts w:ascii="Times New Roman" w:hAnsi="Times New Roman"/>
                <w:b/>
                <w:bCs/>
                <w:color w:val="000000"/>
                <w:sz w:val="20"/>
                <w:szCs w:val="20"/>
                <w:lang w:val="en-US"/>
              </w:rPr>
            </w:pPr>
            <w:r w:rsidRPr="00F65686">
              <w:rPr>
                <w:rFonts w:ascii="Times New Roman" w:hAnsi="Times New Roman"/>
                <w:b/>
                <w:bCs/>
                <w:color w:val="000000"/>
                <w:sz w:val="20"/>
                <w:szCs w:val="20"/>
                <w:lang w:val="en-US"/>
              </w:rPr>
              <w:t>Variable</w:t>
            </w:r>
          </w:p>
        </w:tc>
        <w:tc>
          <w:tcPr>
            <w:tcW w:w="851" w:type="dxa"/>
            <w:tcBorders>
              <w:top w:val="single" w:sz="4" w:space="0" w:color="auto"/>
              <w:left w:val="nil"/>
              <w:bottom w:val="double" w:sz="6" w:space="0" w:color="auto"/>
              <w:right w:val="nil"/>
            </w:tcBorders>
            <w:shd w:val="clear" w:color="auto" w:fill="auto"/>
            <w:noWrap/>
            <w:vAlign w:val="center"/>
            <w:hideMark/>
          </w:tcPr>
          <w:p w14:paraId="3A1BCAD0" w14:textId="56A7FA05" w:rsidR="004152D7" w:rsidRPr="00F65686" w:rsidRDefault="004152D7" w:rsidP="00F65686">
            <w:pPr>
              <w:spacing w:after="120"/>
              <w:jc w:val="both"/>
              <w:rPr>
                <w:rFonts w:ascii="Times New Roman" w:hAnsi="Times New Roman"/>
                <w:b/>
                <w:bCs/>
                <w:color w:val="000000"/>
                <w:sz w:val="20"/>
                <w:szCs w:val="20"/>
                <w:lang w:val="en-US"/>
              </w:rPr>
            </w:pPr>
            <w:r w:rsidRPr="00F65686">
              <w:rPr>
                <w:rFonts w:ascii="Times New Roman" w:hAnsi="Times New Roman"/>
                <w:b/>
                <w:bCs/>
                <w:color w:val="000000"/>
                <w:sz w:val="20"/>
                <w:szCs w:val="20"/>
                <w:lang w:val="en-US"/>
              </w:rPr>
              <w:t>Obs</w:t>
            </w:r>
            <w:r w:rsidR="00526266" w:rsidRPr="00F65686">
              <w:rPr>
                <w:rFonts w:ascii="Times New Roman" w:hAnsi="Times New Roman"/>
                <w:b/>
                <w:bCs/>
                <w:color w:val="000000"/>
                <w:sz w:val="20"/>
                <w:szCs w:val="20"/>
                <w:lang w:val="en-US"/>
              </w:rPr>
              <w:t>.</w:t>
            </w:r>
          </w:p>
        </w:tc>
        <w:tc>
          <w:tcPr>
            <w:tcW w:w="708" w:type="dxa"/>
            <w:tcBorders>
              <w:top w:val="single" w:sz="4" w:space="0" w:color="auto"/>
              <w:left w:val="nil"/>
              <w:bottom w:val="double" w:sz="6" w:space="0" w:color="auto"/>
              <w:right w:val="nil"/>
            </w:tcBorders>
            <w:shd w:val="clear" w:color="auto" w:fill="auto"/>
            <w:noWrap/>
            <w:vAlign w:val="center"/>
            <w:hideMark/>
          </w:tcPr>
          <w:p w14:paraId="57404E39" w14:textId="77777777" w:rsidR="004152D7" w:rsidRPr="00F65686" w:rsidRDefault="004152D7" w:rsidP="00F65686">
            <w:pPr>
              <w:spacing w:after="120"/>
              <w:jc w:val="both"/>
              <w:rPr>
                <w:rFonts w:ascii="Times New Roman" w:hAnsi="Times New Roman"/>
                <w:b/>
                <w:bCs/>
                <w:color w:val="000000"/>
                <w:sz w:val="20"/>
                <w:szCs w:val="20"/>
                <w:lang w:val="en-US"/>
              </w:rPr>
            </w:pPr>
            <w:r w:rsidRPr="00F65686">
              <w:rPr>
                <w:rFonts w:ascii="Times New Roman" w:hAnsi="Times New Roman"/>
                <w:b/>
                <w:bCs/>
                <w:color w:val="000000"/>
                <w:sz w:val="20"/>
                <w:szCs w:val="20"/>
                <w:lang w:val="en-US"/>
              </w:rPr>
              <w:t>Mean</w:t>
            </w:r>
          </w:p>
        </w:tc>
        <w:tc>
          <w:tcPr>
            <w:tcW w:w="1129" w:type="dxa"/>
            <w:tcBorders>
              <w:top w:val="single" w:sz="4" w:space="0" w:color="auto"/>
              <w:left w:val="nil"/>
              <w:bottom w:val="double" w:sz="6" w:space="0" w:color="auto"/>
              <w:right w:val="nil"/>
            </w:tcBorders>
            <w:shd w:val="clear" w:color="auto" w:fill="auto"/>
            <w:noWrap/>
            <w:vAlign w:val="center"/>
            <w:hideMark/>
          </w:tcPr>
          <w:p w14:paraId="5905D78B" w14:textId="77777777" w:rsidR="004152D7" w:rsidRPr="00F65686" w:rsidRDefault="004152D7" w:rsidP="00F65686">
            <w:pPr>
              <w:spacing w:after="120"/>
              <w:jc w:val="both"/>
              <w:rPr>
                <w:rFonts w:ascii="Times New Roman" w:hAnsi="Times New Roman"/>
                <w:b/>
                <w:bCs/>
                <w:color w:val="000000"/>
                <w:sz w:val="20"/>
                <w:szCs w:val="20"/>
                <w:lang w:val="en-US"/>
              </w:rPr>
            </w:pPr>
            <w:r w:rsidRPr="00F65686">
              <w:rPr>
                <w:rFonts w:ascii="Times New Roman" w:hAnsi="Times New Roman"/>
                <w:b/>
                <w:bCs/>
                <w:color w:val="000000"/>
                <w:sz w:val="20"/>
                <w:szCs w:val="20"/>
                <w:lang w:val="en-US"/>
              </w:rPr>
              <w:t>Std. Dev.</w:t>
            </w:r>
          </w:p>
        </w:tc>
        <w:tc>
          <w:tcPr>
            <w:tcW w:w="572" w:type="dxa"/>
            <w:tcBorders>
              <w:top w:val="single" w:sz="4" w:space="0" w:color="auto"/>
              <w:left w:val="nil"/>
              <w:bottom w:val="double" w:sz="6" w:space="0" w:color="auto"/>
              <w:right w:val="nil"/>
            </w:tcBorders>
            <w:shd w:val="clear" w:color="auto" w:fill="auto"/>
            <w:noWrap/>
            <w:vAlign w:val="center"/>
            <w:hideMark/>
          </w:tcPr>
          <w:p w14:paraId="502ACC7B" w14:textId="77777777" w:rsidR="004152D7" w:rsidRPr="00F65686" w:rsidRDefault="004152D7" w:rsidP="00F65686">
            <w:pPr>
              <w:spacing w:after="120"/>
              <w:jc w:val="both"/>
              <w:rPr>
                <w:rFonts w:ascii="Times New Roman" w:hAnsi="Times New Roman"/>
                <w:b/>
                <w:bCs/>
                <w:color w:val="000000"/>
                <w:sz w:val="20"/>
                <w:szCs w:val="20"/>
                <w:lang w:val="en-US"/>
              </w:rPr>
            </w:pPr>
            <w:r w:rsidRPr="00F65686">
              <w:rPr>
                <w:rFonts w:ascii="Times New Roman" w:hAnsi="Times New Roman"/>
                <w:b/>
                <w:bCs/>
                <w:color w:val="000000"/>
                <w:sz w:val="20"/>
                <w:szCs w:val="20"/>
                <w:lang w:val="en-US"/>
              </w:rPr>
              <w:t>Min</w:t>
            </w:r>
          </w:p>
        </w:tc>
        <w:tc>
          <w:tcPr>
            <w:tcW w:w="674" w:type="dxa"/>
            <w:tcBorders>
              <w:top w:val="single" w:sz="4" w:space="0" w:color="auto"/>
              <w:left w:val="nil"/>
              <w:bottom w:val="double" w:sz="6" w:space="0" w:color="auto"/>
              <w:right w:val="nil"/>
            </w:tcBorders>
            <w:shd w:val="clear" w:color="auto" w:fill="auto"/>
            <w:noWrap/>
            <w:vAlign w:val="center"/>
            <w:hideMark/>
          </w:tcPr>
          <w:p w14:paraId="14F3747C" w14:textId="77777777" w:rsidR="004152D7" w:rsidRPr="00F65686" w:rsidRDefault="004152D7" w:rsidP="00F65686">
            <w:pPr>
              <w:spacing w:after="120"/>
              <w:jc w:val="both"/>
              <w:rPr>
                <w:rFonts w:ascii="Times New Roman" w:hAnsi="Times New Roman"/>
                <w:b/>
                <w:bCs/>
                <w:color w:val="000000"/>
                <w:sz w:val="20"/>
                <w:szCs w:val="20"/>
                <w:lang w:val="en-US"/>
              </w:rPr>
            </w:pPr>
            <w:r w:rsidRPr="00F65686">
              <w:rPr>
                <w:rFonts w:ascii="Times New Roman" w:hAnsi="Times New Roman"/>
                <w:b/>
                <w:bCs/>
                <w:color w:val="000000"/>
                <w:sz w:val="20"/>
                <w:szCs w:val="20"/>
                <w:lang w:val="en-US"/>
              </w:rPr>
              <w:t>Max</w:t>
            </w:r>
          </w:p>
        </w:tc>
      </w:tr>
      <w:tr w:rsidR="00DC3D19" w:rsidRPr="00F65686" w14:paraId="69CF3FA2" w14:textId="77777777" w:rsidTr="00DC3D19">
        <w:trPr>
          <w:trHeight w:val="270"/>
        </w:trPr>
        <w:tc>
          <w:tcPr>
            <w:tcW w:w="5812" w:type="dxa"/>
            <w:tcBorders>
              <w:top w:val="nil"/>
              <w:left w:val="nil"/>
              <w:bottom w:val="nil"/>
              <w:right w:val="nil"/>
            </w:tcBorders>
            <w:shd w:val="clear" w:color="auto" w:fill="auto"/>
            <w:noWrap/>
          </w:tcPr>
          <w:p w14:paraId="58B582CB" w14:textId="77777777" w:rsidR="00DC3D19" w:rsidRPr="00F65686" w:rsidRDefault="00DC3D19" w:rsidP="00F65686">
            <w:pPr>
              <w:spacing w:after="120"/>
              <w:jc w:val="both"/>
              <w:rPr>
                <w:rFonts w:ascii="Times New Roman" w:hAnsi="Times New Roman"/>
                <w:b/>
                <w:bCs/>
                <w:iCs/>
                <w:color w:val="000000"/>
                <w:sz w:val="20"/>
                <w:szCs w:val="20"/>
                <w:lang w:val="en-US" w:eastAsia="it-IT"/>
              </w:rPr>
            </w:pPr>
            <w:r w:rsidRPr="00F65686">
              <w:rPr>
                <w:rFonts w:ascii="Times New Roman" w:hAnsi="Times New Roman"/>
                <w:b/>
                <w:bCs/>
                <w:iCs/>
                <w:color w:val="000000"/>
                <w:sz w:val="20"/>
                <w:szCs w:val="20"/>
                <w:lang w:val="en-US" w:eastAsia="it-IT"/>
              </w:rPr>
              <w:t>Firm turnover has increased</w:t>
            </w:r>
          </w:p>
        </w:tc>
        <w:tc>
          <w:tcPr>
            <w:tcW w:w="851" w:type="dxa"/>
            <w:tcBorders>
              <w:top w:val="nil"/>
              <w:left w:val="nil"/>
              <w:bottom w:val="nil"/>
              <w:right w:val="nil"/>
            </w:tcBorders>
            <w:shd w:val="clear" w:color="auto" w:fill="auto"/>
            <w:noWrap/>
            <w:vAlign w:val="center"/>
          </w:tcPr>
          <w:p w14:paraId="46679D68"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569</w:t>
            </w:r>
          </w:p>
        </w:tc>
        <w:tc>
          <w:tcPr>
            <w:tcW w:w="708" w:type="dxa"/>
            <w:tcBorders>
              <w:top w:val="nil"/>
              <w:left w:val="nil"/>
              <w:bottom w:val="nil"/>
              <w:right w:val="nil"/>
            </w:tcBorders>
            <w:shd w:val="clear" w:color="auto" w:fill="auto"/>
            <w:noWrap/>
            <w:vAlign w:val="center"/>
          </w:tcPr>
          <w:p w14:paraId="100E7BB2"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0.81</w:t>
            </w:r>
          </w:p>
        </w:tc>
        <w:tc>
          <w:tcPr>
            <w:tcW w:w="1129" w:type="dxa"/>
            <w:tcBorders>
              <w:top w:val="nil"/>
              <w:left w:val="nil"/>
              <w:bottom w:val="nil"/>
              <w:right w:val="nil"/>
            </w:tcBorders>
            <w:shd w:val="clear" w:color="auto" w:fill="auto"/>
            <w:noWrap/>
            <w:vAlign w:val="center"/>
          </w:tcPr>
          <w:p w14:paraId="16AC1822"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0.39</w:t>
            </w:r>
          </w:p>
        </w:tc>
        <w:tc>
          <w:tcPr>
            <w:tcW w:w="572" w:type="dxa"/>
            <w:tcBorders>
              <w:top w:val="nil"/>
              <w:left w:val="nil"/>
              <w:bottom w:val="nil"/>
              <w:right w:val="nil"/>
            </w:tcBorders>
            <w:shd w:val="clear" w:color="auto" w:fill="auto"/>
            <w:noWrap/>
            <w:vAlign w:val="center"/>
          </w:tcPr>
          <w:p w14:paraId="63269A3B"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0</w:t>
            </w:r>
          </w:p>
        </w:tc>
        <w:tc>
          <w:tcPr>
            <w:tcW w:w="674" w:type="dxa"/>
            <w:tcBorders>
              <w:top w:val="nil"/>
              <w:left w:val="nil"/>
              <w:bottom w:val="nil"/>
              <w:right w:val="nil"/>
            </w:tcBorders>
            <w:shd w:val="clear" w:color="auto" w:fill="auto"/>
            <w:noWrap/>
            <w:vAlign w:val="center"/>
          </w:tcPr>
          <w:p w14:paraId="5AF7A705"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1</w:t>
            </w:r>
          </w:p>
        </w:tc>
      </w:tr>
      <w:tr w:rsidR="00DC3D19" w:rsidRPr="00F65686" w14:paraId="15066558" w14:textId="77777777" w:rsidTr="00DC3D19">
        <w:trPr>
          <w:trHeight w:val="255"/>
        </w:trPr>
        <w:tc>
          <w:tcPr>
            <w:tcW w:w="5812" w:type="dxa"/>
            <w:tcBorders>
              <w:top w:val="nil"/>
              <w:left w:val="nil"/>
              <w:bottom w:val="nil"/>
              <w:right w:val="nil"/>
            </w:tcBorders>
            <w:shd w:val="clear" w:color="auto" w:fill="auto"/>
            <w:noWrap/>
            <w:hideMark/>
          </w:tcPr>
          <w:p w14:paraId="4EC91B5E" w14:textId="77777777" w:rsidR="00DC3D19" w:rsidRPr="00F65686" w:rsidRDefault="00DC3D19" w:rsidP="00F65686">
            <w:pPr>
              <w:spacing w:after="120"/>
              <w:jc w:val="both"/>
              <w:rPr>
                <w:rFonts w:ascii="Times New Roman" w:hAnsi="Times New Roman"/>
                <w:b/>
                <w:bCs/>
                <w:iCs/>
                <w:color w:val="000000"/>
                <w:sz w:val="20"/>
                <w:szCs w:val="20"/>
                <w:lang w:val="en-US" w:eastAsia="it-IT"/>
              </w:rPr>
            </w:pPr>
            <w:r w:rsidRPr="00F65686">
              <w:rPr>
                <w:rFonts w:ascii="Times New Roman" w:hAnsi="Times New Roman"/>
                <w:b/>
                <w:bCs/>
                <w:iCs/>
                <w:color w:val="000000"/>
                <w:sz w:val="20"/>
                <w:szCs w:val="20"/>
                <w:lang w:val="en-US" w:eastAsia="it-IT"/>
              </w:rPr>
              <w:t>The firm has developed new skills (either managerial or technical)</w:t>
            </w:r>
          </w:p>
        </w:tc>
        <w:tc>
          <w:tcPr>
            <w:tcW w:w="851" w:type="dxa"/>
            <w:tcBorders>
              <w:top w:val="nil"/>
              <w:left w:val="nil"/>
              <w:bottom w:val="nil"/>
              <w:right w:val="nil"/>
            </w:tcBorders>
            <w:shd w:val="clear" w:color="auto" w:fill="auto"/>
            <w:noWrap/>
            <w:vAlign w:val="center"/>
            <w:hideMark/>
          </w:tcPr>
          <w:p w14:paraId="142BC61C"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562</w:t>
            </w:r>
          </w:p>
        </w:tc>
        <w:tc>
          <w:tcPr>
            <w:tcW w:w="708" w:type="dxa"/>
            <w:tcBorders>
              <w:top w:val="nil"/>
              <w:left w:val="nil"/>
              <w:bottom w:val="nil"/>
              <w:right w:val="nil"/>
            </w:tcBorders>
            <w:shd w:val="clear" w:color="auto" w:fill="auto"/>
            <w:noWrap/>
            <w:vAlign w:val="center"/>
            <w:hideMark/>
          </w:tcPr>
          <w:p w14:paraId="6E5BD54B"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0.51</w:t>
            </w:r>
          </w:p>
        </w:tc>
        <w:tc>
          <w:tcPr>
            <w:tcW w:w="1129" w:type="dxa"/>
            <w:tcBorders>
              <w:top w:val="nil"/>
              <w:left w:val="nil"/>
              <w:bottom w:val="nil"/>
              <w:right w:val="nil"/>
            </w:tcBorders>
            <w:shd w:val="clear" w:color="auto" w:fill="auto"/>
            <w:noWrap/>
            <w:vAlign w:val="center"/>
            <w:hideMark/>
          </w:tcPr>
          <w:p w14:paraId="54129621"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0.30</w:t>
            </w:r>
          </w:p>
        </w:tc>
        <w:tc>
          <w:tcPr>
            <w:tcW w:w="572" w:type="dxa"/>
            <w:tcBorders>
              <w:top w:val="nil"/>
              <w:left w:val="nil"/>
              <w:bottom w:val="nil"/>
              <w:right w:val="nil"/>
            </w:tcBorders>
            <w:shd w:val="clear" w:color="auto" w:fill="auto"/>
            <w:noWrap/>
            <w:vAlign w:val="center"/>
            <w:hideMark/>
          </w:tcPr>
          <w:p w14:paraId="681661CD"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0</w:t>
            </w:r>
          </w:p>
        </w:tc>
        <w:tc>
          <w:tcPr>
            <w:tcW w:w="674" w:type="dxa"/>
            <w:tcBorders>
              <w:top w:val="nil"/>
              <w:left w:val="nil"/>
              <w:bottom w:val="nil"/>
              <w:right w:val="nil"/>
            </w:tcBorders>
            <w:shd w:val="clear" w:color="auto" w:fill="auto"/>
            <w:noWrap/>
            <w:vAlign w:val="center"/>
            <w:hideMark/>
          </w:tcPr>
          <w:p w14:paraId="3DB2F24E"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1</w:t>
            </w:r>
          </w:p>
        </w:tc>
      </w:tr>
      <w:tr w:rsidR="00DC3D19" w:rsidRPr="00F65686" w14:paraId="4EB1D966" w14:textId="77777777" w:rsidTr="00DC3D19">
        <w:trPr>
          <w:trHeight w:val="255"/>
        </w:trPr>
        <w:tc>
          <w:tcPr>
            <w:tcW w:w="5812" w:type="dxa"/>
            <w:tcBorders>
              <w:top w:val="nil"/>
              <w:left w:val="nil"/>
              <w:bottom w:val="nil"/>
              <w:right w:val="nil"/>
            </w:tcBorders>
            <w:shd w:val="clear" w:color="auto" w:fill="auto"/>
            <w:noWrap/>
          </w:tcPr>
          <w:p w14:paraId="316A8DA1" w14:textId="3D55E688" w:rsidR="00DC3D19" w:rsidRPr="00F65686" w:rsidRDefault="009D3FD1" w:rsidP="00F65686">
            <w:pPr>
              <w:spacing w:after="120"/>
              <w:jc w:val="both"/>
              <w:rPr>
                <w:rFonts w:ascii="Times New Roman" w:hAnsi="Times New Roman"/>
                <w:b/>
                <w:bCs/>
                <w:iCs/>
                <w:color w:val="000000"/>
                <w:sz w:val="20"/>
                <w:szCs w:val="20"/>
                <w:lang w:val="en-US" w:eastAsia="it-IT"/>
              </w:rPr>
            </w:pPr>
            <w:r w:rsidRPr="00F65686">
              <w:rPr>
                <w:rFonts w:ascii="Times New Roman" w:hAnsi="Times New Roman"/>
                <w:b/>
                <w:bCs/>
                <w:iCs/>
                <w:color w:val="000000"/>
                <w:sz w:val="20"/>
                <w:szCs w:val="20"/>
                <w:lang w:val="en-US" w:eastAsia="it-IT"/>
              </w:rPr>
              <w:t>T</w:t>
            </w:r>
            <w:r w:rsidR="00DC3D19" w:rsidRPr="00F65686">
              <w:rPr>
                <w:rFonts w:ascii="Times New Roman" w:hAnsi="Times New Roman"/>
                <w:b/>
                <w:bCs/>
                <w:iCs/>
                <w:color w:val="000000"/>
                <w:sz w:val="20"/>
                <w:szCs w:val="20"/>
                <w:lang w:val="en-US" w:eastAsia="it-IT"/>
              </w:rPr>
              <w:t xml:space="preserve">he firm </w:t>
            </w:r>
            <w:r w:rsidRPr="00F65686">
              <w:rPr>
                <w:rFonts w:ascii="Times New Roman" w:hAnsi="Times New Roman"/>
                <w:b/>
                <w:bCs/>
                <w:iCs/>
                <w:color w:val="000000"/>
                <w:sz w:val="20"/>
                <w:szCs w:val="20"/>
                <w:lang w:val="en-US" w:eastAsia="it-IT"/>
              </w:rPr>
              <w:t xml:space="preserve">has </w:t>
            </w:r>
            <w:r w:rsidR="00DC3D19" w:rsidRPr="00F65686">
              <w:rPr>
                <w:rFonts w:ascii="Times New Roman" w:hAnsi="Times New Roman"/>
                <w:b/>
                <w:bCs/>
                <w:iCs/>
                <w:color w:val="000000"/>
                <w:sz w:val="20"/>
                <w:szCs w:val="20"/>
                <w:lang w:val="en-US" w:eastAsia="it-IT"/>
              </w:rPr>
              <w:t>achieve</w:t>
            </w:r>
            <w:r w:rsidRPr="00F65686">
              <w:rPr>
                <w:rFonts w:ascii="Times New Roman" w:hAnsi="Times New Roman"/>
                <w:b/>
                <w:bCs/>
                <w:iCs/>
                <w:color w:val="000000"/>
                <w:sz w:val="20"/>
                <w:szCs w:val="20"/>
                <w:lang w:val="en-US" w:eastAsia="it-IT"/>
              </w:rPr>
              <w:t>d</w:t>
            </w:r>
            <w:r w:rsidR="00DC3D19" w:rsidRPr="00F65686">
              <w:rPr>
                <w:rFonts w:ascii="Times New Roman" w:hAnsi="Times New Roman"/>
                <w:b/>
                <w:bCs/>
                <w:iCs/>
                <w:color w:val="000000"/>
                <w:sz w:val="20"/>
                <w:szCs w:val="20"/>
                <w:lang w:val="en-US" w:eastAsia="it-IT"/>
              </w:rPr>
              <w:t xml:space="preserve"> results not initially foreseen by the project</w:t>
            </w:r>
          </w:p>
        </w:tc>
        <w:tc>
          <w:tcPr>
            <w:tcW w:w="851" w:type="dxa"/>
            <w:tcBorders>
              <w:top w:val="nil"/>
              <w:left w:val="nil"/>
              <w:bottom w:val="nil"/>
              <w:right w:val="nil"/>
            </w:tcBorders>
            <w:shd w:val="clear" w:color="auto" w:fill="auto"/>
            <w:noWrap/>
            <w:vAlign w:val="center"/>
          </w:tcPr>
          <w:p w14:paraId="5FC816DA"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568</w:t>
            </w:r>
          </w:p>
        </w:tc>
        <w:tc>
          <w:tcPr>
            <w:tcW w:w="708" w:type="dxa"/>
            <w:tcBorders>
              <w:top w:val="nil"/>
              <w:left w:val="nil"/>
              <w:bottom w:val="nil"/>
              <w:right w:val="nil"/>
            </w:tcBorders>
            <w:shd w:val="clear" w:color="auto" w:fill="auto"/>
            <w:noWrap/>
            <w:vAlign w:val="center"/>
          </w:tcPr>
          <w:p w14:paraId="1A21A055"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0.51</w:t>
            </w:r>
          </w:p>
        </w:tc>
        <w:tc>
          <w:tcPr>
            <w:tcW w:w="1129" w:type="dxa"/>
            <w:tcBorders>
              <w:top w:val="nil"/>
              <w:left w:val="nil"/>
              <w:bottom w:val="nil"/>
              <w:right w:val="nil"/>
            </w:tcBorders>
            <w:shd w:val="clear" w:color="auto" w:fill="auto"/>
            <w:noWrap/>
            <w:vAlign w:val="center"/>
          </w:tcPr>
          <w:p w14:paraId="1710AF61"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0.50</w:t>
            </w:r>
          </w:p>
        </w:tc>
        <w:tc>
          <w:tcPr>
            <w:tcW w:w="572" w:type="dxa"/>
            <w:tcBorders>
              <w:top w:val="nil"/>
              <w:left w:val="nil"/>
              <w:bottom w:val="nil"/>
              <w:right w:val="nil"/>
            </w:tcBorders>
            <w:shd w:val="clear" w:color="auto" w:fill="auto"/>
            <w:noWrap/>
            <w:vAlign w:val="center"/>
          </w:tcPr>
          <w:p w14:paraId="7624CF30"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0</w:t>
            </w:r>
          </w:p>
        </w:tc>
        <w:tc>
          <w:tcPr>
            <w:tcW w:w="674" w:type="dxa"/>
            <w:tcBorders>
              <w:top w:val="nil"/>
              <w:left w:val="nil"/>
              <w:bottom w:val="nil"/>
              <w:right w:val="nil"/>
            </w:tcBorders>
            <w:shd w:val="clear" w:color="auto" w:fill="auto"/>
            <w:noWrap/>
            <w:vAlign w:val="center"/>
          </w:tcPr>
          <w:p w14:paraId="7D2D520E"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1</w:t>
            </w:r>
          </w:p>
        </w:tc>
      </w:tr>
      <w:tr w:rsidR="00DC3D19" w:rsidRPr="00F65686" w14:paraId="79AB3EC7" w14:textId="77777777" w:rsidTr="00DC3D19">
        <w:trPr>
          <w:trHeight w:val="255"/>
        </w:trPr>
        <w:tc>
          <w:tcPr>
            <w:tcW w:w="5812" w:type="dxa"/>
            <w:tcBorders>
              <w:top w:val="nil"/>
              <w:left w:val="nil"/>
              <w:bottom w:val="nil"/>
              <w:right w:val="nil"/>
            </w:tcBorders>
            <w:shd w:val="clear" w:color="auto" w:fill="auto"/>
            <w:noWrap/>
            <w:vAlign w:val="center"/>
            <w:hideMark/>
          </w:tcPr>
          <w:p w14:paraId="17EDF0B4" w14:textId="28786F64" w:rsidR="00DC3D19" w:rsidRPr="00F65686" w:rsidRDefault="00F145A5"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 xml:space="preserve">The firm </w:t>
            </w:r>
            <w:r w:rsidR="00DC3D19" w:rsidRPr="00F65686">
              <w:rPr>
                <w:rFonts w:ascii="Times New Roman" w:hAnsi="Times New Roman"/>
                <w:color w:val="000000"/>
                <w:sz w:val="20"/>
                <w:szCs w:val="20"/>
                <w:lang w:val="en-US"/>
              </w:rPr>
              <w:t>had an innovative idea prior to receiving the voucher</w:t>
            </w:r>
          </w:p>
        </w:tc>
        <w:tc>
          <w:tcPr>
            <w:tcW w:w="851" w:type="dxa"/>
            <w:tcBorders>
              <w:top w:val="nil"/>
              <w:left w:val="nil"/>
              <w:bottom w:val="nil"/>
              <w:right w:val="nil"/>
            </w:tcBorders>
            <w:shd w:val="clear" w:color="auto" w:fill="auto"/>
            <w:noWrap/>
            <w:vAlign w:val="center"/>
            <w:hideMark/>
          </w:tcPr>
          <w:p w14:paraId="1E37EA48"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578</w:t>
            </w:r>
          </w:p>
        </w:tc>
        <w:tc>
          <w:tcPr>
            <w:tcW w:w="708" w:type="dxa"/>
            <w:tcBorders>
              <w:top w:val="nil"/>
              <w:left w:val="nil"/>
              <w:bottom w:val="nil"/>
              <w:right w:val="nil"/>
            </w:tcBorders>
            <w:shd w:val="clear" w:color="auto" w:fill="auto"/>
            <w:noWrap/>
            <w:vAlign w:val="center"/>
            <w:hideMark/>
          </w:tcPr>
          <w:p w14:paraId="62238B2B"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1.35</w:t>
            </w:r>
          </w:p>
        </w:tc>
        <w:tc>
          <w:tcPr>
            <w:tcW w:w="1129" w:type="dxa"/>
            <w:tcBorders>
              <w:top w:val="nil"/>
              <w:left w:val="nil"/>
              <w:bottom w:val="nil"/>
              <w:right w:val="nil"/>
            </w:tcBorders>
            <w:shd w:val="clear" w:color="auto" w:fill="auto"/>
            <w:noWrap/>
            <w:vAlign w:val="center"/>
            <w:hideMark/>
          </w:tcPr>
          <w:p w14:paraId="089EE79C"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0.56</w:t>
            </w:r>
          </w:p>
        </w:tc>
        <w:tc>
          <w:tcPr>
            <w:tcW w:w="572" w:type="dxa"/>
            <w:tcBorders>
              <w:top w:val="nil"/>
              <w:left w:val="nil"/>
              <w:bottom w:val="nil"/>
              <w:right w:val="nil"/>
            </w:tcBorders>
            <w:shd w:val="clear" w:color="auto" w:fill="auto"/>
            <w:noWrap/>
            <w:vAlign w:val="center"/>
            <w:hideMark/>
          </w:tcPr>
          <w:p w14:paraId="5328103B"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0</w:t>
            </w:r>
          </w:p>
        </w:tc>
        <w:tc>
          <w:tcPr>
            <w:tcW w:w="674" w:type="dxa"/>
            <w:tcBorders>
              <w:top w:val="nil"/>
              <w:left w:val="nil"/>
              <w:bottom w:val="nil"/>
              <w:right w:val="nil"/>
            </w:tcBorders>
            <w:shd w:val="clear" w:color="auto" w:fill="auto"/>
            <w:noWrap/>
            <w:vAlign w:val="center"/>
            <w:hideMark/>
          </w:tcPr>
          <w:p w14:paraId="430388FE"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2</w:t>
            </w:r>
          </w:p>
        </w:tc>
      </w:tr>
      <w:tr w:rsidR="00DC3D19" w:rsidRPr="00F65686" w14:paraId="410896A0" w14:textId="77777777" w:rsidTr="00DC3D19">
        <w:trPr>
          <w:trHeight w:val="255"/>
        </w:trPr>
        <w:tc>
          <w:tcPr>
            <w:tcW w:w="5812" w:type="dxa"/>
            <w:tcBorders>
              <w:top w:val="nil"/>
              <w:left w:val="nil"/>
              <w:bottom w:val="nil"/>
              <w:right w:val="nil"/>
            </w:tcBorders>
            <w:shd w:val="clear" w:color="auto" w:fill="auto"/>
            <w:noWrap/>
            <w:vAlign w:val="center"/>
            <w:hideMark/>
          </w:tcPr>
          <w:p w14:paraId="39945593"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Log firm turnover</w:t>
            </w:r>
          </w:p>
        </w:tc>
        <w:tc>
          <w:tcPr>
            <w:tcW w:w="851" w:type="dxa"/>
            <w:tcBorders>
              <w:top w:val="nil"/>
              <w:left w:val="nil"/>
              <w:bottom w:val="nil"/>
              <w:right w:val="nil"/>
            </w:tcBorders>
            <w:shd w:val="clear" w:color="auto" w:fill="auto"/>
            <w:noWrap/>
            <w:vAlign w:val="center"/>
            <w:hideMark/>
          </w:tcPr>
          <w:p w14:paraId="0AA3B6DB"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539</w:t>
            </w:r>
          </w:p>
        </w:tc>
        <w:tc>
          <w:tcPr>
            <w:tcW w:w="708" w:type="dxa"/>
            <w:tcBorders>
              <w:top w:val="nil"/>
              <w:left w:val="nil"/>
              <w:bottom w:val="nil"/>
              <w:right w:val="nil"/>
            </w:tcBorders>
            <w:shd w:val="clear" w:color="auto" w:fill="auto"/>
            <w:noWrap/>
            <w:vAlign w:val="center"/>
            <w:hideMark/>
          </w:tcPr>
          <w:p w14:paraId="45AAA9DA"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13.77</w:t>
            </w:r>
          </w:p>
        </w:tc>
        <w:tc>
          <w:tcPr>
            <w:tcW w:w="1129" w:type="dxa"/>
            <w:tcBorders>
              <w:top w:val="nil"/>
              <w:left w:val="nil"/>
              <w:bottom w:val="nil"/>
              <w:right w:val="nil"/>
            </w:tcBorders>
            <w:shd w:val="clear" w:color="auto" w:fill="auto"/>
            <w:noWrap/>
            <w:vAlign w:val="center"/>
            <w:hideMark/>
          </w:tcPr>
          <w:p w14:paraId="3F42F62C"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1.80</w:t>
            </w:r>
          </w:p>
        </w:tc>
        <w:tc>
          <w:tcPr>
            <w:tcW w:w="572" w:type="dxa"/>
            <w:tcBorders>
              <w:top w:val="nil"/>
              <w:left w:val="nil"/>
              <w:bottom w:val="nil"/>
              <w:right w:val="nil"/>
            </w:tcBorders>
            <w:shd w:val="clear" w:color="auto" w:fill="auto"/>
            <w:noWrap/>
            <w:vAlign w:val="center"/>
            <w:hideMark/>
          </w:tcPr>
          <w:p w14:paraId="06EAD7FF"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7.31</w:t>
            </w:r>
          </w:p>
        </w:tc>
        <w:tc>
          <w:tcPr>
            <w:tcW w:w="674" w:type="dxa"/>
            <w:tcBorders>
              <w:top w:val="nil"/>
              <w:left w:val="nil"/>
              <w:bottom w:val="nil"/>
              <w:right w:val="nil"/>
            </w:tcBorders>
            <w:shd w:val="clear" w:color="auto" w:fill="auto"/>
            <w:noWrap/>
            <w:vAlign w:val="center"/>
            <w:hideMark/>
          </w:tcPr>
          <w:p w14:paraId="7A6CF539"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18.06</w:t>
            </w:r>
          </w:p>
        </w:tc>
      </w:tr>
      <w:tr w:rsidR="00DC3D19" w:rsidRPr="00F65686" w14:paraId="74D795DA" w14:textId="77777777" w:rsidTr="00DC3D19">
        <w:trPr>
          <w:trHeight w:val="255"/>
        </w:trPr>
        <w:tc>
          <w:tcPr>
            <w:tcW w:w="5812" w:type="dxa"/>
            <w:tcBorders>
              <w:top w:val="nil"/>
              <w:left w:val="nil"/>
              <w:bottom w:val="nil"/>
              <w:right w:val="nil"/>
            </w:tcBorders>
            <w:shd w:val="clear" w:color="auto" w:fill="auto"/>
            <w:noWrap/>
            <w:vAlign w:val="center"/>
            <w:hideMark/>
          </w:tcPr>
          <w:p w14:paraId="018748FA"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Log amount of funding received</w:t>
            </w:r>
          </w:p>
        </w:tc>
        <w:tc>
          <w:tcPr>
            <w:tcW w:w="851" w:type="dxa"/>
            <w:tcBorders>
              <w:top w:val="nil"/>
              <w:left w:val="nil"/>
              <w:bottom w:val="nil"/>
              <w:right w:val="nil"/>
            </w:tcBorders>
            <w:shd w:val="clear" w:color="auto" w:fill="auto"/>
            <w:noWrap/>
            <w:vAlign w:val="center"/>
            <w:hideMark/>
          </w:tcPr>
          <w:p w14:paraId="3E0751EC"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580</w:t>
            </w:r>
          </w:p>
        </w:tc>
        <w:tc>
          <w:tcPr>
            <w:tcW w:w="708" w:type="dxa"/>
            <w:tcBorders>
              <w:top w:val="nil"/>
              <w:left w:val="nil"/>
              <w:bottom w:val="nil"/>
              <w:right w:val="nil"/>
            </w:tcBorders>
            <w:shd w:val="clear" w:color="auto" w:fill="auto"/>
            <w:noWrap/>
            <w:vAlign w:val="center"/>
            <w:hideMark/>
          </w:tcPr>
          <w:p w14:paraId="39DE9FEE"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8.19</w:t>
            </w:r>
          </w:p>
        </w:tc>
        <w:tc>
          <w:tcPr>
            <w:tcW w:w="1129" w:type="dxa"/>
            <w:tcBorders>
              <w:top w:val="nil"/>
              <w:left w:val="nil"/>
              <w:bottom w:val="nil"/>
              <w:right w:val="nil"/>
            </w:tcBorders>
            <w:shd w:val="clear" w:color="auto" w:fill="auto"/>
            <w:noWrap/>
            <w:vAlign w:val="center"/>
            <w:hideMark/>
          </w:tcPr>
          <w:p w14:paraId="2CAA408F"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0.76</w:t>
            </w:r>
          </w:p>
        </w:tc>
        <w:tc>
          <w:tcPr>
            <w:tcW w:w="572" w:type="dxa"/>
            <w:tcBorders>
              <w:top w:val="nil"/>
              <w:left w:val="nil"/>
              <w:bottom w:val="nil"/>
              <w:right w:val="nil"/>
            </w:tcBorders>
            <w:shd w:val="clear" w:color="auto" w:fill="auto"/>
            <w:noWrap/>
            <w:vAlign w:val="center"/>
            <w:hideMark/>
          </w:tcPr>
          <w:p w14:paraId="1A7B7249"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7.60</w:t>
            </w:r>
          </w:p>
        </w:tc>
        <w:tc>
          <w:tcPr>
            <w:tcW w:w="674" w:type="dxa"/>
            <w:tcBorders>
              <w:top w:val="nil"/>
              <w:left w:val="nil"/>
              <w:bottom w:val="nil"/>
              <w:right w:val="nil"/>
            </w:tcBorders>
            <w:shd w:val="clear" w:color="auto" w:fill="auto"/>
            <w:noWrap/>
            <w:vAlign w:val="center"/>
            <w:hideMark/>
          </w:tcPr>
          <w:p w14:paraId="0CDC272D"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9.39</w:t>
            </w:r>
          </w:p>
        </w:tc>
      </w:tr>
      <w:tr w:rsidR="00DC3D19" w:rsidRPr="00F65686" w14:paraId="313998C6" w14:textId="77777777" w:rsidTr="00DC3D19">
        <w:trPr>
          <w:trHeight w:val="255"/>
        </w:trPr>
        <w:tc>
          <w:tcPr>
            <w:tcW w:w="5812" w:type="dxa"/>
            <w:tcBorders>
              <w:top w:val="nil"/>
              <w:left w:val="nil"/>
              <w:bottom w:val="single" w:sz="4" w:space="0" w:color="auto"/>
              <w:right w:val="nil"/>
            </w:tcBorders>
            <w:shd w:val="clear" w:color="auto" w:fill="auto"/>
            <w:noWrap/>
            <w:vAlign w:val="center"/>
            <w:hideMark/>
          </w:tcPr>
          <w:p w14:paraId="0D9CC85B"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Amount of public co-funding</w:t>
            </w:r>
          </w:p>
        </w:tc>
        <w:tc>
          <w:tcPr>
            <w:tcW w:w="851" w:type="dxa"/>
            <w:tcBorders>
              <w:top w:val="nil"/>
              <w:left w:val="nil"/>
              <w:bottom w:val="single" w:sz="4" w:space="0" w:color="auto"/>
              <w:right w:val="nil"/>
            </w:tcBorders>
            <w:shd w:val="clear" w:color="auto" w:fill="auto"/>
            <w:noWrap/>
            <w:vAlign w:val="center"/>
            <w:hideMark/>
          </w:tcPr>
          <w:p w14:paraId="52BEFDC9"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580</w:t>
            </w:r>
          </w:p>
        </w:tc>
        <w:tc>
          <w:tcPr>
            <w:tcW w:w="708" w:type="dxa"/>
            <w:tcBorders>
              <w:top w:val="nil"/>
              <w:left w:val="nil"/>
              <w:bottom w:val="single" w:sz="4" w:space="0" w:color="auto"/>
              <w:right w:val="nil"/>
            </w:tcBorders>
            <w:shd w:val="clear" w:color="auto" w:fill="auto"/>
            <w:noWrap/>
            <w:vAlign w:val="center"/>
            <w:hideMark/>
          </w:tcPr>
          <w:p w14:paraId="041AE0BD"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0.58</w:t>
            </w:r>
          </w:p>
        </w:tc>
        <w:tc>
          <w:tcPr>
            <w:tcW w:w="1129" w:type="dxa"/>
            <w:tcBorders>
              <w:top w:val="nil"/>
              <w:left w:val="nil"/>
              <w:bottom w:val="single" w:sz="4" w:space="0" w:color="auto"/>
              <w:right w:val="nil"/>
            </w:tcBorders>
            <w:shd w:val="clear" w:color="auto" w:fill="auto"/>
            <w:noWrap/>
            <w:vAlign w:val="center"/>
            <w:hideMark/>
          </w:tcPr>
          <w:p w14:paraId="162C6889"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0.13</w:t>
            </w:r>
          </w:p>
        </w:tc>
        <w:tc>
          <w:tcPr>
            <w:tcW w:w="572" w:type="dxa"/>
            <w:tcBorders>
              <w:top w:val="nil"/>
              <w:left w:val="nil"/>
              <w:bottom w:val="single" w:sz="4" w:space="0" w:color="auto"/>
              <w:right w:val="nil"/>
            </w:tcBorders>
            <w:shd w:val="clear" w:color="auto" w:fill="auto"/>
            <w:noWrap/>
            <w:vAlign w:val="center"/>
            <w:hideMark/>
          </w:tcPr>
          <w:p w14:paraId="40B31A40"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0.06</w:t>
            </w:r>
          </w:p>
        </w:tc>
        <w:tc>
          <w:tcPr>
            <w:tcW w:w="674" w:type="dxa"/>
            <w:tcBorders>
              <w:top w:val="nil"/>
              <w:left w:val="nil"/>
              <w:bottom w:val="single" w:sz="4" w:space="0" w:color="auto"/>
              <w:right w:val="nil"/>
            </w:tcBorders>
            <w:shd w:val="clear" w:color="auto" w:fill="auto"/>
            <w:noWrap/>
            <w:vAlign w:val="center"/>
            <w:hideMark/>
          </w:tcPr>
          <w:p w14:paraId="3202D1DB" w14:textId="77777777" w:rsidR="00DC3D19" w:rsidRPr="00F65686" w:rsidRDefault="00DC3D19" w:rsidP="00F65686">
            <w:pPr>
              <w:spacing w:after="120"/>
              <w:jc w:val="both"/>
              <w:rPr>
                <w:rFonts w:ascii="Times New Roman" w:hAnsi="Times New Roman"/>
                <w:color w:val="000000"/>
                <w:sz w:val="20"/>
                <w:szCs w:val="20"/>
                <w:lang w:val="en-US"/>
              </w:rPr>
            </w:pPr>
            <w:r w:rsidRPr="00F65686">
              <w:rPr>
                <w:rFonts w:ascii="Times New Roman" w:hAnsi="Times New Roman"/>
                <w:color w:val="000000"/>
                <w:sz w:val="20"/>
                <w:szCs w:val="20"/>
                <w:lang w:val="en-US"/>
              </w:rPr>
              <w:t>0.80</w:t>
            </w:r>
          </w:p>
        </w:tc>
      </w:tr>
    </w:tbl>
    <w:p w14:paraId="09A6B215" w14:textId="77777777" w:rsidR="004152D7" w:rsidRPr="00F65686" w:rsidRDefault="00DC3D19" w:rsidP="00F65686">
      <w:pPr>
        <w:spacing w:after="120"/>
        <w:jc w:val="both"/>
        <w:rPr>
          <w:rFonts w:ascii="Times New Roman" w:hAnsi="Times New Roman"/>
          <w:i/>
          <w:sz w:val="20"/>
          <w:szCs w:val="20"/>
          <w:lang w:val="en-US"/>
        </w:rPr>
      </w:pPr>
      <w:r w:rsidRPr="00F65686">
        <w:rPr>
          <w:rFonts w:ascii="Times New Roman" w:hAnsi="Times New Roman"/>
          <w:i/>
          <w:sz w:val="20"/>
          <w:szCs w:val="20"/>
          <w:lang w:val="en-US"/>
        </w:rPr>
        <w:t>Source: Authors’ elaboration</w:t>
      </w:r>
    </w:p>
    <w:p w14:paraId="3FEC769B" w14:textId="3BEC0E6D" w:rsidR="00F27F57" w:rsidRPr="00F65686" w:rsidRDefault="00B656EB" w:rsidP="00F65686">
      <w:pPr>
        <w:spacing w:after="120"/>
        <w:jc w:val="both"/>
        <w:rPr>
          <w:rFonts w:ascii="Times New Roman" w:hAnsi="Times New Roman"/>
          <w:lang w:val="en-US"/>
        </w:rPr>
      </w:pPr>
      <w:r w:rsidRPr="00F65686">
        <w:rPr>
          <w:rFonts w:ascii="Times New Roman" w:hAnsi="Times New Roman"/>
          <w:lang w:val="en-US"/>
        </w:rPr>
        <w:t>In order to rule</w:t>
      </w:r>
      <w:r w:rsidR="00BC6C79" w:rsidRPr="00F65686">
        <w:rPr>
          <w:rFonts w:ascii="Times New Roman" w:hAnsi="Times New Roman"/>
          <w:lang w:val="en-US"/>
        </w:rPr>
        <w:t xml:space="preserve"> out possible bias in calculating GPS</w:t>
      </w:r>
      <w:r w:rsidR="00526266" w:rsidRPr="00F65686">
        <w:rPr>
          <w:rFonts w:ascii="Times New Roman" w:hAnsi="Times New Roman"/>
          <w:lang w:val="en-US"/>
        </w:rPr>
        <w:t>,</w:t>
      </w:r>
      <w:r w:rsidR="00BC6C79" w:rsidRPr="00F65686">
        <w:rPr>
          <w:rFonts w:ascii="Times New Roman" w:hAnsi="Times New Roman"/>
          <w:lang w:val="en-US"/>
        </w:rPr>
        <w:t xml:space="preserve"> we also included the following control variables</w:t>
      </w:r>
      <w:r w:rsidR="00F27F57" w:rsidRPr="00F65686">
        <w:rPr>
          <w:rFonts w:ascii="Times New Roman" w:hAnsi="Times New Roman"/>
          <w:lang w:val="en-US"/>
        </w:rPr>
        <w:t>:</w:t>
      </w:r>
    </w:p>
    <w:p w14:paraId="6D8EF8D0" w14:textId="77777777" w:rsidR="00F27F57" w:rsidRPr="00F65686" w:rsidRDefault="00E44CE2" w:rsidP="00F65686">
      <w:pPr>
        <w:numPr>
          <w:ilvl w:val="0"/>
          <w:numId w:val="1"/>
        </w:numPr>
        <w:spacing w:after="120"/>
        <w:jc w:val="both"/>
        <w:rPr>
          <w:rFonts w:ascii="Times New Roman" w:hAnsi="Times New Roman"/>
          <w:lang w:val="en-US"/>
        </w:rPr>
      </w:pPr>
      <w:r w:rsidRPr="00F65686">
        <w:rPr>
          <w:rFonts w:ascii="Times New Roman" w:hAnsi="Times New Roman"/>
          <w:lang w:val="en-US"/>
        </w:rPr>
        <w:t>f</w:t>
      </w:r>
      <w:r w:rsidR="00F27F57" w:rsidRPr="00F65686">
        <w:rPr>
          <w:rFonts w:ascii="Times New Roman" w:hAnsi="Times New Roman"/>
          <w:lang w:val="en-US"/>
        </w:rPr>
        <w:t>irm size, captured by the log of a one-year time-lagged firm turnover;</w:t>
      </w:r>
    </w:p>
    <w:p w14:paraId="20EC41F8" w14:textId="1AD905DA" w:rsidR="00F27F57" w:rsidRPr="00F65686" w:rsidRDefault="00BC6C79" w:rsidP="00F65686">
      <w:pPr>
        <w:numPr>
          <w:ilvl w:val="0"/>
          <w:numId w:val="1"/>
        </w:numPr>
        <w:spacing w:after="120"/>
        <w:jc w:val="both"/>
        <w:rPr>
          <w:rFonts w:ascii="Times New Roman" w:hAnsi="Times New Roman"/>
          <w:lang w:val="en-US"/>
        </w:rPr>
      </w:pPr>
      <w:r w:rsidRPr="00F65686">
        <w:rPr>
          <w:rFonts w:ascii="Times New Roman" w:hAnsi="Times New Roman"/>
          <w:lang w:val="en-US"/>
        </w:rPr>
        <w:t xml:space="preserve">the </w:t>
      </w:r>
      <w:r w:rsidR="00181643" w:rsidRPr="00F65686">
        <w:rPr>
          <w:rFonts w:ascii="Times New Roman" w:hAnsi="Times New Roman"/>
          <w:lang w:val="en-US"/>
        </w:rPr>
        <w:t xml:space="preserve">beneficiary </w:t>
      </w:r>
      <w:r w:rsidRPr="00F65686">
        <w:rPr>
          <w:rFonts w:ascii="Times New Roman" w:hAnsi="Times New Roman"/>
          <w:lang w:val="en-US"/>
        </w:rPr>
        <w:t>firm</w:t>
      </w:r>
      <w:r w:rsidR="00181643" w:rsidRPr="00F65686">
        <w:rPr>
          <w:rFonts w:ascii="Times New Roman" w:hAnsi="Times New Roman"/>
          <w:lang w:val="en-US"/>
        </w:rPr>
        <w:t xml:space="preserve"> had (or not) a well-developed innovation</w:t>
      </w:r>
      <w:r w:rsidRPr="00F65686">
        <w:rPr>
          <w:rFonts w:ascii="Times New Roman" w:hAnsi="Times New Roman"/>
          <w:lang w:val="en-US"/>
        </w:rPr>
        <w:t xml:space="preserve"> idea prior to receiving the voucher.</w:t>
      </w:r>
    </w:p>
    <w:p w14:paraId="22AB8B0E" w14:textId="2F56086D" w:rsidR="00F27F57" w:rsidRPr="00F65686" w:rsidRDefault="00F145A5" w:rsidP="00F65686">
      <w:pPr>
        <w:spacing w:after="120"/>
        <w:jc w:val="both"/>
        <w:rPr>
          <w:rFonts w:ascii="Times New Roman" w:hAnsi="Times New Roman"/>
          <w:lang w:val="en-US"/>
        </w:rPr>
      </w:pPr>
      <w:r w:rsidRPr="00F65686">
        <w:rPr>
          <w:rFonts w:ascii="Times New Roman" w:hAnsi="Times New Roman"/>
          <w:lang w:val="en-US"/>
        </w:rPr>
        <w:t xml:space="preserve">The </w:t>
      </w:r>
      <w:r w:rsidR="00F27F57" w:rsidRPr="00F65686">
        <w:rPr>
          <w:rFonts w:ascii="Times New Roman" w:hAnsi="Times New Roman"/>
          <w:lang w:val="en-US"/>
        </w:rPr>
        <w:t xml:space="preserve">second </w:t>
      </w:r>
      <w:r w:rsidR="00E44CE2" w:rsidRPr="00F65686">
        <w:rPr>
          <w:rFonts w:ascii="Times New Roman" w:hAnsi="Times New Roman"/>
          <w:lang w:val="en-US"/>
        </w:rPr>
        <w:t>set</w:t>
      </w:r>
      <w:r w:rsidR="00F27F57" w:rsidRPr="00F65686">
        <w:rPr>
          <w:rFonts w:ascii="Times New Roman" w:hAnsi="Times New Roman"/>
          <w:lang w:val="en-US"/>
        </w:rPr>
        <w:t xml:space="preserve"> of data used in the analyses </w:t>
      </w:r>
      <w:r w:rsidR="00181643" w:rsidRPr="00F65686">
        <w:rPr>
          <w:rFonts w:ascii="Times New Roman" w:hAnsi="Times New Roman"/>
          <w:lang w:val="en-US"/>
        </w:rPr>
        <w:t>covered</w:t>
      </w:r>
      <w:r w:rsidR="00BC6C79" w:rsidRPr="00F65686">
        <w:rPr>
          <w:rFonts w:ascii="Times New Roman" w:hAnsi="Times New Roman"/>
          <w:lang w:val="en-US"/>
        </w:rPr>
        <w:t xml:space="preserve"> </w:t>
      </w:r>
      <w:r w:rsidR="00F27F57" w:rsidRPr="00F65686">
        <w:rPr>
          <w:rFonts w:ascii="Times New Roman" w:hAnsi="Times New Roman"/>
          <w:lang w:val="en-US"/>
        </w:rPr>
        <w:t xml:space="preserve">the characteristics of </w:t>
      </w:r>
      <w:r w:rsidR="00E44CE2" w:rsidRPr="00F65686">
        <w:rPr>
          <w:rFonts w:ascii="Times New Roman" w:hAnsi="Times New Roman"/>
          <w:lang w:val="en-US"/>
        </w:rPr>
        <w:t xml:space="preserve">the </w:t>
      </w:r>
      <w:r w:rsidR="00F27F57" w:rsidRPr="00F65686">
        <w:rPr>
          <w:rFonts w:ascii="Times New Roman" w:hAnsi="Times New Roman"/>
          <w:lang w:val="en-US"/>
        </w:rPr>
        <w:t>voucher</w:t>
      </w:r>
      <w:r w:rsidR="00E44CE2" w:rsidRPr="00F65686">
        <w:rPr>
          <w:rFonts w:ascii="Times New Roman" w:hAnsi="Times New Roman"/>
          <w:lang w:val="en-US"/>
        </w:rPr>
        <w:t>s</w:t>
      </w:r>
      <w:r w:rsidR="00F27F57" w:rsidRPr="00F65686">
        <w:rPr>
          <w:rFonts w:ascii="Times New Roman" w:hAnsi="Times New Roman"/>
          <w:lang w:val="en-US"/>
        </w:rPr>
        <w:t xml:space="preserve"> received by the companies, and in particular:</w:t>
      </w:r>
    </w:p>
    <w:p w14:paraId="2A026843" w14:textId="4623FCF7" w:rsidR="00F27F57" w:rsidRPr="00F65686" w:rsidRDefault="00E44CE2" w:rsidP="00F65686">
      <w:pPr>
        <w:numPr>
          <w:ilvl w:val="0"/>
          <w:numId w:val="1"/>
        </w:numPr>
        <w:spacing w:after="120"/>
        <w:jc w:val="both"/>
        <w:rPr>
          <w:rFonts w:ascii="Times New Roman" w:hAnsi="Times New Roman"/>
          <w:lang w:val="en-US"/>
        </w:rPr>
      </w:pPr>
      <w:r w:rsidRPr="00F65686">
        <w:rPr>
          <w:rFonts w:ascii="Times New Roman" w:hAnsi="Times New Roman"/>
          <w:lang w:val="en-US"/>
        </w:rPr>
        <w:t>amount</w:t>
      </w:r>
      <w:r w:rsidR="00181643" w:rsidRPr="00F65686">
        <w:rPr>
          <w:rFonts w:ascii="Times New Roman" w:hAnsi="Times New Roman"/>
          <w:lang w:val="en-US"/>
        </w:rPr>
        <w:t xml:space="preserve"> of </w:t>
      </w:r>
      <w:r w:rsidR="00F27F57" w:rsidRPr="00F65686">
        <w:rPr>
          <w:rFonts w:ascii="Times New Roman" w:hAnsi="Times New Roman"/>
          <w:lang w:val="en-US"/>
        </w:rPr>
        <w:t xml:space="preserve">subsidy granted (in order to measure </w:t>
      </w:r>
      <w:r w:rsidR="00BC6C79" w:rsidRPr="00F65686">
        <w:rPr>
          <w:rFonts w:ascii="Times New Roman" w:hAnsi="Times New Roman"/>
          <w:lang w:val="en-US"/>
        </w:rPr>
        <w:t xml:space="preserve">possible dimensional </w:t>
      </w:r>
      <w:r w:rsidR="00F27F57" w:rsidRPr="00F65686">
        <w:rPr>
          <w:rFonts w:ascii="Times New Roman" w:hAnsi="Times New Roman"/>
          <w:lang w:val="en-US"/>
        </w:rPr>
        <w:t>effects</w:t>
      </w:r>
      <w:r w:rsidR="00BC6C79" w:rsidRPr="00F65686">
        <w:rPr>
          <w:rFonts w:ascii="Times New Roman" w:hAnsi="Times New Roman"/>
          <w:lang w:val="en-US"/>
        </w:rPr>
        <w:t>);</w:t>
      </w:r>
    </w:p>
    <w:p w14:paraId="56E44E8A" w14:textId="1ADE7A36" w:rsidR="00584EB2" w:rsidRPr="00F65686" w:rsidRDefault="00584EB2" w:rsidP="00F65686">
      <w:pPr>
        <w:numPr>
          <w:ilvl w:val="0"/>
          <w:numId w:val="1"/>
        </w:numPr>
        <w:spacing w:after="120"/>
        <w:jc w:val="both"/>
        <w:rPr>
          <w:rFonts w:ascii="Times New Roman" w:hAnsi="Times New Roman"/>
          <w:lang w:val="en-US"/>
        </w:rPr>
      </w:pPr>
      <w:r w:rsidRPr="00F65686">
        <w:rPr>
          <w:rFonts w:ascii="Times New Roman" w:hAnsi="Times New Roman"/>
          <w:lang w:val="en-US"/>
        </w:rPr>
        <w:t>share</w:t>
      </w:r>
      <w:r w:rsidR="00BC6C79" w:rsidRPr="00F65686">
        <w:rPr>
          <w:rFonts w:ascii="Times New Roman" w:hAnsi="Times New Roman"/>
          <w:lang w:val="en-US"/>
        </w:rPr>
        <w:t xml:space="preserve"> of public co-funding, which </w:t>
      </w:r>
      <w:r w:rsidR="001439DE" w:rsidRPr="00F65686">
        <w:rPr>
          <w:rFonts w:ascii="Times New Roman" w:hAnsi="Times New Roman"/>
          <w:lang w:val="en-US"/>
        </w:rPr>
        <w:t xml:space="preserve">aims at uncovering possible </w:t>
      </w:r>
      <w:r w:rsidRPr="00F65686">
        <w:rPr>
          <w:rFonts w:ascii="Times New Roman" w:hAnsi="Times New Roman"/>
          <w:lang w:val="en-US"/>
        </w:rPr>
        <w:t>crowding-out</w:t>
      </w:r>
      <w:r w:rsidR="001439DE" w:rsidRPr="00F65686">
        <w:rPr>
          <w:rFonts w:ascii="Times New Roman" w:hAnsi="Times New Roman"/>
          <w:lang w:val="en-US"/>
        </w:rPr>
        <w:t xml:space="preserve"> effects</w:t>
      </w:r>
      <w:r w:rsidRPr="00F65686">
        <w:rPr>
          <w:rFonts w:ascii="Times New Roman" w:hAnsi="Times New Roman"/>
          <w:lang w:val="en-US"/>
        </w:rPr>
        <w:t xml:space="preserve"> </w:t>
      </w:r>
      <w:r w:rsidR="001439DE" w:rsidRPr="00F65686">
        <w:rPr>
          <w:rFonts w:ascii="Times New Roman" w:hAnsi="Times New Roman"/>
          <w:lang w:val="en-US"/>
        </w:rPr>
        <w:t xml:space="preserve">or </w:t>
      </w:r>
      <w:r w:rsidRPr="00F65686">
        <w:rPr>
          <w:rFonts w:ascii="Times New Roman" w:hAnsi="Times New Roman"/>
          <w:lang w:val="en-US"/>
        </w:rPr>
        <w:t>show some input additionality.</w:t>
      </w:r>
    </w:p>
    <w:p w14:paraId="2F339D10" w14:textId="2CFBF006" w:rsidR="00F27F57" w:rsidRPr="00F65686" w:rsidRDefault="00A46436" w:rsidP="00F65686">
      <w:pPr>
        <w:spacing w:after="120"/>
        <w:jc w:val="both"/>
        <w:rPr>
          <w:rFonts w:ascii="Times New Roman" w:hAnsi="Times New Roman"/>
          <w:lang w:val="en-US"/>
        </w:rPr>
      </w:pPr>
      <w:r w:rsidRPr="00F65686">
        <w:rPr>
          <w:rFonts w:ascii="Times New Roman" w:hAnsi="Times New Roman"/>
          <w:lang w:val="en-US"/>
        </w:rPr>
        <w:t xml:space="preserve">Lastly, in order </w:t>
      </w:r>
      <w:r w:rsidR="000D70A0" w:rsidRPr="00F65686">
        <w:rPr>
          <w:rFonts w:ascii="Times New Roman" w:hAnsi="Times New Roman"/>
          <w:lang w:val="en-US"/>
        </w:rPr>
        <w:t>to model the role of local externalities in driving the impact of this policy, in calculating DRFs we also control for geographical, social, and technological proximities among beneficiaries and service suppliers. The indicators are described in the following subsection.</w:t>
      </w:r>
    </w:p>
    <w:p w14:paraId="5833EA2C" w14:textId="77777777" w:rsidR="000D70A0" w:rsidRPr="00F65686" w:rsidRDefault="000D70A0" w:rsidP="00F65686">
      <w:pPr>
        <w:spacing w:after="120"/>
        <w:jc w:val="both"/>
        <w:rPr>
          <w:rFonts w:ascii="Times New Roman" w:hAnsi="Times New Roman"/>
          <w:lang w:val="en-US"/>
        </w:rPr>
      </w:pPr>
    </w:p>
    <w:p w14:paraId="38B31BD2" w14:textId="2F7B24A4" w:rsidR="006C5F7C" w:rsidRPr="00F65686" w:rsidRDefault="00D81057" w:rsidP="00F65686">
      <w:pPr>
        <w:pStyle w:val="Titolo3"/>
        <w:numPr>
          <w:ilvl w:val="1"/>
          <w:numId w:val="11"/>
        </w:numPr>
        <w:jc w:val="both"/>
        <w:rPr>
          <w:rFonts w:ascii="Times New Roman" w:hAnsi="Times New Roman"/>
          <w:lang w:val="en-US"/>
        </w:rPr>
      </w:pPr>
      <w:r w:rsidRPr="00F65686">
        <w:rPr>
          <w:rFonts w:ascii="Times New Roman" w:hAnsi="Times New Roman"/>
          <w:lang w:val="en-US"/>
        </w:rPr>
        <w:t xml:space="preserve">Indicators of </w:t>
      </w:r>
      <w:r w:rsidR="006C5F7C" w:rsidRPr="00F65686">
        <w:rPr>
          <w:rFonts w:ascii="Times New Roman" w:hAnsi="Times New Roman"/>
          <w:lang w:val="en-US"/>
        </w:rPr>
        <w:t>proximities</w:t>
      </w:r>
    </w:p>
    <w:p w14:paraId="73FD3AC9" w14:textId="1C7FCD68" w:rsidR="006C5F7C" w:rsidRPr="00F65686" w:rsidRDefault="000D70A0" w:rsidP="00F65686">
      <w:pPr>
        <w:spacing w:after="120"/>
        <w:ind w:firstLine="284"/>
        <w:jc w:val="both"/>
        <w:rPr>
          <w:rFonts w:ascii="Times New Roman" w:hAnsi="Times New Roman"/>
          <w:lang w:val="en-US"/>
        </w:rPr>
      </w:pPr>
      <w:r w:rsidRPr="00F65686">
        <w:rPr>
          <w:rFonts w:ascii="Times New Roman" w:hAnsi="Times New Roman"/>
          <w:lang w:val="en-US"/>
        </w:rPr>
        <w:t xml:space="preserve">The local context where policies land may crucially affect the likelihood that </w:t>
      </w:r>
      <w:r w:rsidR="00AE01D6" w:rsidRPr="00F65686">
        <w:rPr>
          <w:rFonts w:ascii="Times New Roman" w:hAnsi="Times New Roman"/>
          <w:lang w:val="en-US"/>
        </w:rPr>
        <w:t xml:space="preserve">(i.) firms get access to the voucher program, and (ii.) that the impact </w:t>
      </w:r>
      <w:r w:rsidR="00224B20" w:rsidRPr="00F65686">
        <w:rPr>
          <w:rFonts w:ascii="Times New Roman" w:hAnsi="Times New Roman"/>
          <w:lang w:val="en-US"/>
        </w:rPr>
        <w:t>of the voucher is stronger when supporting cooperation between geographically, technologically, and socially close firms. To measure these last effects, we calculate three indicators for firms being respectively beneficiaries (</w:t>
      </w:r>
      <w:r w:rsidR="00224B20" w:rsidRPr="00F65686">
        <w:rPr>
          <w:rFonts w:ascii="Times New Roman" w:hAnsi="Times New Roman"/>
          <w:i/>
          <w:lang w:val="en-US"/>
        </w:rPr>
        <w:t>i</w:t>
      </w:r>
      <w:r w:rsidR="00224B20" w:rsidRPr="00F65686">
        <w:rPr>
          <w:rFonts w:ascii="Times New Roman" w:hAnsi="Times New Roman"/>
          <w:lang w:val="en-US"/>
        </w:rPr>
        <w:t xml:space="preserve"> indices in the equations below) and providers (</w:t>
      </w:r>
      <w:r w:rsidR="00224B20" w:rsidRPr="00F65686">
        <w:rPr>
          <w:rFonts w:ascii="Times New Roman" w:hAnsi="Times New Roman"/>
          <w:i/>
          <w:lang w:val="en-US"/>
        </w:rPr>
        <w:t>j</w:t>
      </w:r>
      <w:r w:rsidR="00224B20" w:rsidRPr="00F65686">
        <w:rPr>
          <w:rFonts w:ascii="Times New Roman" w:hAnsi="Times New Roman"/>
          <w:lang w:val="en-US"/>
        </w:rPr>
        <w:t>-indexed firms).</w:t>
      </w:r>
    </w:p>
    <w:p w14:paraId="775AF15E" w14:textId="65EA076A" w:rsidR="00224B20" w:rsidRPr="00F65686" w:rsidRDefault="00224B20" w:rsidP="00F65686">
      <w:pPr>
        <w:pStyle w:val="Paragrafoelenco"/>
        <w:numPr>
          <w:ilvl w:val="0"/>
          <w:numId w:val="12"/>
        </w:numPr>
        <w:spacing w:after="120"/>
        <w:jc w:val="both"/>
        <w:rPr>
          <w:rFonts w:ascii="Times New Roman" w:hAnsi="Times New Roman"/>
          <w:lang w:val="en-US"/>
        </w:rPr>
      </w:pPr>
      <w:r w:rsidRPr="00F65686">
        <w:rPr>
          <w:rFonts w:ascii="Times New Roman" w:hAnsi="Times New Roman"/>
          <w:b/>
          <w:lang w:val="en-US"/>
        </w:rPr>
        <w:t xml:space="preserve">Geographical distance </w:t>
      </w:r>
      <w:r w:rsidRPr="00F65686">
        <w:rPr>
          <w:rFonts w:ascii="Times New Roman" w:eastAsiaTheme="minorEastAsia" w:hAnsi="Times New Roman"/>
          <w:lang w:val="en-US"/>
        </w:rPr>
        <w:t xml:space="preserve">is calculated as the distance (in kilometers) between </w:t>
      </w:r>
      <w:r w:rsidRPr="00F65686">
        <w:rPr>
          <w:rFonts w:ascii="Times New Roman" w:eastAsiaTheme="minorEastAsia" w:hAnsi="Times New Roman"/>
          <w:i/>
          <w:lang w:val="en-US"/>
        </w:rPr>
        <w:t>i</w:t>
      </w:r>
      <w:r w:rsidRPr="00F65686">
        <w:rPr>
          <w:rFonts w:ascii="Times New Roman" w:eastAsiaTheme="minorEastAsia" w:hAnsi="Times New Roman"/>
          <w:lang w:val="en-US"/>
        </w:rPr>
        <w:t xml:space="preserve"> and </w:t>
      </w:r>
      <w:r w:rsidRPr="00F65686">
        <w:rPr>
          <w:rFonts w:ascii="Times New Roman" w:eastAsiaTheme="minorEastAsia" w:hAnsi="Times New Roman"/>
          <w:i/>
          <w:lang w:val="en-US"/>
        </w:rPr>
        <w:t>j</w:t>
      </w:r>
    </w:p>
    <w:p w14:paraId="51AF9820" w14:textId="5C2DB843" w:rsidR="00224B20" w:rsidRPr="00F65686" w:rsidRDefault="00224B20" w:rsidP="00F65686">
      <w:pPr>
        <w:pStyle w:val="Paragrafoelenco"/>
        <w:numPr>
          <w:ilvl w:val="0"/>
          <w:numId w:val="12"/>
        </w:numPr>
        <w:spacing w:after="120"/>
        <w:jc w:val="both"/>
        <w:rPr>
          <w:rFonts w:ascii="Times New Roman" w:hAnsi="Times New Roman"/>
          <w:lang w:val="en-US"/>
        </w:rPr>
      </w:pPr>
      <w:r w:rsidRPr="00F65686">
        <w:rPr>
          <w:rFonts w:ascii="Times New Roman" w:hAnsi="Times New Roman"/>
          <w:b/>
          <w:lang w:val="en-US"/>
        </w:rPr>
        <w:t>Social proximity</w:t>
      </w:r>
      <w:r w:rsidRPr="00F65686">
        <w:rPr>
          <w:rFonts w:ascii="Times New Roman" w:hAnsi="Times New Roman"/>
          <w:lang w:val="en-US"/>
        </w:rPr>
        <w:t xml:space="preserve"> is calculated, following Basile et al. (2012), </w:t>
      </w:r>
      <w:r w:rsidR="009F54B4" w:rsidRPr="00F65686">
        <w:rPr>
          <w:rFonts w:ascii="Times New Roman" w:hAnsi="Times New Roman"/>
          <w:lang w:val="en-US"/>
        </w:rPr>
        <w:t xml:space="preserve">Caragliu and Nijkamp (2016), and the implementation in Caragliu (2021), </w:t>
      </w:r>
      <w:r w:rsidRPr="00F65686">
        <w:rPr>
          <w:rFonts w:ascii="Times New Roman" w:hAnsi="Times New Roman"/>
          <w:lang w:val="en-US"/>
        </w:rPr>
        <w:t xml:space="preserve">on the basis of a multidimensional matrix of social similarity between NUTS3 areas termed </w:t>
      </w:r>
      <m:oMath>
        <m:sSub>
          <m:sSubPr>
            <m:ctrlPr>
              <w:rPr>
                <w:rFonts w:ascii="Cambria Math" w:hAnsi="Cambria Math"/>
                <w:lang w:val="en-US"/>
              </w:rPr>
            </m:ctrlPr>
          </m:sSubPr>
          <m:e>
            <m:r>
              <w:rPr>
                <w:rFonts w:ascii="Cambria Math" w:hAnsi="Cambria Math"/>
                <w:lang w:val="en-US"/>
              </w:rPr>
              <m:t>W</m:t>
            </m:r>
          </m:e>
          <m:sub>
            <m:r>
              <w:rPr>
                <w:rFonts w:ascii="Cambria Math" w:hAnsi="Cambria Math"/>
                <w:lang w:val="en-US"/>
              </w:rPr>
              <m:t>soc</m:t>
            </m:r>
          </m:sub>
        </m:sSub>
      </m:oMath>
      <w:r w:rsidRPr="00F65686">
        <w:rPr>
          <w:rFonts w:ascii="Times New Roman" w:hAnsi="Times New Roman"/>
          <w:lang w:val="en-US"/>
        </w:rPr>
        <w:t xml:space="preserve">. In </w:t>
      </w:r>
      <w:r w:rsidRPr="00F65686">
        <w:rPr>
          <w:rFonts w:ascii="Times New Roman" w:hAnsi="Times New Roman"/>
          <w:i/>
          <w:lang w:val="en-US"/>
        </w:rPr>
        <w:t>Wsoc</w:t>
      </w:r>
      <w:r w:rsidRPr="00F65686">
        <w:rPr>
          <w:rFonts w:ascii="Times New Roman" w:hAnsi="Times New Roman"/>
          <w:lang w:val="en-US"/>
        </w:rPr>
        <w:t xml:space="preserve">, each entry </w:t>
      </w:r>
      <w:r w:rsidRPr="00F65686">
        <w:rPr>
          <w:rFonts w:ascii="Times New Roman" w:hAnsi="Times New Roman"/>
          <w:i/>
          <w:lang w:val="en-US"/>
        </w:rPr>
        <w:t>i</w:t>
      </w:r>
      <w:r w:rsidRPr="00F65686">
        <w:rPr>
          <w:rFonts w:ascii="Times New Roman" w:hAnsi="Times New Roman"/>
          <w:lang w:val="en-US"/>
        </w:rPr>
        <w:t xml:space="preserve">, </w:t>
      </w:r>
      <w:r w:rsidRPr="00F65686">
        <w:rPr>
          <w:rFonts w:ascii="Times New Roman" w:hAnsi="Times New Roman"/>
          <w:i/>
          <w:lang w:val="en-US"/>
        </w:rPr>
        <w:t>j</w:t>
      </w:r>
      <w:r w:rsidRPr="00F65686">
        <w:rPr>
          <w:rFonts w:ascii="Times New Roman" w:hAnsi="Times New Roman"/>
          <w:lang w:val="en-US"/>
        </w:rPr>
        <w:t xml:space="preserve"> is obtained as the difference between endowments of social capital in each NUTS3 area where firms </w:t>
      </w:r>
      <w:r w:rsidR="009F54B4" w:rsidRPr="00F65686">
        <w:rPr>
          <w:rFonts w:ascii="Times New Roman" w:hAnsi="Times New Roman"/>
          <w:lang w:val="en-US"/>
        </w:rPr>
        <w:t>analyzed</w:t>
      </w:r>
      <w:r w:rsidRPr="00F65686">
        <w:rPr>
          <w:rFonts w:ascii="Times New Roman" w:hAnsi="Times New Roman"/>
          <w:lang w:val="en-US"/>
        </w:rPr>
        <w:t xml:space="preserve"> in the observed sample are located, along the two of the axes defining social capital as suggested in Putnam (2000). </w:t>
      </w:r>
      <w:r w:rsidRPr="00F65686">
        <w:rPr>
          <w:rFonts w:ascii="Times New Roman" w:hAnsi="Times New Roman"/>
          <w:lang w:val="en-US"/>
        </w:rPr>
        <w:lastRenderedPageBreak/>
        <w:t xml:space="preserve">Entries are </w:t>
      </w:r>
      <w:r w:rsidR="009F54B4" w:rsidRPr="00F65686">
        <w:rPr>
          <w:rFonts w:ascii="Times New Roman" w:hAnsi="Times New Roman"/>
          <w:lang w:val="en-US"/>
        </w:rPr>
        <w:t xml:space="preserve">next </w:t>
      </w:r>
      <w:r w:rsidRPr="00F65686">
        <w:rPr>
          <w:rFonts w:ascii="Times New Roman" w:hAnsi="Times New Roman"/>
          <w:lang w:val="en-US"/>
        </w:rPr>
        <w:t xml:space="preserve">calculated according to Eq. (1.), </w:t>
      </w:r>
      <w:r w:rsidR="009F54B4" w:rsidRPr="00F65686">
        <w:rPr>
          <w:rFonts w:ascii="Times New Roman" w:hAnsi="Times New Roman"/>
          <w:lang w:val="en-US"/>
        </w:rPr>
        <w:t xml:space="preserve">which shows </w:t>
      </w:r>
      <w:r w:rsidRPr="00F65686">
        <w:rPr>
          <w:rFonts w:ascii="Times New Roman" w:hAnsi="Times New Roman"/>
          <w:lang w:val="en-US"/>
        </w:rPr>
        <w:t xml:space="preserve">that social distance between regions </w:t>
      </w:r>
      <w:r w:rsidRPr="00F65686">
        <w:rPr>
          <w:rFonts w:ascii="Times New Roman" w:hAnsi="Times New Roman"/>
          <w:i/>
          <w:lang w:val="en-US"/>
        </w:rPr>
        <w:t>i</w:t>
      </w:r>
      <w:r w:rsidRPr="00F65686">
        <w:rPr>
          <w:rFonts w:ascii="Times New Roman" w:hAnsi="Times New Roman"/>
          <w:lang w:val="en-US"/>
        </w:rPr>
        <w:t xml:space="preserve"> and </w:t>
      </w:r>
      <w:r w:rsidRPr="00F65686">
        <w:rPr>
          <w:rFonts w:ascii="Times New Roman" w:hAnsi="Times New Roman"/>
          <w:i/>
          <w:lang w:val="en-US"/>
        </w:rPr>
        <w:t>j</w:t>
      </w:r>
      <w:r w:rsidRPr="00F65686">
        <w:rPr>
          <w:rFonts w:ascii="Times New Roman" w:hAnsi="Times New Roman"/>
          <w:lang w:val="en-US"/>
        </w:rPr>
        <w:t xml:space="preserve"> is calculated as normalized Euclidean distances between regional social capital </w:t>
      </w:r>
      <w:r w:rsidR="009F54B4" w:rsidRPr="00F65686">
        <w:rPr>
          <w:rFonts w:ascii="Times New Roman" w:hAnsi="Times New Roman"/>
          <w:lang w:val="en-US"/>
        </w:rPr>
        <w:t>features</w:t>
      </w:r>
      <w:r w:rsidRPr="00F65686">
        <w:rPr>
          <w:rFonts w:ascii="Times New Roman" w:hAnsi="Times New Roman"/>
          <w:lang w:val="en-US"/>
        </w:rPr>
        <w:t>:</w:t>
      </w:r>
      <w:r w:rsidR="009F54B4" w:rsidRPr="00F65686">
        <w:rPr>
          <w:rStyle w:val="Rimandonotaapidipagina"/>
          <w:rFonts w:ascii="Times New Roman" w:hAnsi="Times New Roman"/>
          <w:lang w:val="en-US"/>
        </w:rPr>
        <w:footnoteReference w:id="11"/>
      </w:r>
    </w:p>
    <w:tbl>
      <w:tblPr>
        <w:tblW w:w="0" w:type="auto"/>
        <w:tblLook w:val="04A0" w:firstRow="1" w:lastRow="0" w:firstColumn="1" w:lastColumn="0" w:noHBand="0" w:noVBand="1"/>
      </w:tblPr>
      <w:tblGrid>
        <w:gridCol w:w="8161"/>
        <w:gridCol w:w="1477"/>
      </w:tblGrid>
      <w:tr w:rsidR="00224B20" w:rsidRPr="00F65686" w14:paraId="71E8663E" w14:textId="77777777" w:rsidTr="004D2791">
        <w:tc>
          <w:tcPr>
            <w:tcW w:w="9282" w:type="dxa"/>
            <w:vAlign w:val="center"/>
          </w:tcPr>
          <w:p w14:paraId="586BDAC4" w14:textId="77777777" w:rsidR="00224B20" w:rsidRPr="00F65686" w:rsidRDefault="00224B20" w:rsidP="00F65686">
            <w:pPr>
              <w:spacing w:after="120"/>
              <w:jc w:val="both"/>
              <w:rPr>
                <w:rFonts w:ascii="Times New Roman" w:hAnsi="Times New Roman"/>
                <w:lang w:val="en-US"/>
              </w:rPr>
            </w:pPr>
            <w:r w:rsidRPr="00F65686">
              <w:rPr>
                <w:rFonts w:ascii="Times New Roman" w:hAnsi="Times New Roman"/>
                <w:lang w:val="en-US"/>
              </w:rPr>
              <w:object w:dxaOrig="4040" w:dyaOrig="580" w14:anchorId="33AE1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2pt;height:28.8pt" o:ole="" fillcolor="window">
                  <v:imagedata r:id="rId10" o:title=""/>
                </v:shape>
                <o:OLEObject Type="Embed" ProgID="Equation.DSMT4" ShapeID="_x0000_i1025" DrawAspect="Content" ObjectID="_1710850357" r:id="rId11"/>
              </w:object>
            </w:r>
          </w:p>
        </w:tc>
        <w:tc>
          <w:tcPr>
            <w:tcW w:w="496" w:type="dxa"/>
            <w:vAlign w:val="center"/>
          </w:tcPr>
          <w:p w14:paraId="3CB4748F" w14:textId="056E21F1" w:rsidR="00224B20" w:rsidRPr="00F65686" w:rsidRDefault="00224B20" w:rsidP="00F65686">
            <w:pPr>
              <w:pStyle w:val="Paragrafoelenco"/>
              <w:spacing w:after="120"/>
              <w:ind w:left="1004"/>
              <w:jc w:val="both"/>
              <w:rPr>
                <w:rFonts w:ascii="Times New Roman" w:hAnsi="Times New Roman"/>
                <w:lang w:val="en-US"/>
              </w:rPr>
            </w:pPr>
            <w:r w:rsidRPr="00F65686">
              <w:rPr>
                <w:rFonts w:ascii="Times New Roman" w:hAnsi="Times New Roman"/>
                <w:lang w:val="en-US"/>
              </w:rPr>
              <w:t>(1)</w:t>
            </w:r>
          </w:p>
        </w:tc>
      </w:tr>
    </w:tbl>
    <w:p w14:paraId="7BA73F9F" w14:textId="3E89AAE0" w:rsidR="00224B20" w:rsidRPr="00F65686" w:rsidRDefault="00224B20" w:rsidP="00F65686">
      <w:pPr>
        <w:spacing w:after="120"/>
        <w:ind w:firstLine="284"/>
        <w:jc w:val="both"/>
        <w:rPr>
          <w:rFonts w:ascii="Times New Roman" w:hAnsi="Times New Roman"/>
          <w:lang w:val="en-US"/>
        </w:rPr>
      </w:pPr>
      <w:r w:rsidRPr="00F65686">
        <w:rPr>
          <w:rFonts w:ascii="Times New Roman" w:hAnsi="Times New Roman"/>
          <w:lang w:val="en-US"/>
        </w:rPr>
        <w:t xml:space="preserve">where </w:t>
      </w:r>
      <w:r w:rsidRPr="00F65686">
        <w:rPr>
          <w:rFonts w:ascii="Times New Roman" w:hAnsi="Times New Roman"/>
          <w:lang w:val="en-US"/>
        </w:rPr>
        <w:object w:dxaOrig="260" w:dyaOrig="380" w14:anchorId="3823D503">
          <v:shape id="_x0000_i1026" type="#_x0000_t75" style="width:13.2pt;height:19.2pt" o:ole="" fillcolor="window">
            <v:imagedata r:id="rId12" o:title=""/>
          </v:shape>
          <o:OLEObject Type="Embed" ProgID="Equation.DSMT4" ShapeID="_x0000_i1026" DrawAspect="Content" ObjectID="_1710850358" r:id="rId13"/>
        </w:object>
      </w:r>
      <w:r w:rsidRPr="00F65686">
        <w:rPr>
          <w:rFonts w:ascii="Times New Roman" w:hAnsi="Times New Roman"/>
          <w:lang w:val="en-US"/>
        </w:rPr>
        <w:t xml:space="preserve"> are social capital indicators (with Q=2).</w:t>
      </w:r>
      <w:r w:rsidR="009F54B4" w:rsidRPr="00F65686">
        <w:rPr>
          <w:rFonts w:ascii="Times New Roman" w:hAnsi="Times New Roman"/>
          <w:lang w:val="en-US"/>
        </w:rPr>
        <w:t xml:space="preserve"> For calculating this indicator we pick up two NUTS3-specific variables available from ISTAT (2021), namely the percentage of firms incorporated as cooperative, as a proxy </w:t>
      </w:r>
      <w:r w:rsidR="00DF434E" w:rsidRPr="00F65686">
        <w:rPr>
          <w:rFonts w:ascii="Times New Roman" w:hAnsi="Times New Roman"/>
          <w:lang w:val="en-US"/>
        </w:rPr>
        <w:t>for community organizational life, and the incidence of petty crime per one million population, capturing social trust (Akçomak and Ter Weel, 2012).</w:t>
      </w:r>
    </w:p>
    <w:p w14:paraId="5A40B491" w14:textId="54E851EE" w:rsidR="00224B20" w:rsidRPr="00F65686" w:rsidRDefault="00224B20" w:rsidP="00F65686">
      <w:pPr>
        <w:pStyle w:val="Paragrafoelenco"/>
        <w:spacing w:after="120"/>
        <w:ind w:left="1004"/>
        <w:jc w:val="both"/>
        <w:rPr>
          <w:rFonts w:ascii="Times New Roman" w:hAnsi="Times New Roman"/>
          <w:lang w:val="en-US"/>
        </w:rPr>
      </w:pPr>
      <w:r w:rsidRPr="00F65686">
        <w:rPr>
          <w:rFonts w:ascii="Times New Roman" w:hAnsi="Times New Roman"/>
          <w:lang w:val="en-US"/>
        </w:rPr>
        <w:t xml:space="preserve">According to this specification, social proximity between regions increases as their social values are </w:t>
      </w:r>
      <w:r w:rsidR="009F54B4" w:rsidRPr="00F65686">
        <w:rPr>
          <w:rFonts w:ascii="Times New Roman" w:hAnsi="Times New Roman"/>
          <w:lang w:val="en-US"/>
        </w:rPr>
        <w:t>more similar</w:t>
      </w:r>
      <w:r w:rsidRPr="00F65686">
        <w:rPr>
          <w:rFonts w:ascii="Times New Roman" w:hAnsi="Times New Roman"/>
          <w:lang w:val="en-US"/>
        </w:rPr>
        <w:t xml:space="preserve">; this is corrected by also </w:t>
      </w:r>
      <w:r w:rsidR="009F54B4" w:rsidRPr="00F65686">
        <w:rPr>
          <w:rFonts w:ascii="Times New Roman" w:hAnsi="Times New Roman"/>
          <w:lang w:val="en-US"/>
        </w:rPr>
        <w:t xml:space="preserve">including at the denominator </w:t>
      </w:r>
      <w:r w:rsidRPr="00F65686">
        <w:rPr>
          <w:rFonts w:ascii="Times New Roman" w:hAnsi="Times New Roman"/>
          <w:lang w:val="en-US"/>
        </w:rPr>
        <w:t xml:space="preserve">the pair of regions’ overall social capital, </w:t>
      </w:r>
      <w:r w:rsidR="009F54B4" w:rsidRPr="00F65686">
        <w:rPr>
          <w:rFonts w:ascii="Times New Roman" w:hAnsi="Times New Roman"/>
          <w:lang w:val="en-US"/>
        </w:rPr>
        <w:t xml:space="preserve">which implies that absolute </w:t>
      </w:r>
      <w:r w:rsidRPr="00F65686">
        <w:rPr>
          <w:rFonts w:ascii="Times New Roman" w:hAnsi="Times New Roman"/>
          <w:lang w:val="en-US"/>
        </w:rPr>
        <w:t xml:space="preserve">differences </w:t>
      </w:r>
      <w:r w:rsidR="009F54B4" w:rsidRPr="00F65686">
        <w:rPr>
          <w:rFonts w:ascii="Times New Roman" w:hAnsi="Times New Roman"/>
          <w:lang w:val="en-US"/>
        </w:rPr>
        <w:t xml:space="preserve">are </w:t>
      </w:r>
      <w:r w:rsidRPr="00F65686">
        <w:rPr>
          <w:rFonts w:ascii="Times New Roman" w:hAnsi="Times New Roman"/>
          <w:lang w:val="en-US"/>
        </w:rPr>
        <w:t xml:space="preserve">less </w:t>
      </w:r>
      <w:r w:rsidR="009F54B4" w:rsidRPr="00F65686">
        <w:rPr>
          <w:rFonts w:ascii="Times New Roman" w:hAnsi="Times New Roman"/>
          <w:lang w:val="en-US"/>
        </w:rPr>
        <w:t xml:space="preserve">relevant when regions couples </w:t>
      </w:r>
      <w:r w:rsidRPr="00F65686">
        <w:rPr>
          <w:rFonts w:ascii="Times New Roman" w:hAnsi="Times New Roman"/>
          <w:lang w:val="en-US"/>
        </w:rPr>
        <w:t xml:space="preserve">are </w:t>
      </w:r>
      <w:r w:rsidR="009F54B4" w:rsidRPr="00F65686">
        <w:rPr>
          <w:rFonts w:ascii="Times New Roman" w:hAnsi="Times New Roman"/>
          <w:lang w:val="en-US"/>
        </w:rPr>
        <w:t xml:space="preserve">both </w:t>
      </w:r>
      <w:r w:rsidRPr="00F65686">
        <w:rPr>
          <w:rFonts w:ascii="Times New Roman" w:hAnsi="Times New Roman"/>
          <w:lang w:val="en-US"/>
        </w:rPr>
        <w:t>very rich in social capital.</w:t>
      </w:r>
    </w:p>
    <w:p w14:paraId="6F687A0B" w14:textId="09CE6272" w:rsidR="00224B20" w:rsidRPr="00F65686" w:rsidRDefault="009F54B4" w:rsidP="00F65686">
      <w:pPr>
        <w:pStyle w:val="Paragrafoelenco"/>
        <w:numPr>
          <w:ilvl w:val="0"/>
          <w:numId w:val="12"/>
        </w:numPr>
        <w:spacing w:after="120"/>
        <w:jc w:val="both"/>
        <w:rPr>
          <w:rFonts w:ascii="Times New Roman" w:hAnsi="Times New Roman"/>
          <w:lang w:val="en-US"/>
        </w:rPr>
      </w:pPr>
      <w:r w:rsidRPr="00F65686">
        <w:rPr>
          <w:rFonts w:ascii="Times New Roman" w:hAnsi="Times New Roman"/>
          <w:b/>
          <w:lang w:val="en-US"/>
        </w:rPr>
        <w:t xml:space="preserve">Technological proximity </w:t>
      </w:r>
      <w:r w:rsidR="00DF434E" w:rsidRPr="00F65686">
        <w:rPr>
          <w:rFonts w:ascii="Times New Roman" w:hAnsi="Times New Roman"/>
          <w:lang w:val="en-US"/>
        </w:rPr>
        <w:t>is instead calculated</w:t>
      </w:r>
      <w:r w:rsidR="00DF434E" w:rsidRPr="00F65686">
        <w:rPr>
          <w:rFonts w:ascii="Times New Roman" w:hAnsi="Times New Roman"/>
          <w:b/>
          <w:lang w:val="en-US"/>
        </w:rPr>
        <w:t xml:space="preserve"> </w:t>
      </w:r>
      <w:r w:rsidR="00DF434E" w:rsidRPr="00F65686">
        <w:rPr>
          <w:rFonts w:ascii="Times New Roman" w:hAnsi="Times New Roman"/>
          <w:lang w:val="en-US"/>
        </w:rPr>
        <w:t>on the basis of the matrix</w:t>
      </w:r>
      <w:r w:rsidR="00DF434E" w:rsidRPr="00F65686">
        <w:rPr>
          <w:rFonts w:ascii="Times New Roman" w:hAnsi="Times New Roman"/>
          <w:b/>
          <w:lang w:val="en-US"/>
        </w:rPr>
        <w:t xml:space="preserve"> </w:t>
      </w:r>
      <w:r w:rsidR="00DF434E" w:rsidRPr="00F65686">
        <w:rPr>
          <w:rFonts w:ascii="Times New Roman" w:hAnsi="Times New Roman"/>
          <w:i/>
          <w:lang w:val="en-US"/>
        </w:rPr>
        <w:t>W</w:t>
      </w:r>
      <w:r w:rsidR="00DF434E" w:rsidRPr="00F65686">
        <w:rPr>
          <w:rFonts w:ascii="Times New Roman" w:hAnsi="Times New Roman"/>
          <w:i/>
          <w:vertAlign w:val="subscript"/>
          <w:lang w:val="en-US"/>
        </w:rPr>
        <w:t>tech</w:t>
      </w:r>
      <w:r w:rsidR="00DF434E" w:rsidRPr="00F65686">
        <w:rPr>
          <w:rFonts w:ascii="Times New Roman" w:hAnsi="Times New Roman"/>
          <w:lang w:val="en-US"/>
        </w:rPr>
        <w:t xml:space="preserve">. In </w:t>
      </w:r>
      <w:r w:rsidR="00DF434E" w:rsidRPr="00F65686">
        <w:rPr>
          <w:rFonts w:ascii="Times New Roman" w:hAnsi="Times New Roman"/>
          <w:i/>
          <w:lang w:val="en-US"/>
        </w:rPr>
        <w:t>W</w:t>
      </w:r>
      <w:r w:rsidR="00DF434E" w:rsidRPr="00F65686">
        <w:rPr>
          <w:rFonts w:ascii="Times New Roman" w:hAnsi="Times New Roman"/>
          <w:i/>
          <w:vertAlign w:val="subscript"/>
          <w:lang w:val="en-US"/>
        </w:rPr>
        <w:t>tech</w:t>
      </w:r>
      <w:r w:rsidR="00DF434E" w:rsidRPr="00F65686">
        <w:rPr>
          <w:rFonts w:ascii="Times New Roman" w:hAnsi="Times New Roman"/>
          <w:lang w:val="en-US"/>
        </w:rPr>
        <w:t>, each entry i, j is obtained as a difference between the ATECO six-digit codes each firm has indicated as their main sector of activity.</w:t>
      </w:r>
    </w:p>
    <w:p w14:paraId="6A1D3312" w14:textId="58C3EB32" w:rsidR="00F27F57" w:rsidRPr="00F65686" w:rsidRDefault="00DF434E" w:rsidP="00F65686">
      <w:pPr>
        <w:spacing w:after="120"/>
        <w:ind w:firstLine="284"/>
        <w:jc w:val="both"/>
        <w:rPr>
          <w:rFonts w:ascii="Times New Roman" w:hAnsi="Times New Roman"/>
          <w:lang w:val="en-US"/>
        </w:rPr>
      </w:pPr>
      <w:r w:rsidRPr="00F65686">
        <w:rPr>
          <w:rFonts w:ascii="Times New Roman" w:hAnsi="Times New Roman"/>
          <w:lang w:val="en-US"/>
        </w:rPr>
        <w:t>We are now ready to illustrate ou</w:t>
      </w:r>
      <w:r w:rsidR="00B01EEA" w:rsidRPr="00F65686">
        <w:rPr>
          <w:rFonts w:ascii="Times New Roman" w:hAnsi="Times New Roman"/>
          <w:lang w:val="en-US"/>
        </w:rPr>
        <w:t>r findings</w:t>
      </w:r>
      <w:r w:rsidRPr="00F65686">
        <w:rPr>
          <w:rFonts w:ascii="Times New Roman" w:hAnsi="Times New Roman"/>
          <w:lang w:val="en-US"/>
        </w:rPr>
        <w:t>.</w:t>
      </w:r>
    </w:p>
    <w:p w14:paraId="7D3D2595" w14:textId="77777777" w:rsidR="004152D7" w:rsidRPr="00F65686" w:rsidRDefault="004152D7" w:rsidP="00F65686">
      <w:pPr>
        <w:spacing w:after="120"/>
        <w:jc w:val="both"/>
        <w:rPr>
          <w:rFonts w:ascii="Times New Roman" w:hAnsi="Times New Roman"/>
          <w:lang w:val="en-US"/>
        </w:rPr>
      </w:pPr>
    </w:p>
    <w:p w14:paraId="2DD7C27C" w14:textId="3467E3FA" w:rsidR="00F27F57" w:rsidRPr="00F65686" w:rsidRDefault="00B01EEA" w:rsidP="00F65686">
      <w:pPr>
        <w:pStyle w:val="Titolo1"/>
        <w:numPr>
          <w:ilvl w:val="0"/>
          <w:numId w:val="11"/>
        </w:numPr>
        <w:spacing w:before="0" w:after="120"/>
        <w:jc w:val="both"/>
        <w:rPr>
          <w:rFonts w:ascii="Times New Roman" w:hAnsi="Times New Roman"/>
          <w:lang w:val="en-US"/>
        </w:rPr>
      </w:pPr>
      <w:r w:rsidRPr="00F65686">
        <w:rPr>
          <w:rFonts w:ascii="Times New Roman" w:hAnsi="Times New Roman"/>
          <w:lang w:val="en-US"/>
        </w:rPr>
        <w:t xml:space="preserve">Findings </w:t>
      </w:r>
      <w:r w:rsidR="003F2694" w:rsidRPr="00F65686">
        <w:rPr>
          <w:rFonts w:ascii="Times New Roman" w:hAnsi="Times New Roman"/>
          <w:lang w:val="en-US"/>
        </w:rPr>
        <w:t>and discussion</w:t>
      </w:r>
    </w:p>
    <w:p w14:paraId="6A60E8EF" w14:textId="5D4CF8C9" w:rsidR="008C447B" w:rsidRPr="00F65686" w:rsidRDefault="00416E9B" w:rsidP="00F65686">
      <w:pPr>
        <w:pStyle w:val="Titolo3"/>
        <w:jc w:val="both"/>
        <w:rPr>
          <w:rFonts w:ascii="Times New Roman" w:hAnsi="Times New Roman"/>
        </w:rPr>
      </w:pPr>
      <w:r w:rsidRPr="00F65686">
        <w:rPr>
          <w:rFonts w:ascii="Times New Roman" w:hAnsi="Times New Roman"/>
        </w:rPr>
        <w:t xml:space="preserve">4.1 </w:t>
      </w:r>
      <w:r w:rsidR="008C447B" w:rsidRPr="00F65686">
        <w:rPr>
          <w:rFonts w:ascii="Times New Roman" w:hAnsi="Times New Roman"/>
        </w:rPr>
        <w:t>Finding</w:t>
      </w:r>
      <w:r w:rsidR="00102484" w:rsidRPr="00F65686">
        <w:rPr>
          <w:rFonts w:ascii="Times New Roman" w:hAnsi="Times New Roman"/>
        </w:rPr>
        <w:t>s</w:t>
      </w:r>
    </w:p>
    <w:p w14:paraId="494CE48A" w14:textId="3512DD30" w:rsidR="00B16630" w:rsidRPr="00F65686" w:rsidRDefault="00B16630" w:rsidP="00F65686">
      <w:pPr>
        <w:spacing w:after="120"/>
        <w:ind w:firstLine="284"/>
        <w:jc w:val="both"/>
        <w:rPr>
          <w:rFonts w:ascii="Times New Roman" w:hAnsi="Times New Roman"/>
          <w:lang w:val="en-US"/>
        </w:rPr>
      </w:pPr>
      <w:r w:rsidRPr="00F65686">
        <w:rPr>
          <w:rFonts w:ascii="Times New Roman" w:hAnsi="Times New Roman"/>
          <w:lang w:val="en-US"/>
        </w:rPr>
        <w:t xml:space="preserve">Dose-response </w:t>
      </w:r>
      <w:r w:rsidR="001B200A" w:rsidRPr="00F65686">
        <w:rPr>
          <w:rFonts w:ascii="Times New Roman" w:hAnsi="Times New Roman"/>
          <w:lang w:val="en-US"/>
        </w:rPr>
        <w:t>functions</w:t>
      </w:r>
      <w:r w:rsidRPr="00F65686">
        <w:rPr>
          <w:rFonts w:ascii="Times New Roman" w:hAnsi="Times New Roman"/>
          <w:lang w:val="en-US"/>
        </w:rPr>
        <w:t xml:space="preserve"> ar</w:t>
      </w:r>
      <w:r w:rsidR="00820E6A" w:rsidRPr="00F65686">
        <w:rPr>
          <w:rFonts w:ascii="Times New Roman" w:hAnsi="Times New Roman"/>
          <w:lang w:val="en-US"/>
        </w:rPr>
        <w:t>e calculated with the use of</w:t>
      </w:r>
      <w:r w:rsidRPr="00F65686">
        <w:rPr>
          <w:rFonts w:ascii="Times New Roman" w:hAnsi="Times New Roman"/>
          <w:lang w:val="en-US"/>
        </w:rPr>
        <w:t xml:space="preserve"> </w:t>
      </w:r>
      <w:r w:rsidR="00F145A5" w:rsidRPr="00F65686">
        <w:rPr>
          <w:rFonts w:ascii="Times New Roman" w:hAnsi="Times New Roman"/>
          <w:lang w:val="en-US"/>
        </w:rPr>
        <w:t xml:space="preserve">the </w:t>
      </w:r>
      <w:r w:rsidRPr="00F65686">
        <w:rPr>
          <w:rFonts w:ascii="Times New Roman" w:hAnsi="Times New Roman"/>
          <w:lang w:val="en-US"/>
        </w:rPr>
        <w:t xml:space="preserve">intensity of public funding as a measure of treatment. The </w:t>
      </w:r>
      <w:r w:rsidR="00DB3CB3" w:rsidRPr="00F65686">
        <w:rPr>
          <w:rFonts w:ascii="Times New Roman" w:hAnsi="Times New Roman"/>
          <w:lang w:val="en-US"/>
        </w:rPr>
        <w:t xml:space="preserve">non-negligible heterogeneity </w:t>
      </w:r>
      <w:r w:rsidR="00820E6A" w:rsidRPr="00F65686">
        <w:rPr>
          <w:rFonts w:ascii="Times New Roman" w:hAnsi="Times New Roman"/>
          <w:lang w:val="en-US"/>
        </w:rPr>
        <w:t>across</w:t>
      </w:r>
      <w:r w:rsidR="00DB3CB3" w:rsidRPr="00F65686">
        <w:rPr>
          <w:rFonts w:ascii="Times New Roman" w:hAnsi="Times New Roman"/>
          <w:lang w:val="en-US"/>
        </w:rPr>
        <w:t xml:space="preserve"> the </w:t>
      </w:r>
      <w:r w:rsidR="00820E6A" w:rsidRPr="00F65686">
        <w:rPr>
          <w:rFonts w:ascii="Times New Roman" w:hAnsi="Times New Roman"/>
          <w:lang w:val="en-US"/>
        </w:rPr>
        <w:t xml:space="preserve">voucher </w:t>
      </w:r>
      <w:r w:rsidR="00DB3CB3" w:rsidRPr="00F65686">
        <w:rPr>
          <w:rFonts w:ascii="Times New Roman" w:hAnsi="Times New Roman"/>
          <w:lang w:val="en-US"/>
        </w:rPr>
        <w:t xml:space="preserve">scopes (Table 1) also translates into varying </w:t>
      </w:r>
      <w:r w:rsidR="00820E6A" w:rsidRPr="00F65686">
        <w:rPr>
          <w:rFonts w:ascii="Times New Roman" w:hAnsi="Times New Roman"/>
          <w:lang w:val="en-US"/>
        </w:rPr>
        <w:t>treatment intensities</w:t>
      </w:r>
      <w:r w:rsidR="00DB3CB3" w:rsidRPr="00F65686">
        <w:rPr>
          <w:rFonts w:ascii="Times New Roman" w:hAnsi="Times New Roman"/>
          <w:lang w:val="en-US"/>
        </w:rPr>
        <w:t xml:space="preserve"> </w:t>
      </w:r>
      <w:r w:rsidR="00820E6A" w:rsidRPr="00F65686">
        <w:rPr>
          <w:rFonts w:ascii="Times New Roman" w:hAnsi="Times New Roman"/>
          <w:lang w:val="en-US"/>
        </w:rPr>
        <w:t xml:space="preserve">that </w:t>
      </w:r>
      <w:r w:rsidR="00DB3CB3" w:rsidRPr="00F65686">
        <w:rPr>
          <w:rFonts w:ascii="Times New Roman" w:hAnsi="Times New Roman"/>
          <w:lang w:val="en-US"/>
        </w:rPr>
        <w:t>can be exploited as dose.</w:t>
      </w:r>
      <w:r w:rsidR="00431B91" w:rsidRPr="00F65686">
        <w:rPr>
          <w:rFonts w:ascii="Times New Roman" w:hAnsi="Times New Roman"/>
          <w:lang w:val="en-US"/>
        </w:rPr>
        <w:t xml:space="preserve"> Moreover, because the type of voucher firms applied for clearly depends on a number of characteristics, both internal to the firm as well as related to their geographical, social, and technological context, treatment can be considered as endogenous.</w:t>
      </w:r>
      <w:r w:rsidR="00431B91" w:rsidRPr="00F65686">
        <w:rPr>
          <w:rStyle w:val="Rimandonotaapidipagina"/>
          <w:rFonts w:ascii="Times New Roman" w:hAnsi="Times New Roman"/>
          <w:lang w:val="en-US"/>
        </w:rPr>
        <w:footnoteReference w:id="12"/>
      </w:r>
    </w:p>
    <w:p w14:paraId="1B07A310" w14:textId="612ED0D3" w:rsidR="004D2791" w:rsidRPr="00F65686" w:rsidRDefault="009901A0" w:rsidP="00F65686">
      <w:pPr>
        <w:spacing w:after="120"/>
        <w:jc w:val="both"/>
        <w:rPr>
          <w:rFonts w:ascii="Times New Roman" w:hAnsi="Times New Roman"/>
          <w:lang w:val="en-US"/>
        </w:rPr>
      </w:pPr>
      <w:r w:rsidRPr="00F65686">
        <w:rPr>
          <w:rFonts w:ascii="Times New Roman" w:hAnsi="Times New Roman"/>
          <w:lang w:val="en-US"/>
        </w:rPr>
        <w:t xml:space="preserve">Table 3 shows the estimates of the voucher program impact </w:t>
      </w:r>
      <w:r w:rsidR="00ED4026" w:rsidRPr="00F65686">
        <w:rPr>
          <w:rFonts w:ascii="Times New Roman" w:hAnsi="Times New Roman"/>
          <w:lang w:val="en-US"/>
        </w:rPr>
        <w:t>on the basis of an endogenous treatment specification as described in Wo</w:t>
      </w:r>
      <w:r w:rsidR="00444675" w:rsidRPr="00F65686">
        <w:rPr>
          <w:rFonts w:ascii="Times New Roman" w:hAnsi="Times New Roman"/>
          <w:lang w:val="en-US"/>
        </w:rPr>
        <w:t>o</w:t>
      </w:r>
      <w:r w:rsidR="00ED4026" w:rsidRPr="00F65686">
        <w:rPr>
          <w:rFonts w:ascii="Times New Roman" w:hAnsi="Times New Roman"/>
          <w:lang w:val="en-US"/>
        </w:rPr>
        <w:t xml:space="preserve">ldridge (2010). </w:t>
      </w:r>
      <w:r w:rsidRPr="00F65686">
        <w:rPr>
          <w:rFonts w:ascii="Times New Roman" w:hAnsi="Times New Roman"/>
          <w:lang w:val="en-US"/>
        </w:rPr>
        <w:t>Columns (1) through (</w:t>
      </w:r>
      <w:r w:rsidR="00ED4026" w:rsidRPr="00F65686">
        <w:rPr>
          <w:rFonts w:ascii="Times New Roman" w:hAnsi="Times New Roman"/>
          <w:lang w:val="en-US"/>
        </w:rPr>
        <w:t>6</w:t>
      </w:r>
      <w:r w:rsidRPr="00F65686">
        <w:rPr>
          <w:rFonts w:ascii="Times New Roman" w:hAnsi="Times New Roman"/>
          <w:lang w:val="en-US"/>
        </w:rPr>
        <w:t>) vary for the choice of the dependent variable (probability to increase turnover</w:t>
      </w:r>
      <w:r w:rsidR="00ED4026" w:rsidRPr="00F65686">
        <w:rPr>
          <w:rFonts w:ascii="Times New Roman" w:hAnsi="Times New Roman"/>
          <w:lang w:val="en-US"/>
        </w:rPr>
        <w:t>, Columns 1-2</w:t>
      </w:r>
      <w:r w:rsidRPr="00F65686">
        <w:rPr>
          <w:rFonts w:ascii="Times New Roman" w:hAnsi="Times New Roman"/>
          <w:lang w:val="en-US"/>
        </w:rPr>
        <w:t>, develop new skills</w:t>
      </w:r>
      <w:r w:rsidR="00ED4026" w:rsidRPr="00F65686">
        <w:rPr>
          <w:rFonts w:ascii="Times New Roman" w:hAnsi="Times New Roman"/>
          <w:lang w:val="en-US"/>
        </w:rPr>
        <w:t xml:space="preserve">, Columns 3-4, </w:t>
      </w:r>
      <w:r w:rsidRPr="00F65686">
        <w:rPr>
          <w:rFonts w:ascii="Times New Roman" w:hAnsi="Times New Roman"/>
          <w:lang w:val="en-US"/>
        </w:rPr>
        <w:t xml:space="preserve">and achieve unforeseen results, </w:t>
      </w:r>
      <w:r w:rsidR="00BD160B" w:rsidRPr="00F65686">
        <w:rPr>
          <w:rFonts w:ascii="Times New Roman" w:hAnsi="Times New Roman"/>
          <w:lang w:val="en-US"/>
        </w:rPr>
        <w:t>C</w:t>
      </w:r>
      <w:r w:rsidR="00ED4026" w:rsidRPr="00F65686">
        <w:rPr>
          <w:rFonts w:ascii="Times New Roman" w:hAnsi="Times New Roman"/>
          <w:lang w:val="en-US"/>
        </w:rPr>
        <w:t xml:space="preserve">olumns 5-6, </w:t>
      </w:r>
      <w:r w:rsidRPr="00F65686">
        <w:rPr>
          <w:rFonts w:ascii="Times New Roman" w:hAnsi="Times New Roman"/>
          <w:lang w:val="en-US"/>
        </w:rPr>
        <w:t>respectively).</w:t>
      </w:r>
      <w:r w:rsidR="003E5CD5" w:rsidRPr="00F65686">
        <w:rPr>
          <w:rStyle w:val="Rimandonotaapidipagina"/>
          <w:rFonts w:ascii="Times New Roman" w:hAnsi="Times New Roman"/>
          <w:lang w:val="en-US"/>
        </w:rPr>
        <w:footnoteReference w:id="13"/>
      </w:r>
      <w:r w:rsidR="00ED4026" w:rsidRPr="00F65686">
        <w:rPr>
          <w:rFonts w:ascii="Times New Roman" w:hAnsi="Times New Roman"/>
          <w:lang w:val="en-US"/>
        </w:rPr>
        <w:t xml:space="preserve"> In Table 3, the POmeans section displays the potential</w:t>
      </w:r>
      <w:r w:rsidR="001B200A" w:rsidRPr="00F65686">
        <w:rPr>
          <w:rFonts w:ascii="Times New Roman" w:hAnsi="Times New Roman"/>
          <w:lang w:val="en-US"/>
        </w:rPr>
        <w:t xml:space="preserve"> outcome means for the two treatment groups (firms receiving, or not, the voucher). The OME0 and OME1 sections display the regression adjustments (RA) coefficients for the untreated and treated groups, respectively. Lastly, the TME1 section of the table shows coefficients for the </w:t>
      </w:r>
      <w:r w:rsidR="001B200A" w:rsidRPr="00F65686">
        <w:rPr>
          <w:rFonts w:ascii="Times New Roman" w:hAnsi="Times New Roman"/>
          <w:i/>
          <w:lang w:val="en-US"/>
        </w:rPr>
        <w:t>Probit</w:t>
      </w:r>
      <w:r w:rsidR="001B200A" w:rsidRPr="00F65686">
        <w:rPr>
          <w:rFonts w:ascii="Times New Roman" w:hAnsi="Times New Roman"/>
          <w:lang w:val="en-US"/>
        </w:rPr>
        <w:t xml:space="preserve"> treatment model.</w:t>
      </w:r>
    </w:p>
    <w:p w14:paraId="1E07337F" w14:textId="6E86B710" w:rsidR="00EF7E2D" w:rsidRPr="00F65686" w:rsidRDefault="00EF7E2D" w:rsidP="00F65686">
      <w:pPr>
        <w:spacing w:after="120"/>
        <w:jc w:val="both"/>
        <w:rPr>
          <w:rFonts w:ascii="Times New Roman" w:hAnsi="Times New Roman"/>
          <w:lang w:val="en-US"/>
        </w:rPr>
        <w:sectPr w:rsidR="00EF7E2D" w:rsidRPr="00F65686" w:rsidSect="004D0E94">
          <w:pgSz w:w="11906" w:h="16838"/>
          <w:pgMar w:top="1417" w:right="1134" w:bottom="1134" w:left="1134" w:header="708" w:footer="708" w:gutter="0"/>
          <w:cols w:space="708"/>
          <w:docGrid w:linePitch="360"/>
        </w:sectPr>
      </w:pPr>
    </w:p>
    <w:tbl>
      <w:tblPr>
        <w:tblW w:w="12000" w:type="dxa"/>
        <w:tblLayout w:type="fixed"/>
        <w:tblCellMar>
          <w:left w:w="70" w:type="dxa"/>
          <w:right w:w="70" w:type="dxa"/>
        </w:tblCellMar>
        <w:tblLook w:val="04A0" w:firstRow="1" w:lastRow="0" w:firstColumn="1" w:lastColumn="0" w:noHBand="0" w:noVBand="1"/>
      </w:tblPr>
      <w:tblGrid>
        <w:gridCol w:w="3160"/>
        <w:gridCol w:w="1340"/>
        <w:gridCol w:w="1340"/>
        <w:gridCol w:w="1340"/>
        <w:gridCol w:w="1340"/>
        <w:gridCol w:w="1340"/>
        <w:gridCol w:w="2140"/>
      </w:tblGrid>
      <w:tr w:rsidR="0088286D" w:rsidRPr="00F65686" w14:paraId="3790F52D" w14:textId="77777777" w:rsidTr="0088286D">
        <w:trPr>
          <w:trHeight w:val="288"/>
        </w:trPr>
        <w:tc>
          <w:tcPr>
            <w:tcW w:w="3160" w:type="dxa"/>
            <w:tcBorders>
              <w:top w:val="single" w:sz="8" w:space="0" w:color="auto"/>
              <w:left w:val="nil"/>
              <w:bottom w:val="nil"/>
              <w:right w:val="nil"/>
            </w:tcBorders>
            <w:shd w:val="clear" w:color="auto" w:fill="auto"/>
            <w:vAlign w:val="center"/>
            <w:hideMark/>
          </w:tcPr>
          <w:p w14:paraId="737C8B12" w14:textId="77777777" w:rsidR="0088286D" w:rsidRPr="00F65686" w:rsidRDefault="0088286D" w:rsidP="00F65686">
            <w:pPr>
              <w:spacing w:after="0" w:line="240" w:lineRule="auto"/>
              <w:jc w:val="center"/>
              <w:rPr>
                <w:rFonts w:ascii="Times New Roman" w:hAnsi="Times New Roman"/>
                <w:color w:val="000000"/>
                <w:sz w:val="20"/>
                <w:szCs w:val="20"/>
                <w:lang w:val="en-GB" w:eastAsia="it-IT"/>
              </w:rPr>
            </w:pPr>
            <w:r w:rsidRPr="00F65686">
              <w:rPr>
                <w:rFonts w:ascii="Times New Roman" w:hAnsi="Times New Roman"/>
                <w:color w:val="000000"/>
                <w:sz w:val="20"/>
                <w:szCs w:val="20"/>
                <w:lang w:val="en-US" w:eastAsia="it-IT"/>
              </w:rPr>
              <w:lastRenderedPageBreak/>
              <w:t> </w:t>
            </w:r>
          </w:p>
        </w:tc>
        <w:tc>
          <w:tcPr>
            <w:tcW w:w="1340" w:type="dxa"/>
            <w:tcBorders>
              <w:top w:val="single" w:sz="8" w:space="0" w:color="auto"/>
              <w:left w:val="nil"/>
              <w:bottom w:val="nil"/>
              <w:right w:val="nil"/>
            </w:tcBorders>
            <w:shd w:val="clear" w:color="auto" w:fill="auto"/>
            <w:vAlign w:val="center"/>
            <w:hideMark/>
          </w:tcPr>
          <w:p w14:paraId="0BF02934" w14:textId="77777777" w:rsidR="0088286D" w:rsidRPr="00F65686" w:rsidRDefault="0088286D" w:rsidP="00F65686">
            <w:pPr>
              <w:spacing w:after="0" w:line="240" w:lineRule="auto"/>
              <w:jc w:val="center"/>
              <w:rPr>
                <w:rFonts w:ascii="Times New Roman" w:hAnsi="Times New Roman"/>
                <w:i/>
                <w:iCs/>
                <w:color w:val="000000"/>
                <w:sz w:val="20"/>
                <w:szCs w:val="20"/>
                <w:lang w:eastAsia="it-IT"/>
              </w:rPr>
            </w:pPr>
            <w:r w:rsidRPr="00F65686">
              <w:rPr>
                <w:rFonts w:ascii="Times New Roman" w:hAnsi="Times New Roman"/>
                <w:i/>
                <w:iCs/>
                <w:color w:val="000000"/>
                <w:sz w:val="20"/>
                <w:szCs w:val="20"/>
                <w:lang w:val="en-US" w:eastAsia="it-IT"/>
              </w:rPr>
              <w:t>(1)</w:t>
            </w:r>
          </w:p>
        </w:tc>
        <w:tc>
          <w:tcPr>
            <w:tcW w:w="1340" w:type="dxa"/>
            <w:tcBorders>
              <w:top w:val="single" w:sz="8" w:space="0" w:color="auto"/>
              <w:left w:val="nil"/>
              <w:bottom w:val="nil"/>
              <w:right w:val="nil"/>
            </w:tcBorders>
            <w:shd w:val="clear" w:color="auto" w:fill="auto"/>
            <w:vAlign w:val="center"/>
            <w:hideMark/>
          </w:tcPr>
          <w:p w14:paraId="17696684" w14:textId="77777777" w:rsidR="0088286D" w:rsidRPr="00F65686" w:rsidRDefault="0088286D" w:rsidP="00F65686">
            <w:pPr>
              <w:spacing w:after="0" w:line="240" w:lineRule="auto"/>
              <w:jc w:val="center"/>
              <w:rPr>
                <w:rFonts w:ascii="Times New Roman" w:hAnsi="Times New Roman"/>
                <w:i/>
                <w:iCs/>
                <w:color w:val="000000"/>
                <w:sz w:val="20"/>
                <w:szCs w:val="20"/>
                <w:lang w:eastAsia="it-IT"/>
              </w:rPr>
            </w:pPr>
            <w:r w:rsidRPr="00F65686">
              <w:rPr>
                <w:rFonts w:ascii="Times New Roman" w:hAnsi="Times New Roman"/>
                <w:i/>
                <w:iCs/>
                <w:color w:val="000000"/>
                <w:sz w:val="20"/>
                <w:szCs w:val="20"/>
                <w:lang w:val="en-US" w:eastAsia="it-IT"/>
              </w:rPr>
              <w:t>(2)</w:t>
            </w:r>
          </w:p>
        </w:tc>
        <w:tc>
          <w:tcPr>
            <w:tcW w:w="1340" w:type="dxa"/>
            <w:tcBorders>
              <w:top w:val="single" w:sz="8" w:space="0" w:color="auto"/>
              <w:left w:val="nil"/>
              <w:bottom w:val="nil"/>
              <w:right w:val="nil"/>
            </w:tcBorders>
            <w:shd w:val="clear" w:color="auto" w:fill="auto"/>
            <w:vAlign w:val="center"/>
            <w:hideMark/>
          </w:tcPr>
          <w:p w14:paraId="418E9964" w14:textId="77777777" w:rsidR="0088286D" w:rsidRPr="00F65686" w:rsidRDefault="0088286D" w:rsidP="00F65686">
            <w:pPr>
              <w:spacing w:after="0" w:line="240" w:lineRule="auto"/>
              <w:jc w:val="center"/>
              <w:rPr>
                <w:rFonts w:ascii="Times New Roman" w:hAnsi="Times New Roman"/>
                <w:i/>
                <w:iCs/>
                <w:color w:val="000000"/>
                <w:sz w:val="20"/>
                <w:szCs w:val="20"/>
                <w:lang w:eastAsia="it-IT"/>
              </w:rPr>
            </w:pPr>
            <w:r w:rsidRPr="00F65686">
              <w:rPr>
                <w:rFonts w:ascii="Times New Roman" w:hAnsi="Times New Roman"/>
                <w:i/>
                <w:iCs/>
                <w:color w:val="000000"/>
                <w:sz w:val="20"/>
                <w:szCs w:val="20"/>
                <w:lang w:val="en-US" w:eastAsia="it-IT"/>
              </w:rPr>
              <w:t>(3)</w:t>
            </w:r>
          </w:p>
        </w:tc>
        <w:tc>
          <w:tcPr>
            <w:tcW w:w="1340" w:type="dxa"/>
            <w:tcBorders>
              <w:top w:val="single" w:sz="8" w:space="0" w:color="auto"/>
              <w:left w:val="nil"/>
              <w:bottom w:val="nil"/>
              <w:right w:val="nil"/>
            </w:tcBorders>
            <w:shd w:val="clear" w:color="auto" w:fill="auto"/>
            <w:vAlign w:val="center"/>
            <w:hideMark/>
          </w:tcPr>
          <w:p w14:paraId="169F5717" w14:textId="77777777" w:rsidR="0088286D" w:rsidRPr="00F65686" w:rsidRDefault="0088286D" w:rsidP="00F65686">
            <w:pPr>
              <w:spacing w:after="0" w:line="240" w:lineRule="auto"/>
              <w:jc w:val="center"/>
              <w:rPr>
                <w:rFonts w:ascii="Times New Roman" w:hAnsi="Times New Roman"/>
                <w:i/>
                <w:iCs/>
                <w:color w:val="000000"/>
                <w:sz w:val="20"/>
                <w:szCs w:val="20"/>
                <w:lang w:eastAsia="it-IT"/>
              </w:rPr>
            </w:pPr>
            <w:r w:rsidRPr="00F65686">
              <w:rPr>
                <w:rFonts w:ascii="Times New Roman" w:hAnsi="Times New Roman"/>
                <w:i/>
                <w:iCs/>
                <w:color w:val="000000"/>
                <w:sz w:val="20"/>
                <w:szCs w:val="20"/>
                <w:lang w:val="en-US" w:eastAsia="it-IT"/>
              </w:rPr>
              <w:t>(4)</w:t>
            </w:r>
          </w:p>
        </w:tc>
        <w:tc>
          <w:tcPr>
            <w:tcW w:w="1340" w:type="dxa"/>
            <w:tcBorders>
              <w:top w:val="single" w:sz="8" w:space="0" w:color="auto"/>
              <w:left w:val="nil"/>
              <w:bottom w:val="nil"/>
              <w:right w:val="nil"/>
            </w:tcBorders>
            <w:shd w:val="clear" w:color="auto" w:fill="auto"/>
            <w:vAlign w:val="center"/>
            <w:hideMark/>
          </w:tcPr>
          <w:p w14:paraId="79DCC4F3" w14:textId="77777777" w:rsidR="0088286D" w:rsidRPr="00F65686" w:rsidRDefault="0088286D" w:rsidP="00F65686">
            <w:pPr>
              <w:spacing w:after="0" w:line="240" w:lineRule="auto"/>
              <w:jc w:val="center"/>
              <w:rPr>
                <w:rFonts w:ascii="Times New Roman" w:hAnsi="Times New Roman"/>
                <w:i/>
                <w:iCs/>
                <w:color w:val="000000"/>
                <w:sz w:val="20"/>
                <w:szCs w:val="20"/>
                <w:lang w:eastAsia="it-IT"/>
              </w:rPr>
            </w:pPr>
            <w:r w:rsidRPr="00F65686">
              <w:rPr>
                <w:rFonts w:ascii="Times New Roman" w:hAnsi="Times New Roman"/>
                <w:i/>
                <w:iCs/>
                <w:color w:val="000000"/>
                <w:sz w:val="20"/>
                <w:szCs w:val="20"/>
                <w:lang w:val="en-US" w:eastAsia="it-IT"/>
              </w:rPr>
              <w:t>(5)</w:t>
            </w:r>
          </w:p>
        </w:tc>
        <w:tc>
          <w:tcPr>
            <w:tcW w:w="2140" w:type="dxa"/>
            <w:tcBorders>
              <w:top w:val="single" w:sz="8" w:space="0" w:color="auto"/>
              <w:left w:val="nil"/>
              <w:bottom w:val="nil"/>
              <w:right w:val="nil"/>
            </w:tcBorders>
            <w:shd w:val="clear" w:color="auto" w:fill="auto"/>
            <w:vAlign w:val="center"/>
            <w:hideMark/>
          </w:tcPr>
          <w:p w14:paraId="257C95F1" w14:textId="77777777" w:rsidR="0088286D" w:rsidRPr="00F65686" w:rsidRDefault="0088286D" w:rsidP="00F65686">
            <w:pPr>
              <w:spacing w:after="0" w:line="240" w:lineRule="auto"/>
              <w:jc w:val="center"/>
              <w:rPr>
                <w:rFonts w:ascii="Times New Roman" w:hAnsi="Times New Roman"/>
                <w:i/>
                <w:iCs/>
                <w:color w:val="000000"/>
                <w:sz w:val="20"/>
                <w:szCs w:val="20"/>
                <w:lang w:eastAsia="it-IT"/>
              </w:rPr>
            </w:pPr>
            <w:r w:rsidRPr="00F65686">
              <w:rPr>
                <w:rFonts w:ascii="Times New Roman" w:hAnsi="Times New Roman"/>
                <w:i/>
                <w:iCs/>
                <w:color w:val="000000"/>
                <w:sz w:val="20"/>
                <w:szCs w:val="20"/>
                <w:lang w:val="en-US" w:eastAsia="it-IT"/>
              </w:rPr>
              <w:t>(6)</w:t>
            </w:r>
          </w:p>
        </w:tc>
      </w:tr>
      <w:tr w:rsidR="0088286D" w:rsidRPr="00F65686" w14:paraId="29159656" w14:textId="77777777" w:rsidTr="00905844">
        <w:trPr>
          <w:trHeight w:val="684"/>
        </w:trPr>
        <w:tc>
          <w:tcPr>
            <w:tcW w:w="3160" w:type="dxa"/>
            <w:tcBorders>
              <w:top w:val="nil"/>
              <w:left w:val="nil"/>
              <w:bottom w:val="nil"/>
              <w:right w:val="nil"/>
            </w:tcBorders>
            <w:shd w:val="clear" w:color="auto" w:fill="auto"/>
            <w:vAlign w:val="center"/>
            <w:hideMark/>
          </w:tcPr>
          <w:p w14:paraId="4F1A82C8" w14:textId="03910E2F" w:rsidR="0088286D" w:rsidRPr="00F65686" w:rsidRDefault="0088286D" w:rsidP="00F65686">
            <w:pPr>
              <w:spacing w:after="0" w:line="240" w:lineRule="auto"/>
              <w:jc w:val="center"/>
              <w:rPr>
                <w:rFonts w:ascii="Times New Roman" w:hAnsi="Times New Roman"/>
                <w:i/>
                <w:iCs/>
                <w:color w:val="000000"/>
                <w:sz w:val="20"/>
                <w:szCs w:val="20"/>
                <w:lang w:eastAsia="it-IT"/>
              </w:rPr>
            </w:pPr>
            <w:r w:rsidRPr="00F65686">
              <w:rPr>
                <w:rFonts w:ascii="Times New Roman" w:hAnsi="Times New Roman"/>
                <w:i/>
                <w:iCs/>
                <w:color w:val="000000"/>
                <w:sz w:val="20"/>
                <w:szCs w:val="20"/>
                <w:lang w:eastAsia="it-IT"/>
              </w:rPr>
              <w:t>Model</w:t>
            </w:r>
          </w:p>
        </w:tc>
        <w:tc>
          <w:tcPr>
            <w:tcW w:w="1340" w:type="dxa"/>
            <w:tcBorders>
              <w:top w:val="nil"/>
              <w:left w:val="nil"/>
              <w:bottom w:val="nil"/>
              <w:right w:val="nil"/>
            </w:tcBorders>
            <w:shd w:val="clear" w:color="auto" w:fill="auto"/>
            <w:vAlign w:val="center"/>
            <w:hideMark/>
          </w:tcPr>
          <w:p w14:paraId="47181EC7" w14:textId="77777777" w:rsidR="0088286D" w:rsidRPr="00F65686" w:rsidRDefault="0088286D" w:rsidP="00F65686">
            <w:pPr>
              <w:spacing w:after="0" w:line="240" w:lineRule="auto"/>
              <w:jc w:val="center"/>
              <w:rPr>
                <w:rFonts w:ascii="Times New Roman" w:hAnsi="Times New Roman"/>
                <w:i/>
                <w:iCs/>
                <w:color w:val="000000"/>
                <w:sz w:val="20"/>
                <w:szCs w:val="20"/>
                <w:lang w:eastAsia="it-IT"/>
              </w:rPr>
            </w:pPr>
            <w:r w:rsidRPr="00F65686">
              <w:rPr>
                <w:rFonts w:ascii="Times New Roman" w:hAnsi="Times New Roman"/>
                <w:i/>
                <w:iCs/>
                <w:color w:val="000000"/>
                <w:sz w:val="20"/>
                <w:szCs w:val="20"/>
                <w:lang w:val="en-US" w:eastAsia="it-IT"/>
              </w:rPr>
              <w:t>Dose-response function, Per capita revenues I</w:t>
            </w:r>
          </w:p>
        </w:tc>
        <w:tc>
          <w:tcPr>
            <w:tcW w:w="1340" w:type="dxa"/>
            <w:tcBorders>
              <w:top w:val="nil"/>
              <w:left w:val="nil"/>
              <w:bottom w:val="nil"/>
              <w:right w:val="nil"/>
            </w:tcBorders>
            <w:shd w:val="clear" w:color="auto" w:fill="auto"/>
            <w:vAlign w:val="center"/>
            <w:hideMark/>
          </w:tcPr>
          <w:p w14:paraId="03619642" w14:textId="77777777" w:rsidR="0088286D" w:rsidRPr="00F65686" w:rsidRDefault="0088286D" w:rsidP="00F65686">
            <w:pPr>
              <w:spacing w:after="0" w:line="240" w:lineRule="auto"/>
              <w:jc w:val="center"/>
              <w:rPr>
                <w:rFonts w:ascii="Times New Roman" w:hAnsi="Times New Roman"/>
                <w:i/>
                <w:iCs/>
                <w:color w:val="000000"/>
                <w:sz w:val="20"/>
                <w:szCs w:val="20"/>
                <w:lang w:eastAsia="it-IT"/>
              </w:rPr>
            </w:pPr>
            <w:r w:rsidRPr="00F65686">
              <w:rPr>
                <w:rFonts w:ascii="Times New Roman" w:hAnsi="Times New Roman"/>
                <w:i/>
                <w:iCs/>
                <w:color w:val="000000"/>
                <w:sz w:val="20"/>
                <w:szCs w:val="20"/>
                <w:lang w:val="en-US" w:eastAsia="it-IT"/>
              </w:rPr>
              <w:t>Dose-response function, Per capita revenues II</w:t>
            </w:r>
          </w:p>
        </w:tc>
        <w:tc>
          <w:tcPr>
            <w:tcW w:w="1340" w:type="dxa"/>
            <w:tcBorders>
              <w:top w:val="nil"/>
              <w:left w:val="nil"/>
              <w:bottom w:val="nil"/>
              <w:right w:val="nil"/>
            </w:tcBorders>
            <w:shd w:val="clear" w:color="auto" w:fill="auto"/>
            <w:vAlign w:val="center"/>
            <w:hideMark/>
          </w:tcPr>
          <w:p w14:paraId="51CE0CE9" w14:textId="77777777" w:rsidR="0088286D" w:rsidRPr="00F65686" w:rsidRDefault="0088286D" w:rsidP="00F65686">
            <w:pPr>
              <w:spacing w:after="0" w:line="240" w:lineRule="auto"/>
              <w:jc w:val="center"/>
              <w:rPr>
                <w:rFonts w:ascii="Times New Roman" w:hAnsi="Times New Roman"/>
                <w:i/>
                <w:iCs/>
                <w:color w:val="000000"/>
                <w:sz w:val="20"/>
                <w:szCs w:val="20"/>
                <w:lang w:val="en-GB" w:eastAsia="it-IT"/>
              </w:rPr>
            </w:pPr>
            <w:r w:rsidRPr="00F65686">
              <w:rPr>
                <w:rFonts w:ascii="Times New Roman" w:hAnsi="Times New Roman"/>
                <w:i/>
                <w:iCs/>
                <w:color w:val="000000"/>
                <w:sz w:val="20"/>
                <w:szCs w:val="20"/>
                <w:lang w:val="en-US" w:eastAsia="it-IT"/>
              </w:rPr>
              <w:t>Dose-response function, New skills I</w:t>
            </w:r>
          </w:p>
        </w:tc>
        <w:tc>
          <w:tcPr>
            <w:tcW w:w="1340" w:type="dxa"/>
            <w:tcBorders>
              <w:top w:val="nil"/>
              <w:left w:val="nil"/>
              <w:bottom w:val="nil"/>
              <w:right w:val="nil"/>
            </w:tcBorders>
            <w:shd w:val="clear" w:color="auto" w:fill="auto"/>
            <w:vAlign w:val="center"/>
            <w:hideMark/>
          </w:tcPr>
          <w:p w14:paraId="68D2238E" w14:textId="77777777" w:rsidR="0088286D" w:rsidRPr="00F65686" w:rsidRDefault="0088286D" w:rsidP="00F65686">
            <w:pPr>
              <w:spacing w:after="0" w:line="240" w:lineRule="auto"/>
              <w:jc w:val="center"/>
              <w:rPr>
                <w:rFonts w:ascii="Times New Roman" w:hAnsi="Times New Roman"/>
                <w:i/>
                <w:iCs/>
                <w:color w:val="000000"/>
                <w:sz w:val="20"/>
                <w:szCs w:val="20"/>
                <w:lang w:val="en-GB" w:eastAsia="it-IT"/>
              </w:rPr>
            </w:pPr>
            <w:r w:rsidRPr="00F65686">
              <w:rPr>
                <w:rFonts w:ascii="Times New Roman" w:hAnsi="Times New Roman"/>
                <w:i/>
                <w:iCs/>
                <w:color w:val="000000"/>
                <w:sz w:val="20"/>
                <w:szCs w:val="20"/>
                <w:lang w:val="en-US" w:eastAsia="it-IT"/>
              </w:rPr>
              <w:t>Dose-response function, New skills II</w:t>
            </w:r>
          </w:p>
        </w:tc>
        <w:tc>
          <w:tcPr>
            <w:tcW w:w="1340" w:type="dxa"/>
            <w:tcBorders>
              <w:top w:val="nil"/>
              <w:left w:val="nil"/>
              <w:bottom w:val="nil"/>
              <w:right w:val="nil"/>
            </w:tcBorders>
            <w:shd w:val="clear" w:color="auto" w:fill="auto"/>
            <w:vAlign w:val="center"/>
            <w:hideMark/>
          </w:tcPr>
          <w:p w14:paraId="60AAE16A" w14:textId="77777777" w:rsidR="0088286D" w:rsidRPr="00F65686" w:rsidRDefault="0088286D" w:rsidP="00F65686">
            <w:pPr>
              <w:spacing w:after="0" w:line="240" w:lineRule="auto"/>
              <w:jc w:val="center"/>
              <w:rPr>
                <w:rFonts w:ascii="Times New Roman" w:hAnsi="Times New Roman"/>
                <w:i/>
                <w:iCs/>
                <w:color w:val="000000"/>
                <w:sz w:val="20"/>
                <w:szCs w:val="20"/>
                <w:lang w:eastAsia="it-IT"/>
              </w:rPr>
            </w:pPr>
            <w:r w:rsidRPr="00F65686">
              <w:rPr>
                <w:rFonts w:ascii="Times New Roman" w:hAnsi="Times New Roman"/>
                <w:i/>
                <w:iCs/>
                <w:color w:val="000000"/>
                <w:sz w:val="20"/>
                <w:szCs w:val="20"/>
                <w:lang w:val="en-US" w:eastAsia="it-IT"/>
              </w:rPr>
              <w:t>Dose-response function, Serendipitous results I</w:t>
            </w:r>
          </w:p>
        </w:tc>
        <w:tc>
          <w:tcPr>
            <w:tcW w:w="2140" w:type="dxa"/>
            <w:tcBorders>
              <w:top w:val="nil"/>
              <w:left w:val="nil"/>
              <w:bottom w:val="nil"/>
              <w:right w:val="nil"/>
            </w:tcBorders>
            <w:shd w:val="clear" w:color="auto" w:fill="auto"/>
            <w:vAlign w:val="center"/>
            <w:hideMark/>
          </w:tcPr>
          <w:p w14:paraId="16968FC1" w14:textId="77777777" w:rsidR="0088286D" w:rsidRPr="00F65686" w:rsidRDefault="0088286D" w:rsidP="00F65686">
            <w:pPr>
              <w:spacing w:after="0" w:line="240" w:lineRule="auto"/>
              <w:jc w:val="center"/>
              <w:rPr>
                <w:rFonts w:ascii="Times New Roman" w:hAnsi="Times New Roman"/>
                <w:i/>
                <w:iCs/>
                <w:color w:val="000000"/>
                <w:sz w:val="20"/>
                <w:szCs w:val="20"/>
                <w:lang w:val="en-GB" w:eastAsia="it-IT"/>
              </w:rPr>
            </w:pPr>
            <w:r w:rsidRPr="00F65686">
              <w:rPr>
                <w:rFonts w:ascii="Times New Roman" w:hAnsi="Times New Roman"/>
                <w:i/>
                <w:iCs/>
                <w:color w:val="000000"/>
                <w:sz w:val="20"/>
                <w:szCs w:val="20"/>
                <w:lang w:val="en-US" w:eastAsia="it-IT"/>
              </w:rPr>
              <w:t>Dose-response function, Serendipitous results II</w:t>
            </w:r>
          </w:p>
        </w:tc>
      </w:tr>
      <w:tr w:rsidR="0088286D" w:rsidRPr="00F65686" w14:paraId="79EF3F47" w14:textId="77777777" w:rsidTr="0088286D">
        <w:trPr>
          <w:trHeight w:val="312"/>
        </w:trPr>
        <w:tc>
          <w:tcPr>
            <w:tcW w:w="3160" w:type="dxa"/>
            <w:tcBorders>
              <w:top w:val="nil"/>
              <w:left w:val="nil"/>
              <w:bottom w:val="nil"/>
              <w:right w:val="nil"/>
            </w:tcBorders>
            <w:shd w:val="clear" w:color="auto" w:fill="auto"/>
            <w:vAlign w:val="center"/>
            <w:hideMark/>
          </w:tcPr>
          <w:p w14:paraId="3C353610"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Average Treatment Effect</w:t>
            </w:r>
          </w:p>
        </w:tc>
        <w:tc>
          <w:tcPr>
            <w:tcW w:w="1340" w:type="dxa"/>
            <w:tcBorders>
              <w:top w:val="nil"/>
              <w:left w:val="nil"/>
              <w:bottom w:val="nil"/>
              <w:right w:val="nil"/>
            </w:tcBorders>
            <w:shd w:val="clear" w:color="auto" w:fill="auto"/>
            <w:vAlign w:val="center"/>
            <w:hideMark/>
          </w:tcPr>
          <w:p w14:paraId="6067CEF7"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-2.318</w:t>
            </w:r>
            <w:r w:rsidRPr="00F65686">
              <w:rPr>
                <w:rFonts w:ascii="Times New Roman" w:hAnsi="Times New Roman"/>
                <w:color w:val="000000"/>
                <w:sz w:val="20"/>
                <w:szCs w:val="20"/>
                <w:vertAlign w:val="superscript"/>
                <w:lang w:val="en-US" w:eastAsia="it-IT"/>
              </w:rPr>
              <w:t>***</w:t>
            </w:r>
          </w:p>
        </w:tc>
        <w:tc>
          <w:tcPr>
            <w:tcW w:w="1340" w:type="dxa"/>
            <w:tcBorders>
              <w:top w:val="nil"/>
              <w:left w:val="nil"/>
              <w:bottom w:val="nil"/>
              <w:right w:val="nil"/>
            </w:tcBorders>
            <w:shd w:val="clear" w:color="auto" w:fill="auto"/>
            <w:vAlign w:val="center"/>
            <w:hideMark/>
          </w:tcPr>
          <w:p w14:paraId="097BBAB1"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1.999</w:t>
            </w:r>
            <w:r w:rsidRPr="00F65686">
              <w:rPr>
                <w:rFonts w:ascii="Times New Roman" w:hAnsi="Times New Roman"/>
                <w:color w:val="000000"/>
                <w:sz w:val="20"/>
                <w:szCs w:val="20"/>
                <w:vertAlign w:val="superscript"/>
                <w:lang w:val="en-US" w:eastAsia="it-IT"/>
              </w:rPr>
              <w:t>**</w:t>
            </w:r>
          </w:p>
        </w:tc>
        <w:tc>
          <w:tcPr>
            <w:tcW w:w="1340" w:type="dxa"/>
            <w:tcBorders>
              <w:top w:val="nil"/>
              <w:left w:val="nil"/>
              <w:bottom w:val="nil"/>
              <w:right w:val="nil"/>
            </w:tcBorders>
            <w:shd w:val="clear" w:color="auto" w:fill="auto"/>
            <w:vAlign w:val="center"/>
            <w:hideMark/>
          </w:tcPr>
          <w:p w14:paraId="6AB5CD6C"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-171.7</w:t>
            </w:r>
            <w:r w:rsidRPr="00F65686">
              <w:rPr>
                <w:rFonts w:ascii="Times New Roman" w:hAnsi="Times New Roman"/>
                <w:color w:val="000000"/>
                <w:sz w:val="20"/>
                <w:szCs w:val="20"/>
                <w:vertAlign w:val="superscript"/>
                <w:lang w:val="en-US" w:eastAsia="it-IT"/>
              </w:rPr>
              <w:t>***</w:t>
            </w:r>
          </w:p>
        </w:tc>
        <w:tc>
          <w:tcPr>
            <w:tcW w:w="1340" w:type="dxa"/>
            <w:tcBorders>
              <w:top w:val="nil"/>
              <w:left w:val="nil"/>
              <w:bottom w:val="nil"/>
              <w:right w:val="nil"/>
            </w:tcBorders>
            <w:shd w:val="clear" w:color="auto" w:fill="auto"/>
            <w:vAlign w:val="center"/>
            <w:hideMark/>
          </w:tcPr>
          <w:p w14:paraId="5B96A01E"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72.88</w:t>
            </w:r>
            <w:r w:rsidRPr="00F65686">
              <w:rPr>
                <w:rFonts w:ascii="Times New Roman" w:hAnsi="Times New Roman"/>
                <w:color w:val="000000"/>
                <w:sz w:val="20"/>
                <w:szCs w:val="20"/>
                <w:vertAlign w:val="superscript"/>
                <w:lang w:val="en-US" w:eastAsia="it-IT"/>
              </w:rPr>
              <w:t>***</w:t>
            </w:r>
          </w:p>
        </w:tc>
        <w:tc>
          <w:tcPr>
            <w:tcW w:w="1340" w:type="dxa"/>
            <w:tcBorders>
              <w:top w:val="nil"/>
              <w:left w:val="nil"/>
              <w:bottom w:val="nil"/>
              <w:right w:val="nil"/>
            </w:tcBorders>
            <w:shd w:val="clear" w:color="auto" w:fill="auto"/>
            <w:vAlign w:val="center"/>
            <w:hideMark/>
          </w:tcPr>
          <w:p w14:paraId="3C8990B7"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-6.278</w:t>
            </w:r>
          </w:p>
        </w:tc>
        <w:tc>
          <w:tcPr>
            <w:tcW w:w="2140" w:type="dxa"/>
            <w:tcBorders>
              <w:top w:val="nil"/>
              <w:left w:val="nil"/>
              <w:bottom w:val="nil"/>
              <w:right w:val="nil"/>
            </w:tcBorders>
            <w:shd w:val="clear" w:color="auto" w:fill="auto"/>
            <w:vAlign w:val="center"/>
            <w:hideMark/>
          </w:tcPr>
          <w:p w14:paraId="048192F4"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96.81</w:t>
            </w:r>
            <w:r w:rsidRPr="00F65686">
              <w:rPr>
                <w:rFonts w:ascii="Times New Roman" w:hAnsi="Times New Roman"/>
                <w:color w:val="000000"/>
                <w:sz w:val="20"/>
                <w:szCs w:val="20"/>
                <w:vertAlign w:val="superscript"/>
                <w:lang w:val="en-US" w:eastAsia="it-IT"/>
              </w:rPr>
              <w:t>***</w:t>
            </w:r>
          </w:p>
        </w:tc>
      </w:tr>
      <w:tr w:rsidR="0088286D" w:rsidRPr="00F65686" w14:paraId="7A087951" w14:textId="77777777" w:rsidTr="0088286D">
        <w:trPr>
          <w:trHeight w:val="288"/>
        </w:trPr>
        <w:tc>
          <w:tcPr>
            <w:tcW w:w="3160" w:type="dxa"/>
            <w:tcBorders>
              <w:top w:val="nil"/>
              <w:left w:val="nil"/>
              <w:bottom w:val="single" w:sz="4" w:space="0" w:color="auto"/>
              <w:right w:val="nil"/>
            </w:tcBorders>
            <w:shd w:val="clear" w:color="auto" w:fill="auto"/>
            <w:vAlign w:val="center"/>
            <w:hideMark/>
          </w:tcPr>
          <w:p w14:paraId="6A5B802D"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Treated VS. non-treated</w:t>
            </w:r>
          </w:p>
        </w:tc>
        <w:tc>
          <w:tcPr>
            <w:tcW w:w="1340" w:type="dxa"/>
            <w:tcBorders>
              <w:top w:val="nil"/>
              <w:left w:val="nil"/>
              <w:bottom w:val="single" w:sz="4" w:space="0" w:color="auto"/>
              <w:right w:val="nil"/>
            </w:tcBorders>
            <w:shd w:val="clear" w:color="auto" w:fill="auto"/>
            <w:vAlign w:val="center"/>
            <w:hideMark/>
          </w:tcPr>
          <w:p w14:paraId="53512214"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(-2.66)</w:t>
            </w:r>
          </w:p>
        </w:tc>
        <w:tc>
          <w:tcPr>
            <w:tcW w:w="1340" w:type="dxa"/>
            <w:tcBorders>
              <w:top w:val="nil"/>
              <w:left w:val="nil"/>
              <w:bottom w:val="single" w:sz="4" w:space="0" w:color="auto"/>
              <w:right w:val="nil"/>
            </w:tcBorders>
            <w:shd w:val="clear" w:color="auto" w:fill="auto"/>
            <w:vAlign w:val="center"/>
            <w:hideMark/>
          </w:tcPr>
          <w:p w14:paraId="6A952A09"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(2.02)</w:t>
            </w:r>
          </w:p>
        </w:tc>
        <w:tc>
          <w:tcPr>
            <w:tcW w:w="1340" w:type="dxa"/>
            <w:tcBorders>
              <w:top w:val="nil"/>
              <w:left w:val="nil"/>
              <w:bottom w:val="single" w:sz="4" w:space="0" w:color="auto"/>
              <w:right w:val="nil"/>
            </w:tcBorders>
            <w:shd w:val="clear" w:color="auto" w:fill="auto"/>
            <w:vAlign w:val="center"/>
            <w:hideMark/>
          </w:tcPr>
          <w:p w14:paraId="777A9420"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(-3.14)</w:t>
            </w:r>
          </w:p>
        </w:tc>
        <w:tc>
          <w:tcPr>
            <w:tcW w:w="1340" w:type="dxa"/>
            <w:tcBorders>
              <w:top w:val="nil"/>
              <w:left w:val="nil"/>
              <w:bottom w:val="single" w:sz="4" w:space="0" w:color="auto"/>
              <w:right w:val="nil"/>
            </w:tcBorders>
            <w:shd w:val="clear" w:color="auto" w:fill="auto"/>
            <w:vAlign w:val="center"/>
            <w:hideMark/>
          </w:tcPr>
          <w:p w14:paraId="34918F4E"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(2.46)</w:t>
            </w:r>
          </w:p>
        </w:tc>
        <w:tc>
          <w:tcPr>
            <w:tcW w:w="1340" w:type="dxa"/>
            <w:tcBorders>
              <w:top w:val="nil"/>
              <w:left w:val="nil"/>
              <w:bottom w:val="single" w:sz="4" w:space="0" w:color="auto"/>
              <w:right w:val="nil"/>
            </w:tcBorders>
            <w:shd w:val="clear" w:color="auto" w:fill="auto"/>
            <w:vAlign w:val="center"/>
            <w:hideMark/>
          </w:tcPr>
          <w:p w14:paraId="4F336A98"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(-1.39)</w:t>
            </w:r>
          </w:p>
        </w:tc>
        <w:tc>
          <w:tcPr>
            <w:tcW w:w="2140" w:type="dxa"/>
            <w:tcBorders>
              <w:top w:val="nil"/>
              <w:left w:val="nil"/>
              <w:bottom w:val="single" w:sz="4" w:space="0" w:color="auto"/>
              <w:right w:val="nil"/>
            </w:tcBorders>
            <w:shd w:val="clear" w:color="auto" w:fill="auto"/>
            <w:vAlign w:val="center"/>
            <w:hideMark/>
          </w:tcPr>
          <w:p w14:paraId="028D1919"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(2.59)</w:t>
            </w:r>
          </w:p>
        </w:tc>
      </w:tr>
      <w:tr w:rsidR="0088286D" w:rsidRPr="00F65686" w14:paraId="51844F58" w14:textId="77777777" w:rsidTr="0088286D">
        <w:trPr>
          <w:trHeight w:val="312"/>
        </w:trPr>
        <w:tc>
          <w:tcPr>
            <w:tcW w:w="3160" w:type="dxa"/>
            <w:tcBorders>
              <w:top w:val="nil"/>
              <w:left w:val="nil"/>
              <w:bottom w:val="nil"/>
              <w:right w:val="nil"/>
            </w:tcBorders>
            <w:shd w:val="clear" w:color="auto" w:fill="auto"/>
            <w:vAlign w:val="center"/>
            <w:hideMark/>
          </w:tcPr>
          <w:p w14:paraId="32232332"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POmean</w:t>
            </w:r>
          </w:p>
        </w:tc>
        <w:tc>
          <w:tcPr>
            <w:tcW w:w="1340" w:type="dxa"/>
            <w:tcBorders>
              <w:top w:val="nil"/>
              <w:left w:val="nil"/>
              <w:bottom w:val="nil"/>
              <w:right w:val="nil"/>
            </w:tcBorders>
            <w:shd w:val="clear" w:color="auto" w:fill="auto"/>
            <w:vAlign w:val="center"/>
            <w:hideMark/>
          </w:tcPr>
          <w:p w14:paraId="090A0F02"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0.825</w:t>
            </w:r>
            <w:r w:rsidRPr="00F65686">
              <w:rPr>
                <w:rFonts w:ascii="Times New Roman" w:hAnsi="Times New Roman"/>
                <w:color w:val="000000"/>
                <w:sz w:val="20"/>
                <w:szCs w:val="20"/>
                <w:vertAlign w:val="superscript"/>
                <w:lang w:val="en-US" w:eastAsia="it-IT"/>
              </w:rPr>
              <w:t>***</w:t>
            </w:r>
          </w:p>
        </w:tc>
        <w:tc>
          <w:tcPr>
            <w:tcW w:w="1340" w:type="dxa"/>
            <w:tcBorders>
              <w:top w:val="nil"/>
              <w:left w:val="nil"/>
              <w:bottom w:val="nil"/>
              <w:right w:val="nil"/>
            </w:tcBorders>
            <w:shd w:val="clear" w:color="auto" w:fill="auto"/>
            <w:vAlign w:val="center"/>
            <w:hideMark/>
          </w:tcPr>
          <w:p w14:paraId="61EE6B09"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0.779</w:t>
            </w:r>
            <w:r w:rsidRPr="00F65686">
              <w:rPr>
                <w:rFonts w:ascii="Times New Roman" w:hAnsi="Times New Roman"/>
                <w:color w:val="000000"/>
                <w:sz w:val="20"/>
                <w:szCs w:val="20"/>
                <w:vertAlign w:val="superscript"/>
                <w:lang w:val="en-US" w:eastAsia="it-IT"/>
              </w:rPr>
              <w:t>***</w:t>
            </w:r>
          </w:p>
        </w:tc>
        <w:tc>
          <w:tcPr>
            <w:tcW w:w="1340" w:type="dxa"/>
            <w:tcBorders>
              <w:top w:val="nil"/>
              <w:left w:val="nil"/>
              <w:bottom w:val="nil"/>
              <w:right w:val="nil"/>
            </w:tcBorders>
            <w:shd w:val="clear" w:color="auto" w:fill="auto"/>
            <w:vAlign w:val="center"/>
            <w:hideMark/>
          </w:tcPr>
          <w:p w14:paraId="128D11A9"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0.566</w:t>
            </w:r>
            <w:r w:rsidRPr="00F65686">
              <w:rPr>
                <w:rFonts w:ascii="Times New Roman" w:hAnsi="Times New Roman"/>
                <w:color w:val="000000"/>
                <w:sz w:val="20"/>
                <w:szCs w:val="20"/>
                <w:vertAlign w:val="superscript"/>
                <w:lang w:val="en-US" w:eastAsia="it-IT"/>
              </w:rPr>
              <w:t>***</w:t>
            </w:r>
          </w:p>
        </w:tc>
        <w:tc>
          <w:tcPr>
            <w:tcW w:w="1340" w:type="dxa"/>
            <w:tcBorders>
              <w:top w:val="nil"/>
              <w:left w:val="nil"/>
              <w:bottom w:val="nil"/>
              <w:right w:val="nil"/>
            </w:tcBorders>
            <w:shd w:val="clear" w:color="auto" w:fill="auto"/>
            <w:vAlign w:val="center"/>
            <w:hideMark/>
          </w:tcPr>
          <w:p w14:paraId="48EB4E9F"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0.546</w:t>
            </w:r>
            <w:r w:rsidRPr="00F65686">
              <w:rPr>
                <w:rFonts w:ascii="Times New Roman" w:hAnsi="Times New Roman"/>
                <w:color w:val="000000"/>
                <w:sz w:val="20"/>
                <w:szCs w:val="20"/>
                <w:vertAlign w:val="superscript"/>
                <w:lang w:val="en-US" w:eastAsia="it-IT"/>
              </w:rPr>
              <w:t>***</w:t>
            </w:r>
          </w:p>
        </w:tc>
        <w:tc>
          <w:tcPr>
            <w:tcW w:w="1340" w:type="dxa"/>
            <w:tcBorders>
              <w:top w:val="nil"/>
              <w:left w:val="nil"/>
              <w:bottom w:val="nil"/>
              <w:right w:val="nil"/>
            </w:tcBorders>
            <w:shd w:val="clear" w:color="auto" w:fill="auto"/>
            <w:vAlign w:val="center"/>
            <w:hideMark/>
          </w:tcPr>
          <w:p w14:paraId="0633F585"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0.475</w:t>
            </w:r>
          </w:p>
        </w:tc>
        <w:tc>
          <w:tcPr>
            <w:tcW w:w="2140" w:type="dxa"/>
            <w:tcBorders>
              <w:top w:val="nil"/>
              <w:left w:val="nil"/>
              <w:bottom w:val="nil"/>
              <w:right w:val="nil"/>
            </w:tcBorders>
            <w:shd w:val="clear" w:color="auto" w:fill="auto"/>
            <w:vAlign w:val="center"/>
            <w:hideMark/>
          </w:tcPr>
          <w:p w14:paraId="125E94EF"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0.472</w:t>
            </w:r>
          </w:p>
        </w:tc>
      </w:tr>
      <w:tr w:rsidR="0088286D" w:rsidRPr="00F65686" w14:paraId="44604496" w14:textId="77777777" w:rsidTr="0088286D">
        <w:trPr>
          <w:trHeight w:val="288"/>
        </w:trPr>
        <w:tc>
          <w:tcPr>
            <w:tcW w:w="3160" w:type="dxa"/>
            <w:tcBorders>
              <w:top w:val="nil"/>
              <w:left w:val="nil"/>
              <w:bottom w:val="single" w:sz="4" w:space="0" w:color="auto"/>
              <w:right w:val="nil"/>
            </w:tcBorders>
            <w:shd w:val="clear" w:color="auto" w:fill="auto"/>
            <w:vAlign w:val="center"/>
            <w:hideMark/>
          </w:tcPr>
          <w:p w14:paraId="5BE4B77D"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treat=0</w:t>
            </w:r>
          </w:p>
        </w:tc>
        <w:tc>
          <w:tcPr>
            <w:tcW w:w="1340" w:type="dxa"/>
            <w:tcBorders>
              <w:top w:val="nil"/>
              <w:left w:val="nil"/>
              <w:bottom w:val="single" w:sz="4" w:space="0" w:color="auto"/>
              <w:right w:val="nil"/>
            </w:tcBorders>
            <w:shd w:val="clear" w:color="auto" w:fill="auto"/>
            <w:vAlign w:val="center"/>
            <w:hideMark/>
          </w:tcPr>
          <w:p w14:paraId="70600C0D"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(3.96)</w:t>
            </w:r>
          </w:p>
        </w:tc>
        <w:tc>
          <w:tcPr>
            <w:tcW w:w="1340" w:type="dxa"/>
            <w:tcBorders>
              <w:top w:val="nil"/>
              <w:left w:val="nil"/>
              <w:bottom w:val="single" w:sz="4" w:space="0" w:color="auto"/>
              <w:right w:val="nil"/>
            </w:tcBorders>
            <w:shd w:val="clear" w:color="auto" w:fill="auto"/>
            <w:vAlign w:val="center"/>
            <w:hideMark/>
          </w:tcPr>
          <w:p w14:paraId="2FBB402A"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(4.99)</w:t>
            </w:r>
          </w:p>
        </w:tc>
        <w:tc>
          <w:tcPr>
            <w:tcW w:w="1340" w:type="dxa"/>
            <w:tcBorders>
              <w:top w:val="nil"/>
              <w:left w:val="nil"/>
              <w:bottom w:val="single" w:sz="4" w:space="0" w:color="auto"/>
              <w:right w:val="nil"/>
            </w:tcBorders>
            <w:shd w:val="clear" w:color="auto" w:fill="auto"/>
            <w:vAlign w:val="center"/>
            <w:hideMark/>
          </w:tcPr>
          <w:p w14:paraId="3D996566"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(3.37)</w:t>
            </w:r>
          </w:p>
        </w:tc>
        <w:tc>
          <w:tcPr>
            <w:tcW w:w="1340" w:type="dxa"/>
            <w:tcBorders>
              <w:top w:val="nil"/>
              <w:left w:val="nil"/>
              <w:bottom w:val="single" w:sz="4" w:space="0" w:color="auto"/>
              <w:right w:val="nil"/>
            </w:tcBorders>
            <w:shd w:val="clear" w:color="auto" w:fill="auto"/>
            <w:vAlign w:val="center"/>
            <w:hideMark/>
          </w:tcPr>
          <w:p w14:paraId="40D3C13D"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(2.99)</w:t>
            </w:r>
          </w:p>
        </w:tc>
        <w:tc>
          <w:tcPr>
            <w:tcW w:w="1340" w:type="dxa"/>
            <w:tcBorders>
              <w:top w:val="nil"/>
              <w:left w:val="nil"/>
              <w:bottom w:val="single" w:sz="4" w:space="0" w:color="auto"/>
              <w:right w:val="nil"/>
            </w:tcBorders>
            <w:shd w:val="clear" w:color="auto" w:fill="auto"/>
            <w:vAlign w:val="center"/>
            <w:hideMark/>
          </w:tcPr>
          <w:p w14:paraId="16A90A11"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(1.35)</w:t>
            </w:r>
          </w:p>
        </w:tc>
        <w:tc>
          <w:tcPr>
            <w:tcW w:w="2140" w:type="dxa"/>
            <w:tcBorders>
              <w:top w:val="nil"/>
              <w:left w:val="nil"/>
              <w:bottom w:val="single" w:sz="4" w:space="0" w:color="auto"/>
              <w:right w:val="nil"/>
            </w:tcBorders>
            <w:shd w:val="clear" w:color="auto" w:fill="auto"/>
            <w:vAlign w:val="center"/>
            <w:hideMark/>
          </w:tcPr>
          <w:p w14:paraId="6DF3FDE6"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(1.10)</w:t>
            </w:r>
          </w:p>
        </w:tc>
      </w:tr>
      <w:tr w:rsidR="0088286D" w:rsidRPr="00F65686" w14:paraId="645B775F" w14:textId="77777777" w:rsidTr="00905844">
        <w:trPr>
          <w:trHeight w:val="58"/>
        </w:trPr>
        <w:tc>
          <w:tcPr>
            <w:tcW w:w="3160" w:type="dxa"/>
            <w:tcBorders>
              <w:top w:val="nil"/>
              <w:left w:val="nil"/>
              <w:bottom w:val="nil"/>
              <w:right w:val="nil"/>
            </w:tcBorders>
            <w:shd w:val="clear" w:color="auto" w:fill="auto"/>
            <w:vAlign w:val="center"/>
            <w:hideMark/>
          </w:tcPr>
          <w:p w14:paraId="3C33F4DA"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TME1</w:t>
            </w:r>
          </w:p>
        </w:tc>
        <w:tc>
          <w:tcPr>
            <w:tcW w:w="1340" w:type="dxa"/>
            <w:tcBorders>
              <w:top w:val="nil"/>
              <w:left w:val="nil"/>
              <w:bottom w:val="nil"/>
              <w:right w:val="nil"/>
            </w:tcBorders>
            <w:shd w:val="clear" w:color="auto" w:fill="auto"/>
            <w:vAlign w:val="center"/>
            <w:hideMark/>
          </w:tcPr>
          <w:p w14:paraId="3045182D"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65BD4D0A" w14:textId="77777777" w:rsidR="0088286D" w:rsidRPr="00F65686" w:rsidRDefault="0088286D" w:rsidP="00F65686">
            <w:pPr>
              <w:spacing w:after="0" w:line="240" w:lineRule="auto"/>
              <w:jc w:val="center"/>
              <w:rPr>
                <w:rFonts w:ascii="Times New Roman" w:hAnsi="Times New Roman"/>
                <w:sz w:val="20"/>
                <w:szCs w:val="20"/>
                <w:lang w:eastAsia="it-IT"/>
              </w:rPr>
            </w:pPr>
          </w:p>
        </w:tc>
        <w:tc>
          <w:tcPr>
            <w:tcW w:w="1340" w:type="dxa"/>
            <w:tcBorders>
              <w:top w:val="nil"/>
              <w:left w:val="nil"/>
              <w:bottom w:val="nil"/>
              <w:right w:val="nil"/>
            </w:tcBorders>
            <w:shd w:val="clear" w:color="auto" w:fill="auto"/>
            <w:vAlign w:val="center"/>
            <w:hideMark/>
          </w:tcPr>
          <w:p w14:paraId="2A41588B" w14:textId="77777777" w:rsidR="0088286D" w:rsidRPr="00F65686" w:rsidRDefault="0088286D" w:rsidP="00F65686">
            <w:pPr>
              <w:spacing w:after="0" w:line="240" w:lineRule="auto"/>
              <w:jc w:val="center"/>
              <w:rPr>
                <w:rFonts w:ascii="Times New Roman" w:hAnsi="Times New Roman"/>
                <w:sz w:val="20"/>
                <w:szCs w:val="20"/>
                <w:lang w:eastAsia="it-IT"/>
              </w:rPr>
            </w:pPr>
          </w:p>
        </w:tc>
        <w:tc>
          <w:tcPr>
            <w:tcW w:w="1340" w:type="dxa"/>
            <w:tcBorders>
              <w:top w:val="nil"/>
              <w:left w:val="nil"/>
              <w:bottom w:val="nil"/>
              <w:right w:val="nil"/>
            </w:tcBorders>
            <w:shd w:val="clear" w:color="auto" w:fill="auto"/>
            <w:vAlign w:val="center"/>
            <w:hideMark/>
          </w:tcPr>
          <w:p w14:paraId="27EE9328" w14:textId="77777777" w:rsidR="0088286D" w:rsidRPr="00F65686" w:rsidRDefault="0088286D" w:rsidP="00F65686">
            <w:pPr>
              <w:spacing w:after="0" w:line="240" w:lineRule="auto"/>
              <w:jc w:val="center"/>
              <w:rPr>
                <w:rFonts w:ascii="Times New Roman" w:hAnsi="Times New Roman"/>
                <w:sz w:val="20"/>
                <w:szCs w:val="20"/>
                <w:lang w:eastAsia="it-IT"/>
              </w:rPr>
            </w:pPr>
          </w:p>
        </w:tc>
        <w:tc>
          <w:tcPr>
            <w:tcW w:w="1340" w:type="dxa"/>
            <w:tcBorders>
              <w:top w:val="nil"/>
              <w:left w:val="nil"/>
              <w:bottom w:val="nil"/>
              <w:right w:val="nil"/>
            </w:tcBorders>
            <w:shd w:val="clear" w:color="auto" w:fill="auto"/>
            <w:vAlign w:val="center"/>
            <w:hideMark/>
          </w:tcPr>
          <w:p w14:paraId="06902406" w14:textId="77777777" w:rsidR="0088286D" w:rsidRPr="00F65686" w:rsidRDefault="0088286D" w:rsidP="00F65686">
            <w:pPr>
              <w:spacing w:after="0" w:line="240" w:lineRule="auto"/>
              <w:jc w:val="center"/>
              <w:rPr>
                <w:rFonts w:ascii="Times New Roman" w:hAnsi="Times New Roman"/>
                <w:sz w:val="20"/>
                <w:szCs w:val="20"/>
                <w:lang w:eastAsia="it-IT"/>
              </w:rPr>
            </w:pPr>
          </w:p>
        </w:tc>
        <w:tc>
          <w:tcPr>
            <w:tcW w:w="2140" w:type="dxa"/>
            <w:tcBorders>
              <w:top w:val="nil"/>
              <w:left w:val="nil"/>
              <w:bottom w:val="nil"/>
              <w:right w:val="nil"/>
            </w:tcBorders>
            <w:shd w:val="clear" w:color="auto" w:fill="auto"/>
            <w:vAlign w:val="center"/>
            <w:hideMark/>
          </w:tcPr>
          <w:p w14:paraId="62C2C063" w14:textId="77777777" w:rsidR="0088286D" w:rsidRPr="00F65686" w:rsidRDefault="0088286D" w:rsidP="00F65686">
            <w:pPr>
              <w:spacing w:after="0" w:line="240" w:lineRule="auto"/>
              <w:jc w:val="center"/>
              <w:rPr>
                <w:rFonts w:ascii="Times New Roman" w:hAnsi="Times New Roman"/>
                <w:sz w:val="20"/>
                <w:szCs w:val="20"/>
                <w:lang w:eastAsia="it-IT"/>
              </w:rPr>
            </w:pPr>
          </w:p>
        </w:tc>
      </w:tr>
      <w:tr w:rsidR="0088286D" w:rsidRPr="00F65686" w14:paraId="1F268E90" w14:textId="77777777" w:rsidTr="0088286D">
        <w:trPr>
          <w:trHeight w:val="528"/>
        </w:trPr>
        <w:tc>
          <w:tcPr>
            <w:tcW w:w="3160" w:type="dxa"/>
            <w:tcBorders>
              <w:top w:val="nil"/>
              <w:left w:val="nil"/>
              <w:bottom w:val="nil"/>
              <w:right w:val="nil"/>
            </w:tcBorders>
            <w:shd w:val="clear" w:color="auto" w:fill="auto"/>
            <w:vAlign w:val="center"/>
            <w:hideMark/>
          </w:tcPr>
          <w:p w14:paraId="23FF5673" w14:textId="77777777" w:rsidR="0088286D" w:rsidRPr="00F65686" w:rsidRDefault="0088286D" w:rsidP="00F65686">
            <w:pPr>
              <w:spacing w:after="0" w:line="240" w:lineRule="auto"/>
              <w:jc w:val="center"/>
              <w:rPr>
                <w:rFonts w:ascii="Times New Roman" w:hAnsi="Times New Roman"/>
                <w:color w:val="000000"/>
                <w:sz w:val="20"/>
                <w:szCs w:val="20"/>
                <w:lang w:val="en-GB" w:eastAsia="it-IT"/>
              </w:rPr>
            </w:pPr>
            <w:r w:rsidRPr="00F65686">
              <w:rPr>
                <w:rFonts w:ascii="Times New Roman" w:hAnsi="Times New Roman"/>
                <w:color w:val="000000"/>
                <w:sz w:val="20"/>
                <w:szCs w:val="20"/>
                <w:lang w:val="en-US" w:eastAsia="it-IT"/>
              </w:rPr>
              <w:t>The beneficiary had a clearly defined innovative idea before the project</w:t>
            </w:r>
          </w:p>
        </w:tc>
        <w:tc>
          <w:tcPr>
            <w:tcW w:w="1340" w:type="dxa"/>
            <w:tcBorders>
              <w:top w:val="nil"/>
              <w:left w:val="nil"/>
              <w:bottom w:val="nil"/>
              <w:right w:val="nil"/>
            </w:tcBorders>
            <w:shd w:val="clear" w:color="auto" w:fill="auto"/>
            <w:vAlign w:val="center"/>
            <w:hideMark/>
          </w:tcPr>
          <w:p w14:paraId="15A43293"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0.479</w:t>
            </w:r>
          </w:p>
        </w:tc>
        <w:tc>
          <w:tcPr>
            <w:tcW w:w="1340" w:type="dxa"/>
            <w:tcBorders>
              <w:top w:val="nil"/>
              <w:left w:val="nil"/>
              <w:bottom w:val="nil"/>
              <w:right w:val="nil"/>
            </w:tcBorders>
            <w:shd w:val="clear" w:color="auto" w:fill="auto"/>
            <w:vAlign w:val="center"/>
            <w:hideMark/>
          </w:tcPr>
          <w:p w14:paraId="5734FF1A"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272B7026"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0.311</w:t>
            </w:r>
          </w:p>
        </w:tc>
        <w:tc>
          <w:tcPr>
            <w:tcW w:w="1340" w:type="dxa"/>
            <w:tcBorders>
              <w:top w:val="nil"/>
              <w:left w:val="nil"/>
              <w:bottom w:val="nil"/>
              <w:right w:val="nil"/>
            </w:tcBorders>
            <w:shd w:val="clear" w:color="auto" w:fill="auto"/>
            <w:vAlign w:val="center"/>
            <w:hideMark/>
          </w:tcPr>
          <w:p w14:paraId="487A2444"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10CE22F7"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0.407</w:t>
            </w:r>
          </w:p>
        </w:tc>
        <w:tc>
          <w:tcPr>
            <w:tcW w:w="2140" w:type="dxa"/>
            <w:tcBorders>
              <w:top w:val="nil"/>
              <w:left w:val="nil"/>
              <w:bottom w:val="nil"/>
              <w:right w:val="nil"/>
            </w:tcBorders>
            <w:shd w:val="clear" w:color="auto" w:fill="auto"/>
            <w:vAlign w:val="center"/>
            <w:hideMark/>
          </w:tcPr>
          <w:p w14:paraId="4F202489"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r>
      <w:tr w:rsidR="0088286D" w:rsidRPr="00F65686" w14:paraId="772A1D94" w14:textId="77777777" w:rsidTr="0088286D">
        <w:trPr>
          <w:trHeight w:val="288"/>
        </w:trPr>
        <w:tc>
          <w:tcPr>
            <w:tcW w:w="3160" w:type="dxa"/>
            <w:tcBorders>
              <w:top w:val="nil"/>
              <w:left w:val="nil"/>
              <w:bottom w:val="nil"/>
              <w:right w:val="nil"/>
            </w:tcBorders>
            <w:shd w:val="clear" w:color="auto" w:fill="auto"/>
            <w:vAlign w:val="center"/>
            <w:hideMark/>
          </w:tcPr>
          <w:p w14:paraId="2537E848" w14:textId="77777777" w:rsidR="0088286D" w:rsidRPr="00F65686" w:rsidRDefault="0088286D" w:rsidP="00F65686">
            <w:pPr>
              <w:spacing w:after="0" w:line="240" w:lineRule="auto"/>
              <w:jc w:val="center"/>
              <w:rPr>
                <w:rFonts w:ascii="Times New Roman" w:hAnsi="Times New Roman"/>
                <w:sz w:val="20"/>
                <w:szCs w:val="20"/>
                <w:lang w:eastAsia="it-IT"/>
              </w:rPr>
            </w:pPr>
          </w:p>
        </w:tc>
        <w:tc>
          <w:tcPr>
            <w:tcW w:w="1340" w:type="dxa"/>
            <w:tcBorders>
              <w:top w:val="nil"/>
              <w:left w:val="nil"/>
              <w:bottom w:val="nil"/>
              <w:right w:val="nil"/>
            </w:tcBorders>
            <w:shd w:val="clear" w:color="auto" w:fill="auto"/>
            <w:vAlign w:val="center"/>
            <w:hideMark/>
          </w:tcPr>
          <w:p w14:paraId="6CD6CDF2"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(1.24)</w:t>
            </w:r>
          </w:p>
        </w:tc>
        <w:tc>
          <w:tcPr>
            <w:tcW w:w="1340" w:type="dxa"/>
            <w:tcBorders>
              <w:top w:val="nil"/>
              <w:left w:val="nil"/>
              <w:bottom w:val="nil"/>
              <w:right w:val="nil"/>
            </w:tcBorders>
            <w:shd w:val="clear" w:color="auto" w:fill="auto"/>
            <w:vAlign w:val="center"/>
            <w:hideMark/>
          </w:tcPr>
          <w:p w14:paraId="07A7BB2C"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48C43D02"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(0.76)</w:t>
            </w:r>
          </w:p>
        </w:tc>
        <w:tc>
          <w:tcPr>
            <w:tcW w:w="1340" w:type="dxa"/>
            <w:tcBorders>
              <w:top w:val="nil"/>
              <w:left w:val="nil"/>
              <w:bottom w:val="nil"/>
              <w:right w:val="nil"/>
            </w:tcBorders>
            <w:shd w:val="clear" w:color="auto" w:fill="auto"/>
            <w:vAlign w:val="center"/>
            <w:hideMark/>
          </w:tcPr>
          <w:p w14:paraId="2B654E25"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6873A1CD"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(1.04)</w:t>
            </w:r>
          </w:p>
        </w:tc>
        <w:tc>
          <w:tcPr>
            <w:tcW w:w="2140" w:type="dxa"/>
            <w:tcBorders>
              <w:top w:val="nil"/>
              <w:left w:val="nil"/>
              <w:bottom w:val="nil"/>
              <w:right w:val="nil"/>
            </w:tcBorders>
            <w:shd w:val="clear" w:color="auto" w:fill="auto"/>
            <w:vAlign w:val="center"/>
            <w:hideMark/>
          </w:tcPr>
          <w:p w14:paraId="371336CD"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r>
      <w:tr w:rsidR="0088286D" w:rsidRPr="00F65686" w14:paraId="39FC3C39" w14:textId="77777777" w:rsidTr="0088286D">
        <w:trPr>
          <w:trHeight w:val="312"/>
        </w:trPr>
        <w:tc>
          <w:tcPr>
            <w:tcW w:w="3160" w:type="dxa"/>
            <w:tcBorders>
              <w:top w:val="nil"/>
              <w:left w:val="nil"/>
              <w:bottom w:val="nil"/>
              <w:right w:val="nil"/>
            </w:tcBorders>
            <w:shd w:val="clear" w:color="auto" w:fill="auto"/>
            <w:vAlign w:val="center"/>
            <w:hideMark/>
          </w:tcPr>
          <w:p w14:paraId="25BD9F11"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Log firm turnover</w:t>
            </w:r>
          </w:p>
        </w:tc>
        <w:tc>
          <w:tcPr>
            <w:tcW w:w="1340" w:type="dxa"/>
            <w:tcBorders>
              <w:top w:val="nil"/>
              <w:left w:val="nil"/>
              <w:bottom w:val="nil"/>
              <w:right w:val="nil"/>
            </w:tcBorders>
            <w:shd w:val="clear" w:color="auto" w:fill="auto"/>
            <w:vAlign w:val="center"/>
            <w:hideMark/>
          </w:tcPr>
          <w:p w14:paraId="768C2304"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0.191</w:t>
            </w:r>
            <w:r w:rsidRPr="00F65686">
              <w:rPr>
                <w:rFonts w:ascii="Times New Roman" w:hAnsi="Times New Roman"/>
                <w:color w:val="000000"/>
                <w:sz w:val="20"/>
                <w:szCs w:val="20"/>
                <w:vertAlign w:val="superscript"/>
                <w:lang w:val="en-US" w:eastAsia="it-IT"/>
              </w:rPr>
              <w:t>**</w:t>
            </w:r>
          </w:p>
        </w:tc>
        <w:tc>
          <w:tcPr>
            <w:tcW w:w="1340" w:type="dxa"/>
            <w:tcBorders>
              <w:top w:val="nil"/>
              <w:left w:val="nil"/>
              <w:bottom w:val="nil"/>
              <w:right w:val="nil"/>
            </w:tcBorders>
            <w:shd w:val="clear" w:color="auto" w:fill="auto"/>
            <w:vAlign w:val="center"/>
            <w:hideMark/>
          </w:tcPr>
          <w:p w14:paraId="79285A78"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0.207</w:t>
            </w:r>
            <w:r w:rsidRPr="00F65686">
              <w:rPr>
                <w:rFonts w:ascii="Times New Roman" w:hAnsi="Times New Roman"/>
                <w:color w:val="000000"/>
                <w:sz w:val="20"/>
                <w:szCs w:val="20"/>
                <w:vertAlign w:val="superscript"/>
                <w:lang w:val="en-US" w:eastAsia="it-IT"/>
              </w:rPr>
              <w:t>**</w:t>
            </w:r>
          </w:p>
        </w:tc>
        <w:tc>
          <w:tcPr>
            <w:tcW w:w="1340" w:type="dxa"/>
            <w:tcBorders>
              <w:top w:val="nil"/>
              <w:left w:val="nil"/>
              <w:bottom w:val="nil"/>
              <w:right w:val="nil"/>
            </w:tcBorders>
            <w:shd w:val="clear" w:color="auto" w:fill="auto"/>
            <w:vAlign w:val="center"/>
            <w:hideMark/>
          </w:tcPr>
          <w:p w14:paraId="1C239DEA"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0.187</w:t>
            </w:r>
            <w:r w:rsidRPr="00F65686">
              <w:rPr>
                <w:rFonts w:ascii="Times New Roman" w:hAnsi="Times New Roman"/>
                <w:color w:val="000000"/>
                <w:sz w:val="20"/>
                <w:szCs w:val="20"/>
                <w:vertAlign w:val="superscript"/>
                <w:lang w:val="en-US" w:eastAsia="it-IT"/>
              </w:rPr>
              <w:t>**</w:t>
            </w:r>
          </w:p>
        </w:tc>
        <w:tc>
          <w:tcPr>
            <w:tcW w:w="1340" w:type="dxa"/>
            <w:tcBorders>
              <w:top w:val="nil"/>
              <w:left w:val="nil"/>
              <w:bottom w:val="nil"/>
              <w:right w:val="nil"/>
            </w:tcBorders>
            <w:shd w:val="clear" w:color="auto" w:fill="auto"/>
            <w:vAlign w:val="center"/>
            <w:hideMark/>
          </w:tcPr>
          <w:p w14:paraId="1D6DD847"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0.199</w:t>
            </w:r>
            <w:r w:rsidRPr="00F65686">
              <w:rPr>
                <w:rFonts w:ascii="Times New Roman" w:hAnsi="Times New Roman"/>
                <w:color w:val="000000"/>
                <w:sz w:val="20"/>
                <w:szCs w:val="20"/>
                <w:vertAlign w:val="superscript"/>
                <w:lang w:val="en-US" w:eastAsia="it-IT"/>
              </w:rPr>
              <w:t>**</w:t>
            </w:r>
          </w:p>
        </w:tc>
        <w:tc>
          <w:tcPr>
            <w:tcW w:w="1340" w:type="dxa"/>
            <w:tcBorders>
              <w:top w:val="nil"/>
              <w:left w:val="nil"/>
              <w:bottom w:val="nil"/>
              <w:right w:val="nil"/>
            </w:tcBorders>
            <w:shd w:val="clear" w:color="auto" w:fill="auto"/>
            <w:vAlign w:val="center"/>
            <w:hideMark/>
          </w:tcPr>
          <w:p w14:paraId="1A0ECD19"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0.161</w:t>
            </w:r>
            <w:r w:rsidRPr="00F65686">
              <w:rPr>
                <w:rFonts w:ascii="Times New Roman" w:hAnsi="Times New Roman"/>
                <w:color w:val="000000"/>
                <w:sz w:val="20"/>
                <w:szCs w:val="20"/>
                <w:vertAlign w:val="superscript"/>
                <w:lang w:val="en-US" w:eastAsia="it-IT"/>
              </w:rPr>
              <w:t>*</w:t>
            </w:r>
          </w:p>
        </w:tc>
        <w:tc>
          <w:tcPr>
            <w:tcW w:w="2140" w:type="dxa"/>
            <w:tcBorders>
              <w:top w:val="nil"/>
              <w:left w:val="nil"/>
              <w:bottom w:val="nil"/>
              <w:right w:val="nil"/>
            </w:tcBorders>
            <w:shd w:val="clear" w:color="auto" w:fill="auto"/>
            <w:vAlign w:val="center"/>
            <w:hideMark/>
          </w:tcPr>
          <w:p w14:paraId="44DEFF7D"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0.173</w:t>
            </w:r>
            <w:r w:rsidRPr="00F65686">
              <w:rPr>
                <w:rFonts w:ascii="Times New Roman" w:hAnsi="Times New Roman"/>
                <w:color w:val="000000"/>
                <w:sz w:val="20"/>
                <w:szCs w:val="20"/>
                <w:vertAlign w:val="superscript"/>
                <w:lang w:val="en-US" w:eastAsia="it-IT"/>
              </w:rPr>
              <w:t>*</w:t>
            </w:r>
          </w:p>
        </w:tc>
      </w:tr>
      <w:tr w:rsidR="0088286D" w:rsidRPr="00F65686" w14:paraId="7CE221FF" w14:textId="77777777" w:rsidTr="0088286D">
        <w:trPr>
          <w:trHeight w:val="288"/>
        </w:trPr>
        <w:tc>
          <w:tcPr>
            <w:tcW w:w="3160" w:type="dxa"/>
            <w:tcBorders>
              <w:top w:val="nil"/>
              <w:left w:val="nil"/>
              <w:bottom w:val="nil"/>
              <w:right w:val="nil"/>
            </w:tcBorders>
            <w:shd w:val="clear" w:color="auto" w:fill="auto"/>
            <w:vAlign w:val="center"/>
            <w:hideMark/>
          </w:tcPr>
          <w:p w14:paraId="1C9F1A12"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1EB7E355"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(1.88)</w:t>
            </w:r>
          </w:p>
        </w:tc>
        <w:tc>
          <w:tcPr>
            <w:tcW w:w="1340" w:type="dxa"/>
            <w:tcBorders>
              <w:top w:val="nil"/>
              <w:left w:val="nil"/>
              <w:bottom w:val="nil"/>
              <w:right w:val="nil"/>
            </w:tcBorders>
            <w:shd w:val="clear" w:color="auto" w:fill="auto"/>
            <w:vAlign w:val="center"/>
            <w:hideMark/>
          </w:tcPr>
          <w:p w14:paraId="0F98EF9A"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(1.95)</w:t>
            </w:r>
          </w:p>
        </w:tc>
        <w:tc>
          <w:tcPr>
            <w:tcW w:w="1340" w:type="dxa"/>
            <w:tcBorders>
              <w:top w:val="nil"/>
              <w:left w:val="nil"/>
              <w:bottom w:val="nil"/>
              <w:right w:val="nil"/>
            </w:tcBorders>
            <w:shd w:val="clear" w:color="auto" w:fill="auto"/>
            <w:vAlign w:val="center"/>
            <w:hideMark/>
          </w:tcPr>
          <w:p w14:paraId="792C9180"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(1.84)</w:t>
            </w:r>
          </w:p>
        </w:tc>
        <w:tc>
          <w:tcPr>
            <w:tcW w:w="1340" w:type="dxa"/>
            <w:tcBorders>
              <w:top w:val="nil"/>
              <w:left w:val="nil"/>
              <w:bottom w:val="nil"/>
              <w:right w:val="nil"/>
            </w:tcBorders>
            <w:shd w:val="clear" w:color="auto" w:fill="auto"/>
            <w:vAlign w:val="center"/>
            <w:hideMark/>
          </w:tcPr>
          <w:p w14:paraId="3DD6E24C"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(1.93)</w:t>
            </w:r>
          </w:p>
        </w:tc>
        <w:tc>
          <w:tcPr>
            <w:tcW w:w="1340" w:type="dxa"/>
            <w:tcBorders>
              <w:top w:val="nil"/>
              <w:left w:val="nil"/>
              <w:bottom w:val="nil"/>
              <w:right w:val="nil"/>
            </w:tcBorders>
            <w:shd w:val="clear" w:color="auto" w:fill="auto"/>
            <w:vAlign w:val="center"/>
            <w:hideMark/>
          </w:tcPr>
          <w:p w14:paraId="77B44EC1"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(1.67)</w:t>
            </w:r>
          </w:p>
        </w:tc>
        <w:tc>
          <w:tcPr>
            <w:tcW w:w="2140" w:type="dxa"/>
            <w:tcBorders>
              <w:top w:val="nil"/>
              <w:left w:val="nil"/>
              <w:bottom w:val="nil"/>
              <w:right w:val="nil"/>
            </w:tcBorders>
            <w:shd w:val="clear" w:color="auto" w:fill="auto"/>
            <w:vAlign w:val="center"/>
            <w:hideMark/>
          </w:tcPr>
          <w:p w14:paraId="5B3E3773"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(1.74)</w:t>
            </w:r>
          </w:p>
        </w:tc>
      </w:tr>
      <w:tr w:rsidR="0088286D" w:rsidRPr="00F65686" w14:paraId="2CD09967" w14:textId="77777777" w:rsidTr="0088286D">
        <w:trPr>
          <w:trHeight w:val="288"/>
        </w:trPr>
        <w:tc>
          <w:tcPr>
            <w:tcW w:w="3160" w:type="dxa"/>
            <w:tcBorders>
              <w:top w:val="nil"/>
              <w:left w:val="nil"/>
              <w:bottom w:val="nil"/>
              <w:right w:val="nil"/>
            </w:tcBorders>
            <w:shd w:val="clear" w:color="auto" w:fill="auto"/>
            <w:vAlign w:val="center"/>
            <w:hideMark/>
          </w:tcPr>
          <w:p w14:paraId="0A3F3112"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 cofinancing</w:t>
            </w:r>
          </w:p>
        </w:tc>
        <w:tc>
          <w:tcPr>
            <w:tcW w:w="1340" w:type="dxa"/>
            <w:tcBorders>
              <w:top w:val="nil"/>
              <w:left w:val="nil"/>
              <w:bottom w:val="nil"/>
              <w:right w:val="nil"/>
            </w:tcBorders>
            <w:shd w:val="clear" w:color="auto" w:fill="auto"/>
            <w:vAlign w:val="center"/>
            <w:hideMark/>
          </w:tcPr>
          <w:p w14:paraId="354A35B7"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-0.115</w:t>
            </w:r>
          </w:p>
        </w:tc>
        <w:tc>
          <w:tcPr>
            <w:tcW w:w="1340" w:type="dxa"/>
            <w:tcBorders>
              <w:top w:val="nil"/>
              <w:left w:val="nil"/>
              <w:bottom w:val="nil"/>
              <w:right w:val="nil"/>
            </w:tcBorders>
            <w:shd w:val="clear" w:color="auto" w:fill="auto"/>
            <w:vAlign w:val="center"/>
            <w:hideMark/>
          </w:tcPr>
          <w:p w14:paraId="7AFB6D77"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-0.0933</w:t>
            </w:r>
          </w:p>
        </w:tc>
        <w:tc>
          <w:tcPr>
            <w:tcW w:w="1340" w:type="dxa"/>
            <w:tcBorders>
              <w:top w:val="nil"/>
              <w:left w:val="nil"/>
              <w:bottom w:val="nil"/>
              <w:right w:val="nil"/>
            </w:tcBorders>
            <w:shd w:val="clear" w:color="auto" w:fill="auto"/>
            <w:vAlign w:val="center"/>
            <w:hideMark/>
          </w:tcPr>
          <w:p w14:paraId="1AA37315"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0.0495</w:t>
            </w:r>
          </w:p>
        </w:tc>
        <w:tc>
          <w:tcPr>
            <w:tcW w:w="1340" w:type="dxa"/>
            <w:tcBorders>
              <w:top w:val="nil"/>
              <w:left w:val="nil"/>
              <w:bottom w:val="nil"/>
              <w:right w:val="nil"/>
            </w:tcBorders>
            <w:shd w:val="clear" w:color="auto" w:fill="auto"/>
            <w:vAlign w:val="center"/>
            <w:hideMark/>
          </w:tcPr>
          <w:p w14:paraId="0B82A20E"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0.0914</w:t>
            </w:r>
          </w:p>
        </w:tc>
        <w:tc>
          <w:tcPr>
            <w:tcW w:w="1340" w:type="dxa"/>
            <w:tcBorders>
              <w:top w:val="nil"/>
              <w:left w:val="nil"/>
              <w:bottom w:val="nil"/>
              <w:right w:val="nil"/>
            </w:tcBorders>
            <w:shd w:val="clear" w:color="auto" w:fill="auto"/>
            <w:vAlign w:val="center"/>
            <w:hideMark/>
          </w:tcPr>
          <w:p w14:paraId="2D8FBA1F"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0.171</w:t>
            </w:r>
          </w:p>
        </w:tc>
        <w:tc>
          <w:tcPr>
            <w:tcW w:w="2140" w:type="dxa"/>
            <w:tcBorders>
              <w:top w:val="nil"/>
              <w:left w:val="nil"/>
              <w:bottom w:val="nil"/>
              <w:right w:val="nil"/>
            </w:tcBorders>
            <w:shd w:val="clear" w:color="auto" w:fill="auto"/>
            <w:vAlign w:val="center"/>
            <w:hideMark/>
          </w:tcPr>
          <w:p w14:paraId="7DE3F23A"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0.195</w:t>
            </w:r>
          </w:p>
        </w:tc>
      </w:tr>
      <w:tr w:rsidR="0088286D" w:rsidRPr="00F65686" w14:paraId="548F8BFE" w14:textId="77777777" w:rsidTr="0088286D">
        <w:trPr>
          <w:trHeight w:val="288"/>
        </w:trPr>
        <w:tc>
          <w:tcPr>
            <w:tcW w:w="3160" w:type="dxa"/>
            <w:tcBorders>
              <w:top w:val="nil"/>
              <w:left w:val="nil"/>
              <w:bottom w:val="nil"/>
              <w:right w:val="nil"/>
            </w:tcBorders>
            <w:shd w:val="clear" w:color="auto" w:fill="auto"/>
            <w:vAlign w:val="center"/>
            <w:hideMark/>
          </w:tcPr>
          <w:p w14:paraId="5999C17C"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7AA08D4E"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(-0.05)</w:t>
            </w:r>
          </w:p>
        </w:tc>
        <w:tc>
          <w:tcPr>
            <w:tcW w:w="1340" w:type="dxa"/>
            <w:tcBorders>
              <w:top w:val="nil"/>
              <w:left w:val="nil"/>
              <w:bottom w:val="nil"/>
              <w:right w:val="nil"/>
            </w:tcBorders>
            <w:shd w:val="clear" w:color="auto" w:fill="auto"/>
            <w:vAlign w:val="center"/>
            <w:hideMark/>
          </w:tcPr>
          <w:p w14:paraId="7C59F2AD"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(-0.04)</w:t>
            </w:r>
          </w:p>
        </w:tc>
        <w:tc>
          <w:tcPr>
            <w:tcW w:w="1340" w:type="dxa"/>
            <w:tcBorders>
              <w:top w:val="nil"/>
              <w:left w:val="nil"/>
              <w:bottom w:val="nil"/>
              <w:right w:val="nil"/>
            </w:tcBorders>
            <w:shd w:val="clear" w:color="auto" w:fill="auto"/>
            <w:vAlign w:val="center"/>
            <w:hideMark/>
          </w:tcPr>
          <w:p w14:paraId="21BFD51B"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(0.02)</w:t>
            </w:r>
          </w:p>
        </w:tc>
        <w:tc>
          <w:tcPr>
            <w:tcW w:w="1340" w:type="dxa"/>
            <w:tcBorders>
              <w:top w:val="nil"/>
              <w:left w:val="nil"/>
              <w:bottom w:val="nil"/>
              <w:right w:val="nil"/>
            </w:tcBorders>
            <w:shd w:val="clear" w:color="auto" w:fill="auto"/>
            <w:vAlign w:val="center"/>
            <w:hideMark/>
          </w:tcPr>
          <w:p w14:paraId="575F22D5"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(0.04)</w:t>
            </w:r>
          </w:p>
        </w:tc>
        <w:tc>
          <w:tcPr>
            <w:tcW w:w="1340" w:type="dxa"/>
            <w:tcBorders>
              <w:top w:val="nil"/>
              <w:left w:val="nil"/>
              <w:bottom w:val="nil"/>
              <w:right w:val="nil"/>
            </w:tcBorders>
            <w:shd w:val="clear" w:color="auto" w:fill="auto"/>
            <w:vAlign w:val="center"/>
            <w:hideMark/>
          </w:tcPr>
          <w:p w14:paraId="77C81DCB"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(0.08)</w:t>
            </w:r>
          </w:p>
        </w:tc>
        <w:tc>
          <w:tcPr>
            <w:tcW w:w="2140" w:type="dxa"/>
            <w:tcBorders>
              <w:top w:val="nil"/>
              <w:left w:val="nil"/>
              <w:bottom w:val="nil"/>
              <w:right w:val="nil"/>
            </w:tcBorders>
            <w:shd w:val="clear" w:color="auto" w:fill="auto"/>
            <w:vAlign w:val="center"/>
            <w:hideMark/>
          </w:tcPr>
          <w:p w14:paraId="532BDB79"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(0.08)</w:t>
            </w:r>
          </w:p>
        </w:tc>
      </w:tr>
      <w:tr w:rsidR="0088286D" w:rsidRPr="00F65686" w14:paraId="34278B7D" w14:textId="77777777" w:rsidTr="0088286D">
        <w:trPr>
          <w:trHeight w:val="288"/>
        </w:trPr>
        <w:tc>
          <w:tcPr>
            <w:tcW w:w="3160" w:type="dxa"/>
            <w:tcBorders>
              <w:top w:val="nil"/>
              <w:left w:val="nil"/>
              <w:bottom w:val="nil"/>
              <w:right w:val="nil"/>
            </w:tcBorders>
            <w:shd w:val="clear" w:color="auto" w:fill="auto"/>
            <w:vAlign w:val="center"/>
            <w:hideMark/>
          </w:tcPr>
          <w:p w14:paraId="21FA83B7"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Social proximity</w:t>
            </w:r>
          </w:p>
        </w:tc>
        <w:tc>
          <w:tcPr>
            <w:tcW w:w="1340" w:type="dxa"/>
            <w:tcBorders>
              <w:top w:val="nil"/>
              <w:left w:val="nil"/>
              <w:bottom w:val="nil"/>
              <w:right w:val="nil"/>
            </w:tcBorders>
            <w:shd w:val="clear" w:color="auto" w:fill="auto"/>
            <w:vAlign w:val="center"/>
            <w:hideMark/>
          </w:tcPr>
          <w:p w14:paraId="229BC14C"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-1.776</w:t>
            </w:r>
          </w:p>
        </w:tc>
        <w:tc>
          <w:tcPr>
            <w:tcW w:w="1340" w:type="dxa"/>
            <w:tcBorders>
              <w:top w:val="nil"/>
              <w:left w:val="nil"/>
              <w:bottom w:val="nil"/>
              <w:right w:val="nil"/>
            </w:tcBorders>
            <w:shd w:val="clear" w:color="auto" w:fill="auto"/>
            <w:vAlign w:val="center"/>
            <w:hideMark/>
          </w:tcPr>
          <w:p w14:paraId="4C5354D4"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-2.384</w:t>
            </w:r>
          </w:p>
        </w:tc>
        <w:tc>
          <w:tcPr>
            <w:tcW w:w="1340" w:type="dxa"/>
            <w:tcBorders>
              <w:top w:val="nil"/>
              <w:left w:val="nil"/>
              <w:bottom w:val="nil"/>
              <w:right w:val="nil"/>
            </w:tcBorders>
            <w:shd w:val="clear" w:color="auto" w:fill="auto"/>
            <w:vAlign w:val="center"/>
            <w:hideMark/>
          </w:tcPr>
          <w:p w14:paraId="33EA2926"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-1.365</w:t>
            </w:r>
          </w:p>
        </w:tc>
        <w:tc>
          <w:tcPr>
            <w:tcW w:w="1340" w:type="dxa"/>
            <w:tcBorders>
              <w:top w:val="nil"/>
              <w:left w:val="nil"/>
              <w:bottom w:val="nil"/>
              <w:right w:val="nil"/>
            </w:tcBorders>
            <w:shd w:val="clear" w:color="auto" w:fill="auto"/>
            <w:vAlign w:val="center"/>
            <w:hideMark/>
          </w:tcPr>
          <w:p w14:paraId="3939725E"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-1.724</w:t>
            </w:r>
          </w:p>
        </w:tc>
        <w:tc>
          <w:tcPr>
            <w:tcW w:w="1340" w:type="dxa"/>
            <w:tcBorders>
              <w:top w:val="nil"/>
              <w:left w:val="nil"/>
              <w:bottom w:val="nil"/>
              <w:right w:val="nil"/>
            </w:tcBorders>
            <w:shd w:val="clear" w:color="auto" w:fill="auto"/>
            <w:vAlign w:val="center"/>
            <w:hideMark/>
          </w:tcPr>
          <w:p w14:paraId="6BE558A3"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-1.693</w:t>
            </w:r>
          </w:p>
        </w:tc>
        <w:tc>
          <w:tcPr>
            <w:tcW w:w="2140" w:type="dxa"/>
            <w:tcBorders>
              <w:top w:val="nil"/>
              <w:left w:val="nil"/>
              <w:bottom w:val="nil"/>
              <w:right w:val="nil"/>
            </w:tcBorders>
            <w:shd w:val="clear" w:color="auto" w:fill="auto"/>
            <w:vAlign w:val="center"/>
            <w:hideMark/>
          </w:tcPr>
          <w:p w14:paraId="588652E9"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-2.206</w:t>
            </w:r>
          </w:p>
        </w:tc>
      </w:tr>
      <w:tr w:rsidR="0088286D" w:rsidRPr="00F65686" w14:paraId="2C0F830D" w14:textId="77777777" w:rsidTr="0088286D">
        <w:trPr>
          <w:trHeight w:val="288"/>
        </w:trPr>
        <w:tc>
          <w:tcPr>
            <w:tcW w:w="3160" w:type="dxa"/>
            <w:tcBorders>
              <w:top w:val="nil"/>
              <w:left w:val="nil"/>
              <w:bottom w:val="nil"/>
              <w:right w:val="nil"/>
            </w:tcBorders>
            <w:shd w:val="clear" w:color="auto" w:fill="auto"/>
            <w:vAlign w:val="center"/>
            <w:hideMark/>
          </w:tcPr>
          <w:p w14:paraId="6C1F01E4"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7C986C9A"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(-0.85)</w:t>
            </w:r>
          </w:p>
        </w:tc>
        <w:tc>
          <w:tcPr>
            <w:tcW w:w="1340" w:type="dxa"/>
            <w:tcBorders>
              <w:top w:val="nil"/>
              <w:left w:val="nil"/>
              <w:bottom w:val="nil"/>
              <w:right w:val="nil"/>
            </w:tcBorders>
            <w:shd w:val="clear" w:color="auto" w:fill="auto"/>
            <w:vAlign w:val="center"/>
            <w:hideMark/>
          </w:tcPr>
          <w:p w14:paraId="7E8B5BFC"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(-1.11)</w:t>
            </w:r>
          </w:p>
        </w:tc>
        <w:tc>
          <w:tcPr>
            <w:tcW w:w="1340" w:type="dxa"/>
            <w:tcBorders>
              <w:top w:val="nil"/>
              <w:left w:val="nil"/>
              <w:bottom w:val="nil"/>
              <w:right w:val="nil"/>
            </w:tcBorders>
            <w:shd w:val="clear" w:color="auto" w:fill="auto"/>
            <w:vAlign w:val="center"/>
            <w:hideMark/>
          </w:tcPr>
          <w:p w14:paraId="4354BF1E"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(-0.67)</w:t>
            </w:r>
          </w:p>
        </w:tc>
        <w:tc>
          <w:tcPr>
            <w:tcW w:w="1340" w:type="dxa"/>
            <w:tcBorders>
              <w:top w:val="nil"/>
              <w:left w:val="nil"/>
              <w:bottom w:val="nil"/>
              <w:right w:val="nil"/>
            </w:tcBorders>
            <w:shd w:val="clear" w:color="auto" w:fill="auto"/>
            <w:vAlign w:val="center"/>
            <w:hideMark/>
          </w:tcPr>
          <w:p w14:paraId="2534C362"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(-0.83)</w:t>
            </w:r>
          </w:p>
        </w:tc>
        <w:tc>
          <w:tcPr>
            <w:tcW w:w="1340" w:type="dxa"/>
            <w:tcBorders>
              <w:top w:val="nil"/>
              <w:left w:val="nil"/>
              <w:bottom w:val="nil"/>
              <w:right w:val="nil"/>
            </w:tcBorders>
            <w:shd w:val="clear" w:color="auto" w:fill="auto"/>
            <w:vAlign w:val="center"/>
            <w:hideMark/>
          </w:tcPr>
          <w:p w14:paraId="74384623"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(-0.82)</w:t>
            </w:r>
          </w:p>
        </w:tc>
        <w:tc>
          <w:tcPr>
            <w:tcW w:w="2140" w:type="dxa"/>
            <w:tcBorders>
              <w:top w:val="nil"/>
              <w:left w:val="nil"/>
              <w:bottom w:val="nil"/>
              <w:right w:val="nil"/>
            </w:tcBorders>
            <w:shd w:val="clear" w:color="auto" w:fill="auto"/>
            <w:vAlign w:val="center"/>
            <w:hideMark/>
          </w:tcPr>
          <w:p w14:paraId="2DE7AE1E"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(-1.05)</w:t>
            </w:r>
          </w:p>
        </w:tc>
      </w:tr>
      <w:tr w:rsidR="0088286D" w:rsidRPr="00F65686" w14:paraId="6E5ED8B2" w14:textId="77777777" w:rsidTr="0088286D">
        <w:trPr>
          <w:trHeight w:val="288"/>
        </w:trPr>
        <w:tc>
          <w:tcPr>
            <w:tcW w:w="3160" w:type="dxa"/>
            <w:tcBorders>
              <w:top w:val="nil"/>
              <w:left w:val="nil"/>
              <w:bottom w:val="nil"/>
              <w:right w:val="nil"/>
            </w:tcBorders>
            <w:shd w:val="clear" w:color="auto" w:fill="auto"/>
            <w:vAlign w:val="center"/>
            <w:hideMark/>
          </w:tcPr>
          <w:p w14:paraId="6A234E81"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Technological proximity</w:t>
            </w:r>
          </w:p>
        </w:tc>
        <w:tc>
          <w:tcPr>
            <w:tcW w:w="1340" w:type="dxa"/>
            <w:tcBorders>
              <w:top w:val="nil"/>
              <w:left w:val="nil"/>
              <w:bottom w:val="nil"/>
              <w:right w:val="nil"/>
            </w:tcBorders>
            <w:shd w:val="clear" w:color="auto" w:fill="auto"/>
            <w:vAlign w:val="center"/>
            <w:hideMark/>
          </w:tcPr>
          <w:p w14:paraId="6787A153"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-3.51E-07</w:t>
            </w:r>
          </w:p>
        </w:tc>
        <w:tc>
          <w:tcPr>
            <w:tcW w:w="1340" w:type="dxa"/>
            <w:tcBorders>
              <w:top w:val="nil"/>
              <w:left w:val="nil"/>
              <w:bottom w:val="nil"/>
              <w:right w:val="nil"/>
            </w:tcBorders>
            <w:shd w:val="clear" w:color="auto" w:fill="auto"/>
            <w:vAlign w:val="center"/>
            <w:hideMark/>
          </w:tcPr>
          <w:p w14:paraId="5944CDA9"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-3.23E-07</w:t>
            </w:r>
          </w:p>
        </w:tc>
        <w:tc>
          <w:tcPr>
            <w:tcW w:w="1340" w:type="dxa"/>
            <w:tcBorders>
              <w:top w:val="nil"/>
              <w:left w:val="nil"/>
              <w:bottom w:val="nil"/>
              <w:right w:val="nil"/>
            </w:tcBorders>
            <w:shd w:val="clear" w:color="auto" w:fill="auto"/>
            <w:vAlign w:val="center"/>
            <w:hideMark/>
          </w:tcPr>
          <w:p w14:paraId="3F92A470"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-5.31E-07</w:t>
            </w:r>
          </w:p>
        </w:tc>
        <w:tc>
          <w:tcPr>
            <w:tcW w:w="1340" w:type="dxa"/>
            <w:tcBorders>
              <w:top w:val="nil"/>
              <w:left w:val="nil"/>
              <w:bottom w:val="nil"/>
              <w:right w:val="nil"/>
            </w:tcBorders>
            <w:shd w:val="clear" w:color="auto" w:fill="auto"/>
            <w:vAlign w:val="center"/>
            <w:hideMark/>
          </w:tcPr>
          <w:p w14:paraId="77BB2092"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-5.27E-07</w:t>
            </w:r>
          </w:p>
        </w:tc>
        <w:tc>
          <w:tcPr>
            <w:tcW w:w="1340" w:type="dxa"/>
            <w:tcBorders>
              <w:top w:val="nil"/>
              <w:left w:val="nil"/>
              <w:bottom w:val="nil"/>
              <w:right w:val="nil"/>
            </w:tcBorders>
            <w:shd w:val="clear" w:color="auto" w:fill="auto"/>
            <w:vAlign w:val="center"/>
            <w:hideMark/>
          </w:tcPr>
          <w:p w14:paraId="60DD709B"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-1.63E-07</w:t>
            </w:r>
          </w:p>
        </w:tc>
        <w:tc>
          <w:tcPr>
            <w:tcW w:w="2140" w:type="dxa"/>
            <w:tcBorders>
              <w:top w:val="nil"/>
              <w:left w:val="nil"/>
              <w:bottom w:val="nil"/>
              <w:right w:val="nil"/>
            </w:tcBorders>
            <w:shd w:val="clear" w:color="auto" w:fill="auto"/>
            <w:vAlign w:val="center"/>
            <w:hideMark/>
          </w:tcPr>
          <w:p w14:paraId="2A35D5FB"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-0.00000012</w:t>
            </w:r>
          </w:p>
        </w:tc>
      </w:tr>
      <w:tr w:rsidR="0088286D" w:rsidRPr="00F65686" w14:paraId="08648489" w14:textId="77777777" w:rsidTr="0088286D">
        <w:trPr>
          <w:trHeight w:val="288"/>
        </w:trPr>
        <w:tc>
          <w:tcPr>
            <w:tcW w:w="3160" w:type="dxa"/>
            <w:tcBorders>
              <w:top w:val="nil"/>
              <w:left w:val="nil"/>
              <w:bottom w:val="nil"/>
              <w:right w:val="nil"/>
            </w:tcBorders>
            <w:shd w:val="clear" w:color="auto" w:fill="auto"/>
            <w:vAlign w:val="center"/>
            <w:hideMark/>
          </w:tcPr>
          <w:p w14:paraId="47AC0EB0"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2EBC50AD"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(-0.44)</w:t>
            </w:r>
          </w:p>
        </w:tc>
        <w:tc>
          <w:tcPr>
            <w:tcW w:w="1340" w:type="dxa"/>
            <w:tcBorders>
              <w:top w:val="nil"/>
              <w:left w:val="nil"/>
              <w:bottom w:val="nil"/>
              <w:right w:val="nil"/>
            </w:tcBorders>
            <w:shd w:val="clear" w:color="auto" w:fill="auto"/>
            <w:vAlign w:val="center"/>
            <w:hideMark/>
          </w:tcPr>
          <w:p w14:paraId="096FD56B"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(-0.41)</w:t>
            </w:r>
          </w:p>
        </w:tc>
        <w:tc>
          <w:tcPr>
            <w:tcW w:w="1340" w:type="dxa"/>
            <w:tcBorders>
              <w:top w:val="nil"/>
              <w:left w:val="nil"/>
              <w:bottom w:val="nil"/>
              <w:right w:val="nil"/>
            </w:tcBorders>
            <w:shd w:val="clear" w:color="auto" w:fill="auto"/>
            <w:vAlign w:val="center"/>
            <w:hideMark/>
          </w:tcPr>
          <w:p w14:paraId="225B11CF"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(-0.64)</w:t>
            </w:r>
          </w:p>
        </w:tc>
        <w:tc>
          <w:tcPr>
            <w:tcW w:w="1340" w:type="dxa"/>
            <w:tcBorders>
              <w:top w:val="nil"/>
              <w:left w:val="nil"/>
              <w:bottom w:val="nil"/>
              <w:right w:val="nil"/>
            </w:tcBorders>
            <w:shd w:val="clear" w:color="auto" w:fill="auto"/>
            <w:vAlign w:val="center"/>
            <w:hideMark/>
          </w:tcPr>
          <w:p w14:paraId="1AC704EC"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(-0.65)</w:t>
            </w:r>
          </w:p>
        </w:tc>
        <w:tc>
          <w:tcPr>
            <w:tcW w:w="1340" w:type="dxa"/>
            <w:tcBorders>
              <w:top w:val="nil"/>
              <w:left w:val="nil"/>
              <w:bottom w:val="nil"/>
              <w:right w:val="nil"/>
            </w:tcBorders>
            <w:shd w:val="clear" w:color="auto" w:fill="auto"/>
            <w:vAlign w:val="center"/>
            <w:hideMark/>
          </w:tcPr>
          <w:p w14:paraId="60149997"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(-0.20)</w:t>
            </w:r>
          </w:p>
        </w:tc>
        <w:tc>
          <w:tcPr>
            <w:tcW w:w="2140" w:type="dxa"/>
            <w:tcBorders>
              <w:top w:val="nil"/>
              <w:left w:val="nil"/>
              <w:bottom w:val="nil"/>
              <w:right w:val="nil"/>
            </w:tcBorders>
            <w:shd w:val="clear" w:color="auto" w:fill="auto"/>
            <w:vAlign w:val="center"/>
            <w:hideMark/>
          </w:tcPr>
          <w:p w14:paraId="1155171E"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(-0.14)</w:t>
            </w:r>
          </w:p>
        </w:tc>
      </w:tr>
      <w:tr w:rsidR="0088286D" w:rsidRPr="00F65686" w14:paraId="181EC1A9" w14:textId="77777777" w:rsidTr="0088286D">
        <w:trPr>
          <w:trHeight w:val="312"/>
        </w:trPr>
        <w:tc>
          <w:tcPr>
            <w:tcW w:w="3160" w:type="dxa"/>
            <w:tcBorders>
              <w:top w:val="nil"/>
              <w:left w:val="nil"/>
              <w:bottom w:val="nil"/>
              <w:right w:val="nil"/>
            </w:tcBorders>
            <w:shd w:val="clear" w:color="auto" w:fill="auto"/>
            <w:vAlign w:val="center"/>
            <w:hideMark/>
          </w:tcPr>
          <w:p w14:paraId="133D3CCF"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Geographical proximity</w:t>
            </w:r>
          </w:p>
        </w:tc>
        <w:tc>
          <w:tcPr>
            <w:tcW w:w="1340" w:type="dxa"/>
            <w:tcBorders>
              <w:top w:val="nil"/>
              <w:left w:val="nil"/>
              <w:bottom w:val="nil"/>
              <w:right w:val="nil"/>
            </w:tcBorders>
            <w:shd w:val="clear" w:color="auto" w:fill="auto"/>
            <w:vAlign w:val="center"/>
            <w:hideMark/>
          </w:tcPr>
          <w:p w14:paraId="2F529E27"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-0.00161</w:t>
            </w:r>
            <w:r w:rsidRPr="00F65686">
              <w:rPr>
                <w:rFonts w:ascii="Times New Roman" w:hAnsi="Times New Roman"/>
                <w:color w:val="000000"/>
                <w:sz w:val="20"/>
                <w:szCs w:val="20"/>
                <w:vertAlign w:val="superscript"/>
                <w:lang w:val="en-US" w:eastAsia="it-IT"/>
              </w:rPr>
              <w:t>*</w:t>
            </w:r>
          </w:p>
        </w:tc>
        <w:tc>
          <w:tcPr>
            <w:tcW w:w="1340" w:type="dxa"/>
            <w:tcBorders>
              <w:top w:val="nil"/>
              <w:left w:val="nil"/>
              <w:bottom w:val="nil"/>
              <w:right w:val="nil"/>
            </w:tcBorders>
            <w:shd w:val="clear" w:color="auto" w:fill="auto"/>
            <w:vAlign w:val="center"/>
            <w:hideMark/>
          </w:tcPr>
          <w:p w14:paraId="0F8A068D"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-0.00151</w:t>
            </w:r>
          </w:p>
        </w:tc>
        <w:tc>
          <w:tcPr>
            <w:tcW w:w="1340" w:type="dxa"/>
            <w:tcBorders>
              <w:top w:val="nil"/>
              <w:left w:val="nil"/>
              <w:bottom w:val="nil"/>
              <w:right w:val="nil"/>
            </w:tcBorders>
            <w:shd w:val="clear" w:color="auto" w:fill="auto"/>
            <w:vAlign w:val="center"/>
            <w:hideMark/>
          </w:tcPr>
          <w:p w14:paraId="3D2A1488"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-0.00127</w:t>
            </w:r>
          </w:p>
        </w:tc>
        <w:tc>
          <w:tcPr>
            <w:tcW w:w="1340" w:type="dxa"/>
            <w:tcBorders>
              <w:top w:val="nil"/>
              <w:left w:val="nil"/>
              <w:bottom w:val="nil"/>
              <w:right w:val="nil"/>
            </w:tcBorders>
            <w:shd w:val="clear" w:color="auto" w:fill="auto"/>
            <w:vAlign w:val="center"/>
            <w:hideMark/>
          </w:tcPr>
          <w:p w14:paraId="12627FEC"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-0.0012</w:t>
            </w:r>
          </w:p>
        </w:tc>
        <w:tc>
          <w:tcPr>
            <w:tcW w:w="1340" w:type="dxa"/>
            <w:tcBorders>
              <w:top w:val="nil"/>
              <w:left w:val="nil"/>
              <w:bottom w:val="nil"/>
              <w:right w:val="nil"/>
            </w:tcBorders>
            <w:shd w:val="clear" w:color="auto" w:fill="auto"/>
            <w:vAlign w:val="center"/>
            <w:hideMark/>
          </w:tcPr>
          <w:p w14:paraId="67D24464"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-0.00138</w:t>
            </w:r>
          </w:p>
        </w:tc>
        <w:tc>
          <w:tcPr>
            <w:tcW w:w="2140" w:type="dxa"/>
            <w:tcBorders>
              <w:top w:val="nil"/>
              <w:left w:val="nil"/>
              <w:bottom w:val="nil"/>
              <w:right w:val="nil"/>
            </w:tcBorders>
            <w:shd w:val="clear" w:color="auto" w:fill="auto"/>
            <w:vAlign w:val="center"/>
            <w:hideMark/>
          </w:tcPr>
          <w:p w14:paraId="0896B15C"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-0.00128</w:t>
            </w:r>
          </w:p>
        </w:tc>
      </w:tr>
      <w:tr w:rsidR="0088286D" w:rsidRPr="00F65686" w14:paraId="6F335337" w14:textId="77777777" w:rsidTr="0088286D">
        <w:trPr>
          <w:trHeight w:val="288"/>
        </w:trPr>
        <w:tc>
          <w:tcPr>
            <w:tcW w:w="3160" w:type="dxa"/>
            <w:tcBorders>
              <w:top w:val="nil"/>
              <w:left w:val="nil"/>
              <w:bottom w:val="nil"/>
              <w:right w:val="nil"/>
            </w:tcBorders>
            <w:shd w:val="clear" w:color="auto" w:fill="auto"/>
            <w:vAlign w:val="center"/>
            <w:hideMark/>
          </w:tcPr>
          <w:p w14:paraId="6EF81C73"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3F68607D"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(-1.52)</w:t>
            </w:r>
          </w:p>
        </w:tc>
        <w:tc>
          <w:tcPr>
            <w:tcW w:w="1340" w:type="dxa"/>
            <w:tcBorders>
              <w:top w:val="nil"/>
              <w:left w:val="nil"/>
              <w:bottom w:val="nil"/>
              <w:right w:val="nil"/>
            </w:tcBorders>
            <w:shd w:val="clear" w:color="auto" w:fill="auto"/>
            <w:vAlign w:val="center"/>
            <w:hideMark/>
          </w:tcPr>
          <w:p w14:paraId="224A66DD"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(-1.41)</w:t>
            </w:r>
          </w:p>
        </w:tc>
        <w:tc>
          <w:tcPr>
            <w:tcW w:w="1340" w:type="dxa"/>
            <w:tcBorders>
              <w:top w:val="nil"/>
              <w:left w:val="nil"/>
              <w:bottom w:val="nil"/>
              <w:right w:val="nil"/>
            </w:tcBorders>
            <w:shd w:val="clear" w:color="auto" w:fill="auto"/>
            <w:vAlign w:val="center"/>
            <w:hideMark/>
          </w:tcPr>
          <w:p w14:paraId="1B5902C1"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(-1.36)</w:t>
            </w:r>
          </w:p>
        </w:tc>
        <w:tc>
          <w:tcPr>
            <w:tcW w:w="1340" w:type="dxa"/>
            <w:tcBorders>
              <w:top w:val="nil"/>
              <w:left w:val="nil"/>
              <w:bottom w:val="nil"/>
              <w:right w:val="nil"/>
            </w:tcBorders>
            <w:shd w:val="clear" w:color="auto" w:fill="auto"/>
            <w:vAlign w:val="center"/>
            <w:hideMark/>
          </w:tcPr>
          <w:p w14:paraId="40CB711E"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(-1.26)</w:t>
            </w:r>
          </w:p>
        </w:tc>
        <w:tc>
          <w:tcPr>
            <w:tcW w:w="1340" w:type="dxa"/>
            <w:tcBorders>
              <w:top w:val="nil"/>
              <w:left w:val="nil"/>
              <w:bottom w:val="nil"/>
              <w:right w:val="nil"/>
            </w:tcBorders>
            <w:shd w:val="clear" w:color="auto" w:fill="auto"/>
            <w:vAlign w:val="center"/>
            <w:hideMark/>
          </w:tcPr>
          <w:p w14:paraId="57BF5EEB"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(-1.40)</w:t>
            </w:r>
          </w:p>
        </w:tc>
        <w:tc>
          <w:tcPr>
            <w:tcW w:w="2140" w:type="dxa"/>
            <w:tcBorders>
              <w:top w:val="nil"/>
              <w:left w:val="nil"/>
              <w:bottom w:val="nil"/>
              <w:right w:val="nil"/>
            </w:tcBorders>
            <w:shd w:val="clear" w:color="auto" w:fill="auto"/>
            <w:vAlign w:val="center"/>
            <w:hideMark/>
          </w:tcPr>
          <w:p w14:paraId="63A94119"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(-1.28)</w:t>
            </w:r>
          </w:p>
        </w:tc>
      </w:tr>
      <w:tr w:rsidR="0088286D" w:rsidRPr="00F65686" w14:paraId="16C288F4" w14:textId="77777777" w:rsidTr="0088286D">
        <w:trPr>
          <w:trHeight w:val="312"/>
        </w:trPr>
        <w:tc>
          <w:tcPr>
            <w:tcW w:w="3160" w:type="dxa"/>
            <w:tcBorders>
              <w:top w:val="nil"/>
              <w:left w:val="nil"/>
              <w:bottom w:val="nil"/>
              <w:right w:val="nil"/>
            </w:tcBorders>
            <w:shd w:val="clear" w:color="auto" w:fill="auto"/>
            <w:vAlign w:val="center"/>
            <w:hideMark/>
          </w:tcPr>
          <w:p w14:paraId="1F0C5DD8"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Constant term</w:t>
            </w:r>
          </w:p>
        </w:tc>
        <w:tc>
          <w:tcPr>
            <w:tcW w:w="1340" w:type="dxa"/>
            <w:tcBorders>
              <w:top w:val="nil"/>
              <w:left w:val="nil"/>
              <w:bottom w:val="nil"/>
              <w:right w:val="nil"/>
            </w:tcBorders>
            <w:shd w:val="clear" w:color="auto" w:fill="auto"/>
            <w:vAlign w:val="center"/>
            <w:hideMark/>
          </w:tcPr>
          <w:p w14:paraId="3878DA7F"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-4.036</w:t>
            </w:r>
            <w:r w:rsidRPr="00F65686">
              <w:rPr>
                <w:rFonts w:ascii="Times New Roman" w:hAnsi="Times New Roman"/>
                <w:color w:val="000000"/>
                <w:sz w:val="20"/>
                <w:szCs w:val="20"/>
                <w:vertAlign w:val="superscript"/>
                <w:lang w:val="en-US" w:eastAsia="it-IT"/>
              </w:rPr>
              <w:t>**</w:t>
            </w:r>
          </w:p>
        </w:tc>
        <w:tc>
          <w:tcPr>
            <w:tcW w:w="1340" w:type="dxa"/>
            <w:tcBorders>
              <w:top w:val="nil"/>
              <w:left w:val="nil"/>
              <w:bottom w:val="nil"/>
              <w:right w:val="nil"/>
            </w:tcBorders>
            <w:shd w:val="clear" w:color="auto" w:fill="auto"/>
            <w:vAlign w:val="center"/>
            <w:hideMark/>
          </w:tcPr>
          <w:p w14:paraId="0F63085D"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-3.559</w:t>
            </w:r>
            <w:r w:rsidRPr="00F65686">
              <w:rPr>
                <w:rFonts w:ascii="Times New Roman" w:hAnsi="Times New Roman"/>
                <w:color w:val="000000"/>
                <w:sz w:val="20"/>
                <w:szCs w:val="20"/>
                <w:vertAlign w:val="superscript"/>
                <w:lang w:val="en-US" w:eastAsia="it-IT"/>
              </w:rPr>
              <w:t>*</w:t>
            </w:r>
          </w:p>
        </w:tc>
        <w:tc>
          <w:tcPr>
            <w:tcW w:w="1340" w:type="dxa"/>
            <w:tcBorders>
              <w:top w:val="nil"/>
              <w:left w:val="nil"/>
              <w:bottom w:val="nil"/>
              <w:right w:val="nil"/>
            </w:tcBorders>
            <w:shd w:val="clear" w:color="auto" w:fill="auto"/>
            <w:vAlign w:val="center"/>
            <w:hideMark/>
          </w:tcPr>
          <w:p w14:paraId="6544A389"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-3.929</w:t>
            </w:r>
            <w:r w:rsidRPr="00F65686">
              <w:rPr>
                <w:rFonts w:ascii="Times New Roman" w:hAnsi="Times New Roman"/>
                <w:color w:val="000000"/>
                <w:sz w:val="20"/>
                <w:szCs w:val="20"/>
                <w:vertAlign w:val="superscript"/>
                <w:lang w:val="en-US" w:eastAsia="it-IT"/>
              </w:rPr>
              <w:t>**</w:t>
            </w:r>
          </w:p>
        </w:tc>
        <w:tc>
          <w:tcPr>
            <w:tcW w:w="1340" w:type="dxa"/>
            <w:tcBorders>
              <w:top w:val="nil"/>
              <w:left w:val="nil"/>
              <w:bottom w:val="nil"/>
              <w:right w:val="nil"/>
            </w:tcBorders>
            <w:shd w:val="clear" w:color="auto" w:fill="auto"/>
            <w:vAlign w:val="center"/>
            <w:hideMark/>
          </w:tcPr>
          <w:p w14:paraId="1542B11D"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-3.651</w:t>
            </w:r>
            <w:r w:rsidRPr="00F65686">
              <w:rPr>
                <w:rFonts w:ascii="Times New Roman" w:hAnsi="Times New Roman"/>
                <w:color w:val="000000"/>
                <w:sz w:val="20"/>
                <w:szCs w:val="20"/>
                <w:vertAlign w:val="superscript"/>
                <w:lang w:val="en-US" w:eastAsia="it-IT"/>
              </w:rPr>
              <w:t>*</w:t>
            </w:r>
          </w:p>
        </w:tc>
        <w:tc>
          <w:tcPr>
            <w:tcW w:w="1340" w:type="dxa"/>
            <w:tcBorders>
              <w:top w:val="nil"/>
              <w:left w:val="nil"/>
              <w:bottom w:val="nil"/>
              <w:right w:val="nil"/>
            </w:tcBorders>
            <w:shd w:val="clear" w:color="auto" w:fill="auto"/>
            <w:vAlign w:val="center"/>
            <w:hideMark/>
          </w:tcPr>
          <w:p w14:paraId="3A91600E"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-3.770</w:t>
            </w:r>
            <w:r w:rsidRPr="00F65686">
              <w:rPr>
                <w:rFonts w:ascii="Times New Roman" w:hAnsi="Times New Roman"/>
                <w:color w:val="000000"/>
                <w:sz w:val="20"/>
                <w:szCs w:val="20"/>
                <w:vertAlign w:val="superscript"/>
                <w:lang w:val="en-US" w:eastAsia="it-IT"/>
              </w:rPr>
              <w:t>**</w:t>
            </w:r>
          </w:p>
        </w:tc>
        <w:tc>
          <w:tcPr>
            <w:tcW w:w="2140" w:type="dxa"/>
            <w:tcBorders>
              <w:top w:val="nil"/>
              <w:left w:val="nil"/>
              <w:bottom w:val="nil"/>
              <w:right w:val="nil"/>
            </w:tcBorders>
            <w:shd w:val="clear" w:color="auto" w:fill="auto"/>
            <w:vAlign w:val="center"/>
            <w:hideMark/>
          </w:tcPr>
          <w:p w14:paraId="761ECD9A"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-3.351</w:t>
            </w:r>
            <w:r w:rsidRPr="00F65686">
              <w:rPr>
                <w:rFonts w:ascii="Times New Roman" w:hAnsi="Times New Roman"/>
                <w:color w:val="000000"/>
                <w:sz w:val="20"/>
                <w:szCs w:val="20"/>
                <w:vertAlign w:val="superscript"/>
                <w:lang w:val="en-US" w:eastAsia="it-IT"/>
              </w:rPr>
              <w:t>*</w:t>
            </w:r>
          </w:p>
        </w:tc>
      </w:tr>
      <w:tr w:rsidR="0088286D" w:rsidRPr="00F65686" w14:paraId="087101A5" w14:textId="77777777" w:rsidTr="0088286D">
        <w:trPr>
          <w:trHeight w:val="288"/>
        </w:trPr>
        <w:tc>
          <w:tcPr>
            <w:tcW w:w="3160" w:type="dxa"/>
            <w:tcBorders>
              <w:top w:val="nil"/>
              <w:left w:val="nil"/>
              <w:bottom w:val="single" w:sz="4" w:space="0" w:color="auto"/>
              <w:right w:val="nil"/>
            </w:tcBorders>
            <w:shd w:val="clear" w:color="auto" w:fill="auto"/>
            <w:vAlign w:val="center"/>
            <w:hideMark/>
          </w:tcPr>
          <w:p w14:paraId="400CC3CB"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eastAsia="it-IT"/>
              </w:rPr>
              <w:t> </w:t>
            </w:r>
          </w:p>
        </w:tc>
        <w:tc>
          <w:tcPr>
            <w:tcW w:w="1340" w:type="dxa"/>
            <w:tcBorders>
              <w:top w:val="nil"/>
              <w:left w:val="nil"/>
              <w:bottom w:val="single" w:sz="4" w:space="0" w:color="auto"/>
              <w:right w:val="nil"/>
            </w:tcBorders>
            <w:shd w:val="clear" w:color="auto" w:fill="auto"/>
            <w:vAlign w:val="center"/>
            <w:hideMark/>
          </w:tcPr>
          <w:p w14:paraId="44C023B4"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(-2.11)</w:t>
            </w:r>
          </w:p>
        </w:tc>
        <w:tc>
          <w:tcPr>
            <w:tcW w:w="1340" w:type="dxa"/>
            <w:tcBorders>
              <w:top w:val="nil"/>
              <w:left w:val="nil"/>
              <w:bottom w:val="single" w:sz="4" w:space="0" w:color="auto"/>
              <w:right w:val="nil"/>
            </w:tcBorders>
            <w:shd w:val="clear" w:color="auto" w:fill="auto"/>
            <w:vAlign w:val="center"/>
            <w:hideMark/>
          </w:tcPr>
          <w:p w14:paraId="1A268BE1"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(-1.72)</w:t>
            </w:r>
          </w:p>
        </w:tc>
        <w:tc>
          <w:tcPr>
            <w:tcW w:w="1340" w:type="dxa"/>
            <w:tcBorders>
              <w:top w:val="nil"/>
              <w:left w:val="nil"/>
              <w:bottom w:val="single" w:sz="4" w:space="0" w:color="auto"/>
              <w:right w:val="nil"/>
            </w:tcBorders>
            <w:shd w:val="clear" w:color="auto" w:fill="auto"/>
            <w:vAlign w:val="center"/>
            <w:hideMark/>
          </w:tcPr>
          <w:p w14:paraId="53D10842"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(-1.95)</w:t>
            </w:r>
          </w:p>
        </w:tc>
        <w:tc>
          <w:tcPr>
            <w:tcW w:w="1340" w:type="dxa"/>
            <w:tcBorders>
              <w:top w:val="nil"/>
              <w:left w:val="nil"/>
              <w:bottom w:val="single" w:sz="4" w:space="0" w:color="auto"/>
              <w:right w:val="nil"/>
            </w:tcBorders>
            <w:shd w:val="clear" w:color="auto" w:fill="auto"/>
            <w:vAlign w:val="center"/>
            <w:hideMark/>
          </w:tcPr>
          <w:p w14:paraId="1536BDCC"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(-1.67)</w:t>
            </w:r>
          </w:p>
        </w:tc>
        <w:tc>
          <w:tcPr>
            <w:tcW w:w="1340" w:type="dxa"/>
            <w:tcBorders>
              <w:top w:val="nil"/>
              <w:left w:val="nil"/>
              <w:bottom w:val="single" w:sz="4" w:space="0" w:color="auto"/>
              <w:right w:val="nil"/>
            </w:tcBorders>
            <w:shd w:val="clear" w:color="auto" w:fill="auto"/>
            <w:vAlign w:val="center"/>
            <w:hideMark/>
          </w:tcPr>
          <w:p w14:paraId="701BEB36"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(-1.99)</w:t>
            </w:r>
          </w:p>
        </w:tc>
        <w:tc>
          <w:tcPr>
            <w:tcW w:w="2140" w:type="dxa"/>
            <w:tcBorders>
              <w:top w:val="nil"/>
              <w:left w:val="nil"/>
              <w:bottom w:val="single" w:sz="4" w:space="0" w:color="auto"/>
              <w:right w:val="nil"/>
            </w:tcBorders>
            <w:shd w:val="clear" w:color="auto" w:fill="auto"/>
            <w:vAlign w:val="center"/>
            <w:hideMark/>
          </w:tcPr>
          <w:p w14:paraId="7A1B67FB"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(-1.63)</w:t>
            </w:r>
          </w:p>
        </w:tc>
      </w:tr>
      <w:tr w:rsidR="0088286D" w:rsidRPr="00F65686" w14:paraId="3E0675CE" w14:textId="77777777" w:rsidTr="0088286D">
        <w:trPr>
          <w:trHeight w:val="288"/>
        </w:trPr>
        <w:tc>
          <w:tcPr>
            <w:tcW w:w="3160" w:type="dxa"/>
            <w:tcBorders>
              <w:top w:val="nil"/>
              <w:left w:val="nil"/>
              <w:bottom w:val="nil"/>
              <w:right w:val="nil"/>
            </w:tcBorders>
            <w:shd w:val="clear" w:color="auto" w:fill="auto"/>
            <w:vAlign w:val="center"/>
            <w:hideMark/>
          </w:tcPr>
          <w:p w14:paraId="7258DB59"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OME0</w:t>
            </w:r>
          </w:p>
        </w:tc>
        <w:tc>
          <w:tcPr>
            <w:tcW w:w="1340" w:type="dxa"/>
            <w:tcBorders>
              <w:top w:val="nil"/>
              <w:left w:val="nil"/>
              <w:bottom w:val="nil"/>
              <w:right w:val="nil"/>
            </w:tcBorders>
            <w:shd w:val="clear" w:color="auto" w:fill="auto"/>
            <w:vAlign w:val="center"/>
            <w:hideMark/>
          </w:tcPr>
          <w:p w14:paraId="55E3DF50"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21FAF52D" w14:textId="77777777" w:rsidR="0088286D" w:rsidRPr="00F65686" w:rsidRDefault="0088286D" w:rsidP="00F65686">
            <w:pPr>
              <w:spacing w:after="0" w:line="240" w:lineRule="auto"/>
              <w:jc w:val="center"/>
              <w:rPr>
                <w:rFonts w:ascii="Times New Roman" w:hAnsi="Times New Roman"/>
                <w:sz w:val="20"/>
                <w:szCs w:val="20"/>
                <w:lang w:eastAsia="it-IT"/>
              </w:rPr>
            </w:pPr>
          </w:p>
        </w:tc>
        <w:tc>
          <w:tcPr>
            <w:tcW w:w="1340" w:type="dxa"/>
            <w:tcBorders>
              <w:top w:val="nil"/>
              <w:left w:val="nil"/>
              <w:bottom w:val="nil"/>
              <w:right w:val="nil"/>
            </w:tcBorders>
            <w:shd w:val="clear" w:color="auto" w:fill="auto"/>
            <w:vAlign w:val="center"/>
            <w:hideMark/>
          </w:tcPr>
          <w:p w14:paraId="339C9584" w14:textId="77777777" w:rsidR="0088286D" w:rsidRPr="00F65686" w:rsidRDefault="0088286D" w:rsidP="00F65686">
            <w:pPr>
              <w:spacing w:after="0" w:line="240" w:lineRule="auto"/>
              <w:jc w:val="center"/>
              <w:rPr>
                <w:rFonts w:ascii="Times New Roman" w:hAnsi="Times New Roman"/>
                <w:sz w:val="20"/>
                <w:szCs w:val="20"/>
                <w:lang w:eastAsia="it-IT"/>
              </w:rPr>
            </w:pPr>
          </w:p>
        </w:tc>
        <w:tc>
          <w:tcPr>
            <w:tcW w:w="1340" w:type="dxa"/>
            <w:tcBorders>
              <w:top w:val="nil"/>
              <w:left w:val="nil"/>
              <w:bottom w:val="nil"/>
              <w:right w:val="nil"/>
            </w:tcBorders>
            <w:shd w:val="clear" w:color="auto" w:fill="auto"/>
            <w:vAlign w:val="center"/>
            <w:hideMark/>
          </w:tcPr>
          <w:p w14:paraId="1920BE73" w14:textId="77777777" w:rsidR="0088286D" w:rsidRPr="00F65686" w:rsidRDefault="0088286D" w:rsidP="00F65686">
            <w:pPr>
              <w:spacing w:after="0" w:line="240" w:lineRule="auto"/>
              <w:jc w:val="center"/>
              <w:rPr>
                <w:rFonts w:ascii="Times New Roman" w:hAnsi="Times New Roman"/>
                <w:sz w:val="20"/>
                <w:szCs w:val="20"/>
                <w:lang w:eastAsia="it-IT"/>
              </w:rPr>
            </w:pPr>
          </w:p>
        </w:tc>
        <w:tc>
          <w:tcPr>
            <w:tcW w:w="1340" w:type="dxa"/>
            <w:tcBorders>
              <w:top w:val="nil"/>
              <w:left w:val="nil"/>
              <w:bottom w:val="nil"/>
              <w:right w:val="nil"/>
            </w:tcBorders>
            <w:shd w:val="clear" w:color="auto" w:fill="auto"/>
            <w:vAlign w:val="center"/>
            <w:hideMark/>
          </w:tcPr>
          <w:p w14:paraId="1836FEEC" w14:textId="77777777" w:rsidR="0088286D" w:rsidRPr="00F65686" w:rsidRDefault="0088286D" w:rsidP="00F65686">
            <w:pPr>
              <w:spacing w:after="0" w:line="240" w:lineRule="auto"/>
              <w:jc w:val="center"/>
              <w:rPr>
                <w:rFonts w:ascii="Times New Roman" w:hAnsi="Times New Roman"/>
                <w:sz w:val="20"/>
                <w:szCs w:val="20"/>
                <w:lang w:eastAsia="it-IT"/>
              </w:rPr>
            </w:pPr>
          </w:p>
        </w:tc>
        <w:tc>
          <w:tcPr>
            <w:tcW w:w="2140" w:type="dxa"/>
            <w:tcBorders>
              <w:top w:val="nil"/>
              <w:left w:val="nil"/>
              <w:bottom w:val="nil"/>
              <w:right w:val="nil"/>
            </w:tcBorders>
            <w:shd w:val="clear" w:color="auto" w:fill="auto"/>
            <w:vAlign w:val="center"/>
            <w:hideMark/>
          </w:tcPr>
          <w:p w14:paraId="10DE5F9B" w14:textId="77777777" w:rsidR="0088286D" w:rsidRPr="00F65686" w:rsidRDefault="0088286D" w:rsidP="00F65686">
            <w:pPr>
              <w:spacing w:after="0" w:line="240" w:lineRule="auto"/>
              <w:jc w:val="center"/>
              <w:rPr>
                <w:rFonts w:ascii="Times New Roman" w:hAnsi="Times New Roman"/>
                <w:sz w:val="20"/>
                <w:szCs w:val="20"/>
                <w:lang w:eastAsia="it-IT"/>
              </w:rPr>
            </w:pPr>
          </w:p>
        </w:tc>
      </w:tr>
      <w:tr w:rsidR="0088286D" w:rsidRPr="00F65686" w14:paraId="3AB8D92E" w14:textId="77777777" w:rsidTr="0088286D">
        <w:trPr>
          <w:trHeight w:val="528"/>
        </w:trPr>
        <w:tc>
          <w:tcPr>
            <w:tcW w:w="3160" w:type="dxa"/>
            <w:tcBorders>
              <w:top w:val="nil"/>
              <w:left w:val="nil"/>
              <w:bottom w:val="nil"/>
              <w:right w:val="nil"/>
            </w:tcBorders>
            <w:shd w:val="clear" w:color="auto" w:fill="auto"/>
            <w:vAlign w:val="center"/>
            <w:hideMark/>
          </w:tcPr>
          <w:p w14:paraId="18E23807" w14:textId="77777777" w:rsidR="0088286D" w:rsidRPr="00F65686" w:rsidRDefault="0088286D" w:rsidP="00F65686">
            <w:pPr>
              <w:spacing w:after="0" w:line="240" w:lineRule="auto"/>
              <w:jc w:val="center"/>
              <w:rPr>
                <w:rFonts w:ascii="Times New Roman" w:hAnsi="Times New Roman"/>
                <w:color w:val="000000"/>
                <w:sz w:val="20"/>
                <w:szCs w:val="20"/>
                <w:lang w:val="en-GB" w:eastAsia="it-IT"/>
              </w:rPr>
            </w:pPr>
            <w:r w:rsidRPr="00F65686">
              <w:rPr>
                <w:rFonts w:ascii="Times New Roman" w:hAnsi="Times New Roman"/>
                <w:color w:val="000000"/>
                <w:sz w:val="20"/>
                <w:szCs w:val="20"/>
                <w:lang w:val="en-US" w:eastAsia="it-IT"/>
              </w:rPr>
              <w:t>The beneficiary had a clearly defined innovative idea before the project</w:t>
            </w:r>
          </w:p>
        </w:tc>
        <w:tc>
          <w:tcPr>
            <w:tcW w:w="1340" w:type="dxa"/>
            <w:tcBorders>
              <w:top w:val="nil"/>
              <w:left w:val="nil"/>
              <w:bottom w:val="nil"/>
              <w:right w:val="nil"/>
            </w:tcBorders>
            <w:shd w:val="clear" w:color="auto" w:fill="auto"/>
            <w:vAlign w:val="center"/>
            <w:hideMark/>
          </w:tcPr>
          <w:p w14:paraId="398C365E"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-0.225</w:t>
            </w:r>
          </w:p>
        </w:tc>
        <w:tc>
          <w:tcPr>
            <w:tcW w:w="1340" w:type="dxa"/>
            <w:tcBorders>
              <w:top w:val="nil"/>
              <w:left w:val="nil"/>
              <w:bottom w:val="nil"/>
              <w:right w:val="nil"/>
            </w:tcBorders>
            <w:shd w:val="clear" w:color="auto" w:fill="auto"/>
            <w:vAlign w:val="center"/>
            <w:hideMark/>
          </w:tcPr>
          <w:p w14:paraId="530E751C"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6CAF9F84"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0.0958</w:t>
            </w:r>
          </w:p>
        </w:tc>
        <w:tc>
          <w:tcPr>
            <w:tcW w:w="1340" w:type="dxa"/>
            <w:tcBorders>
              <w:top w:val="nil"/>
              <w:left w:val="nil"/>
              <w:bottom w:val="nil"/>
              <w:right w:val="nil"/>
            </w:tcBorders>
            <w:shd w:val="clear" w:color="auto" w:fill="auto"/>
            <w:vAlign w:val="center"/>
            <w:hideMark/>
          </w:tcPr>
          <w:p w14:paraId="28877DD2"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70F2A64C"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-0.323</w:t>
            </w:r>
          </w:p>
        </w:tc>
        <w:tc>
          <w:tcPr>
            <w:tcW w:w="2140" w:type="dxa"/>
            <w:tcBorders>
              <w:top w:val="nil"/>
              <w:left w:val="nil"/>
              <w:bottom w:val="nil"/>
              <w:right w:val="nil"/>
            </w:tcBorders>
            <w:shd w:val="clear" w:color="auto" w:fill="auto"/>
            <w:vAlign w:val="center"/>
            <w:hideMark/>
          </w:tcPr>
          <w:p w14:paraId="27E2969D"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r>
      <w:tr w:rsidR="0088286D" w:rsidRPr="00F65686" w14:paraId="38A7B6AA" w14:textId="77777777" w:rsidTr="0088286D">
        <w:trPr>
          <w:trHeight w:val="288"/>
        </w:trPr>
        <w:tc>
          <w:tcPr>
            <w:tcW w:w="3160" w:type="dxa"/>
            <w:tcBorders>
              <w:top w:val="nil"/>
              <w:left w:val="nil"/>
              <w:bottom w:val="nil"/>
              <w:right w:val="nil"/>
            </w:tcBorders>
            <w:shd w:val="clear" w:color="auto" w:fill="auto"/>
            <w:vAlign w:val="center"/>
            <w:hideMark/>
          </w:tcPr>
          <w:p w14:paraId="607092E0" w14:textId="77777777" w:rsidR="0088286D" w:rsidRPr="00F65686" w:rsidRDefault="0088286D" w:rsidP="00F65686">
            <w:pPr>
              <w:spacing w:after="0" w:line="240" w:lineRule="auto"/>
              <w:jc w:val="center"/>
              <w:rPr>
                <w:rFonts w:ascii="Times New Roman" w:hAnsi="Times New Roman"/>
                <w:sz w:val="20"/>
                <w:szCs w:val="20"/>
                <w:lang w:eastAsia="it-IT"/>
              </w:rPr>
            </w:pPr>
          </w:p>
        </w:tc>
        <w:tc>
          <w:tcPr>
            <w:tcW w:w="1340" w:type="dxa"/>
            <w:tcBorders>
              <w:top w:val="nil"/>
              <w:left w:val="nil"/>
              <w:bottom w:val="nil"/>
              <w:right w:val="nil"/>
            </w:tcBorders>
            <w:shd w:val="clear" w:color="auto" w:fill="auto"/>
            <w:vAlign w:val="center"/>
            <w:hideMark/>
          </w:tcPr>
          <w:p w14:paraId="59BF7B0F"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(-1.25)</w:t>
            </w:r>
          </w:p>
        </w:tc>
        <w:tc>
          <w:tcPr>
            <w:tcW w:w="1340" w:type="dxa"/>
            <w:tcBorders>
              <w:top w:val="nil"/>
              <w:left w:val="nil"/>
              <w:bottom w:val="nil"/>
              <w:right w:val="nil"/>
            </w:tcBorders>
            <w:shd w:val="clear" w:color="auto" w:fill="auto"/>
            <w:vAlign w:val="center"/>
            <w:hideMark/>
          </w:tcPr>
          <w:p w14:paraId="21E0C691"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472E7387"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(0.79)</w:t>
            </w:r>
          </w:p>
        </w:tc>
        <w:tc>
          <w:tcPr>
            <w:tcW w:w="1340" w:type="dxa"/>
            <w:tcBorders>
              <w:top w:val="nil"/>
              <w:left w:val="nil"/>
              <w:bottom w:val="nil"/>
              <w:right w:val="nil"/>
            </w:tcBorders>
            <w:shd w:val="clear" w:color="auto" w:fill="auto"/>
            <w:vAlign w:val="center"/>
            <w:hideMark/>
          </w:tcPr>
          <w:p w14:paraId="5C12ED7D"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5D2DC061"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(-1.35)</w:t>
            </w:r>
          </w:p>
        </w:tc>
        <w:tc>
          <w:tcPr>
            <w:tcW w:w="2140" w:type="dxa"/>
            <w:tcBorders>
              <w:top w:val="nil"/>
              <w:left w:val="nil"/>
              <w:bottom w:val="nil"/>
              <w:right w:val="nil"/>
            </w:tcBorders>
            <w:shd w:val="clear" w:color="auto" w:fill="auto"/>
            <w:vAlign w:val="center"/>
            <w:hideMark/>
          </w:tcPr>
          <w:p w14:paraId="3F3A3FA0"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r>
      <w:tr w:rsidR="0088286D" w:rsidRPr="00F65686" w14:paraId="35538685" w14:textId="77777777" w:rsidTr="0088286D">
        <w:trPr>
          <w:trHeight w:val="288"/>
        </w:trPr>
        <w:tc>
          <w:tcPr>
            <w:tcW w:w="3160" w:type="dxa"/>
            <w:tcBorders>
              <w:top w:val="nil"/>
              <w:left w:val="nil"/>
              <w:bottom w:val="nil"/>
              <w:right w:val="nil"/>
            </w:tcBorders>
            <w:shd w:val="clear" w:color="auto" w:fill="auto"/>
            <w:vAlign w:val="center"/>
            <w:hideMark/>
          </w:tcPr>
          <w:p w14:paraId="151773EC"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Log firm turnover</w:t>
            </w:r>
          </w:p>
        </w:tc>
        <w:tc>
          <w:tcPr>
            <w:tcW w:w="1340" w:type="dxa"/>
            <w:tcBorders>
              <w:top w:val="nil"/>
              <w:left w:val="nil"/>
              <w:bottom w:val="nil"/>
              <w:right w:val="nil"/>
            </w:tcBorders>
            <w:shd w:val="clear" w:color="auto" w:fill="auto"/>
            <w:vAlign w:val="center"/>
            <w:hideMark/>
          </w:tcPr>
          <w:p w14:paraId="3FC6E83F"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0.0219</w:t>
            </w:r>
          </w:p>
        </w:tc>
        <w:tc>
          <w:tcPr>
            <w:tcW w:w="1340" w:type="dxa"/>
            <w:tcBorders>
              <w:top w:val="nil"/>
              <w:left w:val="nil"/>
              <w:bottom w:val="nil"/>
              <w:right w:val="nil"/>
            </w:tcBorders>
            <w:shd w:val="clear" w:color="auto" w:fill="auto"/>
            <w:vAlign w:val="center"/>
            <w:hideMark/>
          </w:tcPr>
          <w:p w14:paraId="4CC8859D"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-0.00249</w:t>
            </w:r>
          </w:p>
        </w:tc>
        <w:tc>
          <w:tcPr>
            <w:tcW w:w="1340" w:type="dxa"/>
            <w:tcBorders>
              <w:top w:val="nil"/>
              <w:left w:val="nil"/>
              <w:bottom w:val="nil"/>
              <w:right w:val="nil"/>
            </w:tcBorders>
            <w:shd w:val="clear" w:color="auto" w:fill="auto"/>
            <w:vAlign w:val="center"/>
            <w:hideMark/>
          </w:tcPr>
          <w:p w14:paraId="43BAB1E0"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0.0436</w:t>
            </w:r>
          </w:p>
        </w:tc>
        <w:tc>
          <w:tcPr>
            <w:tcW w:w="1340" w:type="dxa"/>
            <w:tcBorders>
              <w:top w:val="nil"/>
              <w:left w:val="nil"/>
              <w:bottom w:val="nil"/>
              <w:right w:val="nil"/>
            </w:tcBorders>
            <w:shd w:val="clear" w:color="auto" w:fill="auto"/>
            <w:vAlign w:val="center"/>
            <w:hideMark/>
          </w:tcPr>
          <w:p w14:paraId="6C46B00B"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0.0446</w:t>
            </w:r>
          </w:p>
        </w:tc>
        <w:tc>
          <w:tcPr>
            <w:tcW w:w="1340" w:type="dxa"/>
            <w:tcBorders>
              <w:top w:val="nil"/>
              <w:left w:val="nil"/>
              <w:bottom w:val="nil"/>
              <w:right w:val="nil"/>
            </w:tcBorders>
            <w:shd w:val="clear" w:color="auto" w:fill="auto"/>
            <w:vAlign w:val="center"/>
            <w:hideMark/>
          </w:tcPr>
          <w:p w14:paraId="6EDC95BF"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0.0512</w:t>
            </w:r>
          </w:p>
        </w:tc>
        <w:tc>
          <w:tcPr>
            <w:tcW w:w="2140" w:type="dxa"/>
            <w:tcBorders>
              <w:top w:val="nil"/>
              <w:left w:val="nil"/>
              <w:bottom w:val="nil"/>
              <w:right w:val="nil"/>
            </w:tcBorders>
            <w:shd w:val="clear" w:color="auto" w:fill="auto"/>
            <w:vAlign w:val="center"/>
            <w:hideMark/>
          </w:tcPr>
          <w:p w14:paraId="1F69B50D"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0.0309</w:t>
            </w:r>
          </w:p>
        </w:tc>
      </w:tr>
      <w:tr w:rsidR="0088286D" w:rsidRPr="00F65686" w14:paraId="2BFBEAFE" w14:textId="77777777" w:rsidTr="0088286D">
        <w:trPr>
          <w:trHeight w:val="288"/>
        </w:trPr>
        <w:tc>
          <w:tcPr>
            <w:tcW w:w="3160" w:type="dxa"/>
            <w:tcBorders>
              <w:top w:val="nil"/>
              <w:left w:val="nil"/>
              <w:bottom w:val="nil"/>
              <w:right w:val="nil"/>
            </w:tcBorders>
            <w:shd w:val="clear" w:color="auto" w:fill="auto"/>
            <w:vAlign w:val="center"/>
            <w:hideMark/>
          </w:tcPr>
          <w:p w14:paraId="605C6B24"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54872137"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(0.46)</w:t>
            </w:r>
          </w:p>
        </w:tc>
        <w:tc>
          <w:tcPr>
            <w:tcW w:w="1340" w:type="dxa"/>
            <w:tcBorders>
              <w:top w:val="nil"/>
              <w:left w:val="nil"/>
              <w:bottom w:val="nil"/>
              <w:right w:val="nil"/>
            </w:tcBorders>
            <w:shd w:val="clear" w:color="auto" w:fill="auto"/>
            <w:vAlign w:val="center"/>
            <w:hideMark/>
          </w:tcPr>
          <w:p w14:paraId="5F120C5A"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(-0.06)</w:t>
            </w:r>
          </w:p>
        </w:tc>
        <w:tc>
          <w:tcPr>
            <w:tcW w:w="1340" w:type="dxa"/>
            <w:tcBorders>
              <w:top w:val="nil"/>
              <w:left w:val="nil"/>
              <w:bottom w:val="nil"/>
              <w:right w:val="nil"/>
            </w:tcBorders>
            <w:shd w:val="clear" w:color="auto" w:fill="auto"/>
            <w:vAlign w:val="center"/>
            <w:hideMark/>
          </w:tcPr>
          <w:p w14:paraId="5270BC93"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(1.19)</w:t>
            </w:r>
          </w:p>
        </w:tc>
        <w:tc>
          <w:tcPr>
            <w:tcW w:w="1340" w:type="dxa"/>
            <w:tcBorders>
              <w:top w:val="nil"/>
              <w:left w:val="nil"/>
              <w:bottom w:val="nil"/>
              <w:right w:val="nil"/>
            </w:tcBorders>
            <w:shd w:val="clear" w:color="auto" w:fill="auto"/>
            <w:vAlign w:val="center"/>
            <w:hideMark/>
          </w:tcPr>
          <w:p w14:paraId="49FF321D"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(1.02)</w:t>
            </w:r>
          </w:p>
        </w:tc>
        <w:tc>
          <w:tcPr>
            <w:tcW w:w="1340" w:type="dxa"/>
            <w:tcBorders>
              <w:top w:val="nil"/>
              <w:left w:val="nil"/>
              <w:bottom w:val="nil"/>
              <w:right w:val="nil"/>
            </w:tcBorders>
            <w:shd w:val="clear" w:color="auto" w:fill="auto"/>
            <w:vAlign w:val="center"/>
            <w:hideMark/>
          </w:tcPr>
          <w:p w14:paraId="5E324CCA"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(0.79)</w:t>
            </w:r>
          </w:p>
        </w:tc>
        <w:tc>
          <w:tcPr>
            <w:tcW w:w="2140" w:type="dxa"/>
            <w:tcBorders>
              <w:top w:val="nil"/>
              <w:left w:val="nil"/>
              <w:bottom w:val="nil"/>
              <w:right w:val="nil"/>
            </w:tcBorders>
            <w:shd w:val="clear" w:color="auto" w:fill="auto"/>
            <w:vAlign w:val="center"/>
            <w:hideMark/>
          </w:tcPr>
          <w:p w14:paraId="4AB8BB72"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(0.34)</w:t>
            </w:r>
          </w:p>
        </w:tc>
      </w:tr>
      <w:tr w:rsidR="0088286D" w:rsidRPr="00F65686" w14:paraId="34A83FD7" w14:textId="77777777" w:rsidTr="0088286D">
        <w:trPr>
          <w:trHeight w:val="288"/>
        </w:trPr>
        <w:tc>
          <w:tcPr>
            <w:tcW w:w="3160" w:type="dxa"/>
            <w:tcBorders>
              <w:top w:val="nil"/>
              <w:left w:val="nil"/>
              <w:bottom w:val="nil"/>
              <w:right w:val="nil"/>
            </w:tcBorders>
            <w:shd w:val="clear" w:color="auto" w:fill="auto"/>
            <w:vAlign w:val="center"/>
            <w:hideMark/>
          </w:tcPr>
          <w:p w14:paraId="7A72DF4C"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 cofinancing</w:t>
            </w:r>
          </w:p>
        </w:tc>
        <w:tc>
          <w:tcPr>
            <w:tcW w:w="1340" w:type="dxa"/>
            <w:tcBorders>
              <w:top w:val="nil"/>
              <w:left w:val="nil"/>
              <w:bottom w:val="nil"/>
              <w:right w:val="nil"/>
            </w:tcBorders>
            <w:shd w:val="clear" w:color="auto" w:fill="auto"/>
            <w:vAlign w:val="center"/>
            <w:hideMark/>
          </w:tcPr>
          <w:p w14:paraId="23ED5C53"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0.168</w:t>
            </w:r>
          </w:p>
        </w:tc>
        <w:tc>
          <w:tcPr>
            <w:tcW w:w="1340" w:type="dxa"/>
            <w:tcBorders>
              <w:top w:val="nil"/>
              <w:left w:val="nil"/>
              <w:bottom w:val="nil"/>
              <w:right w:val="nil"/>
            </w:tcBorders>
            <w:shd w:val="clear" w:color="auto" w:fill="auto"/>
            <w:vAlign w:val="center"/>
            <w:hideMark/>
          </w:tcPr>
          <w:p w14:paraId="63FB9D6A"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0.289</w:t>
            </w:r>
          </w:p>
        </w:tc>
        <w:tc>
          <w:tcPr>
            <w:tcW w:w="1340" w:type="dxa"/>
            <w:tcBorders>
              <w:top w:val="nil"/>
              <w:left w:val="nil"/>
              <w:bottom w:val="nil"/>
              <w:right w:val="nil"/>
            </w:tcBorders>
            <w:shd w:val="clear" w:color="auto" w:fill="auto"/>
            <w:vAlign w:val="center"/>
            <w:hideMark/>
          </w:tcPr>
          <w:p w14:paraId="46D2CD5D"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-0.412</w:t>
            </w:r>
          </w:p>
        </w:tc>
        <w:tc>
          <w:tcPr>
            <w:tcW w:w="1340" w:type="dxa"/>
            <w:tcBorders>
              <w:top w:val="nil"/>
              <w:left w:val="nil"/>
              <w:bottom w:val="nil"/>
              <w:right w:val="nil"/>
            </w:tcBorders>
            <w:shd w:val="clear" w:color="auto" w:fill="auto"/>
            <w:vAlign w:val="center"/>
            <w:hideMark/>
          </w:tcPr>
          <w:p w14:paraId="201D4B2B"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-0.452</w:t>
            </w:r>
          </w:p>
        </w:tc>
        <w:tc>
          <w:tcPr>
            <w:tcW w:w="1340" w:type="dxa"/>
            <w:tcBorders>
              <w:top w:val="nil"/>
              <w:left w:val="nil"/>
              <w:bottom w:val="nil"/>
              <w:right w:val="nil"/>
            </w:tcBorders>
            <w:shd w:val="clear" w:color="auto" w:fill="auto"/>
            <w:vAlign w:val="center"/>
            <w:hideMark/>
          </w:tcPr>
          <w:p w14:paraId="1ED9770E"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-0.15</w:t>
            </w:r>
          </w:p>
        </w:tc>
        <w:tc>
          <w:tcPr>
            <w:tcW w:w="2140" w:type="dxa"/>
            <w:tcBorders>
              <w:top w:val="nil"/>
              <w:left w:val="nil"/>
              <w:bottom w:val="nil"/>
              <w:right w:val="nil"/>
            </w:tcBorders>
            <w:shd w:val="clear" w:color="auto" w:fill="auto"/>
            <w:vAlign w:val="center"/>
            <w:hideMark/>
          </w:tcPr>
          <w:p w14:paraId="17B9240A"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-0.0156</w:t>
            </w:r>
          </w:p>
        </w:tc>
      </w:tr>
      <w:tr w:rsidR="0088286D" w:rsidRPr="00F65686" w14:paraId="517D53EA" w14:textId="77777777" w:rsidTr="0088286D">
        <w:trPr>
          <w:trHeight w:val="288"/>
        </w:trPr>
        <w:tc>
          <w:tcPr>
            <w:tcW w:w="3160" w:type="dxa"/>
            <w:tcBorders>
              <w:top w:val="nil"/>
              <w:left w:val="nil"/>
              <w:bottom w:val="nil"/>
              <w:right w:val="nil"/>
            </w:tcBorders>
            <w:shd w:val="clear" w:color="auto" w:fill="auto"/>
            <w:vAlign w:val="center"/>
            <w:hideMark/>
          </w:tcPr>
          <w:p w14:paraId="35A5FB64"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3BA9EE77"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(0.30)</w:t>
            </w:r>
          </w:p>
        </w:tc>
        <w:tc>
          <w:tcPr>
            <w:tcW w:w="1340" w:type="dxa"/>
            <w:tcBorders>
              <w:top w:val="nil"/>
              <w:left w:val="nil"/>
              <w:bottom w:val="nil"/>
              <w:right w:val="nil"/>
            </w:tcBorders>
            <w:shd w:val="clear" w:color="auto" w:fill="auto"/>
            <w:vAlign w:val="center"/>
            <w:hideMark/>
          </w:tcPr>
          <w:p w14:paraId="012E1B7C"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(0.51)</w:t>
            </w:r>
          </w:p>
        </w:tc>
        <w:tc>
          <w:tcPr>
            <w:tcW w:w="1340" w:type="dxa"/>
            <w:tcBorders>
              <w:top w:val="nil"/>
              <w:left w:val="nil"/>
              <w:bottom w:val="nil"/>
              <w:right w:val="nil"/>
            </w:tcBorders>
            <w:shd w:val="clear" w:color="auto" w:fill="auto"/>
            <w:vAlign w:val="center"/>
            <w:hideMark/>
          </w:tcPr>
          <w:p w14:paraId="60E105C3"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(-0.87)</w:t>
            </w:r>
          </w:p>
        </w:tc>
        <w:tc>
          <w:tcPr>
            <w:tcW w:w="1340" w:type="dxa"/>
            <w:tcBorders>
              <w:top w:val="nil"/>
              <w:left w:val="nil"/>
              <w:bottom w:val="nil"/>
              <w:right w:val="nil"/>
            </w:tcBorders>
            <w:shd w:val="clear" w:color="auto" w:fill="auto"/>
            <w:vAlign w:val="center"/>
            <w:hideMark/>
          </w:tcPr>
          <w:p w14:paraId="33A70001"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(-0.92)</w:t>
            </w:r>
          </w:p>
        </w:tc>
        <w:tc>
          <w:tcPr>
            <w:tcW w:w="1340" w:type="dxa"/>
            <w:tcBorders>
              <w:top w:val="nil"/>
              <w:left w:val="nil"/>
              <w:bottom w:val="nil"/>
              <w:right w:val="nil"/>
            </w:tcBorders>
            <w:shd w:val="clear" w:color="auto" w:fill="auto"/>
            <w:vAlign w:val="center"/>
            <w:hideMark/>
          </w:tcPr>
          <w:p w14:paraId="28B7F677"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(-0.22)</w:t>
            </w:r>
          </w:p>
        </w:tc>
        <w:tc>
          <w:tcPr>
            <w:tcW w:w="2140" w:type="dxa"/>
            <w:tcBorders>
              <w:top w:val="nil"/>
              <w:left w:val="nil"/>
              <w:bottom w:val="nil"/>
              <w:right w:val="nil"/>
            </w:tcBorders>
            <w:shd w:val="clear" w:color="auto" w:fill="auto"/>
            <w:vAlign w:val="center"/>
            <w:hideMark/>
          </w:tcPr>
          <w:p w14:paraId="3476ED60"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(-0.02)</w:t>
            </w:r>
          </w:p>
        </w:tc>
      </w:tr>
      <w:tr w:rsidR="0088286D" w:rsidRPr="00F65686" w14:paraId="1B19895E" w14:textId="77777777" w:rsidTr="0088286D">
        <w:trPr>
          <w:trHeight w:val="288"/>
        </w:trPr>
        <w:tc>
          <w:tcPr>
            <w:tcW w:w="3160" w:type="dxa"/>
            <w:tcBorders>
              <w:top w:val="nil"/>
              <w:left w:val="nil"/>
              <w:bottom w:val="nil"/>
              <w:right w:val="nil"/>
            </w:tcBorders>
            <w:shd w:val="clear" w:color="auto" w:fill="auto"/>
            <w:vAlign w:val="center"/>
            <w:hideMark/>
          </w:tcPr>
          <w:p w14:paraId="50092241"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Social proximity</w:t>
            </w:r>
          </w:p>
        </w:tc>
        <w:tc>
          <w:tcPr>
            <w:tcW w:w="1340" w:type="dxa"/>
            <w:tcBorders>
              <w:top w:val="nil"/>
              <w:left w:val="nil"/>
              <w:bottom w:val="nil"/>
              <w:right w:val="nil"/>
            </w:tcBorders>
            <w:shd w:val="clear" w:color="auto" w:fill="auto"/>
            <w:vAlign w:val="center"/>
            <w:hideMark/>
          </w:tcPr>
          <w:p w14:paraId="0974072F"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-0.475</w:t>
            </w:r>
          </w:p>
        </w:tc>
        <w:tc>
          <w:tcPr>
            <w:tcW w:w="1340" w:type="dxa"/>
            <w:tcBorders>
              <w:top w:val="nil"/>
              <w:left w:val="nil"/>
              <w:bottom w:val="nil"/>
              <w:right w:val="nil"/>
            </w:tcBorders>
            <w:shd w:val="clear" w:color="auto" w:fill="auto"/>
            <w:vAlign w:val="center"/>
            <w:hideMark/>
          </w:tcPr>
          <w:p w14:paraId="43445B4F"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-0.117</w:t>
            </w:r>
          </w:p>
        </w:tc>
        <w:tc>
          <w:tcPr>
            <w:tcW w:w="1340" w:type="dxa"/>
            <w:tcBorders>
              <w:top w:val="nil"/>
              <w:left w:val="nil"/>
              <w:bottom w:val="nil"/>
              <w:right w:val="nil"/>
            </w:tcBorders>
            <w:shd w:val="clear" w:color="auto" w:fill="auto"/>
            <w:vAlign w:val="center"/>
            <w:hideMark/>
          </w:tcPr>
          <w:p w14:paraId="306FB93F"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-0.294</w:t>
            </w:r>
          </w:p>
        </w:tc>
        <w:tc>
          <w:tcPr>
            <w:tcW w:w="1340" w:type="dxa"/>
            <w:tcBorders>
              <w:top w:val="nil"/>
              <w:left w:val="nil"/>
              <w:bottom w:val="nil"/>
              <w:right w:val="nil"/>
            </w:tcBorders>
            <w:shd w:val="clear" w:color="auto" w:fill="auto"/>
            <w:vAlign w:val="center"/>
            <w:hideMark/>
          </w:tcPr>
          <w:p w14:paraId="49226DAB"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-0.349</w:t>
            </w:r>
          </w:p>
        </w:tc>
        <w:tc>
          <w:tcPr>
            <w:tcW w:w="1340" w:type="dxa"/>
            <w:tcBorders>
              <w:top w:val="nil"/>
              <w:left w:val="nil"/>
              <w:bottom w:val="nil"/>
              <w:right w:val="nil"/>
            </w:tcBorders>
            <w:shd w:val="clear" w:color="auto" w:fill="auto"/>
            <w:vAlign w:val="center"/>
            <w:hideMark/>
          </w:tcPr>
          <w:p w14:paraId="48D61369"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0.126</w:t>
            </w:r>
          </w:p>
        </w:tc>
        <w:tc>
          <w:tcPr>
            <w:tcW w:w="2140" w:type="dxa"/>
            <w:tcBorders>
              <w:top w:val="nil"/>
              <w:left w:val="nil"/>
              <w:bottom w:val="nil"/>
              <w:right w:val="nil"/>
            </w:tcBorders>
            <w:shd w:val="clear" w:color="auto" w:fill="auto"/>
            <w:vAlign w:val="center"/>
            <w:hideMark/>
          </w:tcPr>
          <w:p w14:paraId="57B37843"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0.454</w:t>
            </w:r>
          </w:p>
        </w:tc>
      </w:tr>
      <w:tr w:rsidR="0088286D" w:rsidRPr="00F65686" w14:paraId="54417D8D" w14:textId="77777777" w:rsidTr="0088286D">
        <w:trPr>
          <w:trHeight w:val="288"/>
        </w:trPr>
        <w:tc>
          <w:tcPr>
            <w:tcW w:w="3160" w:type="dxa"/>
            <w:tcBorders>
              <w:top w:val="nil"/>
              <w:left w:val="nil"/>
              <w:bottom w:val="nil"/>
              <w:right w:val="nil"/>
            </w:tcBorders>
            <w:shd w:val="clear" w:color="auto" w:fill="auto"/>
            <w:vAlign w:val="center"/>
            <w:hideMark/>
          </w:tcPr>
          <w:p w14:paraId="3DB7AB9F"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4A3FCFBF"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(-0.90)</w:t>
            </w:r>
          </w:p>
        </w:tc>
        <w:tc>
          <w:tcPr>
            <w:tcW w:w="1340" w:type="dxa"/>
            <w:tcBorders>
              <w:top w:val="nil"/>
              <w:left w:val="nil"/>
              <w:bottom w:val="nil"/>
              <w:right w:val="nil"/>
            </w:tcBorders>
            <w:shd w:val="clear" w:color="auto" w:fill="auto"/>
            <w:vAlign w:val="center"/>
            <w:hideMark/>
          </w:tcPr>
          <w:p w14:paraId="0D11BC30"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(-0.19)</w:t>
            </w:r>
          </w:p>
        </w:tc>
        <w:tc>
          <w:tcPr>
            <w:tcW w:w="1340" w:type="dxa"/>
            <w:tcBorders>
              <w:top w:val="nil"/>
              <w:left w:val="nil"/>
              <w:bottom w:val="nil"/>
              <w:right w:val="nil"/>
            </w:tcBorders>
            <w:shd w:val="clear" w:color="auto" w:fill="auto"/>
            <w:vAlign w:val="center"/>
            <w:hideMark/>
          </w:tcPr>
          <w:p w14:paraId="7C6D4331"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(-0.69)</w:t>
            </w:r>
          </w:p>
        </w:tc>
        <w:tc>
          <w:tcPr>
            <w:tcW w:w="1340" w:type="dxa"/>
            <w:tcBorders>
              <w:top w:val="nil"/>
              <w:left w:val="nil"/>
              <w:bottom w:val="nil"/>
              <w:right w:val="nil"/>
            </w:tcBorders>
            <w:shd w:val="clear" w:color="auto" w:fill="auto"/>
            <w:vAlign w:val="center"/>
            <w:hideMark/>
          </w:tcPr>
          <w:p w14:paraId="06B7B321"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(-0.68)</w:t>
            </w:r>
          </w:p>
        </w:tc>
        <w:tc>
          <w:tcPr>
            <w:tcW w:w="1340" w:type="dxa"/>
            <w:tcBorders>
              <w:top w:val="nil"/>
              <w:left w:val="nil"/>
              <w:bottom w:val="nil"/>
              <w:right w:val="nil"/>
            </w:tcBorders>
            <w:shd w:val="clear" w:color="auto" w:fill="auto"/>
            <w:vAlign w:val="center"/>
            <w:hideMark/>
          </w:tcPr>
          <w:p w14:paraId="505FA412"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(0.15)</w:t>
            </w:r>
          </w:p>
        </w:tc>
        <w:tc>
          <w:tcPr>
            <w:tcW w:w="2140" w:type="dxa"/>
            <w:tcBorders>
              <w:top w:val="nil"/>
              <w:left w:val="nil"/>
              <w:bottom w:val="nil"/>
              <w:right w:val="nil"/>
            </w:tcBorders>
            <w:shd w:val="clear" w:color="auto" w:fill="auto"/>
            <w:vAlign w:val="center"/>
            <w:hideMark/>
          </w:tcPr>
          <w:p w14:paraId="00263164"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(0.35)</w:t>
            </w:r>
          </w:p>
        </w:tc>
      </w:tr>
      <w:tr w:rsidR="0088286D" w:rsidRPr="00F65686" w14:paraId="0DBD6C86" w14:textId="77777777" w:rsidTr="0088286D">
        <w:trPr>
          <w:trHeight w:val="288"/>
        </w:trPr>
        <w:tc>
          <w:tcPr>
            <w:tcW w:w="3160" w:type="dxa"/>
            <w:tcBorders>
              <w:top w:val="nil"/>
              <w:left w:val="nil"/>
              <w:bottom w:val="nil"/>
              <w:right w:val="nil"/>
            </w:tcBorders>
            <w:shd w:val="clear" w:color="auto" w:fill="auto"/>
            <w:vAlign w:val="center"/>
            <w:hideMark/>
          </w:tcPr>
          <w:p w14:paraId="6F7A7B37"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Technological proximity</w:t>
            </w:r>
          </w:p>
        </w:tc>
        <w:tc>
          <w:tcPr>
            <w:tcW w:w="1340" w:type="dxa"/>
            <w:tcBorders>
              <w:top w:val="nil"/>
              <w:left w:val="nil"/>
              <w:bottom w:val="nil"/>
              <w:right w:val="nil"/>
            </w:tcBorders>
            <w:shd w:val="clear" w:color="auto" w:fill="auto"/>
            <w:vAlign w:val="center"/>
            <w:hideMark/>
          </w:tcPr>
          <w:p w14:paraId="48D5D1E9"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-0.00000019</w:t>
            </w:r>
          </w:p>
        </w:tc>
        <w:tc>
          <w:tcPr>
            <w:tcW w:w="1340" w:type="dxa"/>
            <w:tcBorders>
              <w:top w:val="nil"/>
              <w:left w:val="nil"/>
              <w:bottom w:val="nil"/>
              <w:right w:val="nil"/>
            </w:tcBorders>
            <w:shd w:val="clear" w:color="auto" w:fill="auto"/>
            <w:vAlign w:val="center"/>
            <w:hideMark/>
          </w:tcPr>
          <w:p w14:paraId="4DE2A4E5"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-1.64E-07</w:t>
            </w:r>
          </w:p>
        </w:tc>
        <w:tc>
          <w:tcPr>
            <w:tcW w:w="1340" w:type="dxa"/>
            <w:tcBorders>
              <w:top w:val="nil"/>
              <w:left w:val="nil"/>
              <w:bottom w:val="nil"/>
              <w:right w:val="nil"/>
            </w:tcBorders>
            <w:shd w:val="clear" w:color="auto" w:fill="auto"/>
            <w:vAlign w:val="center"/>
            <w:hideMark/>
          </w:tcPr>
          <w:p w14:paraId="0ADCC973"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2.19E-08</w:t>
            </w:r>
          </w:p>
        </w:tc>
        <w:tc>
          <w:tcPr>
            <w:tcW w:w="1340" w:type="dxa"/>
            <w:tcBorders>
              <w:top w:val="nil"/>
              <w:left w:val="nil"/>
              <w:bottom w:val="nil"/>
              <w:right w:val="nil"/>
            </w:tcBorders>
            <w:shd w:val="clear" w:color="auto" w:fill="auto"/>
            <w:vAlign w:val="center"/>
            <w:hideMark/>
          </w:tcPr>
          <w:p w14:paraId="5328F59A"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3.14E-08</w:t>
            </w:r>
          </w:p>
        </w:tc>
        <w:tc>
          <w:tcPr>
            <w:tcW w:w="1340" w:type="dxa"/>
            <w:tcBorders>
              <w:top w:val="nil"/>
              <w:left w:val="nil"/>
              <w:bottom w:val="nil"/>
              <w:right w:val="nil"/>
            </w:tcBorders>
            <w:shd w:val="clear" w:color="auto" w:fill="auto"/>
            <w:vAlign w:val="center"/>
            <w:hideMark/>
          </w:tcPr>
          <w:p w14:paraId="6562F0F5"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-1.25E-07</w:t>
            </w:r>
          </w:p>
        </w:tc>
        <w:tc>
          <w:tcPr>
            <w:tcW w:w="2140" w:type="dxa"/>
            <w:tcBorders>
              <w:top w:val="nil"/>
              <w:left w:val="nil"/>
              <w:bottom w:val="nil"/>
              <w:right w:val="nil"/>
            </w:tcBorders>
            <w:shd w:val="clear" w:color="auto" w:fill="auto"/>
            <w:vAlign w:val="center"/>
            <w:hideMark/>
          </w:tcPr>
          <w:p w14:paraId="1FC2C2F1"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-0.000000108</w:t>
            </w:r>
          </w:p>
        </w:tc>
      </w:tr>
      <w:tr w:rsidR="0088286D" w:rsidRPr="00F65686" w14:paraId="42091B75" w14:textId="77777777" w:rsidTr="0088286D">
        <w:trPr>
          <w:trHeight w:val="288"/>
        </w:trPr>
        <w:tc>
          <w:tcPr>
            <w:tcW w:w="3160" w:type="dxa"/>
            <w:tcBorders>
              <w:top w:val="nil"/>
              <w:left w:val="nil"/>
              <w:bottom w:val="nil"/>
              <w:right w:val="nil"/>
            </w:tcBorders>
            <w:shd w:val="clear" w:color="auto" w:fill="auto"/>
            <w:vAlign w:val="center"/>
            <w:hideMark/>
          </w:tcPr>
          <w:p w14:paraId="36F90368"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0A048580"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(-1.26)</w:t>
            </w:r>
          </w:p>
        </w:tc>
        <w:tc>
          <w:tcPr>
            <w:tcW w:w="1340" w:type="dxa"/>
            <w:tcBorders>
              <w:top w:val="nil"/>
              <w:left w:val="nil"/>
              <w:bottom w:val="nil"/>
              <w:right w:val="nil"/>
            </w:tcBorders>
            <w:shd w:val="clear" w:color="auto" w:fill="auto"/>
            <w:vAlign w:val="center"/>
            <w:hideMark/>
          </w:tcPr>
          <w:p w14:paraId="6A82355F"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(-1.05)</w:t>
            </w:r>
          </w:p>
        </w:tc>
        <w:tc>
          <w:tcPr>
            <w:tcW w:w="1340" w:type="dxa"/>
            <w:tcBorders>
              <w:top w:val="nil"/>
              <w:left w:val="nil"/>
              <w:bottom w:val="nil"/>
              <w:right w:val="nil"/>
            </w:tcBorders>
            <w:shd w:val="clear" w:color="auto" w:fill="auto"/>
            <w:vAlign w:val="center"/>
            <w:hideMark/>
          </w:tcPr>
          <w:p w14:paraId="20466E5B"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(0.10)</w:t>
            </w:r>
          </w:p>
        </w:tc>
        <w:tc>
          <w:tcPr>
            <w:tcW w:w="1340" w:type="dxa"/>
            <w:tcBorders>
              <w:top w:val="nil"/>
              <w:left w:val="nil"/>
              <w:bottom w:val="nil"/>
              <w:right w:val="nil"/>
            </w:tcBorders>
            <w:shd w:val="clear" w:color="auto" w:fill="auto"/>
            <w:vAlign w:val="center"/>
            <w:hideMark/>
          </w:tcPr>
          <w:p w14:paraId="490461AA"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(0.14)</w:t>
            </w:r>
          </w:p>
        </w:tc>
        <w:tc>
          <w:tcPr>
            <w:tcW w:w="1340" w:type="dxa"/>
            <w:tcBorders>
              <w:top w:val="nil"/>
              <w:left w:val="nil"/>
              <w:bottom w:val="nil"/>
              <w:right w:val="nil"/>
            </w:tcBorders>
            <w:shd w:val="clear" w:color="auto" w:fill="auto"/>
            <w:vAlign w:val="center"/>
            <w:hideMark/>
          </w:tcPr>
          <w:p w14:paraId="482390F9"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(-0.50)</w:t>
            </w:r>
          </w:p>
        </w:tc>
        <w:tc>
          <w:tcPr>
            <w:tcW w:w="2140" w:type="dxa"/>
            <w:tcBorders>
              <w:top w:val="nil"/>
              <w:left w:val="nil"/>
              <w:bottom w:val="nil"/>
              <w:right w:val="nil"/>
            </w:tcBorders>
            <w:shd w:val="clear" w:color="auto" w:fill="auto"/>
            <w:vAlign w:val="center"/>
            <w:hideMark/>
          </w:tcPr>
          <w:p w14:paraId="177D6E9C"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(-0.40)</w:t>
            </w:r>
          </w:p>
        </w:tc>
      </w:tr>
      <w:tr w:rsidR="0088286D" w:rsidRPr="00F65686" w14:paraId="3353A8A0" w14:textId="77777777" w:rsidTr="0088286D">
        <w:trPr>
          <w:trHeight w:val="288"/>
        </w:trPr>
        <w:tc>
          <w:tcPr>
            <w:tcW w:w="3160" w:type="dxa"/>
            <w:tcBorders>
              <w:top w:val="nil"/>
              <w:left w:val="nil"/>
              <w:bottom w:val="nil"/>
              <w:right w:val="nil"/>
            </w:tcBorders>
            <w:shd w:val="clear" w:color="auto" w:fill="auto"/>
            <w:vAlign w:val="center"/>
            <w:hideMark/>
          </w:tcPr>
          <w:p w14:paraId="726F2799"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Geographical proximity</w:t>
            </w:r>
          </w:p>
        </w:tc>
        <w:tc>
          <w:tcPr>
            <w:tcW w:w="1340" w:type="dxa"/>
            <w:tcBorders>
              <w:top w:val="nil"/>
              <w:left w:val="nil"/>
              <w:bottom w:val="nil"/>
              <w:right w:val="nil"/>
            </w:tcBorders>
            <w:shd w:val="clear" w:color="auto" w:fill="auto"/>
            <w:vAlign w:val="center"/>
            <w:hideMark/>
          </w:tcPr>
          <w:p w14:paraId="2D4F1F74"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0.0000821</w:t>
            </w:r>
          </w:p>
        </w:tc>
        <w:tc>
          <w:tcPr>
            <w:tcW w:w="1340" w:type="dxa"/>
            <w:tcBorders>
              <w:top w:val="nil"/>
              <w:left w:val="nil"/>
              <w:bottom w:val="nil"/>
              <w:right w:val="nil"/>
            </w:tcBorders>
            <w:shd w:val="clear" w:color="auto" w:fill="auto"/>
            <w:vAlign w:val="center"/>
            <w:hideMark/>
          </w:tcPr>
          <w:p w14:paraId="4F767D2E"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0.000144</w:t>
            </w:r>
          </w:p>
        </w:tc>
        <w:tc>
          <w:tcPr>
            <w:tcW w:w="1340" w:type="dxa"/>
            <w:tcBorders>
              <w:top w:val="nil"/>
              <w:left w:val="nil"/>
              <w:bottom w:val="nil"/>
              <w:right w:val="nil"/>
            </w:tcBorders>
            <w:shd w:val="clear" w:color="auto" w:fill="auto"/>
            <w:vAlign w:val="center"/>
            <w:hideMark/>
          </w:tcPr>
          <w:p w14:paraId="0FAD37F6"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-0.000141</w:t>
            </w:r>
          </w:p>
        </w:tc>
        <w:tc>
          <w:tcPr>
            <w:tcW w:w="1340" w:type="dxa"/>
            <w:tcBorders>
              <w:top w:val="nil"/>
              <w:left w:val="nil"/>
              <w:bottom w:val="nil"/>
              <w:right w:val="nil"/>
            </w:tcBorders>
            <w:shd w:val="clear" w:color="auto" w:fill="auto"/>
            <w:vAlign w:val="center"/>
            <w:hideMark/>
          </w:tcPr>
          <w:p w14:paraId="0348A193"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-0.00013</w:t>
            </w:r>
          </w:p>
        </w:tc>
        <w:tc>
          <w:tcPr>
            <w:tcW w:w="1340" w:type="dxa"/>
            <w:tcBorders>
              <w:top w:val="nil"/>
              <w:left w:val="nil"/>
              <w:bottom w:val="nil"/>
              <w:right w:val="nil"/>
            </w:tcBorders>
            <w:shd w:val="clear" w:color="auto" w:fill="auto"/>
            <w:vAlign w:val="center"/>
            <w:hideMark/>
          </w:tcPr>
          <w:p w14:paraId="146B49A4"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-0.00000798</w:t>
            </w:r>
          </w:p>
        </w:tc>
        <w:tc>
          <w:tcPr>
            <w:tcW w:w="2140" w:type="dxa"/>
            <w:tcBorders>
              <w:top w:val="nil"/>
              <w:left w:val="nil"/>
              <w:bottom w:val="nil"/>
              <w:right w:val="nil"/>
            </w:tcBorders>
            <w:shd w:val="clear" w:color="auto" w:fill="auto"/>
            <w:vAlign w:val="center"/>
            <w:hideMark/>
          </w:tcPr>
          <w:p w14:paraId="72F4C5C2"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0.0000231</w:t>
            </w:r>
          </w:p>
        </w:tc>
      </w:tr>
      <w:tr w:rsidR="0088286D" w:rsidRPr="00F65686" w14:paraId="5440706F" w14:textId="77777777" w:rsidTr="0088286D">
        <w:trPr>
          <w:trHeight w:val="288"/>
        </w:trPr>
        <w:tc>
          <w:tcPr>
            <w:tcW w:w="3160" w:type="dxa"/>
            <w:tcBorders>
              <w:top w:val="nil"/>
              <w:left w:val="nil"/>
              <w:bottom w:val="nil"/>
              <w:right w:val="nil"/>
            </w:tcBorders>
            <w:shd w:val="clear" w:color="auto" w:fill="auto"/>
            <w:vAlign w:val="center"/>
            <w:hideMark/>
          </w:tcPr>
          <w:p w14:paraId="2B78D36C"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5553B325"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(0.34)</w:t>
            </w:r>
          </w:p>
        </w:tc>
        <w:tc>
          <w:tcPr>
            <w:tcW w:w="1340" w:type="dxa"/>
            <w:tcBorders>
              <w:top w:val="nil"/>
              <w:left w:val="nil"/>
              <w:bottom w:val="nil"/>
              <w:right w:val="nil"/>
            </w:tcBorders>
            <w:shd w:val="clear" w:color="auto" w:fill="auto"/>
            <w:vAlign w:val="center"/>
            <w:hideMark/>
          </w:tcPr>
          <w:p w14:paraId="070C7547"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(0.66)</w:t>
            </w:r>
          </w:p>
        </w:tc>
        <w:tc>
          <w:tcPr>
            <w:tcW w:w="1340" w:type="dxa"/>
            <w:tcBorders>
              <w:top w:val="nil"/>
              <w:left w:val="nil"/>
              <w:bottom w:val="nil"/>
              <w:right w:val="nil"/>
            </w:tcBorders>
            <w:shd w:val="clear" w:color="auto" w:fill="auto"/>
            <w:vAlign w:val="center"/>
            <w:hideMark/>
          </w:tcPr>
          <w:p w14:paraId="03FBC850"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(-0.73)</w:t>
            </w:r>
          </w:p>
        </w:tc>
        <w:tc>
          <w:tcPr>
            <w:tcW w:w="1340" w:type="dxa"/>
            <w:tcBorders>
              <w:top w:val="nil"/>
              <w:left w:val="nil"/>
              <w:bottom w:val="nil"/>
              <w:right w:val="nil"/>
            </w:tcBorders>
            <w:shd w:val="clear" w:color="auto" w:fill="auto"/>
            <w:vAlign w:val="center"/>
            <w:hideMark/>
          </w:tcPr>
          <w:p w14:paraId="6D405C48"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(-0.64)</w:t>
            </w:r>
          </w:p>
        </w:tc>
        <w:tc>
          <w:tcPr>
            <w:tcW w:w="1340" w:type="dxa"/>
            <w:tcBorders>
              <w:top w:val="nil"/>
              <w:left w:val="nil"/>
              <w:bottom w:val="nil"/>
              <w:right w:val="nil"/>
            </w:tcBorders>
            <w:shd w:val="clear" w:color="auto" w:fill="auto"/>
            <w:vAlign w:val="center"/>
            <w:hideMark/>
          </w:tcPr>
          <w:p w14:paraId="59213156"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(-0.02)</w:t>
            </w:r>
          </w:p>
        </w:tc>
        <w:tc>
          <w:tcPr>
            <w:tcW w:w="2140" w:type="dxa"/>
            <w:tcBorders>
              <w:top w:val="nil"/>
              <w:left w:val="nil"/>
              <w:bottom w:val="nil"/>
              <w:right w:val="nil"/>
            </w:tcBorders>
            <w:shd w:val="clear" w:color="auto" w:fill="auto"/>
            <w:vAlign w:val="center"/>
            <w:hideMark/>
          </w:tcPr>
          <w:p w14:paraId="696EA1C2"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(0.05)</w:t>
            </w:r>
          </w:p>
        </w:tc>
      </w:tr>
      <w:tr w:rsidR="0088286D" w:rsidRPr="00F65686" w14:paraId="3A0B9F29" w14:textId="77777777" w:rsidTr="0088286D">
        <w:trPr>
          <w:trHeight w:val="288"/>
        </w:trPr>
        <w:tc>
          <w:tcPr>
            <w:tcW w:w="3160" w:type="dxa"/>
            <w:tcBorders>
              <w:top w:val="nil"/>
              <w:left w:val="nil"/>
              <w:bottom w:val="nil"/>
              <w:right w:val="nil"/>
            </w:tcBorders>
            <w:shd w:val="clear" w:color="auto" w:fill="auto"/>
            <w:vAlign w:val="center"/>
            <w:hideMark/>
          </w:tcPr>
          <w:p w14:paraId="47262DD0"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Constant term</w:t>
            </w:r>
          </w:p>
        </w:tc>
        <w:tc>
          <w:tcPr>
            <w:tcW w:w="1340" w:type="dxa"/>
            <w:tcBorders>
              <w:top w:val="nil"/>
              <w:left w:val="nil"/>
              <w:bottom w:val="nil"/>
              <w:right w:val="nil"/>
            </w:tcBorders>
            <w:shd w:val="clear" w:color="auto" w:fill="auto"/>
            <w:vAlign w:val="center"/>
            <w:hideMark/>
          </w:tcPr>
          <w:p w14:paraId="1EB85616"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0.791</w:t>
            </w:r>
          </w:p>
        </w:tc>
        <w:tc>
          <w:tcPr>
            <w:tcW w:w="1340" w:type="dxa"/>
            <w:tcBorders>
              <w:top w:val="nil"/>
              <w:left w:val="nil"/>
              <w:bottom w:val="nil"/>
              <w:right w:val="nil"/>
            </w:tcBorders>
            <w:shd w:val="clear" w:color="auto" w:fill="auto"/>
            <w:vAlign w:val="center"/>
            <w:hideMark/>
          </w:tcPr>
          <w:p w14:paraId="20CB5572"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0.664</w:t>
            </w:r>
          </w:p>
        </w:tc>
        <w:tc>
          <w:tcPr>
            <w:tcW w:w="1340" w:type="dxa"/>
            <w:tcBorders>
              <w:top w:val="nil"/>
              <w:left w:val="nil"/>
              <w:bottom w:val="nil"/>
              <w:right w:val="nil"/>
            </w:tcBorders>
            <w:shd w:val="clear" w:color="auto" w:fill="auto"/>
            <w:vAlign w:val="center"/>
            <w:hideMark/>
          </w:tcPr>
          <w:p w14:paraId="3399CCE2"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0.104</w:t>
            </w:r>
          </w:p>
        </w:tc>
        <w:tc>
          <w:tcPr>
            <w:tcW w:w="1340" w:type="dxa"/>
            <w:tcBorders>
              <w:top w:val="nil"/>
              <w:left w:val="nil"/>
              <w:bottom w:val="nil"/>
              <w:right w:val="nil"/>
            </w:tcBorders>
            <w:shd w:val="clear" w:color="auto" w:fill="auto"/>
            <w:vAlign w:val="center"/>
            <w:hideMark/>
          </w:tcPr>
          <w:p w14:paraId="2E55C51B"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0.228</w:t>
            </w:r>
          </w:p>
        </w:tc>
        <w:tc>
          <w:tcPr>
            <w:tcW w:w="1340" w:type="dxa"/>
            <w:tcBorders>
              <w:top w:val="nil"/>
              <w:left w:val="nil"/>
              <w:bottom w:val="nil"/>
              <w:right w:val="nil"/>
            </w:tcBorders>
            <w:shd w:val="clear" w:color="auto" w:fill="auto"/>
            <w:vAlign w:val="center"/>
            <w:hideMark/>
          </w:tcPr>
          <w:p w14:paraId="2B776FD5"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0.322</w:t>
            </w:r>
          </w:p>
        </w:tc>
        <w:tc>
          <w:tcPr>
            <w:tcW w:w="2140" w:type="dxa"/>
            <w:tcBorders>
              <w:top w:val="nil"/>
              <w:left w:val="nil"/>
              <w:bottom w:val="nil"/>
              <w:right w:val="nil"/>
            </w:tcBorders>
            <w:shd w:val="clear" w:color="auto" w:fill="auto"/>
            <w:vAlign w:val="center"/>
            <w:hideMark/>
          </w:tcPr>
          <w:p w14:paraId="2009FBBF"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0.0446</w:t>
            </w:r>
          </w:p>
        </w:tc>
      </w:tr>
      <w:tr w:rsidR="0088286D" w:rsidRPr="00F65686" w14:paraId="4391FA5E" w14:textId="77777777" w:rsidTr="0088286D">
        <w:trPr>
          <w:trHeight w:val="288"/>
        </w:trPr>
        <w:tc>
          <w:tcPr>
            <w:tcW w:w="3160" w:type="dxa"/>
            <w:tcBorders>
              <w:top w:val="nil"/>
              <w:left w:val="nil"/>
              <w:bottom w:val="single" w:sz="4" w:space="0" w:color="auto"/>
              <w:right w:val="nil"/>
            </w:tcBorders>
            <w:shd w:val="clear" w:color="auto" w:fill="auto"/>
            <w:vAlign w:val="center"/>
            <w:hideMark/>
          </w:tcPr>
          <w:p w14:paraId="6AE5BA63"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eastAsia="it-IT"/>
              </w:rPr>
              <w:t> </w:t>
            </w:r>
          </w:p>
        </w:tc>
        <w:tc>
          <w:tcPr>
            <w:tcW w:w="1340" w:type="dxa"/>
            <w:tcBorders>
              <w:top w:val="nil"/>
              <w:left w:val="nil"/>
              <w:bottom w:val="single" w:sz="4" w:space="0" w:color="auto"/>
              <w:right w:val="nil"/>
            </w:tcBorders>
            <w:shd w:val="clear" w:color="auto" w:fill="auto"/>
            <w:vAlign w:val="center"/>
            <w:hideMark/>
          </w:tcPr>
          <w:p w14:paraId="0A2C67A5"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(1.00)</w:t>
            </w:r>
          </w:p>
        </w:tc>
        <w:tc>
          <w:tcPr>
            <w:tcW w:w="1340" w:type="dxa"/>
            <w:tcBorders>
              <w:top w:val="nil"/>
              <w:left w:val="nil"/>
              <w:bottom w:val="single" w:sz="4" w:space="0" w:color="auto"/>
              <w:right w:val="nil"/>
            </w:tcBorders>
            <w:shd w:val="clear" w:color="auto" w:fill="auto"/>
            <w:vAlign w:val="center"/>
            <w:hideMark/>
          </w:tcPr>
          <w:p w14:paraId="6490EC32"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(1.08)</w:t>
            </w:r>
          </w:p>
        </w:tc>
        <w:tc>
          <w:tcPr>
            <w:tcW w:w="1340" w:type="dxa"/>
            <w:tcBorders>
              <w:top w:val="nil"/>
              <w:left w:val="nil"/>
              <w:bottom w:val="single" w:sz="4" w:space="0" w:color="auto"/>
              <w:right w:val="nil"/>
            </w:tcBorders>
            <w:shd w:val="clear" w:color="auto" w:fill="auto"/>
            <w:vAlign w:val="center"/>
            <w:hideMark/>
          </w:tcPr>
          <w:p w14:paraId="26C23067"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(0.22)</w:t>
            </w:r>
          </w:p>
        </w:tc>
        <w:tc>
          <w:tcPr>
            <w:tcW w:w="1340" w:type="dxa"/>
            <w:tcBorders>
              <w:top w:val="nil"/>
              <w:left w:val="nil"/>
              <w:bottom w:val="single" w:sz="4" w:space="0" w:color="auto"/>
              <w:right w:val="nil"/>
            </w:tcBorders>
            <w:shd w:val="clear" w:color="auto" w:fill="auto"/>
            <w:vAlign w:val="center"/>
            <w:hideMark/>
          </w:tcPr>
          <w:p w14:paraId="02C7AB06"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(0.52)</w:t>
            </w:r>
          </w:p>
        </w:tc>
        <w:tc>
          <w:tcPr>
            <w:tcW w:w="1340" w:type="dxa"/>
            <w:tcBorders>
              <w:top w:val="nil"/>
              <w:left w:val="nil"/>
              <w:bottom w:val="single" w:sz="4" w:space="0" w:color="auto"/>
              <w:right w:val="nil"/>
            </w:tcBorders>
            <w:shd w:val="clear" w:color="auto" w:fill="auto"/>
            <w:vAlign w:val="center"/>
            <w:hideMark/>
          </w:tcPr>
          <w:p w14:paraId="40F8C338"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(0.35)</w:t>
            </w:r>
          </w:p>
        </w:tc>
        <w:tc>
          <w:tcPr>
            <w:tcW w:w="2140" w:type="dxa"/>
            <w:tcBorders>
              <w:top w:val="nil"/>
              <w:left w:val="nil"/>
              <w:bottom w:val="single" w:sz="4" w:space="0" w:color="auto"/>
              <w:right w:val="nil"/>
            </w:tcBorders>
            <w:shd w:val="clear" w:color="auto" w:fill="auto"/>
            <w:vAlign w:val="center"/>
            <w:hideMark/>
          </w:tcPr>
          <w:p w14:paraId="22662479"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(0.05)</w:t>
            </w:r>
          </w:p>
        </w:tc>
      </w:tr>
      <w:tr w:rsidR="0088286D" w:rsidRPr="00F65686" w14:paraId="245E198B" w14:textId="77777777" w:rsidTr="0088286D">
        <w:trPr>
          <w:trHeight w:val="288"/>
        </w:trPr>
        <w:tc>
          <w:tcPr>
            <w:tcW w:w="3160" w:type="dxa"/>
            <w:tcBorders>
              <w:top w:val="nil"/>
              <w:left w:val="nil"/>
              <w:bottom w:val="nil"/>
              <w:right w:val="nil"/>
            </w:tcBorders>
            <w:shd w:val="clear" w:color="auto" w:fill="auto"/>
            <w:vAlign w:val="center"/>
            <w:hideMark/>
          </w:tcPr>
          <w:p w14:paraId="523EBBC5"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OME1</w:t>
            </w:r>
          </w:p>
        </w:tc>
        <w:tc>
          <w:tcPr>
            <w:tcW w:w="1340" w:type="dxa"/>
            <w:tcBorders>
              <w:top w:val="nil"/>
              <w:left w:val="nil"/>
              <w:bottom w:val="nil"/>
              <w:right w:val="nil"/>
            </w:tcBorders>
            <w:shd w:val="clear" w:color="auto" w:fill="auto"/>
            <w:vAlign w:val="center"/>
            <w:hideMark/>
          </w:tcPr>
          <w:p w14:paraId="4BB64351"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2A415098" w14:textId="77777777" w:rsidR="0088286D" w:rsidRPr="00F65686" w:rsidRDefault="0088286D" w:rsidP="00F65686">
            <w:pPr>
              <w:spacing w:after="0" w:line="240" w:lineRule="auto"/>
              <w:jc w:val="center"/>
              <w:rPr>
                <w:rFonts w:ascii="Times New Roman" w:hAnsi="Times New Roman"/>
                <w:sz w:val="20"/>
                <w:szCs w:val="20"/>
                <w:lang w:eastAsia="it-IT"/>
              </w:rPr>
            </w:pPr>
          </w:p>
        </w:tc>
        <w:tc>
          <w:tcPr>
            <w:tcW w:w="1340" w:type="dxa"/>
            <w:tcBorders>
              <w:top w:val="nil"/>
              <w:left w:val="nil"/>
              <w:bottom w:val="nil"/>
              <w:right w:val="nil"/>
            </w:tcBorders>
            <w:shd w:val="clear" w:color="auto" w:fill="auto"/>
            <w:vAlign w:val="center"/>
            <w:hideMark/>
          </w:tcPr>
          <w:p w14:paraId="26BDACB7" w14:textId="77777777" w:rsidR="0088286D" w:rsidRPr="00F65686" w:rsidRDefault="0088286D" w:rsidP="00F65686">
            <w:pPr>
              <w:spacing w:after="0" w:line="240" w:lineRule="auto"/>
              <w:jc w:val="center"/>
              <w:rPr>
                <w:rFonts w:ascii="Times New Roman" w:hAnsi="Times New Roman"/>
                <w:sz w:val="20"/>
                <w:szCs w:val="20"/>
                <w:lang w:eastAsia="it-IT"/>
              </w:rPr>
            </w:pPr>
          </w:p>
        </w:tc>
        <w:tc>
          <w:tcPr>
            <w:tcW w:w="1340" w:type="dxa"/>
            <w:tcBorders>
              <w:top w:val="nil"/>
              <w:left w:val="nil"/>
              <w:bottom w:val="nil"/>
              <w:right w:val="nil"/>
            </w:tcBorders>
            <w:shd w:val="clear" w:color="auto" w:fill="auto"/>
            <w:vAlign w:val="center"/>
            <w:hideMark/>
          </w:tcPr>
          <w:p w14:paraId="5597A59F" w14:textId="77777777" w:rsidR="0088286D" w:rsidRPr="00F65686" w:rsidRDefault="0088286D" w:rsidP="00F65686">
            <w:pPr>
              <w:spacing w:after="0" w:line="240" w:lineRule="auto"/>
              <w:jc w:val="center"/>
              <w:rPr>
                <w:rFonts w:ascii="Times New Roman" w:hAnsi="Times New Roman"/>
                <w:sz w:val="20"/>
                <w:szCs w:val="20"/>
                <w:lang w:eastAsia="it-IT"/>
              </w:rPr>
            </w:pPr>
          </w:p>
        </w:tc>
        <w:tc>
          <w:tcPr>
            <w:tcW w:w="1340" w:type="dxa"/>
            <w:tcBorders>
              <w:top w:val="nil"/>
              <w:left w:val="nil"/>
              <w:bottom w:val="nil"/>
              <w:right w:val="nil"/>
            </w:tcBorders>
            <w:shd w:val="clear" w:color="auto" w:fill="auto"/>
            <w:vAlign w:val="center"/>
            <w:hideMark/>
          </w:tcPr>
          <w:p w14:paraId="35B9A6FE" w14:textId="77777777" w:rsidR="0088286D" w:rsidRPr="00F65686" w:rsidRDefault="0088286D" w:rsidP="00F65686">
            <w:pPr>
              <w:spacing w:after="0" w:line="240" w:lineRule="auto"/>
              <w:jc w:val="center"/>
              <w:rPr>
                <w:rFonts w:ascii="Times New Roman" w:hAnsi="Times New Roman"/>
                <w:sz w:val="20"/>
                <w:szCs w:val="20"/>
                <w:lang w:eastAsia="it-IT"/>
              </w:rPr>
            </w:pPr>
          </w:p>
        </w:tc>
        <w:tc>
          <w:tcPr>
            <w:tcW w:w="2140" w:type="dxa"/>
            <w:tcBorders>
              <w:top w:val="nil"/>
              <w:left w:val="nil"/>
              <w:bottom w:val="nil"/>
              <w:right w:val="nil"/>
            </w:tcBorders>
            <w:shd w:val="clear" w:color="auto" w:fill="auto"/>
            <w:vAlign w:val="center"/>
            <w:hideMark/>
          </w:tcPr>
          <w:p w14:paraId="2E483D22" w14:textId="77777777" w:rsidR="0088286D" w:rsidRPr="00F65686" w:rsidRDefault="0088286D" w:rsidP="00F65686">
            <w:pPr>
              <w:spacing w:after="0" w:line="240" w:lineRule="auto"/>
              <w:jc w:val="center"/>
              <w:rPr>
                <w:rFonts w:ascii="Times New Roman" w:hAnsi="Times New Roman"/>
                <w:sz w:val="20"/>
                <w:szCs w:val="20"/>
                <w:lang w:eastAsia="it-IT"/>
              </w:rPr>
            </w:pPr>
          </w:p>
        </w:tc>
      </w:tr>
      <w:tr w:rsidR="0088286D" w:rsidRPr="00F65686" w14:paraId="0284C6E5" w14:textId="77777777" w:rsidTr="0088286D">
        <w:trPr>
          <w:trHeight w:val="528"/>
        </w:trPr>
        <w:tc>
          <w:tcPr>
            <w:tcW w:w="3160" w:type="dxa"/>
            <w:tcBorders>
              <w:top w:val="nil"/>
              <w:left w:val="nil"/>
              <w:bottom w:val="nil"/>
              <w:right w:val="nil"/>
            </w:tcBorders>
            <w:shd w:val="clear" w:color="auto" w:fill="auto"/>
            <w:vAlign w:val="center"/>
            <w:hideMark/>
          </w:tcPr>
          <w:p w14:paraId="4906BB51" w14:textId="77777777" w:rsidR="0088286D" w:rsidRPr="00F65686" w:rsidRDefault="0088286D" w:rsidP="00F65686">
            <w:pPr>
              <w:spacing w:after="0" w:line="240" w:lineRule="auto"/>
              <w:jc w:val="center"/>
              <w:rPr>
                <w:rFonts w:ascii="Times New Roman" w:hAnsi="Times New Roman"/>
                <w:color w:val="000000"/>
                <w:sz w:val="20"/>
                <w:szCs w:val="20"/>
                <w:lang w:val="en-GB" w:eastAsia="it-IT"/>
              </w:rPr>
            </w:pPr>
            <w:r w:rsidRPr="00F65686">
              <w:rPr>
                <w:rFonts w:ascii="Times New Roman" w:hAnsi="Times New Roman"/>
                <w:color w:val="000000"/>
                <w:sz w:val="20"/>
                <w:szCs w:val="20"/>
                <w:lang w:val="en-US" w:eastAsia="it-IT"/>
              </w:rPr>
              <w:t>The beneficiary had a clearly defined innovative idea before the project</w:t>
            </w:r>
          </w:p>
        </w:tc>
        <w:tc>
          <w:tcPr>
            <w:tcW w:w="1340" w:type="dxa"/>
            <w:tcBorders>
              <w:top w:val="nil"/>
              <w:left w:val="nil"/>
              <w:bottom w:val="nil"/>
              <w:right w:val="nil"/>
            </w:tcBorders>
            <w:shd w:val="clear" w:color="auto" w:fill="auto"/>
            <w:vAlign w:val="center"/>
            <w:hideMark/>
          </w:tcPr>
          <w:p w14:paraId="224CF9C1"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0.783</w:t>
            </w:r>
            <w:r w:rsidRPr="00F65686">
              <w:rPr>
                <w:rFonts w:ascii="Times New Roman" w:hAnsi="Times New Roman"/>
                <w:color w:val="000000"/>
                <w:sz w:val="20"/>
                <w:szCs w:val="20"/>
                <w:vertAlign w:val="superscript"/>
                <w:lang w:val="en-US" w:eastAsia="it-IT"/>
              </w:rPr>
              <w:t>**</w:t>
            </w:r>
          </w:p>
        </w:tc>
        <w:tc>
          <w:tcPr>
            <w:tcW w:w="1340" w:type="dxa"/>
            <w:tcBorders>
              <w:top w:val="nil"/>
              <w:left w:val="nil"/>
              <w:bottom w:val="nil"/>
              <w:right w:val="nil"/>
            </w:tcBorders>
            <w:shd w:val="clear" w:color="auto" w:fill="auto"/>
            <w:vAlign w:val="center"/>
            <w:hideMark/>
          </w:tcPr>
          <w:p w14:paraId="7E162718"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32E6B696"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15.69</w:t>
            </w:r>
          </w:p>
        </w:tc>
        <w:tc>
          <w:tcPr>
            <w:tcW w:w="1340" w:type="dxa"/>
            <w:tcBorders>
              <w:top w:val="nil"/>
              <w:left w:val="nil"/>
              <w:bottom w:val="nil"/>
              <w:right w:val="nil"/>
            </w:tcBorders>
            <w:shd w:val="clear" w:color="auto" w:fill="auto"/>
            <w:vAlign w:val="center"/>
            <w:hideMark/>
          </w:tcPr>
          <w:p w14:paraId="57F75D80"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47CADC81"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0.0863</w:t>
            </w:r>
          </w:p>
        </w:tc>
        <w:tc>
          <w:tcPr>
            <w:tcW w:w="2140" w:type="dxa"/>
            <w:tcBorders>
              <w:top w:val="nil"/>
              <w:left w:val="nil"/>
              <w:bottom w:val="nil"/>
              <w:right w:val="nil"/>
            </w:tcBorders>
            <w:shd w:val="clear" w:color="auto" w:fill="auto"/>
            <w:vAlign w:val="center"/>
            <w:hideMark/>
          </w:tcPr>
          <w:p w14:paraId="4C7A1502"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r>
      <w:tr w:rsidR="0088286D" w:rsidRPr="00F65686" w14:paraId="73B5C6B6" w14:textId="77777777" w:rsidTr="0088286D">
        <w:trPr>
          <w:trHeight w:val="288"/>
        </w:trPr>
        <w:tc>
          <w:tcPr>
            <w:tcW w:w="3160" w:type="dxa"/>
            <w:tcBorders>
              <w:top w:val="nil"/>
              <w:left w:val="nil"/>
              <w:bottom w:val="nil"/>
              <w:right w:val="nil"/>
            </w:tcBorders>
            <w:shd w:val="clear" w:color="auto" w:fill="auto"/>
            <w:vAlign w:val="center"/>
            <w:hideMark/>
          </w:tcPr>
          <w:p w14:paraId="3ACEF883" w14:textId="77777777" w:rsidR="0088286D" w:rsidRPr="00F65686" w:rsidRDefault="0088286D" w:rsidP="00F65686">
            <w:pPr>
              <w:spacing w:after="0" w:line="240" w:lineRule="auto"/>
              <w:jc w:val="center"/>
              <w:rPr>
                <w:rFonts w:ascii="Times New Roman" w:hAnsi="Times New Roman"/>
                <w:sz w:val="20"/>
                <w:szCs w:val="20"/>
                <w:lang w:eastAsia="it-IT"/>
              </w:rPr>
            </w:pPr>
          </w:p>
        </w:tc>
        <w:tc>
          <w:tcPr>
            <w:tcW w:w="1340" w:type="dxa"/>
            <w:tcBorders>
              <w:top w:val="nil"/>
              <w:left w:val="nil"/>
              <w:bottom w:val="nil"/>
              <w:right w:val="nil"/>
            </w:tcBorders>
            <w:shd w:val="clear" w:color="auto" w:fill="auto"/>
            <w:vAlign w:val="center"/>
            <w:hideMark/>
          </w:tcPr>
          <w:p w14:paraId="312091B6"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(1.81)</w:t>
            </w:r>
          </w:p>
        </w:tc>
        <w:tc>
          <w:tcPr>
            <w:tcW w:w="1340" w:type="dxa"/>
            <w:tcBorders>
              <w:top w:val="nil"/>
              <w:left w:val="nil"/>
              <w:bottom w:val="nil"/>
              <w:right w:val="nil"/>
            </w:tcBorders>
            <w:shd w:val="clear" w:color="auto" w:fill="auto"/>
            <w:vAlign w:val="center"/>
            <w:hideMark/>
          </w:tcPr>
          <w:p w14:paraId="4982AE9C"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3571790E"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(0.72)</w:t>
            </w:r>
          </w:p>
        </w:tc>
        <w:tc>
          <w:tcPr>
            <w:tcW w:w="1340" w:type="dxa"/>
            <w:tcBorders>
              <w:top w:val="nil"/>
              <w:left w:val="nil"/>
              <w:bottom w:val="nil"/>
              <w:right w:val="nil"/>
            </w:tcBorders>
            <w:shd w:val="clear" w:color="auto" w:fill="auto"/>
            <w:vAlign w:val="center"/>
            <w:hideMark/>
          </w:tcPr>
          <w:p w14:paraId="5D3DD484"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280EC244"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(0.09)</w:t>
            </w:r>
          </w:p>
        </w:tc>
        <w:tc>
          <w:tcPr>
            <w:tcW w:w="2140" w:type="dxa"/>
            <w:tcBorders>
              <w:top w:val="nil"/>
              <w:left w:val="nil"/>
              <w:bottom w:val="nil"/>
              <w:right w:val="nil"/>
            </w:tcBorders>
            <w:shd w:val="clear" w:color="auto" w:fill="auto"/>
            <w:vAlign w:val="center"/>
            <w:hideMark/>
          </w:tcPr>
          <w:p w14:paraId="593F7D46"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r>
      <w:tr w:rsidR="0088286D" w:rsidRPr="00F65686" w14:paraId="6FC7FA4D" w14:textId="77777777" w:rsidTr="0088286D">
        <w:trPr>
          <w:trHeight w:val="312"/>
        </w:trPr>
        <w:tc>
          <w:tcPr>
            <w:tcW w:w="3160" w:type="dxa"/>
            <w:tcBorders>
              <w:top w:val="nil"/>
              <w:left w:val="nil"/>
              <w:bottom w:val="nil"/>
              <w:right w:val="nil"/>
            </w:tcBorders>
            <w:shd w:val="clear" w:color="auto" w:fill="auto"/>
            <w:vAlign w:val="center"/>
            <w:hideMark/>
          </w:tcPr>
          <w:p w14:paraId="1F951D9E"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Log firm turnover</w:t>
            </w:r>
          </w:p>
        </w:tc>
        <w:tc>
          <w:tcPr>
            <w:tcW w:w="1340" w:type="dxa"/>
            <w:tcBorders>
              <w:top w:val="nil"/>
              <w:left w:val="nil"/>
              <w:bottom w:val="nil"/>
              <w:right w:val="nil"/>
            </w:tcBorders>
            <w:shd w:val="clear" w:color="auto" w:fill="auto"/>
            <w:vAlign w:val="center"/>
            <w:hideMark/>
          </w:tcPr>
          <w:p w14:paraId="369E06A6"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0.108</w:t>
            </w:r>
          </w:p>
        </w:tc>
        <w:tc>
          <w:tcPr>
            <w:tcW w:w="1340" w:type="dxa"/>
            <w:tcBorders>
              <w:top w:val="nil"/>
              <w:left w:val="nil"/>
              <w:bottom w:val="nil"/>
              <w:right w:val="nil"/>
            </w:tcBorders>
            <w:shd w:val="clear" w:color="auto" w:fill="auto"/>
            <w:vAlign w:val="center"/>
            <w:hideMark/>
          </w:tcPr>
          <w:p w14:paraId="6771D662"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-0.237</w:t>
            </w:r>
            <w:r w:rsidRPr="00F65686">
              <w:rPr>
                <w:rFonts w:ascii="Times New Roman" w:hAnsi="Times New Roman"/>
                <w:color w:val="000000"/>
                <w:sz w:val="20"/>
                <w:szCs w:val="20"/>
                <w:vertAlign w:val="superscript"/>
                <w:lang w:val="en-US" w:eastAsia="it-IT"/>
              </w:rPr>
              <w:t>***</w:t>
            </w:r>
          </w:p>
        </w:tc>
        <w:tc>
          <w:tcPr>
            <w:tcW w:w="1340" w:type="dxa"/>
            <w:tcBorders>
              <w:top w:val="nil"/>
              <w:left w:val="nil"/>
              <w:bottom w:val="nil"/>
              <w:right w:val="nil"/>
            </w:tcBorders>
            <w:shd w:val="clear" w:color="auto" w:fill="auto"/>
            <w:vAlign w:val="center"/>
            <w:hideMark/>
          </w:tcPr>
          <w:p w14:paraId="153A63C4"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9.383</w:t>
            </w:r>
            <w:r w:rsidRPr="00F65686">
              <w:rPr>
                <w:rFonts w:ascii="Times New Roman" w:hAnsi="Times New Roman"/>
                <w:color w:val="000000"/>
                <w:sz w:val="20"/>
                <w:szCs w:val="20"/>
                <w:vertAlign w:val="superscript"/>
                <w:lang w:val="en-US" w:eastAsia="it-IT"/>
              </w:rPr>
              <w:t>**</w:t>
            </w:r>
          </w:p>
        </w:tc>
        <w:tc>
          <w:tcPr>
            <w:tcW w:w="1340" w:type="dxa"/>
            <w:tcBorders>
              <w:top w:val="nil"/>
              <w:left w:val="nil"/>
              <w:bottom w:val="nil"/>
              <w:right w:val="nil"/>
            </w:tcBorders>
            <w:shd w:val="clear" w:color="auto" w:fill="auto"/>
            <w:vAlign w:val="center"/>
            <w:hideMark/>
          </w:tcPr>
          <w:p w14:paraId="7C121AD6"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-4.328</w:t>
            </w:r>
            <w:r w:rsidRPr="00F65686">
              <w:rPr>
                <w:rFonts w:ascii="Times New Roman" w:hAnsi="Times New Roman"/>
                <w:color w:val="000000"/>
                <w:sz w:val="20"/>
                <w:szCs w:val="20"/>
                <w:vertAlign w:val="superscript"/>
                <w:lang w:val="en-US" w:eastAsia="it-IT"/>
              </w:rPr>
              <w:t>***</w:t>
            </w:r>
          </w:p>
        </w:tc>
        <w:tc>
          <w:tcPr>
            <w:tcW w:w="1340" w:type="dxa"/>
            <w:tcBorders>
              <w:top w:val="nil"/>
              <w:left w:val="nil"/>
              <w:bottom w:val="nil"/>
              <w:right w:val="nil"/>
            </w:tcBorders>
            <w:shd w:val="clear" w:color="auto" w:fill="auto"/>
            <w:vAlign w:val="center"/>
            <w:hideMark/>
          </w:tcPr>
          <w:p w14:paraId="5D9C6C44"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-0.0793</w:t>
            </w:r>
          </w:p>
        </w:tc>
        <w:tc>
          <w:tcPr>
            <w:tcW w:w="2140" w:type="dxa"/>
            <w:tcBorders>
              <w:top w:val="nil"/>
              <w:left w:val="nil"/>
              <w:bottom w:val="nil"/>
              <w:right w:val="nil"/>
            </w:tcBorders>
            <w:shd w:val="clear" w:color="auto" w:fill="auto"/>
            <w:vAlign w:val="center"/>
            <w:hideMark/>
          </w:tcPr>
          <w:p w14:paraId="54F25587"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-5.657</w:t>
            </w:r>
            <w:r w:rsidRPr="00F65686">
              <w:rPr>
                <w:rFonts w:ascii="Times New Roman" w:hAnsi="Times New Roman"/>
                <w:color w:val="000000"/>
                <w:sz w:val="20"/>
                <w:szCs w:val="20"/>
                <w:vertAlign w:val="superscript"/>
                <w:lang w:val="en-US" w:eastAsia="it-IT"/>
              </w:rPr>
              <w:t>***</w:t>
            </w:r>
          </w:p>
        </w:tc>
      </w:tr>
      <w:tr w:rsidR="0088286D" w:rsidRPr="00F65686" w14:paraId="58D6FC08" w14:textId="77777777" w:rsidTr="0088286D">
        <w:trPr>
          <w:trHeight w:val="288"/>
        </w:trPr>
        <w:tc>
          <w:tcPr>
            <w:tcW w:w="3160" w:type="dxa"/>
            <w:tcBorders>
              <w:top w:val="nil"/>
              <w:left w:val="nil"/>
              <w:bottom w:val="nil"/>
              <w:right w:val="nil"/>
            </w:tcBorders>
            <w:shd w:val="clear" w:color="auto" w:fill="auto"/>
            <w:vAlign w:val="center"/>
            <w:hideMark/>
          </w:tcPr>
          <w:p w14:paraId="65DA4924"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0234DCF3"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(1.21)</w:t>
            </w:r>
          </w:p>
        </w:tc>
        <w:tc>
          <w:tcPr>
            <w:tcW w:w="1340" w:type="dxa"/>
            <w:tcBorders>
              <w:top w:val="nil"/>
              <w:left w:val="nil"/>
              <w:bottom w:val="nil"/>
              <w:right w:val="nil"/>
            </w:tcBorders>
            <w:shd w:val="clear" w:color="auto" w:fill="auto"/>
            <w:vAlign w:val="center"/>
            <w:hideMark/>
          </w:tcPr>
          <w:p w14:paraId="410CF4D9"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(-3.64)</w:t>
            </w:r>
          </w:p>
        </w:tc>
        <w:tc>
          <w:tcPr>
            <w:tcW w:w="1340" w:type="dxa"/>
            <w:tcBorders>
              <w:top w:val="nil"/>
              <w:left w:val="nil"/>
              <w:bottom w:val="nil"/>
              <w:right w:val="nil"/>
            </w:tcBorders>
            <w:shd w:val="clear" w:color="auto" w:fill="auto"/>
            <w:vAlign w:val="center"/>
            <w:hideMark/>
          </w:tcPr>
          <w:p w14:paraId="291A06DF"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(1.90)</w:t>
            </w:r>
          </w:p>
        </w:tc>
        <w:tc>
          <w:tcPr>
            <w:tcW w:w="1340" w:type="dxa"/>
            <w:tcBorders>
              <w:top w:val="nil"/>
              <w:left w:val="nil"/>
              <w:bottom w:val="nil"/>
              <w:right w:val="nil"/>
            </w:tcBorders>
            <w:shd w:val="clear" w:color="auto" w:fill="auto"/>
            <w:vAlign w:val="center"/>
            <w:hideMark/>
          </w:tcPr>
          <w:p w14:paraId="668661EA"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(-2.60)</w:t>
            </w:r>
          </w:p>
        </w:tc>
        <w:tc>
          <w:tcPr>
            <w:tcW w:w="1340" w:type="dxa"/>
            <w:tcBorders>
              <w:top w:val="nil"/>
              <w:left w:val="nil"/>
              <w:bottom w:val="nil"/>
              <w:right w:val="nil"/>
            </w:tcBorders>
            <w:shd w:val="clear" w:color="auto" w:fill="auto"/>
            <w:vAlign w:val="center"/>
            <w:hideMark/>
          </w:tcPr>
          <w:p w14:paraId="4C674418"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(-0.20)</w:t>
            </w:r>
          </w:p>
        </w:tc>
        <w:tc>
          <w:tcPr>
            <w:tcW w:w="2140" w:type="dxa"/>
            <w:tcBorders>
              <w:top w:val="nil"/>
              <w:left w:val="nil"/>
              <w:bottom w:val="nil"/>
              <w:right w:val="nil"/>
            </w:tcBorders>
            <w:shd w:val="clear" w:color="auto" w:fill="auto"/>
            <w:vAlign w:val="center"/>
            <w:hideMark/>
          </w:tcPr>
          <w:p w14:paraId="30AC30C0"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(-2.37)</w:t>
            </w:r>
          </w:p>
        </w:tc>
      </w:tr>
      <w:tr w:rsidR="0088286D" w:rsidRPr="00F65686" w14:paraId="203BB128" w14:textId="77777777" w:rsidTr="0088286D">
        <w:trPr>
          <w:trHeight w:val="288"/>
        </w:trPr>
        <w:tc>
          <w:tcPr>
            <w:tcW w:w="3160" w:type="dxa"/>
            <w:tcBorders>
              <w:top w:val="nil"/>
              <w:left w:val="nil"/>
              <w:bottom w:val="nil"/>
              <w:right w:val="nil"/>
            </w:tcBorders>
            <w:shd w:val="clear" w:color="auto" w:fill="auto"/>
            <w:vAlign w:val="center"/>
            <w:hideMark/>
          </w:tcPr>
          <w:p w14:paraId="4A8FA748"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 cofinancing</w:t>
            </w:r>
          </w:p>
        </w:tc>
        <w:tc>
          <w:tcPr>
            <w:tcW w:w="1340" w:type="dxa"/>
            <w:tcBorders>
              <w:top w:val="nil"/>
              <w:left w:val="nil"/>
              <w:bottom w:val="nil"/>
              <w:right w:val="nil"/>
            </w:tcBorders>
            <w:shd w:val="clear" w:color="auto" w:fill="auto"/>
            <w:vAlign w:val="center"/>
            <w:hideMark/>
          </w:tcPr>
          <w:p w14:paraId="04114FF9"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0.473</w:t>
            </w:r>
          </w:p>
        </w:tc>
        <w:tc>
          <w:tcPr>
            <w:tcW w:w="1340" w:type="dxa"/>
            <w:tcBorders>
              <w:top w:val="nil"/>
              <w:left w:val="nil"/>
              <w:bottom w:val="nil"/>
              <w:right w:val="nil"/>
            </w:tcBorders>
            <w:shd w:val="clear" w:color="auto" w:fill="auto"/>
            <w:vAlign w:val="center"/>
            <w:hideMark/>
          </w:tcPr>
          <w:p w14:paraId="2735BCA1"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0.0396</w:t>
            </w:r>
          </w:p>
        </w:tc>
        <w:tc>
          <w:tcPr>
            <w:tcW w:w="1340" w:type="dxa"/>
            <w:tcBorders>
              <w:top w:val="nil"/>
              <w:left w:val="nil"/>
              <w:bottom w:val="nil"/>
              <w:right w:val="nil"/>
            </w:tcBorders>
            <w:shd w:val="clear" w:color="auto" w:fill="auto"/>
            <w:vAlign w:val="center"/>
            <w:hideMark/>
          </w:tcPr>
          <w:p w14:paraId="539236AB"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2.803</w:t>
            </w:r>
          </w:p>
        </w:tc>
        <w:tc>
          <w:tcPr>
            <w:tcW w:w="1340" w:type="dxa"/>
            <w:tcBorders>
              <w:top w:val="nil"/>
              <w:left w:val="nil"/>
              <w:bottom w:val="nil"/>
              <w:right w:val="nil"/>
            </w:tcBorders>
            <w:shd w:val="clear" w:color="auto" w:fill="auto"/>
            <w:vAlign w:val="center"/>
            <w:hideMark/>
          </w:tcPr>
          <w:p w14:paraId="2B481138"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-1.867</w:t>
            </w:r>
          </w:p>
        </w:tc>
        <w:tc>
          <w:tcPr>
            <w:tcW w:w="1340" w:type="dxa"/>
            <w:tcBorders>
              <w:top w:val="nil"/>
              <w:left w:val="nil"/>
              <w:bottom w:val="nil"/>
              <w:right w:val="nil"/>
            </w:tcBorders>
            <w:shd w:val="clear" w:color="auto" w:fill="auto"/>
            <w:vAlign w:val="center"/>
            <w:hideMark/>
          </w:tcPr>
          <w:p w14:paraId="06C955AF"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0.0765</w:t>
            </w:r>
          </w:p>
        </w:tc>
        <w:tc>
          <w:tcPr>
            <w:tcW w:w="2140" w:type="dxa"/>
            <w:tcBorders>
              <w:top w:val="nil"/>
              <w:left w:val="nil"/>
              <w:bottom w:val="nil"/>
              <w:right w:val="nil"/>
            </w:tcBorders>
            <w:shd w:val="clear" w:color="auto" w:fill="auto"/>
            <w:vAlign w:val="center"/>
            <w:hideMark/>
          </w:tcPr>
          <w:p w14:paraId="74E8C0DC"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-6.665</w:t>
            </w:r>
          </w:p>
        </w:tc>
      </w:tr>
      <w:tr w:rsidR="0088286D" w:rsidRPr="00F65686" w14:paraId="36746F33" w14:textId="77777777" w:rsidTr="0088286D">
        <w:trPr>
          <w:trHeight w:val="288"/>
        </w:trPr>
        <w:tc>
          <w:tcPr>
            <w:tcW w:w="3160" w:type="dxa"/>
            <w:tcBorders>
              <w:top w:val="nil"/>
              <w:left w:val="nil"/>
              <w:bottom w:val="nil"/>
              <w:right w:val="nil"/>
            </w:tcBorders>
            <w:shd w:val="clear" w:color="auto" w:fill="auto"/>
            <w:vAlign w:val="center"/>
            <w:hideMark/>
          </w:tcPr>
          <w:p w14:paraId="2D08217A"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2BF905E9"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(0.30)</w:t>
            </w:r>
          </w:p>
        </w:tc>
        <w:tc>
          <w:tcPr>
            <w:tcW w:w="1340" w:type="dxa"/>
            <w:tcBorders>
              <w:top w:val="nil"/>
              <w:left w:val="nil"/>
              <w:bottom w:val="nil"/>
              <w:right w:val="nil"/>
            </w:tcBorders>
            <w:shd w:val="clear" w:color="auto" w:fill="auto"/>
            <w:vAlign w:val="center"/>
            <w:hideMark/>
          </w:tcPr>
          <w:p w14:paraId="0B648527"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(0.03)</w:t>
            </w:r>
          </w:p>
        </w:tc>
        <w:tc>
          <w:tcPr>
            <w:tcW w:w="1340" w:type="dxa"/>
            <w:tcBorders>
              <w:top w:val="nil"/>
              <w:left w:val="nil"/>
              <w:bottom w:val="nil"/>
              <w:right w:val="nil"/>
            </w:tcBorders>
            <w:shd w:val="clear" w:color="auto" w:fill="auto"/>
            <w:vAlign w:val="center"/>
            <w:hideMark/>
          </w:tcPr>
          <w:p w14:paraId="2A54E3EA"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(0.02)</w:t>
            </w:r>
          </w:p>
        </w:tc>
        <w:tc>
          <w:tcPr>
            <w:tcW w:w="1340" w:type="dxa"/>
            <w:tcBorders>
              <w:top w:val="nil"/>
              <w:left w:val="nil"/>
              <w:bottom w:val="nil"/>
              <w:right w:val="nil"/>
            </w:tcBorders>
            <w:shd w:val="clear" w:color="auto" w:fill="auto"/>
            <w:vAlign w:val="center"/>
            <w:hideMark/>
          </w:tcPr>
          <w:p w14:paraId="15B84B12"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(-0.04)</w:t>
            </w:r>
          </w:p>
        </w:tc>
        <w:tc>
          <w:tcPr>
            <w:tcW w:w="1340" w:type="dxa"/>
            <w:tcBorders>
              <w:top w:val="nil"/>
              <w:left w:val="nil"/>
              <w:bottom w:val="nil"/>
              <w:right w:val="nil"/>
            </w:tcBorders>
            <w:shd w:val="clear" w:color="auto" w:fill="auto"/>
            <w:vAlign w:val="center"/>
            <w:hideMark/>
          </w:tcPr>
          <w:p w14:paraId="5A24BAD1"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(0.02)</w:t>
            </w:r>
          </w:p>
        </w:tc>
        <w:tc>
          <w:tcPr>
            <w:tcW w:w="2140" w:type="dxa"/>
            <w:tcBorders>
              <w:top w:val="nil"/>
              <w:left w:val="nil"/>
              <w:bottom w:val="nil"/>
              <w:right w:val="nil"/>
            </w:tcBorders>
            <w:shd w:val="clear" w:color="auto" w:fill="auto"/>
            <w:vAlign w:val="center"/>
            <w:hideMark/>
          </w:tcPr>
          <w:p w14:paraId="4E1FD67E"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(-0.10)</w:t>
            </w:r>
          </w:p>
        </w:tc>
      </w:tr>
      <w:tr w:rsidR="0088286D" w:rsidRPr="00F65686" w14:paraId="78902083" w14:textId="77777777" w:rsidTr="0088286D">
        <w:trPr>
          <w:trHeight w:val="312"/>
        </w:trPr>
        <w:tc>
          <w:tcPr>
            <w:tcW w:w="3160" w:type="dxa"/>
            <w:tcBorders>
              <w:top w:val="nil"/>
              <w:left w:val="nil"/>
              <w:bottom w:val="nil"/>
              <w:right w:val="nil"/>
            </w:tcBorders>
            <w:shd w:val="clear" w:color="auto" w:fill="auto"/>
            <w:vAlign w:val="center"/>
            <w:hideMark/>
          </w:tcPr>
          <w:p w14:paraId="2BDABFAF"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Social proximity</w:t>
            </w:r>
          </w:p>
        </w:tc>
        <w:tc>
          <w:tcPr>
            <w:tcW w:w="1340" w:type="dxa"/>
            <w:tcBorders>
              <w:top w:val="nil"/>
              <w:left w:val="nil"/>
              <w:bottom w:val="nil"/>
              <w:right w:val="nil"/>
            </w:tcBorders>
            <w:shd w:val="clear" w:color="auto" w:fill="auto"/>
            <w:vAlign w:val="center"/>
            <w:hideMark/>
          </w:tcPr>
          <w:p w14:paraId="01F87358"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1.133</w:t>
            </w:r>
          </w:p>
        </w:tc>
        <w:tc>
          <w:tcPr>
            <w:tcW w:w="1340" w:type="dxa"/>
            <w:tcBorders>
              <w:top w:val="nil"/>
              <w:left w:val="nil"/>
              <w:bottom w:val="nil"/>
              <w:right w:val="nil"/>
            </w:tcBorders>
            <w:shd w:val="clear" w:color="auto" w:fill="auto"/>
            <w:vAlign w:val="center"/>
            <w:hideMark/>
          </w:tcPr>
          <w:p w14:paraId="336DB77C"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2.076</w:t>
            </w:r>
            <w:r w:rsidRPr="00F65686">
              <w:rPr>
                <w:rFonts w:ascii="Times New Roman" w:hAnsi="Times New Roman"/>
                <w:color w:val="000000"/>
                <w:sz w:val="20"/>
                <w:szCs w:val="20"/>
                <w:vertAlign w:val="superscript"/>
                <w:lang w:val="en-US" w:eastAsia="it-IT"/>
              </w:rPr>
              <w:t>**</w:t>
            </w:r>
          </w:p>
        </w:tc>
        <w:tc>
          <w:tcPr>
            <w:tcW w:w="1340" w:type="dxa"/>
            <w:tcBorders>
              <w:top w:val="nil"/>
              <w:left w:val="nil"/>
              <w:bottom w:val="nil"/>
              <w:right w:val="nil"/>
            </w:tcBorders>
            <w:shd w:val="clear" w:color="auto" w:fill="auto"/>
            <w:vAlign w:val="center"/>
            <w:hideMark/>
          </w:tcPr>
          <w:p w14:paraId="1324D297"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-53.78</w:t>
            </w:r>
          </w:p>
        </w:tc>
        <w:tc>
          <w:tcPr>
            <w:tcW w:w="1340" w:type="dxa"/>
            <w:tcBorders>
              <w:top w:val="nil"/>
              <w:left w:val="nil"/>
              <w:bottom w:val="nil"/>
              <w:right w:val="nil"/>
            </w:tcBorders>
            <w:shd w:val="clear" w:color="auto" w:fill="auto"/>
            <w:vAlign w:val="center"/>
            <w:hideMark/>
          </w:tcPr>
          <w:p w14:paraId="06AF9A5D"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31.85</w:t>
            </w:r>
          </w:p>
        </w:tc>
        <w:tc>
          <w:tcPr>
            <w:tcW w:w="1340" w:type="dxa"/>
            <w:tcBorders>
              <w:top w:val="nil"/>
              <w:left w:val="nil"/>
              <w:bottom w:val="nil"/>
              <w:right w:val="nil"/>
            </w:tcBorders>
            <w:shd w:val="clear" w:color="auto" w:fill="auto"/>
            <w:vAlign w:val="center"/>
            <w:hideMark/>
          </w:tcPr>
          <w:p w14:paraId="19C19B68"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-1.043</w:t>
            </w:r>
          </w:p>
        </w:tc>
        <w:tc>
          <w:tcPr>
            <w:tcW w:w="2140" w:type="dxa"/>
            <w:tcBorders>
              <w:top w:val="nil"/>
              <w:left w:val="nil"/>
              <w:bottom w:val="nil"/>
              <w:right w:val="nil"/>
            </w:tcBorders>
            <w:shd w:val="clear" w:color="auto" w:fill="auto"/>
            <w:vAlign w:val="center"/>
            <w:hideMark/>
          </w:tcPr>
          <w:p w14:paraId="3373B268"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64.47</w:t>
            </w:r>
          </w:p>
        </w:tc>
      </w:tr>
      <w:tr w:rsidR="0088286D" w:rsidRPr="00F65686" w14:paraId="371C1F21" w14:textId="77777777" w:rsidTr="0088286D">
        <w:trPr>
          <w:trHeight w:val="288"/>
        </w:trPr>
        <w:tc>
          <w:tcPr>
            <w:tcW w:w="3160" w:type="dxa"/>
            <w:tcBorders>
              <w:top w:val="nil"/>
              <w:left w:val="nil"/>
              <w:bottom w:val="nil"/>
              <w:right w:val="nil"/>
            </w:tcBorders>
            <w:shd w:val="clear" w:color="auto" w:fill="auto"/>
            <w:vAlign w:val="center"/>
            <w:hideMark/>
          </w:tcPr>
          <w:p w14:paraId="4C3C2E89"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3BD21BCE"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(0.74)</w:t>
            </w:r>
          </w:p>
        </w:tc>
        <w:tc>
          <w:tcPr>
            <w:tcW w:w="1340" w:type="dxa"/>
            <w:tcBorders>
              <w:top w:val="nil"/>
              <w:left w:val="nil"/>
              <w:bottom w:val="nil"/>
              <w:right w:val="nil"/>
            </w:tcBorders>
            <w:shd w:val="clear" w:color="auto" w:fill="auto"/>
            <w:vAlign w:val="center"/>
            <w:hideMark/>
          </w:tcPr>
          <w:p w14:paraId="0681861B"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(1.84)</w:t>
            </w:r>
          </w:p>
        </w:tc>
        <w:tc>
          <w:tcPr>
            <w:tcW w:w="1340" w:type="dxa"/>
            <w:tcBorders>
              <w:top w:val="nil"/>
              <w:left w:val="nil"/>
              <w:bottom w:val="nil"/>
              <w:right w:val="nil"/>
            </w:tcBorders>
            <w:shd w:val="clear" w:color="auto" w:fill="auto"/>
            <w:vAlign w:val="center"/>
            <w:hideMark/>
          </w:tcPr>
          <w:p w14:paraId="32026C3D"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(-0.70)</w:t>
            </w:r>
          </w:p>
        </w:tc>
        <w:tc>
          <w:tcPr>
            <w:tcW w:w="1340" w:type="dxa"/>
            <w:tcBorders>
              <w:top w:val="nil"/>
              <w:left w:val="nil"/>
              <w:bottom w:val="nil"/>
              <w:right w:val="nil"/>
            </w:tcBorders>
            <w:shd w:val="clear" w:color="auto" w:fill="auto"/>
            <w:vAlign w:val="center"/>
            <w:hideMark/>
          </w:tcPr>
          <w:p w14:paraId="21FF1D01"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(0.84)</w:t>
            </w:r>
          </w:p>
        </w:tc>
        <w:tc>
          <w:tcPr>
            <w:tcW w:w="1340" w:type="dxa"/>
            <w:tcBorders>
              <w:top w:val="nil"/>
              <w:left w:val="nil"/>
              <w:bottom w:val="nil"/>
              <w:right w:val="nil"/>
            </w:tcBorders>
            <w:shd w:val="clear" w:color="auto" w:fill="auto"/>
            <w:vAlign w:val="center"/>
            <w:hideMark/>
          </w:tcPr>
          <w:p w14:paraId="530875B8"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(-0.28)</w:t>
            </w:r>
          </w:p>
        </w:tc>
        <w:tc>
          <w:tcPr>
            <w:tcW w:w="2140" w:type="dxa"/>
            <w:tcBorders>
              <w:top w:val="nil"/>
              <w:left w:val="nil"/>
              <w:bottom w:val="nil"/>
              <w:right w:val="nil"/>
            </w:tcBorders>
            <w:shd w:val="clear" w:color="auto" w:fill="auto"/>
            <w:vAlign w:val="center"/>
            <w:hideMark/>
          </w:tcPr>
          <w:p w14:paraId="06990331"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(1.15)</w:t>
            </w:r>
          </w:p>
        </w:tc>
      </w:tr>
      <w:tr w:rsidR="0088286D" w:rsidRPr="00F65686" w14:paraId="49AF2188" w14:textId="77777777" w:rsidTr="0088286D">
        <w:trPr>
          <w:trHeight w:val="288"/>
        </w:trPr>
        <w:tc>
          <w:tcPr>
            <w:tcW w:w="3160" w:type="dxa"/>
            <w:tcBorders>
              <w:top w:val="nil"/>
              <w:left w:val="nil"/>
              <w:bottom w:val="nil"/>
              <w:right w:val="nil"/>
            </w:tcBorders>
            <w:shd w:val="clear" w:color="auto" w:fill="auto"/>
            <w:vAlign w:val="center"/>
            <w:hideMark/>
          </w:tcPr>
          <w:p w14:paraId="4CE314E5"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Technological proximity</w:t>
            </w:r>
          </w:p>
        </w:tc>
        <w:tc>
          <w:tcPr>
            <w:tcW w:w="1340" w:type="dxa"/>
            <w:tcBorders>
              <w:top w:val="nil"/>
              <w:left w:val="nil"/>
              <w:bottom w:val="nil"/>
              <w:right w:val="nil"/>
            </w:tcBorders>
            <w:shd w:val="clear" w:color="auto" w:fill="auto"/>
            <w:vAlign w:val="center"/>
            <w:hideMark/>
          </w:tcPr>
          <w:p w14:paraId="3EA58236"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-0.0000007</w:t>
            </w:r>
          </w:p>
        </w:tc>
        <w:tc>
          <w:tcPr>
            <w:tcW w:w="1340" w:type="dxa"/>
            <w:tcBorders>
              <w:top w:val="nil"/>
              <w:left w:val="nil"/>
              <w:bottom w:val="nil"/>
              <w:right w:val="nil"/>
            </w:tcBorders>
            <w:shd w:val="clear" w:color="auto" w:fill="auto"/>
            <w:vAlign w:val="center"/>
            <w:hideMark/>
          </w:tcPr>
          <w:p w14:paraId="6E813678"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0.000000234</w:t>
            </w:r>
          </w:p>
        </w:tc>
        <w:tc>
          <w:tcPr>
            <w:tcW w:w="1340" w:type="dxa"/>
            <w:tcBorders>
              <w:top w:val="nil"/>
              <w:left w:val="nil"/>
              <w:bottom w:val="nil"/>
              <w:right w:val="nil"/>
            </w:tcBorders>
            <w:shd w:val="clear" w:color="auto" w:fill="auto"/>
            <w:vAlign w:val="center"/>
            <w:hideMark/>
          </w:tcPr>
          <w:p w14:paraId="6E13862A"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-0.0000283</w:t>
            </w:r>
          </w:p>
        </w:tc>
        <w:tc>
          <w:tcPr>
            <w:tcW w:w="1340" w:type="dxa"/>
            <w:tcBorders>
              <w:top w:val="nil"/>
              <w:left w:val="nil"/>
              <w:bottom w:val="nil"/>
              <w:right w:val="nil"/>
            </w:tcBorders>
            <w:shd w:val="clear" w:color="auto" w:fill="auto"/>
            <w:vAlign w:val="center"/>
            <w:hideMark/>
          </w:tcPr>
          <w:p w14:paraId="7E0EDABC"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0.000011</w:t>
            </w:r>
          </w:p>
        </w:tc>
        <w:tc>
          <w:tcPr>
            <w:tcW w:w="1340" w:type="dxa"/>
            <w:tcBorders>
              <w:top w:val="nil"/>
              <w:left w:val="nil"/>
              <w:bottom w:val="nil"/>
              <w:right w:val="nil"/>
            </w:tcBorders>
            <w:shd w:val="clear" w:color="auto" w:fill="auto"/>
            <w:vAlign w:val="center"/>
            <w:hideMark/>
          </w:tcPr>
          <w:p w14:paraId="1AEA6AA4"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0.000000497</w:t>
            </w:r>
          </w:p>
        </w:tc>
        <w:tc>
          <w:tcPr>
            <w:tcW w:w="2140" w:type="dxa"/>
            <w:tcBorders>
              <w:top w:val="nil"/>
              <w:left w:val="nil"/>
              <w:bottom w:val="nil"/>
              <w:right w:val="nil"/>
            </w:tcBorders>
            <w:shd w:val="clear" w:color="auto" w:fill="auto"/>
            <w:vAlign w:val="center"/>
            <w:hideMark/>
          </w:tcPr>
          <w:p w14:paraId="2E09D14C"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0.00000491</w:t>
            </w:r>
          </w:p>
        </w:tc>
      </w:tr>
      <w:tr w:rsidR="0088286D" w:rsidRPr="00F65686" w14:paraId="5B1816B2" w14:textId="77777777" w:rsidTr="0088286D">
        <w:trPr>
          <w:trHeight w:val="288"/>
        </w:trPr>
        <w:tc>
          <w:tcPr>
            <w:tcW w:w="3160" w:type="dxa"/>
            <w:tcBorders>
              <w:top w:val="nil"/>
              <w:left w:val="nil"/>
              <w:bottom w:val="nil"/>
              <w:right w:val="nil"/>
            </w:tcBorders>
            <w:shd w:val="clear" w:color="auto" w:fill="auto"/>
            <w:vAlign w:val="center"/>
            <w:hideMark/>
          </w:tcPr>
          <w:p w14:paraId="5EA63ED6"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2AC58F2E"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(-1.04)</w:t>
            </w:r>
          </w:p>
        </w:tc>
        <w:tc>
          <w:tcPr>
            <w:tcW w:w="1340" w:type="dxa"/>
            <w:tcBorders>
              <w:top w:val="nil"/>
              <w:left w:val="nil"/>
              <w:bottom w:val="nil"/>
              <w:right w:val="nil"/>
            </w:tcBorders>
            <w:shd w:val="clear" w:color="auto" w:fill="auto"/>
            <w:vAlign w:val="center"/>
            <w:hideMark/>
          </w:tcPr>
          <w:p w14:paraId="78129FB7"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(0.49)</w:t>
            </w:r>
          </w:p>
        </w:tc>
        <w:tc>
          <w:tcPr>
            <w:tcW w:w="1340" w:type="dxa"/>
            <w:tcBorders>
              <w:top w:val="nil"/>
              <w:left w:val="nil"/>
              <w:bottom w:val="nil"/>
              <w:right w:val="nil"/>
            </w:tcBorders>
            <w:shd w:val="clear" w:color="auto" w:fill="auto"/>
            <w:vAlign w:val="center"/>
            <w:hideMark/>
          </w:tcPr>
          <w:p w14:paraId="7D861EAC"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(-0.65)</w:t>
            </w:r>
          </w:p>
        </w:tc>
        <w:tc>
          <w:tcPr>
            <w:tcW w:w="1340" w:type="dxa"/>
            <w:tcBorders>
              <w:top w:val="nil"/>
              <w:left w:val="nil"/>
              <w:bottom w:val="nil"/>
              <w:right w:val="nil"/>
            </w:tcBorders>
            <w:shd w:val="clear" w:color="auto" w:fill="auto"/>
            <w:vAlign w:val="center"/>
            <w:hideMark/>
          </w:tcPr>
          <w:p w14:paraId="1D539B9B"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(0.70)</w:t>
            </w:r>
          </w:p>
        </w:tc>
        <w:tc>
          <w:tcPr>
            <w:tcW w:w="1340" w:type="dxa"/>
            <w:tcBorders>
              <w:top w:val="nil"/>
              <w:left w:val="nil"/>
              <w:bottom w:val="nil"/>
              <w:right w:val="nil"/>
            </w:tcBorders>
            <w:shd w:val="clear" w:color="auto" w:fill="auto"/>
            <w:vAlign w:val="center"/>
            <w:hideMark/>
          </w:tcPr>
          <w:p w14:paraId="2B854B2C"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(0.20)</w:t>
            </w:r>
          </w:p>
        </w:tc>
        <w:tc>
          <w:tcPr>
            <w:tcW w:w="2140" w:type="dxa"/>
            <w:tcBorders>
              <w:top w:val="nil"/>
              <w:left w:val="nil"/>
              <w:bottom w:val="nil"/>
              <w:right w:val="nil"/>
            </w:tcBorders>
            <w:shd w:val="clear" w:color="auto" w:fill="auto"/>
            <w:vAlign w:val="center"/>
            <w:hideMark/>
          </w:tcPr>
          <w:p w14:paraId="33A1A3DD"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(0.23)</w:t>
            </w:r>
          </w:p>
        </w:tc>
      </w:tr>
      <w:tr w:rsidR="0088286D" w:rsidRPr="00F65686" w14:paraId="5BD9A567" w14:textId="77777777" w:rsidTr="0088286D">
        <w:trPr>
          <w:trHeight w:val="312"/>
        </w:trPr>
        <w:tc>
          <w:tcPr>
            <w:tcW w:w="3160" w:type="dxa"/>
            <w:tcBorders>
              <w:top w:val="nil"/>
              <w:left w:val="nil"/>
              <w:bottom w:val="nil"/>
              <w:right w:val="nil"/>
            </w:tcBorders>
            <w:shd w:val="clear" w:color="auto" w:fill="auto"/>
            <w:vAlign w:val="center"/>
            <w:hideMark/>
          </w:tcPr>
          <w:p w14:paraId="462B9A75"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Geographical proximity</w:t>
            </w:r>
          </w:p>
        </w:tc>
        <w:tc>
          <w:tcPr>
            <w:tcW w:w="1340" w:type="dxa"/>
            <w:tcBorders>
              <w:top w:val="nil"/>
              <w:left w:val="nil"/>
              <w:bottom w:val="nil"/>
              <w:right w:val="nil"/>
            </w:tcBorders>
            <w:shd w:val="clear" w:color="auto" w:fill="auto"/>
            <w:vAlign w:val="center"/>
            <w:hideMark/>
          </w:tcPr>
          <w:p w14:paraId="11D154A5"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-0.00242</w:t>
            </w:r>
            <w:r w:rsidRPr="00F65686">
              <w:rPr>
                <w:rFonts w:ascii="Times New Roman" w:hAnsi="Times New Roman"/>
                <w:color w:val="000000"/>
                <w:sz w:val="20"/>
                <w:szCs w:val="20"/>
                <w:vertAlign w:val="superscript"/>
                <w:lang w:val="en-US" w:eastAsia="it-IT"/>
              </w:rPr>
              <w:t>*</w:t>
            </w:r>
          </w:p>
        </w:tc>
        <w:tc>
          <w:tcPr>
            <w:tcW w:w="1340" w:type="dxa"/>
            <w:tcBorders>
              <w:top w:val="nil"/>
              <w:left w:val="nil"/>
              <w:bottom w:val="nil"/>
              <w:right w:val="nil"/>
            </w:tcBorders>
            <w:shd w:val="clear" w:color="auto" w:fill="auto"/>
            <w:vAlign w:val="center"/>
            <w:hideMark/>
          </w:tcPr>
          <w:p w14:paraId="26A90520"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0.00120</w:t>
            </w:r>
            <w:r w:rsidRPr="00F65686">
              <w:rPr>
                <w:rFonts w:ascii="Times New Roman" w:hAnsi="Times New Roman"/>
                <w:color w:val="000000"/>
                <w:sz w:val="20"/>
                <w:szCs w:val="20"/>
                <w:vertAlign w:val="superscript"/>
                <w:lang w:val="en-US" w:eastAsia="it-IT"/>
              </w:rPr>
              <w:t>**</w:t>
            </w:r>
          </w:p>
        </w:tc>
        <w:tc>
          <w:tcPr>
            <w:tcW w:w="1340" w:type="dxa"/>
            <w:tcBorders>
              <w:top w:val="nil"/>
              <w:left w:val="nil"/>
              <w:bottom w:val="nil"/>
              <w:right w:val="nil"/>
            </w:tcBorders>
            <w:shd w:val="clear" w:color="auto" w:fill="auto"/>
            <w:vAlign w:val="center"/>
            <w:hideMark/>
          </w:tcPr>
          <w:p w14:paraId="3D366588"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-0.0685</w:t>
            </w:r>
          </w:p>
        </w:tc>
        <w:tc>
          <w:tcPr>
            <w:tcW w:w="1340" w:type="dxa"/>
            <w:tcBorders>
              <w:top w:val="nil"/>
              <w:left w:val="nil"/>
              <w:bottom w:val="nil"/>
              <w:right w:val="nil"/>
            </w:tcBorders>
            <w:shd w:val="clear" w:color="auto" w:fill="auto"/>
            <w:vAlign w:val="center"/>
            <w:hideMark/>
          </w:tcPr>
          <w:p w14:paraId="6AE1E221"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0.027</w:t>
            </w:r>
          </w:p>
        </w:tc>
        <w:tc>
          <w:tcPr>
            <w:tcW w:w="1340" w:type="dxa"/>
            <w:tcBorders>
              <w:top w:val="nil"/>
              <w:left w:val="nil"/>
              <w:bottom w:val="nil"/>
              <w:right w:val="nil"/>
            </w:tcBorders>
            <w:shd w:val="clear" w:color="auto" w:fill="auto"/>
            <w:vAlign w:val="center"/>
            <w:hideMark/>
          </w:tcPr>
          <w:p w14:paraId="76ACF004"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-0.00168</w:t>
            </w:r>
          </w:p>
        </w:tc>
        <w:tc>
          <w:tcPr>
            <w:tcW w:w="2140" w:type="dxa"/>
            <w:tcBorders>
              <w:top w:val="nil"/>
              <w:left w:val="nil"/>
              <w:bottom w:val="nil"/>
              <w:right w:val="nil"/>
            </w:tcBorders>
            <w:shd w:val="clear" w:color="auto" w:fill="auto"/>
            <w:vAlign w:val="center"/>
            <w:hideMark/>
          </w:tcPr>
          <w:p w14:paraId="6380B62C"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0.0402</w:t>
            </w:r>
          </w:p>
        </w:tc>
      </w:tr>
      <w:tr w:rsidR="0088286D" w:rsidRPr="00F65686" w14:paraId="3918A5C5" w14:textId="77777777" w:rsidTr="0088286D">
        <w:trPr>
          <w:trHeight w:val="288"/>
        </w:trPr>
        <w:tc>
          <w:tcPr>
            <w:tcW w:w="3160" w:type="dxa"/>
            <w:tcBorders>
              <w:top w:val="nil"/>
              <w:left w:val="nil"/>
              <w:bottom w:val="nil"/>
              <w:right w:val="nil"/>
            </w:tcBorders>
            <w:shd w:val="clear" w:color="auto" w:fill="auto"/>
            <w:vAlign w:val="center"/>
            <w:hideMark/>
          </w:tcPr>
          <w:p w14:paraId="47AB3E14"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0F79610E"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(-1.74)</w:t>
            </w:r>
          </w:p>
        </w:tc>
        <w:tc>
          <w:tcPr>
            <w:tcW w:w="1340" w:type="dxa"/>
            <w:tcBorders>
              <w:top w:val="nil"/>
              <w:left w:val="nil"/>
              <w:bottom w:val="nil"/>
              <w:right w:val="nil"/>
            </w:tcBorders>
            <w:shd w:val="clear" w:color="auto" w:fill="auto"/>
            <w:vAlign w:val="center"/>
            <w:hideMark/>
          </w:tcPr>
          <w:p w14:paraId="3E8D1D1E"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(2.19)</w:t>
            </w:r>
          </w:p>
        </w:tc>
        <w:tc>
          <w:tcPr>
            <w:tcW w:w="1340" w:type="dxa"/>
            <w:tcBorders>
              <w:top w:val="nil"/>
              <w:left w:val="nil"/>
              <w:bottom w:val="nil"/>
              <w:right w:val="nil"/>
            </w:tcBorders>
            <w:shd w:val="clear" w:color="auto" w:fill="auto"/>
            <w:vAlign w:val="center"/>
            <w:hideMark/>
          </w:tcPr>
          <w:p w14:paraId="46A2E93B"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(-0.97)</w:t>
            </w:r>
          </w:p>
        </w:tc>
        <w:tc>
          <w:tcPr>
            <w:tcW w:w="1340" w:type="dxa"/>
            <w:tcBorders>
              <w:top w:val="nil"/>
              <w:left w:val="nil"/>
              <w:bottom w:val="nil"/>
              <w:right w:val="nil"/>
            </w:tcBorders>
            <w:shd w:val="clear" w:color="auto" w:fill="auto"/>
            <w:vAlign w:val="center"/>
            <w:hideMark/>
          </w:tcPr>
          <w:p w14:paraId="72DA5466"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(1.09)</w:t>
            </w:r>
          </w:p>
        </w:tc>
        <w:tc>
          <w:tcPr>
            <w:tcW w:w="1340" w:type="dxa"/>
            <w:tcBorders>
              <w:top w:val="nil"/>
              <w:left w:val="nil"/>
              <w:bottom w:val="nil"/>
              <w:right w:val="nil"/>
            </w:tcBorders>
            <w:shd w:val="clear" w:color="auto" w:fill="auto"/>
            <w:vAlign w:val="center"/>
            <w:hideMark/>
          </w:tcPr>
          <w:p w14:paraId="3CE4B056"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(-0.49)</w:t>
            </w:r>
          </w:p>
        </w:tc>
        <w:tc>
          <w:tcPr>
            <w:tcW w:w="2140" w:type="dxa"/>
            <w:tcBorders>
              <w:top w:val="nil"/>
              <w:left w:val="nil"/>
              <w:bottom w:val="nil"/>
              <w:right w:val="nil"/>
            </w:tcBorders>
            <w:shd w:val="clear" w:color="auto" w:fill="auto"/>
            <w:vAlign w:val="center"/>
            <w:hideMark/>
          </w:tcPr>
          <w:p w14:paraId="2C4DA0A5"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(1.22)</w:t>
            </w:r>
          </w:p>
        </w:tc>
      </w:tr>
      <w:tr w:rsidR="0088286D" w:rsidRPr="00F65686" w14:paraId="11145057" w14:textId="77777777" w:rsidTr="0088286D">
        <w:trPr>
          <w:trHeight w:val="288"/>
        </w:trPr>
        <w:tc>
          <w:tcPr>
            <w:tcW w:w="3160" w:type="dxa"/>
            <w:tcBorders>
              <w:top w:val="nil"/>
              <w:left w:val="nil"/>
              <w:bottom w:val="nil"/>
              <w:right w:val="nil"/>
            </w:tcBorders>
            <w:shd w:val="clear" w:color="auto" w:fill="auto"/>
            <w:vAlign w:val="center"/>
            <w:hideMark/>
          </w:tcPr>
          <w:p w14:paraId="019C4984"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Constant term</w:t>
            </w:r>
          </w:p>
        </w:tc>
        <w:tc>
          <w:tcPr>
            <w:tcW w:w="1340" w:type="dxa"/>
            <w:tcBorders>
              <w:top w:val="nil"/>
              <w:left w:val="nil"/>
              <w:bottom w:val="nil"/>
              <w:right w:val="nil"/>
            </w:tcBorders>
            <w:shd w:val="clear" w:color="auto" w:fill="auto"/>
            <w:vAlign w:val="center"/>
            <w:hideMark/>
          </w:tcPr>
          <w:p w14:paraId="63BD0359"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-3.977</w:t>
            </w:r>
          </w:p>
        </w:tc>
        <w:tc>
          <w:tcPr>
            <w:tcW w:w="1340" w:type="dxa"/>
            <w:tcBorders>
              <w:top w:val="nil"/>
              <w:left w:val="nil"/>
              <w:bottom w:val="nil"/>
              <w:right w:val="nil"/>
            </w:tcBorders>
            <w:shd w:val="clear" w:color="auto" w:fill="auto"/>
            <w:vAlign w:val="center"/>
            <w:hideMark/>
          </w:tcPr>
          <w:p w14:paraId="65366897"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5.723</w:t>
            </w:r>
          </w:p>
        </w:tc>
        <w:tc>
          <w:tcPr>
            <w:tcW w:w="1340" w:type="dxa"/>
            <w:tcBorders>
              <w:top w:val="nil"/>
              <w:left w:val="nil"/>
              <w:bottom w:val="nil"/>
              <w:right w:val="nil"/>
            </w:tcBorders>
            <w:shd w:val="clear" w:color="auto" w:fill="auto"/>
            <w:vAlign w:val="center"/>
            <w:hideMark/>
          </w:tcPr>
          <w:p w14:paraId="73574670"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-306.5</w:t>
            </w:r>
          </w:p>
        </w:tc>
        <w:tc>
          <w:tcPr>
            <w:tcW w:w="1340" w:type="dxa"/>
            <w:tcBorders>
              <w:top w:val="nil"/>
              <w:left w:val="nil"/>
              <w:bottom w:val="nil"/>
              <w:right w:val="nil"/>
            </w:tcBorders>
            <w:shd w:val="clear" w:color="auto" w:fill="auto"/>
            <w:vAlign w:val="center"/>
            <w:hideMark/>
          </w:tcPr>
          <w:p w14:paraId="763631DE"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126.8</w:t>
            </w:r>
          </w:p>
        </w:tc>
        <w:tc>
          <w:tcPr>
            <w:tcW w:w="1340" w:type="dxa"/>
            <w:tcBorders>
              <w:top w:val="nil"/>
              <w:left w:val="nil"/>
              <w:bottom w:val="nil"/>
              <w:right w:val="nil"/>
            </w:tcBorders>
            <w:shd w:val="clear" w:color="auto" w:fill="auto"/>
            <w:vAlign w:val="center"/>
            <w:hideMark/>
          </w:tcPr>
          <w:p w14:paraId="1824032B"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-4.685</w:t>
            </w:r>
          </w:p>
        </w:tc>
        <w:tc>
          <w:tcPr>
            <w:tcW w:w="2140" w:type="dxa"/>
            <w:tcBorders>
              <w:top w:val="nil"/>
              <w:left w:val="nil"/>
              <w:bottom w:val="nil"/>
              <w:right w:val="nil"/>
            </w:tcBorders>
            <w:shd w:val="clear" w:color="auto" w:fill="auto"/>
            <w:vAlign w:val="center"/>
            <w:hideMark/>
          </w:tcPr>
          <w:p w14:paraId="389A434A"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169.5</w:t>
            </w:r>
          </w:p>
        </w:tc>
      </w:tr>
      <w:tr w:rsidR="0088286D" w:rsidRPr="00F65686" w14:paraId="105C3287" w14:textId="77777777" w:rsidTr="0088286D">
        <w:trPr>
          <w:trHeight w:val="288"/>
        </w:trPr>
        <w:tc>
          <w:tcPr>
            <w:tcW w:w="3160" w:type="dxa"/>
            <w:tcBorders>
              <w:top w:val="nil"/>
              <w:left w:val="nil"/>
              <w:bottom w:val="single" w:sz="4" w:space="0" w:color="auto"/>
              <w:right w:val="nil"/>
            </w:tcBorders>
            <w:shd w:val="clear" w:color="auto" w:fill="auto"/>
            <w:vAlign w:val="center"/>
            <w:hideMark/>
          </w:tcPr>
          <w:p w14:paraId="535AE701"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eastAsia="it-IT"/>
              </w:rPr>
              <w:t> </w:t>
            </w:r>
          </w:p>
        </w:tc>
        <w:tc>
          <w:tcPr>
            <w:tcW w:w="1340" w:type="dxa"/>
            <w:tcBorders>
              <w:top w:val="nil"/>
              <w:left w:val="nil"/>
              <w:bottom w:val="single" w:sz="4" w:space="0" w:color="auto"/>
              <w:right w:val="nil"/>
            </w:tcBorders>
            <w:shd w:val="clear" w:color="auto" w:fill="auto"/>
            <w:vAlign w:val="center"/>
            <w:hideMark/>
          </w:tcPr>
          <w:p w14:paraId="615D038D"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w:t>
            </w:r>
          </w:p>
        </w:tc>
        <w:tc>
          <w:tcPr>
            <w:tcW w:w="1340" w:type="dxa"/>
            <w:tcBorders>
              <w:top w:val="nil"/>
              <w:left w:val="nil"/>
              <w:bottom w:val="single" w:sz="4" w:space="0" w:color="auto"/>
              <w:right w:val="nil"/>
            </w:tcBorders>
            <w:shd w:val="clear" w:color="auto" w:fill="auto"/>
            <w:vAlign w:val="center"/>
            <w:hideMark/>
          </w:tcPr>
          <w:p w14:paraId="485E3188"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w:t>
            </w:r>
          </w:p>
        </w:tc>
        <w:tc>
          <w:tcPr>
            <w:tcW w:w="1340" w:type="dxa"/>
            <w:tcBorders>
              <w:top w:val="nil"/>
              <w:left w:val="nil"/>
              <w:bottom w:val="single" w:sz="4" w:space="0" w:color="auto"/>
              <w:right w:val="nil"/>
            </w:tcBorders>
            <w:shd w:val="clear" w:color="auto" w:fill="auto"/>
            <w:vAlign w:val="center"/>
            <w:hideMark/>
          </w:tcPr>
          <w:p w14:paraId="609F0B2A"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w:t>
            </w:r>
          </w:p>
        </w:tc>
        <w:tc>
          <w:tcPr>
            <w:tcW w:w="1340" w:type="dxa"/>
            <w:tcBorders>
              <w:top w:val="nil"/>
              <w:left w:val="nil"/>
              <w:bottom w:val="single" w:sz="4" w:space="0" w:color="auto"/>
              <w:right w:val="nil"/>
            </w:tcBorders>
            <w:shd w:val="clear" w:color="auto" w:fill="auto"/>
            <w:vAlign w:val="center"/>
            <w:hideMark/>
          </w:tcPr>
          <w:p w14:paraId="507C4584"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w:t>
            </w:r>
          </w:p>
        </w:tc>
        <w:tc>
          <w:tcPr>
            <w:tcW w:w="1340" w:type="dxa"/>
            <w:tcBorders>
              <w:top w:val="nil"/>
              <w:left w:val="nil"/>
              <w:bottom w:val="single" w:sz="4" w:space="0" w:color="auto"/>
              <w:right w:val="nil"/>
            </w:tcBorders>
            <w:shd w:val="clear" w:color="auto" w:fill="auto"/>
            <w:vAlign w:val="center"/>
            <w:hideMark/>
          </w:tcPr>
          <w:p w14:paraId="4A83AB13"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w:t>
            </w:r>
          </w:p>
        </w:tc>
        <w:tc>
          <w:tcPr>
            <w:tcW w:w="2140" w:type="dxa"/>
            <w:tcBorders>
              <w:top w:val="nil"/>
              <w:left w:val="nil"/>
              <w:bottom w:val="single" w:sz="4" w:space="0" w:color="auto"/>
              <w:right w:val="nil"/>
            </w:tcBorders>
            <w:shd w:val="clear" w:color="auto" w:fill="auto"/>
            <w:vAlign w:val="center"/>
            <w:hideMark/>
          </w:tcPr>
          <w:p w14:paraId="3846D4BD"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w:t>
            </w:r>
          </w:p>
        </w:tc>
      </w:tr>
      <w:tr w:rsidR="0088286D" w:rsidRPr="00F65686" w14:paraId="0E748FC0" w14:textId="77777777" w:rsidTr="0088286D">
        <w:trPr>
          <w:trHeight w:val="288"/>
        </w:trPr>
        <w:tc>
          <w:tcPr>
            <w:tcW w:w="3160" w:type="dxa"/>
            <w:tcBorders>
              <w:top w:val="nil"/>
              <w:left w:val="nil"/>
              <w:bottom w:val="nil"/>
              <w:right w:val="nil"/>
            </w:tcBorders>
            <w:shd w:val="clear" w:color="auto" w:fill="auto"/>
            <w:vAlign w:val="center"/>
            <w:hideMark/>
          </w:tcPr>
          <w:p w14:paraId="3C0B0CAE"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TEOM0</w:t>
            </w:r>
          </w:p>
        </w:tc>
        <w:tc>
          <w:tcPr>
            <w:tcW w:w="1340" w:type="dxa"/>
            <w:tcBorders>
              <w:top w:val="nil"/>
              <w:left w:val="nil"/>
              <w:bottom w:val="nil"/>
              <w:right w:val="nil"/>
            </w:tcBorders>
            <w:shd w:val="clear" w:color="auto" w:fill="auto"/>
            <w:vAlign w:val="center"/>
            <w:hideMark/>
          </w:tcPr>
          <w:p w14:paraId="0EF24C6D"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-0.173</w:t>
            </w:r>
          </w:p>
        </w:tc>
        <w:tc>
          <w:tcPr>
            <w:tcW w:w="1340" w:type="dxa"/>
            <w:tcBorders>
              <w:top w:val="nil"/>
              <w:left w:val="nil"/>
              <w:bottom w:val="nil"/>
              <w:right w:val="nil"/>
            </w:tcBorders>
            <w:shd w:val="clear" w:color="auto" w:fill="auto"/>
            <w:vAlign w:val="center"/>
            <w:hideMark/>
          </w:tcPr>
          <w:p w14:paraId="006AA394"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-0.49</w:t>
            </w:r>
          </w:p>
        </w:tc>
        <w:tc>
          <w:tcPr>
            <w:tcW w:w="1340" w:type="dxa"/>
            <w:tcBorders>
              <w:top w:val="nil"/>
              <w:left w:val="nil"/>
              <w:bottom w:val="nil"/>
              <w:right w:val="nil"/>
            </w:tcBorders>
            <w:shd w:val="clear" w:color="auto" w:fill="auto"/>
            <w:vAlign w:val="center"/>
            <w:hideMark/>
          </w:tcPr>
          <w:p w14:paraId="16121E2A"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0.374</w:t>
            </w:r>
          </w:p>
        </w:tc>
        <w:tc>
          <w:tcPr>
            <w:tcW w:w="1340" w:type="dxa"/>
            <w:tcBorders>
              <w:top w:val="nil"/>
              <w:left w:val="nil"/>
              <w:bottom w:val="nil"/>
              <w:right w:val="nil"/>
            </w:tcBorders>
            <w:shd w:val="clear" w:color="auto" w:fill="auto"/>
            <w:vAlign w:val="center"/>
            <w:hideMark/>
          </w:tcPr>
          <w:p w14:paraId="501BE9FB"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0.24</w:t>
            </w:r>
          </w:p>
        </w:tc>
        <w:tc>
          <w:tcPr>
            <w:tcW w:w="1340" w:type="dxa"/>
            <w:tcBorders>
              <w:top w:val="nil"/>
              <w:left w:val="nil"/>
              <w:bottom w:val="nil"/>
              <w:right w:val="nil"/>
            </w:tcBorders>
            <w:shd w:val="clear" w:color="auto" w:fill="auto"/>
            <w:vAlign w:val="center"/>
            <w:hideMark/>
          </w:tcPr>
          <w:p w14:paraId="59EC146B"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-0.00149</w:t>
            </w:r>
          </w:p>
        </w:tc>
        <w:tc>
          <w:tcPr>
            <w:tcW w:w="2140" w:type="dxa"/>
            <w:tcBorders>
              <w:top w:val="nil"/>
              <w:left w:val="nil"/>
              <w:bottom w:val="nil"/>
              <w:right w:val="nil"/>
            </w:tcBorders>
            <w:shd w:val="clear" w:color="auto" w:fill="auto"/>
            <w:vAlign w:val="center"/>
            <w:hideMark/>
          </w:tcPr>
          <w:p w14:paraId="50D820F1"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-0.0717</w:t>
            </w:r>
          </w:p>
        </w:tc>
      </w:tr>
      <w:tr w:rsidR="0088286D" w:rsidRPr="00F65686" w14:paraId="6DDACAEF" w14:textId="77777777" w:rsidTr="0088286D">
        <w:trPr>
          <w:trHeight w:val="288"/>
        </w:trPr>
        <w:tc>
          <w:tcPr>
            <w:tcW w:w="3160" w:type="dxa"/>
            <w:tcBorders>
              <w:top w:val="nil"/>
              <w:left w:val="nil"/>
              <w:bottom w:val="single" w:sz="4" w:space="0" w:color="auto"/>
              <w:right w:val="nil"/>
            </w:tcBorders>
            <w:shd w:val="clear" w:color="auto" w:fill="auto"/>
            <w:vAlign w:val="center"/>
            <w:hideMark/>
          </w:tcPr>
          <w:p w14:paraId="28BB7631"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Constant</w:t>
            </w:r>
          </w:p>
        </w:tc>
        <w:tc>
          <w:tcPr>
            <w:tcW w:w="1340" w:type="dxa"/>
            <w:tcBorders>
              <w:top w:val="nil"/>
              <w:left w:val="nil"/>
              <w:bottom w:val="single" w:sz="4" w:space="0" w:color="auto"/>
              <w:right w:val="nil"/>
            </w:tcBorders>
            <w:shd w:val="clear" w:color="auto" w:fill="auto"/>
            <w:vAlign w:val="center"/>
            <w:hideMark/>
          </w:tcPr>
          <w:p w14:paraId="3AB20D8B"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(-0.14)</w:t>
            </w:r>
          </w:p>
        </w:tc>
        <w:tc>
          <w:tcPr>
            <w:tcW w:w="1340" w:type="dxa"/>
            <w:tcBorders>
              <w:top w:val="nil"/>
              <w:left w:val="nil"/>
              <w:bottom w:val="single" w:sz="4" w:space="0" w:color="auto"/>
              <w:right w:val="nil"/>
            </w:tcBorders>
            <w:shd w:val="clear" w:color="auto" w:fill="auto"/>
            <w:vAlign w:val="center"/>
            <w:hideMark/>
          </w:tcPr>
          <w:p w14:paraId="5BBE5BDF"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(-0.56)</w:t>
            </w:r>
          </w:p>
        </w:tc>
        <w:tc>
          <w:tcPr>
            <w:tcW w:w="1340" w:type="dxa"/>
            <w:tcBorders>
              <w:top w:val="nil"/>
              <w:left w:val="nil"/>
              <w:bottom w:val="single" w:sz="4" w:space="0" w:color="auto"/>
              <w:right w:val="nil"/>
            </w:tcBorders>
            <w:shd w:val="clear" w:color="auto" w:fill="auto"/>
            <w:vAlign w:val="center"/>
            <w:hideMark/>
          </w:tcPr>
          <w:p w14:paraId="30D753B4"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(0.34)</w:t>
            </w:r>
          </w:p>
        </w:tc>
        <w:tc>
          <w:tcPr>
            <w:tcW w:w="1340" w:type="dxa"/>
            <w:tcBorders>
              <w:top w:val="nil"/>
              <w:left w:val="nil"/>
              <w:bottom w:val="single" w:sz="4" w:space="0" w:color="auto"/>
              <w:right w:val="nil"/>
            </w:tcBorders>
            <w:shd w:val="clear" w:color="auto" w:fill="auto"/>
            <w:vAlign w:val="center"/>
            <w:hideMark/>
          </w:tcPr>
          <w:p w14:paraId="4FB2E420"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(0.20)</w:t>
            </w:r>
          </w:p>
        </w:tc>
        <w:tc>
          <w:tcPr>
            <w:tcW w:w="1340" w:type="dxa"/>
            <w:tcBorders>
              <w:top w:val="nil"/>
              <w:left w:val="nil"/>
              <w:bottom w:val="single" w:sz="4" w:space="0" w:color="auto"/>
              <w:right w:val="nil"/>
            </w:tcBorders>
            <w:shd w:val="clear" w:color="auto" w:fill="auto"/>
            <w:vAlign w:val="center"/>
            <w:hideMark/>
          </w:tcPr>
          <w:p w14:paraId="1CE68142"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(-0.00)</w:t>
            </w:r>
          </w:p>
        </w:tc>
        <w:tc>
          <w:tcPr>
            <w:tcW w:w="2140" w:type="dxa"/>
            <w:tcBorders>
              <w:top w:val="nil"/>
              <w:left w:val="nil"/>
              <w:bottom w:val="single" w:sz="4" w:space="0" w:color="auto"/>
              <w:right w:val="nil"/>
            </w:tcBorders>
            <w:shd w:val="clear" w:color="auto" w:fill="auto"/>
            <w:vAlign w:val="center"/>
            <w:hideMark/>
          </w:tcPr>
          <w:p w14:paraId="51F98E74"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(-0.03)</w:t>
            </w:r>
          </w:p>
        </w:tc>
      </w:tr>
      <w:tr w:rsidR="0088286D" w:rsidRPr="00F65686" w14:paraId="61617D30" w14:textId="77777777" w:rsidTr="0088286D">
        <w:trPr>
          <w:trHeight w:val="288"/>
        </w:trPr>
        <w:tc>
          <w:tcPr>
            <w:tcW w:w="3160" w:type="dxa"/>
            <w:tcBorders>
              <w:top w:val="nil"/>
              <w:left w:val="nil"/>
              <w:bottom w:val="nil"/>
              <w:right w:val="nil"/>
            </w:tcBorders>
            <w:shd w:val="clear" w:color="auto" w:fill="auto"/>
            <w:vAlign w:val="center"/>
            <w:hideMark/>
          </w:tcPr>
          <w:p w14:paraId="7DA82802"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TEOM1</w:t>
            </w:r>
          </w:p>
        </w:tc>
        <w:tc>
          <w:tcPr>
            <w:tcW w:w="1340" w:type="dxa"/>
            <w:tcBorders>
              <w:top w:val="nil"/>
              <w:left w:val="nil"/>
              <w:bottom w:val="nil"/>
              <w:right w:val="nil"/>
            </w:tcBorders>
            <w:shd w:val="clear" w:color="auto" w:fill="auto"/>
            <w:vAlign w:val="center"/>
            <w:hideMark/>
          </w:tcPr>
          <w:p w14:paraId="3713D83A" w14:textId="77777777" w:rsidR="0088286D" w:rsidRPr="00F65686" w:rsidRDefault="0088286D" w:rsidP="00F65686">
            <w:pPr>
              <w:spacing w:after="0" w:line="240" w:lineRule="auto"/>
              <w:jc w:val="center"/>
              <w:rPr>
                <w:rFonts w:ascii="Times New Roman" w:hAnsi="Times New Roman"/>
                <w:color w:val="000000"/>
                <w:sz w:val="20"/>
                <w:szCs w:val="20"/>
                <w:lang w:eastAsia="it-IT"/>
              </w:rPr>
            </w:pPr>
          </w:p>
        </w:tc>
        <w:tc>
          <w:tcPr>
            <w:tcW w:w="1340" w:type="dxa"/>
            <w:tcBorders>
              <w:top w:val="nil"/>
              <w:left w:val="nil"/>
              <w:bottom w:val="nil"/>
              <w:right w:val="nil"/>
            </w:tcBorders>
            <w:shd w:val="clear" w:color="auto" w:fill="auto"/>
            <w:vAlign w:val="center"/>
            <w:hideMark/>
          </w:tcPr>
          <w:p w14:paraId="0F5AFA85" w14:textId="77777777" w:rsidR="0088286D" w:rsidRPr="00F65686" w:rsidRDefault="0088286D" w:rsidP="00F65686">
            <w:pPr>
              <w:spacing w:after="0" w:line="240" w:lineRule="auto"/>
              <w:jc w:val="center"/>
              <w:rPr>
                <w:rFonts w:ascii="Times New Roman" w:hAnsi="Times New Roman"/>
                <w:sz w:val="20"/>
                <w:szCs w:val="20"/>
                <w:lang w:eastAsia="it-IT"/>
              </w:rPr>
            </w:pPr>
          </w:p>
        </w:tc>
        <w:tc>
          <w:tcPr>
            <w:tcW w:w="1340" w:type="dxa"/>
            <w:tcBorders>
              <w:top w:val="nil"/>
              <w:left w:val="nil"/>
              <w:bottom w:val="nil"/>
              <w:right w:val="nil"/>
            </w:tcBorders>
            <w:shd w:val="clear" w:color="auto" w:fill="auto"/>
            <w:vAlign w:val="center"/>
            <w:hideMark/>
          </w:tcPr>
          <w:p w14:paraId="304984CD" w14:textId="77777777" w:rsidR="0088286D" w:rsidRPr="00F65686" w:rsidRDefault="0088286D" w:rsidP="00F65686">
            <w:pPr>
              <w:spacing w:after="0" w:line="240" w:lineRule="auto"/>
              <w:jc w:val="center"/>
              <w:rPr>
                <w:rFonts w:ascii="Times New Roman" w:hAnsi="Times New Roman"/>
                <w:sz w:val="20"/>
                <w:szCs w:val="20"/>
                <w:lang w:eastAsia="it-IT"/>
              </w:rPr>
            </w:pPr>
          </w:p>
        </w:tc>
        <w:tc>
          <w:tcPr>
            <w:tcW w:w="1340" w:type="dxa"/>
            <w:tcBorders>
              <w:top w:val="nil"/>
              <w:left w:val="nil"/>
              <w:bottom w:val="nil"/>
              <w:right w:val="nil"/>
            </w:tcBorders>
            <w:shd w:val="clear" w:color="auto" w:fill="auto"/>
            <w:vAlign w:val="center"/>
            <w:hideMark/>
          </w:tcPr>
          <w:p w14:paraId="0F788710" w14:textId="77777777" w:rsidR="0088286D" w:rsidRPr="00F65686" w:rsidRDefault="0088286D" w:rsidP="00F65686">
            <w:pPr>
              <w:spacing w:after="0" w:line="240" w:lineRule="auto"/>
              <w:jc w:val="center"/>
              <w:rPr>
                <w:rFonts w:ascii="Times New Roman" w:hAnsi="Times New Roman"/>
                <w:sz w:val="20"/>
                <w:szCs w:val="20"/>
                <w:lang w:eastAsia="it-IT"/>
              </w:rPr>
            </w:pPr>
          </w:p>
        </w:tc>
        <w:tc>
          <w:tcPr>
            <w:tcW w:w="1340" w:type="dxa"/>
            <w:tcBorders>
              <w:top w:val="nil"/>
              <w:left w:val="nil"/>
              <w:bottom w:val="nil"/>
              <w:right w:val="nil"/>
            </w:tcBorders>
            <w:shd w:val="clear" w:color="auto" w:fill="auto"/>
            <w:vAlign w:val="center"/>
            <w:hideMark/>
          </w:tcPr>
          <w:p w14:paraId="1DE23B72" w14:textId="77777777" w:rsidR="0088286D" w:rsidRPr="00F65686" w:rsidRDefault="0088286D" w:rsidP="00F65686">
            <w:pPr>
              <w:spacing w:after="0" w:line="240" w:lineRule="auto"/>
              <w:jc w:val="center"/>
              <w:rPr>
                <w:rFonts w:ascii="Times New Roman" w:hAnsi="Times New Roman"/>
                <w:sz w:val="20"/>
                <w:szCs w:val="20"/>
                <w:lang w:eastAsia="it-IT"/>
              </w:rPr>
            </w:pPr>
          </w:p>
        </w:tc>
        <w:tc>
          <w:tcPr>
            <w:tcW w:w="2140" w:type="dxa"/>
            <w:tcBorders>
              <w:top w:val="nil"/>
              <w:left w:val="nil"/>
              <w:bottom w:val="nil"/>
              <w:right w:val="nil"/>
            </w:tcBorders>
            <w:shd w:val="clear" w:color="auto" w:fill="auto"/>
            <w:vAlign w:val="center"/>
            <w:hideMark/>
          </w:tcPr>
          <w:p w14:paraId="0B0F3499" w14:textId="77777777" w:rsidR="0088286D" w:rsidRPr="00F65686" w:rsidRDefault="0088286D" w:rsidP="00F65686">
            <w:pPr>
              <w:spacing w:after="0" w:line="240" w:lineRule="auto"/>
              <w:jc w:val="center"/>
              <w:rPr>
                <w:rFonts w:ascii="Times New Roman" w:hAnsi="Times New Roman"/>
                <w:sz w:val="20"/>
                <w:szCs w:val="20"/>
                <w:lang w:eastAsia="it-IT"/>
              </w:rPr>
            </w:pPr>
          </w:p>
        </w:tc>
      </w:tr>
      <w:tr w:rsidR="0088286D" w:rsidRPr="00F65686" w14:paraId="10597A7F" w14:textId="77777777" w:rsidTr="0088286D">
        <w:trPr>
          <w:trHeight w:val="312"/>
        </w:trPr>
        <w:tc>
          <w:tcPr>
            <w:tcW w:w="3160" w:type="dxa"/>
            <w:tcBorders>
              <w:top w:val="nil"/>
              <w:left w:val="nil"/>
              <w:bottom w:val="nil"/>
              <w:right w:val="nil"/>
            </w:tcBorders>
            <w:shd w:val="clear" w:color="auto" w:fill="auto"/>
            <w:vAlign w:val="center"/>
            <w:hideMark/>
          </w:tcPr>
          <w:p w14:paraId="740C8FB3"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Constant</w:t>
            </w:r>
          </w:p>
        </w:tc>
        <w:tc>
          <w:tcPr>
            <w:tcW w:w="1340" w:type="dxa"/>
            <w:tcBorders>
              <w:top w:val="nil"/>
              <w:left w:val="nil"/>
              <w:bottom w:val="nil"/>
              <w:right w:val="nil"/>
            </w:tcBorders>
            <w:shd w:val="clear" w:color="auto" w:fill="auto"/>
            <w:vAlign w:val="center"/>
            <w:hideMark/>
          </w:tcPr>
          <w:p w14:paraId="20F1AA22"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2.646</w:t>
            </w:r>
            <w:r w:rsidRPr="00F65686">
              <w:rPr>
                <w:rFonts w:ascii="Times New Roman" w:hAnsi="Times New Roman"/>
                <w:color w:val="000000"/>
                <w:sz w:val="20"/>
                <w:szCs w:val="20"/>
                <w:vertAlign w:val="superscript"/>
                <w:lang w:val="en-US" w:eastAsia="it-IT"/>
              </w:rPr>
              <w:t>***</w:t>
            </w:r>
          </w:p>
        </w:tc>
        <w:tc>
          <w:tcPr>
            <w:tcW w:w="1340" w:type="dxa"/>
            <w:tcBorders>
              <w:top w:val="nil"/>
              <w:left w:val="nil"/>
              <w:bottom w:val="nil"/>
              <w:right w:val="nil"/>
            </w:tcBorders>
            <w:shd w:val="clear" w:color="auto" w:fill="auto"/>
            <w:vAlign w:val="center"/>
            <w:hideMark/>
          </w:tcPr>
          <w:p w14:paraId="7218A79A"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-1.976</w:t>
            </w:r>
            <w:r w:rsidRPr="00F65686">
              <w:rPr>
                <w:rFonts w:ascii="Times New Roman" w:hAnsi="Times New Roman"/>
                <w:color w:val="000000"/>
                <w:sz w:val="20"/>
                <w:szCs w:val="20"/>
                <w:vertAlign w:val="superscript"/>
                <w:lang w:val="en-US" w:eastAsia="it-IT"/>
              </w:rPr>
              <w:t>*</w:t>
            </w:r>
          </w:p>
        </w:tc>
        <w:tc>
          <w:tcPr>
            <w:tcW w:w="1340" w:type="dxa"/>
            <w:tcBorders>
              <w:top w:val="nil"/>
              <w:left w:val="nil"/>
              <w:bottom w:val="nil"/>
              <w:right w:val="nil"/>
            </w:tcBorders>
            <w:shd w:val="clear" w:color="auto" w:fill="auto"/>
            <w:vAlign w:val="center"/>
            <w:hideMark/>
          </w:tcPr>
          <w:p w14:paraId="36E2A333"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191.0</w:t>
            </w:r>
            <w:r w:rsidRPr="00F65686">
              <w:rPr>
                <w:rFonts w:ascii="Times New Roman" w:hAnsi="Times New Roman"/>
                <w:color w:val="000000"/>
                <w:sz w:val="20"/>
                <w:szCs w:val="20"/>
                <w:vertAlign w:val="superscript"/>
                <w:lang w:val="en-US" w:eastAsia="it-IT"/>
              </w:rPr>
              <w:t>***</w:t>
            </w:r>
          </w:p>
        </w:tc>
        <w:tc>
          <w:tcPr>
            <w:tcW w:w="1340" w:type="dxa"/>
            <w:tcBorders>
              <w:top w:val="nil"/>
              <w:left w:val="nil"/>
              <w:bottom w:val="nil"/>
              <w:right w:val="nil"/>
            </w:tcBorders>
            <w:shd w:val="clear" w:color="auto" w:fill="auto"/>
            <w:vAlign w:val="center"/>
            <w:hideMark/>
          </w:tcPr>
          <w:p w14:paraId="2F9BB6DE"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-81.23</w:t>
            </w:r>
            <w:r w:rsidRPr="00F65686">
              <w:rPr>
                <w:rFonts w:ascii="Times New Roman" w:hAnsi="Times New Roman"/>
                <w:color w:val="000000"/>
                <w:sz w:val="20"/>
                <w:szCs w:val="20"/>
                <w:vertAlign w:val="superscript"/>
                <w:lang w:val="en-US" w:eastAsia="it-IT"/>
              </w:rPr>
              <w:t>***</w:t>
            </w:r>
          </w:p>
        </w:tc>
        <w:tc>
          <w:tcPr>
            <w:tcW w:w="1340" w:type="dxa"/>
            <w:tcBorders>
              <w:top w:val="nil"/>
              <w:left w:val="nil"/>
              <w:bottom w:val="nil"/>
              <w:right w:val="nil"/>
            </w:tcBorders>
            <w:shd w:val="clear" w:color="auto" w:fill="auto"/>
            <w:vAlign w:val="center"/>
            <w:hideMark/>
          </w:tcPr>
          <w:p w14:paraId="03C3263D"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7.647</w:t>
            </w:r>
          </w:p>
        </w:tc>
        <w:tc>
          <w:tcPr>
            <w:tcW w:w="2140" w:type="dxa"/>
            <w:tcBorders>
              <w:top w:val="nil"/>
              <w:left w:val="nil"/>
              <w:bottom w:val="nil"/>
              <w:right w:val="nil"/>
            </w:tcBorders>
            <w:shd w:val="clear" w:color="auto" w:fill="auto"/>
            <w:vAlign w:val="center"/>
            <w:hideMark/>
          </w:tcPr>
          <w:p w14:paraId="709E9F7D"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-109.6</w:t>
            </w:r>
            <w:r w:rsidRPr="00F65686">
              <w:rPr>
                <w:rFonts w:ascii="Times New Roman" w:hAnsi="Times New Roman"/>
                <w:color w:val="000000"/>
                <w:sz w:val="20"/>
                <w:szCs w:val="20"/>
                <w:vertAlign w:val="superscript"/>
                <w:lang w:val="en-US" w:eastAsia="it-IT"/>
              </w:rPr>
              <w:t>***</w:t>
            </w:r>
          </w:p>
        </w:tc>
      </w:tr>
      <w:tr w:rsidR="0088286D" w:rsidRPr="00F65686" w14:paraId="04C77E5C" w14:textId="77777777" w:rsidTr="0088286D">
        <w:trPr>
          <w:trHeight w:val="288"/>
        </w:trPr>
        <w:tc>
          <w:tcPr>
            <w:tcW w:w="3160" w:type="dxa"/>
            <w:tcBorders>
              <w:top w:val="nil"/>
              <w:left w:val="nil"/>
              <w:bottom w:val="single" w:sz="4" w:space="0" w:color="auto"/>
              <w:right w:val="nil"/>
            </w:tcBorders>
            <w:shd w:val="clear" w:color="auto" w:fill="auto"/>
            <w:vAlign w:val="center"/>
            <w:hideMark/>
          </w:tcPr>
          <w:p w14:paraId="53BD05D2"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eastAsia="it-IT"/>
              </w:rPr>
              <w:t> </w:t>
            </w:r>
          </w:p>
        </w:tc>
        <w:tc>
          <w:tcPr>
            <w:tcW w:w="1340" w:type="dxa"/>
            <w:tcBorders>
              <w:top w:val="nil"/>
              <w:left w:val="nil"/>
              <w:bottom w:val="single" w:sz="4" w:space="0" w:color="auto"/>
              <w:right w:val="nil"/>
            </w:tcBorders>
            <w:shd w:val="clear" w:color="auto" w:fill="auto"/>
            <w:vAlign w:val="center"/>
            <w:hideMark/>
          </w:tcPr>
          <w:p w14:paraId="15951F29"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(2.57)</w:t>
            </w:r>
          </w:p>
        </w:tc>
        <w:tc>
          <w:tcPr>
            <w:tcW w:w="1340" w:type="dxa"/>
            <w:tcBorders>
              <w:top w:val="nil"/>
              <w:left w:val="nil"/>
              <w:bottom w:val="single" w:sz="4" w:space="0" w:color="auto"/>
              <w:right w:val="nil"/>
            </w:tcBorders>
            <w:shd w:val="clear" w:color="auto" w:fill="auto"/>
            <w:vAlign w:val="center"/>
            <w:hideMark/>
          </w:tcPr>
          <w:p w14:paraId="14D92184"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(-1.77)</w:t>
            </w:r>
          </w:p>
        </w:tc>
        <w:tc>
          <w:tcPr>
            <w:tcW w:w="1340" w:type="dxa"/>
            <w:tcBorders>
              <w:top w:val="nil"/>
              <w:left w:val="nil"/>
              <w:bottom w:val="single" w:sz="4" w:space="0" w:color="auto"/>
              <w:right w:val="nil"/>
            </w:tcBorders>
            <w:shd w:val="clear" w:color="auto" w:fill="auto"/>
            <w:vAlign w:val="center"/>
            <w:hideMark/>
          </w:tcPr>
          <w:p w14:paraId="68E79294"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(3.31)</w:t>
            </w:r>
          </w:p>
        </w:tc>
        <w:tc>
          <w:tcPr>
            <w:tcW w:w="1340" w:type="dxa"/>
            <w:tcBorders>
              <w:top w:val="nil"/>
              <w:left w:val="nil"/>
              <w:bottom w:val="single" w:sz="4" w:space="0" w:color="auto"/>
              <w:right w:val="nil"/>
            </w:tcBorders>
            <w:shd w:val="clear" w:color="auto" w:fill="auto"/>
            <w:vAlign w:val="center"/>
            <w:hideMark/>
          </w:tcPr>
          <w:p w14:paraId="16EF1880"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(-2.42)</w:t>
            </w:r>
          </w:p>
        </w:tc>
        <w:tc>
          <w:tcPr>
            <w:tcW w:w="1340" w:type="dxa"/>
            <w:tcBorders>
              <w:top w:val="nil"/>
              <w:left w:val="nil"/>
              <w:bottom w:val="single" w:sz="4" w:space="0" w:color="auto"/>
              <w:right w:val="nil"/>
            </w:tcBorders>
            <w:shd w:val="clear" w:color="auto" w:fill="auto"/>
            <w:vAlign w:val="center"/>
            <w:hideMark/>
          </w:tcPr>
          <w:p w14:paraId="6D8BAD14"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(1.30)</w:t>
            </w:r>
          </w:p>
        </w:tc>
        <w:tc>
          <w:tcPr>
            <w:tcW w:w="2140" w:type="dxa"/>
            <w:tcBorders>
              <w:top w:val="nil"/>
              <w:left w:val="nil"/>
              <w:bottom w:val="single" w:sz="4" w:space="0" w:color="auto"/>
              <w:right w:val="nil"/>
            </w:tcBorders>
            <w:shd w:val="clear" w:color="auto" w:fill="auto"/>
            <w:vAlign w:val="center"/>
            <w:hideMark/>
          </w:tcPr>
          <w:p w14:paraId="227BDC84"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(-2.60)</w:t>
            </w:r>
          </w:p>
        </w:tc>
      </w:tr>
      <w:tr w:rsidR="0088286D" w:rsidRPr="00F65686" w14:paraId="640A48E2" w14:textId="77777777" w:rsidTr="0088286D">
        <w:trPr>
          <w:trHeight w:val="288"/>
        </w:trPr>
        <w:tc>
          <w:tcPr>
            <w:tcW w:w="3160" w:type="dxa"/>
            <w:tcBorders>
              <w:top w:val="nil"/>
              <w:left w:val="nil"/>
              <w:bottom w:val="nil"/>
              <w:right w:val="nil"/>
            </w:tcBorders>
            <w:shd w:val="clear" w:color="auto" w:fill="auto"/>
            <w:vAlign w:val="center"/>
            <w:hideMark/>
          </w:tcPr>
          <w:p w14:paraId="7447510E"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Observations</w:t>
            </w:r>
          </w:p>
        </w:tc>
        <w:tc>
          <w:tcPr>
            <w:tcW w:w="1340" w:type="dxa"/>
            <w:tcBorders>
              <w:top w:val="nil"/>
              <w:left w:val="nil"/>
              <w:bottom w:val="nil"/>
              <w:right w:val="nil"/>
            </w:tcBorders>
            <w:shd w:val="clear" w:color="auto" w:fill="auto"/>
            <w:vAlign w:val="center"/>
            <w:hideMark/>
          </w:tcPr>
          <w:p w14:paraId="6EFD8AC8"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67</w:t>
            </w:r>
          </w:p>
        </w:tc>
        <w:tc>
          <w:tcPr>
            <w:tcW w:w="1340" w:type="dxa"/>
            <w:tcBorders>
              <w:top w:val="nil"/>
              <w:left w:val="nil"/>
              <w:bottom w:val="nil"/>
              <w:right w:val="nil"/>
            </w:tcBorders>
            <w:shd w:val="clear" w:color="auto" w:fill="auto"/>
            <w:vAlign w:val="center"/>
            <w:hideMark/>
          </w:tcPr>
          <w:p w14:paraId="0FC20EE0"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67</w:t>
            </w:r>
          </w:p>
        </w:tc>
        <w:tc>
          <w:tcPr>
            <w:tcW w:w="1340" w:type="dxa"/>
            <w:tcBorders>
              <w:top w:val="nil"/>
              <w:left w:val="nil"/>
              <w:bottom w:val="nil"/>
              <w:right w:val="nil"/>
            </w:tcBorders>
            <w:shd w:val="clear" w:color="auto" w:fill="auto"/>
            <w:vAlign w:val="center"/>
            <w:hideMark/>
          </w:tcPr>
          <w:p w14:paraId="22C1505D"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65</w:t>
            </w:r>
          </w:p>
        </w:tc>
        <w:tc>
          <w:tcPr>
            <w:tcW w:w="1340" w:type="dxa"/>
            <w:tcBorders>
              <w:top w:val="nil"/>
              <w:left w:val="nil"/>
              <w:bottom w:val="nil"/>
              <w:right w:val="nil"/>
            </w:tcBorders>
            <w:shd w:val="clear" w:color="auto" w:fill="auto"/>
            <w:vAlign w:val="center"/>
            <w:hideMark/>
          </w:tcPr>
          <w:p w14:paraId="6D34C0F8"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65</w:t>
            </w:r>
          </w:p>
        </w:tc>
        <w:tc>
          <w:tcPr>
            <w:tcW w:w="1340" w:type="dxa"/>
            <w:tcBorders>
              <w:top w:val="nil"/>
              <w:left w:val="nil"/>
              <w:bottom w:val="nil"/>
              <w:right w:val="nil"/>
            </w:tcBorders>
            <w:shd w:val="clear" w:color="auto" w:fill="auto"/>
            <w:vAlign w:val="center"/>
            <w:hideMark/>
          </w:tcPr>
          <w:p w14:paraId="1BDBEB59"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66</w:t>
            </w:r>
          </w:p>
        </w:tc>
        <w:tc>
          <w:tcPr>
            <w:tcW w:w="2140" w:type="dxa"/>
            <w:tcBorders>
              <w:top w:val="nil"/>
              <w:left w:val="nil"/>
              <w:bottom w:val="nil"/>
              <w:right w:val="nil"/>
            </w:tcBorders>
            <w:shd w:val="clear" w:color="auto" w:fill="auto"/>
            <w:vAlign w:val="center"/>
            <w:hideMark/>
          </w:tcPr>
          <w:p w14:paraId="5EE0758B"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66</w:t>
            </w:r>
          </w:p>
        </w:tc>
      </w:tr>
      <w:tr w:rsidR="0088286D" w:rsidRPr="00F65686" w14:paraId="53D3B862" w14:textId="77777777" w:rsidTr="0088286D">
        <w:trPr>
          <w:trHeight w:val="324"/>
        </w:trPr>
        <w:tc>
          <w:tcPr>
            <w:tcW w:w="3160" w:type="dxa"/>
            <w:tcBorders>
              <w:top w:val="nil"/>
              <w:left w:val="nil"/>
              <w:bottom w:val="single" w:sz="8" w:space="0" w:color="auto"/>
              <w:right w:val="nil"/>
            </w:tcBorders>
            <w:shd w:val="clear" w:color="auto" w:fill="auto"/>
            <w:vAlign w:val="center"/>
            <w:hideMark/>
          </w:tcPr>
          <w:p w14:paraId="799AFBD0"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 xml:space="preserve">Adjusted </w:t>
            </w:r>
            <w:r w:rsidRPr="00F65686">
              <w:rPr>
                <w:rFonts w:ascii="Times New Roman" w:hAnsi="Times New Roman"/>
                <w:i/>
                <w:iCs/>
                <w:color w:val="000000"/>
                <w:sz w:val="20"/>
                <w:szCs w:val="20"/>
                <w:lang w:val="en-US" w:eastAsia="it-IT"/>
              </w:rPr>
              <w:t>R</w:t>
            </w:r>
            <w:r w:rsidRPr="00F65686">
              <w:rPr>
                <w:rFonts w:ascii="Times New Roman" w:hAnsi="Times New Roman"/>
                <w:color w:val="000000"/>
                <w:sz w:val="20"/>
                <w:szCs w:val="20"/>
                <w:vertAlign w:val="superscript"/>
                <w:lang w:val="en-US" w:eastAsia="it-IT"/>
              </w:rPr>
              <w:t>2</w:t>
            </w:r>
          </w:p>
        </w:tc>
        <w:tc>
          <w:tcPr>
            <w:tcW w:w="1340" w:type="dxa"/>
            <w:tcBorders>
              <w:top w:val="nil"/>
              <w:left w:val="nil"/>
              <w:bottom w:val="single" w:sz="8" w:space="0" w:color="auto"/>
              <w:right w:val="nil"/>
            </w:tcBorders>
            <w:shd w:val="clear" w:color="auto" w:fill="auto"/>
            <w:vAlign w:val="center"/>
            <w:hideMark/>
          </w:tcPr>
          <w:p w14:paraId="49BB421D"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 </w:t>
            </w:r>
          </w:p>
        </w:tc>
        <w:tc>
          <w:tcPr>
            <w:tcW w:w="1340" w:type="dxa"/>
            <w:tcBorders>
              <w:top w:val="nil"/>
              <w:left w:val="nil"/>
              <w:bottom w:val="single" w:sz="8" w:space="0" w:color="auto"/>
              <w:right w:val="nil"/>
            </w:tcBorders>
            <w:shd w:val="clear" w:color="auto" w:fill="auto"/>
            <w:vAlign w:val="center"/>
            <w:hideMark/>
          </w:tcPr>
          <w:p w14:paraId="2FE42D93"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 </w:t>
            </w:r>
          </w:p>
        </w:tc>
        <w:tc>
          <w:tcPr>
            <w:tcW w:w="1340" w:type="dxa"/>
            <w:tcBorders>
              <w:top w:val="nil"/>
              <w:left w:val="nil"/>
              <w:bottom w:val="single" w:sz="8" w:space="0" w:color="auto"/>
              <w:right w:val="nil"/>
            </w:tcBorders>
            <w:shd w:val="clear" w:color="auto" w:fill="auto"/>
            <w:vAlign w:val="center"/>
            <w:hideMark/>
          </w:tcPr>
          <w:p w14:paraId="5FB52E7A"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 </w:t>
            </w:r>
          </w:p>
        </w:tc>
        <w:tc>
          <w:tcPr>
            <w:tcW w:w="1340" w:type="dxa"/>
            <w:tcBorders>
              <w:top w:val="nil"/>
              <w:left w:val="nil"/>
              <w:bottom w:val="single" w:sz="8" w:space="0" w:color="auto"/>
              <w:right w:val="nil"/>
            </w:tcBorders>
            <w:shd w:val="clear" w:color="auto" w:fill="auto"/>
            <w:vAlign w:val="center"/>
            <w:hideMark/>
          </w:tcPr>
          <w:p w14:paraId="44C4E280"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 </w:t>
            </w:r>
          </w:p>
        </w:tc>
        <w:tc>
          <w:tcPr>
            <w:tcW w:w="1340" w:type="dxa"/>
            <w:tcBorders>
              <w:top w:val="nil"/>
              <w:left w:val="nil"/>
              <w:bottom w:val="single" w:sz="8" w:space="0" w:color="auto"/>
              <w:right w:val="nil"/>
            </w:tcBorders>
            <w:shd w:val="clear" w:color="auto" w:fill="auto"/>
            <w:vAlign w:val="center"/>
            <w:hideMark/>
          </w:tcPr>
          <w:p w14:paraId="50321CB8"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 </w:t>
            </w:r>
          </w:p>
        </w:tc>
        <w:tc>
          <w:tcPr>
            <w:tcW w:w="2140" w:type="dxa"/>
            <w:tcBorders>
              <w:top w:val="nil"/>
              <w:left w:val="nil"/>
              <w:bottom w:val="single" w:sz="8" w:space="0" w:color="auto"/>
              <w:right w:val="nil"/>
            </w:tcBorders>
            <w:shd w:val="clear" w:color="auto" w:fill="auto"/>
            <w:vAlign w:val="center"/>
            <w:hideMark/>
          </w:tcPr>
          <w:p w14:paraId="2D849EFA" w14:textId="77777777" w:rsidR="0088286D" w:rsidRPr="00F65686" w:rsidRDefault="0088286D" w:rsidP="00F65686">
            <w:pPr>
              <w:spacing w:after="0" w:line="240" w:lineRule="auto"/>
              <w:jc w:val="center"/>
              <w:rPr>
                <w:rFonts w:ascii="Times New Roman" w:hAnsi="Times New Roman"/>
                <w:color w:val="000000"/>
                <w:sz w:val="20"/>
                <w:szCs w:val="20"/>
                <w:lang w:eastAsia="it-IT"/>
              </w:rPr>
            </w:pPr>
            <w:r w:rsidRPr="00F65686">
              <w:rPr>
                <w:rFonts w:ascii="Times New Roman" w:hAnsi="Times New Roman"/>
                <w:color w:val="000000"/>
                <w:sz w:val="20"/>
                <w:szCs w:val="20"/>
                <w:lang w:val="en-US" w:eastAsia="it-IT"/>
              </w:rPr>
              <w:t> </w:t>
            </w:r>
          </w:p>
        </w:tc>
      </w:tr>
    </w:tbl>
    <w:p w14:paraId="3B71EA6E" w14:textId="77777777" w:rsidR="00EF7E2D" w:rsidRPr="00F65686" w:rsidRDefault="00EF7E2D" w:rsidP="00F65686">
      <w:pPr>
        <w:pStyle w:val="Didascalia"/>
        <w:spacing w:after="0"/>
        <w:jc w:val="both"/>
        <w:rPr>
          <w:rFonts w:ascii="Times New Roman" w:hAnsi="Times New Roman"/>
          <w:sz w:val="20"/>
          <w:szCs w:val="20"/>
          <w:lang w:val="en-US"/>
        </w:rPr>
      </w:pPr>
      <w:r w:rsidRPr="00F65686">
        <w:rPr>
          <w:rFonts w:ascii="Times New Roman" w:hAnsi="Times New Roman"/>
          <w:sz w:val="20"/>
          <w:szCs w:val="20"/>
          <w:lang w:val="en-US"/>
        </w:rPr>
        <w:t xml:space="preserve">Table </w:t>
      </w:r>
      <w:r w:rsidRPr="00F65686">
        <w:rPr>
          <w:rFonts w:ascii="Times New Roman" w:hAnsi="Times New Roman"/>
          <w:sz w:val="20"/>
          <w:lang w:val="en-US"/>
        </w:rPr>
        <w:t>3</w:t>
      </w:r>
      <w:r w:rsidRPr="00F65686">
        <w:rPr>
          <w:rFonts w:ascii="Times New Roman" w:hAnsi="Times New Roman"/>
          <w:sz w:val="20"/>
          <w:szCs w:val="20"/>
          <w:lang w:val="en-US"/>
        </w:rPr>
        <w:t>. Dose-response function estimates of voucher program impact</w:t>
      </w:r>
    </w:p>
    <w:p w14:paraId="00929EB8" w14:textId="77777777" w:rsidR="00A83B2B" w:rsidRPr="00F65686" w:rsidRDefault="00EF7E2D" w:rsidP="00F65686">
      <w:pPr>
        <w:spacing w:after="120"/>
        <w:jc w:val="both"/>
        <w:rPr>
          <w:rFonts w:ascii="Times New Roman" w:hAnsi="Times New Roman"/>
          <w:i/>
          <w:sz w:val="20"/>
          <w:szCs w:val="20"/>
          <w:lang w:val="en-US"/>
        </w:rPr>
        <w:sectPr w:rsidR="00A83B2B" w:rsidRPr="00F65686" w:rsidSect="00EF7E2D">
          <w:pgSz w:w="16838" w:h="11906" w:orient="landscape"/>
          <w:pgMar w:top="1134" w:right="1417" w:bottom="1134" w:left="1134" w:header="708" w:footer="708" w:gutter="0"/>
          <w:cols w:space="708"/>
          <w:docGrid w:linePitch="360"/>
        </w:sectPr>
      </w:pPr>
      <w:r w:rsidRPr="00F65686">
        <w:rPr>
          <w:rFonts w:ascii="Times New Roman" w:hAnsi="Times New Roman"/>
          <w:i/>
          <w:sz w:val="20"/>
          <w:szCs w:val="20"/>
          <w:lang w:val="en-US"/>
        </w:rPr>
        <w:t>Heteroskedasticity-robust standard errors in brackets. ***, **, and *: significant respectively at the 9</w:t>
      </w:r>
      <w:r w:rsidR="00DA4FA3" w:rsidRPr="00F65686">
        <w:rPr>
          <w:rFonts w:ascii="Times New Roman" w:hAnsi="Times New Roman"/>
          <w:i/>
          <w:sz w:val="20"/>
          <w:szCs w:val="20"/>
          <w:lang w:val="en-US"/>
        </w:rPr>
        <w:t>8</w:t>
      </w:r>
      <w:r w:rsidRPr="00F65686">
        <w:rPr>
          <w:rFonts w:ascii="Times New Roman" w:hAnsi="Times New Roman"/>
          <w:i/>
          <w:sz w:val="20"/>
          <w:szCs w:val="20"/>
          <w:lang w:val="en-US"/>
        </w:rPr>
        <w:t>%, 9</w:t>
      </w:r>
      <w:r w:rsidR="00DA4FA3" w:rsidRPr="00F65686">
        <w:rPr>
          <w:rFonts w:ascii="Times New Roman" w:hAnsi="Times New Roman"/>
          <w:i/>
          <w:sz w:val="20"/>
          <w:szCs w:val="20"/>
          <w:lang w:val="en-US"/>
        </w:rPr>
        <w:t>2.5</w:t>
      </w:r>
      <w:r w:rsidRPr="00F65686">
        <w:rPr>
          <w:rFonts w:ascii="Times New Roman" w:hAnsi="Times New Roman"/>
          <w:i/>
          <w:sz w:val="20"/>
          <w:szCs w:val="20"/>
          <w:lang w:val="en-US"/>
        </w:rPr>
        <w:t xml:space="preserve">%, and </w:t>
      </w:r>
      <w:r w:rsidR="00DA4FA3" w:rsidRPr="00F65686">
        <w:rPr>
          <w:rFonts w:ascii="Times New Roman" w:hAnsi="Times New Roman"/>
          <w:i/>
          <w:sz w:val="20"/>
          <w:szCs w:val="20"/>
          <w:lang w:val="en-US"/>
        </w:rPr>
        <w:t>85</w:t>
      </w:r>
      <w:r w:rsidRPr="00F65686">
        <w:rPr>
          <w:rFonts w:ascii="Times New Roman" w:hAnsi="Times New Roman"/>
          <w:i/>
          <w:sz w:val="20"/>
          <w:szCs w:val="20"/>
          <w:lang w:val="en-US"/>
        </w:rPr>
        <w:t>% confidence level.</w:t>
      </w:r>
    </w:p>
    <w:p w14:paraId="0475B367" w14:textId="77777777" w:rsidR="00A83B2B" w:rsidRPr="00F65686" w:rsidRDefault="00A83B2B" w:rsidP="00F65686">
      <w:pPr>
        <w:spacing w:after="120"/>
        <w:jc w:val="both"/>
        <w:rPr>
          <w:rFonts w:ascii="Times New Roman" w:hAnsi="Times New Roman"/>
          <w:lang w:val="en-US"/>
        </w:rPr>
      </w:pPr>
      <w:r w:rsidRPr="00F65686">
        <w:rPr>
          <w:rFonts w:ascii="Times New Roman" w:hAnsi="Times New Roman"/>
          <w:lang w:val="en-US"/>
        </w:rPr>
        <w:lastRenderedPageBreak/>
        <w:t>Results suggest a positive and highly significant association between treatment intensity and the three policy outcomes. Interestingly, across all specifications only when not controlling for having a clearly defined idea is the assessed impact of the voucher positive and significant. This means that the voucher programme really started a process of knowledge churning, evident in particular in Column (6), which tells us that firms not having an initially clear idea developed serendipitous results, that firms that did not receive the voucher eventually did not achieve (as evident by the insignificant potential outcome for non-treated firms).</w:t>
      </w:r>
    </w:p>
    <w:p w14:paraId="32701660" w14:textId="77777777" w:rsidR="00A83B2B" w:rsidRPr="00F65686" w:rsidRDefault="00A83B2B" w:rsidP="00F65686">
      <w:pPr>
        <w:spacing w:after="120"/>
        <w:jc w:val="both"/>
        <w:rPr>
          <w:rFonts w:ascii="Times New Roman" w:hAnsi="Times New Roman"/>
          <w:lang w:val="en-US"/>
        </w:rPr>
      </w:pPr>
      <w:r w:rsidRPr="00F65686">
        <w:rPr>
          <w:rFonts w:ascii="Times New Roman" w:hAnsi="Times New Roman"/>
          <w:lang w:val="en-US"/>
        </w:rPr>
        <w:t>Estimates suggest that the amount of public co-funding did not have a statistically significant effect, while firm size does enhance the probability to obtain the voucher, which reinforces the expectation that firm size comes with a larger skill set, capable of addressing complex public procurement tenders more easily. Moreover, among other relevant controls, some evidence that geographical proximity between beneficiaries and service providers enhances cooperation is presented, with strong statistical significance for models showing the impact of vouchers on firm turnover (Columns 1-2).</w:t>
      </w:r>
    </w:p>
    <w:p w14:paraId="1117398E" w14:textId="77777777" w:rsidR="00A83B2B" w:rsidRPr="00F65686" w:rsidRDefault="00A83B2B" w:rsidP="00F65686">
      <w:pPr>
        <w:spacing w:after="120"/>
        <w:jc w:val="both"/>
        <w:rPr>
          <w:rFonts w:ascii="Times New Roman" w:hAnsi="Times New Roman"/>
          <w:lang w:val="en-US"/>
        </w:rPr>
      </w:pPr>
      <w:bookmarkStart w:id="5" w:name="_Hlk83643523"/>
      <w:r w:rsidRPr="00F65686">
        <w:rPr>
          <w:rFonts w:ascii="Times New Roman" w:hAnsi="Times New Roman"/>
          <w:lang w:val="en-US"/>
        </w:rPr>
        <w:t>Lastly, the voucher did manage to bring firms located in technological and social contexts together. Evidence about the impact of such factors in driving the effectiveness of vouchers is mixed and typically not significant, thereby suggesting that firms located in technologically diverse spaces and in social contexts marked by cultural differences are not necessarily more prone to cooperate, or benefit more from voucher-types of programs.</w:t>
      </w:r>
      <w:bookmarkEnd w:id="5"/>
    </w:p>
    <w:p w14:paraId="4307C228" w14:textId="77777777" w:rsidR="00A83B2B" w:rsidRPr="00F65686" w:rsidRDefault="00A83B2B" w:rsidP="00F65686">
      <w:pPr>
        <w:spacing w:after="120"/>
        <w:jc w:val="both"/>
        <w:rPr>
          <w:rFonts w:ascii="Times New Roman" w:hAnsi="Times New Roman"/>
          <w:lang w:val="en-US"/>
        </w:rPr>
      </w:pPr>
      <w:r w:rsidRPr="00F65686">
        <w:rPr>
          <w:rFonts w:ascii="Times New Roman" w:hAnsi="Times New Roman"/>
          <w:lang w:val="en-US"/>
        </w:rPr>
        <w:t>A crucial question of this study is whether voucher impact varied along the range of treatment defined by this program. This is graphically illustrated in Figures 1.x, showing dose-response functions of innovation vouchers concerning higher turnover (Figure 1.a), development of new skills (Figure 1.b), and achieving unforeseen results (Figure 1.c). In Figure 1, all LHS panels show level effects, while RHS panels display growth ones.</w:t>
      </w:r>
    </w:p>
    <w:p w14:paraId="1BB05841" w14:textId="47B3136D" w:rsidR="00A83B2B" w:rsidRPr="00F65686" w:rsidRDefault="00A83B2B" w:rsidP="00F65686">
      <w:pPr>
        <w:spacing w:after="120"/>
        <w:jc w:val="both"/>
        <w:rPr>
          <w:rFonts w:ascii="Times New Roman" w:hAnsi="Times New Roman"/>
          <w:lang w:val="en-US"/>
        </w:rPr>
      </w:pPr>
      <w:r w:rsidRPr="00F65686">
        <w:rPr>
          <w:rFonts w:ascii="Times New Roman" w:hAnsi="Times New Roman"/>
          <w:lang w:val="en-US"/>
        </w:rPr>
        <w:t>All figures suggest that the impact of the voucher on firm turnover is positive and significant for relatively limited amounts of funding. As the intensity of treatment increases, response quickly approaches nil. Even controlling for heterogeneity in types of vouchers employed, this outcome suggests that turnover increase is stronger for smaller doses, and quickly vanishes afterwards.</w:t>
      </w:r>
    </w:p>
    <w:p w14:paraId="3BFD0E32" w14:textId="77777777" w:rsidR="00A83B2B" w:rsidRPr="00F65686" w:rsidRDefault="00A83B2B" w:rsidP="00F65686">
      <w:pPr>
        <w:spacing w:after="120"/>
        <w:jc w:val="both"/>
        <w:rPr>
          <w:rFonts w:ascii="Times New Roman" w:hAnsi="Times New Roman"/>
          <w:lang w:val="en-US"/>
        </w:rPr>
      </w:pPr>
    </w:p>
    <w:p w14:paraId="57367DFE" w14:textId="77777777" w:rsidR="00A83B2B" w:rsidRPr="00F65686" w:rsidRDefault="00A83B2B" w:rsidP="00F65686">
      <w:pPr>
        <w:pStyle w:val="Titolo3"/>
        <w:jc w:val="both"/>
        <w:rPr>
          <w:rFonts w:ascii="Times New Roman" w:hAnsi="Times New Roman"/>
          <w:lang w:val="en-US"/>
        </w:rPr>
      </w:pPr>
      <w:r w:rsidRPr="00F65686">
        <w:rPr>
          <w:rFonts w:ascii="Times New Roman" w:hAnsi="Times New Roman"/>
          <w:lang w:val="en-US"/>
        </w:rPr>
        <w:t>4.2</w:t>
      </w:r>
      <w:r w:rsidRPr="00F65686">
        <w:rPr>
          <w:rFonts w:ascii="Times New Roman" w:hAnsi="Times New Roman"/>
          <w:lang w:val="en-US"/>
        </w:rPr>
        <w:tab/>
        <w:t>Discussion</w:t>
      </w:r>
    </w:p>
    <w:p w14:paraId="608C64F2" w14:textId="77777777" w:rsidR="00A83B2B" w:rsidRPr="00F65686" w:rsidRDefault="00A83B2B" w:rsidP="00F65686">
      <w:pPr>
        <w:spacing w:after="120"/>
        <w:jc w:val="both"/>
        <w:rPr>
          <w:rFonts w:ascii="Times New Roman" w:hAnsi="Times New Roman"/>
          <w:lang w:val="en-US"/>
        </w:rPr>
      </w:pPr>
      <w:r w:rsidRPr="00F65686">
        <w:rPr>
          <w:rFonts w:ascii="Times New Roman" w:hAnsi="Times New Roman"/>
          <w:lang w:val="en-US"/>
        </w:rPr>
        <w:t xml:space="preserve">Consistently with the small size and narrow scope of innovation vouchers, the literature on innovation vouchers tends to suggest a positive albeit limited impact (Bakhshi et al, 2015). This piece of research focuses on output additionalities such as revenue increase, new skills development and unexpected results. The first two have been at the center of most evaluations (Coletti and Landoni, 2018). However, to the best of our knowledge, this is the first study on a large sample showing the achievement of unforeseen results through vouchers. This is consistent with prior evidence from a multiple case study from two schemes implemented by Lombardy Region in 2003 and 2005 (Sala et al., 2016). Case studies, including three SMEs belonging to the manufacturing sector, three for the ICT sector and one in the chemical industry, aimed at investigating how beneficiaries selected and interacted with suppliers and which benefits and outcomes were accomplished. In almost all the cases, voucher-based projects, devoted to solving technical issues and testing improvements in innovative products, yielded considerable results. Furthermore, it turned out that in four out of seven cases close interaction with </w:t>
      </w:r>
      <w:r w:rsidRPr="00F65686">
        <w:rPr>
          <w:rFonts w:ascii="Times New Roman" w:hAnsi="Times New Roman"/>
          <w:lang w:val="en-GB"/>
        </w:rPr>
        <w:t>knowledge suppliers</w:t>
      </w:r>
      <w:r w:rsidRPr="00F65686">
        <w:rPr>
          <w:rFonts w:ascii="Times New Roman" w:hAnsi="Times New Roman"/>
          <w:lang w:val="en-US"/>
        </w:rPr>
        <w:t xml:space="preserve"> gave rise to follow-up projects to develop new business ideas.</w:t>
      </w:r>
    </w:p>
    <w:p w14:paraId="379BE1AB" w14:textId="0B77AD3A" w:rsidR="00D92137" w:rsidRPr="00F65686" w:rsidRDefault="00A83B2B" w:rsidP="00F65686">
      <w:pPr>
        <w:spacing w:after="120"/>
        <w:jc w:val="both"/>
        <w:rPr>
          <w:rFonts w:ascii="Times New Roman" w:hAnsi="Times New Roman"/>
          <w:lang w:val="en-US"/>
        </w:rPr>
      </w:pPr>
      <w:r w:rsidRPr="00F65686">
        <w:rPr>
          <w:rFonts w:ascii="Times New Roman" w:hAnsi="Times New Roman"/>
          <w:lang w:val="en-US"/>
        </w:rPr>
        <w:t xml:space="preserve">Serendipity is a key ingredient of discovery (Copeland, 2009), but policymakers tend to shy away from seeking objectives that are not linear or look somewhat haphazard. The main contribution of this paper is in fact that the indirect impact of innovation vouchers can be at least as important as the direct one. Most beneficiaries </w:t>
      </w:r>
    </w:p>
    <w:p w14:paraId="1FCC0F67" w14:textId="7277AF4B" w:rsidR="00EF7E2D" w:rsidRPr="00F65686" w:rsidRDefault="00EF7E2D" w:rsidP="00F65686">
      <w:pPr>
        <w:spacing w:after="120"/>
        <w:jc w:val="both"/>
        <w:rPr>
          <w:rFonts w:ascii="Times New Roman" w:hAnsi="Times New Roman"/>
          <w:lang w:val="en-US"/>
        </w:rPr>
        <w:sectPr w:rsidR="00EF7E2D" w:rsidRPr="00F65686" w:rsidSect="00A83B2B">
          <w:pgSz w:w="11906" w:h="16838"/>
          <w:pgMar w:top="1417" w:right="1134" w:bottom="1134" w:left="1134" w:header="708" w:footer="708" w:gutter="0"/>
          <w:cols w:space="708"/>
          <w:docGrid w:linePitch="360"/>
        </w:sectPr>
      </w:pPr>
    </w:p>
    <w:p w14:paraId="6FB08C65" w14:textId="0E7CBB25" w:rsidR="005D3FDF" w:rsidRPr="00F65686" w:rsidRDefault="005D3FDF" w:rsidP="00F65686">
      <w:pPr>
        <w:pStyle w:val="Didascalia"/>
        <w:keepNext/>
        <w:spacing w:after="120" w:line="276" w:lineRule="auto"/>
        <w:jc w:val="both"/>
        <w:rPr>
          <w:rFonts w:ascii="Times New Roman" w:hAnsi="Times New Roman"/>
          <w:color w:val="auto"/>
          <w:sz w:val="20"/>
          <w:szCs w:val="20"/>
          <w:lang w:val="en-US"/>
        </w:rPr>
      </w:pPr>
      <w:r w:rsidRPr="00F65686">
        <w:rPr>
          <w:rFonts w:ascii="Times New Roman" w:hAnsi="Times New Roman"/>
          <w:color w:val="auto"/>
          <w:sz w:val="20"/>
          <w:szCs w:val="20"/>
          <w:lang w:val="en-US"/>
        </w:rPr>
        <w:lastRenderedPageBreak/>
        <w:t xml:space="preserve">Figure </w:t>
      </w:r>
      <w:r w:rsidRPr="00F65686">
        <w:rPr>
          <w:rFonts w:ascii="Times New Roman" w:hAnsi="Times New Roman"/>
          <w:color w:val="auto"/>
          <w:sz w:val="20"/>
          <w:szCs w:val="20"/>
        </w:rPr>
        <w:fldChar w:fldCharType="begin"/>
      </w:r>
      <w:r w:rsidRPr="00F65686">
        <w:rPr>
          <w:rFonts w:ascii="Times New Roman" w:hAnsi="Times New Roman"/>
          <w:color w:val="auto"/>
          <w:sz w:val="20"/>
          <w:szCs w:val="20"/>
          <w:lang w:val="en-US"/>
        </w:rPr>
        <w:instrText xml:space="preserve"> SEQ Figure \* ARABIC </w:instrText>
      </w:r>
      <w:r w:rsidRPr="00F65686">
        <w:rPr>
          <w:rFonts w:ascii="Times New Roman" w:hAnsi="Times New Roman"/>
          <w:color w:val="auto"/>
          <w:sz w:val="20"/>
          <w:szCs w:val="20"/>
        </w:rPr>
        <w:fldChar w:fldCharType="separate"/>
      </w:r>
      <w:r w:rsidRPr="00F65686">
        <w:rPr>
          <w:rFonts w:ascii="Times New Roman" w:hAnsi="Times New Roman"/>
          <w:noProof/>
          <w:color w:val="auto"/>
          <w:sz w:val="20"/>
          <w:szCs w:val="20"/>
          <w:lang w:val="en-US"/>
        </w:rPr>
        <w:t>1</w:t>
      </w:r>
      <w:r w:rsidRPr="00F65686">
        <w:rPr>
          <w:rFonts w:ascii="Times New Roman" w:hAnsi="Times New Roman"/>
          <w:color w:val="auto"/>
          <w:sz w:val="20"/>
          <w:szCs w:val="20"/>
        </w:rPr>
        <w:fldChar w:fldCharType="end"/>
      </w:r>
      <w:r w:rsidRPr="00F65686">
        <w:rPr>
          <w:rFonts w:ascii="Times New Roman" w:hAnsi="Times New Roman"/>
          <w:color w:val="auto"/>
          <w:sz w:val="20"/>
          <w:szCs w:val="20"/>
          <w:lang w:val="en-US"/>
        </w:rPr>
        <w:t>.</w:t>
      </w:r>
      <w:r w:rsidR="0019477B" w:rsidRPr="00F65686">
        <w:rPr>
          <w:rFonts w:ascii="Times New Roman" w:hAnsi="Times New Roman"/>
          <w:color w:val="auto"/>
          <w:sz w:val="20"/>
          <w:szCs w:val="20"/>
          <w:lang w:val="en-US"/>
        </w:rPr>
        <w:t>a</w:t>
      </w:r>
      <w:r w:rsidRPr="00F65686">
        <w:rPr>
          <w:rFonts w:ascii="Times New Roman" w:hAnsi="Times New Roman"/>
          <w:color w:val="auto"/>
          <w:sz w:val="20"/>
          <w:szCs w:val="20"/>
          <w:lang w:val="en-US"/>
        </w:rPr>
        <w:t xml:space="preserve"> </w:t>
      </w:r>
      <w:r w:rsidR="0019477B" w:rsidRPr="00F65686">
        <w:rPr>
          <w:rFonts w:ascii="Times New Roman" w:hAnsi="Times New Roman"/>
          <w:color w:val="auto"/>
          <w:sz w:val="20"/>
          <w:szCs w:val="20"/>
          <w:lang w:val="en-US"/>
        </w:rPr>
        <w:t>- DRF</w:t>
      </w:r>
      <w:r w:rsidRPr="00F65686">
        <w:rPr>
          <w:rFonts w:ascii="Times New Roman" w:hAnsi="Times New Roman"/>
          <w:color w:val="auto"/>
          <w:sz w:val="20"/>
          <w:szCs w:val="20"/>
          <w:lang w:val="en-US"/>
        </w:rPr>
        <w:t xml:space="preserve"> of innovation vouchers on higher turnover</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D3FDF" w:rsidRPr="00F65686" w14:paraId="1BB2E84B" w14:textId="77777777" w:rsidTr="00F71873">
        <w:trPr>
          <w:jc w:val="center"/>
        </w:trPr>
        <w:tc>
          <w:tcPr>
            <w:tcW w:w="9778" w:type="dxa"/>
          </w:tcPr>
          <w:p w14:paraId="3B4F6F67" w14:textId="5D73F50D" w:rsidR="005D3FDF" w:rsidRPr="00F65686" w:rsidRDefault="00D92137" w:rsidP="00F65686">
            <w:pPr>
              <w:spacing w:after="120"/>
              <w:jc w:val="both"/>
              <w:rPr>
                <w:rFonts w:ascii="Times New Roman" w:hAnsi="Times New Roman"/>
                <w:sz w:val="20"/>
                <w:szCs w:val="20"/>
                <w:lang w:val="en-US"/>
              </w:rPr>
            </w:pPr>
            <w:r w:rsidRPr="00F65686">
              <w:rPr>
                <w:rFonts w:ascii="Times New Roman" w:hAnsi="Times New Roman"/>
                <w:noProof/>
                <w:sz w:val="20"/>
                <w:szCs w:val="20"/>
                <w:lang w:val="fr-FR" w:eastAsia="fr-FR"/>
              </w:rPr>
              <w:drawing>
                <wp:inline distT="0" distB="0" distL="0" distR="0" wp14:anchorId="448CD67A" wp14:editId="070D6DB1">
                  <wp:extent cx="3611857" cy="2628000"/>
                  <wp:effectExtent l="0" t="0" r="8255"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e-response impact for higher income.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11857" cy="2628000"/>
                          </a:xfrm>
                          <a:prstGeom prst="rect">
                            <a:avLst/>
                          </a:prstGeom>
                        </pic:spPr>
                      </pic:pic>
                    </a:graphicData>
                  </a:graphic>
                </wp:inline>
              </w:drawing>
            </w:r>
          </w:p>
          <w:p w14:paraId="6306ECAF" w14:textId="17E73FDB" w:rsidR="0019477B" w:rsidRPr="00F65686" w:rsidRDefault="0019477B" w:rsidP="00F65686">
            <w:pPr>
              <w:spacing w:after="120"/>
              <w:jc w:val="both"/>
              <w:rPr>
                <w:rFonts w:ascii="Times New Roman" w:hAnsi="Times New Roman"/>
                <w:b/>
                <w:lang w:val="en-US"/>
              </w:rPr>
            </w:pPr>
            <w:r w:rsidRPr="00F65686">
              <w:rPr>
                <w:rFonts w:ascii="Times New Roman" w:hAnsi="Times New Roman"/>
                <w:b/>
                <w:sz w:val="20"/>
                <w:szCs w:val="20"/>
                <w:lang w:val="en-US"/>
              </w:rPr>
              <w:t xml:space="preserve">Figure 1.b - DRF of innovation vouchers on development of new skills </w:t>
            </w:r>
          </w:p>
        </w:tc>
      </w:tr>
      <w:tr w:rsidR="005D3FDF" w:rsidRPr="00F65686" w14:paraId="6DC1FCCC" w14:textId="77777777" w:rsidTr="00F71873">
        <w:trPr>
          <w:jc w:val="center"/>
        </w:trPr>
        <w:tc>
          <w:tcPr>
            <w:tcW w:w="9778" w:type="dxa"/>
          </w:tcPr>
          <w:p w14:paraId="5B482B38" w14:textId="7D48408F" w:rsidR="005D3FDF" w:rsidRPr="00F65686" w:rsidRDefault="00D92137" w:rsidP="00F65686">
            <w:pPr>
              <w:spacing w:after="120"/>
              <w:jc w:val="both"/>
              <w:rPr>
                <w:rFonts w:ascii="Times New Roman" w:hAnsi="Times New Roman"/>
                <w:lang w:val="en-US"/>
              </w:rPr>
            </w:pPr>
            <w:r w:rsidRPr="00F65686">
              <w:rPr>
                <w:rFonts w:ascii="Times New Roman" w:hAnsi="Times New Roman"/>
                <w:noProof/>
                <w:lang w:val="fr-FR" w:eastAsia="fr-FR"/>
              </w:rPr>
              <w:drawing>
                <wp:inline distT="0" distB="0" distL="0" distR="0" wp14:anchorId="57E1AAA1" wp14:editId="13D072DF">
                  <wp:extent cx="3611857" cy="2628000"/>
                  <wp:effectExtent l="0" t="0" r="8255"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se-response impact for new skills.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11857" cy="2628000"/>
                          </a:xfrm>
                          <a:prstGeom prst="rect">
                            <a:avLst/>
                          </a:prstGeom>
                        </pic:spPr>
                      </pic:pic>
                    </a:graphicData>
                  </a:graphic>
                </wp:inline>
              </w:drawing>
            </w:r>
          </w:p>
          <w:p w14:paraId="39863C3F" w14:textId="16BF328E" w:rsidR="0019477B" w:rsidRPr="00F65686" w:rsidRDefault="0019477B" w:rsidP="00F65686">
            <w:pPr>
              <w:spacing w:after="120"/>
              <w:jc w:val="both"/>
              <w:rPr>
                <w:rFonts w:ascii="Times New Roman" w:hAnsi="Times New Roman"/>
                <w:b/>
                <w:lang w:val="en-US"/>
              </w:rPr>
            </w:pPr>
            <w:r w:rsidRPr="00F65686">
              <w:rPr>
                <w:rFonts w:ascii="Times New Roman" w:hAnsi="Times New Roman"/>
                <w:b/>
                <w:sz w:val="20"/>
                <w:szCs w:val="20"/>
                <w:lang w:val="en-US"/>
              </w:rPr>
              <w:t>Figure 1.c - DRF of innovation vouchers on achieving unforeseen results</w:t>
            </w:r>
          </w:p>
        </w:tc>
      </w:tr>
      <w:tr w:rsidR="005D3FDF" w:rsidRPr="00F65686" w14:paraId="599A98BE" w14:textId="77777777" w:rsidTr="00F71873">
        <w:trPr>
          <w:jc w:val="center"/>
        </w:trPr>
        <w:tc>
          <w:tcPr>
            <w:tcW w:w="9778" w:type="dxa"/>
          </w:tcPr>
          <w:p w14:paraId="460C1BFD" w14:textId="3ADCB578" w:rsidR="005D3FDF" w:rsidRPr="00F65686" w:rsidRDefault="00D92137" w:rsidP="00F65686">
            <w:pPr>
              <w:spacing w:after="120"/>
              <w:jc w:val="both"/>
              <w:rPr>
                <w:rFonts w:ascii="Times New Roman" w:hAnsi="Times New Roman"/>
                <w:lang w:val="en-US"/>
              </w:rPr>
            </w:pPr>
            <w:r w:rsidRPr="00F65686">
              <w:rPr>
                <w:rFonts w:ascii="Times New Roman" w:hAnsi="Times New Roman"/>
                <w:noProof/>
                <w:lang w:val="fr-FR" w:eastAsia="fr-FR"/>
              </w:rPr>
              <w:drawing>
                <wp:inline distT="0" distB="0" distL="0" distR="0" wp14:anchorId="402A8E1E" wp14:editId="47E197F1">
                  <wp:extent cx="3611857" cy="2628000"/>
                  <wp:effectExtent l="0" t="0" r="8255" b="127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se-response impact for serendipitous results.e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11857" cy="2628000"/>
                          </a:xfrm>
                          <a:prstGeom prst="rect">
                            <a:avLst/>
                          </a:prstGeom>
                        </pic:spPr>
                      </pic:pic>
                    </a:graphicData>
                  </a:graphic>
                </wp:inline>
              </w:drawing>
            </w:r>
          </w:p>
        </w:tc>
      </w:tr>
    </w:tbl>
    <w:p w14:paraId="1AE29714" w14:textId="77777777" w:rsidR="005D3FDF" w:rsidRPr="00F65686" w:rsidRDefault="00F71873" w:rsidP="00F65686">
      <w:pPr>
        <w:spacing w:after="120"/>
        <w:jc w:val="both"/>
        <w:rPr>
          <w:rFonts w:ascii="Times New Roman" w:hAnsi="Times New Roman"/>
          <w:i/>
          <w:sz w:val="20"/>
          <w:szCs w:val="20"/>
          <w:lang w:val="en-US"/>
        </w:rPr>
      </w:pPr>
      <w:r w:rsidRPr="00F65686">
        <w:rPr>
          <w:rFonts w:ascii="Times New Roman" w:hAnsi="Times New Roman"/>
          <w:i/>
          <w:sz w:val="20"/>
          <w:szCs w:val="20"/>
          <w:lang w:val="en-US"/>
        </w:rPr>
        <w:t>Source: Authors’ elaboration</w:t>
      </w:r>
    </w:p>
    <w:p w14:paraId="3830FE7D" w14:textId="1F3F2868" w:rsidR="00A83B2B" w:rsidRPr="00F65686" w:rsidRDefault="00A83B2B" w:rsidP="00F65686">
      <w:pPr>
        <w:spacing w:after="120"/>
        <w:jc w:val="both"/>
        <w:rPr>
          <w:rFonts w:ascii="Times New Roman" w:hAnsi="Times New Roman"/>
          <w:lang w:val="en-US"/>
        </w:rPr>
      </w:pPr>
      <w:r w:rsidRPr="00F65686">
        <w:rPr>
          <w:rFonts w:ascii="Times New Roman" w:hAnsi="Times New Roman"/>
          <w:lang w:val="en-US"/>
        </w:rPr>
        <w:lastRenderedPageBreak/>
        <w:t>acquired or developed new competencies through technology transfer from the knowledge supplier, or during the collaboration with them. Another mechanism for acquiring competencies is hiring qualified people, and this was among the actions supported by the scheme.</w:t>
      </w:r>
    </w:p>
    <w:p w14:paraId="29D303A2" w14:textId="7CAB2905" w:rsidR="00A83B2B" w:rsidRPr="00F65686" w:rsidRDefault="00A83B2B" w:rsidP="00F65686">
      <w:pPr>
        <w:jc w:val="both"/>
        <w:rPr>
          <w:rFonts w:ascii="Times New Roman" w:hAnsi="Times New Roman"/>
          <w:lang w:val="en-US"/>
        </w:rPr>
      </w:pPr>
      <w:r w:rsidRPr="00F65686">
        <w:rPr>
          <w:rFonts w:ascii="Times New Roman" w:hAnsi="Times New Roman"/>
          <w:lang w:val="en-US"/>
        </w:rPr>
        <w:t>The achievement of unforeseen results is as much likely as developing new skills, which can be somewhat expected in an innovation project, no matter how small. The survey neither dug into the nature of these results, nor investigated what the beneficiary firms did with unforeseen outcomes. However, it is likely that decisions were taken accordingly. The scope of these projects was broadened in directions not conceivable in the initial proposal. The novelty here is that serendipity is associated with an innovation policy, and specifically with voucher schemes.</w:t>
      </w:r>
    </w:p>
    <w:p w14:paraId="4D51919D" w14:textId="77777777" w:rsidR="00A83B2B" w:rsidRPr="00F65686" w:rsidRDefault="00A83B2B" w:rsidP="00F65686">
      <w:pPr>
        <w:jc w:val="both"/>
        <w:rPr>
          <w:rFonts w:ascii="Times New Roman" w:hAnsi="Times New Roman"/>
          <w:lang w:val="en-US"/>
        </w:rPr>
      </w:pPr>
    </w:p>
    <w:p w14:paraId="12A6E53E" w14:textId="70E1568F" w:rsidR="009A57D2" w:rsidRPr="00F65686" w:rsidRDefault="008C7B1C" w:rsidP="00F65686">
      <w:pPr>
        <w:pStyle w:val="Titolo3"/>
        <w:jc w:val="both"/>
        <w:rPr>
          <w:rFonts w:ascii="Times New Roman" w:hAnsi="Times New Roman"/>
          <w:lang w:val="en-US"/>
        </w:rPr>
      </w:pPr>
      <w:r w:rsidRPr="00F65686">
        <w:rPr>
          <w:rFonts w:ascii="Times New Roman" w:hAnsi="Times New Roman"/>
          <w:lang w:val="en-US"/>
        </w:rPr>
        <w:t xml:space="preserve">4.3 </w:t>
      </w:r>
      <w:r w:rsidR="009A57D2" w:rsidRPr="00F65686">
        <w:rPr>
          <w:rFonts w:ascii="Times New Roman" w:hAnsi="Times New Roman"/>
          <w:lang w:val="en-US"/>
        </w:rPr>
        <w:t xml:space="preserve">Managerial </w:t>
      </w:r>
      <w:r w:rsidR="00125756" w:rsidRPr="00F65686">
        <w:rPr>
          <w:rFonts w:ascii="Times New Roman" w:hAnsi="Times New Roman"/>
          <w:lang w:val="en-US"/>
        </w:rPr>
        <w:t>and policy implications</w:t>
      </w:r>
    </w:p>
    <w:p w14:paraId="0D52B587" w14:textId="628C93A0" w:rsidR="00125756" w:rsidRPr="00F65686" w:rsidRDefault="00125756" w:rsidP="00F65686">
      <w:pPr>
        <w:spacing w:after="120"/>
        <w:jc w:val="both"/>
        <w:rPr>
          <w:rFonts w:ascii="Times New Roman" w:hAnsi="Times New Roman"/>
          <w:lang w:val="en-US"/>
        </w:rPr>
      </w:pPr>
      <w:r w:rsidRPr="00F65686">
        <w:rPr>
          <w:rFonts w:ascii="Times New Roman" w:hAnsi="Times New Roman"/>
          <w:lang w:val="en-US"/>
        </w:rPr>
        <w:t>This study confirms that vouchers have a</w:t>
      </w:r>
      <w:r w:rsidR="00E75163" w:rsidRPr="00F65686">
        <w:rPr>
          <w:rFonts w:ascii="Times New Roman" w:hAnsi="Times New Roman"/>
          <w:lang w:val="en-US"/>
        </w:rPr>
        <w:t xml:space="preserve"> positive</w:t>
      </w:r>
      <w:r w:rsidRPr="00F65686">
        <w:rPr>
          <w:rFonts w:ascii="Times New Roman" w:hAnsi="Times New Roman"/>
          <w:lang w:val="en-US"/>
        </w:rPr>
        <w:t xml:space="preserve"> impact despite </w:t>
      </w:r>
      <w:r w:rsidR="00E75163" w:rsidRPr="00F65686">
        <w:rPr>
          <w:rFonts w:ascii="Times New Roman" w:hAnsi="Times New Roman"/>
          <w:lang w:val="en-US"/>
        </w:rPr>
        <w:t xml:space="preserve">their limited funding. This applies in particular to the </w:t>
      </w:r>
      <w:r w:rsidRPr="00F65686">
        <w:rPr>
          <w:rFonts w:ascii="Times New Roman" w:hAnsi="Times New Roman"/>
          <w:lang w:val="en-US"/>
        </w:rPr>
        <w:t xml:space="preserve">Lombardy scheme, </w:t>
      </w:r>
      <w:r w:rsidR="00E75163" w:rsidRPr="00F65686">
        <w:rPr>
          <w:rFonts w:ascii="Times New Roman" w:hAnsi="Times New Roman"/>
          <w:lang w:val="en-US"/>
        </w:rPr>
        <w:t xml:space="preserve">where funding was </w:t>
      </w:r>
      <w:r w:rsidRPr="00F65686">
        <w:rPr>
          <w:rFonts w:ascii="Times New Roman" w:hAnsi="Times New Roman"/>
          <w:lang w:val="en-US"/>
        </w:rPr>
        <w:t xml:space="preserve">allocated </w:t>
      </w:r>
      <w:r w:rsidR="00E75163" w:rsidRPr="00F65686">
        <w:rPr>
          <w:rFonts w:ascii="Times New Roman" w:hAnsi="Times New Roman"/>
          <w:lang w:val="en-US"/>
        </w:rPr>
        <w:t xml:space="preserve">on the basis of </w:t>
      </w:r>
      <w:r w:rsidRPr="00F65686">
        <w:rPr>
          <w:rFonts w:ascii="Times New Roman" w:hAnsi="Times New Roman"/>
          <w:lang w:val="en-US"/>
        </w:rPr>
        <w:t xml:space="preserve">a </w:t>
      </w:r>
      <w:r w:rsidR="00F145A5" w:rsidRPr="00F65686">
        <w:rPr>
          <w:rFonts w:ascii="Times New Roman" w:hAnsi="Times New Roman"/>
          <w:lang w:val="en-US"/>
        </w:rPr>
        <w:t>first-</w:t>
      </w:r>
      <w:r w:rsidRPr="00F65686">
        <w:rPr>
          <w:rFonts w:ascii="Times New Roman" w:hAnsi="Times New Roman"/>
          <w:lang w:val="en-US"/>
        </w:rPr>
        <w:t xml:space="preserve">come, </w:t>
      </w:r>
      <w:r w:rsidR="00F145A5" w:rsidRPr="00F65686">
        <w:rPr>
          <w:rFonts w:ascii="Times New Roman" w:hAnsi="Times New Roman"/>
          <w:lang w:val="en-US"/>
        </w:rPr>
        <w:t>first-</w:t>
      </w:r>
      <w:r w:rsidRPr="00F65686">
        <w:rPr>
          <w:rFonts w:ascii="Times New Roman" w:hAnsi="Times New Roman"/>
          <w:lang w:val="en-US"/>
        </w:rPr>
        <w:t>served basis.</w:t>
      </w:r>
    </w:p>
    <w:p w14:paraId="686CCC31" w14:textId="30AD3570" w:rsidR="004176D7" w:rsidRPr="00F65686" w:rsidRDefault="004176D7" w:rsidP="00F65686">
      <w:pPr>
        <w:spacing w:after="120"/>
        <w:jc w:val="both"/>
        <w:rPr>
          <w:rFonts w:ascii="Times New Roman" w:hAnsi="Times New Roman"/>
          <w:lang w:val="en-US"/>
        </w:rPr>
      </w:pPr>
      <w:r w:rsidRPr="00F65686">
        <w:rPr>
          <w:rFonts w:ascii="Times New Roman" w:hAnsi="Times New Roman"/>
          <w:lang w:val="en-US"/>
        </w:rPr>
        <w:t>Managers can use vouchers as opportunities to test new ideas or explore alternative paths for innovation, or experiment a collaboration with qualified technology and advisory service suppliers. This study shows that besides the hope to increase revenues thanks to the innovation funded with the voucher, there are high chances to acquire ne</w:t>
      </w:r>
      <w:r w:rsidR="00394F4C" w:rsidRPr="00F65686">
        <w:rPr>
          <w:rFonts w:ascii="Times New Roman" w:hAnsi="Times New Roman"/>
          <w:lang w:val="en-US"/>
        </w:rPr>
        <w:t>w competenc</w:t>
      </w:r>
      <w:r w:rsidR="00F145A5" w:rsidRPr="00F65686">
        <w:rPr>
          <w:rFonts w:ascii="Times New Roman" w:hAnsi="Times New Roman"/>
          <w:lang w:val="en-US"/>
        </w:rPr>
        <w:t>i</w:t>
      </w:r>
      <w:r w:rsidR="00394F4C" w:rsidRPr="00F65686">
        <w:rPr>
          <w:rFonts w:ascii="Times New Roman" w:hAnsi="Times New Roman"/>
          <w:lang w:val="en-US"/>
        </w:rPr>
        <w:t>es and find</w:t>
      </w:r>
      <w:r w:rsidRPr="00F65686">
        <w:rPr>
          <w:rFonts w:ascii="Times New Roman" w:hAnsi="Times New Roman"/>
          <w:lang w:val="en-US"/>
        </w:rPr>
        <w:t xml:space="preserve"> valuable though unexpected</w:t>
      </w:r>
      <w:r w:rsidR="00394F4C" w:rsidRPr="00F65686">
        <w:rPr>
          <w:rFonts w:ascii="Times New Roman" w:hAnsi="Times New Roman"/>
          <w:lang w:val="en-US"/>
        </w:rPr>
        <w:t xml:space="preserve"> insight</w:t>
      </w:r>
      <w:r w:rsidRPr="00F65686">
        <w:rPr>
          <w:rFonts w:ascii="Times New Roman" w:hAnsi="Times New Roman"/>
          <w:lang w:val="en-US"/>
        </w:rPr>
        <w:t>.</w:t>
      </w:r>
    </w:p>
    <w:p w14:paraId="321B8B0D" w14:textId="7ACC0958" w:rsidR="004176D7" w:rsidRPr="00F65686" w:rsidRDefault="00394F4C" w:rsidP="00F65686">
      <w:pPr>
        <w:spacing w:after="120"/>
        <w:jc w:val="both"/>
        <w:rPr>
          <w:rFonts w:ascii="Times New Roman" w:hAnsi="Times New Roman"/>
          <w:lang w:val="en-US"/>
        </w:rPr>
      </w:pPr>
      <w:r w:rsidRPr="00F65686">
        <w:rPr>
          <w:rFonts w:ascii="Times New Roman" w:hAnsi="Times New Roman"/>
          <w:lang w:val="en-US"/>
        </w:rPr>
        <w:t>Combining</w:t>
      </w:r>
      <w:r w:rsidR="00723277" w:rsidRPr="00F65686">
        <w:rPr>
          <w:rFonts w:ascii="Times New Roman" w:hAnsi="Times New Roman"/>
          <w:lang w:val="en-US"/>
        </w:rPr>
        <w:t xml:space="preserve"> </w:t>
      </w:r>
      <w:r w:rsidR="00E75163" w:rsidRPr="00F65686">
        <w:rPr>
          <w:rFonts w:ascii="Times New Roman" w:hAnsi="Times New Roman"/>
          <w:lang w:val="en-US"/>
        </w:rPr>
        <w:t xml:space="preserve">our </w:t>
      </w:r>
      <w:r w:rsidR="00723277" w:rsidRPr="00F65686">
        <w:rPr>
          <w:rFonts w:ascii="Times New Roman" w:hAnsi="Times New Roman"/>
          <w:lang w:val="en-US"/>
        </w:rPr>
        <w:t xml:space="preserve">findings </w:t>
      </w:r>
      <w:r w:rsidRPr="00F65686">
        <w:rPr>
          <w:rFonts w:ascii="Times New Roman" w:hAnsi="Times New Roman"/>
          <w:lang w:val="en-US"/>
        </w:rPr>
        <w:t xml:space="preserve">with previous studies, </w:t>
      </w:r>
      <w:r w:rsidR="00E75163" w:rsidRPr="00F65686">
        <w:rPr>
          <w:rFonts w:ascii="Times New Roman" w:hAnsi="Times New Roman"/>
          <w:lang w:val="en-US"/>
        </w:rPr>
        <w:t xml:space="preserve">we can conclude </w:t>
      </w:r>
      <w:r w:rsidRPr="00F65686">
        <w:rPr>
          <w:rFonts w:ascii="Times New Roman" w:hAnsi="Times New Roman"/>
          <w:lang w:val="en-US"/>
        </w:rPr>
        <w:t>that th</w:t>
      </w:r>
      <w:r w:rsidR="00F145A5" w:rsidRPr="00F65686">
        <w:rPr>
          <w:rFonts w:ascii="Times New Roman" w:hAnsi="Times New Roman"/>
          <w:lang w:val="en-US"/>
        </w:rPr>
        <w:t>r</w:t>
      </w:r>
      <w:r w:rsidRPr="00F65686">
        <w:rPr>
          <w:rFonts w:ascii="Times New Roman" w:hAnsi="Times New Roman"/>
          <w:lang w:val="en-US"/>
        </w:rPr>
        <w:t xml:space="preserve">ough vouchers, </w:t>
      </w:r>
      <w:r w:rsidR="00723277" w:rsidRPr="00F65686">
        <w:rPr>
          <w:rFonts w:ascii="Times New Roman" w:hAnsi="Times New Roman"/>
          <w:lang w:val="en-US"/>
        </w:rPr>
        <w:t>managers will not only achieve positive and tangible outcomes but also discover new sources of innovation and improve their attitude to collaboration.</w:t>
      </w:r>
      <w:r w:rsidR="004937F2" w:rsidRPr="00F65686">
        <w:rPr>
          <w:rFonts w:ascii="Times New Roman" w:hAnsi="Times New Roman"/>
          <w:lang w:val="en-US"/>
        </w:rPr>
        <w:t xml:space="preserve"> </w:t>
      </w:r>
      <w:r w:rsidRPr="00F65686">
        <w:rPr>
          <w:rFonts w:ascii="Times New Roman" w:hAnsi="Times New Roman"/>
          <w:lang w:val="en-US"/>
        </w:rPr>
        <w:t>It is easy to forget</w:t>
      </w:r>
      <w:r w:rsidR="004937F2" w:rsidRPr="00F65686">
        <w:rPr>
          <w:rFonts w:ascii="Times New Roman" w:hAnsi="Times New Roman"/>
          <w:lang w:val="en-US"/>
        </w:rPr>
        <w:t xml:space="preserve"> how fortuitous encounters, casual conversations or unexpected outcomes of certain actions spurred new idea</w:t>
      </w:r>
      <w:r w:rsidR="00F145A5" w:rsidRPr="00F65686">
        <w:rPr>
          <w:rFonts w:ascii="Times New Roman" w:hAnsi="Times New Roman"/>
          <w:lang w:val="en-US"/>
        </w:rPr>
        <w:t>s</w:t>
      </w:r>
      <w:r w:rsidR="004937F2" w:rsidRPr="00F65686">
        <w:rPr>
          <w:rFonts w:ascii="Times New Roman" w:hAnsi="Times New Roman"/>
          <w:lang w:val="en-US"/>
        </w:rPr>
        <w:t>, triggered other actions</w:t>
      </w:r>
      <w:r w:rsidR="00F145A5" w:rsidRPr="00F65686">
        <w:rPr>
          <w:rFonts w:ascii="Times New Roman" w:hAnsi="Times New Roman"/>
          <w:lang w:val="en-US"/>
        </w:rPr>
        <w:t>,</w:t>
      </w:r>
      <w:r w:rsidR="004937F2" w:rsidRPr="00F65686">
        <w:rPr>
          <w:rFonts w:ascii="Times New Roman" w:hAnsi="Times New Roman"/>
          <w:lang w:val="en-US"/>
        </w:rPr>
        <w:t xml:space="preserve"> and ultimately shaped the future. </w:t>
      </w:r>
    </w:p>
    <w:p w14:paraId="3BA3D831" w14:textId="008F7EC4" w:rsidR="00FA6B7A" w:rsidRPr="00F65686" w:rsidRDefault="003F411A" w:rsidP="00F65686">
      <w:pPr>
        <w:spacing w:after="120"/>
        <w:jc w:val="both"/>
        <w:rPr>
          <w:rFonts w:ascii="Times New Roman" w:hAnsi="Times New Roman"/>
          <w:lang w:val="en-US"/>
        </w:rPr>
      </w:pPr>
      <w:r w:rsidRPr="00F65686">
        <w:rPr>
          <w:rFonts w:ascii="Times New Roman" w:hAnsi="Times New Roman"/>
          <w:lang w:val="en-US"/>
        </w:rPr>
        <w:t>The market and sy</w:t>
      </w:r>
      <w:r w:rsidR="00A77C05" w:rsidRPr="00F65686">
        <w:rPr>
          <w:rFonts w:ascii="Times New Roman" w:hAnsi="Times New Roman"/>
          <w:lang w:val="en-US"/>
        </w:rPr>
        <w:t>stem failure arguments that</w:t>
      </w:r>
      <w:r w:rsidRPr="00F65686">
        <w:rPr>
          <w:rFonts w:ascii="Times New Roman" w:hAnsi="Times New Roman"/>
          <w:lang w:val="en-US"/>
        </w:rPr>
        <w:t xml:space="preserve"> constituted our starting point assume that there are perfect optimal states to be achieved or regained. </w:t>
      </w:r>
      <w:r w:rsidR="00A77C05" w:rsidRPr="00F65686">
        <w:rPr>
          <w:rFonts w:ascii="Times New Roman" w:hAnsi="Times New Roman"/>
          <w:lang w:val="en-US"/>
        </w:rPr>
        <w:t>Through the innovation voucher instrument, specialized suppliers will transfer relevant knowledge to the beneficiary firms so that they can develop their innovation strategy. Our findings suggest that this is beneficial to the system, but the unplanned outcomes are as much as beneficial to both the firm and the system. The implemented projects will certa</w:t>
      </w:r>
      <w:r w:rsidR="003A420F" w:rsidRPr="00F65686">
        <w:rPr>
          <w:rFonts w:ascii="Times New Roman" w:hAnsi="Times New Roman"/>
          <w:lang w:val="en-US"/>
        </w:rPr>
        <w:t xml:space="preserve">inly </w:t>
      </w:r>
      <w:r w:rsidR="00F145A5" w:rsidRPr="00F65686">
        <w:rPr>
          <w:rFonts w:ascii="Times New Roman" w:hAnsi="Times New Roman"/>
          <w:lang w:val="en-US"/>
        </w:rPr>
        <w:t xml:space="preserve">be </w:t>
      </w:r>
      <w:r w:rsidR="003A420F" w:rsidRPr="00F65686">
        <w:rPr>
          <w:rFonts w:ascii="Times New Roman" w:hAnsi="Times New Roman"/>
          <w:lang w:val="en-US"/>
        </w:rPr>
        <w:t>more relevant and inspire more trust in collaboration with knowledge partners</w:t>
      </w:r>
      <w:r w:rsidR="00A77C05" w:rsidRPr="00F65686">
        <w:rPr>
          <w:rFonts w:ascii="Times New Roman" w:hAnsi="Times New Roman"/>
          <w:lang w:val="en-US"/>
        </w:rPr>
        <w:t xml:space="preserve">. </w:t>
      </w:r>
      <w:r w:rsidR="00762B0E" w:rsidRPr="00F65686">
        <w:rPr>
          <w:rFonts w:ascii="Times New Roman" w:hAnsi="Times New Roman"/>
          <w:lang w:val="en-US"/>
        </w:rPr>
        <w:t>The main implication for</w:t>
      </w:r>
      <w:r w:rsidR="002E341D" w:rsidRPr="00F65686">
        <w:rPr>
          <w:rFonts w:ascii="Times New Roman" w:hAnsi="Times New Roman"/>
          <w:lang w:val="en-US"/>
        </w:rPr>
        <w:t xml:space="preserve"> policymakers is that unforeseen outcomes should be</w:t>
      </w:r>
      <w:r w:rsidR="00762B0E" w:rsidRPr="00F65686">
        <w:rPr>
          <w:rFonts w:ascii="Times New Roman" w:hAnsi="Times New Roman"/>
          <w:lang w:val="en-US"/>
        </w:rPr>
        <w:t xml:space="preserve"> explicit policy</w:t>
      </w:r>
      <w:r w:rsidR="002E341D" w:rsidRPr="00F65686">
        <w:rPr>
          <w:rFonts w:ascii="Times New Roman" w:hAnsi="Times New Roman"/>
          <w:lang w:val="en-US"/>
        </w:rPr>
        <w:t xml:space="preserve"> goals for instruments such as innovation vouchers, and programs should be evaluated accordingly.</w:t>
      </w:r>
    </w:p>
    <w:p w14:paraId="0D6435FB" w14:textId="1BFEDA2E" w:rsidR="00980F26" w:rsidRPr="00F65686" w:rsidRDefault="00FA6B7A" w:rsidP="00F65686">
      <w:pPr>
        <w:spacing w:after="120"/>
        <w:jc w:val="both"/>
        <w:rPr>
          <w:rFonts w:ascii="Times New Roman" w:hAnsi="Times New Roman"/>
          <w:lang w:val="en-US"/>
        </w:rPr>
      </w:pPr>
      <w:r w:rsidRPr="00F65686">
        <w:rPr>
          <w:rFonts w:ascii="Times New Roman" w:hAnsi="Times New Roman"/>
          <w:lang w:val="en-US"/>
        </w:rPr>
        <w:t xml:space="preserve">Innovation vouchers are cost-effective policy instruments in times of limited public resources and financial rigor. However, they can be beneficial even in pandemic and post-pandemic times: with sluggish economies needing </w:t>
      </w:r>
      <w:r w:rsidR="00A44AED" w:rsidRPr="00F65686">
        <w:rPr>
          <w:rFonts w:ascii="Times New Roman" w:hAnsi="Times New Roman"/>
          <w:lang w:val="en-US"/>
        </w:rPr>
        <w:t>stimuli, voucher</w:t>
      </w:r>
      <w:r w:rsidR="00F145A5" w:rsidRPr="00F65686">
        <w:rPr>
          <w:rFonts w:ascii="Times New Roman" w:hAnsi="Times New Roman"/>
          <w:lang w:val="en-US"/>
        </w:rPr>
        <w:t>s</w:t>
      </w:r>
      <w:r w:rsidR="00A44AED" w:rsidRPr="00F65686">
        <w:rPr>
          <w:rFonts w:ascii="Times New Roman" w:hAnsi="Times New Roman"/>
          <w:lang w:val="en-US"/>
        </w:rPr>
        <w:t xml:space="preserve"> help smaller firms</w:t>
      </w:r>
      <w:r w:rsidRPr="00F65686">
        <w:rPr>
          <w:rFonts w:ascii="Times New Roman" w:hAnsi="Times New Roman"/>
          <w:lang w:val="en-US"/>
        </w:rPr>
        <w:t xml:space="preserve"> to break the isolation in which they may have fallen because of lockdowns</w:t>
      </w:r>
      <w:r w:rsidR="00A44AED" w:rsidRPr="00F65686">
        <w:rPr>
          <w:rFonts w:ascii="Times New Roman" w:hAnsi="Times New Roman"/>
          <w:lang w:val="en-US"/>
        </w:rPr>
        <w:t xml:space="preserve">. Moreover, they </w:t>
      </w:r>
      <w:r w:rsidRPr="00F65686">
        <w:rPr>
          <w:rFonts w:ascii="Times New Roman" w:hAnsi="Times New Roman"/>
          <w:lang w:val="en-US"/>
        </w:rPr>
        <w:t xml:space="preserve">provide </w:t>
      </w:r>
      <w:r w:rsidR="00A44AED" w:rsidRPr="00F65686">
        <w:rPr>
          <w:rFonts w:ascii="Times New Roman" w:hAnsi="Times New Roman"/>
          <w:lang w:val="en-US"/>
        </w:rPr>
        <w:t>beneficiaries access to</w:t>
      </w:r>
      <w:r w:rsidRPr="00F65686">
        <w:rPr>
          <w:rFonts w:ascii="Times New Roman" w:hAnsi="Times New Roman"/>
          <w:lang w:val="en-US"/>
        </w:rPr>
        <w:t xml:space="preserve"> knowledge and ideas that partly they knew were </w:t>
      </w:r>
      <w:r w:rsidR="00A44AED" w:rsidRPr="00F65686">
        <w:rPr>
          <w:rFonts w:ascii="Times New Roman" w:hAnsi="Times New Roman"/>
          <w:lang w:val="en-US"/>
        </w:rPr>
        <w:t>needed, and partly will come as</w:t>
      </w:r>
      <w:r w:rsidRPr="00F65686">
        <w:rPr>
          <w:rFonts w:ascii="Times New Roman" w:hAnsi="Times New Roman"/>
          <w:lang w:val="en-US"/>
        </w:rPr>
        <w:t xml:space="preserve"> </w:t>
      </w:r>
      <w:r w:rsidR="00A44AED" w:rsidRPr="00F65686">
        <w:rPr>
          <w:rFonts w:ascii="Times New Roman" w:hAnsi="Times New Roman"/>
          <w:lang w:val="en-US"/>
        </w:rPr>
        <w:t xml:space="preserve">the </w:t>
      </w:r>
      <w:r w:rsidRPr="00F65686">
        <w:rPr>
          <w:rFonts w:ascii="Times New Roman" w:hAnsi="Times New Roman"/>
          <w:lang w:val="en-US"/>
        </w:rPr>
        <w:t>unforeseen outcome of the collaboration with the service provider</w:t>
      </w:r>
      <w:r w:rsidR="003349FE" w:rsidRPr="00F65686">
        <w:rPr>
          <w:rFonts w:ascii="Times New Roman" w:hAnsi="Times New Roman"/>
          <w:lang w:val="en-US"/>
        </w:rPr>
        <w:t>s.</w:t>
      </w:r>
      <w:bookmarkStart w:id="6" w:name="_MON_1313071831"/>
      <w:bookmarkStart w:id="7" w:name="_Toc352171031"/>
      <w:bookmarkEnd w:id="6"/>
    </w:p>
    <w:p w14:paraId="3AD5E1A6" w14:textId="42ADB5FA" w:rsidR="00F27F57" w:rsidRPr="00F65686" w:rsidRDefault="00980F26" w:rsidP="00F65686">
      <w:pPr>
        <w:pStyle w:val="Titolo1"/>
        <w:jc w:val="both"/>
        <w:rPr>
          <w:rFonts w:ascii="Times New Roman" w:hAnsi="Times New Roman"/>
          <w:lang w:val="en-US"/>
        </w:rPr>
      </w:pPr>
      <w:r w:rsidRPr="00F65686">
        <w:rPr>
          <w:rFonts w:ascii="Times New Roman" w:hAnsi="Times New Roman"/>
          <w:lang w:val="en-US"/>
        </w:rPr>
        <w:t xml:space="preserve">5. </w:t>
      </w:r>
      <w:r w:rsidR="00F27F57" w:rsidRPr="00F65686">
        <w:rPr>
          <w:rFonts w:ascii="Times New Roman" w:hAnsi="Times New Roman"/>
          <w:lang w:val="en-US"/>
        </w:rPr>
        <w:t>Conclusions</w:t>
      </w:r>
    </w:p>
    <w:p w14:paraId="3A3E7D70" w14:textId="1EB78626" w:rsidR="00F27F57" w:rsidRPr="00F65686" w:rsidRDefault="00F27F57" w:rsidP="00F65686">
      <w:pPr>
        <w:spacing w:after="120"/>
        <w:ind w:firstLine="284"/>
        <w:jc w:val="both"/>
        <w:rPr>
          <w:rFonts w:ascii="Times New Roman" w:hAnsi="Times New Roman"/>
          <w:lang w:val="en-US"/>
        </w:rPr>
      </w:pPr>
      <w:r w:rsidRPr="00F65686">
        <w:rPr>
          <w:rFonts w:ascii="Times New Roman" w:hAnsi="Times New Roman"/>
          <w:lang w:val="en-US"/>
        </w:rPr>
        <w:t xml:space="preserve">This paper </w:t>
      </w:r>
      <w:r w:rsidR="00226213" w:rsidRPr="00F65686">
        <w:rPr>
          <w:rFonts w:ascii="Times New Roman" w:hAnsi="Times New Roman"/>
          <w:lang w:val="en-US"/>
        </w:rPr>
        <w:t xml:space="preserve">has </w:t>
      </w:r>
      <w:r w:rsidRPr="00F65686">
        <w:rPr>
          <w:rFonts w:ascii="Times New Roman" w:hAnsi="Times New Roman"/>
          <w:lang w:val="en-US"/>
        </w:rPr>
        <w:t xml:space="preserve">analyzed the effects of the Lombardy </w:t>
      </w:r>
      <w:r w:rsidR="00A9315D" w:rsidRPr="00F65686">
        <w:rPr>
          <w:rFonts w:ascii="Times New Roman" w:hAnsi="Times New Roman"/>
          <w:lang w:val="en-US"/>
        </w:rPr>
        <w:t>r</w:t>
      </w:r>
      <w:r w:rsidRPr="00F65686">
        <w:rPr>
          <w:rFonts w:ascii="Times New Roman" w:hAnsi="Times New Roman"/>
          <w:lang w:val="en-US"/>
        </w:rPr>
        <w:t xml:space="preserve">egional </w:t>
      </w:r>
      <w:r w:rsidR="00A9315D" w:rsidRPr="00F65686">
        <w:rPr>
          <w:rFonts w:ascii="Times New Roman" w:hAnsi="Times New Roman"/>
          <w:lang w:val="en-US"/>
        </w:rPr>
        <w:t>a</w:t>
      </w:r>
      <w:r w:rsidRPr="00F65686">
        <w:rPr>
          <w:rFonts w:ascii="Times New Roman" w:hAnsi="Times New Roman"/>
          <w:lang w:val="en-US"/>
        </w:rPr>
        <w:t>uthority</w:t>
      </w:r>
      <w:r w:rsidR="00226213" w:rsidRPr="00F65686">
        <w:rPr>
          <w:rFonts w:ascii="Times New Roman" w:hAnsi="Times New Roman"/>
          <w:lang w:val="en-US"/>
        </w:rPr>
        <w:t>’s</w:t>
      </w:r>
      <w:r w:rsidRPr="00F65686">
        <w:rPr>
          <w:rFonts w:ascii="Times New Roman" w:hAnsi="Times New Roman"/>
          <w:lang w:val="en-US"/>
        </w:rPr>
        <w:t xml:space="preserve"> innovation voucher </w:t>
      </w:r>
      <w:r w:rsidR="00A44AED" w:rsidRPr="00F65686">
        <w:rPr>
          <w:rFonts w:ascii="Times New Roman" w:hAnsi="Times New Roman"/>
          <w:lang w:val="en-US"/>
        </w:rPr>
        <w:t xml:space="preserve">program </w:t>
      </w:r>
      <w:r w:rsidRPr="00F65686">
        <w:rPr>
          <w:rFonts w:ascii="Times New Roman" w:hAnsi="Times New Roman"/>
          <w:lang w:val="en-US"/>
        </w:rPr>
        <w:t xml:space="preserve">along three </w:t>
      </w:r>
      <w:r w:rsidR="00A37FA5" w:rsidRPr="00F65686">
        <w:rPr>
          <w:rFonts w:ascii="Times New Roman" w:hAnsi="Times New Roman"/>
          <w:lang w:val="en-US"/>
        </w:rPr>
        <w:t xml:space="preserve">main </w:t>
      </w:r>
      <w:r w:rsidR="00A44AED" w:rsidRPr="00F65686">
        <w:rPr>
          <w:rFonts w:ascii="Times New Roman" w:hAnsi="Times New Roman"/>
          <w:lang w:val="en-US"/>
        </w:rPr>
        <w:t>outpu</w:t>
      </w:r>
      <w:r w:rsidR="00A37FA5" w:rsidRPr="00F65686">
        <w:rPr>
          <w:rFonts w:ascii="Times New Roman" w:hAnsi="Times New Roman"/>
          <w:lang w:val="en-US"/>
        </w:rPr>
        <w:t>ts</w:t>
      </w:r>
      <w:r w:rsidRPr="00F65686">
        <w:rPr>
          <w:rFonts w:ascii="Times New Roman" w:hAnsi="Times New Roman"/>
          <w:lang w:val="en-US"/>
        </w:rPr>
        <w:t>:</w:t>
      </w:r>
    </w:p>
    <w:p w14:paraId="0A5F0D41" w14:textId="77777777" w:rsidR="00183DF1" w:rsidRPr="00F65686" w:rsidRDefault="00183DF1" w:rsidP="00F65686">
      <w:pPr>
        <w:pStyle w:val="Paragrafoelenco1"/>
        <w:numPr>
          <w:ilvl w:val="0"/>
          <w:numId w:val="2"/>
        </w:numPr>
        <w:spacing w:after="120"/>
        <w:jc w:val="both"/>
        <w:rPr>
          <w:rFonts w:ascii="Times New Roman" w:hAnsi="Times New Roman"/>
          <w:lang w:val="en-US"/>
        </w:rPr>
      </w:pPr>
      <w:r w:rsidRPr="00F65686">
        <w:rPr>
          <w:rFonts w:ascii="Times New Roman" w:hAnsi="Times New Roman"/>
          <w:lang w:val="en-US"/>
        </w:rPr>
        <w:t>P</w:t>
      </w:r>
      <w:r w:rsidR="00A9315D" w:rsidRPr="00F65686">
        <w:rPr>
          <w:rFonts w:ascii="Times New Roman" w:hAnsi="Times New Roman"/>
          <w:lang w:val="en-US"/>
        </w:rPr>
        <w:t>robability</w:t>
      </w:r>
      <w:r w:rsidRPr="00F65686">
        <w:rPr>
          <w:rFonts w:ascii="Times New Roman" w:hAnsi="Times New Roman"/>
          <w:lang w:val="en-US"/>
        </w:rPr>
        <w:t xml:space="preserve"> of increased firm turnover;</w:t>
      </w:r>
    </w:p>
    <w:p w14:paraId="7B8C28BD" w14:textId="77777777" w:rsidR="00183DF1" w:rsidRPr="00F65686" w:rsidRDefault="00183DF1" w:rsidP="00F65686">
      <w:pPr>
        <w:pStyle w:val="Paragrafoelenco1"/>
        <w:numPr>
          <w:ilvl w:val="0"/>
          <w:numId w:val="2"/>
        </w:numPr>
        <w:spacing w:after="120"/>
        <w:jc w:val="both"/>
        <w:rPr>
          <w:rFonts w:ascii="Times New Roman" w:hAnsi="Times New Roman"/>
          <w:lang w:val="en-US"/>
        </w:rPr>
      </w:pPr>
      <w:r w:rsidRPr="00F65686">
        <w:rPr>
          <w:rFonts w:ascii="Times New Roman" w:hAnsi="Times New Roman"/>
          <w:lang w:val="en-US"/>
        </w:rPr>
        <w:t>Probability to develop new skills;</w:t>
      </w:r>
    </w:p>
    <w:p w14:paraId="4B03C85B" w14:textId="77777777" w:rsidR="00F27F57" w:rsidRPr="00F65686" w:rsidRDefault="00183DF1" w:rsidP="00F65686">
      <w:pPr>
        <w:pStyle w:val="Paragrafoelenco1"/>
        <w:numPr>
          <w:ilvl w:val="0"/>
          <w:numId w:val="2"/>
        </w:numPr>
        <w:spacing w:after="120"/>
        <w:jc w:val="both"/>
        <w:rPr>
          <w:rFonts w:ascii="Times New Roman" w:hAnsi="Times New Roman"/>
          <w:lang w:val="en-US"/>
        </w:rPr>
      </w:pPr>
      <w:r w:rsidRPr="00F65686">
        <w:rPr>
          <w:rFonts w:ascii="Times New Roman" w:hAnsi="Times New Roman"/>
          <w:lang w:val="en-US"/>
        </w:rPr>
        <w:t>P</w:t>
      </w:r>
      <w:r w:rsidR="00A9315D" w:rsidRPr="00F65686">
        <w:rPr>
          <w:rFonts w:ascii="Times New Roman" w:hAnsi="Times New Roman"/>
          <w:lang w:val="en-US"/>
        </w:rPr>
        <w:t xml:space="preserve">robability </w:t>
      </w:r>
      <w:r w:rsidRPr="00F65686">
        <w:rPr>
          <w:rFonts w:ascii="Times New Roman" w:hAnsi="Times New Roman"/>
          <w:lang w:val="en-US"/>
        </w:rPr>
        <w:t>to achieve initially unexpected results.</w:t>
      </w:r>
    </w:p>
    <w:p w14:paraId="6B2A21E6" w14:textId="7B5C559D" w:rsidR="00F27F57" w:rsidRPr="00F65686" w:rsidRDefault="00183DF1" w:rsidP="00F65686">
      <w:pPr>
        <w:spacing w:after="120"/>
        <w:jc w:val="both"/>
        <w:rPr>
          <w:rFonts w:ascii="Times New Roman" w:hAnsi="Times New Roman"/>
          <w:lang w:val="en-US"/>
        </w:rPr>
      </w:pPr>
      <w:r w:rsidRPr="00F65686">
        <w:rPr>
          <w:rFonts w:ascii="Times New Roman" w:hAnsi="Times New Roman"/>
          <w:lang w:val="en-US"/>
        </w:rPr>
        <w:lastRenderedPageBreak/>
        <w:t xml:space="preserve">This breakdown allows us to disentangle </w:t>
      </w:r>
      <w:r w:rsidR="00F27F57" w:rsidRPr="00F65686">
        <w:rPr>
          <w:rFonts w:ascii="Times New Roman" w:hAnsi="Times New Roman"/>
          <w:lang w:val="en-US"/>
        </w:rPr>
        <w:t>direct</w:t>
      </w:r>
      <w:r w:rsidR="00322077" w:rsidRPr="00F65686">
        <w:rPr>
          <w:rFonts w:ascii="Times New Roman" w:hAnsi="Times New Roman"/>
          <w:lang w:val="en-US"/>
        </w:rPr>
        <w:t xml:space="preserve"> </w:t>
      </w:r>
      <w:r w:rsidR="0064153B" w:rsidRPr="00F65686">
        <w:rPr>
          <w:rFonts w:ascii="Times New Roman" w:hAnsi="Times New Roman"/>
          <w:lang w:val="en-US"/>
        </w:rPr>
        <w:t>and</w:t>
      </w:r>
      <w:r w:rsidRPr="00F65686">
        <w:rPr>
          <w:rFonts w:ascii="Times New Roman" w:hAnsi="Times New Roman"/>
          <w:lang w:val="en-US"/>
        </w:rPr>
        <w:t xml:space="preserve"> indirect policy </w:t>
      </w:r>
      <w:r w:rsidR="00322077" w:rsidRPr="00F65686">
        <w:rPr>
          <w:rFonts w:ascii="Times New Roman" w:hAnsi="Times New Roman"/>
          <w:lang w:val="en-US"/>
        </w:rPr>
        <w:t>effects</w:t>
      </w:r>
      <w:r w:rsidR="00EC7F90" w:rsidRPr="00F65686">
        <w:rPr>
          <w:rFonts w:ascii="Times New Roman" w:hAnsi="Times New Roman"/>
          <w:lang w:val="en-US"/>
        </w:rPr>
        <w:t>.</w:t>
      </w:r>
      <w:r w:rsidR="00F27F57" w:rsidRPr="00F65686">
        <w:rPr>
          <w:rFonts w:ascii="Times New Roman" w:hAnsi="Times New Roman"/>
          <w:lang w:val="en-US"/>
        </w:rPr>
        <w:t xml:space="preserve"> </w:t>
      </w:r>
      <w:r w:rsidRPr="00F65686">
        <w:rPr>
          <w:rFonts w:ascii="Times New Roman" w:hAnsi="Times New Roman"/>
          <w:lang w:val="en-US"/>
        </w:rPr>
        <w:t>Empirical analyse</w:t>
      </w:r>
      <w:r w:rsidR="00F27F57" w:rsidRPr="00F65686">
        <w:rPr>
          <w:rFonts w:ascii="Times New Roman" w:hAnsi="Times New Roman"/>
          <w:lang w:val="en-US"/>
        </w:rPr>
        <w:t xml:space="preserve">s </w:t>
      </w:r>
      <w:r w:rsidRPr="00F65686">
        <w:rPr>
          <w:rFonts w:ascii="Times New Roman" w:hAnsi="Times New Roman"/>
          <w:lang w:val="en-US"/>
        </w:rPr>
        <w:t xml:space="preserve">have been carried out with a </w:t>
      </w:r>
      <w:r w:rsidR="006F5CD7" w:rsidRPr="00F65686">
        <w:rPr>
          <w:rFonts w:ascii="Times New Roman" w:hAnsi="Times New Roman"/>
          <w:lang w:val="en-US"/>
        </w:rPr>
        <w:t>treatment effect</w:t>
      </w:r>
      <w:r w:rsidRPr="00F65686">
        <w:rPr>
          <w:rFonts w:ascii="Times New Roman" w:hAnsi="Times New Roman"/>
          <w:lang w:val="en-US"/>
        </w:rPr>
        <w:t xml:space="preserve"> estimator, using the intensity of policy treatment as dose and thus minimizing </w:t>
      </w:r>
      <w:r w:rsidR="006F5CD7" w:rsidRPr="00F65686">
        <w:rPr>
          <w:rFonts w:ascii="Times New Roman" w:hAnsi="Times New Roman"/>
          <w:lang w:val="en-US"/>
        </w:rPr>
        <w:t>reverse causality issues</w:t>
      </w:r>
      <w:r w:rsidRPr="00F65686">
        <w:rPr>
          <w:rFonts w:ascii="Times New Roman" w:hAnsi="Times New Roman"/>
          <w:lang w:val="en-US"/>
        </w:rPr>
        <w:t>.</w:t>
      </w:r>
    </w:p>
    <w:bookmarkEnd w:id="7"/>
    <w:p w14:paraId="0B1952E0" w14:textId="75D419DE" w:rsidR="00980F26" w:rsidRPr="00F65686" w:rsidRDefault="00980F26" w:rsidP="00F65686">
      <w:pPr>
        <w:spacing w:after="120"/>
        <w:ind w:firstLine="284"/>
        <w:jc w:val="both"/>
        <w:rPr>
          <w:rFonts w:ascii="Times New Roman" w:hAnsi="Times New Roman"/>
          <w:lang w:val="en-US"/>
        </w:rPr>
      </w:pPr>
      <w:r w:rsidRPr="00F65686">
        <w:rPr>
          <w:rFonts w:ascii="Times New Roman" w:hAnsi="Times New Roman"/>
          <w:lang w:val="en-US"/>
        </w:rPr>
        <w:t xml:space="preserve">Results </w:t>
      </w:r>
      <w:r w:rsidR="00EC7F90" w:rsidRPr="00F65686">
        <w:rPr>
          <w:rFonts w:ascii="Times New Roman" w:hAnsi="Times New Roman"/>
          <w:lang w:val="en-US"/>
        </w:rPr>
        <w:t xml:space="preserve">hint at the existence of mostly indirect types of impacts. Firms receiving the innovation voucher tended to </w:t>
      </w:r>
      <w:r w:rsidR="00813B6F" w:rsidRPr="00F65686">
        <w:rPr>
          <w:rFonts w:ascii="Times New Roman" w:hAnsi="Times New Roman"/>
          <w:lang w:val="en-US"/>
        </w:rPr>
        <w:t xml:space="preserve">develop </w:t>
      </w:r>
      <w:r w:rsidR="00EC7F90" w:rsidRPr="00F65686">
        <w:rPr>
          <w:rFonts w:ascii="Times New Roman" w:hAnsi="Times New Roman"/>
          <w:lang w:val="en-US"/>
        </w:rPr>
        <w:t>new skills, either managerial or technical, or to find serendipitous re</w:t>
      </w:r>
      <w:r w:rsidRPr="00F65686">
        <w:rPr>
          <w:rFonts w:ascii="Times New Roman" w:hAnsi="Times New Roman"/>
          <w:lang w:val="en-US"/>
        </w:rPr>
        <w:t xml:space="preserve">sults. </w:t>
      </w:r>
      <w:r w:rsidR="006F5CD7" w:rsidRPr="00F65686">
        <w:rPr>
          <w:rFonts w:ascii="Times New Roman" w:hAnsi="Times New Roman"/>
          <w:lang w:val="en-US"/>
        </w:rPr>
        <w:t xml:space="preserve">Our </w:t>
      </w:r>
      <w:r w:rsidRPr="00F65686">
        <w:rPr>
          <w:rFonts w:ascii="Times New Roman" w:hAnsi="Times New Roman"/>
          <w:lang w:val="en-US"/>
        </w:rPr>
        <w:t xml:space="preserve">research shows that the indirect effects </w:t>
      </w:r>
      <w:r w:rsidR="006F5CD7" w:rsidRPr="00F65686">
        <w:rPr>
          <w:rFonts w:ascii="Times New Roman" w:hAnsi="Times New Roman"/>
          <w:lang w:val="en-US"/>
        </w:rPr>
        <w:t xml:space="preserve">can be </w:t>
      </w:r>
      <w:r w:rsidRPr="00F65686">
        <w:rPr>
          <w:rFonts w:ascii="Times New Roman" w:hAnsi="Times New Roman"/>
          <w:lang w:val="en-US"/>
        </w:rPr>
        <w:t xml:space="preserve">both expected, like the acquisition of new skills, and unexpected, like new ideas or information that will steer the project and possibly the strategy of the beneficiary in an unforeseen </w:t>
      </w:r>
      <w:r w:rsidR="0064153B" w:rsidRPr="00F65686">
        <w:rPr>
          <w:rFonts w:ascii="Times New Roman" w:hAnsi="Times New Roman"/>
          <w:lang w:val="en-US"/>
        </w:rPr>
        <w:t xml:space="preserve">but predictably more successful </w:t>
      </w:r>
      <w:r w:rsidRPr="00F65686">
        <w:rPr>
          <w:rFonts w:ascii="Times New Roman" w:hAnsi="Times New Roman"/>
          <w:lang w:val="en-US"/>
        </w:rPr>
        <w:t>direction.</w:t>
      </w:r>
    </w:p>
    <w:p w14:paraId="64F142EC" w14:textId="65CC980B" w:rsidR="006F5CD7" w:rsidRPr="00F65686" w:rsidRDefault="006F5CD7" w:rsidP="00F65686">
      <w:pPr>
        <w:spacing w:after="120"/>
        <w:ind w:firstLine="284"/>
        <w:jc w:val="both"/>
        <w:rPr>
          <w:rFonts w:ascii="Times New Roman" w:hAnsi="Times New Roman"/>
          <w:lang w:val="en-US"/>
        </w:rPr>
      </w:pPr>
      <w:r w:rsidRPr="00F65686">
        <w:rPr>
          <w:rFonts w:ascii="Times New Roman" w:hAnsi="Times New Roman"/>
          <w:lang w:val="en-US"/>
        </w:rPr>
        <w:t xml:space="preserve">The evidence found on the role of geographical, social, and technological proximity among beneficiaries and service providers is mixed. </w:t>
      </w:r>
      <w:r w:rsidR="00102E66" w:rsidRPr="00F65686">
        <w:rPr>
          <w:rFonts w:ascii="Times New Roman" w:hAnsi="Times New Roman"/>
          <w:lang w:val="en-US"/>
        </w:rPr>
        <w:t>Results</w:t>
      </w:r>
      <w:r w:rsidRPr="00F65686">
        <w:rPr>
          <w:rFonts w:ascii="Times New Roman" w:hAnsi="Times New Roman"/>
          <w:lang w:val="en-US"/>
        </w:rPr>
        <w:t xml:space="preserve"> suggest that firms located in technologically diverse spaces and social contexts marked by cultural differences are not necessarily more prone to cooperate; however, evidence is available on the fact that firms located in close proximity do tend to cooperate more easily, thereby e</w:t>
      </w:r>
      <w:r w:rsidR="00A37FA5" w:rsidRPr="00F65686">
        <w:rPr>
          <w:rFonts w:ascii="Times New Roman" w:hAnsi="Times New Roman"/>
          <w:lang w:val="en-US"/>
        </w:rPr>
        <w:t>n</w:t>
      </w:r>
      <w:r w:rsidRPr="00F65686">
        <w:rPr>
          <w:rFonts w:ascii="Times New Roman" w:hAnsi="Times New Roman"/>
          <w:lang w:val="en-US"/>
        </w:rPr>
        <w:t>hancing the impact of innovation vouchers.</w:t>
      </w:r>
    </w:p>
    <w:p w14:paraId="6C81B460" w14:textId="27A9564A" w:rsidR="00A44AED" w:rsidRPr="00F65686" w:rsidRDefault="00980F26" w:rsidP="00F65686">
      <w:pPr>
        <w:spacing w:after="120"/>
        <w:ind w:firstLine="284"/>
        <w:jc w:val="both"/>
        <w:rPr>
          <w:rFonts w:ascii="Times New Roman" w:hAnsi="Times New Roman"/>
          <w:lang w:val="en-US"/>
        </w:rPr>
      </w:pPr>
      <w:r w:rsidRPr="00F65686">
        <w:rPr>
          <w:rFonts w:ascii="Times New Roman" w:hAnsi="Times New Roman"/>
          <w:lang w:val="en-US"/>
        </w:rPr>
        <w:t>The role of serendipity in innovation polic</w:t>
      </w:r>
      <w:r w:rsidR="003575DC" w:rsidRPr="00F65686">
        <w:rPr>
          <w:rFonts w:ascii="Times New Roman" w:hAnsi="Times New Roman"/>
          <w:lang w:val="en-US"/>
        </w:rPr>
        <w:t>ies</w:t>
      </w:r>
      <w:r w:rsidRPr="00F65686">
        <w:rPr>
          <w:rFonts w:ascii="Times New Roman" w:hAnsi="Times New Roman"/>
          <w:lang w:val="en-US"/>
        </w:rPr>
        <w:t xml:space="preserve"> ha</w:t>
      </w:r>
      <w:r w:rsidR="00B3581F" w:rsidRPr="00F65686">
        <w:rPr>
          <w:rFonts w:ascii="Times New Roman" w:hAnsi="Times New Roman"/>
          <w:lang w:val="en-US"/>
        </w:rPr>
        <w:t>s never been fully acknowledged</w:t>
      </w:r>
      <w:r w:rsidR="0064153B" w:rsidRPr="00F65686">
        <w:rPr>
          <w:rFonts w:ascii="Times New Roman" w:hAnsi="Times New Roman"/>
          <w:lang w:val="en-US"/>
        </w:rPr>
        <w:t xml:space="preserve"> in academic literature</w:t>
      </w:r>
      <w:r w:rsidR="00B3581F" w:rsidRPr="00F65686">
        <w:rPr>
          <w:rFonts w:ascii="Times New Roman" w:hAnsi="Times New Roman"/>
          <w:lang w:val="en-US"/>
        </w:rPr>
        <w:t>.</w:t>
      </w:r>
      <w:r w:rsidRPr="00F65686">
        <w:rPr>
          <w:rFonts w:ascii="Times New Roman" w:hAnsi="Times New Roman"/>
          <w:lang w:val="en-US"/>
        </w:rPr>
        <w:t xml:space="preserve"> </w:t>
      </w:r>
      <w:r w:rsidR="006F5CD7" w:rsidRPr="00F65686">
        <w:rPr>
          <w:rFonts w:ascii="Times New Roman" w:hAnsi="Times New Roman"/>
          <w:lang w:val="en-US"/>
        </w:rPr>
        <w:t xml:space="preserve">Based on our findings, </w:t>
      </w:r>
      <w:r w:rsidR="00B3581F" w:rsidRPr="00F65686">
        <w:rPr>
          <w:rFonts w:ascii="Times New Roman" w:hAnsi="Times New Roman"/>
          <w:lang w:val="en-US"/>
        </w:rPr>
        <w:t xml:space="preserve">it should </w:t>
      </w:r>
      <w:r w:rsidR="006F5CD7" w:rsidRPr="00F65686">
        <w:rPr>
          <w:rFonts w:ascii="Times New Roman" w:hAnsi="Times New Roman"/>
          <w:lang w:val="en-US"/>
        </w:rPr>
        <w:t xml:space="preserve">instead </w:t>
      </w:r>
      <w:r w:rsidR="00B3581F" w:rsidRPr="00F65686">
        <w:rPr>
          <w:rFonts w:ascii="Times New Roman" w:hAnsi="Times New Roman"/>
          <w:lang w:val="en-US"/>
        </w:rPr>
        <w:t>become</w:t>
      </w:r>
      <w:r w:rsidRPr="00F65686">
        <w:rPr>
          <w:rFonts w:ascii="Times New Roman" w:hAnsi="Times New Roman"/>
          <w:lang w:val="en-US"/>
        </w:rPr>
        <w:t xml:space="preserve"> </w:t>
      </w:r>
      <w:r w:rsidR="00B3581F" w:rsidRPr="00F65686">
        <w:rPr>
          <w:rFonts w:ascii="Times New Roman" w:hAnsi="Times New Roman"/>
          <w:lang w:val="en-US"/>
        </w:rPr>
        <w:t xml:space="preserve">an explicit goal of policymakers, </w:t>
      </w:r>
      <w:r w:rsidR="003575DC" w:rsidRPr="00F65686">
        <w:rPr>
          <w:rFonts w:ascii="Times New Roman" w:hAnsi="Times New Roman"/>
          <w:lang w:val="en-US"/>
        </w:rPr>
        <w:t xml:space="preserve">and </w:t>
      </w:r>
      <w:r w:rsidR="00B3581F" w:rsidRPr="00F65686">
        <w:rPr>
          <w:rFonts w:ascii="Times New Roman" w:hAnsi="Times New Roman"/>
          <w:lang w:val="en-US"/>
        </w:rPr>
        <w:t>therefore</w:t>
      </w:r>
      <w:r w:rsidR="003575DC" w:rsidRPr="00F65686">
        <w:rPr>
          <w:rFonts w:ascii="Times New Roman" w:hAnsi="Times New Roman"/>
          <w:lang w:val="en-US"/>
        </w:rPr>
        <w:t xml:space="preserve"> </w:t>
      </w:r>
      <w:r w:rsidR="00B3581F" w:rsidRPr="00F65686">
        <w:rPr>
          <w:rFonts w:ascii="Times New Roman" w:hAnsi="Times New Roman"/>
          <w:lang w:val="en-US"/>
        </w:rPr>
        <w:t>subject to evaluation. This is even more relevant in times of post-pandemic recovery efforts, when innovative products and services are the answer to a world that is going to change but no one knows yet how.</w:t>
      </w:r>
    </w:p>
    <w:p w14:paraId="05C0257F" w14:textId="47E163D6" w:rsidR="006B7C9A" w:rsidRPr="00F65686" w:rsidRDefault="00B3581F" w:rsidP="00F65686">
      <w:pPr>
        <w:spacing w:after="120"/>
        <w:jc w:val="both"/>
        <w:rPr>
          <w:rFonts w:ascii="Times New Roman" w:hAnsi="Times New Roman"/>
          <w:bCs/>
          <w:lang w:val="en-US" w:eastAsia="it-IT"/>
        </w:rPr>
      </w:pPr>
      <w:r w:rsidRPr="00F65686">
        <w:rPr>
          <w:rFonts w:ascii="Times New Roman" w:hAnsi="Times New Roman"/>
          <w:lang w:val="en-US"/>
        </w:rPr>
        <w:t>Several</w:t>
      </w:r>
      <w:r w:rsidR="00A44AED" w:rsidRPr="00F65686">
        <w:rPr>
          <w:rFonts w:ascii="Times New Roman" w:hAnsi="Times New Roman"/>
          <w:lang w:val="en-US"/>
        </w:rPr>
        <w:t xml:space="preserve"> improvements </w:t>
      </w:r>
      <w:r w:rsidR="00F145A5" w:rsidRPr="00F65686">
        <w:rPr>
          <w:rFonts w:ascii="Times New Roman" w:hAnsi="Times New Roman"/>
          <w:lang w:val="en-US"/>
        </w:rPr>
        <w:t xml:space="preserve">to </w:t>
      </w:r>
      <w:r w:rsidR="0064153B" w:rsidRPr="00F65686">
        <w:rPr>
          <w:rFonts w:ascii="Times New Roman" w:hAnsi="Times New Roman"/>
          <w:lang w:val="en-US"/>
        </w:rPr>
        <w:t>our estimates can</w:t>
      </w:r>
      <w:r w:rsidRPr="00F65686">
        <w:rPr>
          <w:rFonts w:ascii="Times New Roman" w:hAnsi="Times New Roman"/>
          <w:lang w:val="en-US"/>
        </w:rPr>
        <w:t xml:space="preserve"> be foreseen.</w:t>
      </w:r>
      <w:r w:rsidR="00A44AED" w:rsidRPr="00F65686">
        <w:rPr>
          <w:rFonts w:ascii="Times New Roman" w:hAnsi="Times New Roman"/>
          <w:lang w:val="en-US"/>
        </w:rPr>
        <w:t xml:space="preserve"> </w:t>
      </w:r>
      <w:r w:rsidRPr="00F65686">
        <w:rPr>
          <w:rFonts w:ascii="Times New Roman" w:hAnsi="Times New Roman"/>
          <w:lang w:val="en-US"/>
        </w:rPr>
        <w:t>H</w:t>
      </w:r>
      <w:r w:rsidR="00A44AED" w:rsidRPr="00F65686">
        <w:rPr>
          <w:rFonts w:ascii="Times New Roman" w:hAnsi="Times New Roman"/>
          <w:lang w:val="en-US"/>
        </w:rPr>
        <w:t xml:space="preserve">owever, </w:t>
      </w:r>
      <w:r w:rsidRPr="00F65686">
        <w:rPr>
          <w:rFonts w:ascii="Times New Roman" w:hAnsi="Times New Roman"/>
          <w:lang w:val="en-US"/>
        </w:rPr>
        <w:t>three</w:t>
      </w:r>
      <w:r w:rsidR="00A44AED" w:rsidRPr="00F65686">
        <w:rPr>
          <w:rFonts w:ascii="Times New Roman" w:hAnsi="Times New Roman"/>
          <w:lang w:val="en-US"/>
        </w:rPr>
        <w:t xml:space="preserve"> of them stand above. </w:t>
      </w:r>
      <w:r w:rsidRPr="00F65686">
        <w:rPr>
          <w:rFonts w:ascii="Times New Roman" w:hAnsi="Times New Roman"/>
          <w:lang w:val="en-US"/>
        </w:rPr>
        <w:t>First</w:t>
      </w:r>
      <w:r w:rsidR="00A44AED" w:rsidRPr="00F65686">
        <w:rPr>
          <w:rFonts w:ascii="Times New Roman" w:hAnsi="Times New Roman"/>
          <w:lang w:val="en-US"/>
        </w:rPr>
        <w:t xml:space="preserve">, additional </w:t>
      </w:r>
      <w:r w:rsidRPr="00F65686">
        <w:rPr>
          <w:rFonts w:ascii="Times New Roman" w:hAnsi="Times New Roman"/>
          <w:lang w:val="en-US"/>
        </w:rPr>
        <w:t>evidence</w:t>
      </w:r>
      <w:r w:rsidR="00A44AED" w:rsidRPr="00F65686">
        <w:rPr>
          <w:rFonts w:ascii="Times New Roman" w:hAnsi="Times New Roman"/>
          <w:lang w:val="en-US"/>
        </w:rPr>
        <w:t xml:space="preserve"> </w:t>
      </w:r>
      <w:r w:rsidRPr="00F65686">
        <w:rPr>
          <w:rFonts w:ascii="Times New Roman" w:hAnsi="Times New Roman"/>
          <w:lang w:val="en-US"/>
        </w:rPr>
        <w:t xml:space="preserve">on the medium and long-run perception by the beneficiary of voucher effectiveness </w:t>
      </w:r>
      <w:r w:rsidR="00A44AED" w:rsidRPr="00F65686">
        <w:rPr>
          <w:rFonts w:ascii="Times New Roman" w:hAnsi="Times New Roman"/>
          <w:lang w:val="en-US"/>
        </w:rPr>
        <w:t xml:space="preserve">would be </w:t>
      </w:r>
      <w:r w:rsidRPr="00F65686">
        <w:rPr>
          <w:rFonts w:ascii="Times New Roman" w:hAnsi="Times New Roman"/>
          <w:lang w:val="en-US"/>
        </w:rPr>
        <w:t>useful</w:t>
      </w:r>
      <w:r w:rsidR="00A44AED" w:rsidRPr="00F65686">
        <w:rPr>
          <w:rFonts w:ascii="Times New Roman" w:hAnsi="Times New Roman"/>
          <w:lang w:val="en-US"/>
        </w:rPr>
        <w:t>.</w:t>
      </w:r>
      <w:r w:rsidRPr="00F65686">
        <w:rPr>
          <w:rFonts w:ascii="Times New Roman" w:hAnsi="Times New Roman"/>
          <w:lang w:val="en-US"/>
        </w:rPr>
        <w:t xml:space="preserve"> Second,</w:t>
      </w:r>
      <w:r w:rsidR="00A44AED" w:rsidRPr="00F65686">
        <w:rPr>
          <w:rFonts w:ascii="Times New Roman" w:hAnsi="Times New Roman"/>
          <w:lang w:val="en-US"/>
        </w:rPr>
        <w:t xml:space="preserve"> the identification of a control group to make use of more sophisticated program evaluation techniques and further increase the </w:t>
      </w:r>
      <w:r w:rsidR="0064153B" w:rsidRPr="00F65686">
        <w:rPr>
          <w:rFonts w:ascii="Times New Roman" w:hAnsi="Times New Roman"/>
          <w:lang w:val="en-US"/>
        </w:rPr>
        <w:t>accuracy</w:t>
      </w:r>
      <w:r w:rsidR="00A44AED" w:rsidRPr="00F65686">
        <w:rPr>
          <w:rFonts w:ascii="Times New Roman" w:hAnsi="Times New Roman"/>
          <w:lang w:val="en-US"/>
        </w:rPr>
        <w:t xml:space="preserve"> of the estimated impact.</w:t>
      </w:r>
      <w:r w:rsidRPr="00F65686">
        <w:rPr>
          <w:rFonts w:ascii="Times New Roman" w:hAnsi="Times New Roman"/>
          <w:lang w:val="en-US"/>
        </w:rPr>
        <w:t xml:space="preserve"> Third, a </w:t>
      </w:r>
      <w:r w:rsidR="006F5CD7" w:rsidRPr="00F65686">
        <w:rPr>
          <w:rFonts w:ascii="Times New Roman" w:hAnsi="Times New Roman"/>
          <w:lang w:val="en-US"/>
        </w:rPr>
        <w:t>cost-benefit analysis of how estimated serendipitous findings rank with respect to direct impacts would be beneficial, in order to assess the policy’s real returns to the taxpayers.</w:t>
      </w:r>
    </w:p>
    <w:p w14:paraId="5BF246EB" w14:textId="77777777" w:rsidR="00231D9B" w:rsidRPr="00F65686" w:rsidRDefault="00231D9B" w:rsidP="00F65686">
      <w:pPr>
        <w:spacing w:after="0" w:line="240" w:lineRule="auto"/>
        <w:jc w:val="both"/>
        <w:rPr>
          <w:rFonts w:ascii="Times New Roman" w:hAnsi="Times New Roman"/>
          <w:lang w:val="en-US"/>
        </w:rPr>
      </w:pPr>
      <w:bookmarkStart w:id="8" w:name="_Toc352171032"/>
    </w:p>
    <w:p w14:paraId="798834FD" w14:textId="40B0B73F" w:rsidR="00231D9B" w:rsidRPr="00F65686" w:rsidRDefault="00231D9B" w:rsidP="00F65686">
      <w:pPr>
        <w:pStyle w:val="Titolo1"/>
        <w:jc w:val="both"/>
        <w:rPr>
          <w:rFonts w:ascii="Times New Roman" w:hAnsi="Times New Roman"/>
          <w:lang w:val="en-US"/>
        </w:rPr>
      </w:pPr>
      <w:r w:rsidRPr="00F65686">
        <w:rPr>
          <w:rFonts w:ascii="Times New Roman" w:hAnsi="Times New Roman"/>
          <w:lang w:val="en-US"/>
        </w:rPr>
        <w:t>Disclosure statement</w:t>
      </w:r>
    </w:p>
    <w:p w14:paraId="75E2656C" w14:textId="5672B40B" w:rsidR="00CC24C9" w:rsidRPr="00F65686" w:rsidRDefault="00231D9B" w:rsidP="00F65686">
      <w:pPr>
        <w:spacing w:after="0" w:line="240" w:lineRule="auto"/>
        <w:jc w:val="both"/>
        <w:rPr>
          <w:rFonts w:ascii="Times New Roman" w:hAnsi="Times New Roman"/>
          <w:lang w:val="en-US"/>
        </w:rPr>
      </w:pPr>
      <w:r w:rsidRPr="00F65686">
        <w:rPr>
          <w:rFonts w:ascii="Times New Roman" w:hAnsi="Times New Roman"/>
          <w:lang w:val="en-US"/>
        </w:rPr>
        <w:t>No potential conflict of interest was reported by the authors.</w:t>
      </w:r>
    </w:p>
    <w:p w14:paraId="21389640" w14:textId="77777777" w:rsidR="00D76413" w:rsidRPr="00F65686" w:rsidRDefault="00D76413" w:rsidP="00F65686">
      <w:pPr>
        <w:spacing w:after="0" w:line="240" w:lineRule="auto"/>
        <w:jc w:val="both"/>
        <w:rPr>
          <w:rFonts w:ascii="Times New Roman" w:hAnsi="Times New Roman"/>
          <w:lang w:val="en-US"/>
        </w:rPr>
      </w:pPr>
    </w:p>
    <w:p w14:paraId="376B3215" w14:textId="78EEA2A4" w:rsidR="00F27F57" w:rsidRPr="00F65686" w:rsidRDefault="00F27F57" w:rsidP="00F65686">
      <w:pPr>
        <w:pStyle w:val="Titolo1"/>
        <w:spacing w:before="0" w:after="120"/>
        <w:jc w:val="both"/>
        <w:rPr>
          <w:rFonts w:ascii="Times New Roman" w:hAnsi="Times New Roman"/>
          <w:lang w:val="en-US"/>
        </w:rPr>
      </w:pPr>
      <w:r w:rsidRPr="00F65686">
        <w:rPr>
          <w:rFonts w:ascii="Times New Roman" w:hAnsi="Times New Roman"/>
          <w:lang w:val="en-US"/>
        </w:rPr>
        <w:t>Refere</w:t>
      </w:r>
      <w:bookmarkEnd w:id="8"/>
      <w:r w:rsidRPr="00F65686">
        <w:rPr>
          <w:rFonts w:ascii="Times New Roman" w:hAnsi="Times New Roman"/>
          <w:lang w:val="en-US"/>
        </w:rPr>
        <w:t>nces</w:t>
      </w:r>
    </w:p>
    <w:p w14:paraId="266D2B45" w14:textId="06D66E66" w:rsidR="00F27F57" w:rsidRPr="00F65686" w:rsidRDefault="00F27F57"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Abramovsky L, Kremp E, Lopez A, Smith T and Simpson H (2005). Understanding co- operative R&amp;D activity: Evidence from four European countries. </w:t>
      </w:r>
      <w:r w:rsidRPr="00F65686">
        <w:rPr>
          <w:rFonts w:ascii="Times New Roman" w:hAnsi="Times New Roman"/>
          <w:i/>
          <w:sz w:val="20"/>
          <w:szCs w:val="20"/>
          <w:lang w:val="en-US"/>
        </w:rPr>
        <w:t>The Institute for Fiscal Studies</w:t>
      </w:r>
      <w:r w:rsidRPr="00F65686">
        <w:rPr>
          <w:rFonts w:ascii="Times New Roman" w:hAnsi="Times New Roman"/>
          <w:sz w:val="20"/>
          <w:szCs w:val="20"/>
          <w:lang w:val="en-US"/>
        </w:rPr>
        <w:t>, WP05/23.</w:t>
      </w:r>
    </w:p>
    <w:p w14:paraId="3849A178" w14:textId="77777777" w:rsidR="00F27F57" w:rsidRPr="00F65686" w:rsidRDefault="00F27F57"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Acs, Z. J., Audretsch, D. B., &amp; Feldman, M. P. (1992). Real effects of academic research: comment. </w:t>
      </w:r>
      <w:r w:rsidRPr="00F65686">
        <w:rPr>
          <w:rFonts w:ascii="Times New Roman" w:hAnsi="Times New Roman"/>
          <w:i/>
          <w:sz w:val="20"/>
          <w:szCs w:val="20"/>
          <w:lang w:val="en-US"/>
        </w:rPr>
        <w:t>The American Economic Review</w:t>
      </w:r>
      <w:r w:rsidRPr="00F65686">
        <w:rPr>
          <w:rFonts w:ascii="Times New Roman" w:hAnsi="Times New Roman"/>
          <w:sz w:val="20"/>
          <w:szCs w:val="20"/>
          <w:lang w:val="en-US"/>
        </w:rPr>
        <w:t>, 82(1), 363-367.</w:t>
      </w:r>
    </w:p>
    <w:p w14:paraId="359DE6B9" w14:textId="77777777" w:rsidR="00DF434E" w:rsidRPr="00F65686" w:rsidRDefault="00F27F57"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Acs, Z. J., D. B. Audretsch, M. P. Feldman. (1994). R&amp;D spillovers and recipient firm size. </w:t>
      </w:r>
      <w:r w:rsidRPr="00F65686">
        <w:rPr>
          <w:rFonts w:ascii="Times New Roman" w:hAnsi="Times New Roman"/>
          <w:i/>
          <w:sz w:val="20"/>
          <w:szCs w:val="20"/>
          <w:lang w:val="en-US"/>
        </w:rPr>
        <w:t>Rev. Econom. Statist</w:t>
      </w:r>
      <w:r w:rsidRPr="00F65686">
        <w:rPr>
          <w:rFonts w:ascii="Times New Roman" w:hAnsi="Times New Roman"/>
          <w:sz w:val="20"/>
          <w:szCs w:val="20"/>
          <w:lang w:val="en-US"/>
        </w:rPr>
        <w:t>. 76 336–340.</w:t>
      </w:r>
    </w:p>
    <w:p w14:paraId="514040B0" w14:textId="77777777" w:rsidR="00DF434E" w:rsidRPr="00F65686" w:rsidRDefault="00DF434E" w:rsidP="00F65686">
      <w:pPr>
        <w:spacing w:after="120"/>
        <w:ind w:left="397" w:hanging="397"/>
        <w:jc w:val="both"/>
        <w:rPr>
          <w:rFonts w:ascii="Times New Roman" w:hAnsi="Times New Roman"/>
          <w:sz w:val="20"/>
          <w:szCs w:val="20"/>
        </w:rPr>
      </w:pPr>
      <w:r w:rsidRPr="00F65686">
        <w:rPr>
          <w:rFonts w:ascii="Times New Roman" w:hAnsi="Times New Roman"/>
          <w:sz w:val="20"/>
          <w:szCs w:val="20"/>
          <w:lang w:val="en-GB"/>
        </w:rPr>
        <w:t>Akçomak, İ. S., &amp; Ter Weel, B. (2012). The impact of social capital on crime: Evidence from the Netherlands. </w:t>
      </w:r>
      <w:r w:rsidRPr="00F65686">
        <w:rPr>
          <w:rFonts w:ascii="Times New Roman" w:hAnsi="Times New Roman"/>
          <w:i/>
          <w:sz w:val="20"/>
          <w:szCs w:val="20"/>
        </w:rPr>
        <w:t>Regional Science and Urban Economics</w:t>
      </w:r>
      <w:r w:rsidRPr="00F65686">
        <w:rPr>
          <w:rFonts w:ascii="Times New Roman" w:hAnsi="Times New Roman"/>
          <w:sz w:val="20"/>
          <w:szCs w:val="20"/>
        </w:rPr>
        <w:t>, 42(1-2), 323-340.</w:t>
      </w:r>
    </w:p>
    <w:p w14:paraId="49952198" w14:textId="30F56569" w:rsidR="00284F76" w:rsidRPr="00F65686" w:rsidRDefault="00284F76"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rPr>
        <w:t xml:space="preserve">Antonioli, D., Marzucchi, A., &amp; Montresor, S. (2014). </w:t>
      </w:r>
      <w:r w:rsidRPr="00F65686">
        <w:rPr>
          <w:rFonts w:ascii="Times New Roman" w:hAnsi="Times New Roman"/>
          <w:sz w:val="20"/>
          <w:szCs w:val="20"/>
          <w:lang w:val="en-US"/>
        </w:rPr>
        <w:t xml:space="preserve">Regional Innovation Policy and Innovative Behaviour: Looking for Additional Effects. European Planning Studies, 22(1), 64–83. </w:t>
      </w:r>
      <w:hyperlink r:id="rId17" w:history="1">
        <w:r w:rsidRPr="00F65686">
          <w:rPr>
            <w:rStyle w:val="Collegamentoipertestuale"/>
            <w:rFonts w:ascii="Times New Roman" w:hAnsi="Times New Roman"/>
            <w:sz w:val="20"/>
            <w:szCs w:val="20"/>
            <w:lang w:val="en-US"/>
          </w:rPr>
          <w:t>https://doi.org/10.1080/09654313.2012.722977</w:t>
        </w:r>
      </w:hyperlink>
      <w:r w:rsidRPr="00F65686">
        <w:rPr>
          <w:rFonts w:ascii="Times New Roman" w:hAnsi="Times New Roman"/>
          <w:sz w:val="20"/>
          <w:szCs w:val="20"/>
          <w:lang w:val="en-US"/>
        </w:rPr>
        <w:t xml:space="preserve"> </w:t>
      </w:r>
    </w:p>
    <w:p w14:paraId="1C6F3C4C" w14:textId="68CDFB26" w:rsidR="00F27F57" w:rsidRPr="00F65686" w:rsidRDefault="00F27F57"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Aschhoff, B., and Sofka, W. (2009). “Innovation on demand—Can public procurement drive m</w:t>
      </w:r>
      <w:r w:rsidR="009C74EA" w:rsidRPr="00F65686">
        <w:rPr>
          <w:rFonts w:ascii="Times New Roman" w:hAnsi="Times New Roman"/>
          <w:sz w:val="20"/>
          <w:szCs w:val="20"/>
          <w:lang w:val="en-US"/>
        </w:rPr>
        <w:t>arket success of innovations?”,</w:t>
      </w:r>
      <w:r w:rsidRPr="00F65686">
        <w:rPr>
          <w:rFonts w:ascii="Times New Roman" w:hAnsi="Times New Roman"/>
          <w:sz w:val="20"/>
          <w:szCs w:val="20"/>
          <w:lang w:val="en-US"/>
        </w:rPr>
        <w:t xml:space="preserve"> </w:t>
      </w:r>
      <w:r w:rsidRPr="00F65686">
        <w:rPr>
          <w:rFonts w:ascii="Times New Roman" w:hAnsi="Times New Roman"/>
          <w:i/>
          <w:sz w:val="20"/>
          <w:szCs w:val="20"/>
          <w:lang w:val="en-US"/>
        </w:rPr>
        <w:t>Research Policy</w:t>
      </w:r>
      <w:r w:rsidRPr="00F65686">
        <w:rPr>
          <w:rFonts w:ascii="Times New Roman" w:hAnsi="Times New Roman"/>
          <w:sz w:val="20"/>
          <w:szCs w:val="20"/>
          <w:lang w:val="en-US"/>
        </w:rPr>
        <w:t>, 38 (8): 1235-1247.</w:t>
      </w:r>
    </w:p>
    <w:p w14:paraId="1F4CC50F" w14:textId="169EB322" w:rsidR="004D396E" w:rsidRPr="00F65686" w:rsidRDefault="004D396E"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Asimakopoulos, G., Revilla, A. J., &amp; Slavova, K. (2020). External Knowledge Sourcing and Firm Innovation Efficiency. British Journal of Management, 31(1), 123–140. https://doi.org/10.1111/1467-8551.12367</w:t>
      </w:r>
      <w:r w:rsidR="000B281F" w:rsidRPr="00F65686">
        <w:rPr>
          <w:rFonts w:ascii="Times New Roman" w:hAnsi="Times New Roman"/>
          <w:sz w:val="20"/>
          <w:szCs w:val="20"/>
          <w:lang w:val="en-US"/>
        </w:rPr>
        <w:t xml:space="preserve"> </w:t>
      </w:r>
    </w:p>
    <w:p w14:paraId="5F0FED0A" w14:textId="263CA9A3" w:rsidR="009F39FC" w:rsidRPr="00F65686" w:rsidRDefault="009F39FC"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lastRenderedPageBreak/>
        <w:t xml:space="preserve">Bach, L., Conde-Molist, N., Ledoux, M., Matt, M., &amp; Schaeffer, V. (1995). Evaluation of the economic effects of Brite-Euram programmes on the European industry. </w:t>
      </w:r>
      <w:r w:rsidRPr="00F65686">
        <w:rPr>
          <w:rFonts w:ascii="Times New Roman" w:hAnsi="Times New Roman"/>
          <w:i/>
          <w:sz w:val="20"/>
          <w:szCs w:val="20"/>
          <w:lang w:val="en-US"/>
        </w:rPr>
        <w:t>Scientometrics</w:t>
      </w:r>
      <w:r w:rsidRPr="00F65686">
        <w:rPr>
          <w:rFonts w:ascii="Times New Roman" w:hAnsi="Times New Roman"/>
          <w:sz w:val="20"/>
          <w:szCs w:val="20"/>
          <w:lang w:val="en-US"/>
        </w:rPr>
        <w:t>, 34(3), 325-349.</w:t>
      </w:r>
    </w:p>
    <w:p w14:paraId="01674F24" w14:textId="1D4E473F" w:rsidR="00CD5640" w:rsidRPr="00F65686" w:rsidRDefault="00CD5640"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Bach, L., Matt, M., &amp; Wolff, S. (2014). How do firms perceive policy rationales behind the variety of instruments supporting collaborative R&amp;D? Lessons from the European Framework Programs. Technovation, 34(5–6), 327–337. </w:t>
      </w:r>
      <w:hyperlink r:id="rId18" w:history="1">
        <w:r w:rsidRPr="00F65686">
          <w:rPr>
            <w:rStyle w:val="Collegamentoipertestuale"/>
            <w:rFonts w:ascii="Times New Roman" w:hAnsi="Times New Roman"/>
            <w:sz w:val="20"/>
            <w:szCs w:val="20"/>
            <w:lang w:val="en-US"/>
          </w:rPr>
          <w:t>https://doi.org/10.1016/j.technovation.2014.02.008</w:t>
        </w:r>
      </w:hyperlink>
      <w:r w:rsidRPr="00F65686">
        <w:rPr>
          <w:rFonts w:ascii="Times New Roman" w:hAnsi="Times New Roman"/>
          <w:sz w:val="20"/>
          <w:szCs w:val="20"/>
          <w:lang w:val="en-US"/>
        </w:rPr>
        <w:t xml:space="preserve"> </w:t>
      </w:r>
    </w:p>
    <w:p w14:paraId="6567EE14" w14:textId="77777777" w:rsidR="000748CB" w:rsidRPr="00F65686" w:rsidRDefault="000748CB"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Baruffaldi, S.H., Di Maio, G., Landoni, P. (2017) Determinants of PhD holders’ use of social networking sites: An analysis based on LinkedIn. Research Policy </w:t>
      </w:r>
      <w:r w:rsidRPr="00F65686">
        <w:rPr>
          <w:rFonts w:ascii="Times New Roman" w:hAnsi="Times New Roman"/>
          <w:sz w:val="20"/>
          <w:szCs w:val="20"/>
          <w:lang w:val="en-US"/>
        </w:rPr>
        <w:br/>
        <w:t xml:space="preserve">46(4), pp. 740-750 </w:t>
      </w:r>
    </w:p>
    <w:p w14:paraId="53882C6D" w14:textId="7EC3F182" w:rsidR="009E6C2F" w:rsidRPr="00F65686" w:rsidRDefault="009E6C2F"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Basile, R., Capello, R., &amp; Caragliu, A. (2012). Technological interdependence and regional growth in Europe: Proximity and synergy in knowledge spillovers. </w:t>
      </w:r>
      <w:r w:rsidRPr="00F65686">
        <w:rPr>
          <w:rFonts w:ascii="Times New Roman" w:hAnsi="Times New Roman"/>
          <w:i/>
          <w:sz w:val="20"/>
          <w:szCs w:val="20"/>
          <w:lang w:val="en-US"/>
        </w:rPr>
        <w:t>Papers in Regional Science</w:t>
      </w:r>
      <w:r w:rsidRPr="00F65686">
        <w:rPr>
          <w:rFonts w:ascii="Times New Roman" w:hAnsi="Times New Roman"/>
          <w:sz w:val="20"/>
          <w:szCs w:val="20"/>
          <w:lang w:val="en-US"/>
        </w:rPr>
        <w:t>, 91(4), 697-722.</w:t>
      </w:r>
    </w:p>
    <w:p w14:paraId="2E37C00F" w14:textId="2108393A" w:rsidR="000407AA" w:rsidRPr="00F65686" w:rsidRDefault="000407AA"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Bakhshi, H., Edwards, J. S., Roper, S., Scully, J., Shaw, D., Morley, L., &amp; Rathbone, N. (2015). Assessing an experimental approach to industrial policy evaluation: Applying RCT+ to the case of Creative Credits. Research Policy, 44(8), 1462–1472. </w:t>
      </w:r>
      <w:hyperlink r:id="rId19" w:history="1">
        <w:r w:rsidRPr="00F65686">
          <w:rPr>
            <w:rStyle w:val="Collegamentoipertestuale"/>
            <w:rFonts w:ascii="Times New Roman" w:hAnsi="Times New Roman"/>
            <w:sz w:val="20"/>
            <w:szCs w:val="20"/>
            <w:lang w:val="en-US"/>
          </w:rPr>
          <w:t>https://doi.org/10.1016/j.respol.2015.04.004</w:t>
        </w:r>
      </w:hyperlink>
      <w:r w:rsidRPr="00F65686">
        <w:rPr>
          <w:rFonts w:ascii="Times New Roman" w:hAnsi="Times New Roman"/>
          <w:sz w:val="20"/>
          <w:szCs w:val="20"/>
          <w:lang w:val="en-US"/>
        </w:rPr>
        <w:t xml:space="preserve"> </w:t>
      </w:r>
    </w:p>
    <w:p w14:paraId="5D386231" w14:textId="77777777" w:rsidR="00876E7C" w:rsidRPr="00F65686" w:rsidRDefault="00876E7C" w:rsidP="00F65686">
      <w:pPr>
        <w:ind w:left="426" w:right="-1" w:hanging="397"/>
        <w:jc w:val="both"/>
        <w:rPr>
          <w:rFonts w:ascii="Times New Roman" w:hAnsi="Times New Roman"/>
          <w:sz w:val="20"/>
          <w:szCs w:val="20"/>
          <w:lang w:val="en-US"/>
        </w:rPr>
      </w:pPr>
      <w:r w:rsidRPr="00F65686">
        <w:rPr>
          <w:rFonts w:ascii="Times New Roman" w:hAnsi="Times New Roman"/>
          <w:sz w:val="20"/>
          <w:szCs w:val="20"/>
          <w:lang w:val="en-US"/>
        </w:rPr>
        <w:t>Barge-Gil, A. (2010). Open, semi-open and closed innovators: towards an explanation of degree of openness. </w:t>
      </w:r>
      <w:r w:rsidRPr="00F65686">
        <w:rPr>
          <w:rFonts w:ascii="Times New Roman" w:hAnsi="Times New Roman"/>
          <w:i/>
          <w:sz w:val="20"/>
          <w:szCs w:val="20"/>
          <w:lang w:val="en-US"/>
        </w:rPr>
        <w:t>Industry and innovation</w:t>
      </w:r>
      <w:r w:rsidRPr="00F65686">
        <w:rPr>
          <w:rFonts w:ascii="Times New Roman" w:hAnsi="Times New Roman"/>
          <w:sz w:val="20"/>
          <w:szCs w:val="20"/>
          <w:lang w:val="en-US"/>
        </w:rPr>
        <w:t xml:space="preserve">, 17(6), 577-607. </w:t>
      </w:r>
    </w:p>
    <w:p w14:paraId="55F32010" w14:textId="2B1EF20B" w:rsidR="00582C30" w:rsidRPr="00F65686" w:rsidRDefault="00582C30" w:rsidP="00F65686">
      <w:pPr>
        <w:ind w:left="426" w:right="-1" w:hanging="397"/>
        <w:jc w:val="both"/>
        <w:rPr>
          <w:rFonts w:ascii="Times New Roman" w:hAnsi="Times New Roman"/>
          <w:sz w:val="20"/>
          <w:szCs w:val="20"/>
          <w:lang w:val="en-US"/>
        </w:rPr>
      </w:pPr>
      <w:r w:rsidRPr="00F65686">
        <w:rPr>
          <w:rFonts w:ascii="Times New Roman" w:hAnsi="Times New Roman"/>
          <w:sz w:val="20"/>
          <w:szCs w:val="20"/>
          <w:lang w:val="en-US"/>
        </w:rPr>
        <w:t>Becattini, G., Bellandi, M., De Propris, L. (2009). “</w:t>
      </w:r>
      <w:r w:rsidRPr="00F65686">
        <w:rPr>
          <w:rFonts w:ascii="Times New Roman" w:hAnsi="Times New Roman"/>
          <w:i/>
          <w:sz w:val="20"/>
          <w:szCs w:val="20"/>
          <w:lang w:val="en-US"/>
        </w:rPr>
        <w:t>A Handbook of Industrial Districts</w:t>
      </w:r>
      <w:r w:rsidRPr="00F65686">
        <w:rPr>
          <w:rFonts w:ascii="Times New Roman" w:hAnsi="Times New Roman"/>
          <w:sz w:val="20"/>
          <w:szCs w:val="20"/>
          <w:lang w:val="en-US"/>
        </w:rPr>
        <w:t>”, Cheltenham (UK): Edward Elgar.</w:t>
      </w:r>
    </w:p>
    <w:p w14:paraId="267DE85A" w14:textId="08B1F605" w:rsidR="00284F76" w:rsidRPr="00F65686" w:rsidRDefault="00284F76"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BenHassine, H., &amp; Mathieu, C. (2020). R&amp;D crowding out or R&amp;D leverage effects: An evaluation of the French cluster-oriented technology policy. Technological Forecasting &amp; Social Change, 155, 1–13. </w:t>
      </w:r>
      <w:hyperlink r:id="rId20" w:history="1">
        <w:r w:rsidRPr="00F65686">
          <w:rPr>
            <w:rStyle w:val="Collegamentoipertestuale"/>
            <w:rFonts w:ascii="Times New Roman" w:hAnsi="Times New Roman"/>
            <w:sz w:val="20"/>
            <w:szCs w:val="20"/>
            <w:lang w:val="en-US"/>
          </w:rPr>
          <w:t>https://doi.org/10.1016/j.techfore.2020.120025</w:t>
        </w:r>
      </w:hyperlink>
      <w:r w:rsidRPr="00F65686">
        <w:rPr>
          <w:rFonts w:ascii="Times New Roman" w:hAnsi="Times New Roman"/>
          <w:sz w:val="20"/>
          <w:szCs w:val="20"/>
          <w:lang w:val="en-US"/>
        </w:rPr>
        <w:t xml:space="preserve"> </w:t>
      </w:r>
    </w:p>
    <w:p w14:paraId="45EF43C1" w14:textId="3A4C91B0" w:rsidR="00284F76" w:rsidRPr="00F65686" w:rsidRDefault="00284F76"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Bleda, M., &amp; Del Río, P. (2013). The market failure and the systemic failure rationales in technological innovation systems. Research Policy, 42(5), 1039–1052. </w:t>
      </w:r>
      <w:hyperlink r:id="rId21" w:history="1">
        <w:r w:rsidRPr="00F65686">
          <w:rPr>
            <w:rStyle w:val="Collegamentoipertestuale"/>
            <w:rFonts w:ascii="Times New Roman" w:hAnsi="Times New Roman"/>
            <w:sz w:val="20"/>
            <w:szCs w:val="20"/>
            <w:lang w:val="en-US"/>
          </w:rPr>
          <w:t>https://doi.org/10.1016/j.respol.2013.02.008</w:t>
        </w:r>
      </w:hyperlink>
      <w:r w:rsidRPr="00F65686">
        <w:rPr>
          <w:rFonts w:ascii="Times New Roman" w:hAnsi="Times New Roman"/>
          <w:sz w:val="20"/>
          <w:szCs w:val="20"/>
          <w:lang w:val="en-US"/>
        </w:rPr>
        <w:t xml:space="preserve"> </w:t>
      </w:r>
    </w:p>
    <w:p w14:paraId="3210C6FD" w14:textId="77777777" w:rsidR="00BE0722" w:rsidRPr="00F65686" w:rsidRDefault="00BE0722"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Boyce, D. (2003). A short history of the field of regional science. </w:t>
      </w:r>
      <w:r w:rsidRPr="00F65686">
        <w:rPr>
          <w:rFonts w:ascii="Times New Roman" w:hAnsi="Times New Roman"/>
          <w:i/>
          <w:sz w:val="20"/>
          <w:szCs w:val="20"/>
          <w:lang w:val="en-US"/>
        </w:rPr>
        <w:t>Papers in Regional Science</w:t>
      </w:r>
      <w:r w:rsidRPr="00F65686">
        <w:rPr>
          <w:rFonts w:ascii="Times New Roman" w:hAnsi="Times New Roman"/>
          <w:sz w:val="20"/>
          <w:szCs w:val="20"/>
          <w:lang w:val="en-US"/>
        </w:rPr>
        <w:t>, 83(1), 31-57.</w:t>
      </w:r>
    </w:p>
    <w:p w14:paraId="2AB3C312" w14:textId="03781D82" w:rsidR="00CD5640" w:rsidRPr="00F65686" w:rsidRDefault="00CD5640"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Bronzini, R., &amp; Piselli, P. (2016). The impact of R&amp;D subsidies on firm innovation. Research Policy, 45, 442–457. </w:t>
      </w:r>
    </w:p>
    <w:p w14:paraId="0F9325C9" w14:textId="1AF7ACFA" w:rsidR="00F61750" w:rsidRPr="00F65686" w:rsidRDefault="00F61750"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Brown, R., and C. Mason. 2014. “Inside the High-tech Black Box: A Critique of Technology Entrepreneurship Policy.” Technovation 34 (12 December): 773–784.</w:t>
      </w:r>
    </w:p>
    <w:p w14:paraId="1A3CD030" w14:textId="2E43B6D2" w:rsidR="00EE079A" w:rsidRPr="00F65686" w:rsidRDefault="00EE079A"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Camagni, R. (1991). “</w:t>
      </w:r>
      <w:r w:rsidRPr="00F65686">
        <w:rPr>
          <w:rFonts w:ascii="Times New Roman" w:hAnsi="Times New Roman"/>
          <w:i/>
          <w:sz w:val="20"/>
          <w:szCs w:val="20"/>
          <w:lang w:val="en-US"/>
        </w:rPr>
        <w:t>Innovation networks: Spatial perspectives</w:t>
      </w:r>
      <w:r w:rsidRPr="00F65686">
        <w:rPr>
          <w:rFonts w:ascii="Times New Roman" w:hAnsi="Times New Roman"/>
          <w:sz w:val="20"/>
          <w:szCs w:val="20"/>
          <w:lang w:val="en-US"/>
        </w:rPr>
        <w:t>”, London (UK): John Wiley &amp; Sons.</w:t>
      </w:r>
    </w:p>
    <w:p w14:paraId="76C970A6" w14:textId="074B4BAB" w:rsidR="00905844" w:rsidRPr="00F65686" w:rsidRDefault="00905844" w:rsidP="00F65686">
      <w:pPr>
        <w:spacing w:after="120"/>
        <w:ind w:left="397" w:hanging="397"/>
        <w:jc w:val="both"/>
        <w:rPr>
          <w:rFonts w:ascii="Times New Roman" w:hAnsi="Times New Roman"/>
          <w:sz w:val="20"/>
          <w:szCs w:val="20"/>
        </w:rPr>
      </w:pPr>
      <w:r w:rsidRPr="00F65686">
        <w:rPr>
          <w:rFonts w:ascii="Times New Roman" w:hAnsi="Times New Roman"/>
          <w:sz w:val="20"/>
          <w:szCs w:val="20"/>
          <w:lang w:val="en-US"/>
        </w:rPr>
        <w:t xml:space="preserve">Capello, R. (2009). Indivisibilities, synergy and proximity: the need for an integrated approach to agglomeration economies. </w:t>
      </w:r>
      <w:r w:rsidRPr="00F65686">
        <w:rPr>
          <w:rFonts w:ascii="Times New Roman" w:hAnsi="Times New Roman"/>
          <w:i/>
          <w:sz w:val="20"/>
          <w:szCs w:val="20"/>
        </w:rPr>
        <w:t>Tijdschrift voor economische en sociale geografie</w:t>
      </w:r>
      <w:r w:rsidRPr="00F65686">
        <w:rPr>
          <w:rFonts w:ascii="Times New Roman" w:hAnsi="Times New Roman"/>
          <w:sz w:val="20"/>
          <w:szCs w:val="20"/>
        </w:rPr>
        <w:t>, 100(2), 145-159.</w:t>
      </w:r>
    </w:p>
    <w:p w14:paraId="6EA298F7" w14:textId="6D5CCE08" w:rsidR="00937ABF" w:rsidRPr="00F65686" w:rsidRDefault="00937ABF"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rPr>
        <w:t xml:space="preserve">Capello, R., and Caragliu, A. (2018). </w:t>
      </w:r>
      <w:r w:rsidRPr="00F65686">
        <w:rPr>
          <w:rFonts w:ascii="Times New Roman" w:hAnsi="Times New Roman"/>
          <w:sz w:val="20"/>
          <w:szCs w:val="20"/>
          <w:lang w:val="en-US"/>
        </w:rPr>
        <w:t xml:space="preserve">Proximities and the intensity of scientific relations: synergies and nonlinearities. </w:t>
      </w:r>
      <w:r w:rsidRPr="00F65686">
        <w:rPr>
          <w:rFonts w:ascii="Times New Roman" w:hAnsi="Times New Roman"/>
          <w:i/>
          <w:sz w:val="20"/>
          <w:szCs w:val="20"/>
          <w:lang w:val="en-US"/>
        </w:rPr>
        <w:t>International Regional Science Review</w:t>
      </w:r>
      <w:r w:rsidRPr="00F65686">
        <w:rPr>
          <w:rFonts w:ascii="Times New Roman" w:hAnsi="Times New Roman"/>
          <w:sz w:val="20"/>
          <w:szCs w:val="20"/>
          <w:lang w:val="en-US"/>
        </w:rPr>
        <w:t>, 41(1), 7-44.</w:t>
      </w:r>
    </w:p>
    <w:p w14:paraId="4CBB9DA2" w14:textId="72C92906" w:rsidR="00905844" w:rsidRPr="00F65686" w:rsidRDefault="00905844"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Caragliu, A. (2015). “</w:t>
      </w:r>
      <w:r w:rsidRPr="00F65686">
        <w:rPr>
          <w:rFonts w:ascii="Times New Roman" w:hAnsi="Times New Roman"/>
          <w:i/>
          <w:sz w:val="20"/>
          <w:szCs w:val="20"/>
          <w:lang w:val="en-US"/>
        </w:rPr>
        <w:t>The economics of proximity: Regional growth, beyond geographic proximity</w:t>
      </w:r>
      <w:r w:rsidRPr="00F65686">
        <w:rPr>
          <w:rFonts w:ascii="Times New Roman" w:hAnsi="Times New Roman"/>
          <w:sz w:val="20"/>
          <w:szCs w:val="20"/>
          <w:lang w:val="en-US"/>
        </w:rPr>
        <w:t>”, PhD. Dissertation, VU University Amsterdam.</w:t>
      </w:r>
    </w:p>
    <w:p w14:paraId="2A37B894" w14:textId="134864F5" w:rsidR="00905844" w:rsidRPr="00F65686" w:rsidRDefault="00905844"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Caragliu, A. (2021). “Energy efficiency-enhancing policies and firm performance: Evidence from the paper and glass industries in Italy”, </w:t>
      </w:r>
      <w:r w:rsidRPr="00F65686">
        <w:rPr>
          <w:rFonts w:ascii="Times New Roman" w:hAnsi="Times New Roman"/>
          <w:i/>
          <w:sz w:val="20"/>
          <w:szCs w:val="20"/>
          <w:lang w:val="en-US"/>
        </w:rPr>
        <w:t>Energy Policy</w:t>
      </w:r>
      <w:r w:rsidRPr="00F65686">
        <w:rPr>
          <w:rFonts w:ascii="Times New Roman" w:hAnsi="Times New Roman"/>
          <w:sz w:val="20"/>
          <w:szCs w:val="20"/>
          <w:lang w:val="en-US"/>
        </w:rPr>
        <w:t>, 156, 112415.</w:t>
      </w:r>
    </w:p>
    <w:p w14:paraId="5B55B483" w14:textId="403CB6F7" w:rsidR="00733CC1" w:rsidRPr="00F65686" w:rsidRDefault="00733CC1"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Caragliu, A. (2022, forthcoming). “Measuring the unmeasurable: the empirics of non-geographical proximity”, in A. Torre, D. Gaillaud (eds), “</w:t>
      </w:r>
      <w:r w:rsidRPr="00F65686">
        <w:rPr>
          <w:rFonts w:ascii="Times New Roman" w:hAnsi="Times New Roman"/>
          <w:i/>
          <w:sz w:val="20"/>
          <w:szCs w:val="20"/>
          <w:lang w:val="en-US"/>
        </w:rPr>
        <w:t>Handbook of Proximity Relations</w:t>
      </w:r>
      <w:r w:rsidRPr="00F65686">
        <w:rPr>
          <w:rFonts w:ascii="Times New Roman" w:hAnsi="Times New Roman"/>
          <w:sz w:val="20"/>
          <w:szCs w:val="20"/>
          <w:lang w:val="en-US"/>
        </w:rPr>
        <w:t>”, Edward Elgar, Cheltenham (UK)</w:t>
      </w:r>
      <w:r w:rsidR="00204AC4" w:rsidRPr="00F65686">
        <w:rPr>
          <w:rFonts w:ascii="Times New Roman" w:hAnsi="Times New Roman"/>
          <w:sz w:val="20"/>
          <w:szCs w:val="20"/>
          <w:lang w:val="en-US"/>
        </w:rPr>
        <w:t>.</w:t>
      </w:r>
    </w:p>
    <w:p w14:paraId="744401C9" w14:textId="0B1D81F4" w:rsidR="00204AC4" w:rsidRPr="00F65686" w:rsidRDefault="00204AC4"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Caragliu, A., &amp; Nijkamp, P. (2016). Space and knowledge spillovers in European regions: the impact of different forms of proximity on spatial knowledge diffusion. </w:t>
      </w:r>
      <w:r w:rsidRPr="00F65686">
        <w:rPr>
          <w:rFonts w:ascii="Times New Roman" w:hAnsi="Times New Roman"/>
          <w:i/>
          <w:sz w:val="20"/>
          <w:szCs w:val="20"/>
          <w:lang w:val="en-US"/>
        </w:rPr>
        <w:t>Journal of Economic Geography</w:t>
      </w:r>
      <w:r w:rsidRPr="00F65686">
        <w:rPr>
          <w:rFonts w:ascii="Times New Roman" w:hAnsi="Times New Roman"/>
          <w:sz w:val="20"/>
          <w:szCs w:val="20"/>
          <w:lang w:val="en-US"/>
        </w:rPr>
        <w:t>, 16(3), 749-774.</w:t>
      </w:r>
    </w:p>
    <w:p w14:paraId="4BF2BE2D" w14:textId="698FCD15" w:rsidR="009901A0" w:rsidRPr="00F65686" w:rsidRDefault="009901A0"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Caragliu, A., Landoni, P., &amp; Sala, A. (2019). Network contracts and firm performance: Evidence from matching estimates of a regional programme impact. </w:t>
      </w:r>
      <w:r w:rsidRPr="00F65686">
        <w:rPr>
          <w:rFonts w:ascii="Times New Roman" w:hAnsi="Times New Roman"/>
          <w:i/>
          <w:sz w:val="20"/>
          <w:szCs w:val="20"/>
          <w:lang w:val="en-US"/>
        </w:rPr>
        <w:t>Scienze Regionali-The Italian Journal of Regional Science</w:t>
      </w:r>
      <w:r w:rsidRPr="00F65686">
        <w:rPr>
          <w:rFonts w:ascii="Times New Roman" w:hAnsi="Times New Roman"/>
          <w:sz w:val="20"/>
          <w:szCs w:val="20"/>
          <w:lang w:val="en-US"/>
        </w:rPr>
        <w:t>, 18(2): 173-192.</w:t>
      </w:r>
    </w:p>
    <w:p w14:paraId="35116D55" w14:textId="373D765E" w:rsidR="00DA4095" w:rsidRPr="00F65686" w:rsidRDefault="00DA4095"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Carayannis, E. G., &amp; Rakhmatullin, R. (2014). The Quadruple/Quintuple Innovation Helixes and Smart Specialisation Strategies for Sustainable and Inclusive Growth in Europe and Beyond. Journal of the Knowledge Economy, 5(2), 212–239. https://doi.org/10.1007/s13132-014-0185-8 </w:t>
      </w:r>
    </w:p>
    <w:p w14:paraId="153A9F0D" w14:textId="642330BB" w:rsidR="00F71873" w:rsidRPr="00F65686" w:rsidRDefault="00F71873"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lastRenderedPageBreak/>
        <w:t xml:space="preserve">Cerulli, G. (2015). “ctreatreg: Command for fitting dose–response models under exogenous and endogenous treatment”, </w:t>
      </w:r>
      <w:r w:rsidRPr="00F65686">
        <w:rPr>
          <w:rFonts w:ascii="Times New Roman" w:hAnsi="Times New Roman"/>
          <w:i/>
          <w:sz w:val="20"/>
          <w:szCs w:val="20"/>
          <w:lang w:val="en-US"/>
        </w:rPr>
        <w:t>The Stata Journal</w:t>
      </w:r>
      <w:r w:rsidRPr="00F65686">
        <w:rPr>
          <w:rFonts w:ascii="Times New Roman" w:hAnsi="Times New Roman"/>
          <w:sz w:val="20"/>
          <w:szCs w:val="20"/>
          <w:lang w:val="en-US"/>
        </w:rPr>
        <w:t>, 15 (4): 1019–1045.</w:t>
      </w:r>
    </w:p>
    <w:p w14:paraId="1E77B901" w14:textId="1CBCEF26" w:rsidR="00876E7C" w:rsidRPr="00F65686" w:rsidRDefault="00876E7C"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Chapman, G., &amp; Hewitt-Dundas, N. (2018). The effect of public support on senior manager attitudes to innovation. </w:t>
      </w:r>
      <w:r w:rsidRPr="00F65686">
        <w:rPr>
          <w:rFonts w:ascii="Times New Roman" w:hAnsi="Times New Roman"/>
          <w:i/>
          <w:sz w:val="20"/>
          <w:szCs w:val="20"/>
          <w:lang w:val="en-US"/>
        </w:rPr>
        <w:t>Technovation</w:t>
      </w:r>
      <w:r w:rsidRPr="00F65686">
        <w:rPr>
          <w:rFonts w:ascii="Times New Roman" w:hAnsi="Times New Roman"/>
          <w:sz w:val="20"/>
          <w:szCs w:val="20"/>
          <w:lang w:val="en-US"/>
        </w:rPr>
        <w:t>, 69, 28-39.</w:t>
      </w:r>
    </w:p>
    <w:p w14:paraId="04F48227" w14:textId="19098D20" w:rsidR="00F27F57" w:rsidRPr="00F65686" w:rsidRDefault="00F27F57"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Chesbrough, H. W. (2003). Open innovation: The new imperative for creating and profiting from technology. </w:t>
      </w:r>
      <w:r w:rsidRPr="00F65686">
        <w:rPr>
          <w:rFonts w:ascii="Times New Roman" w:hAnsi="Times New Roman"/>
          <w:i/>
          <w:sz w:val="20"/>
          <w:szCs w:val="20"/>
          <w:lang w:val="en-US"/>
        </w:rPr>
        <w:t>Harvard Business Press</w:t>
      </w:r>
      <w:r w:rsidRPr="00F65686">
        <w:rPr>
          <w:rFonts w:ascii="Times New Roman" w:hAnsi="Times New Roman"/>
          <w:sz w:val="20"/>
          <w:szCs w:val="20"/>
          <w:lang w:val="en-US"/>
        </w:rPr>
        <w:t>.</w:t>
      </w:r>
    </w:p>
    <w:p w14:paraId="2335C00D" w14:textId="4FD5DA55" w:rsidR="00582C30" w:rsidRPr="00F65686" w:rsidRDefault="00582C30"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Christaller, Walter. ([1933] 1966). </w:t>
      </w:r>
      <w:r w:rsidRPr="00F65686">
        <w:rPr>
          <w:rFonts w:ascii="Times New Roman" w:hAnsi="Times New Roman"/>
          <w:i/>
          <w:sz w:val="20"/>
          <w:szCs w:val="20"/>
          <w:lang w:val="en-US"/>
        </w:rPr>
        <w:t>Central places in Southern Germany</w:t>
      </w:r>
      <w:r w:rsidRPr="00F65686">
        <w:rPr>
          <w:rFonts w:ascii="Times New Roman" w:hAnsi="Times New Roman"/>
          <w:sz w:val="20"/>
          <w:szCs w:val="20"/>
          <w:lang w:val="en-US"/>
        </w:rPr>
        <w:t>. Eaglewood Cliffs: Prentice Hall. </w:t>
      </w:r>
    </w:p>
    <w:p w14:paraId="3331D023" w14:textId="77777777" w:rsidR="00F27F57" w:rsidRPr="00F65686" w:rsidRDefault="00F27F57"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Coe, D. T., and Helpman, E. (1995). International R&amp;D spillovers. </w:t>
      </w:r>
      <w:r w:rsidRPr="00F65686">
        <w:rPr>
          <w:rFonts w:ascii="Times New Roman" w:hAnsi="Times New Roman"/>
          <w:i/>
          <w:sz w:val="20"/>
          <w:szCs w:val="20"/>
          <w:lang w:val="en-US"/>
        </w:rPr>
        <w:t>European Economic Review</w:t>
      </w:r>
      <w:r w:rsidRPr="00F65686">
        <w:rPr>
          <w:rFonts w:ascii="Times New Roman" w:hAnsi="Times New Roman"/>
          <w:sz w:val="20"/>
          <w:szCs w:val="20"/>
          <w:lang w:val="en-US"/>
        </w:rPr>
        <w:t>, 39 (5), 859-887.</w:t>
      </w:r>
    </w:p>
    <w:p w14:paraId="190A8A83" w14:textId="77777777" w:rsidR="00F27F57" w:rsidRPr="00F65686" w:rsidRDefault="00F27F57"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Cohen WM and Levinthal DA (1990). Absorptive capacity: a new perspective on learning and innovation. </w:t>
      </w:r>
      <w:r w:rsidRPr="00F65686">
        <w:rPr>
          <w:rFonts w:ascii="Times New Roman" w:hAnsi="Times New Roman"/>
          <w:i/>
          <w:sz w:val="20"/>
          <w:szCs w:val="20"/>
          <w:lang w:val="en-US"/>
        </w:rPr>
        <w:t>Administrative Science Quarterly</w:t>
      </w:r>
      <w:r w:rsidRPr="00F65686">
        <w:rPr>
          <w:rFonts w:ascii="Times New Roman" w:hAnsi="Times New Roman"/>
          <w:sz w:val="20"/>
          <w:szCs w:val="20"/>
          <w:lang w:val="en-US"/>
        </w:rPr>
        <w:t>, 35 (1): 128-152.</w:t>
      </w:r>
    </w:p>
    <w:p w14:paraId="4470751E" w14:textId="77777777" w:rsidR="00F27F57" w:rsidRPr="00F65686" w:rsidRDefault="00F27F57"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Cohen WM, Nelson RR and Walsh JP (2002). Links and impacts: the influence of public research on industrial R&amp;D. Management Science, 48 (1): 1–23.</w:t>
      </w:r>
    </w:p>
    <w:p w14:paraId="575A6D4D" w14:textId="77777777" w:rsidR="00FC32FE" w:rsidRPr="00F65686" w:rsidRDefault="00FC32FE"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Coletti, M., &amp; Landoni, P. (2018). Collaborations for innovation: a meta-study of relevant typologies, governance and policies. Economics of Innovation and New Technology, 27(5–6), 493–509. https://doi.org/10.1080/10438599.2017.1376166 </w:t>
      </w:r>
    </w:p>
    <w:p w14:paraId="2949DC36" w14:textId="4CF7BEAA" w:rsidR="00F27F57" w:rsidRPr="00F65686" w:rsidRDefault="00F27F57"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Cooke, P., Gomez Uranga, M., &amp; Etxebarria, G. (1997). Regional innovation systems: Institutional and organisational dimensions. </w:t>
      </w:r>
      <w:r w:rsidRPr="00F65686">
        <w:rPr>
          <w:rFonts w:ascii="Times New Roman" w:hAnsi="Times New Roman"/>
          <w:i/>
          <w:sz w:val="20"/>
          <w:szCs w:val="20"/>
          <w:lang w:val="en-US"/>
        </w:rPr>
        <w:t>Research policy</w:t>
      </w:r>
      <w:r w:rsidRPr="00F65686">
        <w:rPr>
          <w:rFonts w:ascii="Times New Roman" w:hAnsi="Times New Roman"/>
          <w:sz w:val="20"/>
          <w:szCs w:val="20"/>
          <w:lang w:val="en-US"/>
        </w:rPr>
        <w:t>, 26(4): 475-491.</w:t>
      </w:r>
    </w:p>
    <w:p w14:paraId="39F0A5CF" w14:textId="77777777" w:rsidR="00E2104C" w:rsidRPr="00F65686" w:rsidRDefault="00E2104C"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Copeland, S. (2019). On serendipity in science: discovery at the intersection of chance and wisdom. Synthese, 196(6), 2385–2406. </w:t>
      </w:r>
      <w:hyperlink r:id="rId22" w:history="1">
        <w:r w:rsidRPr="00F65686">
          <w:rPr>
            <w:rStyle w:val="Collegamentoipertestuale"/>
            <w:rFonts w:ascii="Times New Roman" w:hAnsi="Times New Roman"/>
            <w:sz w:val="20"/>
            <w:szCs w:val="20"/>
            <w:lang w:val="en-US"/>
          </w:rPr>
          <w:t>https://doi.org/10.1007/s11229-017-1544-3</w:t>
        </w:r>
      </w:hyperlink>
      <w:r w:rsidRPr="00F65686">
        <w:rPr>
          <w:rFonts w:ascii="Times New Roman" w:hAnsi="Times New Roman"/>
          <w:sz w:val="20"/>
          <w:szCs w:val="20"/>
          <w:lang w:val="en-US"/>
        </w:rPr>
        <w:t xml:space="preserve"> </w:t>
      </w:r>
    </w:p>
    <w:p w14:paraId="1191D511" w14:textId="1EFF0F0A" w:rsidR="00F27F57" w:rsidRPr="00F65686" w:rsidRDefault="00F27F57"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Cornet, M, B. Roomen V. and Van der Steeg M. (2006). Do innovation vouchers help SMEs to cross the bridge towards science? </w:t>
      </w:r>
      <w:r w:rsidRPr="00F65686">
        <w:rPr>
          <w:rFonts w:ascii="Times New Roman" w:hAnsi="Times New Roman"/>
          <w:i/>
          <w:sz w:val="20"/>
          <w:szCs w:val="20"/>
          <w:lang w:val="en-US"/>
        </w:rPr>
        <w:t>CBP Discussion Paper</w:t>
      </w:r>
      <w:r w:rsidR="00794AEC" w:rsidRPr="00F65686">
        <w:rPr>
          <w:rFonts w:ascii="Times New Roman" w:hAnsi="Times New Roman"/>
          <w:i/>
          <w:sz w:val="20"/>
          <w:szCs w:val="20"/>
          <w:lang w:val="en-US"/>
        </w:rPr>
        <w:t xml:space="preserve"> No 58</w:t>
      </w:r>
      <w:r w:rsidRPr="00F65686">
        <w:rPr>
          <w:rFonts w:ascii="Times New Roman" w:hAnsi="Times New Roman"/>
          <w:sz w:val="20"/>
          <w:szCs w:val="20"/>
          <w:lang w:val="en-US"/>
        </w:rPr>
        <w:t>.</w:t>
      </w:r>
    </w:p>
    <w:p w14:paraId="734D2306" w14:textId="14760D07" w:rsidR="00284F76" w:rsidRPr="00F65686" w:rsidRDefault="00284F76" w:rsidP="00F65686">
      <w:pPr>
        <w:spacing w:after="120"/>
        <w:ind w:left="397" w:hanging="397"/>
        <w:jc w:val="both"/>
        <w:rPr>
          <w:rFonts w:ascii="Times New Roman" w:hAnsi="Times New Roman"/>
          <w:sz w:val="20"/>
          <w:szCs w:val="20"/>
        </w:rPr>
      </w:pPr>
      <w:r w:rsidRPr="00F65686">
        <w:rPr>
          <w:rFonts w:ascii="Times New Roman" w:hAnsi="Times New Roman"/>
          <w:sz w:val="20"/>
          <w:szCs w:val="20"/>
          <w:lang w:val="en-GB"/>
        </w:rPr>
        <w:t xml:space="preserve">Cunningham, P., and A. Gok. 2012. “The Impact and Effectiveness of Policies to Support Collaboration for R&amp;D and Innovation.” </w:t>
      </w:r>
      <w:r w:rsidRPr="00F65686">
        <w:rPr>
          <w:rFonts w:ascii="Times New Roman" w:hAnsi="Times New Roman"/>
          <w:sz w:val="20"/>
          <w:szCs w:val="20"/>
        </w:rPr>
        <w:t>NESTA Working Paper 12 (06). London: NESTA.</w:t>
      </w:r>
    </w:p>
    <w:p w14:paraId="54AEB98E" w14:textId="77777777" w:rsidR="00876E7C" w:rsidRPr="00F65686" w:rsidRDefault="00876E7C"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rPr>
        <w:t xml:space="preserve">De Crinito, A., Landoni, P., &amp; Caragliu, A. (2013). I voucher e i brevetti: quali risultati e benefici per le imprese. </w:t>
      </w:r>
      <w:r w:rsidRPr="00F65686">
        <w:rPr>
          <w:rFonts w:ascii="Times New Roman" w:hAnsi="Times New Roman"/>
          <w:sz w:val="20"/>
          <w:szCs w:val="20"/>
          <w:lang w:val="en-US"/>
        </w:rPr>
        <w:t>Éupolis Lombardia.</w:t>
      </w:r>
    </w:p>
    <w:p w14:paraId="22A7B1AA" w14:textId="61ED9A81" w:rsidR="00F27F57" w:rsidRPr="00F65686" w:rsidRDefault="00F27F57" w:rsidP="00F65686">
      <w:pPr>
        <w:spacing w:after="120"/>
        <w:ind w:left="397" w:hanging="397"/>
        <w:jc w:val="both"/>
        <w:rPr>
          <w:rFonts w:ascii="Times New Roman" w:hAnsi="Times New Roman"/>
          <w:sz w:val="20"/>
          <w:szCs w:val="20"/>
          <w:lang w:val="en-GB"/>
        </w:rPr>
      </w:pPr>
      <w:r w:rsidRPr="00F65686">
        <w:rPr>
          <w:rFonts w:ascii="Times New Roman" w:hAnsi="Times New Roman"/>
          <w:sz w:val="20"/>
          <w:szCs w:val="20"/>
          <w:lang w:val="en-GB"/>
        </w:rPr>
        <w:t xml:space="preserve">Dodgson, M., Gann, D. and Salter, A. (2006) The role of technology in the shift towards open innovation: the case of Procter &amp; Gamble. </w:t>
      </w:r>
      <w:r w:rsidRPr="00F65686">
        <w:rPr>
          <w:rFonts w:ascii="Times New Roman" w:hAnsi="Times New Roman"/>
          <w:i/>
          <w:sz w:val="20"/>
          <w:szCs w:val="20"/>
          <w:lang w:val="en-GB"/>
        </w:rPr>
        <w:t>R&amp;D Management</w:t>
      </w:r>
      <w:r w:rsidRPr="00F65686">
        <w:rPr>
          <w:rFonts w:ascii="Times New Roman" w:hAnsi="Times New Roman"/>
          <w:sz w:val="20"/>
          <w:szCs w:val="20"/>
          <w:lang w:val="en-GB"/>
        </w:rPr>
        <w:t>, 36 (3): 333–346.</w:t>
      </w:r>
    </w:p>
    <w:p w14:paraId="7C7B1C61" w14:textId="77777777" w:rsidR="00CD5640" w:rsidRPr="00F65686" w:rsidRDefault="00CD5640"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Dodgson, M., Hughes, A., Foster, J., &amp; Metcalfe, S. (2011). Systems thinking, market failure, and the development of innovation policy: The case of Australia. Research Policy, 40(9), 1145–1156. </w:t>
      </w:r>
      <w:hyperlink r:id="rId23" w:history="1">
        <w:r w:rsidRPr="00F65686">
          <w:rPr>
            <w:rStyle w:val="Collegamentoipertestuale"/>
            <w:rFonts w:ascii="Times New Roman" w:hAnsi="Times New Roman"/>
            <w:sz w:val="20"/>
            <w:szCs w:val="20"/>
            <w:lang w:val="en-US"/>
          </w:rPr>
          <w:t>https://doi.org/10.1016/j.respol.2011.05.015</w:t>
        </w:r>
      </w:hyperlink>
    </w:p>
    <w:p w14:paraId="16577AFC" w14:textId="7CAC63BC" w:rsidR="00F27F57" w:rsidRPr="00F65686" w:rsidRDefault="00F27F57" w:rsidP="00F65686">
      <w:pPr>
        <w:spacing w:after="120"/>
        <w:ind w:left="397" w:hanging="397"/>
        <w:jc w:val="both"/>
        <w:rPr>
          <w:rFonts w:ascii="Times New Roman" w:hAnsi="Times New Roman"/>
          <w:sz w:val="20"/>
          <w:szCs w:val="20"/>
          <w:lang w:val="en-GB"/>
        </w:rPr>
      </w:pPr>
      <w:r w:rsidRPr="00F65686">
        <w:rPr>
          <w:rFonts w:ascii="Times New Roman" w:hAnsi="Times New Roman"/>
          <w:sz w:val="20"/>
          <w:szCs w:val="20"/>
          <w:lang w:val="en-GB"/>
        </w:rPr>
        <w:t xml:space="preserve">Doloreux, D., 2004. Regional networks of small and medium sized enterprises: evidence from the metropolitan area of Ottawa in Canada. </w:t>
      </w:r>
      <w:r w:rsidRPr="00F65686">
        <w:rPr>
          <w:rFonts w:ascii="Times New Roman" w:hAnsi="Times New Roman"/>
          <w:i/>
          <w:sz w:val="20"/>
          <w:szCs w:val="20"/>
          <w:lang w:val="en-GB"/>
        </w:rPr>
        <w:t>European Planning Studies</w:t>
      </w:r>
      <w:r w:rsidRPr="00F65686">
        <w:rPr>
          <w:rFonts w:ascii="Times New Roman" w:hAnsi="Times New Roman"/>
          <w:sz w:val="20"/>
          <w:szCs w:val="20"/>
          <w:lang w:val="en-GB"/>
        </w:rPr>
        <w:t>, 12 (2): 173–189.</w:t>
      </w:r>
    </w:p>
    <w:p w14:paraId="3515E02D" w14:textId="387A0DA0" w:rsidR="00F27F57" w:rsidRPr="00F65686" w:rsidRDefault="00F27F57"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GB"/>
        </w:rPr>
        <w:t xml:space="preserve">Edler J., Georghiou L. (2007), Public procurement and innovation. </w:t>
      </w:r>
      <w:r w:rsidRPr="00F65686">
        <w:rPr>
          <w:rFonts w:ascii="Times New Roman" w:hAnsi="Times New Roman"/>
          <w:sz w:val="20"/>
          <w:szCs w:val="20"/>
          <w:lang w:val="en-US"/>
        </w:rPr>
        <w:t xml:space="preserve">Resurrecting the demand side. </w:t>
      </w:r>
      <w:r w:rsidRPr="00F65686">
        <w:rPr>
          <w:rFonts w:ascii="Times New Roman" w:hAnsi="Times New Roman"/>
          <w:i/>
          <w:sz w:val="20"/>
          <w:szCs w:val="20"/>
          <w:lang w:val="en-US"/>
        </w:rPr>
        <w:t>Research Policy</w:t>
      </w:r>
      <w:r w:rsidRPr="00F65686">
        <w:rPr>
          <w:rFonts w:ascii="Times New Roman" w:hAnsi="Times New Roman"/>
          <w:sz w:val="20"/>
          <w:szCs w:val="20"/>
          <w:lang w:val="en-US"/>
        </w:rPr>
        <w:t>, 36 (7): 949-963.</w:t>
      </w:r>
    </w:p>
    <w:p w14:paraId="79008D1E" w14:textId="77777777" w:rsidR="00080A3E" w:rsidRPr="00F65686" w:rsidRDefault="00080A3E"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Edler, J., P. Cunningham, A. Gok, and P. Shapira.. 2016. “Introduction: Making Sense of Innovation Policy.” In Handbook of Innovation Policy Impact, edited by J. Edler, P. Cunningham, A. Gök, and P. Shapira, 1–17. Cheltenham: Edward Elgar. </w:t>
      </w:r>
    </w:p>
    <w:p w14:paraId="0DAA39A7" w14:textId="5484EDC7" w:rsidR="00F27F57" w:rsidRPr="00F65686" w:rsidRDefault="00F27F57" w:rsidP="00F65686">
      <w:pPr>
        <w:spacing w:after="120"/>
        <w:ind w:left="397" w:hanging="397"/>
        <w:jc w:val="both"/>
        <w:rPr>
          <w:rFonts w:ascii="Times New Roman" w:hAnsi="Times New Roman"/>
          <w:sz w:val="20"/>
          <w:szCs w:val="20"/>
          <w:lang w:val="en-GB"/>
        </w:rPr>
      </w:pPr>
      <w:r w:rsidRPr="00F65686">
        <w:rPr>
          <w:rFonts w:ascii="Times New Roman" w:hAnsi="Times New Roman"/>
          <w:sz w:val="20"/>
          <w:szCs w:val="20"/>
          <w:lang w:val="en-US"/>
        </w:rPr>
        <w:t xml:space="preserve">European Commission DG ENTR-Unit D2 (2009). </w:t>
      </w:r>
      <w:r w:rsidRPr="00F65686">
        <w:rPr>
          <w:rFonts w:ascii="Times New Roman" w:hAnsi="Times New Roman"/>
          <w:sz w:val="20"/>
          <w:szCs w:val="20"/>
          <w:lang w:val="en-GB"/>
        </w:rPr>
        <w:t>Availability and Focus on Innovation Voucher Schemes</w:t>
      </w:r>
      <w:r w:rsidR="00A37FA5" w:rsidRPr="00F65686">
        <w:rPr>
          <w:rFonts w:ascii="Times New Roman" w:hAnsi="Times New Roman"/>
          <w:sz w:val="20"/>
          <w:szCs w:val="20"/>
          <w:lang w:val="en-GB"/>
        </w:rPr>
        <w:t>,</w:t>
      </w:r>
      <w:r w:rsidRPr="00F65686">
        <w:rPr>
          <w:rFonts w:ascii="Times New Roman" w:hAnsi="Times New Roman"/>
          <w:sz w:val="20"/>
          <w:szCs w:val="20"/>
          <w:lang w:val="en-GB"/>
        </w:rPr>
        <w:t xml:space="preserve"> in</w:t>
      </w:r>
      <w:r w:rsidR="00A37FA5" w:rsidRPr="00F65686">
        <w:rPr>
          <w:rFonts w:ascii="Times New Roman" w:hAnsi="Times New Roman"/>
          <w:sz w:val="20"/>
          <w:szCs w:val="20"/>
          <w:lang w:val="en-GB"/>
        </w:rPr>
        <w:t xml:space="preserve"> </w:t>
      </w:r>
      <w:r w:rsidRPr="00F65686">
        <w:rPr>
          <w:rFonts w:ascii="Times New Roman" w:hAnsi="Times New Roman"/>
          <w:sz w:val="20"/>
          <w:szCs w:val="20"/>
          <w:lang w:val="en-GB"/>
        </w:rPr>
        <w:t xml:space="preserve">European Commission (2012). COM(2012) 582 final - A Stronger European Industry for Growth and Economic Recovery URL: </w:t>
      </w:r>
      <w:hyperlink r:id="rId24" w:history="1">
        <w:r w:rsidRPr="00F65686">
          <w:rPr>
            <w:rStyle w:val="Collegamentoipertestuale"/>
            <w:rFonts w:ascii="Times New Roman" w:hAnsi="Times New Roman"/>
            <w:sz w:val="20"/>
            <w:szCs w:val="20"/>
            <w:lang w:val="en-GB"/>
          </w:rPr>
          <w:t>http://eur-lex.europa.eu/LexUriServ/LexUriServ.do?uri=COM:2012:0582:FIN:en:PDF</w:t>
        </w:r>
      </w:hyperlink>
    </w:p>
    <w:p w14:paraId="567279A2" w14:textId="77777777" w:rsidR="00F27F57" w:rsidRPr="00F65686" w:rsidRDefault="00F27F57" w:rsidP="00F65686">
      <w:pPr>
        <w:spacing w:after="120"/>
        <w:ind w:left="397" w:hanging="397"/>
        <w:jc w:val="both"/>
        <w:rPr>
          <w:rFonts w:ascii="Times New Roman" w:hAnsi="Times New Roman"/>
          <w:sz w:val="20"/>
          <w:szCs w:val="20"/>
          <w:lang w:val="en-GB"/>
        </w:rPr>
      </w:pPr>
      <w:r w:rsidRPr="00F65686">
        <w:rPr>
          <w:rFonts w:ascii="Times New Roman" w:hAnsi="Times New Roman"/>
          <w:sz w:val="20"/>
          <w:szCs w:val="20"/>
          <w:lang w:val="en-GB"/>
        </w:rPr>
        <w:t xml:space="preserve">Flanagan K, Uyarra E and Laranja M (2011). Reconceptualising the "policy mix" for innovation. </w:t>
      </w:r>
      <w:r w:rsidRPr="00F65686">
        <w:rPr>
          <w:rFonts w:ascii="Times New Roman" w:hAnsi="Times New Roman"/>
          <w:i/>
          <w:sz w:val="20"/>
          <w:szCs w:val="20"/>
          <w:lang w:val="en-GB"/>
        </w:rPr>
        <w:t>Research Policy</w:t>
      </w:r>
      <w:r w:rsidRPr="00F65686">
        <w:rPr>
          <w:rFonts w:ascii="Times New Roman" w:hAnsi="Times New Roman"/>
          <w:sz w:val="20"/>
          <w:szCs w:val="20"/>
          <w:lang w:val="en-GB"/>
        </w:rPr>
        <w:t>, 40 (5), 702-713</w:t>
      </w:r>
    </w:p>
    <w:p w14:paraId="12792BB7" w14:textId="193D9CC1" w:rsidR="00F27F57" w:rsidRPr="00F65686" w:rsidRDefault="00F27F57" w:rsidP="00F65686">
      <w:pPr>
        <w:spacing w:after="120"/>
        <w:ind w:left="397" w:hanging="397"/>
        <w:jc w:val="both"/>
        <w:rPr>
          <w:rFonts w:ascii="Times New Roman" w:hAnsi="Times New Roman"/>
          <w:sz w:val="20"/>
          <w:szCs w:val="20"/>
          <w:lang w:val="en-GB"/>
        </w:rPr>
      </w:pPr>
      <w:r w:rsidRPr="00F65686">
        <w:rPr>
          <w:rFonts w:ascii="Times New Roman" w:hAnsi="Times New Roman"/>
          <w:sz w:val="20"/>
          <w:szCs w:val="20"/>
          <w:lang w:val="en-GB"/>
        </w:rPr>
        <w:t xml:space="preserve">Gassmann, O (2006) Editorial: opening up the innovation process: towards an agenda. </w:t>
      </w:r>
      <w:r w:rsidRPr="00F65686">
        <w:rPr>
          <w:rFonts w:ascii="Times New Roman" w:hAnsi="Times New Roman"/>
          <w:i/>
          <w:sz w:val="20"/>
          <w:szCs w:val="20"/>
          <w:lang w:val="en-GB"/>
        </w:rPr>
        <w:t>R&amp;D Management</w:t>
      </w:r>
      <w:r w:rsidRPr="00F65686">
        <w:rPr>
          <w:rFonts w:ascii="Times New Roman" w:hAnsi="Times New Roman"/>
          <w:sz w:val="20"/>
          <w:szCs w:val="20"/>
          <w:lang w:val="en-GB"/>
        </w:rPr>
        <w:t>, 36 (3), 223–228.</w:t>
      </w:r>
    </w:p>
    <w:p w14:paraId="4D8EC211" w14:textId="77777777" w:rsidR="00F27F57" w:rsidRPr="00F65686" w:rsidRDefault="00F27F57" w:rsidP="00F65686">
      <w:pPr>
        <w:spacing w:after="120"/>
        <w:ind w:left="397" w:hanging="397"/>
        <w:jc w:val="both"/>
        <w:rPr>
          <w:rFonts w:ascii="Times New Roman" w:hAnsi="Times New Roman"/>
          <w:sz w:val="20"/>
          <w:szCs w:val="20"/>
          <w:lang w:val="en-GB"/>
        </w:rPr>
      </w:pPr>
      <w:r w:rsidRPr="00F65686">
        <w:rPr>
          <w:rFonts w:ascii="Times New Roman" w:hAnsi="Times New Roman"/>
          <w:sz w:val="20"/>
          <w:szCs w:val="20"/>
          <w:lang w:val="en-GB"/>
        </w:rPr>
        <w:lastRenderedPageBreak/>
        <w:t xml:space="preserve">Georghiou, L. (2006). Effective innovation policies for Europe–the missing demand-side. </w:t>
      </w:r>
      <w:r w:rsidRPr="00F65686">
        <w:rPr>
          <w:rFonts w:ascii="Times New Roman" w:hAnsi="Times New Roman"/>
          <w:i/>
          <w:sz w:val="20"/>
          <w:szCs w:val="20"/>
          <w:lang w:val="en-GB"/>
        </w:rPr>
        <w:t>Report for the Prime Minister’s Office of Finland</w:t>
      </w:r>
      <w:r w:rsidRPr="00F65686">
        <w:rPr>
          <w:rFonts w:ascii="Times New Roman" w:hAnsi="Times New Roman"/>
          <w:sz w:val="20"/>
          <w:szCs w:val="20"/>
          <w:lang w:val="en-GB"/>
        </w:rPr>
        <w:t>, Economic Council of Finland.</w:t>
      </w:r>
    </w:p>
    <w:p w14:paraId="379A3831" w14:textId="612F9D3A" w:rsidR="00DF434E" w:rsidRPr="00F65686" w:rsidRDefault="00DF434E" w:rsidP="00F65686">
      <w:pPr>
        <w:spacing w:after="120"/>
        <w:ind w:left="397" w:hanging="397"/>
        <w:jc w:val="both"/>
        <w:rPr>
          <w:rFonts w:ascii="Times New Roman" w:hAnsi="Times New Roman"/>
          <w:sz w:val="20"/>
          <w:szCs w:val="20"/>
          <w:lang w:val="en-GB"/>
        </w:rPr>
      </w:pPr>
      <w:r w:rsidRPr="00F65686">
        <w:rPr>
          <w:rFonts w:ascii="Times New Roman" w:hAnsi="Times New Roman"/>
          <w:sz w:val="20"/>
          <w:szCs w:val="20"/>
          <w:lang w:val="en-GB"/>
        </w:rPr>
        <w:t>Glaeser EL, Liaison DI, Scheinkman JA, Soutter CL (2000) Measuring trust.</w:t>
      </w:r>
      <w:r w:rsidR="00A83B2B" w:rsidRPr="00F65686">
        <w:rPr>
          <w:rFonts w:ascii="Times New Roman" w:hAnsi="Times New Roman"/>
          <w:sz w:val="20"/>
          <w:szCs w:val="20"/>
          <w:lang w:val="en-GB"/>
        </w:rPr>
        <w:t xml:space="preserve"> </w:t>
      </w:r>
      <w:r w:rsidRPr="00F65686">
        <w:rPr>
          <w:rFonts w:ascii="Times New Roman" w:hAnsi="Times New Roman"/>
          <w:i/>
          <w:sz w:val="20"/>
          <w:szCs w:val="20"/>
          <w:lang w:val="en-GB"/>
        </w:rPr>
        <w:t>The Quarterly Journal of Economics</w:t>
      </w:r>
      <w:r w:rsidRPr="00F65686">
        <w:rPr>
          <w:rFonts w:ascii="Times New Roman" w:hAnsi="Times New Roman"/>
          <w:sz w:val="20"/>
          <w:szCs w:val="20"/>
          <w:lang w:val="en-GB"/>
        </w:rPr>
        <w:t> 115: 811– 846</w:t>
      </w:r>
    </w:p>
    <w:p w14:paraId="401886AA" w14:textId="41CB842B" w:rsidR="00F27F57" w:rsidRPr="00F65686" w:rsidRDefault="00F27F57" w:rsidP="00F65686">
      <w:pPr>
        <w:spacing w:after="120"/>
        <w:ind w:left="397" w:hanging="397"/>
        <w:jc w:val="both"/>
        <w:rPr>
          <w:rFonts w:ascii="Times New Roman" w:hAnsi="Times New Roman"/>
          <w:sz w:val="20"/>
          <w:szCs w:val="20"/>
          <w:lang w:val="en-GB"/>
        </w:rPr>
      </w:pPr>
      <w:r w:rsidRPr="00F65686">
        <w:rPr>
          <w:rFonts w:ascii="Times New Roman" w:hAnsi="Times New Roman"/>
          <w:sz w:val="20"/>
          <w:szCs w:val="20"/>
          <w:lang w:val="en-GB"/>
        </w:rPr>
        <w:t xml:space="preserve">González, X., and Pazó, C. (2008). Do public subsidies stimulate private R&amp;D spending?. </w:t>
      </w:r>
      <w:r w:rsidRPr="00F65686">
        <w:rPr>
          <w:rFonts w:ascii="Times New Roman" w:hAnsi="Times New Roman"/>
          <w:i/>
          <w:sz w:val="20"/>
          <w:szCs w:val="20"/>
          <w:lang w:val="en-GB"/>
        </w:rPr>
        <w:t>Research Policy</w:t>
      </w:r>
      <w:r w:rsidRPr="00F65686">
        <w:rPr>
          <w:rFonts w:ascii="Times New Roman" w:hAnsi="Times New Roman"/>
          <w:sz w:val="20"/>
          <w:szCs w:val="20"/>
          <w:lang w:val="en-GB"/>
        </w:rPr>
        <w:t>, 37(3), 371-389.</w:t>
      </w:r>
    </w:p>
    <w:p w14:paraId="07F2EF05" w14:textId="77777777" w:rsidR="00901505" w:rsidRPr="00F65686" w:rsidRDefault="00901505" w:rsidP="00F65686">
      <w:pPr>
        <w:spacing w:after="120"/>
        <w:ind w:left="397" w:hanging="397"/>
        <w:jc w:val="both"/>
        <w:rPr>
          <w:rFonts w:ascii="Times New Roman" w:hAnsi="Times New Roman"/>
          <w:sz w:val="20"/>
          <w:szCs w:val="20"/>
          <w:lang w:val="en-GB"/>
        </w:rPr>
      </w:pPr>
      <w:r w:rsidRPr="00F65686">
        <w:rPr>
          <w:rFonts w:ascii="Times New Roman" w:hAnsi="Times New Roman"/>
          <w:sz w:val="20"/>
          <w:szCs w:val="20"/>
          <w:lang w:val="en-US"/>
        </w:rPr>
        <w:t>Griffith, R., Redding, S., and Van Reenen, J. (2004). “</w:t>
      </w:r>
      <w:r w:rsidRPr="00F65686">
        <w:rPr>
          <w:rFonts w:ascii="Times New Roman" w:hAnsi="Times New Roman"/>
          <w:sz w:val="20"/>
          <w:szCs w:val="20"/>
          <w:lang w:val="en-GB"/>
        </w:rPr>
        <w:t xml:space="preserve">Mapping the two faces of R&amp;D: Productivity growth in a panel of OECD industries”, </w:t>
      </w:r>
      <w:r w:rsidRPr="00F65686">
        <w:rPr>
          <w:rFonts w:ascii="Times New Roman" w:hAnsi="Times New Roman"/>
          <w:i/>
          <w:sz w:val="20"/>
          <w:szCs w:val="20"/>
          <w:lang w:val="en-GB"/>
        </w:rPr>
        <w:t>The Review of Economics and Statistics</w:t>
      </w:r>
      <w:r w:rsidRPr="00F65686">
        <w:rPr>
          <w:rFonts w:ascii="Times New Roman" w:hAnsi="Times New Roman"/>
          <w:sz w:val="20"/>
          <w:szCs w:val="20"/>
          <w:lang w:val="en-GB"/>
        </w:rPr>
        <w:t>, 86 (4): 883−895.</w:t>
      </w:r>
    </w:p>
    <w:p w14:paraId="0DC83C54" w14:textId="1E6B67D2" w:rsidR="00F27F57" w:rsidRPr="00F65686" w:rsidRDefault="00F27F57"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Guellec D and Van Pottelsberghe</w:t>
      </w:r>
      <w:r w:rsidR="00C33E06" w:rsidRPr="00F65686">
        <w:rPr>
          <w:rFonts w:ascii="Times New Roman" w:hAnsi="Times New Roman"/>
          <w:sz w:val="20"/>
          <w:szCs w:val="20"/>
          <w:lang w:val="en-US"/>
        </w:rPr>
        <w:t>,</w:t>
      </w:r>
      <w:r w:rsidR="000B281F" w:rsidRPr="00F65686">
        <w:rPr>
          <w:rFonts w:ascii="Times New Roman" w:hAnsi="Times New Roman"/>
          <w:sz w:val="20"/>
          <w:szCs w:val="20"/>
          <w:lang w:val="en-US"/>
        </w:rPr>
        <w:t xml:space="preserve"> </w:t>
      </w:r>
      <w:r w:rsidRPr="00F65686">
        <w:rPr>
          <w:rFonts w:ascii="Times New Roman" w:hAnsi="Times New Roman"/>
          <w:sz w:val="20"/>
          <w:szCs w:val="20"/>
          <w:lang w:val="en-US"/>
        </w:rPr>
        <w:t xml:space="preserve">de la Potterie B (2002). </w:t>
      </w:r>
      <w:r w:rsidRPr="00F65686">
        <w:rPr>
          <w:rFonts w:ascii="Times New Roman" w:hAnsi="Times New Roman"/>
          <w:sz w:val="20"/>
          <w:szCs w:val="20"/>
          <w:lang w:val="en-GB"/>
        </w:rPr>
        <w:t xml:space="preserve">R&amp;D and productivity growth – a panel data analysis of 16 OECD countries. </w:t>
      </w:r>
      <w:r w:rsidRPr="00F65686">
        <w:rPr>
          <w:rFonts w:ascii="Times New Roman" w:hAnsi="Times New Roman"/>
          <w:i/>
          <w:sz w:val="20"/>
          <w:szCs w:val="20"/>
          <w:lang w:val="en-US"/>
        </w:rPr>
        <w:t>OECD Economic Studies</w:t>
      </w:r>
      <w:r w:rsidRPr="00F65686">
        <w:rPr>
          <w:rFonts w:ascii="Times New Roman" w:hAnsi="Times New Roman"/>
          <w:sz w:val="20"/>
          <w:szCs w:val="20"/>
          <w:lang w:val="en-US"/>
        </w:rPr>
        <w:t>, 33, 103–126.</w:t>
      </w:r>
    </w:p>
    <w:p w14:paraId="240F77AF" w14:textId="1D6E539E" w:rsidR="00E73207" w:rsidRPr="00F65686" w:rsidRDefault="00E73207"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Guellec, D., Van Pottelsberghe De La Potterie, B., 2003. The impact of public R&amp;D expenditure on business R&amp;D. Economics of Innovation and New Technology, 12 (3), 225–243.</w:t>
      </w:r>
    </w:p>
    <w:p w14:paraId="2076D3F7" w14:textId="535777E6" w:rsidR="004D396E" w:rsidRPr="00F65686" w:rsidRDefault="004D396E" w:rsidP="00F65686">
      <w:pPr>
        <w:spacing w:after="120"/>
        <w:ind w:left="397" w:hanging="397"/>
        <w:jc w:val="both"/>
        <w:rPr>
          <w:rFonts w:ascii="Times New Roman" w:hAnsi="Times New Roman"/>
          <w:sz w:val="20"/>
          <w:szCs w:val="20"/>
          <w:lang w:val="en-GB"/>
        </w:rPr>
      </w:pPr>
      <w:r w:rsidRPr="00F65686">
        <w:rPr>
          <w:rFonts w:ascii="Times New Roman" w:hAnsi="Times New Roman"/>
          <w:sz w:val="20"/>
          <w:szCs w:val="20"/>
          <w:lang w:val="en-GB"/>
        </w:rPr>
        <w:t>Gulati, R. 1999. “Network Location and Learning: The Influence of Network Resources and Firm Capabilities on Alliance Formation.” Strategic Management Journal 20 (May): 397–420.</w:t>
      </w:r>
      <w:r w:rsidR="000B281F" w:rsidRPr="00F65686">
        <w:rPr>
          <w:rFonts w:ascii="Times New Roman" w:hAnsi="Times New Roman"/>
          <w:sz w:val="20"/>
          <w:szCs w:val="20"/>
          <w:lang w:val="en-GB"/>
        </w:rPr>
        <w:t xml:space="preserve"> </w:t>
      </w:r>
    </w:p>
    <w:p w14:paraId="7A6DFAD9" w14:textId="19149B60" w:rsidR="00E4611B" w:rsidRPr="00F65686" w:rsidRDefault="00E4611B" w:rsidP="00F65686">
      <w:pPr>
        <w:spacing w:after="120"/>
        <w:ind w:left="397" w:hanging="397"/>
        <w:jc w:val="both"/>
        <w:rPr>
          <w:rFonts w:ascii="Times New Roman" w:hAnsi="Times New Roman"/>
          <w:sz w:val="20"/>
          <w:szCs w:val="20"/>
          <w:lang w:val="en-GB"/>
        </w:rPr>
      </w:pPr>
      <w:r w:rsidRPr="00F65686">
        <w:rPr>
          <w:rFonts w:ascii="Times New Roman" w:hAnsi="Times New Roman"/>
          <w:sz w:val="20"/>
          <w:szCs w:val="20"/>
          <w:lang w:val="en-GB"/>
        </w:rPr>
        <w:t>Hirano, K., and Imbens, G. W. (2004). “The propensity score with continuous treatments”, in A. Gelman and X.-L. Meng (eds), “</w:t>
      </w:r>
      <w:r w:rsidRPr="00F65686">
        <w:rPr>
          <w:rFonts w:ascii="Times New Roman" w:hAnsi="Times New Roman"/>
          <w:i/>
          <w:sz w:val="20"/>
          <w:szCs w:val="20"/>
          <w:lang w:val="en-GB"/>
        </w:rPr>
        <w:t>Applied Bayesian Modeling and Causal Inference from Incomplete-Data Perspectives</w:t>
      </w:r>
      <w:r w:rsidRPr="00F65686">
        <w:rPr>
          <w:rFonts w:ascii="Times New Roman" w:hAnsi="Times New Roman"/>
          <w:sz w:val="20"/>
          <w:szCs w:val="20"/>
          <w:lang w:val="en-GB"/>
        </w:rPr>
        <w:t>”, 73–84. West Sussex (UK): Wiley.</w:t>
      </w:r>
    </w:p>
    <w:p w14:paraId="46996D98" w14:textId="1BC9B73B" w:rsidR="000B1E31" w:rsidRPr="00F65686" w:rsidRDefault="000B1E31" w:rsidP="00F65686">
      <w:pPr>
        <w:spacing w:after="120"/>
        <w:ind w:left="397" w:hanging="397"/>
        <w:jc w:val="both"/>
        <w:rPr>
          <w:rFonts w:ascii="Times New Roman" w:hAnsi="Times New Roman"/>
          <w:sz w:val="20"/>
          <w:szCs w:val="20"/>
          <w:lang w:val="en-GB"/>
        </w:rPr>
      </w:pPr>
      <w:r w:rsidRPr="00F65686">
        <w:rPr>
          <w:rFonts w:ascii="Times New Roman" w:hAnsi="Times New Roman"/>
          <w:sz w:val="20"/>
          <w:szCs w:val="20"/>
          <w:lang w:val="en-GB"/>
        </w:rPr>
        <w:t xml:space="preserve">Hotelling, H. (1929). “Stability in competition”, </w:t>
      </w:r>
      <w:r w:rsidRPr="00F65686">
        <w:rPr>
          <w:rFonts w:ascii="Times New Roman" w:hAnsi="Times New Roman"/>
          <w:i/>
          <w:sz w:val="20"/>
          <w:szCs w:val="20"/>
          <w:lang w:val="en-GB"/>
        </w:rPr>
        <w:t>The Economic Journal</w:t>
      </w:r>
      <w:r w:rsidRPr="00F65686">
        <w:rPr>
          <w:rFonts w:ascii="Times New Roman" w:hAnsi="Times New Roman"/>
          <w:sz w:val="20"/>
          <w:szCs w:val="20"/>
          <w:lang w:val="en-GB"/>
        </w:rPr>
        <w:t>, 39(153): 41-57.</w:t>
      </w:r>
    </w:p>
    <w:p w14:paraId="683D59E1" w14:textId="77777777" w:rsidR="00F27F57" w:rsidRPr="00F65686" w:rsidRDefault="00F27F57" w:rsidP="00F65686">
      <w:pPr>
        <w:spacing w:after="120"/>
        <w:ind w:left="397" w:hanging="397"/>
        <w:jc w:val="both"/>
        <w:rPr>
          <w:rFonts w:ascii="Times New Roman" w:hAnsi="Times New Roman"/>
          <w:sz w:val="20"/>
          <w:szCs w:val="20"/>
          <w:lang w:val="en-GB"/>
        </w:rPr>
      </w:pPr>
      <w:r w:rsidRPr="00F65686">
        <w:rPr>
          <w:rFonts w:ascii="Times New Roman" w:hAnsi="Times New Roman"/>
          <w:sz w:val="20"/>
          <w:szCs w:val="20"/>
          <w:lang w:val="en-GB"/>
        </w:rPr>
        <w:t xml:space="preserve">Hussler C, Picard F, Tang MF (2010). Taking the ivory from the tower to coat the economic world: Regional Strategies to make science useful. </w:t>
      </w:r>
      <w:r w:rsidRPr="00F65686">
        <w:rPr>
          <w:rFonts w:ascii="Times New Roman" w:hAnsi="Times New Roman"/>
          <w:i/>
          <w:sz w:val="20"/>
          <w:szCs w:val="20"/>
          <w:lang w:val="en-GB"/>
        </w:rPr>
        <w:t>Technovation</w:t>
      </w:r>
      <w:r w:rsidRPr="00F65686">
        <w:rPr>
          <w:rFonts w:ascii="Times New Roman" w:hAnsi="Times New Roman"/>
          <w:sz w:val="20"/>
          <w:szCs w:val="20"/>
          <w:lang w:val="en-GB"/>
        </w:rPr>
        <w:t xml:space="preserve"> 30 (9-10), 508-518.</w:t>
      </w:r>
    </w:p>
    <w:p w14:paraId="2DEEE148" w14:textId="0E627045" w:rsidR="00C34C97" w:rsidRPr="00F65686" w:rsidRDefault="00C34C97"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Iazzolino, G. (2013). Financing R&amp;D projects in Southern Italy: The “Technological Vouchers and Cooperative Research” program. Journal of Technology Management and Innovation, 8(3), 13–24. https://doi.org/10.4067/S0718-27242013000400007</w:t>
      </w:r>
      <w:r w:rsidR="000B281F" w:rsidRPr="00F65686">
        <w:rPr>
          <w:rFonts w:ascii="Times New Roman" w:hAnsi="Times New Roman"/>
          <w:sz w:val="20"/>
          <w:szCs w:val="20"/>
          <w:lang w:val="en-US"/>
        </w:rPr>
        <w:t xml:space="preserve"> </w:t>
      </w:r>
    </w:p>
    <w:p w14:paraId="550424FF" w14:textId="52BD5A44" w:rsidR="009319A7" w:rsidRPr="00F65686" w:rsidRDefault="009319A7" w:rsidP="00F65686">
      <w:pPr>
        <w:spacing w:after="120"/>
        <w:ind w:left="397" w:hanging="397"/>
        <w:jc w:val="both"/>
        <w:rPr>
          <w:rFonts w:ascii="Times New Roman" w:hAnsi="Times New Roman"/>
          <w:sz w:val="20"/>
          <w:szCs w:val="20"/>
        </w:rPr>
      </w:pPr>
      <w:r w:rsidRPr="00F65686">
        <w:rPr>
          <w:rFonts w:ascii="Times New Roman" w:hAnsi="Times New Roman"/>
          <w:sz w:val="20"/>
          <w:szCs w:val="20"/>
        </w:rPr>
        <w:t>ISTAT (2021). “</w:t>
      </w:r>
      <w:r w:rsidRPr="00F65686">
        <w:rPr>
          <w:rFonts w:ascii="Times New Roman" w:hAnsi="Times New Roman"/>
          <w:i/>
          <w:sz w:val="20"/>
          <w:szCs w:val="20"/>
        </w:rPr>
        <w:t>Indicatori territoriali per le politiche di sviluppo</w:t>
      </w:r>
      <w:r w:rsidRPr="00F65686">
        <w:rPr>
          <w:rFonts w:ascii="Times New Roman" w:hAnsi="Times New Roman"/>
          <w:sz w:val="20"/>
          <w:szCs w:val="20"/>
        </w:rPr>
        <w:t xml:space="preserve">”, retrieved online on Sep. 24, 2021 at the URL </w:t>
      </w:r>
      <w:hyperlink r:id="rId25" w:history="1">
        <w:r w:rsidRPr="00F65686">
          <w:rPr>
            <w:rStyle w:val="Collegamentoipertestuale"/>
            <w:rFonts w:ascii="Times New Roman" w:hAnsi="Times New Roman"/>
            <w:sz w:val="20"/>
            <w:szCs w:val="20"/>
          </w:rPr>
          <w:t>https://www.istat.it/it/archivio/16777</w:t>
        </w:r>
      </w:hyperlink>
    </w:p>
    <w:p w14:paraId="726D1FA7" w14:textId="40389049" w:rsidR="00F27F57" w:rsidRPr="00F65686" w:rsidRDefault="00F27F57"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Izsak, K., &amp; Edler, J. (2011). Trends and challenges in demand-side innovation policies in Europe. </w:t>
      </w:r>
      <w:r w:rsidRPr="00F65686">
        <w:rPr>
          <w:rFonts w:ascii="Times New Roman" w:hAnsi="Times New Roman"/>
          <w:i/>
          <w:sz w:val="20"/>
          <w:szCs w:val="20"/>
          <w:lang w:val="en-US"/>
        </w:rPr>
        <w:t>INNO Policy Thematic Report</w:t>
      </w:r>
      <w:r w:rsidRPr="00F65686">
        <w:rPr>
          <w:rFonts w:ascii="Times New Roman" w:hAnsi="Times New Roman"/>
          <w:sz w:val="20"/>
          <w:szCs w:val="20"/>
          <w:lang w:val="en-US"/>
        </w:rPr>
        <w:t>, Brussels, European Commission.</w:t>
      </w:r>
    </w:p>
    <w:p w14:paraId="26FD1F29" w14:textId="77777777" w:rsidR="00F61750" w:rsidRPr="00F65686" w:rsidRDefault="00F61750"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Jong, J. P. J. de, &amp; Hulsink, W. (2012). Patterns of innovating networking in small firms. European Journal of Innovation Management, 15(3), 280–297. </w:t>
      </w:r>
    </w:p>
    <w:p w14:paraId="25394459" w14:textId="4177AB8D" w:rsidR="00F27F57" w:rsidRPr="00F65686" w:rsidRDefault="00F27F57"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Kim J, Lee S and Marschke G (2005). The influence of university research in industrial innovation. NBER Working Paper Series, Working paper 11447.</w:t>
      </w:r>
    </w:p>
    <w:p w14:paraId="055ADDCA" w14:textId="0DBC5AF0" w:rsidR="00E73207" w:rsidRPr="00F65686" w:rsidRDefault="00E73207" w:rsidP="00F65686">
      <w:pPr>
        <w:spacing w:after="120"/>
        <w:ind w:left="397" w:hanging="397"/>
        <w:jc w:val="both"/>
        <w:rPr>
          <w:rFonts w:ascii="Times New Roman" w:hAnsi="Times New Roman"/>
          <w:sz w:val="20"/>
          <w:szCs w:val="20"/>
          <w:lang w:val="fr-FR"/>
        </w:rPr>
      </w:pPr>
      <w:r w:rsidRPr="00F65686">
        <w:rPr>
          <w:rFonts w:ascii="Times New Roman" w:hAnsi="Times New Roman"/>
          <w:sz w:val="20"/>
          <w:szCs w:val="20"/>
          <w:lang w:val="en-US"/>
        </w:rPr>
        <w:t xml:space="preserve">Kingsley, G., &amp; Malecki, E. J. (2004). Networking for competitiveness. Small Business Economics, 23(1), 71–84. </w:t>
      </w:r>
      <w:hyperlink r:id="rId26" w:history="1">
        <w:r w:rsidRPr="00F65686">
          <w:rPr>
            <w:rStyle w:val="Collegamentoipertestuale"/>
            <w:rFonts w:ascii="Times New Roman" w:hAnsi="Times New Roman"/>
            <w:sz w:val="20"/>
            <w:szCs w:val="20"/>
            <w:lang w:val="fr-FR"/>
          </w:rPr>
          <w:t>https://doi.org/10.1023/B:SBEJ.0000026022.08180.b7</w:t>
        </w:r>
      </w:hyperlink>
    </w:p>
    <w:p w14:paraId="7DF37C6E" w14:textId="4C3E5D47" w:rsidR="00FB16F3" w:rsidRPr="00F65686" w:rsidRDefault="00FB16F3"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fr-FR"/>
        </w:rPr>
        <w:t xml:space="preserve">Klette, T. J., Møen, J., &amp; Griliches, Z. (2000). </w:t>
      </w:r>
      <w:r w:rsidRPr="00F65686">
        <w:rPr>
          <w:rFonts w:ascii="Times New Roman" w:hAnsi="Times New Roman"/>
          <w:sz w:val="20"/>
          <w:szCs w:val="20"/>
          <w:lang w:val="en-US"/>
        </w:rPr>
        <w:t xml:space="preserve">Do subsidies to commercial R&amp;D reduce market failures? Microeconometric evaluation studies. Research Policy, 29, 471–495. </w:t>
      </w:r>
      <w:hyperlink r:id="rId27" w:history="1">
        <w:r w:rsidRPr="00F65686">
          <w:rPr>
            <w:rStyle w:val="Collegamentoipertestuale"/>
            <w:rFonts w:ascii="Times New Roman" w:hAnsi="Times New Roman"/>
            <w:sz w:val="20"/>
            <w:szCs w:val="20"/>
            <w:lang w:val="en-US"/>
          </w:rPr>
          <w:t>https://doi.org/10.1002/pssc.201084038</w:t>
        </w:r>
      </w:hyperlink>
    </w:p>
    <w:p w14:paraId="0553AB0C" w14:textId="5CE2A57C" w:rsidR="00FB16F3" w:rsidRPr="00F65686" w:rsidRDefault="00EC6858"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Klímová, V., &amp; Žítek, V. (2020). Enhancement of innovation collaboration via innovation vouchers. Flows of Resources in the Regional Economy in the Age of Digitalisation: Proceedings of the 7th Central European Conference in Regional Science (CERS) Conference, 618–629.</w:t>
      </w:r>
      <w:r w:rsidR="00FB16F3" w:rsidRPr="00F65686">
        <w:rPr>
          <w:rFonts w:ascii="Times New Roman" w:hAnsi="Times New Roman"/>
          <w:sz w:val="20"/>
          <w:szCs w:val="20"/>
          <w:lang w:val="en-US"/>
        </w:rPr>
        <w:t xml:space="preserve"> </w:t>
      </w:r>
    </w:p>
    <w:p w14:paraId="06A9B9B3" w14:textId="2271DDB8" w:rsidR="00F27F57" w:rsidRPr="00F65686" w:rsidRDefault="00F27F57"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Link AL and Rees J (1990). Firm size, university based research and the returns to R&amp;D. </w:t>
      </w:r>
      <w:r w:rsidR="00EC6858" w:rsidRPr="00F65686">
        <w:rPr>
          <w:rFonts w:ascii="Times New Roman" w:hAnsi="Times New Roman"/>
          <w:i/>
          <w:sz w:val="20"/>
          <w:szCs w:val="20"/>
          <w:lang w:val="en-US"/>
        </w:rPr>
        <w:t>Small Business</w:t>
      </w:r>
      <w:r w:rsidRPr="00F65686">
        <w:rPr>
          <w:rFonts w:ascii="Times New Roman" w:hAnsi="Times New Roman"/>
          <w:i/>
          <w:sz w:val="20"/>
          <w:szCs w:val="20"/>
          <w:lang w:val="en-US"/>
        </w:rPr>
        <w:t xml:space="preserve"> Econom</w:t>
      </w:r>
      <w:r w:rsidR="00EC6858" w:rsidRPr="00F65686">
        <w:rPr>
          <w:rFonts w:ascii="Times New Roman" w:hAnsi="Times New Roman"/>
          <w:sz w:val="20"/>
          <w:szCs w:val="20"/>
          <w:lang w:val="en-US"/>
        </w:rPr>
        <w:t>ics</w:t>
      </w:r>
      <w:r w:rsidRPr="00F65686">
        <w:rPr>
          <w:rFonts w:ascii="Times New Roman" w:hAnsi="Times New Roman"/>
          <w:sz w:val="20"/>
          <w:szCs w:val="20"/>
          <w:lang w:val="en-US"/>
        </w:rPr>
        <w:t>, 2, 25–31.</w:t>
      </w:r>
    </w:p>
    <w:p w14:paraId="05E8B40E" w14:textId="77777777" w:rsidR="00582C30" w:rsidRPr="00F65686" w:rsidRDefault="00582C30"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Lösch, August. ([1940] 1954). </w:t>
      </w:r>
      <w:r w:rsidRPr="00F65686">
        <w:rPr>
          <w:rFonts w:ascii="Times New Roman" w:hAnsi="Times New Roman"/>
          <w:i/>
          <w:sz w:val="20"/>
          <w:szCs w:val="20"/>
          <w:lang w:val="en-US"/>
        </w:rPr>
        <w:t>The economics of location</w:t>
      </w:r>
      <w:r w:rsidRPr="00F65686">
        <w:rPr>
          <w:rFonts w:ascii="Times New Roman" w:hAnsi="Times New Roman"/>
          <w:sz w:val="20"/>
          <w:szCs w:val="20"/>
          <w:lang w:val="en-US"/>
        </w:rPr>
        <w:t>. New Haven and London: Yale University Press. </w:t>
      </w:r>
    </w:p>
    <w:p w14:paraId="03076DCA" w14:textId="734A5696" w:rsidR="00DA4095" w:rsidRPr="00F65686" w:rsidRDefault="00DA4095"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Love, J. H., Roper, S., &amp; Vahter, P. (2014). Learning From Openness: The Dynamics of Breadth in External Innovation Linkages. Strategic Management Journal, 35, 1703–1716. https://doi.org/10.1002/smj</w:t>
      </w:r>
      <w:r w:rsidR="000B281F" w:rsidRPr="00F65686">
        <w:rPr>
          <w:rFonts w:ascii="Times New Roman" w:hAnsi="Times New Roman"/>
          <w:sz w:val="20"/>
          <w:szCs w:val="20"/>
          <w:lang w:val="en-US"/>
        </w:rPr>
        <w:t xml:space="preserve"> </w:t>
      </w:r>
    </w:p>
    <w:p w14:paraId="23F72103" w14:textId="77777777" w:rsidR="004106D9" w:rsidRPr="00F65686" w:rsidRDefault="004106D9"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lastRenderedPageBreak/>
        <w:t xml:space="preserve">Marino, M., Lhuillery, S., Parrotta, P., &amp; Sala, D. (2016). Additionality or crowding-out? An overall evaluation of public R&amp;D subsidy on private R&amp;D expenditure. Research Policy, 45(9), 1715–1730. </w:t>
      </w:r>
      <w:hyperlink r:id="rId28" w:history="1">
        <w:r w:rsidRPr="00F65686">
          <w:rPr>
            <w:rStyle w:val="Collegamentoipertestuale"/>
            <w:rFonts w:ascii="Times New Roman" w:hAnsi="Times New Roman"/>
            <w:sz w:val="20"/>
            <w:szCs w:val="20"/>
            <w:lang w:val="en-US"/>
          </w:rPr>
          <w:t>https://doi.org/10.1016/j.respol.2016.04.009</w:t>
        </w:r>
      </w:hyperlink>
      <w:r w:rsidRPr="00F65686">
        <w:rPr>
          <w:rFonts w:ascii="Times New Roman" w:hAnsi="Times New Roman"/>
          <w:sz w:val="20"/>
          <w:szCs w:val="20"/>
          <w:lang w:val="en-US"/>
        </w:rPr>
        <w:t xml:space="preserve"> </w:t>
      </w:r>
    </w:p>
    <w:p w14:paraId="64542B43" w14:textId="27B348A8" w:rsidR="00F27F57" w:rsidRPr="00F65686" w:rsidRDefault="00F27F57"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Massa, S., &amp; Testa, S. (2008). Innovation and SMEs: Misaligned perspectives and goals among entrepreneurs, academics, and policy makers. </w:t>
      </w:r>
      <w:r w:rsidRPr="00F65686">
        <w:rPr>
          <w:rFonts w:ascii="Times New Roman" w:hAnsi="Times New Roman"/>
          <w:i/>
          <w:sz w:val="20"/>
          <w:szCs w:val="20"/>
          <w:lang w:val="en-US"/>
        </w:rPr>
        <w:t>Technovation</w:t>
      </w:r>
      <w:r w:rsidRPr="00F65686">
        <w:rPr>
          <w:rFonts w:ascii="Times New Roman" w:hAnsi="Times New Roman"/>
          <w:sz w:val="20"/>
          <w:szCs w:val="20"/>
          <w:lang w:val="en-US"/>
        </w:rPr>
        <w:t>, 28(7), 393-407.</w:t>
      </w:r>
    </w:p>
    <w:p w14:paraId="0EC5F407" w14:textId="77777777" w:rsidR="00F27F57" w:rsidRPr="00F65686" w:rsidRDefault="00F27F57"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Missikoff, M., Charabilidis, Y., Gongcalves, R. and Popplewell, K. (2012). “Future Internet Enterprise Systems (FInES) Research Roadmap 2025. European Commission, Information Society and Media.</w:t>
      </w:r>
    </w:p>
    <w:p w14:paraId="1D9FB3D7" w14:textId="77777777" w:rsidR="00EC6858" w:rsidRPr="00F65686" w:rsidRDefault="00EC6858"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Nooteboom, B., &amp; Stam, E. (2008). Conclusions for innovation policy: Opening in fours. In B. Nooteboom &amp; E. Stam (Eds.), Micro-foundations of Innovation Policy (pp. 343–366). wrr / Amsterdam University Press. </w:t>
      </w:r>
      <w:hyperlink r:id="rId29" w:history="1">
        <w:r w:rsidRPr="00F65686">
          <w:rPr>
            <w:rStyle w:val="Collegamentoipertestuale"/>
            <w:rFonts w:ascii="Times New Roman" w:hAnsi="Times New Roman"/>
            <w:sz w:val="20"/>
            <w:szCs w:val="20"/>
            <w:lang w:val="en-US"/>
          </w:rPr>
          <w:t>https://doi.org/10.1017/CBO9781107415324.004</w:t>
        </w:r>
      </w:hyperlink>
      <w:r w:rsidRPr="00F65686">
        <w:rPr>
          <w:rFonts w:ascii="Times New Roman" w:hAnsi="Times New Roman"/>
          <w:sz w:val="20"/>
          <w:szCs w:val="20"/>
          <w:lang w:val="en-US"/>
        </w:rPr>
        <w:t xml:space="preserve"> </w:t>
      </w:r>
    </w:p>
    <w:p w14:paraId="5B2F5F26" w14:textId="3AB71B51" w:rsidR="00F27F57" w:rsidRPr="00F65686" w:rsidRDefault="00F27F57"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O'Regan N and Kling G (2011). Technology outsourcing in manufacturing small- and medium-sized firms: another competitive resource? </w:t>
      </w:r>
      <w:r w:rsidRPr="00F65686">
        <w:rPr>
          <w:rFonts w:ascii="Times New Roman" w:hAnsi="Times New Roman"/>
          <w:i/>
          <w:sz w:val="20"/>
          <w:szCs w:val="20"/>
          <w:lang w:val="en-US"/>
        </w:rPr>
        <w:t>R&amp;D Management</w:t>
      </w:r>
      <w:r w:rsidRPr="00F65686">
        <w:rPr>
          <w:rFonts w:ascii="Times New Roman" w:hAnsi="Times New Roman"/>
          <w:sz w:val="20"/>
          <w:szCs w:val="20"/>
          <w:lang w:val="en-US"/>
        </w:rPr>
        <w:t>, 41 (1), 92-105</w:t>
      </w:r>
    </w:p>
    <w:p w14:paraId="4076A2FF" w14:textId="6212F345" w:rsidR="000B281F" w:rsidRPr="00F65686" w:rsidRDefault="000B281F" w:rsidP="00F65686">
      <w:pPr>
        <w:spacing w:after="120"/>
        <w:jc w:val="both"/>
        <w:rPr>
          <w:rFonts w:ascii="Times New Roman" w:hAnsi="Times New Roman"/>
          <w:sz w:val="20"/>
          <w:szCs w:val="20"/>
          <w:lang w:val="en-US"/>
        </w:rPr>
      </w:pPr>
      <w:r w:rsidRPr="00F65686">
        <w:rPr>
          <w:rFonts w:ascii="Times New Roman" w:hAnsi="Times New Roman"/>
          <w:sz w:val="20"/>
          <w:szCs w:val="20"/>
          <w:lang w:val="en-US"/>
        </w:rPr>
        <w:t>Radas, S., &amp; Anic, I.-D. (2013). Evaluating Additionality of an Innovation Subsidy Program Targeted at SMEs. Croation Economic Survey, 15(1), 61–88.</w:t>
      </w:r>
    </w:p>
    <w:p w14:paraId="255A7E16" w14:textId="7FB7925B" w:rsidR="000B281F" w:rsidRPr="00F65686" w:rsidRDefault="000B281F" w:rsidP="00F65686">
      <w:pPr>
        <w:spacing w:after="120"/>
        <w:jc w:val="both"/>
        <w:rPr>
          <w:rFonts w:ascii="Times New Roman" w:hAnsi="Times New Roman"/>
          <w:sz w:val="20"/>
          <w:szCs w:val="20"/>
        </w:rPr>
      </w:pPr>
      <w:r w:rsidRPr="00F65686">
        <w:rPr>
          <w:rFonts w:ascii="Times New Roman" w:hAnsi="Times New Roman"/>
          <w:sz w:val="20"/>
          <w:szCs w:val="20"/>
          <w:lang w:val="en-US"/>
        </w:rPr>
        <w:t xml:space="preserve">Radas, S., Anić, I. D., Tafro, A., &amp; Wagner, V. (2015). The effects of public support schemes on small and medium enterprises. </w:t>
      </w:r>
      <w:r w:rsidRPr="00F65686">
        <w:rPr>
          <w:rFonts w:ascii="Times New Roman" w:hAnsi="Times New Roman"/>
          <w:sz w:val="20"/>
          <w:szCs w:val="20"/>
        </w:rPr>
        <w:t xml:space="preserve">Technovation, 38, 15–30. https://doi.org/10.1016/j.technovation.2014.08.002 </w:t>
      </w:r>
    </w:p>
    <w:p w14:paraId="6F8C4ACB" w14:textId="150CC126" w:rsidR="00F27F57" w:rsidRPr="00F65686" w:rsidRDefault="00F27F57" w:rsidP="00F65686">
      <w:pPr>
        <w:spacing w:after="120"/>
        <w:jc w:val="both"/>
        <w:rPr>
          <w:rFonts w:ascii="Times New Roman" w:hAnsi="Times New Roman"/>
          <w:sz w:val="20"/>
          <w:szCs w:val="20"/>
        </w:rPr>
      </w:pPr>
      <w:r w:rsidRPr="00F65686">
        <w:rPr>
          <w:rFonts w:ascii="Times New Roman" w:hAnsi="Times New Roman"/>
          <w:sz w:val="20"/>
          <w:szCs w:val="20"/>
        </w:rPr>
        <w:t xml:space="preserve">Regione Lombardia (2011). </w:t>
      </w:r>
      <w:r w:rsidRPr="00F65686">
        <w:rPr>
          <w:rFonts w:ascii="Times New Roman" w:hAnsi="Times New Roman"/>
          <w:i/>
          <w:sz w:val="20"/>
          <w:szCs w:val="20"/>
        </w:rPr>
        <w:t>Nuovo Bando 2011: Voucher ricerca e innovazione e contributi per i processi di brevettazione 2011</w:t>
      </w:r>
      <w:r w:rsidRPr="00F65686">
        <w:rPr>
          <w:rFonts w:ascii="Times New Roman" w:hAnsi="Times New Roman"/>
          <w:sz w:val="20"/>
          <w:szCs w:val="20"/>
        </w:rPr>
        <w:t>, URL:</w:t>
      </w:r>
      <w:r w:rsidR="00F61750" w:rsidRPr="00F65686">
        <w:rPr>
          <w:rFonts w:ascii="Times New Roman" w:hAnsi="Times New Roman"/>
          <w:sz w:val="20"/>
          <w:szCs w:val="20"/>
        </w:rPr>
        <w:t xml:space="preserve"> http://www.bandimpreselombarde.it/index.phtml?Id_VMenu=362andcqs=SWRfQmFuZG89NQ==</w:t>
      </w:r>
    </w:p>
    <w:p w14:paraId="11C5B88B" w14:textId="77777777" w:rsidR="00F27F57" w:rsidRPr="00F65686" w:rsidRDefault="00F27F57" w:rsidP="00F65686">
      <w:pPr>
        <w:spacing w:after="120"/>
        <w:ind w:left="397" w:hanging="397"/>
        <w:jc w:val="both"/>
        <w:rPr>
          <w:rFonts w:ascii="Times New Roman" w:hAnsi="Times New Roman"/>
          <w:sz w:val="20"/>
          <w:szCs w:val="20"/>
          <w:lang w:val="en-GB"/>
        </w:rPr>
      </w:pPr>
      <w:r w:rsidRPr="00F65686">
        <w:rPr>
          <w:rFonts w:ascii="Times New Roman" w:hAnsi="Times New Roman"/>
          <w:sz w:val="20"/>
          <w:szCs w:val="20"/>
          <w:lang w:val="en-US"/>
        </w:rPr>
        <w:t xml:space="preserve">Rothwell, R., and Zegveld, W. (1981). </w:t>
      </w:r>
      <w:r w:rsidRPr="00F65686">
        <w:rPr>
          <w:rFonts w:ascii="Times New Roman" w:hAnsi="Times New Roman"/>
          <w:i/>
          <w:sz w:val="20"/>
          <w:szCs w:val="20"/>
          <w:lang w:val="en-US"/>
        </w:rPr>
        <w:t>Industrial Innovation and Public Policy: Preparing for the 1980s and the 1990s</w:t>
      </w:r>
      <w:r w:rsidRPr="00F65686">
        <w:rPr>
          <w:rFonts w:ascii="Times New Roman" w:hAnsi="Times New Roman"/>
          <w:sz w:val="20"/>
          <w:szCs w:val="20"/>
          <w:lang w:val="en-US"/>
        </w:rPr>
        <w:t xml:space="preserve">. </w:t>
      </w:r>
      <w:r w:rsidRPr="00F65686">
        <w:rPr>
          <w:rFonts w:ascii="Times New Roman" w:hAnsi="Times New Roman"/>
          <w:sz w:val="20"/>
          <w:szCs w:val="20"/>
          <w:lang w:val="en-GB"/>
        </w:rPr>
        <w:t>London: Frances Pinter.</w:t>
      </w:r>
    </w:p>
    <w:p w14:paraId="32074E1E" w14:textId="77777777" w:rsidR="00801776" w:rsidRPr="00F65686" w:rsidRDefault="001B2146"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Rubin, D. B. (1974). Estimating causal effects of treatments in randomized and nonrandomized studies. </w:t>
      </w:r>
      <w:r w:rsidRPr="00F65686">
        <w:rPr>
          <w:rFonts w:ascii="Times New Roman" w:hAnsi="Times New Roman"/>
          <w:i/>
          <w:sz w:val="20"/>
          <w:szCs w:val="20"/>
          <w:lang w:val="en-US"/>
        </w:rPr>
        <w:t>Journal of Educational Psychology</w:t>
      </w:r>
      <w:r w:rsidRPr="00F65686">
        <w:rPr>
          <w:rFonts w:ascii="Times New Roman" w:hAnsi="Times New Roman"/>
          <w:sz w:val="20"/>
          <w:szCs w:val="20"/>
          <w:lang w:val="en-US"/>
        </w:rPr>
        <w:t xml:space="preserve"> 66: 688–701</w:t>
      </w:r>
    </w:p>
    <w:p w14:paraId="6FE27C5E" w14:textId="61E53AA2" w:rsidR="00C34C97" w:rsidRPr="00F65686" w:rsidRDefault="00C34C97"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GB"/>
        </w:rPr>
        <w:t xml:space="preserve">Sala, A., P. Landoni, and R. Verganti. </w:t>
      </w:r>
      <w:r w:rsidRPr="00F65686">
        <w:rPr>
          <w:rFonts w:ascii="Times New Roman" w:hAnsi="Times New Roman"/>
          <w:sz w:val="20"/>
          <w:szCs w:val="20"/>
          <w:lang w:val="en-US"/>
        </w:rPr>
        <w:t>2016. “Small and Medium Enterprises Collaborations with Knowledge Intensive</w:t>
      </w:r>
      <w:r w:rsidR="00801776" w:rsidRPr="00F65686">
        <w:rPr>
          <w:rFonts w:ascii="Times New Roman" w:hAnsi="Times New Roman"/>
          <w:sz w:val="20"/>
          <w:szCs w:val="20"/>
          <w:lang w:val="en-US"/>
        </w:rPr>
        <w:t xml:space="preserve"> </w:t>
      </w:r>
      <w:r w:rsidRPr="00F65686">
        <w:rPr>
          <w:rFonts w:ascii="Times New Roman" w:hAnsi="Times New Roman"/>
          <w:sz w:val="20"/>
          <w:szCs w:val="20"/>
          <w:lang w:val="en-US"/>
        </w:rPr>
        <w:t>Services: An Explorative Analysis of the Impact of Innovation Vouchers.” R</w:t>
      </w:r>
      <w:r w:rsidR="00FC32FE" w:rsidRPr="00F65686">
        <w:rPr>
          <w:rFonts w:ascii="Times New Roman" w:hAnsi="Times New Roman"/>
          <w:sz w:val="20"/>
          <w:szCs w:val="20"/>
          <w:lang w:val="en-US"/>
        </w:rPr>
        <w:t>&amp;</w:t>
      </w:r>
      <w:r w:rsidRPr="00F65686">
        <w:rPr>
          <w:rFonts w:ascii="Times New Roman" w:hAnsi="Times New Roman"/>
          <w:sz w:val="20"/>
          <w:szCs w:val="20"/>
          <w:lang w:val="en-US"/>
        </w:rPr>
        <w:t xml:space="preserve">D Management 46: 291–302. </w:t>
      </w:r>
    </w:p>
    <w:p w14:paraId="02B3AD34" w14:textId="4CE40E19" w:rsidR="00080A3E" w:rsidRPr="00F65686" w:rsidRDefault="00080A3E"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Schade, S., and C. Grigore. 2009. Availability and Focus on Innovation Voucher Schemes in European Regions, Survey Report prepared by DG ENTR-Unit D2 “Support for innovation”, November.</w:t>
      </w:r>
    </w:p>
    <w:p w14:paraId="5DA26AD4" w14:textId="5AB087BF" w:rsidR="00801776" w:rsidRPr="00F65686" w:rsidRDefault="00801776"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Schot, J., &amp; Steinmueller, W. E. (2018). Three frames for innovation policy: R&amp;D, systems of innovation and transformative change. </w:t>
      </w:r>
      <w:r w:rsidRPr="00F65686">
        <w:rPr>
          <w:rFonts w:ascii="Times New Roman" w:hAnsi="Times New Roman"/>
          <w:i/>
          <w:sz w:val="20"/>
          <w:szCs w:val="20"/>
          <w:lang w:val="en-US"/>
        </w:rPr>
        <w:t>Research Policy</w:t>
      </w:r>
      <w:r w:rsidRPr="00F65686">
        <w:rPr>
          <w:rFonts w:ascii="Times New Roman" w:hAnsi="Times New Roman"/>
          <w:sz w:val="20"/>
          <w:szCs w:val="20"/>
          <w:lang w:val="en-US"/>
        </w:rPr>
        <w:t>, 47(9), 1554-1567.</w:t>
      </w:r>
    </w:p>
    <w:p w14:paraId="28A1A10C" w14:textId="5D4C92A3" w:rsidR="00F27F57" w:rsidRPr="00F65686" w:rsidRDefault="00F27F57"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Segerstrom, P.S. (2000). The long-run growth effects of R&amp;D subsidies, </w:t>
      </w:r>
      <w:r w:rsidRPr="00F65686">
        <w:rPr>
          <w:rFonts w:ascii="Times New Roman" w:hAnsi="Times New Roman"/>
          <w:i/>
          <w:sz w:val="20"/>
          <w:szCs w:val="20"/>
          <w:lang w:val="en-US"/>
        </w:rPr>
        <w:t>Journal of Economic Growth</w:t>
      </w:r>
      <w:r w:rsidRPr="00F65686">
        <w:rPr>
          <w:rFonts w:ascii="Times New Roman" w:hAnsi="Times New Roman"/>
          <w:sz w:val="20"/>
          <w:szCs w:val="20"/>
          <w:lang w:val="en-US"/>
        </w:rPr>
        <w:t>, 5(3): 277-305</w:t>
      </w:r>
    </w:p>
    <w:p w14:paraId="5227945C" w14:textId="77777777" w:rsidR="00F61750" w:rsidRPr="00F65686" w:rsidRDefault="00F61750"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Shapira, P. and Youtie J. (2016), ‘The impact of technology and innovation advisory services’, in J. Edler, P. Cunningham, A. Gök, and P. Shapira (eds), Handbook of Innovation Policy Impact, Cheltenham, Edward Elgar, pp 161-195. </w:t>
      </w:r>
    </w:p>
    <w:p w14:paraId="6331161B" w14:textId="7B641627" w:rsidR="00C051DC" w:rsidRPr="00F65686" w:rsidRDefault="00C051DC"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Srhoj, S., Škrinjarić, B., &amp; Radas, S. (2019). Bidding against the odds? The impact evaluation of grants for young micro and small firms during the recession. </w:t>
      </w:r>
      <w:r w:rsidRPr="00F65686">
        <w:rPr>
          <w:rFonts w:ascii="Times New Roman" w:hAnsi="Times New Roman"/>
          <w:i/>
          <w:sz w:val="20"/>
          <w:szCs w:val="20"/>
          <w:lang w:val="en-US"/>
        </w:rPr>
        <w:t>Small Business Economics</w:t>
      </w:r>
      <w:r w:rsidRPr="00F65686">
        <w:rPr>
          <w:rFonts w:ascii="Times New Roman" w:hAnsi="Times New Roman"/>
          <w:sz w:val="20"/>
          <w:szCs w:val="20"/>
          <w:lang w:val="en-US"/>
        </w:rPr>
        <w:t xml:space="preserve">. </w:t>
      </w:r>
      <w:r w:rsidR="00876E7C" w:rsidRPr="00F65686">
        <w:rPr>
          <w:rFonts w:ascii="Times New Roman" w:hAnsi="Times New Roman"/>
          <w:sz w:val="20"/>
          <w:szCs w:val="20"/>
          <w:lang w:val="en-GB"/>
        </w:rPr>
        <w:t>56(1): 83-103.</w:t>
      </w:r>
    </w:p>
    <w:p w14:paraId="23159498" w14:textId="14357E0B" w:rsidR="004D396E" w:rsidRPr="00F65686" w:rsidRDefault="004D396E"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Spigel, B. (2017). The Relational Organization of Entrepreneurial Ecosystems. Entrepreneurship: Theory and Practice, 41(1), 49–72. </w:t>
      </w:r>
      <w:hyperlink r:id="rId30" w:history="1">
        <w:r w:rsidRPr="00F65686">
          <w:rPr>
            <w:rStyle w:val="Collegamentoipertestuale"/>
            <w:rFonts w:ascii="Times New Roman" w:hAnsi="Times New Roman"/>
            <w:sz w:val="20"/>
            <w:szCs w:val="20"/>
            <w:lang w:val="en-US"/>
          </w:rPr>
          <w:t>https://doi.org/10.1111/etap.12167</w:t>
        </w:r>
      </w:hyperlink>
      <w:r w:rsidRPr="00F65686">
        <w:rPr>
          <w:rFonts w:ascii="Times New Roman" w:hAnsi="Times New Roman"/>
          <w:sz w:val="20"/>
          <w:szCs w:val="20"/>
          <w:lang w:val="en-US"/>
        </w:rPr>
        <w:t xml:space="preserve"> </w:t>
      </w:r>
    </w:p>
    <w:p w14:paraId="148B8594" w14:textId="3DC12D6C" w:rsidR="00284F76" w:rsidRPr="00F65686" w:rsidRDefault="00284F76"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Szücs, F. (2018). Research subsidies, industry–university cooperation and innovation. Research Policy, 47(7), 1256–1266. </w:t>
      </w:r>
      <w:hyperlink r:id="rId31" w:history="1">
        <w:r w:rsidRPr="00F65686">
          <w:rPr>
            <w:rStyle w:val="Collegamentoipertestuale"/>
            <w:rFonts w:ascii="Times New Roman" w:hAnsi="Times New Roman"/>
            <w:sz w:val="20"/>
            <w:szCs w:val="20"/>
            <w:lang w:val="en-US"/>
          </w:rPr>
          <w:t>https://doi.org/10.1016/j.respol.2018.04.009</w:t>
        </w:r>
      </w:hyperlink>
    </w:p>
    <w:p w14:paraId="2CAADA12" w14:textId="77777777" w:rsidR="00EC6858" w:rsidRPr="00F65686" w:rsidRDefault="00EC6858"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Szymański, R. (2011). Investment in the Micro and Small Enterprise Sector Financed Within the Innovation Voucher Programme. Review of Business Research, 11(2), 113–117. </w:t>
      </w:r>
      <w:hyperlink r:id="rId32" w:history="1">
        <w:r w:rsidRPr="00F65686">
          <w:rPr>
            <w:rStyle w:val="Collegamentoipertestuale"/>
            <w:rFonts w:ascii="Times New Roman" w:hAnsi="Times New Roman"/>
            <w:sz w:val="20"/>
            <w:szCs w:val="20"/>
            <w:lang w:val="en-US"/>
          </w:rPr>
          <w:t>http://search.ebscohost.com/login.aspx?direct=true&amp;db=bth&amp;AN=69988870&amp;lang=pt-br&amp;site=ehost-live</w:t>
        </w:r>
      </w:hyperlink>
      <w:r w:rsidRPr="00F65686">
        <w:rPr>
          <w:rFonts w:ascii="Times New Roman" w:hAnsi="Times New Roman"/>
          <w:sz w:val="20"/>
          <w:szCs w:val="20"/>
          <w:lang w:val="en-US"/>
        </w:rPr>
        <w:t xml:space="preserve"> </w:t>
      </w:r>
    </w:p>
    <w:p w14:paraId="20C19593" w14:textId="67B883F2" w:rsidR="00F27F57" w:rsidRPr="00F65686" w:rsidRDefault="00F27F57"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Tether BS and Tajar A (2006). Are Services Starved of Research? An Analysis of UK Firms’ Innovation Linkages with Specialist Knowledge Providers.</w:t>
      </w:r>
    </w:p>
    <w:p w14:paraId="1951A294" w14:textId="77777777" w:rsidR="009901A0" w:rsidRPr="00F65686" w:rsidRDefault="00EC6858"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lastRenderedPageBreak/>
        <w:t xml:space="preserve">van Hemert, P., Nijkamp, P., &amp; Masurel, E. (2013). From innovation to commercialization through networks and agglomerations: Analysis of sources of innovation, innovation capabilities and performance of Dutch SMEs. Annals of Regional Science, 50(2), 425–452. </w:t>
      </w:r>
      <w:hyperlink r:id="rId33" w:history="1">
        <w:r w:rsidRPr="00F65686">
          <w:rPr>
            <w:rStyle w:val="Collegamentoipertestuale"/>
            <w:rFonts w:ascii="Times New Roman" w:hAnsi="Times New Roman"/>
            <w:sz w:val="20"/>
            <w:szCs w:val="20"/>
            <w:lang w:val="en-US"/>
          </w:rPr>
          <w:t>https://doi.org/10.1007/s00168-012-0509-1</w:t>
        </w:r>
      </w:hyperlink>
      <w:r w:rsidRPr="00F65686">
        <w:rPr>
          <w:rFonts w:ascii="Times New Roman" w:hAnsi="Times New Roman"/>
          <w:sz w:val="20"/>
          <w:szCs w:val="20"/>
          <w:lang w:val="en-US"/>
        </w:rPr>
        <w:t xml:space="preserve"> </w:t>
      </w:r>
    </w:p>
    <w:p w14:paraId="748675B4" w14:textId="77777777" w:rsidR="009901A0" w:rsidRPr="00F65686" w:rsidRDefault="004D396E"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von Tunzelmann, G. N. (1995). Government policy and the long-run dynamics of competitiveness. Structural Change and Economic Dynamics, 6(1), 1–21. </w:t>
      </w:r>
      <w:hyperlink r:id="rId34" w:history="1">
        <w:r w:rsidRPr="00F65686">
          <w:rPr>
            <w:rStyle w:val="Collegamentoipertestuale"/>
            <w:rFonts w:ascii="Times New Roman" w:hAnsi="Times New Roman"/>
            <w:sz w:val="20"/>
            <w:szCs w:val="20"/>
            <w:lang w:val="en-US"/>
          </w:rPr>
          <w:t>https://doi.org/10.1016/0954-349X(95)00001-4</w:t>
        </w:r>
      </w:hyperlink>
      <w:r w:rsidRPr="00F65686">
        <w:rPr>
          <w:rFonts w:ascii="Times New Roman" w:hAnsi="Times New Roman"/>
          <w:sz w:val="20"/>
          <w:szCs w:val="20"/>
          <w:lang w:val="en-US"/>
        </w:rPr>
        <w:t xml:space="preserve"> </w:t>
      </w:r>
    </w:p>
    <w:p w14:paraId="340775DE" w14:textId="7E605B0C" w:rsidR="009C583A" w:rsidRPr="00F65686" w:rsidRDefault="00F27F57"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 xml:space="preserve">Wintjes, Rene (1999) Evaluation of the Research Vouchers pilot project, URL: </w:t>
      </w:r>
      <w:hyperlink r:id="rId35" w:history="1">
        <w:r w:rsidR="006C7F6A" w:rsidRPr="00F65686">
          <w:rPr>
            <w:rFonts w:ascii="Times New Roman" w:hAnsi="Times New Roman"/>
            <w:sz w:val="20"/>
            <w:szCs w:val="20"/>
            <w:lang w:val="en-US"/>
          </w:rPr>
          <w:t>http://kennisvoucher.nl/dloads/Research%20Vouchers%20pilot%20Evalution%20English.pdf</w:t>
        </w:r>
      </w:hyperlink>
      <w:bookmarkStart w:id="9" w:name="_Toc352171028"/>
    </w:p>
    <w:p w14:paraId="0B629FCC" w14:textId="656B8CBF" w:rsidR="0093582D" w:rsidRPr="00905844" w:rsidRDefault="001B2146" w:rsidP="00F65686">
      <w:pPr>
        <w:spacing w:after="120"/>
        <w:ind w:left="397" w:hanging="397"/>
        <w:jc w:val="both"/>
        <w:rPr>
          <w:rFonts w:ascii="Times New Roman" w:hAnsi="Times New Roman"/>
          <w:sz w:val="20"/>
          <w:szCs w:val="20"/>
          <w:lang w:val="en-US"/>
        </w:rPr>
      </w:pPr>
      <w:r w:rsidRPr="00F65686">
        <w:rPr>
          <w:rFonts w:ascii="Times New Roman" w:hAnsi="Times New Roman"/>
          <w:sz w:val="20"/>
          <w:szCs w:val="20"/>
          <w:lang w:val="en-US"/>
        </w:rPr>
        <w:t>Wooldridge, J. M. 2010. Econometric Analysis of Cross Section and Panel Data. 2nd ed. Cambridge, MA: MIT Press</w:t>
      </w:r>
      <w:bookmarkEnd w:id="9"/>
    </w:p>
    <w:sectPr w:rsidR="0093582D" w:rsidRPr="00905844" w:rsidSect="004D0E94">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CBF3A" w16cex:dateUtc="2021-09-27T20: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DB7B4" w14:textId="77777777" w:rsidR="0006345E" w:rsidRDefault="0006345E" w:rsidP="0046581C">
      <w:pPr>
        <w:spacing w:after="0" w:line="240" w:lineRule="auto"/>
      </w:pPr>
      <w:r>
        <w:separator/>
      </w:r>
    </w:p>
  </w:endnote>
  <w:endnote w:type="continuationSeparator" w:id="0">
    <w:p w14:paraId="1E71D5AD" w14:textId="77777777" w:rsidR="0006345E" w:rsidRDefault="0006345E" w:rsidP="0046581C">
      <w:pPr>
        <w:spacing w:after="0" w:line="240" w:lineRule="auto"/>
      </w:pPr>
      <w:r>
        <w:continuationSeparator/>
      </w:r>
    </w:p>
  </w:endnote>
  <w:endnote w:type="continuationNotice" w:id="1">
    <w:p w14:paraId="11547563" w14:textId="77777777" w:rsidR="0006345E" w:rsidRDefault="000634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DB84" w14:textId="35007F6B" w:rsidR="000B1E31" w:rsidRPr="0046581C" w:rsidRDefault="000B1E31">
    <w:pPr>
      <w:pStyle w:val="Pidipagina"/>
      <w:jc w:val="center"/>
      <w:rPr>
        <w:rFonts w:ascii="Times New Roman" w:hAnsi="Times New Roman"/>
        <w:sz w:val="20"/>
        <w:szCs w:val="20"/>
      </w:rPr>
    </w:pPr>
    <w:r w:rsidRPr="0046581C">
      <w:rPr>
        <w:rFonts w:ascii="Times New Roman" w:hAnsi="Times New Roman"/>
        <w:sz w:val="20"/>
        <w:szCs w:val="20"/>
      </w:rPr>
      <w:fldChar w:fldCharType="begin"/>
    </w:r>
    <w:r w:rsidRPr="0046581C">
      <w:rPr>
        <w:rFonts w:ascii="Times New Roman" w:hAnsi="Times New Roman"/>
        <w:sz w:val="20"/>
        <w:szCs w:val="20"/>
      </w:rPr>
      <w:instrText xml:space="preserve"> PAGE   \* MERGEFORMAT </w:instrText>
    </w:r>
    <w:r w:rsidRPr="0046581C">
      <w:rPr>
        <w:rFonts w:ascii="Times New Roman" w:hAnsi="Times New Roman"/>
        <w:sz w:val="20"/>
        <w:szCs w:val="20"/>
      </w:rPr>
      <w:fldChar w:fldCharType="separate"/>
    </w:r>
    <w:r>
      <w:rPr>
        <w:rFonts w:ascii="Times New Roman" w:hAnsi="Times New Roman"/>
        <w:noProof/>
        <w:sz w:val="20"/>
        <w:szCs w:val="20"/>
      </w:rPr>
      <w:t>4</w:t>
    </w:r>
    <w:r w:rsidRPr="0046581C">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7BD0C" w14:textId="77777777" w:rsidR="000B1E31" w:rsidRPr="00841842" w:rsidRDefault="000B1E31" w:rsidP="00841842">
    <w:pPr>
      <w:pStyle w:val="Pidipagina"/>
      <w:jc w:val="center"/>
      <w:rPr>
        <w:rFonts w:ascii="Times New Roman" w:hAnsi="Times New Roman"/>
        <w:sz w:val="20"/>
        <w:szCs w:val="20"/>
      </w:rPr>
    </w:pPr>
    <w:r w:rsidRPr="00841842">
      <w:rPr>
        <w:rFonts w:ascii="Times New Roman" w:hAnsi="Times New Roman"/>
        <w:sz w:val="20"/>
        <w:szCs w:val="20"/>
      </w:rPr>
      <w:fldChar w:fldCharType="begin"/>
    </w:r>
    <w:r w:rsidRPr="00841842">
      <w:rPr>
        <w:rFonts w:ascii="Times New Roman" w:hAnsi="Times New Roman"/>
        <w:sz w:val="20"/>
        <w:szCs w:val="20"/>
      </w:rPr>
      <w:instrText xml:space="preserve"> PAGE   \* MERGEFORMAT </w:instrText>
    </w:r>
    <w:r w:rsidRPr="00841842">
      <w:rPr>
        <w:rFonts w:ascii="Times New Roman" w:hAnsi="Times New Roman"/>
        <w:sz w:val="20"/>
        <w:szCs w:val="20"/>
      </w:rPr>
      <w:fldChar w:fldCharType="separate"/>
    </w:r>
    <w:r>
      <w:rPr>
        <w:rFonts w:ascii="Times New Roman" w:hAnsi="Times New Roman"/>
        <w:noProof/>
        <w:sz w:val="20"/>
        <w:szCs w:val="20"/>
      </w:rPr>
      <w:t>1</w:t>
    </w:r>
    <w:r w:rsidRPr="00841842">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DA204" w14:textId="77777777" w:rsidR="0006345E" w:rsidRDefault="0006345E" w:rsidP="0046581C">
      <w:pPr>
        <w:spacing w:after="0" w:line="240" w:lineRule="auto"/>
      </w:pPr>
      <w:r>
        <w:separator/>
      </w:r>
    </w:p>
  </w:footnote>
  <w:footnote w:type="continuationSeparator" w:id="0">
    <w:p w14:paraId="3C5E74B9" w14:textId="77777777" w:rsidR="0006345E" w:rsidRDefault="0006345E" w:rsidP="0046581C">
      <w:pPr>
        <w:spacing w:after="0" w:line="240" w:lineRule="auto"/>
      </w:pPr>
      <w:r>
        <w:continuationSeparator/>
      </w:r>
    </w:p>
  </w:footnote>
  <w:footnote w:type="continuationNotice" w:id="1">
    <w:p w14:paraId="2A4051FE" w14:textId="77777777" w:rsidR="0006345E" w:rsidRDefault="0006345E">
      <w:pPr>
        <w:spacing w:after="0" w:line="240" w:lineRule="auto"/>
      </w:pPr>
    </w:p>
  </w:footnote>
  <w:footnote w:id="2">
    <w:p w14:paraId="10A1CD2C" w14:textId="6B9050CA" w:rsidR="000B1E31" w:rsidRPr="00F65686" w:rsidRDefault="000B1E31" w:rsidP="00451897">
      <w:pPr>
        <w:pStyle w:val="Testonotaapidipagina"/>
        <w:spacing w:after="0" w:line="240" w:lineRule="auto"/>
        <w:jc w:val="both"/>
        <w:rPr>
          <w:rFonts w:ascii="Times New Roman" w:hAnsi="Times New Roman"/>
          <w:lang w:val="en-GB"/>
        </w:rPr>
      </w:pPr>
      <w:r w:rsidRPr="00F65686">
        <w:rPr>
          <w:rStyle w:val="Rimandonotaapidipagina"/>
          <w:rFonts w:ascii="Times New Roman" w:hAnsi="Times New Roman"/>
        </w:rPr>
        <w:footnoteRef/>
      </w:r>
      <w:r w:rsidRPr="00F65686">
        <w:rPr>
          <w:rFonts w:ascii="Times New Roman" w:hAnsi="Times New Roman"/>
          <w:lang w:val="en-GB"/>
        </w:rPr>
        <w:t xml:space="preserve"> </w:t>
      </w:r>
      <w:r w:rsidRPr="00F65686">
        <w:rPr>
          <w:rFonts w:ascii="Times New Roman" w:hAnsi="Times New Roman"/>
          <w:lang w:val="en-US"/>
        </w:rPr>
        <w:t xml:space="preserve">Politecnico di Milano, Department of Architecture, Built Environment and Construction Engineering, Milan, Italy. Email address: </w:t>
      </w:r>
      <w:hyperlink r:id="rId1" w:history="1">
        <w:r w:rsidRPr="00F65686">
          <w:rPr>
            <w:rStyle w:val="Collegamentoipertestuale"/>
            <w:rFonts w:ascii="Times New Roman" w:hAnsi="Times New Roman"/>
            <w:lang w:val="en-US"/>
          </w:rPr>
          <w:t>andrea.caragliu@polimi.it</w:t>
        </w:r>
      </w:hyperlink>
      <w:r w:rsidRPr="00F65686">
        <w:rPr>
          <w:rStyle w:val="Collegamentoipertestuale"/>
          <w:rFonts w:ascii="Times New Roman" w:hAnsi="Times New Roman"/>
          <w:lang w:val="en-US"/>
        </w:rPr>
        <w:t>.</w:t>
      </w:r>
      <w:r w:rsidRPr="00F65686">
        <w:rPr>
          <w:rFonts w:ascii="Times New Roman" w:hAnsi="Times New Roman"/>
          <w:lang w:val="en-GB"/>
        </w:rPr>
        <w:t xml:space="preserve"> ORCID id: </w:t>
      </w:r>
      <w:hyperlink r:id="rId2" w:history="1">
        <w:r w:rsidRPr="00F65686">
          <w:rPr>
            <w:rStyle w:val="Collegamentoipertestuale"/>
            <w:rFonts w:ascii="Times New Roman" w:hAnsi="Times New Roman"/>
            <w:lang w:val="en-GB"/>
          </w:rPr>
          <w:t>https://orcid.org/0000-0003-0865-3404</w:t>
        </w:r>
      </w:hyperlink>
      <w:r w:rsidRPr="00F65686">
        <w:rPr>
          <w:rFonts w:ascii="Times New Roman" w:hAnsi="Times New Roman"/>
          <w:lang w:val="en-GB"/>
        </w:rPr>
        <w:t>.</w:t>
      </w:r>
    </w:p>
  </w:footnote>
  <w:footnote w:id="3">
    <w:p w14:paraId="2A48D758" w14:textId="77777777" w:rsidR="000B1E31" w:rsidRPr="00F65686" w:rsidRDefault="000B1E31" w:rsidP="00451897">
      <w:pPr>
        <w:pStyle w:val="Testonotaapidipagina"/>
        <w:spacing w:after="0" w:line="240" w:lineRule="auto"/>
        <w:jc w:val="both"/>
        <w:rPr>
          <w:rFonts w:ascii="Times New Roman" w:hAnsi="Times New Roman"/>
          <w:lang w:val="en-GB"/>
        </w:rPr>
      </w:pPr>
      <w:r w:rsidRPr="00F65686">
        <w:rPr>
          <w:rStyle w:val="Rimandonotaapidipagina"/>
          <w:rFonts w:ascii="Times New Roman" w:hAnsi="Times New Roman"/>
        </w:rPr>
        <w:footnoteRef/>
      </w:r>
      <w:r w:rsidRPr="00F65686">
        <w:rPr>
          <w:rFonts w:ascii="Times New Roman" w:hAnsi="Times New Roman"/>
          <w:lang w:val="en-GB"/>
        </w:rPr>
        <w:t xml:space="preserve"> </w:t>
      </w:r>
      <w:r w:rsidRPr="00F65686">
        <w:rPr>
          <w:rFonts w:ascii="Times New Roman" w:hAnsi="Times New Roman"/>
          <w:lang w:val="en-US"/>
        </w:rPr>
        <w:t>Corresponding author.</w:t>
      </w:r>
    </w:p>
  </w:footnote>
  <w:footnote w:id="4">
    <w:p w14:paraId="14673682" w14:textId="56FD081B" w:rsidR="000B1E31" w:rsidRPr="00F65686" w:rsidRDefault="000B1E31" w:rsidP="00451897">
      <w:pPr>
        <w:pStyle w:val="Testonotaapidipagina"/>
        <w:spacing w:after="0" w:line="240" w:lineRule="auto"/>
        <w:jc w:val="both"/>
        <w:rPr>
          <w:rFonts w:ascii="Times New Roman" w:hAnsi="Times New Roman"/>
          <w:lang w:val="en-GB"/>
        </w:rPr>
      </w:pPr>
      <w:r w:rsidRPr="00F65686">
        <w:rPr>
          <w:rStyle w:val="Rimandonotaapidipagina"/>
          <w:rFonts w:ascii="Times New Roman" w:hAnsi="Times New Roman"/>
        </w:rPr>
        <w:footnoteRef/>
      </w:r>
      <w:r w:rsidRPr="00F65686">
        <w:rPr>
          <w:rFonts w:ascii="Times New Roman" w:hAnsi="Times New Roman"/>
          <w:lang w:val="en-GB"/>
        </w:rPr>
        <w:t xml:space="preserve"> </w:t>
      </w:r>
      <w:r w:rsidRPr="00F65686">
        <w:rPr>
          <w:rFonts w:ascii="Times New Roman" w:hAnsi="Times New Roman"/>
          <w:lang w:val="en-US"/>
        </w:rPr>
        <w:t>Grenoble Ecole de Management, Department of Management, Technology and Strategy, Grenoble, France</w:t>
      </w:r>
      <w:r w:rsidRPr="00F65686">
        <w:rPr>
          <w:rFonts w:ascii="Times New Roman" w:hAnsi="Times New Roman"/>
          <w:lang w:val="en-GB"/>
        </w:rPr>
        <w:t xml:space="preserve">. Email address: </w:t>
      </w:r>
      <w:hyperlink r:id="rId3" w:history="1">
        <w:r w:rsidRPr="00F65686">
          <w:rPr>
            <w:rStyle w:val="Collegamentoipertestuale"/>
            <w:rFonts w:ascii="Times New Roman" w:hAnsi="Times New Roman"/>
            <w:lang w:val="en-GB"/>
          </w:rPr>
          <w:t>michele.coletti@grenoble-em.com</w:t>
        </w:r>
      </w:hyperlink>
      <w:r w:rsidRPr="00F65686">
        <w:rPr>
          <w:rFonts w:ascii="Times New Roman" w:hAnsi="Times New Roman"/>
          <w:lang w:val="en-GB"/>
        </w:rPr>
        <w:t xml:space="preserve">. ORCID id: </w:t>
      </w:r>
      <w:hyperlink r:id="rId4" w:history="1">
        <w:r w:rsidRPr="00F65686">
          <w:rPr>
            <w:rStyle w:val="Collegamentoipertestuale"/>
            <w:rFonts w:ascii="Times New Roman" w:hAnsi="Times New Roman"/>
            <w:shd w:val="clear" w:color="auto" w:fill="FFFFFF"/>
            <w:lang w:val="en-GB"/>
          </w:rPr>
          <w:t>https://orcid.org/0000-0002-7404-7755</w:t>
        </w:r>
      </w:hyperlink>
    </w:p>
  </w:footnote>
  <w:footnote w:id="5">
    <w:p w14:paraId="2A876D42" w14:textId="442CDB23" w:rsidR="000B1E31" w:rsidRPr="00F65686" w:rsidRDefault="000B1E31" w:rsidP="00451897">
      <w:pPr>
        <w:pStyle w:val="Testonotaapidipagina"/>
        <w:spacing w:after="0" w:line="240" w:lineRule="auto"/>
        <w:rPr>
          <w:rFonts w:ascii="Times New Roman" w:hAnsi="Times New Roman"/>
        </w:rPr>
      </w:pPr>
      <w:r w:rsidRPr="00F65686">
        <w:rPr>
          <w:rStyle w:val="Rimandonotaapidipagina"/>
          <w:rFonts w:ascii="Times New Roman" w:hAnsi="Times New Roman"/>
        </w:rPr>
        <w:footnoteRef/>
      </w:r>
      <w:r w:rsidRPr="00F65686">
        <w:rPr>
          <w:rFonts w:ascii="Times New Roman" w:hAnsi="Times New Roman"/>
          <w:lang w:val="en-GB"/>
        </w:rPr>
        <w:t xml:space="preserve"> </w:t>
      </w:r>
      <w:r w:rsidRPr="00F65686">
        <w:rPr>
          <w:rFonts w:ascii="Times New Roman" w:hAnsi="Times New Roman"/>
          <w:lang w:val="en-US"/>
        </w:rPr>
        <w:t xml:space="preserve">Department of Management and Production Engineering, Politecnico di Torino, Corso Duca degli Abruzzi, 24, 10129 Torino, Italy. Email address: </w:t>
      </w:r>
      <w:hyperlink r:id="rId5" w:history="1">
        <w:r w:rsidRPr="00F65686">
          <w:rPr>
            <w:rStyle w:val="Collegamentoipertestuale"/>
            <w:rFonts w:ascii="Times New Roman" w:hAnsi="Times New Roman"/>
            <w:lang w:val="en-US"/>
          </w:rPr>
          <w:t>paolo.landoni@polito.it</w:t>
        </w:r>
      </w:hyperlink>
      <w:r w:rsidRPr="00F65686">
        <w:rPr>
          <w:rFonts w:ascii="Times New Roman" w:hAnsi="Times New Roman"/>
          <w:lang w:val="en-US"/>
        </w:rPr>
        <w:t xml:space="preserve">. </w:t>
      </w:r>
      <w:r w:rsidRPr="00F65686">
        <w:rPr>
          <w:rFonts w:ascii="Times New Roman" w:hAnsi="Times New Roman"/>
        </w:rPr>
        <w:t xml:space="preserve">ORCID id: </w:t>
      </w:r>
      <w:hyperlink r:id="rId6" w:history="1">
        <w:r w:rsidRPr="00F65686">
          <w:rPr>
            <w:rStyle w:val="Collegamentoipertestuale"/>
            <w:rFonts w:ascii="Times New Roman" w:hAnsi="Times New Roman"/>
          </w:rPr>
          <w:t>https://orcid.org/0000-0001-5079-1101</w:t>
        </w:r>
      </w:hyperlink>
    </w:p>
  </w:footnote>
  <w:footnote w:id="6">
    <w:p w14:paraId="0EFE68B4" w14:textId="30B746CC" w:rsidR="000B1E31" w:rsidRPr="00F65686" w:rsidRDefault="000B1E31" w:rsidP="00451897">
      <w:pPr>
        <w:pStyle w:val="Testonotaapidipagina"/>
        <w:spacing w:after="0" w:line="240" w:lineRule="auto"/>
        <w:jc w:val="both"/>
        <w:rPr>
          <w:rFonts w:ascii="Times New Roman" w:hAnsi="Times New Roman"/>
        </w:rPr>
      </w:pPr>
      <w:r w:rsidRPr="00F65686">
        <w:rPr>
          <w:rStyle w:val="Rimandonotaapidipagina"/>
          <w:rFonts w:ascii="Times New Roman" w:hAnsi="Times New Roman"/>
        </w:rPr>
        <w:footnoteRef/>
      </w:r>
      <w:r w:rsidRPr="00F65686">
        <w:rPr>
          <w:rFonts w:ascii="Times New Roman" w:hAnsi="Times New Roman"/>
        </w:rPr>
        <w:t xml:space="preserve"> </w:t>
      </w:r>
      <w:r w:rsidR="00E42302" w:rsidRPr="00F65686">
        <w:rPr>
          <w:rFonts w:ascii="Times New Roman" w:hAnsi="Times New Roman"/>
          <w:lang w:val="en-US"/>
        </w:rPr>
        <w:t xml:space="preserve">Department of Management, Economics, and Industrial Engineering, </w:t>
      </w:r>
      <w:r w:rsidR="00E42302" w:rsidRPr="00F65686">
        <w:rPr>
          <w:rFonts w:ascii="Times New Roman" w:hAnsi="Times New Roman"/>
        </w:rPr>
        <w:t xml:space="preserve">Politecnico di </w:t>
      </w:r>
      <w:r w:rsidRPr="00F65686">
        <w:rPr>
          <w:rFonts w:ascii="Times New Roman" w:hAnsi="Times New Roman"/>
        </w:rPr>
        <w:t xml:space="preserve">Milano, </w:t>
      </w:r>
      <w:r w:rsidR="00E42302" w:rsidRPr="00F65686">
        <w:rPr>
          <w:rFonts w:ascii="Times New Roman" w:hAnsi="Times New Roman"/>
        </w:rPr>
        <w:t xml:space="preserve">Via Lambruschini, 4/B, 20156 Milan, </w:t>
      </w:r>
      <w:r w:rsidRPr="00F65686">
        <w:rPr>
          <w:rFonts w:ascii="Times New Roman" w:hAnsi="Times New Roman"/>
        </w:rPr>
        <w:t xml:space="preserve">Italy. E-mail: </w:t>
      </w:r>
      <w:hyperlink r:id="rId7" w:history="1">
        <w:r w:rsidR="00E42302" w:rsidRPr="00F65686">
          <w:rPr>
            <w:rStyle w:val="Collegamentoipertestuale"/>
            <w:rFonts w:ascii="Times New Roman" w:hAnsi="Times New Roman"/>
          </w:rPr>
          <w:t>alessandro.sala@polimi.it</w:t>
        </w:r>
      </w:hyperlink>
    </w:p>
  </w:footnote>
  <w:footnote w:id="7">
    <w:p w14:paraId="2D33B621" w14:textId="77777777" w:rsidR="00E0251A" w:rsidRDefault="00E0251A" w:rsidP="00E0251A">
      <w:pPr>
        <w:pStyle w:val="Testonotaapidipagina"/>
        <w:jc w:val="both"/>
        <w:rPr>
          <w:rFonts w:ascii="Times New Roman" w:hAnsi="Times New Roman"/>
        </w:rPr>
      </w:pPr>
      <w:r w:rsidRPr="00E0251A">
        <w:rPr>
          <w:rStyle w:val="Rimandonotaapidipagina"/>
          <w:rFonts w:ascii="Times New Roman" w:hAnsi="Times New Roman"/>
        </w:rPr>
        <w:footnoteRef/>
      </w:r>
      <w:r w:rsidRPr="00E0251A">
        <w:rPr>
          <w:rFonts w:ascii="Times New Roman" w:hAnsi="Times New Roman"/>
        </w:rPr>
        <w:t xml:space="preserve"> </w:t>
      </w:r>
      <w:r>
        <w:rPr>
          <w:rFonts w:ascii="Times New Roman" w:hAnsi="Times New Roman"/>
        </w:rPr>
        <w:t>Full article available at the URL</w:t>
      </w:r>
    </w:p>
    <w:bookmarkStart w:id="1" w:name="_GoBack"/>
    <w:bookmarkEnd w:id="1"/>
    <w:p w14:paraId="6EF30029" w14:textId="12B192BB" w:rsidR="00E0251A" w:rsidRPr="00E0251A" w:rsidRDefault="00E0251A" w:rsidP="00E0251A">
      <w:pPr>
        <w:pStyle w:val="Testonotaapidipagina"/>
        <w:jc w:val="both"/>
        <w:rPr>
          <w:rFonts w:ascii="Times New Roman" w:hAnsi="Times New Roman"/>
        </w:rPr>
      </w:pPr>
      <w:r>
        <w:rPr>
          <w:rFonts w:ascii="Times New Roman" w:hAnsi="Times New Roman"/>
        </w:rPr>
        <w:fldChar w:fldCharType="begin"/>
      </w:r>
      <w:r>
        <w:rPr>
          <w:rFonts w:ascii="Times New Roman" w:hAnsi="Times New Roman"/>
        </w:rPr>
        <w:instrText xml:space="preserve"> HYPERLINK "</w:instrText>
      </w:r>
      <w:r w:rsidRPr="00E0251A">
        <w:rPr>
          <w:rFonts w:ascii="Times New Roman" w:hAnsi="Times New Roman"/>
        </w:rPr>
        <w:instrText>https://www.tandfonline.com/eprint/RI9SDFKPS3GIKBKQCTMM/full?target=10.1080/10630732.2022.2035886</w:instrText>
      </w:r>
      <w:r>
        <w:rPr>
          <w:rFonts w:ascii="Times New Roman" w:hAnsi="Times New Roman"/>
        </w:rPr>
        <w:instrText xml:space="preserve">" </w:instrText>
      </w:r>
      <w:r>
        <w:rPr>
          <w:rFonts w:ascii="Times New Roman" w:hAnsi="Times New Roman"/>
        </w:rPr>
        <w:fldChar w:fldCharType="separate"/>
      </w:r>
      <w:r w:rsidRPr="00DE5CCF">
        <w:rPr>
          <w:rStyle w:val="Collegamentoipertestuale"/>
          <w:rFonts w:ascii="Times New Roman" w:hAnsi="Times New Roman"/>
        </w:rPr>
        <w:t>https://www.tandfonline.com/eprint/RI9SDFKPS3GIKBKQCTMM/full?target=10.1080/10630732.2022.2035886</w:t>
      </w:r>
      <w:r>
        <w:rPr>
          <w:rFonts w:ascii="Times New Roman" w:hAnsi="Times New Roman"/>
        </w:rPr>
        <w:fldChar w:fldCharType="end"/>
      </w:r>
    </w:p>
  </w:footnote>
  <w:footnote w:id="8">
    <w:p w14:paraId="749B5EDC" w14:textId="232EF7B7" w:rsidR="000B1E31" w:rsidRPr="00F65686" w:rsidRDefault="000B1E31" w:rsidP="000B1E31">
      <w:pPr>
        <w:pStyle w:val="Testonotaapidipagina"/>
        <w:jc w:val="both"/>
        <w:rPr>
          <w:rFonts w:ascii="Times New Roman" w:hAnsi="Times New Roman"/>
        </w:rPr>
      </w:pPr>
      <w:r w:rsidRPr="00F65686">
        <w:rPr>
          <w:rStyle w:val="Rimandonotaapidipagina"/>
          <w:rFonts w:ascii="Times New Roman" w:hAnsi="Times New Roman"/>
        </w:rPr>
        <w:footnoteRef/>
      </w:r>
      <w:r w:rsidRPr="00F65686">
        <w:rPr>
          <w:rFonts w:ascii="Times New Roman" w:hAnsi="Times New Roman"/>
        </w:rPr>
        <w:t xml:space="preserve"> Reverse causality, also termed endogeneity, characterizes econometric specifications whereby an explanatory variable is correlated with the error term (Wooldridge, 2010); this represents a violation of the assumptions of the classical linear regression model.</w:t>
      </w:r>
    </w:p>
  </w:footnote>
  <w:footnote w:id="9">
    <w:p w14:paraId="5C616C51" w14:textId="77777777" w:rsidR="00A83B2B" w:rsidRPr="00F65686" w:rsidRDefault="00A83B2B" w:rsidP="00A83B2B">
      <w:pPr>
        <w:pStyle w:val="Testonotaapidipagina"/>
        <w:spacing w:after="0" w:line="240" w:lineRule="auto"/>
        <w:jc w:val="both"/>
        <w:rPr>
          <w:rStyle w:val="Rimandonotaapidipagina"/>
          <w:rFonts w:ascii="Times New Roman" w:hAnsi="Times New Roman"/>
          <w:vertAlign w:val="baseline"/>
        </w:rPr>
      </w:pPr>
      <w:r w:rsidRPr="00F65686">
        <w:rPr>
          <w:rStyle w:val="Rimandonotaapidipagina"/>
          <w:rFonts w:ascii="Times New Roman" w:hAnsi="Times New Roman"/>
        </w:rPr>
        <w:footnoteRef/>
      </w:r>
      <w:r w:rsidRPr="00F65686">
        <w:rPr>
          <w:rStyle w:val="Rimandonotaapidipagina"/>
          <w:rFonts w:ascii="Times New Roman" w:hAnsi="Times New Roman"/>
          <w:vertAlign w:val="baseline"/>
        </w:rPr>
        <w:t xml:space="preserve"> The classification of innovation policy impacts as accruing directly, i.e. through channels foreseen by the policymaker, or indirectly, viz. through unintended goals, dates back to Bach et al. (1</w:t>
      </w:r>
      <w:r w:rsidRPr="00F65686">
        <w:rPr>
          <w:rFonts w:ascii="Times New Roman" w:hAnsi="Times New Roman"/>
        </w:rPr>
        <w:t>995</w:t>
      </w:r>
      <w:r w:rsidRPr="00F65686">
        <w:rPr>
          <w:rStyle w:val="Rimandonotaapidipagina"/>
          <w:rFonts w:ascii="Times New Roman" w:hAnsi="Times New Roman"/>
          <w:vertAlign w:val="baseline"/>
        </w:rPr>
        <w:t>), but still representes a sound way to look at these empirical differences.</w:t>
      </w:r>
    </w:p>
  </w:footnote>
  <w:footnote w:id="10">
    <w:p w14:paraId="7E25DAE6" w14:textId="77777777" w:rsidR="000B1E31" w:rsidRPr="00F65686" w:rsidRDefault="000B1E31" w:rsidP="00451897">
      <w:pPr>
        <w:pStyle w:val="Testonotaapidipagina"/>
        <w:spacing w:after="0" w:line="240" w:lineRule="auto"/>
        <w:jc w:val="both"/>
        <w:rPr>
          <w:lang w:val="en-GB"/>
        </w:rPr>
      </w:pPr>
      <w:r w:rsidRPr="00F65686">
        <w:rPr>
          <w:rStyle w:val="Rimandonotaapidipagina"/>
          <w:rFonts w:ascii="Times New Roman" w:hAnsi="Times New Roman"/>
        </w:rPr>
        <w:footnoteRef/>
      </w:r>
      <w:r w:rsidRPr="00F65686">
        <w:rPr>
          <w:rFonts w:ascii="Times New Roman" w:hAnsi="Times New Roman"/>
          <w:lang w:val="en-US"/>
        </w:rPr>
        <w:t xml:space="preserve"> QuESTIO is a system designed by the Lombardy regional authority to identify and monitor the Centres of Research and Technology Transfer (CRTT) on its territory. Being listed in QuESTIO is a necessary condition for participating in tenders and calls for financing managed by the Region’s administrative bodies.</w:t>
      </w:r>
    </w:p>
  </w:footnote>
  <w:footnote w:id="11">
    <w:p w14:paraId="6102BDFA" w14:textId="65F51575" w:rsidR="000B1E31" w:rsidRPr="00F65686" w:rsidRDefault="000B1E31" w:rsidP="00451897">
      <w:pPr>
        <w:pStyle w:val="Testonotaapidipagina"/>
        <w:spacing w:after="0" w:line="240" w:lineRule="auto"/>
        <w:jc w:val="both"/>
        <w:rPr>
          <w:rFonts w:ascii="Times New Roman" w:hAnsi="Times New Roman"/>
          <w:lang w:val="en-GB"/>
        </w:rPr>
      </w:pPr>
      <w:r w:rsidRPr="00F65686">
        <w:rPr>
          <w:rStyle w:val="Rimandonotaapidipagina"/>
          <w:rFonts w:ascii="Times New Roman" w:hAnsi="Times New Roman"/>
        </w:rPr>
        <w:footnoteRef/>
      </w:r>
      <w:r w:rsidRPr="00F65686">
        <w:rPr>
          <w:rFonts w:ascii="Times New Roman" w:hAnsi="Times New Roman"/>
          <w:lang w:val="en-GB"/>
        </w:rPr>
        <w:t xml:space="preserve"> The use of a composite indicator allows to avoid the limitations associated with measuring social capital on the basis of regional trust levels only (Glaeser et al., 2000).</w:t>
      </w:r>
    </w:p>
  </w:footnote>
  <w:footnote w:id="12">
    <w:p w14:paraId="2F7FE90A" w14:textId="387BB1DF" w:rsidR="000B1E31" w:rsidRPr="00F65686" w:rsidRDefault="000B1E31" w:rsidP="00451897">
      <w:pPr>
        <w:pStyle w:val="Testonotaapidipagina"/>
        <w:spacing w:after="0" w:line="240" w:lineRule="auto"/>
        <w:jc w:val="both"/>
        <w:rPr>
          <w:rFonts w:ascii="Times New Roman" w:hAnsi="Times New Roman"/>
          <w:lang w:val="en-GB"/>
        </w:rPr>
      </w:pPr>
      <w:r w:rsidRPr="00F65686">
        <w:rPr>
          <w:rStyle w:val="Rimandonotaapidipagina"/>
          <w:rFonts w:ascii="Times New Roman" w:hAnsi="Times New Roman"/>
        </w:rPr>
        <w:footnoteRef/>
      </w:r>
      <w:r w:rsidRPr="00F65686">
        <w:rPr>
          <w:rFonts w:ascii="Times New Roman" w:hAnsi="Times New Roman"/>
          <w:lang w:val="en-GB"/>
        </w:rPr>
        <w:t xml:space="preserve"> This assumption has actually been tested. The three outcomes of interest have been proven to be endogenous to treatment with the 5 per cent (higher turnover) and 1 per cent (new skills and serendipituous results) confidence level. This result further reinforces the need for choosing endogenous treatment models.</w:t>
      </w:r>
    </w:p>
  </w:footnote>
  <w:footnote w:id="13">
    <w:p w14:paraId="55792F4F" w14:textId="399BEAA3" w:rsidR="000B1E31" w:rsidRPr="00F145A5" w:rsidRDefault="000B1E31" w:rsidP="003E5CD5">
      <w:pPr>
        <w:pStyle w:val="Testonotaapidipagina"/>
        <w:jc w:val="both"/>
        <w:rPr>
          <w:rFonts w:ascii="Times New Roman" w:hAnsi="Times New Roman"/>
          <w:lang w:val="en-GB"/>
        </w:rPr>
      </w:pPr>
      <w:r w:rsidRPr="00F65686">
        <w:rPr>
          <w:rStyle w:val="Rimandonotaapidipagina"/>
          <w:rFonts w:ascii="Times New Roman" w:hAnsi="Times New Roman"/>
        </w:rPr>
        <w:footnoteRef/>
      </w:r>
      <w:r w:rsidRPr="00F65686">
        <w:rPr>
          <w:rFonts w:ascii="Times New Roman" w:hAnsi="Times New Roman"/>
          <w:lang w:val="en-GB"/>
        </w:rPr>
        <w:t xml:space="preserve"> The three outcomes may be both conceptually as well as empirically not independent from one another. From a theoretical perspective, this is not a major concern, in that the timing of our analyses leaves room for multiple impacts and the paper does not aim at a comprehensive cost-benefit analysis of the net impact of the voucher scheme, which is left as a future research avenue. From an empirical perpective, only one Pearson’s correlation index, between higher turnover and serendipituopus results, turns out to be positive and saignificant, although the level of correlation remains moderate (=.17).We would like to thank an anonymous reviewer for pointing us at this potential issue.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1924"/>
    <w:multiLevelType w:val="multilevel"/>
    <w:tmpl w:val="96D4C5B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410206"/>
    <w:multiLevelType w:val="hybridMultilevel"/>
    <w:tmpl w:val="79201D7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0D67514"/>
    <w:multiLevelType w:val="hybridMultilevel"/>
    <w:tmpl w:val="26F28BE6"/>
    <w:lvl w:ilvl="0" w:tplc="87B80E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790384"/>
    <w:multiLevelType w:val="hybridMultilevel"/>
    <w:tmpl w:val="25FC7750"/>
    <w:lvl w:ilvl="0" w:tplc="74185F6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8A17E5"/>
    <w:multiLevelType w:val="multilevel"/>
    <w:tmpl w:val="96D4C5B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A50C44"/>
    <w:multiLevelType w:val="hybridMultilevel"/>
    <w:tmpl w:val="5E9E4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1E3C85"/>
    <w:multiLevelType w:val="multilevel"/>
    <w:tmpl w:val="0F8014E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7" w15:restartNumberingAfterBreak="0">
    <w:nsid w:val="33DE05AC"/>
    <w:multiLevelType w:val="hybridMultilevel"/>
    <w:tmpl w:val="6CD81E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3D03A6"/>
    <w:multiLevelType w:val="multilevel"/>
    <w:tmpl w:val="03F64B60"/>
    <w:lvl w:ilvl="0">
      <w:start w:val="2"/>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9" w15:restartNumberingAfterBreak="0">
    <w:nsid w:val="58272B0E"/>
    <w:multiLevelType w:val="hybridMultilevel"/>
    <w:tmpl w:val="FFDC4E3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62E82CD5"/>
    <w:multiLevelType w:val="hybridMultilevel"/>
    <w:tmpl w:val="664E5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011F3D"/>
    <w:multiLevelType w:val="multilevel"/>
    <w:tmpl w:val="3FAAE7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3C63F22"/>
    <w:multiLevelType w:val="hybridMultilevel"/>
    <w:tmpl w:val="700CE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10"/>
  </w:num>
  <w:num w:numId="6">
    <w:abstractNumId w:val="4"/>
  </w:num>
  <w:num w:numId="7">
    <w:abstractNumId w:val="6"/>
  </w:num>
  <w:num w:numId="8">
    <w:abstractNumId w:val="1"/>
  </w:num>
  <w:num w:numId="9">
    <w:abstractNumId w:val="0"/>
  </w:num>
  <w:num w:numId="10">
    <w:abstractNumId w:val="8"/>
  </w:num>
  <w:num w:numId="11">
    <w:abstractNumId w:val="11"/>
  </w:num>
  <w:num w:numId="12">
    <w:abstractNumId w:val="9"/>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283"/>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wMzIxNTKyMLU0MDBW0lEKTi0uzszPAykwrgUADTKx8SwAAAA="/>
  </w:docVars>
  <w:rsids>
    <w:rsidRoot w:val="00EA738E"/>
    <w:rsid w:val="000015B0"/>
    <w:rsid w:val="00002DE0"/>
    <w:rsid w:val="000031C9"/>
    <w:rsid w:val="0000491A"/>
    <w:rsid w:val="00007F96"/>
    <w:rsid w:val="00010494"/>
    <w:rsid w:val="000169F0"/>
    <w:rsid w:val="00017141"/>
    <w:rsid w:val="00020B59"/>
    <w:rsid w:val="0003429D"/>
    <w:rsid w:val="00037B55"/>
    <w:rsid w:val="000407AA"/>
    <w:rsid w:val="00042354"/>
    <w:rsid w:val="00042F8D"/>
    <w:rsid w:val="000457A4"/>
    <w:rsid w:val="00045F58"/>
    <w:rsid w:val="00051D81"/>
    <w:rsid w:val="00052CD9"/>
    <w:rsid w:val="00062AD2"/>
    <w:rsid w:val="0006345E"/>
    <w:rsid w:val="00063980"/>
    <w:rsid w:val="00063E87"/>
    <w:rsid w:val="00071A0C"/>
    <w:rsid w:val="00071E48"/>
    <w:rsid w:val="00072F89"/>
    <w:rsid w:val="00073C74"/>
    <w:rsid w:val="000748CB"/>
    <w:rsid w:val="00075E69"/>
    <w:rsid w:val="00077E67"/>
    <w:rsid w:val="00080A3E"/>
    <w:rsid w:val="0008320E"/>
    <w:rsid w:val="00087409"/>
    <w:rsid w:val="000A34F4"/>
    <w:rsid w:val="000A3B69"/>
    <w:rsid w:val="000A4D92"/>
    <w:rsid w:val="000A75F6"/>
    <w:rsid w:val="000B1E31"/>
    <w:rsid w:val="000B281F"/>
    <w:rsid w:val="000C1A8B"/>
    <w:rsid w:val="000C22DD"/>
    <w:rsid w:val="000C57B5"/>
    <w:rsid w:val="000C79A7"/>
    <w:rsid w:val="000D2895"/>
    <w:rsid w:val="000D378E"/>
    <w:rsid w:val="000D592A"/>
    <w:rsid w:val="000D70A0"/>
    <w:rsid w:val="000E05EE"/>
    <w:rsid w:val="000E1322"/>
    <w:rsid w:val="000E28C5"/>
    <w:rsid w:val="000E318B"/>
    <w:rsid w:val="000F10B0"/>
    <w:rsid w:val="000F14D0"/>
    <w:rsid w:val="000F3649"/>
    <w:rsid w:val="000F37F1"/>
    <w:rsid w:val="000F7C6F"/>
    <w:rsid w:val="00100314"/>
    <w:rsid w:val="00102484"/>
    <w:rsid w:val="00102E66"/>
    <w:rsid w:val="00106846"/>
    <w:rsid w:val="001072E3"/>
    <w:rsid w:val="00110E7E"/>
    <w:rsid w:val="001138E4"/>
    <w:rsid w:val="00113BEE"/>
    <w:rsid w:val="001158C0"/>
    <w:rsid w:val="00120823"/>
    <w:rsid w:val="00122ED3"/>
    <w:rsid w:val="001251B2"/>
    <w:rsid w:val="00125756"/>
    <w:rsid w:val="001278E6"/>
    <w:rsid w:val="00127AC5"/>
    <w:rsid w:val="00127F0C"/>
    <w:rsid w:val="00130C4C"/>
    <w:rsid w:val="001332A6"/>
    <w:rsid w:val="001371CD"/>
    <w:rsid w:val="001420A5"/>
    <w:rsid w:val="0014253F"/>
    <w:rsid w:val="001439DE"/>
    <w:rsid w:val="00151739"/>
    <w:rsid w:val="0015210A"/>
    <w:rsid w:val="0015731E"/>
    <w:rsid w:val="001576CE"/>
    <w:rsid w:val="0016047D"/>
    <w:rsid w:val="00161E7A"/>
    <w:rsid w:val="001637E3"/>
    <w:rsid w:val="001642B0"/>
    <w:rsid w:val="001658B4"/>
    <w:rsid w:val="00167194"/>
    <w:rsid w:val="001706C9"/>
    <w:rsid w:val="00172516"/>
    <w:rsid w:val="0018021B"/>
    <w:rsid w:val="00181643"/>
    <w:rsid w:val="00183DF1"/>
    <w:rsid w:val="00186EE4"/>
    <w:rsid w:val="00187056"/>
    <w:rsid w:val="00187EA6"/>
    <w:rsid w:val="001912B3"/>
    <w:rsid w:val="00192584"/>
    <w:rsid w:val="0019350A"/>
    <w:rsid w:val="001937AB"/>
    <w:rsid w:val="0019477B"/>
    <w:rsid w:val="001A2165"/>
    <w:rsid w:val="001A4A12"/>
    <w:rsid w:val="001A6587"/>
    <w:rsid w:val="001B200A"/>
    <w:rsid w:val="001B2146"/>
    <w:rsid w:val="001B3422"/>
    <w:rsid w:val="001B3AC9"/>
    <w:rsid w:val="001C4005"/>
    <w:rsid w:val="001C49B6"/>
    <w:rsid w:val="001C70A1"/>
    <w:rsid w:val="001C7B5F"/>
    <w:rsid w:val="001D036D"/>
    <w:rsid w:val="001D0A84"/>
    <w:rsid w:val="001E39F2"/>
    <w:rsid w:val="001E786D"/>
    <w:rsid w:val="001F647C"/>
    <w:rsid w:val="002000E2"/>
    <w:rsid w:val="00201ED1"/>
    <w:rsid w:val="00203992"/>
    <w:rsid w:val="00204AC4"/>
    <w:rsid w:val="0020655C"/>
    <w:rsid w:val="0020759D"/>
    <w:rsid w:val="00212537"/>
    <w:rsid w:val="0021349B"/>
    <w:rsid w:val="002210EE"/>
    <w:rsid w:val="002213E6"/>
    <w:rsid w:val="00224B20"/>
    <w:rsid w:val="00226213"/>
    <w:rsid w:val="0022770A"/>
    <w:rsid w:val="00231D9B"/>
    <w:rsid w:val="002320FE"/>
    <w:rsid w:val="00232DB9"/>
    <w:rsid w:val="00237060"/>
    <w:rsid w:val="00237510"/>
    <w:rsid w:val="00237EBA"/>
    <w:rsid w:val="0024101B"/>
    <w:rsid w:val="00241FB9"/>
    <w:rsid w:val="00244925"/>
    <w:rsid w:val="002456CF"/>
    <w:rsid w:val="00245FAA"/>
    <w:rsid w:val="00252AAE"/>
    <w:rsid w:val="0025304B"/>
    <w:rsid w:val="00255198"/>
    <w:rsid w:val="002556E0"/>
    <w:rsid w:val="00255BF5"/>
    <w:rsid w:val="002569A0"/>
    <w:rsid w:val="00257F84"/>
    <w:rsid w:val="0026455C"/>
    <w:rsid w:val="0027635A"/>
    <w:rsid w:val="00282E6D"/>
    <w:rsid w:val="0028325B"/>
    <w:rsid w:val="00284F76"/>
    <w:rsid w:val="00286CC9"/>
    <w:rsid w:val="002874A6"/>
    <w:rsid w:val="002955DF"/>
    <w:rsid w:val="00297BB5"/>
    <w:rsid w:val="002A01E3"/>
    <w:rsid w:val="002A0A65"/>
    <w:rsid w:val="002A1BE1"/>
    <w:rsid w:val="002A4C18"/>
    <w:rsid w:val="002A62B1"/>
    <w:rsid w:val="002C1A82"/>
    <w:rsid w:val="002C1EED"/>
    <w:rsid w:val="002C2604"/>
    <w:rsid w:val="002D4CA6"/>
    <w:rsid w:val="002D510E"/>
    <w:rsid w:val="002D7CDE"/>
    <w:rsid w:val="002E05F4"/>
    <w:rsid w:val="002E341D"/>
    <w:rsid w:val="002E4E3B"/>
    <w:rsid w:val="002F222D"/>
    <w:rsid w:val="002F2743"/>
    <w:rsid w:val="002F43F0"/>
    <w:rsid w:val="002F5554"/>
    <w:rsid w:val="002F6CFE"/>
    <w:rsid w:val="002F70B3"/>
    <w:rsid w:val="0030107D"/>
    <w:rsid w:val="00307F4E"/>
    <w:rsid w:val="00311248"/>
    <w:rsid w:val="00313303"/>
    <w:rsid w:val="00314EFE"/>
    <w:rsid w:val="00314F82"/>
    <w:rsid w:val="00322077"/>
    <w:rsid w:val="00322AED"/>
    <w:rsid w:val="00323EBE"/>
    <w:rsid w:val="0032725C"/>
    <w:rsid w:val="00327EE0"/>
    <w:rsid w:val="003349FE"/>
    <w:rsid w:val="003416F0"/>
    <w:rsid w:val="00352689"/>
    <w:rsid w:val="00352BE1"/>
    <w:rsid w:val="00354487"/>
    <w:rsid w:val="003567BB"/>
    <w:rsid w:val="003575DC"/>
    <w:rsid w:val="00360283"/>
    <w:rsid w:val="00360E2F"/>
    <w:rsid w:val="003612BA"/>
    <w:rsid w:val="003624F7"/>
    <w:rsid w:val="00374B45"/>
    <w:rsid w:val="00374BF3"/>
    <w:rsid w:val="00381308"/>
    <w:rsid w:val="003821D2"/>
    <w:rsid w:val="00382D6D"/>
    <w:rsid w:val="003831E7"/>
    <w:rsid w:val="003851D5"/>
    <w:rsid w:val="003879C4"/>
    <w:rsid w:val="00390446"/>
    <w:rsid w:val="003908FD"/>
    <w:rsid w:val="00394F4C"/>
    <w:rsid w:val="00395C4C"/>
    <w:rsid w:val="003A15AD"/>
    <w:rsid w:val="003A1F75"/>
    <w:rsid w:val="003A420F"/>
    <w:rsid w:val="003B16B7"/>
    <w:rsid w:val="003B1909"/>
    <w:rsid w:val="003B34C1"/>
    <w:rsid w:val="003B37CE"/>
    <w:rsid w:val="003B57DD"/>
    <w:rsid w:val="003B7E70"/>
    <w:rsid w:val="003C0D59"/>
    <w:rsid w:val="003D0C00"/>
    <w:rsid w:val="003D4475"/>
    <w:rsid w:val="003E3C50"/>
    <w:rsid w:val="003E3C8E"/>
    <w:rsid w:val="003E4342"/>
    <w:rsid w:val="003E5CD5"/>
    <w:rsid w:val="003E5F45"/>
    <w:rsid w:val="003E6282"/>
    <w:rsid w:val="003F2694"/>
    <w:rsid w:val="003F3D38"/>
    <w:rsid w:val="003F411A"/>
    <w:rsid w:val="003F6261"/>
    <w:rsid w:val="003F7CDC"/>
    <w:rsid w:val="0040066F"/>
    <w:rsid w:val="004032BA"/>
    <w:rsid w:val="0041002C"/>
    <w:rsid w:val="004106D9"/>
    <w:rsid w:val="00413959"/>
    <w:rsid w:val="004152D7"/>
    <w:rsid w:val="00416E9B"/>
    <w:rsid w:val="004176D7"/>
    <w:rsid w:val="00417A9A"/>
    <w:rsid w:val="00421FE7"/>
    <w:rsid w:val="00424696"/>
    <w:rsid w:val="00431B91"/>
    <w:rsid w:val="00433E1C"/>
    <w:rsid w:val="00435A5F"/>
    <w:rsid w:val="00435AED"/>
    <w:rsid w:val="0043612E"/>
    <w:rsid w:val="004361FE"/>
    <w:rsid w:val="004366F6"/>
    <w:rsid w:val="0043781D"/>
    <w:rsid w:val="00440808"/>
    <w:rsid w:val="00444675"/>
    <w:rsid w:val="004449CD"/>
    <w:rsid w:val="00446478"/>
    <w:rsid w:val="004510C4"/>
    <w:rsid w:val="00451897"/>
    <w:rsid w:val="00452007"/>
    <w:rsid w:val="004525FE"/>
    <w:rsid w:val="00460A45"/>
    <w:rsid w:val="00462EE5"/>
    <w:rsid w:val="0046581C"/>
    <w:rsid w:val="004664A5"/>
    <w:rsid w:val="00466943"/>
    <w:rsid w:val="00472648"/>
    <w:rsid w:val="00472B94"/>
    <w:rsid w:val="00472DBF"/>
    <w:rsid w:val="00475FCA"/>
    <w:rsid w:val="0047750D"/>
    <w:rsid w:val="00480225"/>
    <w:rsid w:val="00482F26"/>
    <w:rsid w:val="00484689"/>
    <w:rsid w:val="004867F0"/>
    <w:rsid w:val="00486A59"/>
    <w:rsid w:val="00491512"/>
    <w:rsid w:val="00492250"/>
    <w:rsid w:val="004933E6"/>
    <w:rsid w:val="004937F2"/>
    <w:rsid w:val="004947C5"/>
    <w:rsid w:val="00495D9F"/>
    <w:rsid w:val="00496015"/>
    <w:rsid w:val="00496F00"/>
    <w:rsid w:val="0049717D"/>
    <w:rsid w:val="004971E4"/>
    <w:rsid w:val="004A032F"/>
    <w:rsid w:val="004A3179"/>
    <w:rsid w:val="004A4189"/>
    <w:rsid w:val="004A42B5"/>
    <w:rsid w:val="004A4F0F"/>
    <w:rsid w:val="004B4330"/>
    <w:rsid w:val="004B4E49"/>
    <w:rsid w:val="004B543E"/>
    <w:rsid w:val="004B7C76"/>
    <w:rsid w:val="004C115D"/>
    <w:rsid w:val="004C360D"/>
    <w:rsid w:val="004C48A0"/>
    <w:rsid w:val="004D0E94"/>
    <w:rsid w:val="004D2791"/>
    <w:rsid w:val="004D2D3D"/>
    <w:rsid w:val="004D396E"/>
    <w:rsid w:val="004D50E5"/>
    <w:rsid w:val="004E339D"/>
    <w:rsid w:val="004E4BF0"/>
    <w:rsid w:val="004E7100"/>
    <w:rsid w:val="004F0409"/>
    <w:rsid w:val="004F1E17"/>
    <w:rsid w:val="004F2627"/>
    <w:rsid w:val="00500078"/>
    <w:rsid w:val="005014AE"/>
    <w:rsid w:val="00503A49"/>
    <w:rsid w:val="00513171"/>
    <w:rsid w:val="005135FC"/>
    <w:rsid w:val="00513B6F"/>
    <w:rsid w:val="00515991"/>
    <w:rsid w:val="00515A80"/>
    <w:rsid w:val="005170A2"/>
    <w:rsid w:val="00517797"/>
    <w:rsid w:val="00523BBB"/>
    <w:rsid w:val="00526266"/>
    <w:rsid w:val="005269A9"/>
    <w:rsid w:val="00527FA3"/>
    <w:rsid w:val="00532C6C"/>
    <w:rsid w:val="005341DE"/>
    <w:rsid w:val="005360AC"/>
    <w:rsid w:val="00537105"/>
    <w:rsid w:val="00543963"/>
    <w:rsid w:val="0054426D"/>
    <w:rsid w:val="005446FB"/>
    <w:rsid w:val="005455AA"/>
    <w:rsid w:val="00545C70"/>
    <w:rsid w:val="00545F48"/>
    <w:rsid w:val="0054736C"/>
    <w:rsid w:val="00547CDF"/>
    <w:rsid w:val="00550D4D"/>
    <w:rsid w:val="00554613"/>
    <w:rsid w:val="005602F9"/>
    <w:rsid w:val="00560C62"/>
    <w:rsid w:val="00563EFD"/>
    <w:rsid w:val="00565602"/>
    <w:rsid w:val="00565BC6"/>
    <w:rsid w:val="005678E9"/>
    <w:rsid w:val="00570E78"/>
    <w:rsid w:val="00572F3D"/>
    <w:rsid w:val="0057411A"/>
    <w:rsid w:val="0058156A"/>
    <w:rsid w:val="00582BF8"/>
    <w:rsid w:val="00582C30"/>
    <w:rsid w:val="00584EB2"/>
    <w:rsid w:val="00592A4D"/>
    <w:rsid w:val="00593DF1"/>
    <w:rsid w:val="00597BAC"/>
    <w:rsid w:val="005A1529"/>
    <w:rsid w:val="005A18BE"/>
    <w:rsid w:val="005A33CE"/>
    <w:rsid w:val="005A4656"/>
    <w:rsid w:val="005B1AA4"/>
    <w:rsid w:val="005B46BC"/>
    <w:rsid w:val="005C00E6"/>
    <w:rsid w:val="005C08F0"/>
    <w:rsid w:val="005C603D"/>
    <w:rsid w:val="005C753A"/>
    <w:rsid w:val="005D1C7A"/>
    <w:rsid w:val="005D1D68"/>
    <w:rsid w:val="005D28A4"/>
    <w:rsid w:val="005D2CA8"/>
    <w:rsid w:val="005D2ED3"/>
    <w:rsid w:val="005D3A3A"/>
    <w:rsid w:val="005D3B31"/>
    <w:rsid w:val="005D3FDF"/>
    <w:rsid w:val="005D6995"/>
    <w:rsid w:val="005F142F"/>
    <w:rsid w:val="005F5685"/>
    <w:rsid w:val="005F6134"/>
    <w:rsid w:val="0060052A"/>
    <w:rsid w:val="00603A6A"/>
    <w:rsid w:val="006107B1"/>
    <w:rsid w:val="006208B8"/>
    <w:rsid w:val="00625BF2"/>
    <w:rsid w:val="0062780D"/>
    <w:rsid w:val="0063033D"/>
    <w:rsid w:val="00633725"/>
    <w:rsid w:val="00635259"/>
    <w:rsid w:val="00635E5C"/>
    <w:rsid w:val="00636CE5"/>
    <w:rsid w:val="0063767E"/>
    <w:rsid w:val="00640D12"/>
    <w:rsid w:val="0064153B"/>
    <w:rsid w:val="00641907"/>
    <w:rsid w:val="00641E2F"/>
    <w:rsid w:val="00643357"/>
    <w:rsid w:val="0065163F"/>
    <w:rsid w:val="00652504"/>
    <w:rsid w:val="00654ACB"/>
    <w:rsid w:val="00655E8E"/>
    <w:rsid w:val="006566C5"/>
    <w:rsid w:val="00657EA0"/>
    <w:rsid w:val="00666F3B"/>
    <w:rsid w:val="00675778"/>
    <w:rsid w:val="00675C83"/>
    <w:rsid w:val="00682532"/>
    <w:rsid w:val="00683668"/>
    <w:rsid w:val="00686A1C"/>
    <w:rsid w:val="00690ECD"/>
    <w:rsid w:val="006A1429"/>
    <w:rsid w:val="006A1EBB"/>
    <w:rsid w:val="006A523F"/>
    <w:rsid w:val="006A5F36"/>
    <w:rsid w:val="006A6677"/>
    <w:rsid w:val="006A723E"/>
    <w:rsid w:val="006B462E"/>
    <w:rsid w:val="006B486B"/>
    <w:rsid w:val="006B4981"/>
    <w:rsid w:val="006B58A1"/>
    <w:rsid w:val="006B7C9A"/>
    <w:rsid w:val="006C10E6"/>
    <w:rsid w:val="006C1DC5"/>
    <w:rsid w:val="006C26AD"/>
    <w:rsid w:val="006C2AB6"/>
    <w:rsid w:val="006C5F7C"/>
    <w:rsid w:val="006C7F6A"/>
    <w:rsid w:val="006D2BDE"/>
    <w:rsid w:val="006D7E93"/>
    <w:rsid w:val="006E4383"/>
    <w:rsid w:val="006F31C5"/>
    <w:rsid w:val="006F57D5"/>
    <w:rsid w:val="006F5CD7"/>
    <w:rsid w:val="0070119D"/>
    <w:rsid w:val="007064C0"/>
    <w:rsid w:val="00710851"/>
    <w:rsid w:val="00711281"/>
    <w:rsid w:val="00712D96"/>
    <w:rsid w:val="00714061"/>
    <w:rsid w:val="007160AC"/>
    <w:rsid w:val="00720446"/>
    <w:rsid w:val="0072056A"/>
    <w:rsid w:val="00720F36"/>
    <w:rsid w:val="00722449"/>
    <w:rsid w:val="00723277"/>
    <w:rsid w:val="007273F4"/>
    <w:rsid w:val="00732663"/>
    <w:rsid w:val="00733CC1"/>
    <w:rsid w:val="00735425"/>
    <w:rsid w:val="00740384"/>
    <w:rsid w:val="007449BF"/>
    <w:rsid w:val="007464EE"/>
    <w:rsid w:val="00753898"/>
    <w:rsid w:val="007550BD"/>
    <w:rsid w:val="00755617"/>
    <w:rsid w:val="00755E74"/>
    <w:rsid w:val="007560E3"/>
    <w:rsid w:val="00756AC9"/>
    <w:rsid w:val="0075774B"/>
    <w:rsid w:val="00761A80"/>
    <w:rsid w:val="00762B0E"/>
    <w:rsid w:val="00763DB1"/>
    <w:rsid w:val="00767220"/>
    <w:rsid w:val="0077184C"/>
    <w:rsid w:val="00771D52"/>
    <w:rsid w:val="00772F58"/>
    <w:rsid w:val="00776A3E"/>
    <w:rsid w:val="00777163"/>
    <w:rsid w:val="0078164B"/>
    <w:rsid w:val="00782097"/>
    <w:rsid w:val="0078222E"/>
    <w:rsid w:val="00782E0A"/>
    <w:rsid w:val="0079038A"/>
    <w:rsid w:val="0079250F"/>
    <w:rsid w:val="00794357"/>
    <w:rsid w:val="00794AEC"/>
    <w:rsid w:val="00794B65"/>
    <w:rsid w:val="007A1C5D"/>
    <w:rsid w:val="007A31BE"/>
    <w:rsid w:val="007A6224"/>
    <w:rsid w:val="007A7824"/>
    <w:rsid w:val="007B1126"/>
    <w:rsid w:val="007B2356"/>
    <w:rsid w:val="007B2C8E"/>
    <w:rsid w:val="007B5FEE"/>
    <w:rsid w:val="007B6EC1"/>
    <w:rsid w:val="007B7FE2"/>
    <w:rsid w:val="007C1443"/>
    <w:rsid w:val="007C1857"/>
    <w:rsid w:val="007C2591"/>
    <w:rsid w:val="007C3A84"/>
    <w:rsid w:val="007D13FB"/>
    <w:rsid w:val="007D3C82"/>
    <w:rsid w:val="007D3F43"/>
    <w:rsid w:val="007E1B03"/>
    <w:rsid w:val="007E3DF2"/>
    <w:rsid w:val="007E4BD2"/>
    <w:rsid w:val="007E5874"/>
    <w:rsid w:val="007E6E09"/>
    <w:rsid w:val="007E7A0D"/>
    <w:rsid w:val="007F0045"/>
    <w:rsid w:val="007F0306"/>
    <w:rsid w:val="007F5E00"/>
    <w:rsid w:val="007F6ACC"/>
    <w:rsid w:val="00801526"/>
    <w:rsid w:val="00801776"/>
    <w:rsid w:val="0080291D"/>
    <w:rsid w:val="00804610"/>
    <w:rsid w:val="00804C4E"/>
    <w:rsid w:val="00807077"/>
    <w:rsid w:val="00811F1D"/>
    <w:rsid w:val="0081274A"/>
    <w:rsid w:val="00813B6F"/>
    <w:rsid w:val="00815710"/>
    <w:rsid w:val="0081702D"/>
    <w:rsid w:val="00820E6A"/>
    <w:rsid w:val="008217FC"/>
    <w:rsid w:val="0082744C"/>
    <w:rsid w:val="0082789A"/>
    <w:rsid w:val="00827AFE"/>
    <w:rsid w:val="008341D8"/>
    <w:rsid w:val="00840F7C"/>
    <w:rsid w:val="00841842"/>
    <w:rsid w:val="00847B4E"/>
    <w:rsid w:val="008549B5"/>
    <w:rsid w:val="00863CF8"/>
    <w:rsid w:val="00865A74"/>
    <w:rsid w:val="00870021"/>
    <w:rsid w:val="00870E77"/>
    <w:rsid w:val="00871737"/>
    <w:rsid w:val="008717BB"/>
    <w:rsid w:val="00872C9C"/>
    <w:rsid w:val="00872D61"/>
    <w:rsid w:val="00873845"/>
    <w:rsid w:val="00876E7C"/>
    <w:rsid w:val="008809CF"/>
    <w:rsid w:val="0088286D"/>
    <w:rsid w:val="008849D0"/>
    <w:rsid w:val="0089271F"/>
    <w:rsid w:val="008972AE"/>
    <w:rsid w:val="008A29AF"/>
    <w:rsid w:val="008A40A2"/>
    <w:rsid w:val="008A4E59"/>
    <w:rsid w:val="008A6E61"/>
    <w:rsid w:val="008B11FD"/>
    <w:rsid w:val="008B13EE"/>
    <w:rsid w:val="008B1A1C"/>
    <w:rsid w:val="008B2F34"/>
    <w:rsid w:val="008B3241"/>
    <w:rsid w:val="008B3805"/>
    <w:rsid w:val="008B3C24"/>
    <w:rsid w:val="008B6606"/>
    <w:rsid w:val="008B6CB8"/>
    <w:rsid w:val="008B7FCA"/>
    <w:rsid w:val="008C017B"/>
    <w:rsid w:val="008C06E1"/>
    <w:rsid w:val="008C447B"/>
    <w:rsid w:val="008C4B63"/>
    <w:rsid w:val="008C6F47"/>
    <w:rsid w:val="008C7B1C"/>
    <w:rsid w:val="008C7F28"/>
    <w:rsid w:val="008D263F"/>
    <w:rsid w:val="008D5FC9"/>
    <w:rsid w:val="008E784B"/>
    <w:rsid w:val="008F234C"/>
    <w:rsid w:val="008F2A04"/>
    <w:rsid w:val="008F7A06"/>
    <w:rsid w:val="008F7E97"/>
    <w:rsid w:val="00900712"/>
    <w:rsid w:val="00900871"/>
    <w:rsid w:val="00901505"/>
    <w:rsid w:val="00905844"/>
    <w:rsid w:val="00910E60"/>
    <w:rsid w:val="0091265C"/>
    <w:rsid w:val="0091590D"/>
    <w:rsid w:val="0092028D"/>
    <w:rsid w:val="00924801"/>
    <w:rsid w:val="009319A7"/>
    <w:rsid w:val="0093582D"/>
    <w:rsid w:val="00935B1E"/>
    <w:rsid w:val="00937058"/>
    <w:rsid w:val="00937082"/>
    <w:rsid w:val="00937ABF"/>
    <w:rsid w:val="009434C6"/>
    <w:rsid w:val="00944935"/>
    <w:rsid w:val="00947C7D"/>
    <w:rsid w:val="00955BC5"/>
    <w:rsid w:val="00956410"/>
    <w:rsid w:val="00963EBE"/>
    <w:rsid w:val="00965A0C"/>
    <w:rsid w:val="009668AD"/>
    <w:rsid w:val="009668E6"/>
    <w:rsid w:val="009750D9"/>
    <w:rsid w:val="009763CC"/>
    <w:rsid w:val="00980F26"/>
    <w:rsid w:val="0098602D"/>
    <w:rsid w:val="00986252"/>
    <w:rsid w:val="009901A0"/>
    <w:rsid w:val="0099028E"/>
    <w:rsid w:val="0099068D"/>
    <w:rsid w:val="00991DAD"/>
    <w:rsid w:val="009925A8"/>
    <w:rsid w:val="00993021"/>
    <w:rsid w:val="0099384F"/>
    <w:rsid w:val="00997762"/>
    <w:rsid w:val="0099795D"/>
    <w:rsid w:val="009A0AB3"/>
    <w:rsid w:val="009A1103"/>
    <w:rsid w:val="009A27F5"/>
    <w:rsid w:val="009A4026"/>
    <w:rsid w:val="009A57D2"/>
    <w:rsid w:val="009A7AB8"/>
    <w:rsid w:val="009B1A51"/>
    <w:rsid w:val="009B2B47"/>
    <w:rsid w:val="009C1ACC"/>
    <w:rsid w:val="009C2585"/>
    <w:rsid w:val="009C2C75"/>
    <w:rsid w:val="009C3750"/>
    <w:rsid w:val="009C5199"/>
    <w:rsid w:val="009C583A"/>
    <w:rsid w:val="009C5C8F"/>
    <w:rsid w:val="009C74EA"/>
    <w:rsid w:val="009C7B11"/>
    <w:rsid w:val="009D3FD1"/>
    <w:rsid w:val="009D4C23"/>
    <w:rsid w:val="009D7E1D"/>
    <w:rsid w:val="009E0774"/>
    <w:rsid w:val="009E19E4"/>
    <w:rsid w:val="009E2E6C"/>
    <w:rsid w:val="009E5E0B"/>
    <w:rsid w:val="009E6C2F"/>
    <w:rsid w:val="009F39FC"/>
    <w:rsid w:val="009F4576"/>
    <w:rsid w:val="009F54B4"/>
    <w:rsid w:val="009F7501"/>
    <w:rsid w:val="00A00C23"/>
    <w:rsid w:val="00A02779"/>
    <w:rsid w:val="00A056E5"/>
    <w:rsid w:val="00A102B2"/>
    <w:rsid w:val="00A16D8F"/>
    <w:rsid w:val="00A17B68"/>
    <w:rsid w:val="00A2314C"/>
    <w:rsid w:val="00A2552B"/>
    <w:rsid w:val="00A27296"/>
    <w:rsid w:val="00A33021"/>
    <w:rsid w:val="00A3389C"/>
    <w:rsid w:val="00A34093"/>
    <w:rsid w:val="00A3473C"/>
    <w:rsid w:val="00A34CB0"/>
    <w:rsid w:val="00A37E16"/>
    <w:rsid w:val="00A37FA5"/>
    <w:rsid w:val="00A406DD"/>
    <w:rsid w:val="00A40E66"/>
    <w:rsid w:val="00A41338"/>
    <w:rsid w:val="00A44AED"/>
    <w:rsid w:val="00A45697"/>
    <w:rsid w:val="00A463C3"/>
    <w:rsid w:val="00A46436"/>
    <w:rsid w:val="00A47F0F"/>
    <w:rsid w:val="00A50285"/>
    <w:rsid w:val="00A56845"/>
    <w:rsid w:val="00A61C6D"/>
    <w:rsid w:val="00A6374A"/>
    <w:rsid w:val="00A64842"/>
    <w:rsid w:val="00A652F9"/>
    <w:rsid w:val="00A65A21"/>
    <w:rsid w:val="00A65F1B"/>
    <w:rsid w:val="00A673E5"/>
    <w:rsid w:val="00A71A07"/>
    <w:rsid w:val="00A729C8"/>
    <w:rsid w:val="00A77C05"/>
    <w:rsid w:val="00A828CE"/>
    <w:rsid w:val="00A83B2B"/>
    <w:rsid w:val="00A91229"/>
    <w:rsid w:val="00A916AF"/>
    <w:rsid w:val="00A9315D"/>
    <w:rsid w:val="00A938B7"/>
    <w:rsid w:val="00A93BE2"/>
    <w:rsid w:val="00A9479A"/>
    <w:rsid w:val="00A94C1D"/>
    <w:rsid w:val="00A95A56"/>
    <w:rsid w:val="00AA1D04"/>
    <w:rsid w:val="00AA2647"/>
    <w:rsid w:val="00AA35F6"/>
    <w:rsid w:val="00AA392C"/>
    <w:rsid w:val="00AA78F4"/>
    <w:rsid w:val="00AA7CD0"/>
    <w:rsid w:val="00AA7D37"/>
    <w:rsid w:val="00AB0803"/>
    <w:rsid w:val="00AB12F3"/>
    <w:rsid w:val="00AB2014"/>
    <w:rsid w:val="00AB4C1D"/>
    <w:rsid w:val="00AB5377"/>
    <w:rsid w:val="00AB5CFD"/>
    <w:rsid w:val="00AB7FD2"/>
    <w:rsid w:val="00AC0AF9"/>
    <w:rsid w:val="00AC530B"/>
    <w:rsid w:val="00AC66EE"/>
    <w:rsid w:val="00AC7222"/>
    <w:rsid w:val="00AD1508"/>
    <w:rsid w:val="00AD27C6"/>
    <w:rsid w:val="00AD46CA"/>
    <w:rsid w:val="00AD7AB4"/>
    <w:rsid w:val="00AE01D6"/>
    <w:rsid w:val="00AE04CA"/>
    <w:rsid w:val="00AE1027"/>
    <w:rsid w:val="00AE18E2"/>
    <w:rsid w:val="00AE4CC6"/>
    <w:rsid w:val="00AE6305"/>
    <w:rsid w:val="00AE6C29"/>
    <w:rsid w:val="00AE7804"/>
    <w:rsid w:val="00AE7818"/>
    <w:rsid w:val="00AE7EA4"/>
    <w:rsid w:val="00AF2001"/>
    <w:rsid w:val="00AF376A"/>
    <w:rsid w:val="00AF40B2"/>
    <w:rsid w:val="00AF58AF"/>
    <w:rsid w:val="00AF6226"/>
    <w:rsid w:val="00AF7EA6"/>
    <w:rsid w:val="00B00037"/>
    <w:rsid w:val="00B01EEA"/>
    <w:rsid w:val="00B04DD3"/>
    <w:rsid w:val="00B06C94"/>
    <w:rsid w:val="00B10B2A"/>
    <w:rsid w:val="00B10EF1"/>
    <w:rsid w:val="00B11465"/>
    <w:rsid w:val="00B13361"/>
    <w:rsid w:val="00B13ABB"/>
    <w:rsid w:val="00B16630"/>
    <w:rsid w:val="00B16CA2"/>
    <w:rsid w:val="00B17FA3"/>
    <w:rsid w:val="00B24DBB"/>
    <w:rsid w:val="00B2677B"/>
    <w:rsid w:val="00B304C8"/>
    <w:rsid w:val="00B30A90"/>
    <w:rsid w:val="00B31279"/>
    <w:rsid w:val="00B32713"/>
    <w:rsid w:val="00B3581F"/>
    <w:rsid w:val="00B40B77"/>
    <w:rsid w:val="00B44641"/>
    <w:rsid w:val="00B45A3B"/>
    <w:rsid w:val="00B45DE3"/>
    <w:rsid w:val="00B46062"/>
    <w:rsid w:val="00B46DA8"/>
    <w:rsid w:val="00B4719A"/>
    <w:rsid w:val="00B57EE3"/>
    <w:rsid w:val="00B636AE"/>
    <w:rsid w:val="00B636C4"/>
    <w:rsid w:val="00B656EB"/>
    <w:rsid w:val="00B67E57"/>
    <w:rsid w:val="00B7194B"/>
    <w:rsid w:val="00B71DAD"/>
    <w:rsid w:val="00B71FE8"/>
    <w:rsid w:val="00B761C1"/>
    <w:rsid w:val="00B80FB8"/>
    <w:rsid w:val="00B83FE4"/>
    <w:rsid w:val="00B8435E"/>
    <w:rsid w:val="00B86F0F"/>
    <w:rsid w:val="00B87FA1"/>
    <w:rsid w:val="00B954CE"/>
    <w:rsid w:val="00BA2E1F"/>
    <w:rsid w:val="00BA622B"/>
    <w:rsid w:val="00BB084C"/>
    <w:rsid w:val="00BB50A5"/>
    <w:rsid w:val="00BB795E"/>
    <w:rsid w:val="00BB7D5C"/>
    <w:rsid w:val="00BC11A6"/>
    <w:rsid w:val="00BC6C79"/>
    <w:rsid w:val="00BD160B"/>
    <w:rsid w:val="00BD346C"/>
    <w:rsid w:val="00BD40EF"/>
    <w:rsid w:val="00BD4869"/>
    <w:rsid w:val="00BD7FD8"/>
    <w:rsid w:val="00BE0722"/>
    <w:rsid w:val="00BE1B9B"/>
    <w:rsid w:val="00BE206E"/>
    <w:rsid w:val="00BE5971"/>
    <w:rsid w:val="00BF5C02"/>
    <w:rsid w:val="00C01588"/>
    <w:rsid w:val="00C051DC"/>
    <w:rsid w:val="00C057B5"/>
    <w:rsid w:val="00C134BE"/>
    <w:rsid w:val="00C13FF6"/>
    <w:rsid w:val="00C164F4"/>
    <w:rsid w:val="00C16B8B"/>
    <w:rsid w:val="00C1740B"/>
    <w:rsid w:val="00C24AFF"/>
    <w:rsid w:val="00C24E7E"/>
    <w:rsid w:val="00C2560F"/>
    <w:rsid w:val="00C313DF"/>
    <w:rsid w:val="00C313EB"/>
    <w:rsid w:val="00C3209C"/>
    <w:rsid w:val="00C33E06"/>
    <w:rsid w:val="00C34C97"/>
    <w:rsid w:val="00C34F16"/>
    <w:rsid w:val="00C40A12"/>
    <w:rsid w:val="00C40DB1"/>
    <w:rsid w:val="00C40E8C"/>
    <w:rsid w:val="00C41839"/>
    <w:rsid w:val="00C43906"/>
    <w:rsid w:val="00C44FCF"/>
    <w:rsid w:val="00C533D1"/>
    <w:rsid w:val="00C573FC"/>
    <w:rsid w:val="00C623A1"/>
    <w:rsid w:val="00C71A54"/>
    <w:rsid w:val="00C77AB4"/>
    <w:rsid w:val="00C825C6"/>
    <w:rsid w:val="00C852DB"/>
    <w:rsid w:val="00C85B42"/>
    <w:rsid w:val="00C87A04"/>
    <w:rsid w:val="00C91E1D"/>
    <w:rsid w:val="00C9744F"/>
    <w:rsid w:val="00CA0E7A"/>
    <w:rsid w:val="00CA4EDB"/>
    <w:rsid w:val="00CB00BC"/>
    <w:rsid w:val="00CB4228"/>
    <w:rsid w:val="00CB74BF"/>
    <w:rsid w:val="00CB7A36"/>
    <w:rsid w:val="00CC0D16"/>
    <w:rsid w:val="00CC24C9"/>
    <w:rsid w:val="00CC389F"/>
    <w:rsid w:val="00CC4F9C"/>
    <w:rsid w:val="00CD1404"/>
    <w:rsid w:val="00CD27A9"/>
    <w:rsid w:val="00CD5413"/>
    <w:rsid w:val="00CD5640"/>
    <w:rsid w:val="00CD7DE6"/>
    <w:rsid w:val="00CE171D"/>
    <w:rsid w:val="00CE4043"/>
    <w:rsid w:val="00CF08E7"/>
    <w:rsid w:val="00CF0AA7"/>
    <w:rsid w:val="00CF1705"/>
    <w:rsid w:val="00CF331E"/>
    <w:rsid w:val="00CF47BC"/>
    <w:rsid w:val="00CF5E20"/>
    <w:rsid w:val="00D00028"/>
    <w:rsid w:val="00D00EBF"/>
    <w:rsid w:val="00D038A7"/>
    <w:rsid w:val="00D04EF5"/>
    <w:rsid w:val="00D101B9"/>
    <w:rsid w:val="00D11004"/>
    <w:rsid w:val="00D113BC"/>
    <w:rsid w:val="00D11CCE"/>
    <w:rsid w:val="00D13762"/>
    <w:rsid w:val="00D14327"/>
    <w:rsid w:val="00D16911"/>
    <w:rsid w:val="00D16B72"/>
    <w:rsid w:val="00D171F7"/>
    <w:rsid w:val="00D174EE"/>
    <w:rsid w:val="00D20632"/>
    <w:rsid w:val="00D21BB9"/>
    <w:rsid w:val="00D21DB9"/>
    <w:rsid w:val="00D24242"/>
    <w:rsid w:val="00D2491A"/>
    <w:rsid w:val="00D256EF"/>
    <w:rsid w:val="00D26261"/>
    <w:rsid w:val="00D3263F"/>
    <w:rsid w:val="00D411CB"/>
    <w:rsid w:val="00D41363"/>
    <w:rsid w:val="00D43942"/>
    <w:rsid w:val="00D46DC5"/>
    <w:rsid w:val="00D50086"/>
    <w:rsid w:val="00D50B2A"/>
    <w:rsid w:val="00D51B05"/>
    <w:rsid w:val="00D5645E"/>
    <w:rsid w:val="00D61E15"/>
    <w:rsid w:val="00D64E70"/>
    <w:rsid w:val="00D64FE3"/>
    <w:rsid w:val="00D65554"/>
    <w:rsid w:val="00D70325"/>
    <w:rsid w:val="00D72D90"/>
    <w:rsid w:val="00D74BCB"/>
    <w:rsid w:val="00D7620A"/>
    <w:rsid w:val="00D76413"/>
    <w:rsid w:val="00D81057"/>
    <w:rsid w:val="00D82F8B"/>
    <w:rsid w:val="00D858FB"/>
    <w:rsid w:val="00D8742C"/>
    <w:rsid w:val="00D92137"/>
    <w:rsid w:val="00D92D02"/>
    <w:rsid w:val="00D954A6"/>
    <w:rsid w:val="00D95974"/>
    <w:rsid w:val="00DA000D"/>
    <w:rsid w:val="00DA2C33"/>
    <w:rsid w:val="00DA4095"/>
    <w:rsid w:val="00DA4FA3"/>
    <w:rsid w:val="00DA6741"/>
    <w:rsid w:val="00DB3516"/>
    <w:rsid w:val="00DB3CB3"/>
    <w:rsid w:val="00DC0253"/>
    <w:rsid w:val="00DC3D19"/>
    <w:rsid w:val="00DD5BE3"/>
    <w:rsid w:val="00DE2708"/>
    <w:rsid w:val="00DE4761"/>
    <w:rsid w:val="00DF434E"/>
    <w:rsid w:val="00DF4DBB"/>
    <w:rsid w:val="00DF6D59"/>
    <w:rsid w:val="00DF7AF6"/>
    <w:rsid w:val="00E01790"/>
    <w:rsid w:val="00E0251A"/>
    <w:rsid w:val="00E07656"/>
    <w:rsid w:val="00E15247"/>
    <w:rsid w:val="00E1602B"/>
    <w:rsid w:val="00E2104C"/>
    <w:rsid w:val="00E279AD"/>
    <w:rsid w:val="00E32EEC"/>
    <w:rsid w:val="00E33C9B"/>
    <w:rsid w:val="00E354D9"/>
    <w:rsid w:val="00E36539"/>
    <w:rsid w:val="00E36A74"/>
    <w:rsid w:val="00E412B7"/>
    <w:rsid w:val="00E419BA"/>
    <w:rsid w:val="00E42302"/>
    <w:rsid w:val="00E424E2"/>
    <w:rsid w:val="00E4285A"/>
    <w:rsid w:val="00E436AF"/>
    <w:rsid w:val="00E44CE2"/>
    <w:rsid w:val="00E4611B"/>
    <w:rsid w:val="00E50728"/>
    <w:rsid w:val="00E50F51"/>
    <w:rsid w:val="00E55DC2"/>
    <w:rsid w:val="00E56C24"/>
    <w:rsid w:val="00E60B13"/>
    <w:rsid w:val="00E62F3D"/>
    <w:rsid w:val="00E649AE"/>
    <w:rsid w:val="00E64E3F"/>
    <w:rsid w:val="00E656A2"/>
    <w:rsid w:val="00E70B71"/>
    <w:rsid w:val="00E71899"/>
    <w:rsid w:val="00E73207"/>
    <w:rsid w:val="00E75163"/>
    <w:rsid w:val="00E754CA"/>
    <w:rsid w:val="00E75D23"/>
    <w:rsid w:val="00E77B30"/>
    <w:rsid w:val="00E8099C"/>
    <w:rsid w:val="00E851BD"/>
    <w:rsid w:val="00E8717B"/>
    <w:rsid w:val="00E876B7"/>
    <w:rsid w:val="00E87F84"/>
    <w:rsid w:val="00E920FC"/>
    <w:rsid w:val="00E9381F"/>
    <w:rsid w:val="00E97E78"/>
    <w:rsid w:val="00EA2FC6"/>
    <w:rsid w:val="00EA336B"/>
    <w:rsid w:val="00EA3630"/>
    <w:rsid w:val="00EA4B15"/>
    <w:rsid w:val="00EA53FD"/>
    <w:rsid w:val="00EA738E"/>
    <w:rsid w:val="00EB0A08"/>
    <w:rsid w:val="00EB2EB3"/>
    <w:rsid w:val="00EC2887"/>
    <w:rsid w:val="00EC3B14"/>
    <w:rsid w:val="00EC6858"/>
    <w:rsid w:val="00EC7F90"/>
    <w:rsid w:val="00ED1009"/>
    <w:rsid w:val="00ED35BE"/>
    <w:rsid w:val="00ED3610"/>
    <w:rsid w:val="00ED4026"/>
    <w:rsid w:val="00ED496F"/>
    <w:rsid w:val="00EE079A"/>
    <w:rsid w:val="00EE0F3F"/>
    <w:rsid w:val="00EE217C"/>
    <w:rsid w:val="00EE2668"/>
    <w:rsid w:val="00EE5EEF"/>
    <w:rsid w:val="00EF15E4"/>
    <w:rsid w:val="00EF5896"/>
    <w:rsid w:val="00EF5EEC"/>
    <w:rsid w:val="00EF6664"/>
    <w:rsid w:val="00EF67C5"/>
    <w:rsid w:val="00EF7E2D"/>
    <w:rsid w:val="00F000B9"/>
    <w:rsid w:val="00F00792"/>
    <w:rsid w:val="00F0144F"/>
    <w:rsid w:val="00F10147"/>
    <w:rsid w:val="00F105F0"/>
    <w:rsid w:val="00F145A5"/>
    <w:rsid w:val="00F14A32"/>
    <w:rsid w:val="00F22707"/>
    <w:rsid w:val="00F22A80"/>
    <w:rsid w:val="00F22C96"/>
    <w:rsid w:val="00F27F57"/>
    <w:rsid w:val="00F33062"/>
    <w:rsid w:val="00F34A3E"/>
    <w:rsid w:val="00F3633B"/>
    <w:rsid w:val="00F3675E"/>
    <w:rsid w:val="00F42F5B"/>
    <w:rsid w:val="00F43932"/>
    <w:rsid w:val="00F44159"/>
    <w:rsid w:val="00F446EB"/>
    <w:rsid w:val="00F453C3"/>
    <w:rsid w:val="00F46EA5"/>
    <w:rsid w:val="00F53AD0"/>
    <w:rsid w:val="00F609C8"/>
    <w:rsid w:val="00F61651"/>
    <w:rsid w:val="00F61750"/>
    <w:rsid w:val="00F6412D"/>
    <w:rsid w:val="00F65686"/>
    <w:rsid w:val="00F673E6"/>
    <w:rsid w:val="00F71682"/>
    <w:rsid w:val="00F71873"/>
    <w:rsid w:val="00F719D8"/>
    <w:rsid w:val="00F72003"/>
    <w:rsid w:val="00F77A93"/>
    <w:rsid w:val="00F77FE8"/>
    <w:rsid w:val="00F807F8"/>
    <w:rsid w:val="00F82CFB"/>
    <w:rsid w:val="00F835D6"/>
    <w:rsid w:val="00F86435"/>
    <w:rsid w:val="00F86C3E"/>
    <w:rsid w:val="00F90759"/>
    <w:rsid w:val="00F9128C"/>
    <w:rsid w:val="00F91663"/>
    <w:rsid w:val="00F92CAF"/>
    <w:rsid w:val="00F9341D"/>
    <w:rsid w:val="00FA6B7A"/>
    <w:rsid w:val="00FB16F3"/>
    <w:rsid w:val="00FB246E"/>
    <w:rsid w:val="00FB5126"/>
    <w:rsid w:val="00FB69D9"/>
    <w:rsid w:val="00FB797F"/>
    <w:rsid w:val="00FC1475"/>
    <w:rsid w:val="00FC18B0"/>
    <w:rsid w:val="00FC32FE"/>
    <w:rsid w:val="00FC3E3B"/>
    <w:rsid w:val="00FC5406"/>
    <w:rsid w:val="00FC792C"/>
    <w:rsid w:val="00FD2D4D"/>
    <w:rsid w:val="00FE5937"/>
    <w:rsid w:val="00FF1EA3"/>
    <w:rsid w:val="00FF31B6"/>
    <w:rsid w:val="00FF67B2"/>
    <w:rsid w:val="00FF7F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07479"/>
  <w15:docId w15:val="{B7864B5A-517E-4D7F-B12B-8AE56F31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D0E94"/>
    <w:pPr>
      <w:spacing w:after="200" w:line="276" w:lineRule="auto"/>
    </w:pPr>
    <w:rPr>
      <w:rFonts w:eastAsia="Times New Roman"/>
      <w:sz w:val="22"/>
      <w:szCs w:val="22"/>
      <w:lang w:eastAsia="en-US"/>
    </w:rPr>
  </w:style>
  <w:style w:type="paragraph" w:styleId="Titolo1">
    <w:name w:val="heading 1"/>
    <w:basedOn w:val="Normale"/>
    <w:next w:val="Normale"/>
    <w:link w:val="Titolo1Carattere"/>
    <w:qFormat/>
    <w:rsid w:val="00B10EF1"/>
    <w:pPr>
      <w:keepNext/>
      <w:keepLines/>
      <w:spacing w:before="480" w:after="0"/>
      <w:outlineLvl w:val="0"/>
    </w:pPr>
    <w:rPr>
      <w:rFonts w:ascii="Cambria" w:eastAsia="Calibri" w:hAnsi="Cambria"/>
      <w:b/>
      <w:bCs/>
      <w:color w:val="365F91"/>
      <w:sz w:val="28"/>
      <w:szCs w:val="28"/>
    </w:rPr>
  </w:style>
  <w:style w:type="paragraph" w:styleId="Titolo2">
    <w:name w:val="heading 2"/>
    <w:basedOn w:val="Normale"/>
    <w:next w:val="Normale"/>
    <w:link w:val="Titolo2Carattere"/>
    <w:qFormat/>
    <w:rsid w:val="00B761C1"/>
    <w:pPr>
      <w:keepNext/>
      <w:spacing w:before="240" w:after="60"/>
      <w:outlineLvl w:val="1"/>
    </w:pPr>
    <w:rPr>
      <w:rFonts w:ascii="Cambria" w:eastAsia="Calibri" w:hAnsi="Cambria"/>
      <w:b/>
      <w:bCs/>
      <w:i/>
      <w:iCs/>
      <w:sz w:val="28"/>
      <w:szCs w:val="28"/>
    </w:rPr>
  </w:style>
  <w:style w:type="paragraph" w:styleId="Titolo3">
    <w:name w:val="heading 3"/>
    <w:basedOn w:val="Normale"/>
    <w:next w:val="Normale"/>
    <w:link w:val="Titolo3Carattere"/>
    <w:qFormat/>
    <w:rsid w:val="004F2627"/>
    <w:pPr>
      <w:keepNext/>
      <w:keepLines/>
      <w:spacing w:before="40" w:after="0"/>
      <w:outlineLvl w:val="2"/>
    </w:pPr>
    <w:rPr>
      <w:rFonts w:ascii="Cambria" w:eastAsia="Calibri" w:hAnsi="Cambria"/>
      <w:color w:val="243F6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B10EF1"/>
    <w:rPr>
      <w:rFonts w:ascii="Cambria" w:hAnsi="Cambria" w:cs="Times New Roman"/>
      <w:b/>
      <w:bCs/>
      <w:color w:val="365F91"/>
      <w:sz w:val="28"/>
      <w:szCs w:val="28"/>
    </w:rPr>
  </w:style>
  <w:style w:type="paragraph" w:styleId="Intestazione">
    <w:name w:val="header"/>
    <w:basedOn w:val="Normale"/>
    <w:link w:val="IntestazioneCarattere"/>
    <w:rsid w:val="0046581C"/>
    <w:pPr>
      <w:tabs>
        <w:tab w:val="center" w:pos="4819"/>
        <w:tab w:val="right" w:pos="9638"/>
      </w:tabs>
      <w:spacing w:after="0" w:line="240" w:lineRule="auto"/>
    </w:pPr>
  </w:style>
  <w:style w:type="character" w:customStyle="1" w:styleId="IntestazioneCarattere">
    <w:name w:val="Intestazione Carattere"/>
    <w:link w:val="Intestazione"/>
    <w:locked/>
    <w:rsid w:val="0046581C"/>
    <w:rPr>
      <w:rFonts w:cs="Times New Roman"/>
    </w:rPr>
  </w:style>
  <w:style w:type="paragraph" w:styleId="Pidipagina">
    <w:name w:val="footer"/>
    <w:basedOn w:val="Normale"/>
    <w:link w:val="PidipaginaCarattere"/>
    <w:rsid w:val="0046581C"/>
    <w:pPr>
      <w:tabs>
        <w:tab w:val="center" w:pos="4819"/>
        <w:tab w:val="right" w:pos="9638"/>
      </w:tabs>
      <w:spacing w:after="0" w:line="240" w:lineRule="auto"/>
    </w:pPr>
  </w:style>
  <w:style w:type="character" w:customStyle="1" w:styleId="PidipaginaCarattere">
    <w:name w:val="Piè di pagina Carattere"/>
    <w:link w:val="Pidipagina"/>
    <w:locked/>
    <w:rsid w:val="0046581C"/>
    <w:rPr>
      <w:rFonts w:cs="Times New Roman"/>
    </w:rPr>
  </w:style>
  <w:style w:type="paragraph" w:styleId="Didascalia">
    <w:name w:val="caption"/>
    <w:basedOn w:val="Normale"/>
    <w:next w:val="Normale"/>
    <w:qFormat/>
    <w:rsid w:val="00841842"/>
    <w:pPr>
      <w:spacing w:line="240" w:lineRule="auto"/>
    </w:pPr>
    <w:rPr>
      <w:b/>
      <w:bCs/>
      <w:color w:val="4F81BD"/>
      <w:sz w:val="18"/>
      <w:szCs w:val="18"/>
    </w:rPr>
  </w:style>
  <w:style w:type="paragraph" w:customStyle="1" w:styleId="Nessunaspaziatura1">
    <w:name w:val="Nessuna spaziatura1"/>
    <w:link w:val="NoSpacingChar"/>
    <w:rsid w:val="00841842"/>
    <w:rPr>
      <w:sz w:val="22"/>
      <w:szCs w:val="22"/>
      <w:lang w:eastAsia="en-US"/>
    </w:rPr>
  </w:style>
  <w:style w:type="character" w:customStyle="1" w:styleId="NoSpacingChar">
    <w:name w:val="No Spacing Char"/>
    <w:link w:val="Nessunaspaziatura1"/>
    <w:locked/>
    <w:rsid w:val="00841842"/>
    <w:rPr>
      <w:rFonts w:eastAsia="Times New Roman" w:cs="Times New Roman"/>
      <w:sz w:val="22"/>
      <w:szCs w:val="22"/>
      <w:lang w:val="it-IT" w:eastAsia="en-US" w:bidi="ar-SA"/>
    </w:rPr>
  </w:style>
  <w:style w:type="paragraph" w:styleId="Testofumetto">
    <w:name w:val="Balloon Text"/>
    <w:basedOn w:val="Normale"/>
    <w:link w:val="TestofumettoCarattere"/>
    <w:semiHidden/>
    <w:rsid w:val="00841842"/>
    <w:pPr>
      <w:spacing w:after="0" w:line="240" w:lineRule="auto"/>
    </w:pPr>
    <w:rPr>
      <w:rFonts w:ascii="Tahoma" w:hAnsi="Tahoma" w:cs="Tahoma"/>
      <w:sz w:val="16"/>
      <w:szCs w:val="16"/>
    </w:rPr>
  </w:style>
  <w:style w:type="character" w:customStyle="1" w:styleId="TestofumettoCarattere">
    <w:name w:val="Testo fumetto Carattere"/>
    <w:link w:val="Testofumetto"/>
    <w:semiHidden/>
    <w:locked/>
    <w:rsid w:val="00841842"/>
    <w:rPr>
      <w:rFonts w:ascii="Tahoma" w:hAnsi="Tahoma" w:cs="Tahoma"/>
      <w:sz w:val="16"/>
      <w:szCs w:val="16"/>
    </w:rPr>
  </w:style>
  <w:style w:type="paragraph" w:styleId="Sommario1">
    <w:name w:val="toc 1"/>
    <w:basedOn w:val="Normale"/>
    <w:next w:val="Normale"/>
    <w:autoRedefine/>
    <w:rsid w:val="00841842"/>
    <w:pPr>
      <w:spacing w:before="360" w:after="0"/>
    </w:pPr>
    <w:rPr>
      <w:rFonts w:ascii="Cambria" w:hAnsi="Cambria"/>
      <w:b/>
      <w:bCs/>
      <w:caps/>
      <w:sz w:val="24"/>
      <w:szCs w:val="24"/>
    </w:rPr>
  </w:style>
  <w:style w:type="paragraph" w:styleId="Sommario2">
    <w:name w:val="toc 2"/>
    <w:basedOn w:val="Normale"/>
    <w:next w:val="Normale"/>
    <w:autoRedefine/>
    <w:rsid w:val="00841842"/>
    <w:pPr>
      <w:spacing w:before="240" w:after="0"/>
    </w:pPr>
    <w:rPr>
      <w:rFonts w:cs="Calibri"/>
      <w:b/>
      <w:bCs/>
      <w:sz w:val="20"/>
      <w:szCs w:val="20"/>
    </w:rPr>
  </w:style>
  <w:style w:type="paragraph" w:styleId="Sommario3">
    <w:name w:val="toc 3"/>
    <w:basedOn w:val="Normale"/>
    <w:next w:val="Normale"/>
    <w:autoRedefine/>
    <w:rsid w:val="00841842"/>
    <w:pPr>
      <w:spacing w:after="0"/>
      <w:ind w:left="220"/>
    </w:pPr>
    <w:rPr>
      <w:rFonts w:cs="Calibri"/>
      <w:sz w:val="20"/>
      <w:szCs w:val="20"/>
    </w:rPr>
  </w:style>
  <w:style w:type="paragraph" w:styleId="Sommario4">
    <w:name w:val="toc 4"/>
    <w:basedOn w:val="Normale"/>
    <w:next w:val="Normale"/>
    <w:autoRedefine/>
    <w:rsid w:val="00841842"/>
    <w:pPr>
      <w:spacing w:after="0"/>
      <w:ind w:left="440"/>
    </w:pPr>
    <w:rPr>
      <w:rFonts w:cs="Calibri"/>
      <w:sz w:val="20"/>
      <w:szCs w:val="20"/>
    </w:rPr>
  </w:style>
  <w:style w:type="paragraph" w:styleId="Sommario5">
    <w:name w:val="toc 5"/>
    <w:basedOn w:val="Normale"/>
    <w:next w:val="Normale"/>
    <w:autoRedefine/>
    <w:rsid w:val="00841842"/>
    <w:pPr>
      <w:spacing w:after="0"/>
      <w:ind w:left="660"/>
    </w:pPr>
    <w:rPr>
      <w:rFonts w:cs="Calibri"/>
      <w:sz w:val="20"/>
      <w:szCs w:val="20"/>
    </w:rPr>
  </w:style>
  <w:style w:type="paragraph" w:styleId="Sommario6">
    <w:name w:val="toc 6"/>
    <w:basedOn w:val="Normale"/>
    <w:next w:val="Normale"/>
    <w:autoRedefine/>
    <w:rsid w:val="00841842"/>
    <w:pPr>
      <w:spacing w:after="0"/>
      <w:ind w:left="880"/>
    </w:pPr>
    <w:rPr>
      <w:rFonts w:cs="Calibri"/>
      <w:sz w:val="20"/>
      <w:szCs w:val="20"/>
    </w:rPr>
  </w:style>
  <w:style w:type="paragraph" w:styleId="Sommario7">
    <w:name w:val="toc 7"/>
    <w:basedOn w:val="Normale"/>
    <w:next w:val="Normale"/>
    <w:autoRedefine/>
    <w:rsid w:val="00841842"/>
    <w:pPr>
      <w:spacing w:after="0"/>
      <w:ind w:left="1100"/>
    </w:pPr>
    <w:rPr>
      <w:rFonts w:cs="Calibri"/>
      <w:sz w:val="20"/>
      <w:szCs w:val="20"/>
    </w:rPr>
  </w:style>
  <w:style w:type="paragraph" w:styleId="Sommario8">
    <w:name w:val="toc 8"/>
    <w:basedOn w:val="Normale"/>
    <w:next w:val="Normale"/>
    <w:autoRedefine/>
    <w:rsid w:val="00841842"/>
    <w:pPr>
      <w:spacing w:after="0"/>
      <w:ind w:left="1320"/>
    </w:pPr>
    <w:rPr>
      <w:rFonts w:cs="Calibri"/>
      <w:sz w:val="20"/>
      <w:szCs w:val="20"/>
    </w:rPr>
  </w:style>
  <w:style w:type="paragraph" w:styleId="Sommario9">
    <w:name w:val="toc 9"/>
    <w:basedOn w:val="Normale"/>
    <w:next w:val="Normale"/>
    <w:autoRedefine/>
    <w:rsid w:val="00841842"/>
    <w:pPr>
      <w:spacing w:after="0"/>
      <w:ind w:left="1540"/>
    </w:pPr>
    <w:rPr>
      <w:rFonts w:cs="Calibri"/>
      <w:sz w:val="20"/>
      <w:szCs w:val="20"/>
    </w:rPr>
  </w:style>
  <w:style w:type="character" w:styleId="Collegamentoipertestuale">
    <w:name w:val="Hyperlink"/>
    <w:uiPriority w:val="99"/>
    <w:rsid w:val="00841842"/>
    <w:rPr>
      <w:rFonts w:cs="Times New Roman"/>
      <w:color w:val="0000FF"/>
      <w:u w:val="single"/>
    </w:rPr>
  </w:style>
  <w:style w:type="character" w:customStyle="1" w:styleId="Titolo2Carattere">
    <w:name w:val="Titolo 2 Carattere"/>
    <w:link w:val="Titolo2"/>
    <w:locked/>
    <w:rsid w:val="00B761C1"/>
    <w:rPr>
      <w:rFonts w:ascii="Cambria" w:hAnsi="Cambria" w:cs="Times New Roman"/>
      <w:b/>
      <w:bCs/>
      <w:i/>
      <w:iCs/>
      <w:sz w:val="28"/>
      <w:szCs w:val="28"/>
      <w:lang w:eastAsia="en-US"/>
    </w:rPr>
  </w:style>
  <w:style w:type="table" w:styleId="Grigliatabella">
    <w:name w:val="Table Grid"/>
    <w:basedOn w:val="Tabellanormale"/>
    <w:rsid w:val="00E754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Colore11">
    <w:name w:val="Sfondo chiaro - Colore 11"/>
    <w:rsid w:val="00E754CA"/>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rsid w:val="00F9128C"/>
    <w:rPr>
      <w:sz w:val="20"/>
      <w:szCs w:val="20"/>
    </w:rPr>
  </w:style>
  <w:style w:type="character" w:customStyle="1" w:styleId="TestonotaapidipaginaCarattere">
    <w:name w:val="Testo nota a piè di pagina Carattere"/>
    <w:link w:val="Testonotaapidipagina"/>
    <w:semiHidden/>
    <w:locked/>
    <w:rsid w:val="00F9128C"/>
    <w:rPr>
      <w:rFonts w:cs="Times New Roman"/>
      <w:lang w:eastAsia="en-US"/>
    </w:rPr>
  </w:style>
  <w:style w:type="character" w:styleId="Rimandonotaapidipagina">
    <w:name w:val="footnote reference"/>
    <w:semiHidden/>
    <w:rsid w:val="00F9128C"/>
    <w:rPr>
      <w:rFonts w:cs="Times New Roman"/>
      <w:vertAlign w:val="superscript"/>
    </w:rPr>
  </w:style>
  <w:style w:type="paragraph" w:customStyle="1" w:styleId="Default">
    <w:name w:val="Default"/>
    <w:rsid w:val="00F9128C"/>
    <w:pPr>
      <w:autoSpaceDE w:val="0"/>
      <w:autoSpaceDN w:val="0"/>
      <w:adjustRightInd w:val="0"/>
    </w:pPr>
    <w:rPr>
      <w:rFonts w:ascii="Verdana" w:hAnsi="Verdana" w:cs="Verdana"/>
      <w:color w:val="000000"/>
      <w:sz w:val="24"/>
      <w:szCs w:val="24"/>
    </w:rPr>
  </w:style>
  <w:style w:type="character" w:customStyle="1" w:styleId="hps">
    <w:name w:val="hps"/>
    <w:rsid w:val="007A1C5D"/>
    <w:rPr>
      <w:rFonts w:cs="Times New Roman"/>
    </w:rPr>
  </w:style>
  <w:style w:type="paragraph" w:customStyle="1" w:styleId="Paragrafoelenco1">
    <w:name w:val="Paragrafo elenco1"/>
    <w:basedOn w:val="Normale"/>
    <w:rsid w:val="004F2627"/>
    <w:pPr>
      <w:ind w:left="720"/>
      <w:contextualSpacing/>
    </w:pPr>
  </w:style>
  <w:style w:type="character" w:customStyle="1" w:styleId="Titolo3Carattere">
    <w:name w:val="Titolo 3 Carattere"/>
    <w:link w:val="Titolo3"/>
    <w:locked/>
    <w:rsid w:val="004F2627"/>
    <w:rPr>
      <w:rFonts w:ascii="Cambria" w:hAnsi="Cambria" w:cs="Times New Roman"/>
      <w:color w:val="243F60"/>
      <w:sz w:val="24"/>
      <w:szCs w:val="24"/>
      <w:lang w:eastAsia="en-US"/>
    </w:rPr>
  </w:style>
  <w:style w:type="character" w:styleId="Rimandocommento">
    <w:name w:val="annotation reference"/>
    <w:rsid w:val="005D1D68"/>
    <w:rPr>
      <w:rFonts w:cs="Times New Roman"/>
      <w:sz w:val="16"/>
      <w:szCs w:val="16"/>
    </w:rPr>
  </w:style>
  <w:style w:type="paragraph" w:styleId="Testocommento">
    <w:name w:val="annotation text"/>
    <w:basedOn w:val="Normale"/>
    <w:link w:val="TestocommentoCarattere"/>
    <w:rsid w:val="005D1D68"/>
    <w:pPr>
      <w:spacing w:line="240" w:lineRule="auto"/>
    </w:pPr>
    <w:rPr>
      <w:sz w:val="20"/>
      <w:szCs w:val="20"/>
    </w:rPr>
  </w:style>
  <w:style w:type="character" w:customStyle="1" w:styleId="TestocommentoCarattere">
    <w:name w:val="Testo commento Carattere"/>
    <w:link w:val="Testocommento"/>
    <w:locked/>
    <w:rsid w:val="005D1D68"/>
    <w:rPr>
      <w:rFonts w:cs="Times New Roman"/>
      <w:lang w:eastAsia="en-US"/>
    </w:rPr>
  </w:style>
  <w:style w:type="paragraph" w:customStyle="1" w:styleId="imported-FreeForm">
    <w:name w:val="imported-Free Form"/>
    <w:rsid w:val="005D1D68"/>
    <w:rPr>
      <w:rFonts w:ascii="Helvetica" w:eastAsia="Arial Unicode MS" w:hAnsi="Helvetica"/>
      <w:color w:val="000000"/>
      <w:sz w:val="24"/>
    </w:rPr>
  </w:style>
  <w:style w:type="paragraph" w:customStyle="1" w:styleId="imported-Normal">
    <w:name w:val="imported-Normal"/>
    <w:rsid w:val="005D1D68"/>
    <w:rPr>
      <w:rFonts w:ascii="Times New Roman" w:eastAsia="Arial Unicode MS" w:hAnsi="Times New Roman"/>
      <w:color w:val="000000"/>
      <w:sz w:val="24"/>
    </w:rPr>
  </w:style>
  <w:style w:type="paragraph" w:styleId="Soggettocommento">
    <w:name w:val="annotation subject"/>
    <w:basedOn w:val="Testocommento"/>
    <w:next w:val="Testocommento"/>
    <w:link w:val="SoggettocommentoCarattere"/>
    <w:semiHidden/>
    <w:rsid w:val="00DF4DBB"/>
    <w:rPr>
      <w:b/>
      <w:bCs/>
    </w:rPr>
  </w:style>
  <w:style w:type="character" w:customStyle="1" w:styleId="SoggettocommentoCarattere">
    <w:name w:val="Soggetto commento Carattere"/>
    <w:link w:val="Soggettocommento"/>
    <w:semiHidden/>
    <w:locked/>
    <w:rsid w:val="00DF4DBB"/>
    <w:rPr>
      <w:rFonts w:cs="Times New Roman"/>
      <w:b/>
      <w:bCs/>
      <w:lang w:eastAsia="en-US"/>
    </w:rPr>
  </w:style>
  <w:style w:type="table" w:customStyle="1" w:styleId="Sfondochiaro-Colore12">
    <w:name w:val="Sfondo chiaro - Colore 12"/>
    <w:rsid w:val="001C70A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st">
    <w:name w:val="st"/>
    <w:rsid w:val="00937082"/>
    <w:rPr>
      <w:rFonts w:cs="Times New Roman"/>
    </w:rPr>
  </w:style>
  <w:style w:type="paragraph" w:styleId="Testonotadichiusura">
    <w:name w:val="endnote text"/>
    <w:basedOn w:val="Normale"/>
    <w:link w:val="TestonotadichiusuraCarattere"/>
    <w:semiHidden/>
    <w:unhideWhenUsed/>
    <w:rsid w:val="00187056"/>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187056"/>
    <w:rPr>
      <w:rFonts w:eastAsia="Times New Roman"/>
      <w:lang w:eastAsia="en-US"/>
    </w:rPr>
  </w:style>
  <w:style w:type="character" w:styleId="Rimandonotadichiusura">
    <w:name w:val="endnote reference"/>
    <w:basedOn w:val="Carpredefinitoparagrafo"/>
    <w:semiHidden/>
    <w:unhideWhenUsed/>
    <w:rsid w:val="00187056"/>
    <w:rPr>
      <w:vertAlign w:val="superscript"/>
    </w:rPr>
  </w:style>
  <w:style w:type="paragraph" w:styleId="Paragrafoelenco">
    <w:name w:val="List Paragraph"/>
    <w:basedOn w:val="Normale"/>
    <w:uiPriority w:val="34"/>
    <w:qFormat/>
    <w:rsid w:val="00A47F0F"/>
    <w:pPr>
      <w:ind w:left="720"/>
      <w:contextualSpacing/>
    </w:pPr>
  </w:style>
  <w:style w:type="character" w:customStyle="1" w:styleId="orcid-id-https">
    <w:name w:val="orcid-id-https"/>
    <w:basedOn w:val="Carpredefinitoparagrafo"/>
    <w:rsid w:val="00910E60"/>
  </w:style>
  <w:style w:type="character" w:customStyle="1" w:styleId="Menzionenonrisolta1">
    <w:name w:val="Menzione non risolta1"/>
    <w:basedOn w:val="Carpredefinitoparagrafo"/>
    <w:uiPriority w:val="99"/>
    <w:semiHidden/>
    <w:unhideWhenUsed/>
    <w:rsid w:val="00212537"/>
    <w:rPr>
      <w:color w:val="605E5C"/>
      <w:shd w:val="clear" w:color="auto" w:fill="E1DFDD"/>
    </w:rPr>
  </w:style>
  <w:style w:type="paragraph" w:styleId="Revisione">
    <w:name w:val="Revision"/>
    <w:hidden/>
    <w:uiPriority w:val="99"/>
    <w:semiHidden/>
    <w:rsid w:val="00753898"/>
    <w:rPr>
      <w:rFonts w:eastAsia="Times New Roman"/>
      <w:sz w:val="22"/>
      <w:szCs w:val="22"/>
      <w:lang w:eastAsia="en-US"/>
    </w:rPr>
  </w:style>
  <w:style w:type="character" w:customStyle="1" w:styleId="Menzionenonrisolta10">
    <w:name w:val="Menzione non risolta1"/>
    <w:basedOn w:val="Carpredefinitoparagrafo"/>
    <w:uiPriority w:val="99"/>
    <w:semiHidden/>
    <w:unhideWhenUsed/>
    <w:rsid w:val="00873845"/>
    <w:rPr>
      <w:color w:val="605E5C"/>
      <w:shd w:val="clear" w:color="auto" w:fill="E1DFDD"/>
    </w:rPr>
  </w:style>
  <w:style w:type="character" w:customStyle="1" w:styleId="xspelle">
    <w:name w:val="x_spelle"/>
    <w:basedOn w:val="Carpredefinitoparagrafo"/>
    <w:rsid w:val="00873845"/>
  </w:style>
  <w:style w:type="character" w:styleId="Enfasigrassetto">
    <w:name w:val="Strong"/>
    <w:basedOn w:val="Carpredefinitoparagrafo"/>
    <w:uiPriority w:val="22"/>
    <w:qFormat/>
    <w:locked/>
    <w:rsid w:val="00733CC1"/>
    <w:rPr>
      <w:b/>
      <w:bCs/>
    </w:rPr>
  </w:style>
  <w:style w:type="character" w:customStyle="1" w:styleId="hlfld-contribauthor">
    <w:name w:val="hlfld-contribauthor"/>
    <w:basedOn w:val="Carpredefinitoparagrafo"/>
    <w:rsid w:val="00582C30"/>
  </w:style>
  <w:style w:type="character" w:customStyle="1" w:styleId="nlmgiven-names">
    <w:name w:val="nlm_given-names"/>
    <w:basedOn w:val="Carpredefinitoparagrafo"/>
    <w:rsid w:val="00582C30"/>
  </w:style>
  <w:style w:type="character" w:customStyle="1" w:styleId="nlmyear">
    <w:name w:val="nlm_year"/>
    <w:basedOn w:val="Carpredefinitoparagrafo"/>
    <w:rsid w:val="00582C30"/>
  </w:style>
  <w:style w:type="character" w:customStyle="1" w:styleId="nlmpublisher-loc">
    <w:name w:val="nlm_publisher-loc"/>
    <w:basedOn w:val="Carpredefinitoparagrafo"/>
    <w:rsid w:val="00582C30"/>
  </w:style>
  <w:style w:type="character" w:customStyle="1" w:styleId="nlmpublisher-name">
    <w:name w:val="nlm_publisher-name"/>
    <w:basedOn w:val="Carpredefinitoparagrafo"/>
    <w:rsid w:val="00582C30"/>
  </w:style>
  <w:style w:type="character" w:styleId="Collegamentovisitato">
    <w:name w:val="FollowedHyperlink"/>
    <w:basedOn w:val="Carpredefinitoparagrafo"/>
    <w:semiHidden/>
    <w:unhideWhenUsed/>
    <w:rsid w:val="009F54B4"/>
    <w:rPr>
      <w:color w:val="954F72" w:themeColor="followedHyperlink"/>
      <w:u w:val="single"/>
    </w:rPr>
  </w:style>
  <w:style w:type="character" w:customStyle="1" w:styleId="author">
    <w:name w:val="author"/>
    <w:basedOn w:val="Carpredefinitoparagrafo"/>
    <w:rsid w:val="00DF434E"/>
  </w:style>
  <w:style w:type="character" w:customStyle="1" w:styleId="pubyear">
    <w:name w:val="pubyear"/>
    <w:basedOn w:val="Carpredefinitoparagrafo"/>
    <w:rsid w:val="00DF434E"/>
  </w:style>
  <w:style w:type="character" w:customStyle="1" w:styleId="articletitle">
    <w:name w:val="articletitle"/>
    <w:basedOn w:val="Carpredefinitoparagrafo"/>
    <w:rsid w:val="00DF434E"/>
  </w:style>
  <w:style w:type="character" w:customStyle="1" w:styleId="vol">
    <w:name w:val="vol"/>
    <w:basedOn w:val="Carpredefinitoparagrafo"/>
    <w:rsid w:val="00DF434E"/>
  </w:style>
  <w:style w:type="character" w:customStyle="1" w:styleId="pagefirst">
    <w:name w:val="pagefirst"/>
    <w:basedOn w:val="Carpredefinitoparagrafo"/>
    <w:rsid w:val="00DF434E"/>
  </w:style>
  <w:style w:type="character" w:customStyle="1" w:styleId="pagelast">
    <w:name w:val="pagelast"/>
    <w:basedOn w:val="Carpredefinitoparagrafo"/>
    <w:rsid w:val="00DF434E"/>
  </w:style>
  <w:style w:type="character" w:styleId="Menzionenonrisolta">
    <w:name w:val="Unresolved Mention"/>
    <w:basedOn w:val="Carpredefinitoparagrafo"/>
    <w:uiPriority w:val="99"/>
    <w:semiHidden/>
    <w:unhideWhenUsed/>
    <w:rsid w:val="00E42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83468107">
      <w:bodyDiv w:val="1"/>
      <w:marLeft w:val="0"/>
      <w:marRight w:val="0"/>
      <w:marTop w:val="0"/>
      <w:marBottom w:val="0"/>
      <w:divBdr>
        <w:top w:val="none" w:sz="0" w:space="0" w:color="auto"/>
        <w:left w:val="none" w:sz="0" w:space="0" w:color="auto"/>
        <w:bottom w:val="none" w:sz="0" w:space="0" w:color="auto"/>
        <w:right w:val="none" w:sz="0" w:space="0" w:color="auto"/>
      </w:divBdr>
    </w:div>
    <w:div w:id="688406644">
      <w:bodyDiv w:val="1"/>
      <w:marLeft w:val="0"/>
      <w:marRight w:val="0"/>
      <w:marTop w:val="0"/>
      <w:marBottom w:val="0"/>
      <w:divBdr>
        <w:top w:val="none" w:sz="0" w:space="0" w:color="auto"/>
        <w:left w:val="none" w:sz="0" w:space="0" w:color="auto"/>
        <w:bottom w:val="none" w:sz="0" w:space="0" w:color="auto"/>
        <w:right w:val="none" w:sz="0" w:space="0" w:color="auto"/>
      </w:divBdr>
    </w:div>
    <w:div w:id="926109901">
      <w:bodyDiv w:val="1"/>
      <w:marLeft w:val="0"/>
      <w:marRight w:val="0"/>
      <w:marTop w:val="0"/>
      <w:marBottom w:val="0"/>
      <w:divBdr>
        <w:top w:val="none" w:sz="0" w:space="0" w:color="auto"/>
        <w:left w:val="none" w:sz="0" w:space="0" w:color="auto"/>
        <w:bottom w:val="none" w:sz="0" w:space="0" w:color="auto"/>
        <w:right w:val="none" w:sz="0" w:space="0" w:color="auto"/>
      </w:divBdr>
    </w:div>
    <w:div w:id="1045789734">
      <w:bodyDiv w:val="1"/>
      <w:marLeft w:val="0"/>
      <w:marRight w:val="0"/>
      <w:marTop w:val="0"/>
      <w:marBottom w:val="0"/>
      <w:divBdr>
        <w:top w:val="none" w:sz="0" w:space="0" w:color="auto"/>
        <w:left w:val="none" w:sz="0" w:space="0" w:color="auto"/>
        <w:bottom w:val="none" w:sz="0" w:space="0" w:color="auto"/>
        <w:right w:val="none" w:sz="0" w:space="0" w:color="auto"/>
      </w:divBdr>
      <w:divsChild>
        <w:div w:id="2089420935">
          <w:marLeft w:val="0"/>
          <w:marRight w:val="0"/>
          <w:marTop w:val="0"/>
          <w:marBottom w:val="0"/>
          <w:divBdr>
            <w:top w:val="none" w:sz="0" w:space="0" w:color="auto"/>
            <w:left w:val="none" w:sz="0" w:space="0" w:color="auto"/>
            <w:bottom w:val="none" w:sz="0" w:space="0" w:color="auto"/>
            <w:right w:val="none" w:sz="0" w:space="0" w:color="auto"/>
          </w:divBdr>
          <w:divsChild>
            <w:div w:id="677729352">
              <w:marLeft w:val="0"/>
              <w:marRight w:val="0"/>
              <w:marTop w:val="0"/>
              <w:marBottom w:val="0"/>
              <w:divBdr>
                <w:top w:val="none" w:sz="0" w:space="0" w:color="auto"/>
                <w:left w:val="none" w:sz="0" w:space="0" w:color="auto"/>
                <w:bottom w:val="none" w:sz="0" w:space="0" w:color="auto"/>
                <w:right w:val="none" w:sz="0" w:space="0" w:color="auto"/>
              </w:divBdr>
            </w:div>
          </w:divsChild>
        </w:div>
        <w:div w:id="866066452">
          <w:marLeft w:val="0"/>
          <w:marRight w:val="0"/>
          <w:marTop w:val="0"/>
          <w:marBottom w:val="0"/>
          <w:divBdr>
            <w:top w:val="none" w:sz="0" w:space="0" w:color="auto"/>
            <w:left w:val="none" w:sz="0" w:space="0" w:color="auto"/>
            <w:bottom w:val="none" w:sz="0" w:space="0" w:color="auto"/>
            <w:right w:val="none" w:sz="0" w:space="0" w:color="auto"/>
          </w:divBdr>
        </w:div>
      </w:divsChild>
    </w:div>
    <w:div w:id="1118527066">
      <w:bodyDiv w:val="1"/>
      <w:marLeft w:val="0"/>
      <w:marRight w:val="0"/>
      <w:marTop w:val="0"/>
      <w:marBottom w:val="0"/>
      <w:divBdr>
        <w:top w:val="none" w:sz="0" w:space="0" w:color="auto"/>
        <w:left w:val="none" w:sz="0" w:space="0" w:color="auto"/>
        <w:bottom w:val="none" w:sz="0" w:space="0" w:color="auto"/>
        <w:right w:val="none" w:sz="0" w:space="0" w:color="auto"/>
      </w:divBdr>
    </w:div>
    <w:div w:id="1546410942">
      <w:bodyDiv w:val="1"/>
      <w:marLeft w:val="0"/>
      <w:marRight w:val="0"/>
      <w:marTop w:val="0"/>
      <w:marBottom w:val="0"/>
      <w:divBdr>
        <w:top w:val="none" w:sz="0" w:space="0" w:color="auto"/>
        <w:left w:val="none" w:sz="0" w:space="0" w:color="auto"/>
        <w:bottom w:val="none" w:sz="0" w:space="0" w:color="auto"/>
        <w:right w:val="none" w:sz="0" w:space="0" w:color="auto"/>
      </w:divBdr>
    </w:div>
    <w:div w:id="1720471100">
      <w:bodyDiv w:val="1"/>
      <w:marLeft w:val="0"/>
      <w:marRight w:val="0"/>
      <w:marTop w:val="0"/>
      <w:marBottom w:val="0"/>
      <w:divBdr>
        <w:top w:val="none" w:sz="0" w:space="0" w:color="auto"/>
        <w:left w:val="none" w:sz="0" w:space="0" w:color="auto"/>
        <w:bottom w:val="none" w:sz="0" w:space="0" w:color="auto"/>
        <w:right w:val="none" w:sz="0" w:space="0" w:color="auto"/>
      </w:divBdr>
    </w:div>
    <w:div w:id="1761173534">
      <w:bodyDiv w:val="1"/>
      <w:marLeft w:val="0"/>
      <w:marRight w:val="0"/>
      <w:marTop w:val="0"/>
      <w:marBottom w:val="0"/>
      <w:divBdr>
        <w:top w:val="none" w:sz="0" w:space="0" w:color="auto"/>
        <w:left w:val="none" w:sz="0" w:space="0" w:color="auto"/>
        <w:bottom w:val="none" w:sz="0" w:space="0" w:color="auto"/>
        <w:right w:val="none" w:sz="0" w:space="0" w:color="auto"/>
      </w:divBdr>
    </w:div>
    <w:div w:id="185888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https://doi.org/10.1016/j.technovation.2014.02.008" TargetMode="External"/><Relationship Id="rId26" Type="http://schemas.openxmlformats.org/officeDocument/2006/relationships/hyperlink" Target="https://doi.org/10.1023/B:SBEJ.0000026022.08180.b7" TargetMode="External"/><Relationship Id="rId21" Type="http://schemas.openxmlformats.org/officeDocument/2006/relationships/hyperlink" Target="https://doi.org/10.1016/j.respol.2013.02.008" TargetMode="External"/><Relationship Id="rId34" Type="http://schemas.openxmlformats.org/officeDocument/2006/relationships/hyperlink" Target="https://doi.org/10.1016/0954-349X(95)00001-4" TargetMode="Externa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s://doi.org/10.1080/09654313.2012.722977" TargetMode="External"/><Relationship Id="rId25" Type="http://schemas.openxmlformats.org/officeDocument/2006/relationships/hyperlink" Target="https://www.istat.it/it/archivio/16777" TargetMode="External"/><Relationship Id="rId33" Type="http://schemas.openxmlformats.org/officeDocument/2006/relationships/hyperlink" Target="https://doi.org/10.1007/s00168-012-0509-1"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s://doi.org/10.1016/j.techfore.2020.120025" TargetMode="External"/><Relationship Id="rId29" Type="http://schemas.openxmlformats.org/officeDocument/2006/relationships/hyperlink" Target="https://doi.org/10.1017/CBO9781107415324.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eur-lex.europa.eu/LexUriServ/LexUriServ.do?uri=COM:2012:0582:FIN:en:PDF" TargetMode="External"/><Relationship Id="rId32" Type="http://schemas.openxmlformats.org/officeDocument/2006/relationships/hyperlink" Target="http://search.ebscohost.com/login.aspx?direct=true&amp;db=bth&amp;AN=69988870&amp;lang=pt-br&amp;site=ehost-liv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s://doi.org/10.1016/j.respol.2011.05.015" TargetMode="External"/><Relationship Id="rId28" Type="http://schemas.openxmlformats.org/officeDocument/2006/relationships/hyperlink" Target="https://doi.org/10.1016/j.respol.2016.04.009" TargetMode="External"/><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s://doi.org/10.1016/j.respol.2015.04.004" TargetMode="External"/><Relationship Id="rId31" Type="http://schemas.openxmlformats.org/officeDocument/2006/relationships/hyperlink" Target="https://doi.org/10.1016/j.respol.2018.04.009"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hyperlink" Target="https://doi.org/10.1007/s11229-017-1544-3" TargetMode="External"/><Relationship Id="rId27" Type="http://schemas.openxmlformats.org/officeDocument/2006/relationships/hyperlink" Target="https://doi.org/10.1002/pssc.201084038" TargetMode="External"/><Relationship Id="rId30" Type="http://schemas.openxmlformats.org/officeDocument/2006/relationships/hyperlink" Target="https://doi.org/10.1111/etap.12167" TargetMode="External"/><Relationship Id="rId35" Type="http://schemas.openxmlformats.org/officeDocument/2006/relationships/hyperlink" Target="http://kennisvoucher.nl/dloads/Research%20Vouchers%20pilot%20Evalution%20English.pdf" TargetMode="External"/><Relationship Id="rId8" Type="http://schemas.openxmlformats.org/officeDocument/2006/relationships/footer" Target="foot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mailto:michele.coletti@grenoble-em.com" TargetMode="External"/><Relationship Id="rId7" Type="http://schemas.openxmlformats.org/officeDocument/2006/relationships/hyperlink" Target="mailto:alessandro.sala@polimi.it" TargetMode="External"/><Relationship Id="rId2" Type="http://schemas.openxmlformats.org/officeDocument/2006/relationships/hyperlink" Target="https://orcid.org/0000-0003-0865-3404" TargetMode="External"/><Relationship Id="rId1" Type="http://schemas.openxmlformats.org/officeDocument/2006/relationships/hyperlink" Target="mailto:andrea.caragliu@polimi.it" TargetMode="External"/><Relationship Id="rId6" Type="http://schemas.openxmlformats.org/officeDocument/2006/relationships/hyperlink" Target="https://orcid.org/0000-0001-5079-1101" TargetMode="External"/><Relationship Id="rId5" Type="http://schemas.openxmlformats.org/officeDocument/2006/relationships/hyperlink" Target="mailto:paolo.landoni@polito.it" TargetMode="External"/><Relationship Id="rId4" Type="http://schemas.openxmlformats.org/officeDocument/2006/relationships/hyperlink" Target="https://orcid.org/0000-0002-7404-775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B732F-3235-4A44-B643-F5C8A9C4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23</Pages>
  <Words>10857</Words>
  <Characters>61889</Characters>
  <Application>Microsoft Office Word</Application>
  <DocSecurity>0</DocSecurity>
  <Lines>515</Lines>
  <Paragraphs>145</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The innovation voucher paradox</vt:lpstr>
      <vt:lpstr>The innovation voucher paradox</vt:lpstr>
      <vt:lpstr>The innovation voucher paradox</vt:lpstr>
    </vt:vector>
  </TitlesOfParts>
  <Manager/>
  <Company/>
  <LinksUpToDate>false</LinksUpToDate>
  <CharactersWithSpaces>72601</CharactersWithSpaces>
  <SharedDoc>false</SharedDoc>
  <HyperlinkBase/>
  <HLinks>
    <vt:vector size="6" baseType="variant">
      <vt:variant>
        <vt:i4>7078008</vt:i4>
      </vt:variant>
      <vt:variant>
        <vt:i4>30</vt:i4>
      </vt:variant>
      <vt:variant>
        <vt:i4>0</vt:i4>
      </vt:variant>
      <vt:variant>
        <vt:i4>5</vt:i4>
      </vt:variant>
      <vt:variant>
        <vt:lpwstr>http://eur-lex.europa.eu/LexUriServ/LexUriServ.do?uri=COM:2012:0582:FIN:en:PDF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innovation voucher paradox</dc:title>
  <dc:subject/>
  <dc:creator>Andrea Caragliu</dc:creator>
  <cp:keywords/>
  <dc:description/>
  <cp:lastModifiedBy>Andrea Antonio Caragliu</cp:lastModifiedBy>
  <cp:revision>18</cp:revision>
  <dcterms:created xsi:type="dcterms:W3CDTF">2021-10-02T13:20:00Z</dcterms:created>
  <dcterms:modified xsi:type="dcterms:W3CDTF">2022-04-07T13:26:00Z</dcterms:modified>
  <cp:category/>
</cp:coreProperties>
</file>