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C2BF" w14:textId="377CCB35" w:rsidR="00314387" w:rsidRPr="006B63CF" w:rsidRDefault="001A2503" w:rsidP="00314387">
      <w:pPr>
        <w:pStyle w:val="Titolo1"/>
        <w:spacing w:line="480" w:lineRule="auto"/>
        <w:jc w:val="center"/>
        <w:rPr>
          <w:lang w:val="en-GB"/>
        </w:rPr>
      </w:pPr>
      <w:r w:rsidRPr="006B63CF">
        <w:rPr>
          <w:lang w:val="en-GB"/>
        </w:rPr>
        <w:t>S</w:t>
      </w:r>
      <w:r w:rsidR="00314387" w:rsidRPr="006B63CF">
        <w:rPr>
          <w:lang w:val="en-GB"/>
        </w:rPr>
        <w:t>mart Cities and urban inequality</w:t>
      </w:r>
      <w:r w:rsidR="000641D5">
        <w:rPr>
          <w:rStyle w:val="Rimandonotaapidipagina"/>
          <w:lang w:val="en-GB"/>
        </w:rPr>
        <w:footnoteReference w:id="1"/>
      </w:r>
    </w:p>
    <w:p w14:paraId="1240D98F" w14:textId="77777777" w:rsidR="00402FBF" w:rsidRPr="006B63CF" w:rsidRDefault="00402FBF" w:rsidP="00402FBF">
      <w:pPr>
        <w:jc w:val="center"/>
        <w:rPr>
          <w:rFonts w:ascii="Times New Roman" w:hAnsi="Times New Roman" w:cs="Times New Roman"/>
        </w:rPr>
      </w:pPr>
      <w:r w:rsidRPr="006B63CF">
        <w:rPr>
          <w:rFonts w:ascii="Times New Roman" w:hAnsi="Times New Roman" w:cs="Times New Roman"/>
        </w:rPr>
        <w:t>Andrea Caragliu,</w:t>
      </w:r>
      <w:r w:rsidRPr="006B63CF">
        <w:rPr>
          <w:rStyle w:val="Rimandonotaapidipagina"/>
          <w:rFonts w:ascii="Times New Roman" w:hAnsi="Times New Roman" w:cs="Times New Roman"/>
        </w:rPr>
        <w:footnoteReference w:id="2"/>
      </w:r>
      <w:r w:rsidRPr="006B63CF">
        <w:rPr>
          <w:rFonts w:ascii="Times New Roman" w:hAnsi="Times New Roman" w:cs="Times New Roman"/>
        </w:rPr>
        <w:t xml:space="preserve"> Chiara F. Del Bo</w:t>
      </w:r>
      <w:r w:rsidRPr="006B63CF">
        <w:rPr>
          <w:rStyle w:val="Rimandonotaapidipagina"/>
          <w:rFonts w:ascii="Times New Roman" w:hAnsi="Times New Roman" w:cs="Times New Roman"/>
        </w:rPr>
        <w:footnoteReference w:id="3"/>
      </w:r>
    </w:p>
    <w:p w14:paraId="1D585AD1" w14:textId="4D8049E5" w:rsidR="00314387" w:rsidRPr="006B63CF" w:rsidRDefault="00314387" w:rsidP="00314387">
      <w:pPr>
        <w:spacing w:line="480" w:lineRule="auto"/>
        <w:jc w:val="center"/>
        <w:rPr>
          <w:rFonts w:ascii="Times New Roman" w:hAnsi="Times New Roman" w:cs="Times New Roman"/>
          <w:b/>
          <w:lang w:val="en-US"/>
        </w:rPr>
      </w:pPr>
      <w:r w:rsidRPr="006B63CF">
        <w:rPr>
          <w:rFonts w:ascii="Times New Roman" w:hAnsi="Times New Roman" w:cs="Times New Roman"/>
          <w:b/>
          <w:lang w:val="en-US"/>
        </w:rPr>
        <w:t>Abstrac</w:t>
      </w:r>
      <w:r w:rsidR="00106B5D" w:rsidRPr="006B63CF">
        <w:rPr>
          <w:rFonts w:ascii="Times New Roman" w:hAnsi="Times New Roman" w:cs="Times New Roman"/>
          <w:b/>
          <w:lang w:val="en-US"/>
        </w:rPr>
        <w:t>t</w:t>
      </w:r>
    </w:p>
    <w:p w14:paraId="1CCBD4CB" w14:textId="483E4282" w:rsidR="00615C58" w:rsidRPr="006B63CF" w:rsidRDefault="00314387" w:rsidP="00615C58">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Smart City technologies </w:t>
      </w:r>
      <w:r w:rsidR="00106B5D" w:rsidRPr="006B63CF">
        <w:rPr>
          <w:rFonts w:ascii="Times New Roman" w:hAnsi="Times New Roman" w:cs="Times New Roman"/>
          <w:lang w:val="en-US"/>
        </w:rPr>
        <w:t xml:space="preserve">are </w:t>
      </w:r>
      <w:r w:rsidRPr="006B63CF">
        <w:rPr>
          <w:rFonts w:ascii="Times New Roman" w:hAnsi="Times New Roman" w:cs="Times New Roman"/>
          <w:lang w:val="en-US"/>
        </w:rPr>
        <w:t xml:space="preserve">criticized as </w:t>
      </w:r>
      <w:r w:rsidR="00106B5D" w:rsidRPr="006B63CF">
        <w:rPr>
          <w:rFonts w:ascii="Times New Roman" w:hAnsi="Times New Roman" w:cs="Times New Roman"/>
          <w:lang w:val="en-US"/>
        </w:rPr>
        <w:t xml:space="preserve">they </w:t>
      </w:r>
      <w:r w:rsidRPr="006B63CF">
        <w:rPr>
          <w:rFonts w:ascii="Times New Roman" w:hAnsi="Times New Roman" w:cs="Times New Roman"/>
          <w:lang w:val="en-US"/>
        </w:rPr>
        <w:t xml:space="preserve">might exacerbate income inequalities. </w:t>
      </w:r>
      <w:r w:rsidR="00853717" w:rsidRPr="006B63CF">
        <w:rPr>
          <w:rFonts w:ascii="Times New Roman" w:hAnsi="Times New Roman" w:cs="Times New Roman"/>
          <w:lang w:val="en-US"/>
        </w:rPr>
        <w:t xml:space="preserve">Four factors are suggested for explaining this phenomenon: </w:t>
      </w:r>
      <w:r w:rsidR="00615C58" w:rsidRPr="006B63CF">
        <w:rPr>
          <w:rFonts w:ascii="Times New Roman" w:hAnsi="Times New Roman" w:cs="Times New Roman"/>
          <w:lang w:val="en-US"/>
        </w:rPr>
        <w:t>the uneven diffusion of ICTs, these technologies cannot be afforded by low-income citizens, Smart Cities could further human capital divides, and the involvement of private actors in the implementation of projects.</w:t>
      </w:r>
    </w:p>
    <w:p w14:paraId="08EC2A58" w14:textId="142E739A" w:rsidR="00314387" w:rsidRPr="006B63CF" w:rsidRDefault="00106B5D" w:rsidP="00314387">
      <w:pPr>
        <w:spacing w:line="480" w:lineRule="auto"/>
        <w:jc w:val="both"/>
        <w:rPr>
          <w:rFonts w:ascii="Times New Roman" w:hAnsi="Times New Roman" w:cs="Times New Roman"/>
          <w:lang w:val="en-US"/>
        </w:rPr>
      </w:pPr>
      <w:r w:rsidRPr="006B63CF">
        <w:rPr>
          <w:rFonts w:ascii="Times New Roman" w:hAnsi="Times New Roman" w:cs="Times New Roman"/>
          <w:lang w:val="en-US"/>
        </w:rPr>
        <w:t>T</w:t>
      </w:r>
      <w:r w:rsidR="00314387" w:rsidRPr="006B63CF">
        <w:rPr>
          <w:rFonts w:ascii="Times New Roman" w:hAnsi="Times New Roman" w:cs="Times New Roman"/>
          <w:lang w:val="en-US"/>
        </w:rPr>
        <w:t>hese critiques are not based on empirical verification</w:t>
      </w:r>
      <w:r w:rsidRPr="006B63CF">
        <w:rPr>
          <w:rFonts w:ascii="Times New Roman" w:hAnsi="Times New Roman" w:cs="Times New Roman"/>
          <w:lang w:val="en-US"/>
        </w:rPr>
        <w:t xml:space="preserve">. </w:t>
      </w:r>
      <w:r w:rsidR="004F3549" w:rsidRPr="006B63CF">
        <w:rPr>
          <w:rFonts w:ascii="Times New Roman" w:hAnsi="Times New Roman" w:cs="Times New Roman"/>
          <w:lang w:val="en-US"/>
        </w:rPr>
        <w:t>W</w:t>
      </w:r>
      <w:r w:rsidR="00314387" w:rsidRPr="006B63CF">
        <w:rPr>
          <w:rFonts w:ascii="Times New Roman" w:hAnsi="Times New Roman" w:cs="Times New Roman"/>
          <w:lang w:val="en-US"/>
        </w:rPr>
        <w:t>e test whether smart urban characteristics are associated with increase</w:t>
      </w:r>
      <w:r w:rsidRPr="006B63CF">
        <w:rPr>
          <w:rFonts w:ascii="Times New Roman" w:hAnsi="Times New Roman" w:cs="Times New Roman"/>
          <w:lang w:val="en-US"/>
        </w:rPr>
        <w:t>s</w:t>
      </w:r>
      <w:r w:rsidR="00314387" w:rsidRPr="006B63CF">
        <w:rPr>
          <w:rFonts w:ascii="Times New Roman" w:hAnsi="Times New Roman" w:cs="Times New Roman"/>
          <w:lang w:val="en-US"/>
        </w:rPr>
        <w:t xml:space="preserve"> in urban income inequalities</w:t>
      </w:r>
      <w:r w:rsidR="00853717" w:rsidRPr="006B63CF">
        <w:rPr>
          <w:rFonts w:ascii="Times New Roman" w:hAnsi="Times New Roman" w:cs="Times New Roman"/>
          <w:lang w:val="en-US"/>
        </w:rPr>
        <w:t xml:space="preserve">, using </w:t>
      </w:r>
      <w:r w:rsidR="00314387" w:rsidRPr="006B63CF">
        <w:rPr>
          <w:rFonts w:ascii="Times New Roman" w:hAnsi="Times New Roman" w:cs="Times New Roman"/>
          <w:lang w:val="en-US"/>
        </w:rPr>
        <w:t xml:space="preserve">data </w:t>
      </w:r>
      <w:r w:rsidR="00853717" w:rsidRPr="006B63CF">
        <w:rPr>
          <w:rFonts w:ascii="Times New Roman" w:hAnsi="Times New Roman" w:cs="Times New Roman"/>
          <w:lang w:val="en-US"/>
        </w:rPr>
        <w:t>on urban smartness and urban income inequality for</w:t>
      </w:r>
      <w:r w:rsidR="00314387" w:rsidRPr="006B63CF">
        <w:rPr>
          <w:rFonts w:ascii="Times New Roman" w:hAnsi="Times New Roman" w:cs="Times New Roman"/>
          <w:lang w:val="en-US"/>
        </w:rPr>
        <w:t>106 European cities.</w:t>
      </w:r>
      <w:r w:rsidRPr="006B63CF">
        <w:rPr>
          <w:rFonts w:ascii="Times New Roman" w:hAnsi="Times New Roman" w:cs="Times New Roman"/>
          <w:lang w:val="en-US"/>
        </w:rPr>
        <w:t xml:space="preserve"> Results </w:t>
      </w:r>
      <w:r w:rsidR="00314387" w:rsidRPr="006B63CF">
        <w:rPr>
          <w:rFonts w:ascii="Times New Roman" w:hAnsi="Times New Roman" w:cs="Times New Roman"/>
          <w:lang w:val="en-US"/>
        </w:rPr>
        <w:t xml:space="preserve">show that Smart Cities </w:t>
      </w:r>
      <w:r w:rsidR="001F10E1" w:rsidRPr="006B63CF">
        <w:rPr>
          <w:rFonts w:ascii="Times New Roman" w:hAnsi="Times New Roman" w:cs="Times New Roman"/>
          <w:lang w:val="en-US"/>
        </w:rPr>
        <w:t xml:space="preserve">are </w:t>
      </w:r>
      <w:r w:rsidR="00314387" w:rsidRPr="006B63CF">
        <w:rPr>
          <w:rFonts w:ascii="Times New Roman" w:hAnsi="Times New Roman" w:cs="Times New Roman"/>
          <w:lang w:val="en-US"/>
        </w:rPr>
        <w:t>associated with lower levels of urban income inequality.</w:t>
      </w:r>
    </w:p>
    <w:p w14:paraId="67213A1F" w14:textId="77777777" w:rsidR="00314387" w:rsidRPr="006B63CF" w:rsidRDefault="00314387" w:rsidP="00314387">
      <w:pPr>
        <w:spacing w:line="480" w:lineRule="auto"/>
        <w:jc w:val="both"/>
        <w:rPr>
          <w:rFonts w:ascii="Times New Roman" w:hAnsi="Times New Roman" w:cs="Times New Roman"/>
          <w:sz w:val="20"/>
          <w:lang w:val="en-US"/>
        </w:rPr>
      </w:pPr>
      <w:r w:rsidRPr="006B63CF">
        <w:rPr>
          <w:rFonts w:ascii="Times New Roman" w:hAnsi="Times New Roman" w:cs="Times New Roman"/>
          <w:b/>
          <w:sz w:val="20"/>
          <w:lang w:val="en-US"/>
        </w:rPr>
        <w:t>Keywords</w:t>
      </w:r>
      <w:r w:rsidRPr="006B63CF">
        <w:rPr>
          <w:rFonts w:ascii="Times New Roman" w:hAnsi="Times New Roman" w:cs="Times New Roman"/>
          <w:sz w:val="20"/>
          <w:lang w:val="en-US"/>
        </w:rPr>
        <w:t>: Smart cities; Urban Inequality; Digital divide; Income distribution.</w:t>
      </w:r>
    </w:p>
    <w:p w14:paraId="00BFB465" w14:textId="77777777" w:rsidR="00314387" w:rsidRPr="006B63CF" w:rsidRDefault="00314387" w:rsidP="00314387">
      <w:pPr>
        <w:spacing w:line="480" w:lineRule="auto"/>
        <w:jc w:val="both"/>
        <w:rPr>
          <w:rFonts w:ascii="Times New Roman" w:hAnsi="Times New Roman" w:cs="Times New Roman"/>
          <w:i/>
          <w:sz w:val="20"/>
          <w:lang w:val="en-US"/>
        </w:rPr>
      </w:pPr>
      <w:r w:rsidRPr="006B63CF">
        <w:rPr>
          <w:rFonts w:ascii="Times New Roman" w:hAnsi="Times New Roman" w:cs="Times New Roman"/>
          <w:i/>
          <w:sz w:val="20"/>
          <w:lang w:val="en-US"/>
        </w:rPr>
        <w:t>JEL classification codes: R11, D63, J24</w:t>
      </w:r>
    </w:p>
    <w:p w14:paraId="744450B1" w14:textId="77777777" w:rsidR="00314387" w:rsidRPr="006B63CF" w:rsidRDefault="00314387" w:rsidP="00314387">
      <w:pPr>
        <w:pStyle w:val="Titolo1"/>
        <w:numPr>
          <w:ilvl w:val="0"/>
          <w:numId w:val="6"/>
        </w:numPr>
        <w:spacing w:line="480" w:lineRule="auto"/>
        <w:jc w:val="both"/>
        <w:sectPr w:rsidR="00314387" w:rsidRPr="006B63CF" w:rsidSect="008D31D6">
          <w:footerReference w:type="default" r:id="rId8"/>
          <w:pgSz w:w="11906" w:h="16838"/>
          <w:pgMar w:top="1417" w:right="1134" w:bottom="1134" w:left="1134" w:header="708" w:footer="708" w:gutter="0"/>
          <w:cols w:space="708"/>
          <w:docGrid w:linePitch="360"/>
        </w:sectPr>
      </w:pPr>
    </w:p>
    <w:p w14:paraId="3E7A9F1C" w14:textId="437B8258" w:rsidR="007D0853" w:rsidRPr="006B63CF" w:rsidRDefault="007D0853" w:rsidP="00491E65">
      <w:pPr>
        <w:pStyle w:val="Titolo1"/>
        <w:spacing w:line="480" w:lineRule="auto"/>
        <w:jc w:val="both"/>
      </w:pPr>
      <w:r w:rsidRPr="006B63CF">
        <w:lastRenderedPageBreak/>
        <w:t>Introduction</w:t>
      </w:r>
    </w:p>
    <w:p w14:paraId="04C86BA6" w14:textId="7F7DA53D" w:rsidR="009B24CB" w:rsidRPr="006B63CF" w:rsidRDefault="007D0853"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Smart Cities are on the agenda of many city officials worldwide</w:t>
      </w:r>
      <w:r w:rsidR="00A52A62" w:rsidRPr="006B63CF">
        <w:rPr>
          <w:rFonts w:ascii="Times New Roman" w:hAnsi="Times New Roman" w:cs="Times New Roman"/>
          <w:lang w:val="en-US"/>
        </w:rPr>
        <w:t>; they</w:t>
      </w:r>
      <w:r w:rsidRPr="006B63CF">
        <w:rPr>
          <w:rFonts w:ascii="Times New Roman" w:hAnsi="Times New Roman" w:cs="Times New Roman"/>
          <w:lang w:val="en-US"/>
        </w:rPr>
        <w:t xml:space="preserve"> are the object of countless innovative projects by leading hi</w:t>
      </w:r>
      <w:r w:rsidR="004453A8" w:rsidRPr="006B63CF">
        <w:rPr>
          <w:rFonts w:ascii="Times New Roman" w:hAnsi="Times New Roman" w:cs="Times New Roman"/>
          <w:lang w:val="en-US"/>
        </w:rPr>
        <w:t>gh</w:t>
      </w:r>
      <w:r w:rsidR="00EF6F36" w:rsidRPr="006B63CF">
        <w:rPr>
          <w:rFonts w:ascii="Times New Roman" w:hAnsi="Times New Roman" w:cs="Times New Roman"/>
          <w:lang w:val="en-US"/>
        </w:rPr>
        <w:t>-</w:t>
      </w:r>
      <w:r w:rsidRPr="006B63CF">
        <w:rPr>
          <w:rFonts w:ascii="Times New Roman" w:hAnsi="Times New Roman" w:cs="Times New Roman"/>
          <w:lang w:val="en-US"/>
        </w:rPr>
        <w:t>tech companies</w:t>
      </w:r>
      <w:r w:rsidR="00A52A62" w:rsidRPr="006B63CF">
        <w:rPr>
          <w:rFonts w:ascii="Times New Roman" w:hAnsi="Times New Roman" w:cs="Times New Roman"/>
          <w:lang w:val="en-US"/>
        </w:rPr>
        <w:t>; and, consequently, they</w:t>
      </w:r>
      <w:r w:rsidR="00D7458A" w:rsidRPr="006B63CF">
        <w:rPr>
          <w:rFonts w:ascii="Times New Roman" w:hAnsi="Times New Roman" w:cs="Times New Roman"/>
          <w:lang w:val="en-US"/>
        </w:rPr>
        <w:t xml:space="preserve"> </w:t>
      </w:r>
      <w:r w:rsidRPr="006B63CF">
        <w:rPr>
          <w:rFonts w:ascii="Times New Roman" w:hAnsi="Times New Roman" w:cs="Times New Roman"/>
          <w:lang w:val="en-US"/>
        </w:rPr>
        <w:t xml:space="preserve">are </w:t>
      </w:r>
      <w:r w:rsidR="00D7458A" w:rsidRPr="006B63CF">
        <w:rPr>
          <w:rFonts w:ascii="Times New Roman" w:hAnsi="Times New Roman" w:cs="Times New Roman"/>
          <w:lang w:val="en-US"/>
        </w:rPr>
        <w:t xml:space="preserve">being </w:t>
      </w:r>
      <w:r w:rsidRPr="006B63CF">
        <w:rPr>
          <w:rFonts w:ascii="Times New Roman" w:hAnsi="Times New Roman" w:cs="Times New Roman"/>
          <w:lang w:val="en-US"/>
        </w:rPr>
        <w:t>studied by scholars in different disciplines</w:t>
      </w:r>
      <w:r w:rsidR="00BA20DD" w:rsidRPr="006B63CF">
        <w:rPr>
          <w:rFonts w:ascii="Times New Roman" w:hAnsi="Times New Roman" w:cs="Times New Roman"/>
          <w:lang w:val="en-US"/>
        </w:rPr>
        <w:t xml:space="preserve">. </w:t>
      </w:r>
      <w:r w:rsidR="003701F6" w:rsidRPr="006B63CF">
        <w:rPr>
          <w:rFonts w:ascii="Times New Roman" w:hAnsi="Times New Roman" w:cs="Times New Roman"/>
          <w:lang w:val="en-US"/>
        </w:rPr>
        <w:t xml:space="preserve">The success of this concept goes well beyond the walls of the academia and </w:t>
      </w:r>
      <w:r w:rsidR="009B24CB" w:rsidRPr="006B63CF">
        <w:rPr>
          <w:rFonts w:ascii="Times New Roman" w:hAnsi="Times New Roman" w:cs="Times New Roman"/>
          <w:lang w:val="en-US"/>
        </w:rPr>
        <w:t xml:space="preserve">has attracted </w:t>
      </w:r>
      <w:r w:rsidR="00A52A62" w:rsidRPr="006B63CF">
        <w:rPr>
          <w:rFonts w:ascii="Times New Roman" w:hAnsi="Times New Roman" w:cs="Times New Roman"/>
          <w:lang w:val="en-US"/>
        </w:rPr>
        <w:t xml:space="preserve">large </w:t>
      </w:r>
      <w:r w:rsidR="009B24CB" w:rsidRPr="006B63CF">
        <w:rPr>
          <w:rFonts w:ascii="Times New Roman" w:hAnsi="Times New Roman" w:cs="Times New Roman"/>
          <w:lang w:val="en-US"/>
        </w:rPr>
        <w:t xml:space="preserve">funding from public bodies both in urban areas aiming at </w:t>
      </w:r>
      <w:r w:rsidR="00D7458A" w:rsidRPr="006B63CF">
        <w:rPr>
          <w:rFonts w:ascii="Times New Roman" w:hAnsi="Times New Roman" w:cs="Times New Roman"/>
          <w:lang w:val="en-US"/>
        </w:rPr>
        <w:t xml:space="preserve">strengthening </w:t>
      </w:r>
      <w:r w:rsidR="009B24CB" w:rsidRPr="006B63CF">
        <w:rPr>
          <w:rFonts w:ascii="Times New Roman" w:hAnsi="Times New Roman" w:cs="Times New Roman"/>
          <w:lang w:val="en-US"/>
        </w:rPr>
        <w:t xml:space="preserve">their technological platforms (Osborne, 2017) </w:t>
      </w:r>
      <w:r w:rsidR="00BA20DD" w:rsidRPr="006B63CF">
        <w:rPr>
          <w:rFonts w:ascii="Times New Roman" w:hAnsi="Times New Roman" w:cs="Times New Roman"/>
          <w:lang w:val="en-US"/>
        </w:rPr>
        <w:t xml:space="preserve">as well as from governments </w:t>
      </w:r>
      <w:r w:rsidR="00E07B72" w:rsidRPr="006B63CF">
        <w:rPr>
          <w:rFonts w:ascii="Times New Roman" w:hAnsi="Times New Roman" w:cs="Times New Roman"/>
          <w:lang w:val="en-US"/>
        </w:rPr>
        <w:t xml:space="preserve">interested </w:t>
      </w:r>
      <w:r w:rsidR="00BA20DD" w:rsidRPr="006B63CF">
        <w:rPr>
          <w:rFonts w:ascii="Times New Roman" w:hAnsi="Times New Roman" w:cs="Times New Roman"/>
          <w:lang w:val="en-US"/>
        </w:rPr>
        <w:t>in founding tech-savvy cities from scratch (Sharma, 2019).</w:t>
      </w:r>
    </w:p>
    <w:p w14:paraId="04042BAA" w14:textId="454A786D" w:rsidR="00C25D37" w:rsidRPr="006B63CF" w:rsidRDefault="00BA20DD"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However, the Smart City planning paradigm is also eyed with suspicion </w:t>
      </w:r>
      <w:r w:rsidR="007A6332" w:rsidRPr="006B63CF">
        <w:rPr>
          <w:rFonts w:ascii="Times New Roman" w:hAnsi="Times New Roman" w:cs="Times New Roman"/>
          <w:lang w:val="en-US"/>
        </w:rPr>
        <w:t>considering</w:t>
      </w:r>
      <w:r w:rsidRPr="006B63CF">
        <w:rPr>
          <w:rFonts w:ascii="Times New Roman" w:hAnsi="Times New Roman" w:cs="Times New Roman"/>
          <w:lang w:val="en-US"/>
        </w:rPr>
        <w:t xml:space="preserve"> its alleged role in increasing inequalities. </w:t>
      </w:r>
      <w:r w:rsidR="003701F6" w:rsidRPr="006B63CF">
        <w:rPr>
          <w:rFonts w:ascii="Times New Roman" w:hAnsi="Times New Roman" w:cs="Times New Roman"/>
          <w:lang w:val="en-US"/>
        </w:rPr>
        <w:t xml:space="preserve">For instance, an article </w:t>
      </w:r>
      <w:r w:rsidR="00B53D90" w:rsidRPr="006B63CF">
        <w:rPr>
          <w:rFonts w:ascii="Times New Roman" w:hAnsi="Times New Roman" w:cs="Times New Roman"/>
          <w:lang w:val="en-US"/>
        </w:rPr>
        <w:t>in</w:t>
      </w:r>
      <w:r w:rsidR="003701F6" w:rsidRPr="006B63CF">
        <w:rPr>
          <w:rFonts w:ascii="Times New Roman" w:hAnsi="Times New Roman" w:cs="Times New Roman"/>
          <w:lang w:val="en-US"/>
        </w:rPr>
        <w:t xml:space="preserve"> The Guardian entitled “</w:t>
      </w:r>
      <w:r w:rsidR="003701F6" w:rsidRPr="006B63CF">
        <w:rPr>
          <w:rFonts w:ascii="Times New Roman" w:hAnsi="Times New Roman" w:cs="Times New Roman"/>
          <w:i/>
          <w:lang w:val="en-US"/>
        </w:rPr>
        <w:t>The truth about smart cities: In the end, they will destroy democracy</w:t>
      </w:r>
      <w:r w:rsidR="003701F6" w:rsidRPr="006B63CF">
        <w:rPr>
          <w:rFonts w:ascii="Times New Roman" w:hAnsi="Times New Roman" w:cs="Times New Roman"/>
          <w:lang w:val="en-US"/>
        </w:rPr>
        <w:t xml:space="preserve">” (Poole, 2014) lists several </w:t>
      </w:r>
      <w:r w:rsidR="00E07B72" w:rsidRPr="006B63CF">
        <w:rPr>
          <w:rFonts w:ascii="Times New Roman" w:hAnsi="Times New Roman" w:cs="Times New Roman"/>
          <w:lang w:val="en-US"/>
        </w:rPr>
        <w:t xml:space="preserve">strong </w:t>
      </w:r>
      <w:r w:rsidR="003701F6" w:rsidRPr="006B63CF">
        <w:rPr>
          <w:rFonts w:ascii="Times New Roman" w:hAnsi="Times New Roman" w:cs="Times New Roman"/>
          <w:lang w:val="en-US"/>
        </w:rPr>
        <w:t>arguments against the possibly unequal and anti-democratic effects that the pervasive diffusion of personal devices, coupled with the conferment of data thereby collected to private companies, may cause.</w:t>
      </w:r>
      <w:r w:rsidR="00D7458A" w:rsidRPr="006B63CF">
        <w:rPr>
          <w:rFonts w:ascii="Times New Roman" w:hAnsi="Times New Roman" w:cs="Times New Roman"/>
          <w:lang w:val="en-US"/>
        </w:rPr>
        <w:t xml:space="preserve"> For the sake of our work, a</w:t>
      </w:r>
      <w:r w:rsidR="00C25D37" w:rsidRPr="006B63CF">
        <w:rPr>
          <w:rFonts w:ascii="Times New Roman" w:hAnsi="Times New Roman" w:cs="Times New Roman"/>
          <w:lang w:val="en-US"/>
        </w:rPr>
        <w:t xml:space="preserve"> more specific critique against the potentially uneven impact of the diffusion of smart technologies in cities is presented in </w:t>
      </w:r>
      <w:proofErr w:type="spellStart"/>
      <w:r w:rsidR="00C25D37" w:rsidRPr="006B63CF">
        <w:rPr>
          <w:rFonts w:ascii="Times New Roman" w:hAnsi="Times New Roman" w:cs="Times New Roman"/>
          <w:lang w:val="en-US"/>
        </w:rPr>
        <w:t>Kharas</w:t>
      </w:r>
      <w:proofErr w:type="spellEnd"/>
      <w:r w:rsidR="00C25D37" w:rsidRPr="006B63CF">
        <w:rPr>
          <w:rFonts w:ascii="Times New Roman" w:hAnsi="Times New Roman" w:cs="Times New Roman"/>
          <w:lang w:val="en-US"/>
        </w:rPr>
        <w:t xml:space="preserve"> and </w:t>
      </w:r>
      <w:proofErr w:type="spellStart"/>
      <w:r w:rsidR="00C25D37" w:rsidRPr="006B63CF">
        <w:rPr>
          <w:rFonts w:ascii="Times New Roman" w:hAnsi="Times New Roman" w:cs="Times New Roman"/>
          <w:lang w:val="en-US"/>
        </w:rPr>
        <w:t>Remes</w:t>
      </w:r>
      <w:proofErr w:type="spellEnd"/>
      <w:r w:rsidR="00C25D37" w:rsidRPr="006B63CF">
        <w:rPr>
          <w:rFonts w:ascii="Times New Roman" w:hAnsi="Times New Roman" w:cs="Times New Roman"/>
          <w:lang w:val="en-US"/>
        </w:rPr>
        <w:t xml:space="preserve"> (2018), who </w:t>
      </w:r>
      <w:r w:rsidR="008F69AE" w:rsidRPr="006B63CF">
        <w:rPr>
          <w:rFonts w:ascii="Times New Roman" w:hAnsi="Times New Roman" w:cs="Times New Roman"/>
          <w:lang w:val="en-US"/>
        </w:rPr>
        <w:t>suggest</w:t>
      </w:r>
      <w:r w:rsidR="002A63C9" w:rsidRPr="006B63CF">
        <w:rPr>
          <w:rFonts w:ascii="Times New Roman" w:hAnsi="Times New Roman" w:cs="Times New Roman"/>
          <w:lang w:val="en-US"/>
        </w:rPr>
        <w:t xml:space="preserve"> </w:t>
      </w:r>
      <w:r w:rsidR="00C25D37" w:rsidRPr="006B63CF">
        <w:rPr>
          <w:rFonts w:ascii="Times New Roman" w:hAnsi="Times New Roman" w:cs="Times New Roman"/>
          <w:lang w:val="en-US"/>
        </w:rPr>
        <w:t xml:space="preserve">several possible examples of the channels through which income inequality may be spurred in Smart Cities, concluding nevertheless that whether this negative dystopia will actually take place really depends on the way </w:t>
      </w:r>
      <w:r w:rsidR="00811EB7" w:rsidRPr="006B63CF">
        <w:rPr>
          <w:rFonts w:ascii="Times New Roman" w:hAnsi="Times New Roman" w:cs="Times New Roman"/>
          <w:lang w:val="en-US"/>
        </w:rPr>
        <w:t xml:space="preserve">in which </w:t>
      </w:r>
      <w:r w:rsidR="00C25D37" w:rsidRPr="006B63CF">
        <w:rPr>
          <w:rFonts w:ascii="Times New Roman" w:hAnsi="Times New Roman" w:cs="Times New Roman"/>
          <w:lang w:val="en-US"/>
        </w:rPr>
        <w:t>urban smartness will be actually implemented.</w:t>
      </w:r>
    </w:p>
    <w:p w14:paraId="72AB6C0C" w14:textId="7ECCF73B" w:rsidR="001079F1" w:rsidRPr="006B63CF" w:rsidRDefault="00AA78CB"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Q</w:t>
      </w:r>
      <w:r w:rsidR="007D0853" w:rsidRPr="006B63CF">
        <w:rPr>
          <w:rFonts w:ascii="Times New Roman" w:hAnsi="Times New Roman" w:cs="Times New Roman"/>
          <w:lang w:val="en-US"/>
        </w:rPr>
        <w:t>uantitative research measuring the extent of urban smartness and its implications for economic outcomes is scant, making it difficult to understand the relationship between smartness and inequalit</w:t>
      </w:r>
      <w:r w:rsidRPr="006B63CF">
        <w:rPr>
          <w:rFonts w:ascii="Times New Roman" w:hAnsi="Times New Roman" w:cs="Times New Roman"/>
          <w:lang w:val="en-US"/>
        </w:rPr>
        <w:t>y</w:t>
      </w:r>
      <w:r w:rsidR="007D0853" w:rsidRPr="006B63CF">
        <w:rPr>
          <w:rFonts w:ascii="Times New Roman" w:hAnsi="Times New Roman" w:cs="Times New Roman"/>
          <w:lang w:val="en-US"/>
        </w:rPr>
        <w:t xml:space="preserve">. </w:t>
      </w:r>
      <w:r w:rsidR="003847FA" w:rsidRPr="006B63CF">
        <w:rPr>
          <w:rFonts w:ascii="Times New Roman" w:hAnsi="Times New Roman" w:cs="Times New Roman"/>
          <w:lang w:val="en-US"/>
        </w:rPr>
        <w:t xml:space="preserve">Critics of the Smart City concept often ground their concerns </w:t>
      </w:r>
      <w:r w:rsidR="00625EFD" w:rsidRPr="006B63CF">
        <w:rPr>
          <w:rFonts w:ascii="Times New Roman" w:hAnsi="Times New Roman" w:cs="Times New Roman"/>
          <w:lang w:val="en-US"/>
        </w:rPr>
        <w:t xml:space="preserve">in </w:t>
      </w:r>
      <w:r w:rsidR="003847FA" w:rsidRPr="006B63CF">
        <w:rPr>
          <w:rFonts w:ascii="Times New Roman" w:hAnsi="Times New Roman" w:cs="Times New Roman"/>
          <w:lang w:val="en-US"/>
        </w:rPr>
        <w:t xml:space="preserve">claiming that promoting urban smartness means increasing and exacerbating urban income inequality, mainly because of the involvement of large </w:t>
      </w:r>
      <w:r w:rsidR="006E1051" w:rsidRPr="006B63CF">
        <w:rPr>
          <w:rFonts w:ascii="Times New Roman" w:hAnsi="Times New Roman" w:cs="Times New Roman"/>
          <w:lang w:val="en-US"/>
        </w:rPr>
        <w:t xml:space="preserve">information </w:t>
      </w:r>
      <w:r w:rsidR="00CF7604" w:rsidRPr="006B63CF">
        <w:rPr>
          <w:rFonts w:ascii="Times New Roman" w:hAnsi="Times New Roman" w:cs="Times New Roman"/>
          <w:lang w:val="en-US"/>
        </w:rPr>
        <w:t>communication technology (</w:t>
      </w:r>
      <w:r w:rsidR="003847FA" w:rsidRPr="006B63CF">
        <w:rPr>
          <w:rFonts w:ascii="Times New Roman" w:hAnsi="Times New Roman" w:cs="Times New Roman"/>
          <w:lang w:val="en-US"/>
        </w:rPr>
        <w:t>ICT</w:t>
      </w:r>
      <w:r w:rsidR="00CF7604" w:rsidRPr="006B63CF">
        <w:rPr>
          <w:rFonts w:ascii="Times New Roman" w:hAnsi="Times New Roman" w:cs="Times New Roman"/>
          <w:lang w:val="en-US"/>
        </w:rPr>
        <w:t>)</w:t>
      </w:r>
      <w:r w:rsidR="003847FA" w:rsidRPr="006B63CF">
        <w:rPr>
          <w:rFonts w:ascii="Times New Roman" w:hAnsi="Times New Roman" w:cs="Times New Roman"/>
          <w:lang w:val="en-US"/>
        </w:rPr>
        <w:t xml:space="preserve"> corporations providing municipalities with the technical solutions for the functioning of Smart City projects</w:t>
      </w:r>
      <w:r w:rsidR="006C57D4" w:rsidRPr="006B63CF">
        <w:rPr>
          <w:rFonts w:ascii="Times New Roman" w:hAnsi="Times New Roman" w:cs="Times New Roman"/>
          <w:lang w:val="en-US"/>
        </w:rPr>
        <w:t xml:space="preserve"> (</w:t>
      </w:r>
      <w:r w:rsidR="003D104E" w:rsidRPr="006B63CF">
        <w:rPr>
          <w:rFonts w:ascii="Times New Roman" w:hAnsi="Times New Roman" w:cs="Times New Roman"/>
          <w:lang w:val="en-US"/>
        </w:rPr>
        <w:t>for a general overview see e.g.</w:t>
      </w:r>
      <w:r w:rsidR="006C57D4" w:rsidRPr="006B63CF">
        <w:rPr>
          <w:rFonts w:ascii="Times New Roman" w:hAnsi="Times New Roman" w:cs="Times New Roman"/>
          <w:lang w:val="en-US"/>
        </w:rPr>
        <w:t xml:space="preserve"> </w:t>
      </w:r>
      <w:r w:rsidR="00C27410" w:rsidRPr="006B63CF">
        <w:rPr>
          <w:rFonts w:ascii="Times New Roman" w:hAnsi="Times New Roman" w:cs="Times New Roman"/>
          <w:lang w:val="en-US"/>
        </w:rPr>
        <w:t>Shelton et al., 2015</w:t>
      </w:r>
      <w:r w:rsidR="0020404B" w:rsidRPr="006B63CF">
        <w:rPr>
          <w:rFonts w:ascii="Times New Roman" w:hAnsi="Times New Roman" w:cs="Times New Roman"/>
          <w:lang w:val="en-US"/>
        </w:rPr>
        <w:t xml:space="preserve">; </w:t>
      </w:r>
      <w:proofErr w:type="spellStart"/>
      <w:r w:rsidR="0020404B" w:rsidRPr="006B63CF">
        <w:rPr>
          <w:rFonts w:ascii="Times New Roman" w:hAnsi="Times New Roman" w:cs="Times New Roman"/>
          <w:lang w:val="en-US"/>
        </w:rPr>
        <w:t>Kitchin</w:t>
      </w:r>
      <w:proofErr w:type="spellEnd"/>
      <w:r w:rsidR="0020404B" w:rsidRPr="006B63CF">
        <w:rPr>
          <w:rFonts w:ascii="Times New Roman" w:hAnsi="Times New Roman" w:cs="Times New Roman"/>
          <w:lang w:val="en-US"/>
        </w:rPr>
        <w:t xml:space="preserve"> et al., 2019 </w:t>
      </w:r>
      <w:r w:rsidR="003D104E" w:rsidRPr="006B63CF">
        <w:rPr>
          <w:rFonts w:ascii="Times New Roman" w:hAnsi="Times New Roman" w:cs="Times New Roman"/>
          <w:lang w:val="en-US"/>
        </w:rPr>
        <w:t xml:space="preserve"> and </w:t>
      </w:r>
      <w:r w:rsidR="00C27410" w:rsidRPr="006B63CF">
        <w:rPr>
          <w:rFonts w:ascii="Times New Roman" w:hAnsi="Times New Roman" w:cs="Times New Roman"/>
          <w:lang w:val="en-US"/>
        </w:rPr>
        <w:t>Lee et al. (202</w:t>
      </w:r>
      <w:r w:rsidR="00D62363" w:rsidRPr="006B63CF">
        <w:rPr>
          <w:rFonts w:ascii="Times New Roman" w:hAnsi="Times New Roman" w:cs="Times New Roman"/>
          <w:lang w:val="en-US"/>
        </w:rPr>
        <w:t>0</w:t>
      </w:r>
      <w:r w:rsidR="00C27410" w:rsidRPr="006B63CF">
        <w:rPr>
          <w:rFonts w:ascii="Times New Roman" w:hAnsi="Times New Roman" w:cs="Times New Roman"/>
          <w:lang w:val="en-US"/>
        </w:rPr>
        <w:t>)</w:t>
      </w:r>
      <w:r w:rsidR="003D104E" w:rsidRPr="006B63CF">
        <w:rPr>
          <w:rFonts w:ascii="Times New Roman" w:hAnsi="Times New Roman" w:cs="Times New Roman"/>
          <w:lang w:val="en-US"/>
        </w:rPr>
        <w:t xml:space="preserve"> and Section 2.2 below</w:t>
      </w:r>
      <w:r w:rsidR="00DD4F78" w:rsidRPr="006B63CF">
        <w:rPr>
          <w:rFonts w:ascii="Times New Roman" w:hAnsi="Times New Roman" w:cs="Times New Roman"/>
          <w:lang w:val="en-US"/>
        </w:rPr>
        <w:t xml:space="preserve"> </w:t>
      </w:r>
      <w:r w:rsidR="00625ADB" w:rsidRPr="006B63CF">
        <w:rPr>
          <w:rFonts w:ascii="Times New Roman" w:hAnsi="Times New Roman" w:cs="Times New Roman"/>
          <w:lang w:val="en-US"/>
        </w:rPr>
        <w:t xml:space="preserve">highlighting </w:t>
      </w:r>
      <w:r w:rsidR="00A32AE1" w:rsidRPr="006B63CF">
        <w:rPr>
          <w:rFonts w:ascii="Times New Roman" w:hAnsi="Times New Roman" w:cs="Times New Roman"/>
          <w:lang w:val="en-US"/>
        </w:rPr>
        <w:t xml:space="preserve">in detail </w:t>
      </w:r>
      <w:r w:rsidR="00DD4F78" w:rsidRPr="006B63CF">
        <w:rPr>
          <w:rFonts w:ascii="Times New Roman" w:hAnsi="Times New Roman" w:cs="Times New Roman"/>
          <w:lang w:val="en-US"/>
        </w:rPr>
        <w:t>the literature examining the negative impact of Smart Cities on inequalities</w:t>
      </w:r>
      <w:r w:rsidR="003D104E" w:rsidRPr="006B63CF">
        <w:rPr>
          <w:rFonts w:ascii="Times New Roman" w:hAnsi="Times New Roman" w:cs="Times New Roman"/>
          <w:lang w:val="en-US"/>
        </w:rPr>
        <w:t>)</w:t>
      </w:r>
      <w:r w:rsidR="003847FA" w:rsidRPr="006B63CF">
        <w:rPr>
          <w:rFonts w:ascii="Times New Roman" w:hAnsi="Times New Roman" w:cs="Times New Roman"/>
          <w:lang w:val="en-US"/>
        </w:rPr>
        <w:t>. However, aside from anecdotal evidence and general conceptual claims, the link between urban smartness and income inequality has not been examined with rigorous empirical work.</w:t>
      </w:r>
      <w:r w:rsidR="0082673C" w:rsidRPr="006B63CF">
        <w:rPr>
          <w:rFonts w:ascii="Times New Roman" w:hAnsi="Times New Roman" w:cs="Times New Roman"/>
          <w:lang w:val="en-US"/>
        </w:rPr>
        <w:t xml:space="preserve"> Given the relevance of the concerns voiced by several scholars, </w:t>
      </w:r>
      <w:r w:rsidR="00977E0A" w:rsidRPr="006B63CF">
        <w:rPr>
          <w:rFonts w:ascii="Times New Roman" w:hAnsi="Times New Roman" w:cs="Times New Roman"/>
          <w:lang w:val="en-US"/>
        </w:rPr>
        <w:t xml:space="preserve">and the lack of </w:t>
      </w:r>
      <w:r w:rsidR="00A32AE1" w:rsidRPr="006B63CF">
        <w:rPr>
          <w:rFonts w:ascii="Times New Roman" w:hAnsi="Times New Roman" w:cs="Times New Roman"/>
          <w:lang w:val="en-US"/>
        </w:rPr>
        <w:t xml:space="preserve">sound </w:t>
      </w:r>
      <w:r w:rsidR="00977E0A" w:rsidRPr="006B63CF">
        <w:rPr>
          <w:rFonts w:ascii="Times New Roman" w:hAnsi="Times New Roman" w:cs="Times New Roman"/>
          <w:lang w:val="en-US"/>
        </w:rPr>
        <w:t xml:space="preserve">empirical verifications, a gap exists </w:t>
      </w:r>
      <w:r w:rsidR="00977E0A" w:rsidRPr="006B63CF">
        <w:rPr>
          <w:rFonts w:ascii="Times New Roman" w:hAnsi="Times New Roman" w:cs="Times New Roman"/>
          <w:lang w:val="en-US"/>
        </w:rPr>
        <w:lastRenderedPageBreak/>
        <w:t>in the literature which we address</w:t>
      </w:r>
      <w:r w:rsidR="0082673C" w:rsidRPr="006B63CF">
        <w:rPr>
          <w:rFonts w:ascii="Times New Roman" w:hAnsi="Times New Roman" w:cs="Times New Roman"/>
          <w:lang w:val="en-US"/>
        </w:rPr>
        <w:t>, taking stock of the theoretical arguments and insights provided in this stream of literature.</w:t>
      </w:r>
    </w:p>
    <w:p w14:paraId="1125E3C0" w14:textId="481A8D51" w:rsidR="00D7458A" w:rsidRPr="006B63CF" w:rsidRDefault="00977E0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T</w:t>
      </w:r>
      <w:r w:rsidR="003847FA" w:rsidRPr="006B63CF">
        <w:rPr>
          <w:rFonts w:ascii="Times New Roman" w:hAnsi="Times New Roman" w:cs="Times New Roman"/>
          <w:lang w:val="en-US"/>
        </w:rPr>
        <w:t xml:space="preserve">his paper </w:t>
      </w:r>
      <w:r w:rsidR="00A32AE1" w:rsidRPr="006B63CF">
        <w:rPr>
          <w:rFonts w:ascii="Times New Roman" w:hAnsi="Times New Roman" w:cs="Times New Roman"/>
          <w:lang w:val="en-US"/>
        </w:rPr>
        <w:t xml:space="preserve">thus </w:t>
      </w:r>
      <w:r w:rsidR="003847FA" w:rsidRPr="006B63CF">
        <w:rPr>
          <w:rFonts w:ascii="Times New Roman" w:hAnsi="Times New Roman" w:cs="Times New Roman"/>
          <w:lang w:val="en-US"/>
        </w:rPr>
        <w:t>provid</w:t>
      </w:r>
      <w:r w:rsidRPr="006B63CF">
        <w:rPr>
          <w:rFonts w:ascii="Times New Roman" w:hAnsi="Times New Roman" w:cs="Times New Roman"/>
          <w:lang w:val="en-US"/>
        </w:rPr>
        <w:t>es</w:t>
      </w:r>
      <w:r w:rsidR="003847FA" w:rsidRPr="006B63CF">
        <w:rPr>
          <w:rFonts w:ascii="Times New Roman" w:hAnsi="Times New Roman" w:cs="Times New Roman"/>
          <w:lang w:val="en-US"/>
        </w:rPr>
        <w:t xml:space="preserve"> a new understanding of the inequality implications of </w:t>
      </w:r>
      <w:r w:rsidR="00625EFD" w:rsidRPr="006B63CF">
        <w:rPr>
          <w:rFonts w:ascii="Times New Roman" w:hAnsi="Times New Roman" w:cs="Times New Roman"/>
          <w:lang w:val="en-US"/>
        </w:rPr>
        <w:t xml:space="preserve">the </w:t>
      </w:r>
      <w:r w:rsidR="003847FA" w:rsidRPr="006B63CF">
        <w:rPr>
          <w:rFonts w:ascii="Times New Roman" w:hAnsi="Times New Roman" w:cs="Times New Roman"/>
          <w:lang w:val="en-US"/>
        </w:rPr>
        <w:t xml:space="preserve">Smart </w:t>
      </w:r>
      <w:r w:rsidR="00625EFD" w:rsidRPr="006B63CF">
        <w:rPr>
          <w:rFonts w:ascii="Times New Roman" w:hAnsi="Times New Roman" w:cs="Times New Roman"/>
          <w:lang w:val="en-US"/>
        </w:rPr>
        <w:t>City paradigm</w:t>
      </w:r>
      <w:r w:rsidRPr="006B63CF">
        <w:rPr>
          <w:rFonts w:ascii="Times New Roman" w:hAnsi="Times New Roman" w:cs="Times New Roman"/>
          <w:lang w:val="en-US"/>
        </w:rPr>
        <w:t xml:space="preserve">, by </w:t>
      </w:r>
      <w:r w:rsidR="00D7458A" w:rsidRPr="006B63CF">
        <w:rPr>
          <w:rFonts w:ascii="Times New Roman" w:hAnsi="Times New Roman" w:cs="Times New Roman"/>
          <w:lang w:val="en-US"/>
        </w:rPr>
        <w:t>answering the following research question: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8966"/>
      </w:tblGrid>
      <w:tr w:rsidR="00D7458A" w:rsidRPr="006B63CF" w14:paraId="585A2FC0" w14:textId="77777777" w:rsidTr="00625EFD">
        <w:tc>
          <w:tcPr>
            <w:tcW w:w="675" w:type="dxa"/>
          </w:tcPr>
          <w:p w14:paraId="759EF385" w14:textId="77777777" w:rsidR="00D7458A" w:rsidRPr="006B63CF" w:rsidRDefault="00D7458A" w:rsidP="00302FB0">
            <w:pPr>
              <w:spacing w:line="480" w:lineRule="auto"/>
              <w:jc w:val="both"/>
              <w:rPr>
                <w:rFonts w:ascii="Times New Roman" w:hAnsi="Times New Roman" w:cs="Times New Roman"/>
                <w:i/>
                <w:lang w:val="en-US"/>
              </w:rPr>
            </w:pPr>
            <w:r w:rsidRPr="006B63CF">
              <w:rPr>
                <w:rFonts w:ascii="Times New Roman" w:hAnsi="Times New Roman" w:cs="Times New Roman"/>
                <w:i/>
                <w:lang w:val="en-US"/>
              </w:rPr>
              <w:t>RQ</w:t>
            </w:r>
          </w:p>
        </w:tc>
        <w:tc>
          <w:tcPr>
            <w:tcW w:w="9103" w:type="dxa"/>
          </w:tcPr>
          <w:p w14:paraId="6DF12D0D" w14:textId="77777777" w:rsidR="00D7458A" w:rsidRPr="006B63CF" w:rsidRDefault="00D7458A" w:rsidP="00302FB0">
            <w:pPr>
              <w:spacing w:line="480" w:lineRule="auto"/>
              <w:jc w:val="both"/>
              <w:rPr>
                <w:rFonts w:ascii="Times New Roman" w:hAnsi="Times New Roman" w:cs="Times New Roman"/>
                <w:i/>
                <w:lang w:val="en-US"/>
              </w:rPr>
            </w:pPr>
            <w:r w:rsidRPr="006B63CF">
              <w:rPr>
                <w:rFonts w:ascii="Times New Roman" w:hAnsi="Times New Roman" w:cs="Times New Roman"/>
                <w:i/>
                <w:lang w:val="en-US"/>
              </w:rPr>
              <w:t>Are Smart City characteristics associated with higher levels of urban income inequality?</w:t>
            </w:r>
          </w:p>
        </w:tc>
      </w:tr>
    </w:tbl>
    <w:p w14:paraId="713ADDF6" w14:textId="2546CEE8" w:rsidR="00D7458A" w:rsidRPr="006B63CF" w:rsidRDefault="00D7458A" w:rsidP="00853717">
      <w:pPr>
        <w:spacing w:before="120" w:line="480" w:lineRule="auto"/>
        <w:jc w:val="both"/>
        <w:rPr>
          <w:rFonts w:ascii="Times New Roman" w:hAnsi="Times New Roman" w:cs="Times New Roman"/>
          <w:lang w:val="en-US"/>
        </w:rPr>
      </w:pPr>
      <w:r w:rsidRPr="006B63CF">
        <w:rPr>
          <w:rFonts w:ascii="Times New Roman" w:hAnsi="Times New Roman" w:cs="Times New Roman"/>
          <w:lang w:val="en-US"/>
        </w:rPr>
        <w:t>In answering this research question, our contribution to the literature is threefold</w:t>
      </w:r>
      <w:r w:rsidR="00853717" w:rsidRPr="006B63CF">
        <w:rPr>
          <w:rFonts w:ascii="Times New Roman" w:hAnsi="Times New Roman" w:cs="Times New Roman"/>
          <w:lang w:val="en-US"/>
        </w:rPr>
        <w:t>. F</w:t>
      </w:r>
      <w:r w:rsidRPr="006B63CF">
        <w:rPr>
          <w:rFonts w:ascii="Times New Roman" w:hAnsi="Times New Roman" w:cs="Times New Roman"/>
          <w:lang w:val="en-US"/>
        </w:rPr>
        <w:t xml:space="preserve">irst, we use a quantitative indicator of smart urban features. This allows to assess the degree to which cities truly reach smartness goals along </w:t>
      </w:r>
      <w:r w:rsidR="00913643" w:rsidRPr="006B63CF">
        <w:rPr>
          <w:rFonts w:ascii="Times New Roman" w:hAnsi="Times New Roman" w:cs="Times New Roman"/>
          <w:lang w:val="en-US"/>
        </w:rPr>
        <w:t xml:space="preserve">the lines of </w:t>
      </w:r>
      <w:r w:rsidRPr="006B63CF">
        <w:rPr>
          <w:rFonts w:ascii="Times New Roman" w:hAnsi="Times New Roman" w:cs="Times New Roman"/>
          <w:lang w:val="en-US"/>
        </w:rPr>
        <w:t>a comprehensive theoretical definition</w:t>
      </w:r>
      <w:r w:rsidR="00A32AE1" w:rsidRPr="006B63CF">
        <w:rPr>
          <w:rFonts w:ascii="Times New Roman" w:hAnsi="Times New Roman" w:cs="Times New Roman"/>
          <w:lang w:val="en-US"/>
        </w:rPr>
        <w:t xml:space="preserve">, which takes stock of </w:t>
      </w:r>
      <w:r w:rsidR="00EC5C8F" w:rsidRPr="006B63CF">
        <w:rPr>
          <w:rFonts w:ascii="Times New Roman" w:hAnsi="Times New Roman" w:cs="Times New Roman"/>
          <w:lang w:val="en-US"/>
        </w:rPr>
        <w:t xml:space="preserve">and builds on </w:t>
      </w:r>
      <w:r w:rsidR="00A32AE1" w:rsidRPr="006B63CF">
        <w:rPr>
          <w:rFonts w:ascii="Times New Roman" w:hAnsi="Times New Roman" w:cs="Times New Roman"/>
          <w:lang w:val="en-US"/>
        </w:rPr>
        <w:t xml:space="preserve">previous definition and represents </w:t>
      </w:r>
      <w:proofErr w:type="gramStart"/>
      <w:r w:rsidR="00A32AE1" w:rsidRPr="006B63CF">
        <w:rPr>
          <w:rFonts w:ascii="Times New Roman" w:hAnsi="Times New Roman" w:cs="Times New Roman"/>
          <w:lang w:val="en-US"/>
        </w:rPr>
        <w:t>an</w:t>
      </w:r>
      <w:proofErr w:type="gramEnd"/>
      <w:r w:rsidR="00A32AE1" w:rsidRPr="006B63CF">
        <w:rPr>
          <w:rFonts w:ascii="Times New Roman" w:hAnsi="Times New Roman" w:cs="Times New Roman"/>
          <w:lang w:val="en-US"/>
        </w:rPr>
        <w:t xml:space="preserve"> </w:t>
      </w:r>
      <w:r w:rsidR="00EC5C8F" w:rsidRPr="006B63CF">
        <w:rPr>
          <w:rFonts w:ascii="Times New Roman" w:hAnsi="Times New Roman" w:cs="Times New Roman"/>
          <w:lang w:val="en-US"/>
        </w:rPr>
        <w:t>broad</w:t>
      </w:r>
      <w:r w:rsidR="00A32AE1" w:rsidRPr="006B63CF">
        <w:rPr>
          <w:rFonts w:ascii="Times New Roman" w:hAnsi="Times New Roman" w:cs="Times New Roman"/>
          <w:lang w:val="en-US"/>
        </w:rPr>
        <w:t xml:space="preserve"> view of Smart Cities</w:t>
      </w:r>
      <w:r w:rsidRPr="006B63CF">
        <w:rPr>
          <w:rFonts w:ascii="Times New Roman" w:hAnsi="Times New Roman" w:cs="Times New Roman"/>
          <w:lang w:val="en-US"/>
        </w:rPr>
        <w:t xml:space="preserve"> (Caragliu et al., 2011</w:t>
      </w:r>
      <w:r w:rsidR="00EF6F36" w:rsidRPr="006B63CF">
        <w:rPr>
          <w:rFonts w:ascii="Times New Roman" w:hAnsi="Times New Roman" w:cs="Times New Roman"/>
          <w:lang w:val="en-US"/>
        </w:rPr>
        <w:t>; see Section 2.</w:t>
      </w:r>
      <w:r w:rsidR="00843798" w:rsidRPr="006B63CF">
        <w:rPr>
          <w:rFonts w:ascii="Times New Roman" w:hAnsi="Times New Roman" w:cs="Times New Roman"/>
          <w:lang w:val="en-US"/>
        </w:rPr>
        <w:t>2</w:t>
      </w:r>
      <w:r w:rsidR="00EF6F36" w:rsidRPr="006B63CF">
        <w:rPr>
          <w:rFonts w:ascii="Times New Roman" w:hAnsi="Times New Roman" w:cs="Times New Roman"/>
          <w:lang w:val="en-US"/>
        </w:rPr>
        <w:t>)</w:t>
      </w:r>
      <w:r w:rsidR="00266829" w:rsidRPr="006B63CF">
        <w:rPr>
          <w:rFonts w:ascii="Times New Roman" w:hAnsi="Times New Roman" w:cs="Times New Roman"/>
          <w:lang w:val="en-US"/>
        </w:rPr>
        <w:t>. We also explore whether using other definitions used in the lit</w:t>
      </w:r>
      <w:r w:rsidR="0082673C" w:rsidRPr="006B63CF">
        <w:rPr>
          <w:rFonts w:ascii="Times New Roman" w:hAnsi="Times New Roman" w:cs="Times New Roman"/>
          <w:lang w:val="en-US"/>
        </w:rPr>
        <w:t>erature alters our main message</w:t>
      </w:r>
      <w:r w:rsidR="00853717" w:rsidRPr="006B63CF">
        <w:rPr>
          <w:rFonts w:ascii="Times New Roman" w:hAnsi="Times New Roman" w:cs="Times New Roman"/>
          <w:lang w:val="en-US"/>
        </w:rPr>
        <w:t xml:space="preserve">. </w:t>
      </w:r>
      <w:r w:rsidRPr="006B63CF">
        <w:rPr>
          <w:rFonts w:ascii="Times New Roman" w:hAnsi="Times New Roman" w:cs="Times New Roman"/>
          <w:lang w:val="en-US"/>
        </w:rPr>
        <w:t xml:space="preserve">Second, we link this Smart City indicator to income inequality, </w:t>
      </w:r>
      <w:r w:rsidR="00E07B72" w:rsidRPr="006B63CF">
        <w:rPr>
          <w:rFonts w:ascii="Times New Roman" w:hAnsi="Times New Roman" w:cs="Times New Roman"/>
          <w:lang w:val="en-US"/>
        </w:rPr>
        <w:t xml:space="preserve">thus </w:t>
      </w:r>
      <w:r w:rsidRPr="006B63CF">
        <w:rPr>
          <w:rFonts w:ascii="Times New Roman" w:hAnsi="Times New Roman" w:cs="Times New Roman"/>
          <w:lang w:val="en-US"/>
        </w:rPr>
        <w:t>allowing inference on the relative influence of urban smartness on urban income inequalities, controlling for other relevant urban features. This makes our results potentially replicable</w:t>
      </w:r>
      <w:r w:rsidR="00853717" w:rsidRPr="006B63CF">
        <w:rPr>
          <w:rFonts w:ascii="Times New Roman" w:hAnsi="Times New Roman" w:cs="Times New Roman"/>
          <w:lang w:val="en-US"/>
        </w:rPr>
        <w:t xml:space="preserve">. </w:t>
      </w:r>
      <w:r w:rsidRPr="006B63CF">
        <w:rPr>
          <w:rFonts w:ascii="Times New Roman" w:hAnsi="Times New Roman" w:cs="Times New Roman"/>
          <w:lang w:val="en-US"/>
        </w:rPr>
        <w:t>Third, we go beyond simple correlations by means of</w:t>
      </w:r>
      <w:r w:rsidR="008B55A8" w:rsidRPr="006B63CF">
        <w:rPr>
          <w:rFonts w:ascii="Times New Roman" w:hAnsi="Times New Roman" w:cs="Times New Roman"/>
          <w:lang w:val="en-US"/>
        </w:rPr>
        <w:t xml:space="preserve"> Instrumental Variables</w:t>
      </w:r>
      <w:r w:rsidRPr="006B63CF">
        <w:rPr>
          <w:rFonts w:ascii="Times New Roman" w:hAnsi="Times New Roman" w:cs="Times New Roman"/>
          <w:lang w:val="en-US"/>
        </w:rPr>
        <w:t xml:space="preserve"> </w:t>
      </w:r>
      <w:r w:rsidR="008B55A8" w:rsidRPr="006B63CF">
        <w:rPr>
          <w:rFonts w:ascii="Times New Roman" w:hAnsi="Times New Roman" w:cs="Times New Roman"/>
          <w:lang w:val="en-US"/>
        </w:rPr>
        <w:t>(</w:t>
      </w:r>
      <w:r w:rsidRPr="006B63CF">
        <w:rPr>
          <w:rFonts w:ascii="Times New Roman" w:hAnsi="Times New Roman" w:cs="Times New Roman"/>
          <w:lang w:val="en-US"/>
        </w:rPr>
        <w:t>IV</w:t>
      </w:r>
      <w:r w:rsidR="008B55A8" w:rsidRPr="006B63CF">
        <w:rPr>
          <w:rFonts w:ascii="Times New Roman" w:hAnsi="Times New Roman" w:cs="Times New Roman"/>
          <w:lang w:val="en-US"/>
        </w:rPr>
        <w:t>)</w:t>
      </w:r>
      <w:r w:rsidRPr="006B63CF">
        <w:rPr>
          <w:rFonts w:ascii="Times New Roman" w:hAnsi="Times New Roman" w:cs="Times New Roman"/>
          <w:lang w:val="en-US"/>
        </w:rPr>
        <w:t xml:space="preserve"> techniques.</w:t>
      </w:r>
    </w:p>
    <w:p w14:paraId="6E245274" w14:textId="65DE36C3" w:rsidR="00D64F8C" w:rsidRPr="006B63CF" w:rsidRDefault="00D64F8C"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In order to operationalize the quantitative assessment of urban smartness, we adopt the definition suggested in Caragliu et al. (2011), where cities are identified as smart when: “</w:t>
      </w:r>
      <w:r w:rsidRPr="006B63CF">
        <w:rPr>
          <w:rFonts w:ascii="Times New Roman" w:hAnsi="Times New Roman" w:cs="Times New Roman"/>
          <w:i/>
          <w:iCs/>
          <w:lang w:val="en-US"/>
        </w:rPr>
        <w:t>investments in human and social capital and traditional (transport) and modern (ICT) communication infrastructure fuel sustainable economic growth and a high quality of life, with a wise management of natural resources, through participatory governance</w:t>
      </w:r>
      <w:r w:rsidRPr="006B63CF">
        <w:rPr>
          <w:rFonts w:ascii="Times New Roman" w:hAnsi="Times New Roman" w:cs="Times New Roman"/>
          <w:lang w:val="en-US"/>
        </w:rPr>
        <w:t>”.</w:t>
      </w:r>
    </w:p>
    <w:p w14:paraId="7A620B38" w14:textId="5F662EF5" w:rsidR="00D7458A" w:rsidRPr="006B63CF" w:rsidRDefault="00D7458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All in all, our empirical results suggest that, contrary to a widely held belief, Smart Cities tend to be characterized by lower levels of income inequalities. Results hold both using standard measures of the latter (Gini Index) as well with the use of indices capturing the welfare preferences for inequality levels at the different layers of the income distribution.</w:t>
      </w:r>
    </w:p>
    <w:p w14:paraId="1E555011" w14:textId="666D6CFD" w:rsidR="00D7458A" w:rsidRPr="006B63CF" w:rsidRDefault="00D7458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The paper is organized as follows. In Section 2 we review the main reference literature, grounding </w:t>
      </w:r>
      <w:r w:rsidR="007A6332" w:rsidRPr="006B63CF">
        <w:rPr>
          <w:rFonts w:ascii="Times New Roman" w:hAnsi="Times New Roman" w:cs="Times New Roman"/>
          <w:lang w:val="en-US"/>
        </w:rPr>
        <w:t>our</w:t>
      </w:r>
      <w:r w:rsidRPr="006B63CF">
        <w:rPr>
          <w:rFonts w:ascii="Times New Roman" w:hAnsi="Times New Roman" w:cs="Times New Roman"/>
          <w:lang w:val="en-US"/>
        </w:rPr>
        <w:t xml:space="preserve"> research question in extant contributions. Section 3 presents the data base collected for this study and the indicators used in the empirical analyses. Section 4 presents the empirical results of our analyses, while Section 5 concludes with some fundamental message of policy that can be drawn from our findings.</w:t>
      </w:r>
    </w:p>
    <w:p w14:paraId="0EFB1781" w14:textId="77777777" w:rsidR="005B2CA5" w:rsidRPr="006B63CF" w:rsidRDefault="005B2CA5" w:rsidP="00302FB0">
      <w:pPr>
        <w:spacing w:line="480" w:lineRule="auto"/>
        <w:jc w:val="both"/>
        <w:rPr>
          <w:rFonts w:ascii="Times New Roman" w:hAnsi="Times New Roman" w:cs="Times New Roman"/>
          <w:lang w:val="en-US"/>
        </w:rPr>
      </w:pPr>
    </w:p>
    <w:p w14:paraId="63469BCC" w14:textId="44512A55" w:rsidR="00BF196B" w:rsidRPr="006B63CF" w:rsidRDefault="00775131" w:rsidP="00491E65">
      <w:pPr>
        <w:pStyle w:val="Titolo1"/>
        <w:spacing w:line="480" w:lineRule="auto"/>
        <w:jc w:val="both"/>
      </w:pPr>
      <w:r w:rsidRPr="006B63CF">
        <w:lastRenderedPageBreak/>
        <w:t>Are Smart Cities more unequal?</w:t>
      </w:r>
    </w:p>
    <w:p w14:paraId="27A39008" w14:textId="2431FF9E" w:rsidR="00BF196B" w:rsidRPr="006B63CF" w:rsidRDefault="00BF196B"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Our work draws from </w:t>
      </w:r>
      <w:r w:rsidR="00D7458A" w:rsidRPr="006B63CF">
        <w:rPr>
          <w:rFonts w:ascii="Times New Roman" w:hAnsi="Times New Roman" w:cs="Times New Roman"/>
          <w:lang w:val="en-US"/>
        </w:rPr>
        <w:t>three</w:t>
      </w:r>
      <w:r w:rsidRPr="006B63CF">
        <w:rPr>
          <w:rFonts w:ascii="Times New Roman" w:hAnsi="Times New Roman" w:cs="Times New Roman"/>
          <w:lang w:val="en-US"/>
        </w:rPr>
        <w:t xml:space="preserve"> main strands of literature. The first comprises </w:t>
      </w:r>
      <w:r w:rsidR="00161C30" w:rsidRPr="006B63CF">
        <w:rPr>
          <w:rFonts w:ascii="Times New Roman" w:hAnsi="Times New Roman" w:cs="Times New Roman"/>
          <w:lang w:val="en-US"/>
        </w:rPr>
        <w:t>works</w:t>
      </w:r>
      <w:r w:rsidRPr="006B63CF">
        <w:rPr>
          <w:rFonts w:ascii="Times New Roman" w:hAnsi="Times New Roman" w:cs="Times New Roman"/>
          <w:lang w:val="en-US"/>
        </w:rPr>
        <w:t xml:space="preserve"> that examine the determinants of income inequality</w:t>
      </w:r>
      <w:r w:rsidR="00EF6F36" w:rsidRPr="006B63CF">
        <w:rPr>
          <w:rFonts w:ascii="Times New Roman" w:hAnsi="Times New Roman" w:cs="Times New Roman"/>
          <w:lang w:val="en-US"/>
        </w:rPr>
        <w:t xml:space="preserve"> </w:t>
      </w:r>
      <w:r w:rsidRPr="006B63CF">
        <w:rPr>
          <w:rFonts w:ascii="Times New Roman" w:hAnsi="Times New Roman" w:cs="Times New Roman"/>
          <w:lang w:val="en-US"/>
        </w:rPr>
        <w:t>at the national level</w:t>
      </w:r>
      <w:r w:rsidR="00843798" w:rsidRPr="006B63CF">
        <w:rPr>
          <w:rFonts w:ascii="Times New Roman" w:hAnsi="Times New Roman" w:cs="Times New Roman"/>
          <w:lang w:val="en-US"/>
        </w:rPr>
        <w:t>; for reasons of space limitations, this angle is presented in Technical Appendix A.1</w:t>
      </w:r>
      <w:r w:rsidRPr="006B63CF">
        <w:rPr>
          <w:rFonts w:ascii="Times New Roman" w:hAnsi="Times New Roman" w:cs="Times New Roman"/>
          <w:lang w:val="en-US"/>
        </w:rPr>
        <w:t xml:space="preserve">. The second consists of research </w:t>
      </w:r>
      <w:r w:rsidR="00EF6F36" w:rsidRPr="006B63CF">
        <w:rPr>
          <w:rFonts w:ascii="Times New Roman" w:hAnsi="Times New Roman" w:cs="Times New Roman"/>
          <w:lang w:val="en-US"/>
        </w:rPr>
        <w:t>focusing on local (urban) determinants of income inequality</w:t>
      </w:r>
      <w:r w:rsidRPr="006B63CF">
        <w:rPr>
          <w:rFonts w:ascii="Times New Roman" w:hAnsi="Times New Roman" w:cs="Times New Roman"/>
          <w:lang w:val="en-US"/>
        </w:rPr>
        <w:t>.</w:t>
      </w:r>
      <w:r w:rsidR="001079F1" w:rsidRPr="006B63CF">
        <w:rPr>
          <w:rFonts w:ascii="Times New Roman" w:hAnsi="Times New Roman" w:cs="Times New Roman"/>
          <w:lang w:val="en-US"/>
        </w:rPr>
        <w:t xml:space="preserve"> The third summarizes </w:t>
      </w:r>
      <w:r w:rsidR="00EF6F36" w:rsidRPr="006B63CF">
        <w:rPr>
          <w:rFonts w:ascii="Times New Roman" w:hAnsi="Times New Roman" w:cs="Times New Roman"/>
          <w:lang w:val="en-US"/>
        </w:rPr>
        <w:t xml:space="preserve">instead </w:t>
      </w:r>
      <w:r w:rsidR="001079F1" w:rsidRPr="006B63CF">
        <w:rPr>
          <w:rFonts w:ascii="Times New Roman" w:hAnsi="Times New Roman" w:cs="Times New Roman"/>
          <w:lang w:val="en-US"/>
        </w:rPr>
        <w:t>arguments in favor and against the inequality-enhancing role of smart city characteristics.</w:t>
      </w:r>
    </w:p>
    <w:p w14:paraId="2B1B3294" w14:textId="34E0C014" w:rsidR="00775131" w:rsidRPr="006B63CF" w:rsidRDefault="00775131" w:rsidP="00302FB0">
      <w:pPr>
        <w:pStyle w:val="Titolo2"/>
        <w:spacing w:line="480" w:lineRule="auto"/>
        <w:jc w:val="both"/>
        <w:rPr>
          <w:lang w:val="en-US"/>
        </w:rPr>
      </w:pPr>
      <w:r w:rsidRPr="006B63CF">
        <w:rPr>
          <w:lang w:val="en-US"/>
        </w:rPr>
        <w:t>Income inequalities at the city level</w:t>
      </w:r>
    </w:p>
    <w:p w14:paraId="2E440990" w14:textId="7F24BEC1" w:rsidR="006F7BB8" w:rsidRPr="006B63CF" w:rsidRDefault="00843798"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W</w:t>
      </w:r>
      <w:r w:rsidR="0031593B" w:rsidRPr="006B63CF">
        <w:rPr>
          <w:rFonts w:ascii="Times New Roman" w:hAnsi="Times New Roman" w:cs="Times New Roman"/>
          <w:lang w:val="en-US"/>
        </w:rPr>
        <w:t>hile</w:t>
      </w:r>
      <w:r w:rsidRPr="006B63CF">
        <w:rPr>
          <w:rFonts w:ascii="Times New Roman" w:hAnsi="Times New Roman" w:cs="Times New Roman"/>
          <w:lang w:val="en-US"/>
        </w:rPr>
        <w:t xml:space="preserve"> robust empirical evidence is available on the Country-level determinants of income inequalities, relatively f</w:t>
      </w:r>
      <w:r w:rsidR="00D71A21" w:rsidRPr="006B63CF">
        <w:rPr>
          <w:rFonts w:ascii="Times New Roman" w:hAnsi="Times New Roman" w:cs="Times New Roman"/>
          <w:lang w:val="en-US"/>
        </w:rPr>
        <w:t xml:space="preserve">ewer works </w:t>
      </w:r>
      <w:r w:rsidRPr="006B63CF">
        <w:rPr>
          <w:rFonts w:ascii="Times New Roman" w:hAnsi="Times New Roman" w:cs="Times New Roman"/>
          <w:lang w:val="en-US"/>
        </w:rPr>
        <w:t xml:space="preserve">focus on </w:t>
      </w:r>
      <w:r w:rsidR="00D71A21" w:rsidRPr="006B63CF">
        <w:rPr>
          <w:rFonts w:ascii="Times New Roman" w:hAnsi="Times New Roman" w:cs="Times New Roman"/>
          <w:lang w:val="en-US"/>
        </w:rPr>
        <w:t>the regional and urban levels.</w:t>
      </w:r>
      <w:r w:rsidR="005C3F79" w:rsidRPr="006B63CF">
        <w:rPr>
          <w:rFonts w:ascii="Times New Roman" w:hAnsi="Times New Roman" w:cs="Times New Roman"/>
          <w:lang w:val="en-US"/>
        </w:rPr>
        <w:t xml:space="preserve"> </w:t>
      </w:r>
      <w:r w:rsidR="00177369" w:rsidRPr="006B63CF">
        <w:rPr>
          <w:rFonts w:ascii="Times New Roman" w:hAnsi="Times New Roman" w:cs="Times New Roman"/>
          <w:lang w:val="en-US"/>
        </w:rPr>
        <w:t xml:space="preserve">At the national level, </w:t>
      </w:r>
      <w:r w:rsidR="00891626" w:rsidRPr="006B63CF">
        <w:rPr>
          <w:rFonts w:ascii="Times New Roman" w:hAnsi="Times New Roman" w:cs="Times New Roman"/>
          <w:lang w:val="en-US"/>
        </w:rPr>
        <w:t>aggregate macroeconomic conditions, including the level of development, and structural characteristics, including institutional factors, are important correlates of income inequality</w:t>
      </w:r>
      <w:r w:rsidR="00177369" w:rsidRPr="006B63CF">
        <w:rPr>
          <w:rFonts w:ascii="Times New Roman" w:hAnsi="Times New Roman" w:cs="Times New Roman"/>
          <w:lang w:val="en-US"/>
        </w:rPr>
        <w:t xml:space="preserve"> (see the Technical Appendix for more details). Among the</w:t>
      </w:r>
      <w:r w:rsidR="006F7BB8" w:rsidRPr="006B63CF">
        <w:rPr>
          <w:rFonts w:ascii="Times New Roman" w:hAnsi="Times New Roman" w:cs="Times New Roman"/>
          <w:lang w:val="en-US"/>
        </w:rPr>
        <w:t xml:space="preserve"> relatively scarcer </w:t>
      </w:r>
      <w:r w:rsidR="0031593B" w:rsidRPr="006B63CF">
        <w:rPr>
          <w:rFonts w:ascii="Times New Roman" w:hAnsi="Times New Roman" w:cs="Times New Roman"/>
          <w:lang w:val="en-US"/>
        </w:rPr>
        <w:t>contributions</w:t>
      </w:r>
      <w:r w:rsidR="00177369" w:rsidRPr="006B63CF">
        <w:rPr>
          <w:rFonts w:ascii="Times New Roman" w:hAnsi="Times New Roman" w:cs="Times New Roman"/>
          <w:lang w:val="en-US"/>
        </w:rPr>
        <w:t xml:space="preserve"> at the </w:t>
      </w:r>
      <w:r w:rsidR="00266829" w:rsidRPr="006B63CF">
        <w:rPr>
          <w:rFonts w:ascii="Times New Roman" w:hAnsi="Times New Roman" w:cs="Times New Roman"/>
          <w:lang w:val="en-US"/>
        </w:rPr>
        <w:t>local</w:t>
      </w:r>
      <w:r w:rsidR="00177369" w:rsidRPr="006B63CF">
        <w:rPr>
          <w:rFonts w:ascii="Times New Roman" w:hAnsi="Times New Roman" w:cs="Times New Roman"/>
          <w:lang w:val="en-US"/>
        </w:rPr>
        <w:t xml:space="preserve"> level</w:t>
      </w:r>
      <w:r w:rsidR="006F7BB8" w:rsidRPr="006B63CF">
        <w:rPr>
          <w:rFonts w:ascii="Times New Roman" w:hAnsi="Times New Roman" w:cs="Times New Roman"/>
          <w:lang w:val="en-US"/>
        </w:rPr>
        <w:t xml:space="preserve">, a first-hand baseline classification of the extant literature can be based on aggregating works </w:t>
      </w:r>
      <w:r w:rsidR="0031593B" w:rsidRPr="006B63CF">
        <w:rPr>
          <w:rFonts w:ascii="Times New Roman" w:hAnsi="Times New Roman" w:cs="Times New Roman"/>
          <w:lang w:val="en-US"/>
        </w:rPr>
        <w:t>d</w:t>
      </w:r>
      <w:r w:rsidR="0054092C" w:rsidRPr="006B63CF">
        <w:rPr>
          <w:rFonts w:ascii="Times New Roman" w:hAnsi="Times New Roman" w:cs="Times New Roman"/>
          <w:lang w:val="en-US"/>
        </w:rPr>
        <w:t>epending on</w:t>
      </w:r>
      <w:r w:rsidR="006F7BB8" w:rsidRPr="006B63CF">
        <w:rPr>
          <w:rFonts w:ascii="Times New Roman" w:hAnsi="Times New Roman" w:cs="Times New Roman"/>
          <w:lang w:val="en-US"/>
        </w:rPr>
        <w:t xml:space="preserve"> whether urban and regional income inequality </w:t>
      </w:r>
      <w:r w:rsidR="00B35B6A" w:rsidRPr="006B63CF">
        <w:rPr>
          <w:rFonts w:ascii="Times New Roman" w:hAnsi="Times New Roman" w:cs="Times New Roman"/>
          <w:lang w:val="en-US"/>
        </w:rPr>
        <w:t>are</w:t>
      </w:r>
      <w:r w:rsidR="006F7BB8" w:rsidRPr="006B63CF">
        <w:rPr>
          <w:rFonts w:ascii="Times New Roman" w:hAnsi="Times New Roman" w:cs="Times New Roman"/>
          <w:lang w:val="en-US"/>
        </w:rPr>
        <w:t xml:space="preserve"> considered as outcome</w:t>
      </w:r>
      <w:r w:rsidR="00455F40" w:rsidRPr="006B63CF">
        <w:rPr>
          <w:rFonts w:ascii="Times New Roman" w:hAnsi="Times New Roman" w:cs="Times New Roman"/>
          <w:lang w:val="en-US"/>
        </w:rPr>
        <w:t>s</w:t>
      </w:r>
      <w:r w:rsidR="006F7BB8" w:rsidRPr="006B63CF">
        <w:rPr>
          <w:rFonts w:ascii="Times New Roman" w:hAnsi="Times New Roman" w:cs="Times New Roman"/>
          <w:lang w:val="en-US"/>
        </w:rPr>
        <w:t xml:space="preserve"> or as determinant</w:t>
      </w:r>
      <w:r w:rsidR="00455F40" w:rsidRPr="006B63CF">
        <w:rPr>
          <w:rFonts w:ascii="Times New Roman" w:hAnsi="Times New Roman" w:cs="Times New Roman"/>
          <w:lang w:val="en-US"/>
        </w:rPr>
        <w:t>s</w:t>
      </w:r>
      <w:r w:rsidR="006F7BB8" w:rsidRPr="006B63CF">
        <w:rPr>
          <w:rFonts w:ascii="Times New Roman" w:hAnsi="Times New Roman" w:cs="Times New Roman"/>
          <w:lang w:val="en-US"/>
        </w:rPr>
        <w:t xml:space="preserve"> of economic performance.</w:t>
      </w:r>
      <w:r w:rsidR="005B2CA5" w:rsidRPr="006B63CF">
        <w:rPr>
          <w:rFonts w:ascii="Times New Roman" w:hAnsi="Times New Roman" w:cs="Times New Roman"/>
          <w:lang w:val="en-US"/>
        </w:rPr>
        <w:t xml:space="preserve"> For reasons of space limitations, we focus here on the former, and we leave the latter for a more extensive discussion in the Technical Appendix.</w:t>
      </w:r>
    </w:p>
    <w:p w14:paraId="744A7F27" w14:textId="2099B9D3" w:rsidR="00995B24" w:rsidRPr="006B63CF" w:rsidRDefault="005B2CA5" w:rsidP="006F7BB8">
      <w:pPr>
        <w:spacing w:line="480" w:lineRule="auto"/>
        <w:jc w:val="both"/>
        <w:rPr>
          <w:rFonts w:ascii="Times New Roman" w:hAnsi="Times New Roman" w:cs="Times New Roman"/>
          <w:lang w:val="en-US"/>
        </w:rPr>
      </w:pPr>
      <w:r w:rsidRPr="006B63CF">
        <w:rPr>
          <w:rFonts w:ascii="Times New Roman" w:hAnsi="Times New Roman" w:cs="Times New Roman"/>
          <w:lang w:val="en-US"/>
        </w:rPr>
        <w:t>A</w:t>
      </w:r>
      <w:r w:rsidR="006F7BB8" w:rsidRPr="006B63CF">
        <w:rPr>
          <w:rFonts w:ascii="Times New Roman" w:hAnsi="Times New Roman" w:cs="Times New Roman"/>
          <w:lang w:val="en-US"/>
        </w:rPr>
        <w:t xml:space="preserve"> recent review discussed in </w:t>
      </w:r>
      <w:r w:rsidR="00A845D0" w:rsidRPr="006B63CF">
        <w:rPr>
          <w:rFonts w:ascii="Times New Roman" w:hAnsi="Times New Roman" w:cs="Times New Roman"/>
          <w:lang w:val="en-US"/>
        </w:rPr>
        <w:t>Marchand</w:t>
      </w:r>
      <w:r w:rsidR="00C97742" w:rsidRPr="006B63CF">
        <w:rPr>
          <w:rFonts w:ascii="Times New Roman" w:hAnsi="Times New Roman" w:cs="Times New Roman"/>
          <w:lang w:val="en-US"/>
        </w:rPr>
        <w:t xml:space="preserve"> </w:t>
      </w:r>
      <w:r w:rsidR="00A845D0" w:rsidRPr="006B63CF">
        <w:rPr>
          <w:rFonts w:ascii="Times New Roman" w:hAnsi="Times New Roman" w:cs="Times New Roman"/>
          <w:lang w:val="en-US"/>
        </w:rPr>
        <w:t>et al. (2</w:t>
      </w:r>
      <w:r w:rsidR="002D562E" w:rsidRPr="006B63CF">
        <w:rPr>
          <w:rFonts w:ascii="Times New Roman" w:hAnsi="Times New Roman" w:cs="Times New Roman"/>
          <w:lang w:val="en-US"/>
        </w:rPr>
        <w:t>020) provide</w:t>
      </w:r>
      <w:r w:rsidR="006F7BB8" w:rsidRPr="006B63CF">
        <w:rPr>
          <w:rFonts w:ascii="Times New Roman" w:hAnsi="Times New Roman" w:cs="Times New Roman"/>
          <w:lang w:val="en-US"/>
        </w:rPr>
        <w:t>s</w:t>
      </w:r>
      <w:r w:rsidR="002D562E" w:rsidRPr="006B63CF">
        <w:rPr>
          <w:rFonts w:ascii="Times New Roman" w:hAnsi="Times New Roman" w:cs="Times New Roman"/>
          <w:lang w:val="en-US"/>
        </w:rPr>
        <w:t xml:space="preserve"> extensive quantitative evidence on the regional and urban determinants of income inequalities, identified in differences in the level of economic development, in the precariousness of labor market conditions, </w:t>
      </w:r>
      <w:r w:rsidR="004F3549" w:rsidRPr="006B63CF">
        <w:rPr>
          <w:rFonts w:ascii="Times New Roman" w:hAnsi="Times New Roman" w:cs="Times New Roman"/>
          <w:lang w:val="en-US"/>
        </w:rPr>
        <w:t xml:space="preserve">in segregation patterns, </w:t>
      </w:r>
      <w:r w:rsidR="002D562E" w:rsidRPr="006B63CF">
        <w:rPr>
          <w:rFonts w:ascii="Times New Roman" w:hAnsi="Times New Roman" w:cs="Times New Roman"/>
          <w:lang w:val="en-US"/>
        </w:rPr>
        <w:t xml:space="preserve">and in socioeconomic factors. </w:t>
      </w:r>
      <w:r w:rsidR="003350B7" w:rsidRPr="006B63CF">
        <w:rPr>
          <w:rFonts w:ascii="Times New Roman" w:hAnsi="Times New Roman" w:cs="Times New Roman"/>
          <w:lang w:val="en-US"/>
        </w:rPr>
        <w:t xml:space="preserve">With US city-level data, </w:t>
      </w:r>
      <w:proofErr w:type="spellStart"/>
      <w:r w:rsidR="003350B7" w:rsidRPr="006B63CF">
        <w:rPr>
          <w:rFonts w:ascii="Times New Roman" w:hAnsi="Times New Roman" w:cs="Times New Roman"/>
          <w:lang w:val="en-US"/>
        </w:rPr>
        <w:t>Glaeser</w:t>
      </w:r>
      <w:proofErr w:type="spellEnd"/>
      <w:r w:rsidR="003350B7" w:rsidRPr="006B63CF">
        <w:rPr>
          <w:rFonts w:ascii="Times New Roman" w:hAnsi="Times New Roman" w:cs="Times New Roman"/>
          <w:lang w:val="en-US"/>
        </w:rPr>
        <w:t xml:space="preserve"> et al. (2009) and Florida and </w:t>
      </w:r>
      <w:proofErr w:type="spellStart"/>
      <w:r w:rsidR="003350B7" w:rsidRPr="006B63CF">
        <w:rPr>
          <w:rFonts w:ascii="Times New Roman" w:hAnsi="Times New Roman" w:cs="Times New Roman"/>
          <w:lang w:val="en-US"/>
        </w:rPr>
        <w:t>Mellander</w:t>
      </w:r>
      <w:proofErr w:type="spellEnd"/>
      <w:r w:rsidR="003350B7" w:rsidRPr="006B63CF">
        <w:rPr>
          <w:rFonts w:ascii="Times New Roman" w:hAnsi="Times New Roman" w:cs="Times New Roman"/>
          <w:lang w:val="en-US"/>
        </w:rPr>
        <w:t xml:space="preserve"> (2016)</w:t>
      </w:r>
      <w:r w:rsidR="00C75938" w:rsidRPr="006B63CF">
        <w:rPr>
          <w:rFonts w:ascii="Times New Roman" w:hAnsi="Times New Roman" w:cs="Times New Roman"/>
          <w:lang w:val="en-US"/>
        </w:rPr>
        <w:t xml:space="preserve"> examine the determinants of income inequality. </w:t>
      </w:r>
      <w:proofErr w:type="spellStart"/>
      <w:r w:rsidR="00C75938" w:rsidRPr="006B63CF">
        <w:rPr>
          <w:rFonts w:ascii="Times New Roman" w:hAnsi="Times New Roman" w:cs="Times New Roman"/>
          <w:lang w:val="en-US"/>
        </w:rPr>
        <w:t>Glaeser</w:t>
      </w:r>
      <w:proofErr w:type="spellEnd"/>
      <w:r w:rsidR="00C75938" w:rsidRPr="006B63CF">
        <w:rPr>
          <w:rFonts w:ascii="Times New Roman" w:hAnsi="Times New Roman" w:cs="Times New Roman"/>
          <w:lang w:val="en-US"/>
        </w:rPr>
        <w:t xml:space="preserve"> et al. (2009) find that urban income inequality is mainly driven by the skill level of workers in the city, while Florida and </w:t>
      </w:r>
      <w:proofErr w:type="spellStart"/>
      <w:r w:rsidR="00C75938" w:rsidRPr="006B63CF">
        <w:rPr>
          <w:rFonts w:ascii="Times New Roman" w:hAnsi="Times New Roman" w:cs="Times New Roman"/>
          <w:lang w:val="en-US"/>
        </w:rPr>
        <w:t>Mellander</w:t>
      </w:r>
      <w:proofErr w:type="spellEnd"/>
      <w:r w:rsidR="00C75938" w:rsidRPr="006B63CF">
        <w:rPr>
          <w:rFonts w:ascii="Times New Roman" w:hAnsi="Times New Roman" w:cs="Times New Roman"/>
          <w:lang w:val="en-US"/>
        </w:rPr>
        <w:t xml:space="preserve"> (2016) show how wage inequality impacts income inequality, along with race, poverty and unionization levels. Both these contributions stress the importance of personal characteristics</w:t>
      </w:r>
      <w:r w:rsidR="00B968B1" w:rsidRPr="006B63CF">
        <w:rPr>
          <w:rFonts w:ascii="Times New Roman" w:hAnsi="Times New Roman" w:cs="Times New Roman"/>
          <w:lang w:val="en-US"/>
        </w:rPr>
        <w:t>,</w:t>
      </w:r>
      <w:r w:rsidR="00C75938" w:rsidRPr="006B63CF">
        <w:rPr>
          <w:rFonts w:ascii="Times New Roman" w:hAnsi="Times New Roman" w:cs="Times New Roman"/>
          <w:lang w:val="en-US"/>
        </w:rPr>
        <w:t xml:space="preserve"> especially those related to the labor market. </w:t>
      </w:r>
      <w:r w:rsidR="003350B7" w:rsidRPr="006B63CF">
        <w:rPr>
          <w:rFonts w:ascii="Times New Roman" w:hAnsi="Times New Roman" w:cs="Times New Roman"/>
          <w:lang w:val="en-US"/>
        </w:rPr>
        <w:t xml:space="preserve"> </w:t>
      </w:r>
      <w:r w:rsidR="00AF6820" w:rsidRPr="006B63CF">
        <w:rPr>
          <w:rFonts w:ascii="Times New Roman" w:hAnsi="Times New Roman" w:cs="Times New Roman"/>
          <w:lang w:val="en-US"/>
        </w:rPr>
        <w:t>These findings are</w:t>
      </w:r>
      <w:r w:rsidR="00B968B1" w:rsidRPr="006B63CF">
        <w:rPr>
          <w:rFonts w:ascii="Times New Roman" w:hAnsi="Times New Roman" w:cs="Times New Roman"/>
          <w:lang w:val="en-US"/>
        </w:rPr>
        <w:t xml:space="preserve"> also</w:t>
      </w:r>
      <w:r w:rsidR="00AF6820" w:rsidRPr="006B63CF">
        <w:rPr>
          <w:rFonts w:ascii="Times New Roman" w:hAnsi="Times New Roman" w:cs="Times New Roman"/>
          <w:lang w:val="en-US"/>
        </w:rPr>
        <w:t xml:space="preserve"> confirmed for European cities, as documented by Lee et al. (2016)</w:t>
      </w:r>
      <w:r w:rsidR="00B968B1" w:rsidRPr="006B63CF">
        <w:rPr>
          <w:rFonts w:ascii="Times New Roman" w:hAnsi="Times New Roman" w:cs="Times New Roman"/>
          <w:lang w:val="en-US"/>
        </w:rPr>
        <w:t>,</w:t>
      </w:r>
      <w:r w:rsidR="00AF6820" w:rsidRPr="006B63CF">
        <w:rPr>
          <w:rFonts w:ascii="Times New Roman" w:hAnsi="Times New Roman" w:cs="Times New Roman"/>
          <w:lang w:val="en-US"/>
        </w:rPr>
        <w:t xml:space="preserve"> who consider wage inequality (which in turn drives income inequality) in UK cities and find that one of the main drivers lies in the underlying distribution of skills across workers. </w:t>
      </w:r>
    </w:p>
    <w:p w14:paraId="73CCE967" w14:textId="01E2C920" w:rsidR="00D71A21" w:rsidRPr="006B63CF" w:rsidRDefault="002D562E" w:rsidP="006F7BB8">
      <w:pPr>
        <w:spacing w:line="480" w:lineRule="auto"/>
        <w:jc w:val="both"/>
        <w:rPr>
          <w:rFonts w:ascii="Times New Roman" w:hAnsi="Times New Roman" w:cs="Times New Roman"/>
          <w:lang w:val="en-US"/>
        </w:rPr>
      </w:pPr>
      <w:r w:rsidRPr="006B63CF">
        <w:rPr>
          <w:rFonts w:ascii="Times New Roman" w:hAnsi="Times New Roman" w:cs="Times New Roman"/>
          <w:lang w:val="en-US"/>
        </w:rPr>
        <w:lastRenderedPageBreak/>
        <w:t xml:space="preserve">An additional channel for </w:t>
      </w:r>
      <w:r w:rsidR="00C97742" w:rsidRPr="006B63CF">
        <w:rPr>
          <w:rFonts w:ascii="Times New Roman" w:hAnsi="Times New Roman" w:cs="Times New Roman"/>
          <w:lang w:val="en-US"/>
        </w:rPr>
        <w:t>income</w:t>
      </w:r>
      <w:r w:rsidRPr="006B63CF">
        <w:rPr>
          <w:rFonts w:ascii="Times New Roman" w:hAnsi="Times New Roman" w:cs="Times New Roman"/>
          <w:lang w:val="en-US"/>
        </w:rPr>
        <w:t xml:space="preserve"> inequalities</w:t>
      </w:r>
      <w:r w:rsidR="00C97742" w:rsidRPr="006B63CF">
        <w:rPr>
          <w:rFonts w:ascii="Times New Roman" w:hAnsi="Times New Roman" w:cs="Times New Roman"/>
          <w:lang w:val="en-US"/>
        </w:rPr>
        <w:t xml:space="preserve"> to be related to space-specific characteristics is empirically assessed in Lee and Rodríguez-Pose (2013), who identify in higher innovation rates at the local level a potential cause for income inequalities to increase, at least in the E</w:t>
      </w:r>
      <w:r w:rsidR="006733F9" w:rsidRPr="006B63CF">
        <w:rPr>
          <w:rFonts w:ascii="Times New Roman" w:hAnsi="Times New Roman" w:cs="Times New Roman"/>
          <w:lang w:val="en-US"/>
        </w:rPr>
        <w:t xml:space="preserve">uropean case; this evidence is also supported for the Canadian case in </w:t>
      </w:r>
      <w:proofErr w:type="spellStart"/>
      <w:r w:rsidR="006733F9" w:rsidRPr="006B63CF">
        <w:rPr>
          <w:rFonts w:ascii="Times New Roman" w:hAnsi="Times New Roman" w:cs="Times New Roman"/>
          <w:lang w:val="en-US"/>
        </w:rPr>
        <w:t>Breau</w:t>
      </w:r>
      <w:proofErr w:type="spellEnd"/>
      <w:r w:rsidR="006733F9" w:rsidRPr="006B63CF">
        <w:rPr>
          <w:rFonts w:ascii="Times New Roman" w:hAnsi="Times New Roman" w:cs="Times New Roman"/>
          <w:lang w:val="en-US"/>
        </w:rPr>
        <w:t xml:space="preserve"> et al. (2014).</w:t>
      </w:r>
    </w:p>
    <w:p w14:paraId="2C3073AE" w14:textId="77777777" w:rsidR="00B968B1" w:rsidRPr="006B63CF" w:rsidRDefault="006733F9" w:rsidP="004F3549">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Silva and </w:t>
      </w:r>
      <w:proofErr w:type="spellStart"/>
      <w:r w:rsidRPr="006B63CF">
        <w:rPr>
          <w:rFonts w:ascii="Times New Roman" w:hAnsi="Times New Roman" w:cs="Times New Roman"/>
          <w:lang w:val="en-US"/>
        </w:rPr>
        <w:t>Leichenko</w:t>
      </w:r>
      <w:proofErr w:type="spellEnd"/>
      <w:r w:rsidRPr="006B63CF">
        <w:rPr>
          <w:rFonts w:ascii="Times New Roman" w:hAnsi="Times New Roman" w:cs="Times New Roman"/>
          <w:lang w:val="en-US"/>
        </w:rPr>
        <w:t xml:space="preserve"> (2004) show that different US census regions react differently to a higher exposure to international trade. Moreover, </w:t>
      </w:r>
      <w:proofErr w:type="spellStart"/>
      <w:r w:rsidRPr="006B63CF">
        <w:rPr>
          <w:rFonts w:ascii="Times New Roman" w:hAnsi="Times New Roman" w:cs="Times New Roman"/>
          <w:lang w:val="en-US"/>
        </w:rPr>
        <w:t>Korpi</w:t>
      </w:r>
      <w:proofErr w:type="spellEnd"/>
      <w:r w:rsidRPr="006B63CF">
        <w:rPr>
          <w:rFonts w:ascii="Times New Roman" w:hAnsi="Times New Roman" w:cs="Times New Roman"/>
          <w:lang w:val="en-US"/>
        </w:rPr>
        <w:t xml:space="preserve"> (2008) shows that urban income inequality increases with city size, and that this relationship is in turn due to labor market diversification, human capital, migration, and demographic factors.</w:t>
      </w:r>
      <w:r w:rsidR="00FD3F09" w:rsidRPr="006B63CF">
        <w:rPr>
          <w:rFonts w:ascii="Times New Roman" w:hAnsi="Times New Roman" w:cs="Times New Roman"/>
          <w:lang w:val="en-US"/>
        </w:rPr>
        <w:t xml:space="preserve"> </w:t>
      </w:r>
    </w:p>
    <w:p w14:paraId="7DD670B3" w14:textId="0796F727" w:rsidR="00D153E8" w:rsidRPr="006B63CF" w:rsidRDefault="00D153E8" w:rsidP="004F3549">
      <w:pPr>
        <w:spacing w:line="480" w:lineRule="auto"/>
        <w:jc w:val="both"/>
        <w:rPr>
          <w:rFonts w:ascii="Times New Roman" w:hAnsi="Times New Roman" w:cs="Times New Roman"/>
          <w:lang w:val="en-US"/>
        </w:rPr>
      </w:pPr>
      <w:r w:rsidRPr="006B63CF">
        <w:rPr>
          <w:rFonts w:ascii="Times New Roman" w:hAnsi="Times New Roman" w:cs="Times New Roman"/>
          <w:lang w:val="en-US"/>
        </w:rPr>
        <w:t>A theoretical contribution systematizing these determinants of inequality at the city level is provided in Behrens and Robert-</w:t>
      </w:r>
      <w:proofErr w:type="spellStart"/>
      <w:r w:rsidRPr="006B63CF">
        <w:rPr>
          <w:rFonts w:ascii="Times New Roman" w:hAnsi="Times New Roman" w:cs="Times New Roman"/>
          <w:lang w:val="en-US"/>
        </w:rPr>
        <w:t>Nicoud</w:t>
      </w:r>
      <w:proofErr w:type="spellEnd"/>
      <w:r w:rsidRPr="006B63CF">
        <w:rPr>
          <w:rFonts w:ascii="Times New Roman" w:hAnsi="Times New Roman" w:cs="Times New Roman"/>
          <w:lang w:val="en-US"/>
        </w:rPr>
        <w:t xml:space="preserve"> (2014)</w:t>
      </w:r>
      <w:r w:rsidR="006F0BDB" w:rsidRPr="006B63CF">
        <w:rPr>
          <w:rFonts w:ascii="Times New Roman" w:hAnsi="Times New Roman" w:cs="Times New Roman"/>
          <w:lang w:val="en-US"/>
        </w:rPr>
        <w:t xml:space="preserve"> who develop a model that uses natural advantage, agglomeration economies and firm selection to explain why larger cities are more unequal than their smaller counterparts.</w:t>
      </w:r>
    </w:p>
    <w:p w14:paraId="2FCAE57B" w14:textId="66420AE3" w:rsidR="006733F9" w:rsidRPr="006B63CF" w:rsidRDefault="00FD3F09" w:rsidP="004F3549">
      <w:pPr>
        <w:spacing w:line="480" w:lineRule="auto"/>
        <w:jc w:val="both"/>
        <w:rPr>
          <w:rFonts w:ascii="Times New Roman" w:hAnsi="Times New Roman" w:cs="Times New Roman"/>
          <w:lang w:val="en-US"/>
        </w:rPr>
      </w:pPr>
      <w:r w:rsidRPr="006B63CF">
        <w:rPr>
          <w:rFonts w:ascii="Times New Roman" w:hAnsi="Times New Roman" w:cs="Times New Roman"/>
          <w:lang w:val="en-US"/>
        </w:rPr>
        <w:t>Among determinants of income inequality reductions, instead, the evidence strictly follows the classical Heckscher–Ohlin framework, suggesting that population movements help minimizing, if not inverting, inequality trends (Ayala et al., 2019).</w:t>
      </w:r>
      <w:r w:rsidR="007728B7" w:rsidRPr="006B63CF">
        <w:rPr>
          <w:rFonts w:ascii="Times New Roman" w:hAnsi="Times New Roman" w:cs="Times New Roman"/>
          <w:lang w:val="en-US"/>
        </w:rPr>
        <w:t xml:space="preserve"> Decreasing population movements may reverse such trends: </w:t>
      </w:r>
      <w:proofErr w:type="spellStart"/>
      <w:r w:rsidR="007728B7" w:rsidRPr="006B63CF">
        <w:rPr>
          <w:rFonts w:ascii="Times New Roman" w:hAnsi="Times New Roman" w:cs="Times New Roman"/>
          <w:lang w:val="en-US"/>
        </w:rPr>
        <w:t>Ganong</w:t>
      </w:r>
      <w:proofErr w:type="spellEnd"/>
      <w:r w:rsidR="007728B7" w:rsidRPr="006B63CF">
        <w:rPr>
          <w:rFonts w:ascii="Times New Roman" w:hAnsi="Times New Roman" w:cs="Times New Roman"/>
          <w:lang w:val="en-US"/>
        </w:rPr>
        <w:t xml:space="preserve"> and </w:t>
      </w:r>
      <w:proofErr w:type="spellStart"/>
      <w:r w:rsidR="007728B7" w:rsidRPr="006B63CF">
        <w:rPr>
          <w:rFonts w:ascii="Times New Roman" w:hAnsi="Times New Roman" w:cs="Times New Roman"/>
          <w:lang w:val="en-US"/>
        </w:rPr>
        <w:t>Shoag</w:t>
      </w:r>
      <w:proofErr w:type="spellEnd"/>
      <w:r w:rsidR="007728B7" w:rsidRPr="006B63CF">
        <w:rPr>
          <w:rFonts w:ascii="Times New Roman" w:hAnsi="Times New Roman" w:cs="Times New Roman"/>
          <w:lang w:val="en-US"/>
        </w:rPr>
        <w:t xml:space="preserve"> (2017) explain the substantial decline in income convergence rates across US states by means of a model whereby rising land rent in high-income areas deter low-skilled migrants from in-migrating, thus ultimately causing  a slow-down in income convergence.</w:t>
      </w:r>
      <w:r w:rsidR="004F3549" w:rsidRPr="006B63CF">
        <w:rPr>
          <w:rFonts w:ascii="Times New Roman" w:hAnsi="Times New Roman" w:cs="Times New Roman"/>
          <w:lang w:val="en-US"/>
        </w:rPr>
        <w:t xml:space="preserve"> Lastly, </w:t>
      </w:r>
      <w:proofErr w:type="spellStart"/>
      <w:r w:rsidR="004F3549" w:rsidRPr="006B63CF">
        <w:rPr>
          <w:rFonts w:ascii="Times New Roman" w:hAnsi="Times New Roman" w:cs="Times New Roman"/>
          <w:lang w:val="en-US"/>
        </w:rPr>
        <w:t>Tammaru</w:t>
      </w:r>
      <w:proofErr w:type="spellEnd"/>
      <w:r w:rsidR="004F3549" w:rsidRPr="006B63CF">
        <w:rPr>
          <w:rFonts w:ascii="Times New Roman" w:hAnsi="Times New Roman" w:cs="Times New Roman"/>
          <w:lang w:val="en-US"/>
        </w:rPr>
        <w:t xml:space="preserve"> et al. (2020) show that across EU urban areas income inequalities are lower in North Europe, higher in South Europe, whereas in several </w:t>
      </w:r>
      <w:r w:rsidR="008B55A8" w:rsidRPr="006B63CF">
        <w:rPr>
          <w:rFonts w:ascii="Times New Roman" w:hAnsi="Times New Roman" w:cs="Times New Roman"/>
          <w:lang w:val="en-US"/>
        </w:rPr>
        <w:t>Eastern European</w:t>
      </w:r>
      <w:r w:rsidR="004F3549" w:rsidRPr="006B63CF">
        <w:rPr>
          <w:rFonts w:ascii="Times New Roman" w:hAnsi="Times New Roman" w:cs="Times New Roman"/>
          <w:lang w:val="en-US"/>
        </w:rPr>
        <w:t xml:space="preserve"> </w:t>
      </w:r>
      <w:r w:rsidR="00F73AFB" w:rsidRPr="006B63CF">
        <w:rPr>
          <w:rFonts w:ascii="Times New Roman" w:hAnsi="Times New Roman" w:cs="Times New Roman"/>
          <w:lang w:val="en-US"/>
        </w:rPr>
        <w:t>C</w:t>
      </w:r>
      <w:r w:rsidR="004F3549" w:rsidRPr="006B63CF">
        <w:rPr>
          <w:rFonts w:ascii="Times New Roman" w:hAnsi="Times New Roman" w:cs="Times New Roman"/>
          <w:lang w:val="en-US"/>
        </w:rPr>
        <w:t>ountries inequality has substantially increased over the past two decades.</w:t>
      </w:r>
    </w:p>
    <w:p w14:paraId="0EA89822" w14:textId="188CFD01" w:rsidR="005B2CA5" w:rsidRPr="006B63CF" w:rsidRDefault="005B2CA5" w:rsidP="005B2CA5">
      <w:pPr>
        <w:spacing w:after="120" w:line="480" w:lineRule="auto"/>
        <w:jc w:val="both"/>
        <w:rPr>
          <w:rFonts w:ascii="Times New Roman" w:hAnsi="Times New Roman" w:cs="Times New Roman"/>
          <w:lang w:val="en-US"/>
        </w:rPr>
      </w:pPr>
      <w:r w:rsidRPr="006B63CF">
        <w:rPr>
          <w:rFonts w:ascii="Times New Roman" w:hAnsi="Times New Roman" w:cs="Times New Roman"/>
          <w:lang w:val="en-US"/>
        </w:rPr>
        <w:t>Moreover, higher quality of local governance should also be associated, all else being equal, with lower income inequalities (Beall et al., 2000). While this finding usually applies also to vast cross-sections of areas with different institutions, recent evidence suggests that less developed Countries would benefit less from good governance (</w:t>
      </w:r>
      <w:proofErr w:type="spellStart"/>
      <w:r w:rsidRPr="006B63CF">
        <w:rPr>
          <w:rFonts w:ascii="Times New Roman" w:hAnsi="Times New Roman" w:cs="Times New Roman"/>
          <w:lang w:val="en-US"/>
        </w:rPr>
        <w:t>Jindra</w:t>
      </w:r>
      <w:proofErr w:type="spellEnd"/>
      <w:r w:rsidRPr="006B63CF">
        <w:rPr>
          <w:rFonts w:ascii="Times New Roman" w:hAnsi="Times New Roman" w:cs="Times New Roman"/>
          <w:lang w:val="en-US"/>
        </w:rPr>
        <w:t xml:space="preserve"> and </w:t>
      </w:r>
      <w:proofErr w:type="spellStart"/>
      <w:r w:rsidRPr="006B63CF">
        <w:rPr>
          <w:rFonts w:ascii="Times New Roman" w:hAnsi="Times New Roman" w:cs="Times New Roman"/>
          <w:lang w:val="en-US"/>
        </w:rPr>
        <w:t>Vaz</w:t>
      </w:r>
      <w:proofErr w:type="spellEnd"/>
      <w:r w:rsidRPr="006B63CF">
        <w:rPr>
          <w:rFonts w:ascii="Times New Roman" w:hAnsi="Times New Roman" w:cs="Times New Roman"/>
          <w:lang w:val="en-US"/>
        </w:rPr>
        <w:t>, 2018); a critique that does not apply to the sample here analyzed, comprising EU28 Countries.</w:t>
      </w:r>
    </w:p>
    <w:p w14:paraId="1A2086B7" w14:textId="65DFBEC5" w:rsidR="00634E16" w:rsidRPr="006B63CF" w:rsidRDefault="006733F9" w:rsidP="00A02BA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Little evidence has so far been presented </w:t>
      </w:r>
      <w:r w:rsidR="00DF379B" w:rsidRPr="006B63CF">
        <w:rPr>
          <w:rFonts w:ascii="Times New Roman" w:hAnsi="Times New Roman" w:cs="Times New Roman"/>
          <w:lang w:val="en-US"/>
        </w:rPr>
        <w:t xml:space="preserve">on </w:t>
      </w:r>
      <w:r w:rsidRPr="006B63CF">
        <w:rPr>
          <w:rFonts w:ascii="Times New Roman" w:hAnsi="Times New Roman" w:cs="Times New Roman"/>
          <w:lang w:val="en-US"/>
        </w:rPr>
        <w:t xml:space="preserve">the role of </w:t>
      </w:r>
      <w:r w:rsidR="00E24843" w:rsidRPr="006B63CF">
        <w:rPr>
          <w:rFonts w:ascii="Times New Roman" w:hAnsi="Times New Roman" w:cs="Times New Roman"/>
          <w:lang w:val="en-US"/>
        </w:rPr>
        <w:t>two crucial features in decreasing urban income inequality</w:t>
      </w:r>
      <w:r w:rsidRPr="006B63CF">
        <w:rPr>
          <w:rFonts w:ascii="Times New Roman" w:hAnsi="Times New Roman" w:cs="Times New Roman"/>
          <w:lang w:val="en-US"/>
        </w:rPr>
        <w:t>, which instead</w:t>
      </w:r>
      <w:r w:rsidR="00DF379B" w:rsidRPr="006B63CF">
        <w:rPr>
          <w:rFonts w:ascii="Times New Roman" w:hAnsi="Times New Roman" w:cs="Times New Roman"/>
          <w:lang w:val="en-US"/>
        </w:rPr>
        <w:t xml:space="preserve"> are</w:t>
      </w:r>
      <w:r w:rsidR="00E24843" w:rsidRPr="006B63CF">
        <w:rPr>
          <w:rFonts w:ascii="Times New Roman" w:hAnsi="Times New Roman" w:cs="Times New Roman"/>
          <w:lang w:val="en-US"/>
        </w:rPr>
        <w:t xml:space="preserve"> considered</w:t>
      </w:r>
      <w:r w:rsidR="00DF379B" w:rsidRPr="006B63CF">
        <w:rPr>
          <w:rFonts w:ascii="Times New Roman" w:hAnsi="Times New Roman" w:cs="Times New Roman"/>
          <w:lang w:val="en-US"/>
        </w:rPr>
        <w:t xml:space="preserve"> in the present paper</w:t>
      </w:r>
      <w:r w:rsidR="00E24843" w:rsidRPr="006B63CF">
        <w:rPr>
          <w:rFonts w:ascii="Times New Roman" w:hAnsi="Times New Roman" w:cs="Times New Roman"/>
          <w:lang w:val="en-US"/>
        </w:rPr>
        <w:t xml:space="preserve">. </w:t>
      </w:r>
      <w:r w:rsidR="00A10EFE" w:rsidRPr="006B63CF">
        <w:rPr>
          <w:rFonts w:ascii="Times New Roman" w:hAnsi="Times New Roman" w:cs="Times New Roman"/>
          <w:lang w:val="en-US"/>
        </w:rPr>
        <w:t>O</w:t>
      </w:r>
      <w:r w:rsidR="00E24843" w:rsidRPr="006B63CF">
        <w:rPr>
          <w:rFonts w:ascii="Times New Roman" w:hAnsi="Times New Roman" w:cs="Times New Roman"/>
          <w:lang w:val="en-US"/>
        </w:rPr>
        <w:t xml:space="preserve">ur empirical analyses control for urban form </w:t>
      </w:r>
      <w:r w:rsidR="00E24843" w:rsidRPr="006B63CF">
        <w:rPr>
          <w:rFonts w:ascii="Times New Roman" w:hAnsi="Times New Roman" w:cs="Times New Roman"/>
          <w:lang w:val="en-US"/>
        </w:rPr>
        <w:lastRenderedPageBreak/>
        <w:t>and urban smartness</w:t>
      </w:r>
      <w:r w:rsidR="00F363A5" w:rsidRPr="006B63CF">
        <w:rPr>
          <w:rFonts w:ascii="Times New Roman" w:hAnsi="Times New Roman" w:cs="Times New Roman"/>
          <w:lang w:val="en-US"/>
        </w:rPr>
        <w:t xml:space="preserve"> (the latter discussed in detail in the following subsection)</w:t>
      </w:r>
      <w:r w:rsidR="00E24843" w:rsidRPr="006B63CF">
        <w:rPr>
          <w:rFonts w:ascii="Times New Roman" w:hAnsi="Times New Roman" w:cs="Times New Roman"/>
          <w:lang w:val="en-US"/>
        </w:rPr>
        <w:t>.</w:t>
      </w:r>
      <w:r w:rsidR="00A10EFE" w:rsidRPr="006B63CF">
        <w:rPr>
          <w:rFonts w:ascii="Times New Roman" w:hAnsi="Times New Roman" w:cs="Times New Roman"/>
          <w:lang w:val="en-US"/>
        </w:rPr>
        <w:t xml:space="preserve"> </w:t>
      </w:r>
      <w:r w:rsidR="00E24843" w:rsidRPr="006B63CF">
        <w:rPr>
          <w:rFonts w:ascii="Times New Roman" w:hAnsi="Times New Roman" w:cs="Times New Roman"/>
          <w:lang w:val="en-US"/>
        </w:rPr>
        <w:t xml:space="preserve">A lively debate has in fact involved urban economists for the past three decades on whether a compact urban form, </w:t>
      </w:r>
      <w:r w:rsidR="00023AEC" w:rsidRPr="006B63CF">
        <w:rPr>
          <w:rFonts w:ascii="Times New Roman" w:hAnsi="Times New Roman" w:cs="Times New Roman"/>
          <w:lang w:val="en-US"/>
        </w:rPr>
        <w:t xml:space="preserve">with </w:t>
      </w:r>
      <w:r w:rsidR="00DC585C" w:rsidRPr="006B63CF">
        <w:rPr>
          <w:rFonts w:ascii="Times New Roman" w:hAnsi="Times New Roman" w:cs="Times New Roman"/>
          <w:lang w:val="en-US"/>
        </w:rPr>
        <w:t>tightly</w:t>
      </w:r>
      <w:r w:rsidR="00023AEC" w:rsidRPr="006B63CF">
        <w:rPr>
          <w:rFonts w:ascii="Times New Roman" w:hAnsi="Times New Roman" w:cs="Times New Roman"/>
          <w:lang w:val="en-US"/>
        </w:rPr>
        <w:t xml:space="preserve">-knit </w:t>
      </w:r>
      <w:r w:rsidR="00E24843" w:rsidRPr="006B63CF">
        <w:rPr>
          <w:rFonts w:ascii="Times New Roman" w:hAnsi="Times New Roman" w:cs="Times New Roman"/>
          <w:lang w:val="en-US"/>
        </w:rPr>
        <w:t>buildings, and an efficient (public) urban transportation network allow</w:t>
      </w:r>
      <w:r w:rsidR="00023AEC" w:rsidRPr="006B63CF">
        <w:rPr>
          <w:rFonts w:ascii="Times New Roman" w:hAnsi="Times New Roman" w:cs="Times New Roman"/>
          <w:lang w:val="en-US"/>
        </w:rPr>
        <w:t>ing</w:t>
      </w:r>
      <w:r w:rsidR="00E24843" w:rsidRPr="006B63CF">
        <w:rPr>
          <w:rFonts w:ascii="Times New Roman" w:hAnsi="Times New Roman" w:cs="Times New Roman"/>
          <w:lang w:val="en-US"/>
        </w:rPr>
        <w:t xml:space="preserve"> faster connections between different parts of the city, is indeed conducive to</w:t>
      </w:r>
      <w:r w:rsidR="007214CF" w:rsidRPr="006B63CF">
        <w:rPr>
          <w:rFonts w:ascii="Times New Roman" w:hAnsi="Times New Roman" w:cs="Times New Roman"/>
          <w:lang w:val="en-US"/>
        </w:rPr>
        <w:t xml:space="preserve"> greater environmental sustainability</w:t>
      </w:r>
      <w:r w:rsidR="00E24843" w:rsidRPr="006B63CF">
        <w:rPr>
          <w:rFonts w:ascii="Times New Roman" w:hAnsi="Times New Roman" w:cs="Times New Roman"/>
          <w:lang w:val="en-US"/>
        </w:rPr>
        <w:t xml:space="preserve"> </w:t>
      </w:r>
      <w:r w:rsidR="008376F1" w:rsidRPr="006B63CF">
        <w:rPr>
          <w:rFonts w:ascii="Times New Roman" w:hAnsi="Times New Roman" w:cs="Times New Roman"/>
          <w:lang w:val="en-US"/>
        </w:rPr>
        <w:t xml:space="preserve">(on the issues on smart urban growth and compact cities, see e.g. </w:t>
      </w:r>
      <w:proofErr w:type="spellStart"/>
      <w:r w:rsidR="008376F1" w:rsidRPr="006B63CF">
        <w:rPr>
          <w:rFonts w:ascii="Times New Roman" w:hAnsi="Times New Roman" w:cs="Times New Roman"/>
          <w:lang w:val="en-US"/>
        </w:rPr>
        <w:t>Dielman</w:t>
      </w:r>
      <w:proofErr w:type="spellEnd"/>
      <w:r w:rsidR="008376F1" w:rsidRPr="006B63CF">
        <w:rPr>
          <w:rFonts w:ascii="Times New Roman" w:hAnsi="Times New Roman" w:cs="Times New Roman"/>
          <w:lang w:val="en-US"/>
        </w:rPr>
        <w:t xml:space="preserve"> </w:t>
      </w:r>
      <w:r w:rsidR="00D30C38" w:rsidRPr="006B63CF">
        <w:rPr>
          <w:rFonts w:ascii="Times New Roman" w:hAnsi="Times New Roman" w:cs="Times New Roman"/>
          <w:lang w:val="en-US"/>
        </w:rPr>
        <w:t>and Wegener</w:t>
      </w:r>
      <w:r w:rsidR="008376F1" w:rsidRPr="006B63CF">
        <w:rPr>
          <w:rFonts w:ascii="Times New Roman" w:hAnsi="Times New Roman" w:cs="Times New Roman"/>
          <w:lang w:val="en-US"/>
        </w:rPr>
        <w:t>, 2004 and</w:t>
      </w:r>
      <w:r w:rsidR="00FA5F84" w:rsidRPr="006B63CF">
        <w:rPr>
          <w:rFonts w:ascii="Times New Roman" w:hAnsi="Times New Roman" w:cs="Times New Roman"/>
          <w:lang w:val="en-US"/>
        </w:rPr>
        <w:t xml:space="preserve"> </w:t>
      </w:r>
      <w:proofErr w:type="spellStart"/>
      <w:r w:rsidR="00FA5F84" w:rsidRPr="006B63CF">
        <w:rPr>
          <w:rFonts w:ascii="Times New Roman" w:hAnsi="Times New Roman" w:cs="Times New Roman"/>
          <w:lang w:val="en-US"/>
        </w:rPr>
        <w:t>Bibri</w:t>
      </w:r>
      <w:proofErr w:type="spellEnd"/>
      <w:r w:rsidR="00FA5F84" w:rsidRPr="006B63CF">
        <w:rPr>
          <w:rFonts w:ascii="Times New Roman" w:hAnsi="Times New Roman" w:cs="Times New Roman"/>
          <w:lang w:val="en-US"/>
        </w:rPr>
        <w:t xml:space="preserve"> et al. 2020)</w:t>
      </w:r>
      <w:r w:rsidR="00491D0F" w:rsidRPr="006B63CF">
        <w:rPr>
          <w:rFonts w:ascii="Times New Roman" w:hAnsi="Times New Roman" w:cs="Times New Roman"/>
          <w:lang w:val="en-US"/>
        </w:rPr>
        <w:t>, and ultimately to economic growth</w:t>
      </w:r>
      <w:r w:rsidR="00FA5F84" w:rsidRPr="006B63CF">
        <w:rPr>
          <w:rFonts w:ascii="Times New Roman" w:hAnsi="Times New Roman" w:cs="Times New Roman"/>
          <w:lang w:val="en-US"/>
        </w:rPr>
        <w:t>.</w:t>
      </w:r>
      <w:r w:rsidR="008376F1" w:rsidRPr="006B63CF">
        <w:rPr>
          <w:rFonts w:ascii="Times New Roman" w:hAnsi="Times New Roman" w:cs="Times New Roman"/>
          <w:lang w:val="en-US"/>
        </w:rPr>
        <w:t xml:space="preserve"> </w:t>
      </w:r>
      <w:r w:rsidR="00E24843" w:rsidRPr="006B63CF">
        <w:rPr>
          <w:rFonts w:ascii="Times New Roman" w:hAnsi="Times New Roman" w:cs="Times New Roman"/>
          <w:lang w:val="en-US"/>
        </w:rPr>
        <w:t xml:space="preserve">On the one hand, some argue that the market should be left free to decide how to adjust </w:t>
      </w:r>
      <w:r w:rsidR="00023AEC" w:rsidRPr="006B63CF">
        <w:rPr>
          <w:rFonts w:ascii="Times New Roman" w:hAnsi="Times New Roman" w:cs="Times New Roman"/>
          <w:lang w:val="en-US"/>
        </w:rPr>
        <w:t xml:space="preserve">the </w:t>
      </w:r>
      <w:r w:rsidR="00E24843" w:rsidRPr="006B63CF">
        <w:rPr>
          <w:rFonts w:ascii="Times New Roman" w:hAnsi="Times New Roman" w:cs="Times New Roman"/>
          <w:lang w:val="en-US"/>
        </w:rPr>
        <w:t xml:space="preserve">urban form in response to exogenous technological shocks. This is for instance the case of </w:t>
      </w:r>
      <w:proofErr w:type="spellStart"/>
      <w:r w:rsidR="00E24843" w:rsidRPr="006B63CF">
        <w:rPr>
          <w:rFonts w:ascii="Times New Roman" w:hAnsi="Times New Roman" w:cs="Times New Roman"/>
          <w:lang w:val="en-US"/>
        </w:rPr>
        <w:t>Brueckner</w:t>
      </w:r>
      <w:proofErr w:type="spellEnd"/>
      <w:r w:rsidR="00E24843" w:rsidRPr="006B63CF">
        <w:rPr>
          <w:rFonts w:ascii="Times New Roman" w:hAnsi="Times New Roman" w:cs="Times New Roman"/>
          <w:lang w:val="en-US"/>
        </w:rPr>
        <w:t xml:space="preserve"> and </w:t>
      </w:r>
      <w:proofErr w:type="spellStart"/>
      <w:r w:rsidR="00E24843" w:rsidRPr="006B63CF">
        <w:rPr>
          <w:rFonts w:ascii="Times New Roman" w:hAnsi="Times New Roman" w:cs="Times New Roman"/>
          <w:lang w:val="en-US"/>
        </w:rPr>
        <w:t>Fansler</w:t>
      </w:r>
      <w:proofErr w:type="spellEnd"/>
      <w:r w:rsidR="00E24843" w:rsidRPr="006B63CF">
        <w:rPr>
          <w:rFonts w:ascii="Times New Roman" w:hAnsi="Times New Roman" w:cs="Times New Roman"/>
          <w:lang w:val="en-US"/>
        </w:rPr>
        <w:t xml:space="preserve"> (1983</w:t>
      </w:r>
      <w:r w:rsidR="00AA78CB" w:rsidRPr="006B63CF">
        <w:rPr>
          <w:rFonts w:ascii="Times New Roman" w:hAnsi="Times New Roman" w:cs="Times New Roman"/>
          <w:lang w:val="en-US"/>
        </w:rPr>
        <w:t>, p. 487</w:t>
      </w:r>
      <w:r w:rsidR="00E24843" w:rsidRPr="006B63CF">
        <w:rPr>
          <w:rFonts w:ascii="Times New Roman" w:hAnsi="Times New Roman" w:cs="Times New Roman"/>
          <w:lang w:val="en-US"/>
        </w:rPr>
        <w:t>), who criticize the “</w:t>
      </w:r>
      <w:r w:rsidR="00E24843" w:rsidRPr="006B63CF">
        <w:rPr>
          <w:rFonts w:ascii="Times New Roman" w:hAnsi="Times New Roman" w:cs="Times New Roman"/>
          <w:i/>
          <w:lang w:val="en-US"/>
        </w:rPr>
        <w:t>emotionally-charged indictment of sprawl</w:t>
      </w:r>
      <w:r w:rsidR="00E24843" w:rsidRPr="006B63CF">
        <w:rPr>
          <w:rFonts w:ascii="Times New Roman" w:hAnsi="Times New Roman" w:cs="Times New Roman"/>
          <w:lang w:val="en-US"/>
        </w:rPr>
        <w:t>”</w:t>
      </w:r>
      <w:r w:rsidR="00AA78CB" w:rsidRPr="006B63CF">
        <w:rPr>
          <w:rFonts w:ascii="Times New Roman" w:hAnsi="Times New Roman" w:cs="Times New Roman"/>
          <w:lang w:val="en-US"/>
        </w:rPr>
        <w:t>.</w:t>
      </w:r>
      <w:r w:rsidR="00A02BA0" w:rsidRPr="006B63CF">
        <w:rPr>
          <w:rFonts w:ascii="Times New Roman" w:hAnsi="Times New Roman" w:cs="Times New Roman"/>
          <w:lang w:val="en-US"/>
        </w:rPr>
        <w:t xml:space="preserve"> </w:t>
      </w:r>
      <w:r w:rsidR="00E24843" w:rsidRPr="006B63CF">
        <w:rPr>
          <w:rFonts w:ascii="Times New Roman" w:hAnsi="Times New Roman" w:cs="Times New Roman"/>
          <w:lang w:val="en-US"/>
        </w:rPr>
        <w:t xml:space="preserve">On the other hand, empirical research has also shown that compact cities also tend to be more efficient, innovative, and productive (Hamidi and </w:t>
      </w:r>
      <w:proofErr w:type="spellStart"/>
      <w:r w:rsidR="00E24843" w:rsidRPr="006B63CF">
        <w:rPr>
          <w:rFonts w:ascii="Times New Roman" w:hAnsi="Times New Roman" w:cs="Times New Roman"/>
          <w:lang w:val="en-US"/>
        </w:rPr>
        <w:t>Zandiatashbar</w:t>
      </w:r>
      <w:proofErr w:type="spellEnd"/>
      <w:r w:rsidR="00E24843" w:rsidRPr="006B63CF">
        <w:rPr>
          <w:rFonts w:ascii="Times New Roman" w:hAnsi="Times New Roman" w:cs="Times New Roman"/>
          <w:lang w:val="en-US"/>
        </w:rPr>
        <w:t xml:space="preserve">, 2019; </w:t>
      </w:r>
      <w:proofErr w:type="spellStart"/>
      <w:r w:rsidR="00E24843" w:rsidRPr="006B63CF">
        <w:rPr>
          <w:rFonts w:ascii="Times New Roman" w:hAnsi="Times New Roman" w:cs="Times New Roman"/>
          <w:lang w:val="en-US"/>
        </w:rPr>
        <w:t>Carlino</w:t>
      </w:r>
      <w:proofErr w:type="spellEnd"/>
      <w:r w:rsidR="00E24843" w:rsidRPr="006B63CF">
        <w:rPr>
          <w:rFonts w:ascii="Times New Roman" w:hAnsi="Times New Roman" w:cs="Times New Roman"/>
          <w:lang w:val="en-US"/>
        </w:rPr>
        <w:t xml:space="preserve"> et al., 2007; </w:t>
      </w:r>
      <w:proofErr w:type="spellStart"/>
      <w:r w:rsidR="00E24843" w:rsidRPr="006B63CF">
        <w:rPr>
          <w:rFonts w:ascii="Times New Roman" w:hAnsi="Times New Roman" w:cs="Times New Roman"/>
          <w:lang w:val="en-US"/>
        </w:rPr>
        <w:t>Camagni</w:t>
      </w:r>
      <w:proofErr w:type="spellEnd"/>
      <w:r w:rsidR="00E24843" w:rsidRPr="006B63CF">
        <w:rPr>
          <w:rFonts w:ascii="Times New Roman" w:hAnsi="Times New Roman" w:cs="Times New Roman"/>
          <w:lang w:val="en-US"/>
        </w:rPr>
        <w:t xml:space="preserve"> et al., 2013). A compact urban form </w:t>
      </w:r>
      <w:r w:rsidR="005C3D13" w:rsidRPr="006B63CF">
        <w:rPr>
          <w:rFonts w:ascii="Times New Roman" w:hAnsi="Times New Roman" w:cs="Times New Roman"/>
          <w:lang w:val="en-US"/>
        </w:rPr>
        <w:t>also reduces income inequality, by making urban labor market</w:t>
      </w:r>
      <w:r w:rsidR="00DC585C" w:rsidRPr="006B63CF">
        <w:rPr>
          <w:rFonts w:ascii="Times New Roman" w:hAnsi="Times New Roman" w:cs="Times New Roman"/>
          <w:lang w:val="en-US"/>
        </w:rPr>
        <w:t>s</w:t>
      </w:r>
      <w:r w:rsidR="005C3D13" w:rsidRPr="006B63CF">
        <w:rPr>
          <w:rFonts w:ascii="Times New Roman" w:hAnsi="Times New Roman" w:cs="Times New Roman"/>
          <w:lang w:val="en-US"/>
        </w:rPr>
        <w:t xml:space="preserve"> more closely integrated, thus enhancing job opportunities also for </w:t>
      </w:r>
      <w:r w:rsidR="00023AEC" w:rsidRPr="006B63CF">
        <w:rPr>
          <w:rFonts w:ascii="Times New Roman" w:hAnsi="Times New Roman" w:cs="Times New Roman"/>
          <w:lang w:val="en-US"/>
        </w:rPr>
        <w:t xml:space="preserve">the </w:t>
      </w:r>
      <w:r w:rsidR="005C3D13" w:rsidRPr="006B63CF">
        <w:rPr>
          <w:rFonts w:ascii="Times New Roman" w:hAnsi="Times New Roman" w:cs="Times New Roman"/>
          <w:lang w:val="en-US"/>
        </w:rPr>
        <w:t>lower layers of the income distribution (Burton, 2000).</w:t>
      </w:r>
    </w:p>
    <w:p w14:paraId="601D2494" w14:textId="112F11FB" w:rsidR="001079F1" w:rsidRPr="006B63CF" w:rsidRDefault="001079F1" w:rsidP="00302FB0">
      <w:pPr>
        <w:pStyle w:val="Titolo2"/>
        <w:spacing w:line="480" w:lineRule="auto"/>
        <w:jc w:val="both"/>
        <w:rPr>
          <w:lang w:val="en-US"/>
        </w:rPr>
      </w:pPr>
      <w:r w:rsidRPr="006B63CF">
        <w:rPr>
          <w:lang w:val="en-US"/>
        </w:rPr>
        <w:t>Smart Cities</w:t>
      </w:r>
      <w:r w:rsidR="004D18FB" w:rsidRPr="006B63CF">
        <w:rPr>
          <w:lang w:val="en-US"/>
        </w:rPr>
        <w:t>: definitions and relation to</w:t>
      </w:r>
      <w:r w:rsidRPr="006B63CF">
        <w:rPr>
          <w:lang w:val="en-US"/>
        </w:rPr>
        <w:t xml:space="preserve"> income inequalities</w:t>
      </w:r>
    </w:p>
    <w:p w14:paraId="1743E772" w14:textId="419238B9" w:rsidR="00F8504A" w:rsidRPr="006B63CF" w:rsidRDefault="003906BC"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A</w:t>
      </w:r>
      <w:r w:rsidR="009764C4" w:rsidRPr="006B63CF">
        <w:rPr>
          <w:rFonts w:ascii="Times New Roman" w:hAnsi="Times New Roman" w:cs="Times New Roman"/>
          <w:lang w:val="en-US"/>
        </w:rPr>
        <w:t xml:space="preserve">nother </w:t>
      </w:r>
      <w:r w:rsidRPr="006B63CF">
        <w:rPr>
          <w:rFonts w:ascii="Times New Roman" w:hAnsi="Times New Roman" w:cs="Times New Roman"/>
          <w:lang w:val="en-US"/>
        </w:rPr>
        <w:t xml:space="preserve">branch of the literature that needs to be summarized </w:t>
      </w:r>
      <w:r w:rsidR="00DE31A0" w:rsidRPr="006B63CF">
        <w:rPr>
          <w:rFonts w:ascii="Times New Roman" w:hAnsi="Times New Roman" w:cs="Times New Roman"/>
          <w:lang w:val="en-US"/>
        </w:rPr>
        <w:t xml:space="preserve">here </w:t>
      </w:r>
      <w:r w:rsidRPr="006B63CF">
        <w:rPr>
          <w:rFonts w:ascii="Times New Roman" w:hAnsi="Times New Roman" w:cs="Times New Roman"/>
          <w:lang w:val="en-US"/>
        </w:rPr>
        <w:t xml:space="preserve">is related to the link between income inequality and </w:t>
      </w:r>
      <w:r w:rsidR="00EA1A47" w:rsidRPr="006B63CF">
        <w:rPr>
          <w:rFonts w:ascii="Times New Roman" w:hAnsi="Times New Roman" w:cs="Times New Roman"/>
          <w:lang w:val="en-US"/>
        </w:rPr>
        <w:t>the Smart City paradigm as emerging over the past decade.</w:t>
      </w:r>
      <w:r w:rsidR="00F8504A" w:rsidRPr="006B63CF">
        <w:rPr>
          <w:rStyle w:val="Rimandonotadichiusura"/>
          <w:rFonts w:ascii="Times New Roman" w:hAnsi="Times New Roman" w:cs="Times New Roman"/>
          <w:lang w:val="en-US"/>
        </w:rPr>
        <w:endnoteReference w:id="1"/>
      </w:r>
      <w:r w:rsidR="00F8504A" w:rsidRPr="006B63CF">
        <w:rPr>
          <w:rFonts w:ascii="Times New Roman" w:hAnsi="Times New Roman" w:cs="Times New Roman"/>
          <w:lang w:val="en-US"/>
        </w:rPr>
        <w:t xml:space="preserve"> In what follows we will suggest through which channels smartness can be related to inequalities and identify the distinctive elements of the definition of a Smart City we adopt in this paper with respect to other contributions in the literature, so as to shed theoretical light on the empirical analyses following thereafter. Before making this step, we will briefly summarize the lively debate emerging over the past decade on the very nature of urban smartness. This intermediate stage is needed in order to better motivate the choices made in the empirical section of our work.</w:t>
      </w:r>
    </w:p>
    <w:p w14:paraId="21A061A3" w14:textId="4FE24A40" w:rsidR="00F8504A" w:rsidRPr="006B63CF" w:rsidRDefault="00F8504A" w:rsidP="009764C4">
      <w:pPr>
        <w:spacing w:line="480" w:lineRule="auto"/>
        <w:jc w:val="both"/>
        <w:rPr>
          <w:rFonts w:ascii="Times New Roman" w:hAnsi="Times New Roman" w:cs="Times New Roman"/>
          <w:lang w:val="en-US"/>
        </w:rPr>
      </w:pPr>
      <w:r w:rsidRPr="006B63CF">
        <w:rPr>
          <w:rFonts w:ascii="Times New Roman" w:hAnsi="Times New Roman" w:cs="Times New Roman"/>
          <w:lang w:val="en-US"/>
        </w:rPr>
        <w:t>According to a recent article, the history of Smart Cities dates back to the 1960s, and finds its roots in the first wave of diffusion of early ICTs: “</w:t>
      </w:r>
      <w:r w:rsidRPr="006B63CF">
        <w:rPr>
          <w:rFonts w:ascii="Times New Roman" w:hAnsi="Times New Roman" w:cs="Times New Roman"/>
          <w:i/>
          <w:iCs/>
          <w:lang w:val="en-US"/>
        </w:rPr>
        <w:t>Beginning in the late 1960s and through most of the 1970s, the little-known Community Analysis Bureau used computer databases, cluster analysis, and infrared aerial photography to gather data, produce reports on neighborhood demographics and housing quality, and help direct resources to ward off blight and tackle poverty</w:t>
      </w:r>
      <w:r w:rsidRPr="006B63CF">
        <w:rPr>
          <w:rFonts w:ascii="Times New Roman" w:hAnsi="Times New Roman" w:cs="Times New Roman"/>
          <w:lang w:val="en-US"/>
        </w:rPr>
        <w:t>” (</w:t>
      </w:r>
      <w:proofErr w:type="spellStart"/>
      <w:r w:rsidRPr="006B63CF">
        <w:rPr>
          <w:rFonts w:ascii="Times New Roman" w:hAnsi="Times New Roman" w:cs="Times New Roman"/>
          <w:lang w:val="en-US"/>
        </w:rPr>
        <w:t>Vallianatos</w:t>
      </w:r>
      <w:proofErr w:type="spellEnd"/>
      <w:r w:rsidRPr="006B63CF">
        <w:rPr>
          <w:rFonts w:ascii="Times New Roman" w:hAnsi="Times New Roman" w:cs="Times New Roman"/>
          <w:lang w:val="en-US"/>
        </w:rPr>
        <w:t>, 2015).</w:t>
      </w:r>
    </w:p>
    <w:p w14:paraId="490B0AA9" w14:textId="53BD23C1" w:rsidR="00F8504A" w:rsidRPr="006B63CF" w:rsidRDefault="00F8504A" w:rsidP="009764C4">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Over time, several definitions of this concept have emerged, each differing in terms of the main “smart” characteristic deemed as the most relevant. While early conceptualizations revolved around ICTs as the main </w:t>
      </w:r>
      <w:r w:rsidRPr="006B63CF">
        <w:rPr>
          <w:rFonts w:ascii="Times New Roman" w:hAnsi="Times New Roman" w:cs="Times New Roman"/>
          <w:lang w:val="en-US"/>
        </w:rPr>
        <w:lastRenderedPageBreak/>
        <w:t>pillar around which a city should build its smart pathway, eventually other key factors have been considered as the characterizing feature of Smart Cities. From the “wired city” proposed initially by Dutton et al. (1987), other authors have stressed the importance of the users of ICTs and their ability to connect among each other and reap the benefits of technology, as in the “intelligent city” (</w:t>
      </w:r>
      <w:proofErr w:type="spellStart"/>
      <w:r w:rsidRPr="006B63CF">
        <w:rPr>
          <w:rFonts w:ascii="Times New Roman" w:hAnsi="Times New Roman" w:cs="Times New Roman"/>
          <w:lang w:val="en-US"/>
        </w:rPr>
        <w:t>Komninos</w:t>
      </w:r>
      <w:proofErr w:type="spellEnd"/>
      <w:r w:rsidRPr="006B63CF">
        <w:rPr>
          <w:rFonts w:ascii="Times New Roman" w:hAnsi="Times New Roman" w:cs="Times New Roman"/>
          <w:lang w:val="en-US"/>
        </w:rPr>
        <w:t xml:space="preserve"> 2002, 2006 and 2009; Deakin and </w:t>
      </w:r>
      <w:proofErr w:type="spellStart"/>
      <w:r w:rsidRPr="006B63CF">
        <w:rPr>
          <w:rFonts w:ascii="Times New Roman" w:hAnsi="Times New Roman" w:cs="Times New Roman"/>
          <w:lang w:val="en-US"/>
        </w:rPr>
        <w:t>Waer</w:t>
      </w:r>
      <w:proofErr w:type="spellEnd"/>
      <w:r w:rsidRPr="006B63CF">
        <w:rPr>
          <w:rFonts w:ascii="Times New Roman" w:hAnsi="Times New Roman" w:cs="Times New Roman"/>
          <w:lang w:val="en-US"/>
        </w:rPr>
        <w:t>, 2011). Environmental aspects are instead the focus of another stream of definitions revolving around the idea of smartness as the ability to invest in technologies and implement policies aimed at increasing urban sustainability, following the notion of “resilient cities” proposed initially by Newman et al., 2009.</w:t>
      </w:r>
    </w:p>
    <w:p w14:paraId="390B9E28" w14:textId="02D4C097" w:rsidR="00F8504A" w:rsidRPr="006B63CF" w:rsidRDefault="00F8504A" w:rsidP="009764C4">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More recent contributions shifted the weight towards a more comprehensive approach, aimed at encompassing several key features of smartness in comprehensive definitions (Caragliu and Del Bo, 2020). The contributions in this strand of literature see Smart Cities as the unique meeting place of ICTs on the one hand, and human and social capital, bottom-up governance, and quality of life and sustainability on the other. This approach follows the seminal work by </w:t>
      </w:r>
      <w:proofErr w:type="spellStart"/>
      <w:r w:rsidRPr="006B63CF">
        <w:rPr>
          <w:rFonts w:ascii="Times New Roman" w:hAnsi="Times New Roman" w:cs="Times New Roman"/>
          <w:lang w:val="en-US"/>
        </w:rPr>
        <w:t>Giffinger</w:t>
      </w:r>
      <w:proofErr w:type="spellEnd"/>
      <w:r w:rsidRPr="006B63CF">
        <w:rPr>
          <w:rFonts w:ascii="Times New Roman" w:hAnsi="Times New Roman" w:cs="Times New Roman"/>
          <w:lang w:val="en-US"/>
        </w:rPr>
        <w:t xml:space="preserve"> et al. (2007), and suggests that Smart Cities exist as the result of the interplay between both tangible and intangible factors, offering an urban environment more prone to enhance the positive effects stemming from the presence of communication infrastructure. This novel characterization of Smart Cities moves beyond the focus on a single, leading factor that defines smartness, and offer a comprehensive and all-encompassing definition of the main features that define smartness (Batty et al., 2012).</w:t>
      </w:r>
    </w:p>
    <w:p w14:paraId="2974A0F4" w14:textId="323D0FE1" w:rsidR="00F8504A" w:rsidRPr="006B63CF" w:rsidRDefault="00F8504A" w:rsidP="009764C4">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This approach, in our opinion, offers several advantages. First, it encompasses several drivers of smartness that have been identified individually in the literature and in other definitions while not focusing the attention only on one. </w:t>
      </w:r>
      <w:bookmarkStart w:id="1" w:name="_Hlk69481409"/>
      <w:r w:rsidRPr="006B63CF">
        <w:rPr>
          <w:rFonts w:ascii="Times New Roman" w:hAnsi="Times New Roman" w:cs="Times New Roman"/>
          <w:lang w:val="en-US"/>
        </w:rPr>
        <w:t xml:space="preserve">In this sense, the definition used in this paper follows the one provided by Caragliu et al. (2011) and merges several different strands of classification of what a Smart City truly is, thus avoiding to narrowly focus on just one, or few, of them. </w:t>
      </w:r>
      <w:bookmarkEnd w:id="1"/>
      <w:r w:rsidRPr="006B63CF">
        <w:rPr>
          <w:rFonts w:ascii="Times New Roman" w:hAnsi="Times New Roman" w:cs="Times New Roman"/>
          <w:lang w:val="en-US"/>
        </w:rPr>
        <w:t>Second, it can be related to an urban production function approach, clearly distinguishing between inputs and output. Finally, it can be empirically implemented and is amenable of statistical measuring and analysis.</w:t>
      </w:r>
    </w:p>
    <w:p w14:paraId="3DC2CC92" w14:textId="1491EF6C" w:rsidR="00F8504A" w:rsidRPr="006B63CF" w:rsidRDefault="00F8504A" w:rsidP="009764C4">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The distinction between ICT-oriented only, or holistic Smart Cities, has also important normative implications; in fact, a policy could be legitimately defined as a Smart City-oriented one when, for instance, funding broadband diffusion only within the first framework, while the lack of support to context conditions would </w:t>
      </w:r>
      <w:r w:rsidRPr="006B63CF">
        <w:rPr>
          <w:rFonts w:ascii="Times New Roman" w:hAnsi="Times New Roman" w:cs="Times New Roman"/>
          <w:lang w:val="en-US"/>
        </w:rPr>
        <w:lastRenderedPageBreak/>
        <w:t xml:space="preserve">exclude such policies from belonging to truly smart ones when a more comprehensive definition following the </w:t>
      </w:r>
      <w:proofErr w:type="spellStart"/>
      <w:r w:rsidRPr="006B63CF">
        <w:rPr>
          <w:rFonts w:ascii="Times New Roman" w:hAnsi="Times New Roman" w:cs="Times New Roman"/>
          <w:lang w:val="en-US"/>
        </w:rPr>
        <w:t>Giffinger</w:t>
      </w:r>
      <w:proofErr w:type="spellEnd"/>
      <w:r w:rsidRPr="006B63CF">
        <w:rPr>
          <w:rFonts w:ascii="Times New Roman" w:hAnsi="Times New Roman" w:cs="Times New Roman"/>
          <w:lang w:val="en-US"/>
        </w:rPr>
        <w:t xml:space="preserve"> et al. (2007) and Caragliu et al. (2011) paradigm is adopted.</w:t>
      </w:r>
    </w:p>
    <w:p w14:paraId="489E9050" w14:textId="4FAD47C3"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While initial critiques against the notion of Smart City focused on the fuzziness of this concept (Hollands, 2008), the diffusion of successful and clear definitions quickly made this first point less relevant, while leaving room for a second generation of criticisms, increasingly dealing with the unequal nature of the benefits accruing to Smart Citizens. The microfoundations behind Smart City income inequality effects can be in particular be related to four conceptual arguments.</w:t>
      </w:r>
    </w:p>
    <w:p w14:paraId="33D8AF59" w14:textId="79B2A4FD" w:rsidR="00F8504A" w:rsidRPr="006B63CF" w:rsidRDefault="00F8504A" w:rsidP="00302FB0">
      <w:pPr>
        <w:spacing w:after="120" w:line="480" w:lineRule="auto"/>
        <w:jc w:val="both"/>
        <w:rPr>
          <w:rFonts w:ascii="Times New Roman" w:hAnsi="Times New Roman" w:cs="Times New Roman"/>
          <w:lang w:val="en-US"/>
        </w:rPr>
      </w:pPr>
      <w:bookmarkStart w:id="2" w:name="_Hlk78352887"/>
      <w:r w:rsidRPr="006B63CF">
        <w:rPr>
          <w:rFonts w:ascii="Times New Roman" w:hAnsi="Times New Roman" w:cs="Times New Roman"/>
          <w:lang w:val="en-US"/>
        </w:rPr>
        <w:t xml:space="preserve">The first reason for Smart Cities to be potentially associated with higher levels of income inequality is based on the uneven diffusion of ICTs in cities, and, in particular, of the skills needed to fully reap the benefits of these technologies. </w:t>
      </w:r>
      <w:bookmarkEnd w:id="2"/>
      <w:r w:rsidRPr="006B63CF">
        <w:rPr>
          <w:rFonts w:ascii="Times New Roman" w:hAnsi="Times New Roman" w:cs="Times New Roman"/>
          <w:lang w:val="en-US"/>
        </w:rPr>
        <w:t>While this channel is in principle relevant, there is to date scant evidence in support for this concern. Richmond and Triplett (2018) provide weak evidence of the former hypothesis, showing that, on the basis of a panel of country data, differential access to ICTs and skill premia seem to cause income inequality increases only for specific types of ICTs and conditionally on other local institutional factors.</w:t>
      </w:r>
    </w:p>
    <w:p w14:paraId="4C75D813" w14:textId="31BC9EA1"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Secondly, the conceptual link between smartness and income inequalities at the urban level can be understood as a </w:t>
      </w:r>
      <w:bookmarkStart w:id="3" w:name="_Hlk78352904"/>
      <w:r w:rsidRPr="006B63CF">
        <w:rPr>
          <w:rFonts w:ascii="Times New Roman" w:hAnsi="Times New Roman" w:cs="Times New Roman"/>
          <w:lang w:val="en-US"/>
        </w:rPr>
        <w:t>consequence of adopting technologies that cannot be afforded and exploited by low-income citizens, thus leading to the worsening of inequalities</w:t>
      </w:r>
      <w:bookmarkEnd w:id="3"/>
      <w:r w:rsidRPr="006B63CF">
        <w:rPr>
          <w:rFonts w:ascii="Times New Roman" w:hAnsi="Times New Roman" w:cs="Times New Roman"/>
          <w:lang w:val="en-US"/>
        </w:rPr>
        <w:t>. Since income inequality has an inherently spatial nature (Ayala et al., 2019) this prompts us to link this to urban smartness, which is another space-varying factor. In detail, some of the Smart solutions might be difficult to access by some segments of the population (mainly identified by the lower income segment of the population), thus further widening the gap between the wealthy and the lower-income population. This potential channel may become even stronger if smartness is identified only by its technological component and by the involvement of private actors, as posited by some scholars (Partridge, 2004). To the best of our knowledge, there is no literature examining this channel empirically.</w:t>
      </w:r>
    </w:p>
    <w:p w14:paraId="26391384" w14:textId="7E858034"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Thirdly, </w:t>
      </w:r>
      <w:bookmarkStart w:id="4" w:name="_Hlk78352918"/>
      <w:r w:rsidRPr="006B63CF">
        <w:rPr>
          <w:rFonts w:ascii="Times New Roman" w:hAnsi="Times New Roman" w:cs="Times New Roman"/>
          <w:lang w:val="en-US"/>
        </w:rPr>
        <w:t>investment in Smart Cities could also further the income and human capital divides already affecting several developed countries (</w:t>
      </w:r>
      <w:proofErr w:type="spellStart"/>
      <w:r w:rsidRPr="006B63CF">
        <w:rPr>
          <w:rFonts w:ascii="Times New Roman" w:hAnsi="Times New Roman" w:cs="Times New Roman"/>
          <w:lang w:val="en-US"/>
        </w:rPr>
        <w:t>Glaeser</w:t>
      </w:r>
      <w:proofErr w:type="spellEnd"/>
      <w:r w:rsidRPr="006B63CF">
        <w:rPr>
          <w:rFonts w:ascii="Times New Roman" w:hAnsi="Times New Roman" w:cs="Times New Roman"/>
          <w:lang w:val="en-US"/>
        </w:rPr>
        <w:t xml:space="preserve"> and Berry, 2006), since spatial differences in ICT endowment and skills can be so severe that lock-ins can derive</w:t>
      </w:r>
      <w:bookmarkEnd w:id="4"/>
      <w:r w:rsidRPr="006B63CF">
        <w:rPr>
          <w:rFonts w:ascii="Times New Roman" w:hAnsi="Times New Roman" w:cs="Times New Roman"/>
          <w:lang w:val="en-US"/>
        </w:rPr>
        <w:t>. This argument suggests that Smart Cities may be associated with higher levels of poverty (</w:t>
      </w:r>
      <w:proofErr w:type="spellStart"/>
      <w:r w:rsidRPr="006B63CF">
        <w:rPr>
          <w:rFonts w:ascii="Times New Roman" w:hAnsi="Times New Roman" w:cs="Times New Roman"/>
          <w:lang w:val="en-US"/>
        </w:rPr>
        <w:t>Kummitha</w:t>
      </w:r>
      <w:proofErr w:type="spellEnd"/>
      <w:r w:rsidRPr="006B63CF">
        <w:rPr>
          <w:rFonts w:ascii="Times New Roman" w:hAnsi="Times New Roman" w:cs="Times New Roman"/>
          <w:lang w:val="en-US"/>
        </w:rPr>
        <w:t xml:space="preserve"> and </w:t>
      </w:r>
      <w:proofErr w:type="spellStart"/>
      <w:r w:rsidRPr="006B63CF">
        <w:rPr>
          <w:rFonts w:ascii="Times New Roman" w:hAnsi="Times New Roman" w:cs="Times New Roman"/>
          <w:lang w:val="en-US"/>
        </w:rPr>
        <w:t>Crutzen</w:t>
      </w:r>
      <w:proofErr w:type="spellEnd"/>
      <w:r w:rsidRPr="006B63CF">
        <w:rPr>
          <w:rFonts w:ascii="Times New Roman" w:hAnsi="Times New Roman" w:cs="Times New Roman"/>
          <w:lang w:val="en-US"/>
        </w:rPr>
        <w:t xml:space="preserve">, 2017). While evidence on this last point is rather scattered, </w:t>
      </w:r>
      <w:r w:rsidRPr="006B63CF">
        <w:rPr>
          <w:rFonts w:ascii="Times New Roman" w:hAnsi="Times New Roman" w:cs="Times New Roman"/>
          <w:lang w:val="en-US"/>
        </w:rPr>
        <w:lastRenderedPageBreak/>
        <w:t>Hollands (2008) does provide qualitative proof that in cities acting as early adopters of Smart City technologies such as San Diego and Singapore poverty levels have been on the rise for decades.</w:t>
      </w:r>
    </w:p>
    <w:p w14:paraId="5AFD2450" w14:textId="019D0D40" w:rsidR="00F8504A" w:rsidRPr="006B63CF" w:rsidRDefault="00F8504A" w:rsidP="00302FB0">
      <w:pPr>
        <w:spacing w:after="120" w:line="480" w:lineRule="auto"/>
        <w:jc w:val="both"/>
        <w:rPr>
          <w:rFonts w:ascii="Times New Roman" w:hAnsi="Times New Roman" w:cs="Times New Roman"/>
          <w:lang w:val="en-US"/>
        </w:rPr>
      </w:pPr>
      <w:r w:rsidRPr="006B63CF">
        <w:rPr>
          <w:rFonts w:ascii="Times New Roman" w:hAnsi="Times New Roman" w:cs="Times New Roman"/>
          <w:lang w:val="en-US"/>
        </w:rPr>
        <w:t xml:space="preserve">Lastly, within the burgeoning literature on Smart Cities, a set of analyses highlighting the potential risks and pitfalls of the concept has emerged, mainly related to the </w:t>
      </w:r>
      <w:bookmarkStart w:id="5" w:name="_Hlk78352931"/>
      <w:r w:rsidRPr="006B63CF">
        <w:rPr>
          <w:rFonts w:ascii="Times New Roman" w:hAnsi="Times New Roman" w:cs="Times New Roman"/>
          <w:lang w:val="en-US"/>
        </w:rPr>
        <w:t xml:space="preserve">significant involvement of private actors in the implementation of policies and projects. </w:t>
      </w:r>
      <w:bookmarkEnd w:id="5"/>
      <w:r w:rsidRPr="006B63CF">
        <w:rPr>
          <w:rFonts w:ascii="Times New Roman" w:hAnsi="Times New Roman" w:cs="Times New Roman"/>
          <w:lang w:val="en-US"/>
        </w:rPr>
        <w:t>As an example, Hollands (2015) suggests that the Smart City concept is ultimately a corporate-driven construct, aimed at maximizing profits and returns for the firms providing municipalities with the needed ICT technologies and not conducive to welfare improvements for the citizens involved in the process. Recently, Lam and Ma (2018) have shown how negative side-effects of the Smart City developments are related to information insecurity, personal privacy leakage, information islands, and digital divide.</w:t>
      </w:r>
    </w:p>
    <w:p w14:paraId="3C6705E0" w14:textId="23D2844E" w:rsidR="00F8504A" w:rsidRPr="006B63CF" w:rsidRDefault="00F8504A" w:rsidP="00302FB0">
      <w:pPr>
        <w:spacing w:after="120" w:line="480" w:lineRule="auto"/>
        <w:jc w:val="both"/>
        <w:rPr>
          <w:rFonts w:ascii="Times New Roman" w:hAnsi="Times New Roman" w:cs="Times New Roman"/>
          <w:lang w:val="en-US"/>
        </w:rPr>
      </w:pPr>
      <w:r w:rsidRPr="006B63CF">
        <w:rPr>
          <w:rFonts w:ascii="Times New Roman" w:hAnsi="Times New Roman" w:cs="Times New Roman"/>
          <w:lang w:val="en-US"/>
        </w:rPr>
        <w:t xml:space="preserve">To sum up, an indirect argument in favor of the role of urban smartness as a factor causing further income inequalities is proposed in </w:t>
      </w:r>
      <w:proofErr w:type="spellStart"/>
      <w:r w:rsidRPr="006B63CF">
        <w:rPr>
          <w:rFonts w:ascii="Times New Roman" w:hAnsi="Times New Roman" w:cs="Times New Roman"/>
          <w:lang w:val="en-US"/>
        </w:rPr>
        <w:t>Vanolo</w:t>
      </w:r>
      <w:proofErr w:type="spellEnd"/>
      <w:r w:rsidRPr="006B63CF">
        <w:rPr>
          <w:rFonts w:ascii="Times New Roman" w:hAnsi="Times New Roman" w:cs="Times New Roman"/>
          <w:lang w:val="en-US"/>
        </w:rPr>
        <w:t xml:space="preserve"> (2014), who argues that the theoretical paradigms underpinning the Smart City movement are “</w:t>
      </w:r>
      <w:r w:rsidRPr="006B63CF">
        <w:rPr>
          <w:rFonts w:ascii="Times New Roman" w:hAnsi="Times New Roman" w:cs="Times New Roman"/>
          <w:i/>
          <w:lang w:val="en-US"/>
        </w:rPr>
        <w:t>powerful devices to activate and rethink specific rationalities in order to justify political choices and trigger new economic paradigms—in other words, accumulation regimes that generate new businesses and possible capital accumulation</w:t>
      </w:r>
      <w:r w:rsidRPr="006B63CF">
        <w:rPr>
          <w:rFonts w:ascii="Times New Roman" w:hAnsi="Times New Roman" w:cs="Times New Roman"/>
          <w:lang w:val="en-US"/>
        </w:rPr>
        <w:t>” (</w:t>
      </w:r>
      <w:proofErr w:type="spellStart"/>
      <w:r w:rsidRPr="006B63CF">
        <w:rPr>
          <w:rFonts w:ascii="Times New Roman" w:hAnsi="Times New Roman" w:cs="Times New Roman"/>
          <w:lang w:val="en-US"/>
        </w:rPr>
        <w:t>Vanolo</w:t>
      </w:r>
      <w:proofErr w:type="spellEnd"/>
      <w:r w:rsidRPr="006B63CF">
        <w:rPr>
          <w:rFonts w:ascii="Times New Roman" w:hAnsi="Times New Roman" w:cs="Times New Roman"/>
          <w:lang w:val="en-US"/>
        </w:rPr>
        <w:t>, 2014, pp. 885–886).</w:t>
      </w:r>
    </w:p>
    <w:p w14:paraId="105E816F" w14:textId="4ED14F3F"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In much of the literature so far summarized, the perverse link between Smart City technologies and income inequalities becomes stronger for Smart City projects carried out on new, artificially created cities. In fact, in the European context, urban Smart City projects can be, at least in part and alongside local public actors and private firms, financed with EU funds (</w:t>
      </w:r>
      <w:proofErr w:type="spellStart"/>
      <w:r w:rsidRPr="006B63CF">
        <w:rPr>
          <w:rFonts w:ascii="Times New Roman" w:hAnsi="Times New Roman" w:cs="Times New Roman"/>
          <w:lang w:val="en-US"/>
        </w:rPr>
        <w:t>Núñez</w:t>
      </w:r>
      <w:proofErr w:type="spellEnd"/>
      <w:r w:rsidRPr="006B63CF">
        <w:rPr>
          <w:rFonts w:ascii="Times New Roman" w:hAnsi="Times New Roman" w:cs="Times New Roman"/>
          <w:lang w:val="en-US"/>
        </w:rPr>
        <w:t xml:space="preserve"> Ferrer et al., 2013; Caragliu and Del Bo, 2018) and usually refer to investments in already existing cities. In other regions, instead, both the conceptual definition and the means of financing of Smart Cities might take on different meanings, suggesting that our results should be properly framed in the appropriate institutional context. In the North American and Asian context, the relative weight of the private actors with respect to public authorities is higher than in the European case (</w:t>
      </w:r>
      <w:proofErr w:type="spellStart"/>
      <w:r w:rsidRPr="006B63CF">
        <w:rPr>
          <w:rFonts w:ascii="Times New Roman" w:hAnsi="Times New Roman" w:cs="Times New Roman"/>
          <w:lang w:val="en-US"/>
        </w:rPr>
        <w:t>Neirotti</w:t>
      </w:r>
      <w:proofErr w:type="spellEnd"/>
      <w:r w:rsidRPr="006B63CF">
        <w:rPr>
          <w:rFonts w:ascii="Times New Roman" w:hAnsi="Times New Roman" w:cs="Times New Roman"/>
          <w:lang w:val="en-US"/>
        </w:rPr>
        <w:t xml:space="preserve"> et al., 2014), while the difference with the Arab region is that Smart City projects more often than in Europe refer to greenfield projects of newly established cities (</w:t>
      </w:r>
      <w:proofErr w:type="spellStart"/>
      <w:r w:rsidRPr="006B63CF">
        <w:rPr>
          <w:rFonts w:ascii="Times New Roman" w:hAnsi="Times New Roman" w:cs="Times New Roman"/>
          <w:lang w:val="en-US"/>
        </w:rPr>
        <w:t>Kitchin</w:t>
      </w:r>
      <w:proofErr w:type="spellEnd"/>
      <w:r w:rsidRPr="006B63CF">
        <w:rPr>
          <w:rFonts w:ascii="Times New Roman" w:hAnsi="Times New Roman" w:cs="Times New Roman"/>
          <w:lang w:val="en-US"/>
        </w:rPr>
        <w:t>, 2015).</w:t>
      </w:r>
    </w:p>
    <w:p w14:paraId="6260A0BF" w14:textId="5C256FB7"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Against many of these arguments, it is important to stress that the definition of Smart Cities adopted in this paper follows Caragliu et al. (2011) and other comprehensive approaches highlighted above and thus differs </w:t>
      </w:r>
      <w:r w:rsidRPr="006B63CF">
        <w:rPr>
          <w:rFonts w:ascii="Times New Roman" w:hAnsi="Times New Roman" w:cs="Times New Roman"/>
          <w:lang w:val="en-US"/>
        </w:rPr>
        <w:lastRenderedPageBreak/>
        <w:t>from how some other scholars understand and interpret the Smart City concept, presenting a partial view of smartness. In our analysis, we focus on the smart characteristics that define a Smart City, thus going beyond the cities’ own definition of their level of smartness (such as in several widely cited Smart City rankings, for instance the IESE (University of Navarra’s Business School) Cities in Motion Index; see IESE, 2019) and overcoming the limits of considering a city as smart only if it is providing, possibly in partnership with a private ICT firm (</w:t>
      </w:r>
      <w:proofErr w:type="spellStart"/>
      <w:r w:rsidRPr="006B63CF">
        <w:rPr>
          <w:rFonts w:ascii="Times New Roman" w:hAnsi="Times New Roman" w:cs="Times New Roman"/>
          <w:lang w:val="en-US"/>
        </w:rPr>
        <w:t>Allwinkle</w:t>
      </w:r>
      <w:proofErr w:type="spellEnd"/>
      <w:r w:rsidRPr="006B63CF">
        <w:rPr>
          <w:rFonts w:ascii="Times New Roman" w:hAnsi="Times New Roman" w:cs="Times New Roman"/>
          <w:lang w:val="en-US"/>
        </w:rPr>
        <w:t xml:space="preserve"> and Cruickshank, 2011), digital solutions.</w:t>
      </w:r>
    </w:p>
    <w:p w14:paraId="36112E5A" w14:textId="718994EF"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Our approach is instead inspired by an urban production function approach. With a clear distinction between inputs and outputs, smartness is an intermediate step towards the goal of smart urban growth. We refer to the comprehensive and operational definition provided in Caragliu et al. (2011), where cities are identified as smart when: “</w:t>
      </w:r>
      <w:r w:rsidRPr="006B63CF">
        <w:rPr>
          <w:rFonts w:ascii="Times New Roman" w:hAnsi="Times New Roman" w:cs="Times New Roman"/>
          <w:i/>
          <w:iCs/>
          <w:lang w:val="en-US"/>
        </w:rPr>
        <w:t>investments in human and social capital and traditional (transport) and modern (ICT) communication infrastructure fuel sustainable economic growth and a high quality of life, with a wise management of natural resources, through participatory governance</w:t>
      </w:r>
      <w:r w:rsidRPr="006B63CF">
        <w:rPr>
          <w:rFonts w:ascii="Times New Roman" w:hAnsi="Times New Roman" w:cs="Times New Roman"/>
          <w:lang w:val="en-US"/>
        </w:rPr>
        <w:t>”.</w:t>
      </w:r>
    </w:p>
    <w:p w14:paraId="7BD97401" w14:textId="44F9B3D1"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Thus, while we do acknowledge the importance of the ICT component, we do not believe this is the main defining element of smartness. We address this issue in the empirical section by singling out the ICT component and using it to measure urban smartness.</w:t>
      </w:r>
    </w:p>
    <w:p w14:paraId="73EA1780" w14:textId="3404FEBA"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The literature summarized in Section 2.2 hints at many possible rationales for the existence of a negative link between urban smartness and income inequality. This proposition will be subject to a rigorous empirical test in Section 4. Before we test this hypothesis, Section 3 will describe the main methodological details of our analyses.</w:t>
      </w:r>
    </w:p>
    <w:p w14:paraId="652B43EE" w14:textId="77777777" w:rsidR="00F8504A" w:rsidRPr="006B63CF" w:rsidRDefault="00F8504A" w:rsidP="00491E65">
      <w:pPr>
        <w:pStyle w:val="Titolo1"/>
        <w:spacing w:line="480" w:lineRule="auto"/>
        <w:jc w:val="both"/>
      </w:pPr>
      <w:r w:rsidRPr="006B63CF">
        <w:t>Data and indicators</w:t>
      </w:r>
    </w:p>
    <w:p w14:paraId="2E706AF6" w14:textId="241232DD" w:rsidR="00F8504A"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We now describe the methodological issues needed to translate the research question presented in Section 1 into an empirically testable model. Data and indicators are classified according to whether they are used as explanatory or dependent variables, the type of indicators, the sources of their respective raw data, the periods when they are measured, and the formula (if applicable) used to compute their values, in Table 1 below.</w:t>
      </w:r>
    </w:p>
    <w:p w14:paraId="69361276" w14:textId="77777777" w:rsidR="00855D6D" w:rsidRPr="006B63CF" w:rsidRDefault="00855D6D" w:rsidP="00302FB0">
      <w:pPr>
        <w:spacing w:line="480" w:lineRule="auto"/>
        <w:jc w:val="both"/>
        <w:rPr>
          <w:rFonts w:ascii="Times New Roman" w:hAnsi="Times New Roman" w:cs="Times New Roman"/>
          <w:lang w:val="en-US"/>
        </w:rPr>
      </w:pPr>
    </w:p>
    <w:tbl>
      <w:tblPr>
        <w:tblW w:w="9781" w:type="dxa"/>
        <w:tblCellMar>
          <w:left w:w="70" w:type="dxa"/>
          <w:right w:w="70" w:type="dxa"/>
        </w:tblCellMar>
        <w:tblLook w:val="04A0" w:firstRow="1" w:lastRow="0" w:firstColumn="1" w:lastColumn="0" w:noHBand="0" w:noVBand="1"/>
      </w:tblPr>
      <w:tblGrid>
        <w:gridCol w:w="1421"/>
        <w:gridCol w:w="1457"/>
        <w:gridCol w:w="1794"/>
        <w:gridCol w:w="1099"/>
        <w:gridCol w:w="4010"/>
      </w:tblGrid>
      <w:tr w:rsidR="00855D6D" w:rsidRPr="00C82B71" w14:paraId="0FA02890" w14:textId="77777777" w:rsidTr="001C4F74">
        <w:trPr>
          <w:trHeight w:val="525"/>
        </w:trPr>
        <w:tc>
          <w:tcPr>
            <w:tcW w:w="1421" w:type="dxa"/>
            <w:tcBorders>
              <w:top w:val="single" w:sz="4" w:space="0" w:color="auto"/>
              <w:left w:val="nil"/>
              <w:bottom w:val="double" w:sz="6" w:space="0" w:color="auto"/>
              <w:right w:val="nil"/>
            </w:tcBorders>
            <w:shd w:val="clear" w:color="auto" w:fill="auto"/>
            <w:vAlign w:val="center"/>
            <w:hideMark/>
          </w:tcPr>
          <w:p w14:paraId="7212C9FE" w14:textId="77777777" w:rsidR="00855D6D" w:rsidRPr="00C82B71" w:rsidRDefault="00855D6D" w:rsidP="001C4F74">
            <w:pPr>
              <w:spacing w:after="0" w:line="240" w:lineRule="auto"/>
              <w:jc w:val="center"/>
              <w:rPr>
                <w:rFonts w:ascii="Times New Roman" w:eastAsia="Times New Roman" w:hAnsi="Times New Roman" w:cs="Times New Roman"/>
                <w:b/>
                <w:bCs/>
                <w:color w:val="000000"/>
                <w:sz w:val="20"/>
                <w:szCs w:val="20"/>
                <w:lang w:val="en-US"/>
              </w:rPr>
            </w:pPr>
            <w:r w:rsidRPr="00C82B71">
              <w:rPr>
                <w:rFonts w:ascii="Times New Roman" w:eastAsia="Times New Roman" w:hAnsi="Times New Roman" w:cs="Times New Roman"/>
                <w:b/>
                <w:bCs/>
                <w:color w:val="000000"/>
                <w:sz w:val="20"/>
                <w:szCs w:val="20"/>
                <w:lang w:val="en-US"/>
              </w:rPr>
              <w:lastRenderedPageBreak/>
              <w:t>Typology</w:t>
            </w:r>
          </w:p>
        </w:tc>
        <w:tc>
          <w:tcPr>
            <w:tcW w:w="1457" w:type="dxa"/>
            <w:tcBorders>
              <w:top w:val="single" w:sz="4" w:space="0" w:color="auto"/>
              <w:left w:val="nil"/>
              <w:bottom w:val="double" w:sz="6" w:space="0" w:color="auto"/>
              <w:right w:val="nil"/>
            </w:tcBorders>
            <w:shd w:val="clear" w:color="auto" w:fill="auto"/>
            <w:vAlign w:val="center"/>
            <w:hideMark/>
          </w:tcPr>
          <w:p w14:paraId="55DC0F68" w14:textId="77777777" w:rsidR="00855D6D" w:rsidRPr="00C82B71" w:rsidRDefault="00855D6D" w:rsidP="001C4F74">
            <w:pPr>
              <w:spacing w:after="0" w:line="240" w:lineRule="auto"/>
              <w:jc w:val="center"/>
              <w:rPr>
                <w:rFonts w:ascii="Times New Roman" w:eastAsia="Times New Roman" w:hAnsi="Times New Roman" w:cs="Times New Roman"/>
                <w:b/>
                <w:bCs/>
                <w:color w:val="000000"/>
                <w:sz w:val="20"/>
                <w:szCs w:val="20"/>
                <w:lang w:val="en-US"/>
              </w:rPr>
            </w:pPr>
            <w:r w:rsidRPr="00C82B71">
              <w:rPr>
                <w:rFonts w:ascii="Times New Roman" w:eastAsia="Times New Roman" w:hAnsi="Times New Roman" w:cs="Times New Roman"/>
                <w:b/>
                <w:bCs/>
                <w:color w:val="000000"/>
                <w:sz w:val="20"/>
                <w:szCs w:val="20"/>
                <w:lang w:val="en-US"/>
              </w:rPr>
              <w:t>Indicator</w:t>
            </w:r>
          </w:p>
        </w:tc>
        <w:tc>
          <w:tcPr>
            <w:tcW w:w="1794" w:type="dxa"/>
            <w:tcBorders>
              <w:top w:val="single" w:sz="4" w:space="0" w:color="auto"/>
              <w:left w:val="nil"/>
              <w:bottom w:val="double" w:sz="6" w:space="0" w:color="auto"/>
              <w:right w:val="nil"/>
            </w:tcBorders>
            <w:shd w:val="clear" w:color="auto" w:fill="auto"/>
            <w:vAlign w:val="center"/>
            <w:hideMark/>
          </w:tcPr>
          <w:p w14:paraId="7647E59D" w14:textId="77777777" w:rsidR="00855D6D" w:rsidRPr="00C82B71" w:rsidRDefault="00855D6D" w:rsidP="001C4F74">
            <w:pPr>
              <w:spacing w:after="0" w:line="240" w:lineRule="auto"/>
              <w:jc w:val="center"/>
              <w:rPr>
                <w:rFonts w:ascii="Times New Roman" w:eastAsia="Times New Roman" w:hAnsi="Times New Roman" w:cs="Times New Roman"/>
                <w:b/>
                <w:bCs/>
                <w:color w:val="000000"/>
                <w:sz w:val="20"/>
                <w:szCs w:val="20"/>
                <w:lang w:val="en-US"/>
              </w:rPr>
            </w:pPr>
            <w:r w:rsidRPr="00C82B71">
              <w:rPr>
                <w:rFonts w:ascii="Times New Roman" w:eastAsia="Times New Roman" w:hAnsi="Times New Roman" w:cs="Times New Roman"/>
                <w:b/>
                <w:bCs/>
                <w:color w:val="000000"/>
                <w:sz w:val="20"/>
                <w:szCs w:val="20"/>
                <w:lang w:val="en-US"/>
              </w:rPr>
              <w:t>Source of raw data</w:t>
            </w:r>
          </w:p>
        </w:tc>
        <w:tc>
          <w:tcPr>
            <w:tcW w:w="1099" w:type="dxa"/>
            <w:tcBorders>
              <w:top w:val="single" w:sz="4" w:space="0" w:color="auto"/>
              <w:left w:val="nil"/>
              <w:bottom w:val="double" w:sz="6" w:space="0" w:color="auto"/>
              <w:right w:val="nil"/>
            </w:tcBorders>
            <w:shd w:val="clear" w:color="auto" w:fill="auto"/>
            <w:vAlign w:val="center"/>
            <w:hideMark/>
          </w:tcPr>
          <w:p w14:paraId="3F40BA43" w14:textId="77777777" w:rsidR="00855D6D" w:rsidRPr="00C82B71" w:rsidRDefault="00855D6D" w:rsidP="001C4F74">
            <w:pPr>
              <w:spacing w:after="0" w:line="240" w:lineRule="auto"/>
              <w:jc w:val="center"/>
              <w:rPr>
                <w:rFonts w:ascii="Times New Roman" w:eastAsia="Times New Roman" w:hAnsi="Times New Roman" w:cs="Times New Roman"/>
                <w:b/>
                <w:bCs/>
                <w:color w:val="000000"/>
                <w:sz w:val="20"/>
                <w:szCs w:val="20"/>
                <w:lang w:val="en-US"/>
              </w:rPr>
            </w:pPr>
            <w:r w:rsidRPr="00C82B71">
              <w:rPr>
                <w:rFonts w:ascii="Times New Roman" w:eastAsia="Times New Roman" w:hAnsi="Times New Roman" w:cs="Times New Roman"/>
                <w:b/>
                <w:bCs/>
                <w:color w:val="000000"/>
                <w:sz w:val="20"/>
                <w:szCs w:val="20"/>
                <w:lang w:val="en-US"/>
              </w:rPr>
              <w:t>Period measured</w:t>
            </w:r>
          </w:p>
        </w:tc>
        <w:tc>
          <w:tcPr>
            <w:tcW w:w="4010" w:type="dxa"/>
            <w:tcBorders>
              <w:top w:val="single" w:sz="4" w:space="0" w:color="auto"/>
              <w:left w:val="nil"/>
              <w:bottom w:val="double" w:sz="6" w:space="0" w:color="auto"/>
              <w:right w:val="nil"/>
            </w:tcBorders>
            <w:shd w:val="clear" w:color="auto" w:fill="auto"/>
            <w:vAlign w:val="center"/>
            <w:hideMark/>
          </w:tcPr>
          <w:p w14:paraId="31366A7E" w14:textId="77777777" w:rsidR="00855D6D" w:rsidRPr="00C82B71" w:rsidRDefault="00855D6D" w:rsidP="001C4F74">
            <w:pPr>
              <w:spacing w:after="0" w:line="240" w:lineRule="auto"/>
              <w:jc w:val="center"/>
              <w:rPr>
                <w:rFonts w:ascii="Times New Roman" w:eastAsia="Times New Roman" w:hAnsi="Times New Roman" w:cs="Times New Roman"/>
                <w:b/>
                <w:bCs/>
                <w:color w:val="000000"/>
                <w:sz w:val="20"/>
                <w:szCs w:val="20"/>
                <w:lang w:val="en-US"/>
              </w:rPr>
            </w:pPr>
            <w:r w:rsidRPr="00C82B71">
              <w:rPr>
                <w:rFonts w:ascii="Times New Roman" w:eastAsia="Times New Roman" w:hAnsi="Times New Roman" w:cs="Times New Roman"/>
                <w:b/>
                <w:bCs/>
                <w:color w:val="000000"/>
                <w:sz w:val="20"/>
                <w:szCs w:val="20"/>
                <w:lang w:val="en-US"/>
              </w:rPr>
              <w:t>Formula/Methodology</w:t>
            </w:r>
          </w:p>
        </w:tc>
      </w:tr>
      <w:tr w:rsidR="00855D6D" w:rsidRPr="00C82B71" w14:paraId="6952B12C" w14:textId="77777777" w:rsidTr="001C4F74">
        <w:trPr>
          <w:trHeight w:val="270"/>
        </w:trPr>
        <w:tc>
          <w:tcPr>
            <w:tcW w:w="1421" w:type="dxa"/>
            <w:tcBorders>
              <w:top w:val="nil"/>
              <w:left w:val="nil"/>
              <w:bottom w:val="nil"/>
              <w:right w:val="nil"/>
            </w:tcBorders>
            <w:shd w:val="clear" w:color="auto" w:fill="auto"/>
            <w:vAlign w:val="center"/>
            <w:hideMark/>
          </w:tcPr>
          <w:p w14:paraId="0E40C60D"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lang w:val="en-US"/>
              </w:rPr>
            </w:pPr>
            <w:r w:rsidRPr="00C82B71">
              <w:rPr>
                <w:rFonts w:ascii="Times New Roman" w:eastAsia="Times New Roman" w:hAnsi="Times New Roman" w:cs="Times New Roman"/>
                <w:color w:val="000000"/>
                <w:sz w:val="20"/>
                <w:szCs w:val="20"/>
                <w:lang w:val="en-US"/>
              </w:rPr>
              <w:t>Dependent variable</w:t>
            </w:r>
          </w:p>
        </w:tc>
        <w:tc>
          <w:tcPr>
            <w:tcW w:w="1457" w:type="dxa"/>
            <w:tcBorders>
              <w:top w:val="nil"/>
              <w:left w:val="nil"/>
              <w:bottom w:val="nil"/>
              <w:right w:val="nil"/>
            </w:tcBorders>
            <w:shd w:val="clear" w:color="auto" w:fill="auto"/>
            <w:vAlign w:val="center"/>
            <w:hideMark/>
          </w:tcPr>
          <w:p w14:paraId="65FA9ADD"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lang w:val="en-US"/>
              </w:rPr>
            </w:pPr>
            <w:r w:rsidRPr="00C82B71">
              <w:rPr>
                <w:rFonts w:ascii="Times New Roman" w:eastAsia="Times New Roman" w:hAnsi="Times New Roman" w:cs="Times New Roman"/>
                <w:color w:val="000000"/>
                <w:sz w:val="20"/>
                <w:szCs w:val="20"/>
                <w:lang w:val="en-US"/>
              </w:rPr>
              <w:t>Gini Index</w:t>
            </w:r>
          </w:p>
        </w:tc>
        <w:tc>
          <w:tcPr>
            <w:tcW w:w="1794" w:type="dxa"/>
            <w:tcBorders>
              <w:top w:val="nil"/>
              <w:left w:val="nil"/>
              <w:bottom w:val="nil"/>
              <w:right w:val="nil"/>
            </w:tcBorders>
            <w:shd w:val="clear" w:color="auto" w:fill="auto"/>
            <w:vAlign w:val="center"/>
            <w:hideMark/>
          </w:tcPr>
          <w:p w14:paraId="5A140EB0"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lang w:val="en-US"/>
              </w:rPr>
              <w:t>Euro</w:t>
            </w:r>
            <w:proofErr w:type="spellStart"/>
            <w:r w:rsidRPr="00C82B71">
              <w:rPr>
                <w:rFonts w:ascii="Times New Roman" w:eastAsia="Times New Roman" w:hAnsi="Times New Roman" w:cs="Times New Roman"/>
                <w:color w:val="000000"/>
                <w:sz w:val="20"/>
                <w:szCs w:val="20"/>
              </w:rPr>
              <w:t>pean</w:t>
            </w:r>
            <w:proofErr w:type="spellEnd"/>
            <w:r w:rsidRPr="00C82B71">
              <w:rPr>
                <w:rFonts w:ascii="Times New Roman" w:eastAsia="Times New Roman" w:hAnsi="Times New Roman" w:cs="Times New Roman"/>
                <w:color w:val="000000"/>
                <w:sz w:val="20"/>
                <w:szCs w:val="20"/>
              </w:rPr>
              <w:t xml:space="preserve"> Value Study</w:t>
            </w:r>
          </w:p>
        </w:tc>
        <w:tc>
          <w:tcPr>
            <w:tcW w:w="1099" w:type="dxa"/>
            <w:tcBorders>
              <w:top w:val="nil"/>
              <w:left w:val="nil"/>
              <w:bottom w:val="nil"/>
              <w:right w:val="nil"/>
            </w:tcBorders>
            <w:shd w:val="clear" w:color="auto" w:fill="auto"/>
            <w:vAlign w:val="center"/>
            <w:hideMark/>
          </w:tcPr>
          <w:p w14:paraId="4E84602F"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2017</w:t>
            </w:r>
          </w:p>
        </w:tc>
        <w:tc>
          <w:tcPr>
            <w:tcW w:w="4010" w:type="dxa"/>
            <w:tcBorders>
              <w:top w:val="nil"/>
              <w:left w:val="nil"/>
              <w:bottom w:val="nil"/>
              <w:right w:val="nil"/>
            </w:tcBorders>
            <w:shd w:val="clear" w:color="auto" w:fill="auto"/>
            <w:vAlign w:val="center"/>
            <w:hideMark/>
          </w:tcPr>
          <w:p w14:paraId="476ADAA4" w14:textId="77777777" w:rsidR="00855D6D" w:rsidRPr="009B1822" w:rsidRDefault="005166FE" w:rsidP="001C4F74">
            <w:pPr>
              <w:spacing w:after="0" w:line="240" w:lineRule="auto"/>
              <w:jc w:val="center"/>
              <w:rPr>
                <w:rFonts w:ascii="Times New Roman" w:eastAsia="Times New Roman" w:hAnsi="Times New Roman" w:cs="Times New Roman"/>
                <w:color w:val="000000"/>
                <w:sz w:val="20"/>
                <w:szCs w:val="20"/>
              </w:rPr>
            </w:pPr>
            <m:oMathPara>
              <m:oMath>
                <m:sSub>
                  <m:sSubPr>
                    <m:ctrlPr>
                      <w:rPr>
                        <w:rFonts w:ascii="Cambria Math" w:hAnsi="Cambria Math" w:cs="Times New Roman"/>
                        <w:lang w:val="en-US"/>
                      </w:rPr>
                    </m:ctrlPr>
                  </m:sSubPr>
                  <m:e>
                    <m:r>
                      <w:rPr>
                        <w:rFonts w:ascii="Cambria Math" w:hAnsi="Cambria Math" w:cs="Times New Roman"/>
                        <w:lang w:val="en-US"/>
                      </w:rPr>
                      <m:t>I</m:t>
                    </m:r>
                  </m:e>
                  <m:sub>
                    <m:r>
                      <w:rPr>
                        <w:rFonts w:ascii="Cambria Math" w:hAnsi="Cambria Math" w:cs="Times New Roman"/>
                        <w:lang w:val="en-US"/>
                      </w:rPr>
                      <m:t>Gini</m:t>
                    </m:r>
                  </m:sub>
                </m:sSub>
                <m:r>
                  <w:rPr>
                    <w:rFonts w:ascii="Cambria Math" w:hAnsi="Cambria Math" w:cs="Times New Roman"/>
                    <w:lang w:val="en-US"/>
                  </w:rPr>
                  <m:t>=</m:t>
                </m:r>
                <m:f>
                  <m:fPr>
                    <m:ctrlPr>
                      <w:rPr>
                        <w:rFonts w:ascii="Cambria Math" w:hAnsi="Cambria Math" w:cs="Times New Roman"/>
                        <w:lang w:val="en-US"/>
                      </w:rPr>
                    </m:ctrlPr>
                  </m:fPr>
                  <m:num>
                    <m:r>
                      <w:rPr>
                        <w:rFonts w:ascii="Cambria Math" w:hAnsi="Cambria Math" w:cs="Times New Roman"/>
                        <w:lang w:val="en-US"/>
                      </w:rPr>
                      <m:t>1</m:t>
                    </m:r>
                  </m:num>
                  <m:den>
                    <m:r>
                      <w:rPr>
                        <w:rFonts w:ascii="Cambria Math" w:hAnsi="Cambria Math" w:cs="Times New Roman"/>
                        <w:lang w:val="en-US"/>
                      </w:rPr>
                      <m:t>2μ</m:t>
                    </m:r>
                    <m:d>
                      <m:dPr>
                        <m:ctrlPr>
                          <w:rPr>
                            <w:rFonts w:ascii="Cambria Math" w:hAnsi="Cambria Math" w:cs="Times New Roman"/>
                            <w:lang w:val="en-US"/>
                          </w:rPr>
                        </m:ctrlPr>
                      </m:dPr>
                      <m:e>
                        <m:r>
                          <w:rPr>
                            <w:rFonts w:ascii="Cambria Math" w:hAnsi="Cambria Math" w:cs="Times New Roman"/>
                            <w:lang w:val="en-US"/>
                          </w:rPr>
                          <m:t>F</m:t>
                        </m:r>
                      </m:e>
                    </m:d>
                  </m:den>
                </m:f>
                <m:nary>
                  <m:naryPr>
                    <m:chr m:val="∬"/>
                    <m:limLoc m:val="undOvr"/>
                    <m:subHide m:val="1"/>
                    <m:supHide m:val="1"/>
                    <m:ctrlPr>
                      <w:rPr>
                        <w:rFonts w:ascii="Cambria Math" w:hAnsi="Cambria Math" w:cs="Times New Roman"/>
                        <w:lang w:val="en-US"/>
                      </w:rPr>
                    </m:ctrlPr>
                  </m:naryPr>
                  <m:sub/>
                  <m:sup/>
                  <m:e>
                    <m:r>
                      <w:rPr>
                        <w:rFonts w:ascii="Cambria Math" w:hAnsi="Cambria Math" w:cs="Times New Roman"/>
                        <w:lang w:val="en-US"/>
                      </w:rPr>
                      <m:t>|x-</m:t>
                    </m:r>
                    <m:sSup>
                      <m:sSupPr>
                        <m:ctrlPr>
                          <w:rPr>
                            <w:rFonts w:ascii="Cambria Math" w:hAnsi="Cambria Math" w:cs="Times New Roman"/>
                            <w:lang w:val="en-US"/>
                          </w:rPr>
                        </m:ctrlPr>
                      </m:sSupPr>
                      <m:e>
                        <m:r>
                          <w:rPr>
                            <w:rFonts w:ascii="Cambria Math" w:hAnsi="Cambria Math" w:cs="Times New Roman"/>
                            <w:lang w:val="en-US"/>
                          </w:rPr>
                          <m:t>x</m:t>
                        </m:r>
                      </m:e>
                      <m:sup>
                        <m:r>
                          <w:rPr>
                            <w:rFonts w:ascii="Cambria Math" w:hAnsi="Cambria Math" w:cs="Times New Roman"/>
                            <w:lang w:val="en-US"/>
                          </w:rPr>
                          <m:t>'</m:t>
                        </m:r>
                      </m:sup>
                    </m:sSup>
                    <m:r>
                      <w:rPr>
                        <w:rFonts w:ascii="Cambria Math" w:hAnsi="Cambria Math" w:cs="Times New Roman"/>
                        <w:lang w:val="en-US"/>
                      </w:rPr>
                      <m:t>|dF</m:t>
                    </m:r>
                    <m:d>
                      <m:dPr>
                        <m:ctrlPr>
                          <w:rPr>
                            <w:rFonts w:ascii="Cambria Math" w:hAnsi="Cambria Math" w:cs="Times New Roman"/>
                            <w:lang w:val="en-US"/>
                          </w:rPr>
                        </m:ctrlPr>
                      </m:dPr>
                      <m:e>
                        <m:r>
                          <w:rPr>
                            <w:rFonts w:ascii="Cambria Math" w:hAnsi="Cambria Math" w:cs="Times New Roman"/>
                            <w:lang w:val="en-US"/>
                          </w:rPr>
                          <m:t>x</m:t>
                        </m:r>
                      </m:e>
                    </m:d>
                  </m:e>
                </m:nary>
                <m:r>
                  <w:rPr>
                    <w:rFonts w:ascii="Cambria Math" w:hAnsi="Cambria Math" w:cs="Times New Roman"/>
                    <w:lang w:val="en-US"/>
                  </w:rPr>
                  <m:t>dF</m:t>
                </m:r>
                <m:d>
                  <m:dPr>
                    <m:ctrlPr>
                      <w:rPr>
                        <w:rFonts w:ascii="Cambria Math" w:hAnsi="Cambria Math" w:cs="Times New Roman"/>
                        <w:lang w:val="en-US"/>
                      </w:rPr>
                    </m:ctrlPr>
                  </m:dPr>
                  <m:e>
                    <m:r>
                      <w:rPr>
                        <w:rFonts w:ascii="Cambria Math" w:hAnsi="Cambria Math" w:cs="Times New Roman"/>
                        <w:lang w:val="en-US"/>
                      </w:rPr>
                      <m:t>x'</m:t>
                    </m:r>
                  </m:e>
                </m:d>
              </m:oMath>
            </m:oMathPara>
          </w:p>
        </w:tc>
      </w:tr>
      <w:tr w:rsidR="00855D6D" w:rsidRPr="00C82B71" w14:paraId="1F386E4E" w14:textId="77777777" w:rsidTr="001C4F74">
        <w:trPr>
          <w:trHeight w:val="510"/>
        </w:trPr>
        <w:tc>
          <w:tcPr>
            <w:tcW w:w="1421" w:type="dxa"/>
            <w:tcBorders>
              <w:top w:val="nil"/>
              <w:left w:val="nil"/>
              <w:bottom w:val="nil"/>
              <w:right w:val="nil"/>
            </w:tcBorders>
            <w:shd w:val="clear" w:color="auto" w:fill="auto"/>
            <w:vAlign w:val="center"/>
            <w:hideMark/>
          </w:tcPr>
          <w:p w14:paraId="2463DEE5"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Dependent</w:t>
            </w:r>
            <w:proofErr w:type="spellEnd"/>
            <w:r w:rsidRPr="00C82B71">
              <w:rPr>
                <w:rFonts w:ascii="Times New Roman" w:eastAsia="Times New Roman" w:hAnsi="Times New Roman" w:cs="Times New Roman"/>
                <w:color w:val="000000"/>
                <w:sz w:val="20"/>
                <w:szCs w:val="20"/>
              </w:rPr>
              <w:t xml:space="preserve"> </w:t>
            </w:r>
            <w:proofErr w:type="spellStart"/>
            <w:r w:rsidRPr="00C82B71">
              <w:rPr>
                <w:rFonts w:ascii="Times New Roman" w:eastAsia="Times New Roman" w:hAnsi="Times New Roman" w:cs="Times New Roman"/>
                <w:color w:val="000000"/>
                <w:sz w:val="20"/>
                <w:szCs w:val="20"/>
              </w:rPr>
              <w:t>variable</w:t>
            </w:r>
            <w:proofErr w:type="spellEnd"/>
          </w:p>
        </w:tc>
        <w:tc>
          <w:tcPr>
            <w:tcW w:w="1457" w:type="dxa"/>
            <w:tcBorders>
              <w:top w:val="nil"/>
              <w:left w:val="nil"/>
              <w:bottom w:val="nil"/>
              <w:right w:val="nil"/>
            </w:tcBorders>
            <w:shd w:val="clear" w:color="auto" w:fill="auto"/>
            <w:vAlign w:val="center"/>
            <w:hideMark/>
          </w:tcPr>
          <w:p w14:paraId="266ABEF9"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Generalized</w:t>
            </w:r>
            <w:proofErr w:type="spellEnd"/>
            <w:r w:rsidRPr="00C82B71">
              <w:rPr>
                <w:rFonts w:ascii="Times New Roman" w:eastAsia="Times New Roman" w:hAnsi="Times New Roman" w:cs="Times New Roman"/>
                <w:color w:val="000000"/>
                <w:sz w:val="20"/>
                <w:szCs w:val="20"/>
              </w:rPr>
              <w:t xml:space="preserve"> </w:t>
            </w:r>
            <w:proofErr w:type="spellStart"/>
            <w:r w:rsidRPr="00C82B71">
              <w:rPr>
                <w:rFonts w:ascii="Times New Roman" w:eastAsia="Times New Roman" w:hAnsi="Times New Roman" w:cs="Times New Roman"/>
                <w:color w:val="000000"/>
                <w:sz w:val="20"/>
                <w:szCs w:val="20"/>
              </w:rPr>
              <w:t>Entropy</w:t>
            </w:r>
            <w:proofErr w:type="spellEnd"/>
            <w:r w:rsidRPr="00C82B71">
              <w:rPr>
                <w:rFonts w:ascii="Times New Roman" w:eastAsia="Times New Roman" w:hAnsi="Times New Roman" w:cs="Times New Roman"/>
                <w:color w:val="000000"/>
                <w:sz w:val="20"/>
                <w:szCs w:val="20"/>
              </w:rPr>
              <w:t xml:space="preserve"> class Index</w:t>
            </w:r>
          </w:p>
        </w:tc>
        <w:tc>
          <w:tcPr>
            <w:tcW w:w="1794" w:type="dxa"/>
            <w:tcBorders>
              <w:top w:val="nil"/>
              <w:left w:val="nil"/>
              <w:bottom w:val="nil"/>
              <w:right w:val="nil"/>
            </w:tcBorders>
            <w:shd w:val="clear" w:color="auto" w:fill="auto"/>
            <w:vAlign w:val="center"/>
            <w:hideMark/>
          </w:tcPr>
          <w:p w14:paraId="682D30BE"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European</w:t>
            </w:r>
            <w:proofErr w:type="spellEnd"/>
            <w:r w:rsidRPr="00C82B71">
              <w:rPr>
                <w:rFonts w:ascii="Times New Roman" w:eastAsia="Times New Roman" w:hAnsi="Times New Roman" w:cs="Times New Roman"/>
                <w:color w:val="000000"/>
                <w:sz w:val="20"/>
                <w:szCs w:val="20"/>
              </w:rPr>
              <w:t xml:space="preserve"> Value Study</w:t>
            </w:r>
          </w:p>
        </w:tc>
        <w:tc>
          <w:tcPr>
            <w:tcW w:w="1099" w:type="dxa"/>
            <w:tcBorders>
              <w:top w:val="nil"/>
              <w:left w:val="nil"/>
              <w:bottom w:val="nil"/>
              <w:right w:val="nil"/>
            </w:tcBorders>
            <w:shd w:val="clear" w:color="auto" w:fill="auto"/>
            <w:vAlign w:val="center"/>
            <w:hideMark/>
          </w:tcPr>
          <w:p w14:paraId="28B3E482"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2017</w:t>
            </w:r>
          </w:p>
        </w:tc>
        <w:tc>
          <w:tcPr>
            <w:tcW w:w="4010" w:type="dxa"/>
            <w:tcBorders>
              <w:top w:val="nil"/>
              <w:left w:val="nil"/>
              <w:bottom w:val="nil"/>
              <w:right w:val="nil"/>
            </w:tcBorders>
            <w:shd w:val="clear" w:color="auto" w:fill="auto"/>
            <w:vAlign w:val="center"/>
            <w:hideMark/>
          </w:tcPr>
          <w:p w14:paraId="18520FE4" w14:textId="77777777" w:rsidR="00855D6D" w:rsidRPr="009B1822" w:rsidRDefault="005166FE" w:rsidP="001C4F74">
            <w:pPr>
              <w:spacing w:after="0" w:line="240" w:lineRule="auto"/>
              <w:jc w:val="center"/>
              <w:rPr>
                <w:rFonts w:ascii="Times New Roman" w:eastAsia="Times New Roman" w:hAnsi="Times New Roman" w:cs="Times New Roman"/>
                <w:color w:val="000000"/>
                <w:sz w:val="20"/>
                <w:szCs w:val="20"/>
              </w:rPr>
            </w:pPr>
            <m:oMathPara>
              <m:oMath>
                <m:sSubSup>
                  <m:sSubSupPr>
                    <m:ctrlPr>
                      <w:rPr>
                        <w:rFonts w:ascii="Cambria Math" w:hAnsi="Cambria Math" w:cs="Times New Roman"/>
                        <w:lang w:val="en-US"/>
                      </w:rPr>
                    </m:ctrlPr>
                  </m:sSubSupPr>
                  <m:e>
                    <m:r>
                      <w:rPr>
                        <w:rFonts w:ascii="Cambria Math" w:hAnsi="Cambria Math" w:cs="Times New Roman"/>
                        <w:lang w:val="en-US"/>
                      </w:rPr>
                      <m:t>I</m:t>
                    </m:r>
                  </m:e>
                  <m:sub>
                    <m:r>
                      <w:rPr>
                        <w:rFonts w:ascii="Cambria Math" w:hAnsi="Cambria Math" w:cs="Times New Roman"/>
                        <w:lang w:val="en-US"/>
                      </w:rPr>
                      <m:t>GE</m:t>
                    </m:r>
                  </m:sub>
                  <m:sup>
                    <m:r>
                      <w:rPr>
                        <w:rFonts w:ascii="Cambria Math" w:hAnsi="Cambria Math" w:cs="Times New Roman"/>
                        <w:lang w:val="en-US"/>
                      </w:rPr>
                      <m:t>α</m:t>
                    </m:r>
                  </m:sup>
                </m:sSubSup>
                <m:r>
                  <w:rPr>
                    <w:rFonts w:ascii="Cambria Math" w:hAnsi="Cambria Math" w:cs="Times New Roman"/>
                    <w:lang w:val="en-US"/>
                  </w:rPr>
                  <m:t>=</m:t>
                </m:r>
                <m:f>
                  <m:fPr>
                    <m:ctrlPr>
                      <w:rPr>
                        <w:rFonts w:ascii="Cambria Math" w:hAnsi="Cambria Math" w:cs="Times New Roman"/>
                        <w:lang w:val="en-US"/>
                      </w:rPr>
                    </m:ctrlPr>
                  </m:fPr>
                  <m:num>
                    <m:r>
                      <w:rPr>
                        <w:rFonts w:ascii="Cambria Math" w:hAnsi="Cambria Math" w:cs="Times New Roman"/>
                        <w:lang w:val="en-US"/>
                      </w:rPr>
                      <m:t>1</m:t>
                    </m:r>
                  </m:num>
                  <m:den>
                    <m:sSup>
                      <m:sSupPr>
                        <m:ctrlPr>
                          <w:rPr>
                            <w:rFonts w:ascii="Cambria Math" w:hAnsi="Cambria Math" w:cs="Times New Roman"/>
                            <w:lang w:val="en-US"/>
                          </w:rPr>
                        </m:ctrlPr>
                      </m:sSupPr>
                      <m:e>
                        <m:r>
                          <w:rPr>
                            <w:rFonts w:ascii="Cambria Math" w:hAnsi="Cambria Math" w:cs="Times New Roman"/>
                            <w:lang w:val="en-US"/>
                          </w:rPr>
                          <m:t>α</m:t>
                        </m:r>
                      </m:e>
                      <m:sup>
                        <m:r>
                          <w:rPr>
                            <w:rFonts w:ascii="Cambria Math" w:hAnsi="Cambria Math" w:cs="Times New Roman"/>
                            <w:lang w:val="en-US"/>
                          </w:rPr>
                          <m:t>2</m:t>
                        </m:r>
                      </m:sup>
                    </m:sSup>
                    <m:r>
                      <w:rPr>
                        <w:rFonts w:ascii="Cambria Math" w:hAnsi="Cambria Math" w:cs="Times New Roman"/>
                        <w:lang w:val="en-US"/>
                      </w:rPr>
                      <m:t>-α</m:t>
                    </m:r>
                  </m:den>
                </m:f>
                <m:nary>
                  <m:naryPr>
                    <m:limLoc m:val="undOvr"/>
                    <m:subHide m:val="1"/>
                    <m:supHide m:val="1"/>
                    <m:ctrlPr>
                      <w:rPr>
                        <w:rFonts w:ascii="Cambria Math" w:hAnsi="Cambria Math" w:cs="Times New Roman"/>
                        <w:lang w:val="en-US"/>
                      </w:rPr>
                    </m:ctrlPr>
                  </m:naryPr>
                  <m:sub/>
                  <m:sup/>
                  <m:e>
                    <m:d>
                      <m:dPr>
                        <m:begChr m:val="["/>
                        <m:endChr m:val="]"/>
                        <m:ctrlPr>
                          <w:rPr>
                            <w:rFonts w:ascii="Cambria Math" w:hAnsi="Cambria Math" w:cs="Times New Roman"/>
                            <w:lang w:val="en-US"/>
                          </w:rPr>
                        </m:ctrlPr>
                      </m:dPr>
                      <m:e>
                        <m:sSup>
                          <m:sSupPr>
                            <m:ctrlPr>
                              <w:rPr>
                                <w:rFonts w:ascii="Cambria Math" w:hAnsi="Cambria Math" w:cs="Times New Roman"/>
                                <w:lang w:val="en-US"/>
                              </w:rPr>
                            </m:ctrlPr>
                          </m:sSupPr>
                          <m:e>
                            <m:d>
                              <m:dPr>
                                <m:begChr m:val="["/>
                                <m:endChr m:val="]"/>
                                <m:ctrlPr>
                                  <w:rPr>
                                    <w:rFonts w:ascii="Cambria Math" w:hAnsi="Cambria Math" w:cs="Times New Roman"/>
                                    <w:lang w:val="en-US"/>
                                  </w:rPr>
                                </m:ctrlPr>
                              </m:dPr>
                              <m:e>
                                <m:f>
                                  <m:fPr>
                                    <m:ctrlPr>
                                      <w:rPr>
                                        <w:rFonts w:ascii="Cambria Math" w:hAnsi="Cambria Math" w:cs="Times New Roman"/>
                                        <w:lang w:val="en-US"/>
                                      </w:rPr>
                                    </m:ctrlPr>
                                  </m:fPr>
                                  <m:num>
                                    <m:r>
                                      <w:rPr>
                                        <w:rFonts w:ascii="Cambria Math" w:hAnsi="Cambria Math" w:cs="Times New Roman"/>
                                        <w:lang w:val="en-US"/>
                                      </w:rPr>
                                      <m:t>x</m:t>
                                    </m:r>
                                  </m:num>
                                  <m:den>
                                    <m:r>
                                      <w:rPr>
                                        <w:rFonts w:ascii="Cambria Math" w:hAnsi="Cambria Math" w:cs="Times New Roman"/>
                                        <w:lang w:val="en-US"/>
                                      </w:rPr>
                                      <m:t>μ</m:t>
                                    </m:r>
                                    <m:d>
                                      <m:dPr>
                                        <m:ctrlPr>
                                          <w:rPr>
                                            <w:rFonts w:ascii="Cambria Math" w:hAnsi="Cambria Math" w:cs="Times New Roman"/>
                                            <w:lang w:val="en-US"/>
                                          </w:rPr>
                                        </m:ctrlPr>
                                      </m:dPr>
                                      <m:e>
                                        <m:r>
                                          <w:rPr>
                                            <w:rFonts w:ascii="Cambria Math" w:hAnsi="Cambria Math" w:cs="Times New Roman"/>
                                            <w:lang w:val="en-US"/>
                                          </w:rPr>
                                          <m:t>F</m:t>
                                        </m:r>
                                      </m:e>
                                    </m:d>
                                  </m:den>
                                </m:f>
                              </m:e>
                            </m:d>
                          </m:e>
                          <m:sup>
                            <m:r>
                              <w:rPr>
                                <w:rFonts w:ascii="Cambria Math" w:hAnsi="Cambria Math" w:cs="Times New Roman"/>
                                <w:lang w:val="en-US"/>
                              </w:rPr>
                              <m:t>α</m:t>
                            </m:r>
                          </m:sup>
                        </m:sSup>
                        <m:r>
                          <w:rPr>
                            <w:rFonts w:ascii="Cambria Math" w:hAnsi="Cambria Math" w:cs="Times New Roman"/>
                            <w:lang w:val="en-US"/>
                          </w:rPr>
                          <m:t>-1</m:t>
                        </m:r>
                      </m:e>
                    </m:d>
                  </m:e>
                </m:nary>
                <m:r>
                  <w:rPr>
                    <w:rFonts w:ascii="Cambria Math" w:hAnsi="Cambria Math" w:cs="Times New Roman"/>
                    <w:lang w:val="en-US"/>
                  </w:rPr>
                  <m:t>dF</m:t>
                </m:r>
                <m:d>
                  <m:dPr>
                    <m:ctrlPr>
                      <w:rPr>
                        <w:rFonts w:ascii="Cambria Math" w:hAnsi="Cambria Math" w:cs="Times New Roman"/>
                        <w:lang w:val="en-US"/>
                      </w:rPr>
                    </m:ctrlPr>
                  </m:dPr>
                  <m:e>
                    <m:r>
                      <w:rPr>
                        <w:rFonts w:ascii="Cambria Math" w:hAnsi="Cambria Math" w:cs="Times New Roman"/>
                        <w:lang w:val="en-US"/>
                      </w:rPr>
                      <m:t>x</m:t>
                    </m:r>
                  </m:e>
                </m:d>
              </m:oMath>
            </m:oMathPara>
          </w:p>
        </w:tc>
      </w:tr>
      <w:tr w:rsidR="00855D6D" w:rsidRPr="00C82B71" w14:paraId="7046D4B6" w14:textId="77777777" w:rsidTr="001C4F74">
        <w:trPr>
          <w:trHeight w:val="255"/>
        </w:trPr>
        <w:tc>
          <w:tcPr>
            <w:tcW w:w="1421" w:type="dxa"/>
            <w:tcBorders>
              <w:top w:val="nil"/>
              <w:left w:val="nil"/>
              <w:bottom w:val="nil"/>
              <w:right w:val="nil"/>
            </w:tcBorders>
            <w:shd w:val="clear" w:color="auto" w:fill="auto"/>
            <w:vAlign w:val="center"/>
            <w:hideMark/>
          </w:tcPr>
          <w:p w14:paraId="52EC5CF5"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Dependent</w:t>
            </w:r>
            <w:proofErr w:type="spellEnd"/>
            <w:r w:rsidRPr="00C82B71">
              <w:rPr>
                <w:rFonts w:ascii="Times New Roman" w:eastAsia="Times New Roman" w:hAnsi="Times New Roman" w:cs="Times New Roman"/>
                <w:color w:val="000000"/>
                <w:sz w:val="20"/>
                <w:szCs w:val="20"/>
              </w:rPr>
              <w:t xml:space="preserve"> </w:t>
            </w:r>
            <w:proofErr w:type="spellStart"/>
            <w:r w:rsidRPr="00C82B71">
              <w:rPr>
                <w:rFonts w:ascii="Times New Roman" w:eastAsia="Times New Roman" w:hAnsi="Times New Roman" w:cs="Times New Roman"/>
                <w:color w:val="000000"/>
                <w:sz w:val="20"/>
                <w:szCs w:val="20"/>
              </w:rPr>
              <w:t>variable</w:t>
            </w:r>
            <w:proofErr w:type="spellEnd"/>
          </w:p>
        </w:tc>
        <w:tc>
          <w:tcPr>
            <w:tcW w:w="1457" w:type="dxa"/>
            <w:tcBorders>
              <w:top w:val="nil"/>
              <w:left w:val="nil"/>
              <w:bottom w:val="nil"/>
              <w:right w:val="nil"/>
            </w:tcBorders>
            <w:shd w:val="clear" w:color="auto" w:fill="auto"/>
            <w:vAlign w:val="center"/>
            <w:hideMark/>
          </w:tcPr>
          <w:p w14:paraId="50B70CCD"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Atkinson</w:t>
            </w:r>
            <w:proofErr w:type="spellEnd"/>
            <w:r w:rsidRPr="00C82B71">
              <w:rPr>
                <w:rFonts w:ascii="Times New Roman" w:eastAsia="Times New Roman" w:hAnsi="Times New Roman" w:cs="Times New Roman"/>
                <w:color w:val="000000"/>
                <w:sz w:val="20"/>
                <w:szCs w:val="20"/>
              </w:rPr>
              <w:t xml:space="preserve"> class Index</w:t>
            </w:r>
          </w:p>
        </w:tc>
        <w:tc>
          <w:tcPr>
            <w:tcW w:w="1794" w:type="dxa"/>
            <w:tcBorders>
              <w:top w:val="nil"/>
              <w:left w:val="nil"/>
              <w:bottom w:val="nil"/>
              <w:right w:val="nil"/>
            </w:tcBorders>
            <w:shd w:val="clear" w:color="auto" w:fill="auto"/>
            <w:vAlign w:val="center"/>
            <w:hideMark/>
          </w:tcPr>
          <w:p w14:paraId="19730099"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European</w:t>
            </w:r>
            <w:proofErr w:type="spellEnd"/>
            <w:r w:rsidRPr="00C82B71">
              <w:rPr>
                <w:rFonts w:ascii="Times New Roman" w:eastAsia="Times New Roman" w:hAnsi="Times New Roman" w:cs="Times New Roman"/>
                <w:color w:val="000000"/>
                <w:sz w:val="20"/>
                <w:szCs w:val="20"/>
              </w:rPr>
              <w:t xml:space="preserve"> Value Study</w:t>
            </w:r>
          </w:p>
        </w:tc>
        <w:tc>
          <w:tcPr>
            <w:tcW w:w="1099" w:type="dxa"/>
            <w:tcBorders>
              <w:top w:val="nil"/>
              <w:left w:val="nil"/>
              <w:bottom w:val="nil"/>
              <w:right w:val="nil"/>
            </w:tcBorders>
            <w:shd w:val="clear" w:color="auto" w:fill="auto"/>
            <w:vAlign w:val="center"/>
            <w:hideMark/>
          </w:tcPr>
          <w:p w14:paraId="6BEAA52D"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2017</w:t>
            </w:r>
          </w:p>
        </w:tc>
        <w:tc>
          <w:tcPr>
            <w:tcW w:w="4010" w:type="dxa"/>
            <w:tcBorders>
              <w:top w:val="nil"/>
              <w:left w:val="nil"/>
              <w:bottom w:val="nil"/>
              <w:right w:val="nil"/>
            </w:tcBorders>
            <w:shd w:val="clear" w:color="auto" w:fill="auto"/>
            <w:vAlign w:val="center"/>
            <w:hideMark/>
          </w:tcPr>
          <w:p w14:paraId="23CFA703" w14:textId="77777777" w:rsidR="00855D6D" w:rsidRPr="009B1822" w:rsidRDefault="005166FE" w:rsidP="001C4F74">
            <w:pPr>
              <w:spacing w:after="0" w:line="240" w:lineRule="auto"/>
              <w:jc w:val="center"/>
              <w:rPr>
                <w:rFonts w:ascii="Times New Roman" w:eastAsia="Times New Roman" w:hAnsi="Times New Roman" w:cs="Times New Roman"/>
                <w:color w:val="000000"/>
                <w:sz w:val="20"/>
                <w:szCs w:val="20"/>
              </w:rPr>
            </w:pPr>
            <m:oMathPara>
              <m:oMath>
                <m:sSubSup>
                  <m:sSubSupPr>
                    <m:ctrlPr>
                      <w:rPr>
                        <w:rFonts w:ascii="Cambria Math" w:hAnsi="Cambria Math" w:cs="Times New Roman"/>
                        <w:lang w:val="en-US"/>
                      </w:rPr>
                    </m:ctrlPr>
                  </m:sSubSupPr>
                  <m:e>
                    <m:r>
                      <w:rPr>
                        <w:rFonts w:ascii="Cambria Math" w:hAnsi="Cambria Math" w:cs="Times New Roman"/>
                        <w:lang w:val="en-US"/>
                      </w:rPr>
                      <m:t>I</m:t>
                    </m:r>
                  </m:e>
                  <m:sub>
                    <m:r>
                      <w:rPr>
                        <w:rFonts w:ascii="Cambria Math" w:hAnsi="Cambria Math" w:cs="Times New Roman"/>
                        <w:lang w:val="en-US"/>
                      </w:rPr>
                      <m:t>A</m:t>
                    </m:r>
                  </m:sub>
                  <m:sup>
                    <m:r>
                      <w:rPr>
                        <w:rFonts w:ascii="Cambria Math" w:hAnsi="Cambria Math" w:cs="Times New Roman"/>
                        <w:lang w:val="en-US"/>
                      </w:rPr>
                      <m:t>ε</m:t>
                    </m:r>
                  </m:sup>
                </m:sSubSup>
                <m:r>
                  <w:rPr>
                    <w:rFonts w:ascii="Cambria Math" w:hAnsi="Cambria Math" w:cs="Times New Roman"/>
                    <w:lang w:val="en-US"/>
                  </w:rPr>
                  <m:t>=1-</m:t>
                </m:r>
                <m:f>
                  <m:fPr>
                    <m:ctrlPr>
                      <w:rPr>
                        <w:rFonts w:ascii="Cambria Math" w:hAnsi="Cambria Math" w:cs="Times New Roman"/>
                        <w:lang w:val="en-US"/>
                      </w:rPr>
                    </m:ctrlPr>
                  </m:fPr>
                  <m:num>
                    <m:r>
                      <w:rPr>
                        <w:rFonts w:ascii="Cambria Math" w:hAnsi="Cambria Math" w:cs="Times New Roman"/>
                        <w:lang w:val="en-US"/>
                      </w:rPr>
                      <m:t>1</m:t>
                    </m:r>
                  </m:num>
                  <m:den>
                    <m:r>
                      <w:rPr>
                        <w:rFonts w:ascii="Cambria Math" w:hAnsi="Cambria Math" w:cs="Times New Roman"/>
                        <w:lang w:val="en-US"/>
                      </w:rPr>
                      <m:t>μ</m:t>
                    </m:r>
                    <m:d>
                      <m:dPr>
                        <m:ctrlPr>
                          <w:rPr>
                            <w:rFonts w:ascii="Cambria Math" w:hAnsi="Cambria Math" w:cs="Times New Roman"/>
                            <w:lang w:val="en-US"/>
                          </w:rPr>
                        </m:ctrlPr>
                      </m:dPr>
                      <m:e>
                        <m:r>
                          <w:rPr>
                            <w:rFonts w:ascii="Cambria Math" w:hAnsi="Cambria Math" w:cs="Times New Roman"/>
                            <w:lang w:val="en-US"/>
                          </w:rPr>
                          <m:t>F</m:t>
                        </m:r>
                      </m:e>
                    </m:d>
                  </m:den>
                </m:f>
                <m:sSup>
                  <m:sSupPr>
                    <m:ctrlPr>
                      <w:rPr>
                        <w:rFonts w:ascii="Cambria Math" w:hAnsi="Cambria Math" w:cs="Times New Roman"/>
                        <w:lang w:val="en-US"/>
                      </w:rPr>
                    </m:ctrlPr>
                  </m:sSupPr>
                  <m:e>
                    <m:d>
                      <m:dPr>
                        <m:begChr m:val="["/>
                        <m:endChr m:val="]"/>
                        <m:ctrlPr>
                          <w:rPr>
                            <w:rFonts w:ascii="Cambria Math" w:hAnsi="Cambria Math" w:cs="Times New Roman"/>
                            <w:lang w:val="en-US"/>
                          </w:rPr>
                        </m:ctrlPr>
                      </m:dPr>
                      <m:e>
                        <m:nary>
                          <m:naryPr>
                            <m:limLoc m:val="undOvr"/>
                            <m:subHide m:val="1"/>
                            <m:supHide m:val="1"/>
                            <m:ctrlPr>
                              <w:rPr>
                                <w:rFonts w:ascii="Cambria Math" w:hAnsi="Cambria Math" w:cs="Times New Roman"/>
                                <w:lang w:val="en-US"/>
                              </w:rPr>
                            </m:ctrlPr>
                          </m:naryPr>
                          <m:sub/>
                          <m:sup/>
                          <m:e>
                            <m:sSup>
                              <m:sSupPr>
                                <m:ctrlPr>
                                  <w:rPr>
                                    <w:rFonts w:ascii="Cambria Math" w:hAnsi="Cambria Math" w:cs="Times New Roman"/>
                                    <w:lang w:val="en-US"/>
                                  </w:rPr>
                                </m:ctrlPr>
                              </m:sSupPr>
                              <m:e>
                                <m:r>
                                  <w:rPr>
                                    <w:rFonts w:ascii="Cambria Math" w:hAnsi="Cambria Math" w:cs="Times New Roman"/>
                                    <w:lang w:val="en-US"/>
                                  </w:rPr>
                                  <m:t>x</m:t>
                                </m:r>
                              </m:e>
                              <m:sup>
                                <m:r>
                                  <w:rPr>
                                    <w:rFonts w:ascii="Cambria Math" w:hAnsi="Cambria Math" w:cs="Times New Roman"/>
                                    <w:lang w:val="en-US"/>
                                  </w:rPr>
                                  <m:t>1-ε</m:t>
                                </m:r>
                              </m:sup>
                            </m:sSup>
                            <m:r>
                              <w:rPr>
                                <w:rFonts w:ascii="Cambria Math" w:hAnsi="Cambria Math" w:cs="Times New Roman"/>
                                <w:lang w:val="en-US"/>
                              </w:rPr>
                              <m:t>dF</m:t>
                            </m:r>
                            <m:d>
                              <m:dPr>
                                <m:ctrlPr>
                                  <w:rPr>
                                    <w:rFonts w:ascii="Cambria Math" w:hAnsi="Cambria Math" w:cs="Times New Roman"/>
                                    <w:lang w:val="en-US"/>
                                  </w:rPr>
                                </m:ctrlPr>
                              </m:dPr>
                              <m:e>
                                <m:r>
                                  <w:rPr>
                                    <w:rFonts w:ascii="Cambria Math" w:hAnsi="Cambria Math" w:cs="Times New Roman"/>
                                    <w:lang w:val="en-US"/>
                                  </w:rPr>
                                  <m:t>x</m:t>
                                </m:r>
                              </m:e>
                            </m:d>
                          </m:e>
                        </m:nary>
                      </m:e>
                    </m:d>
                  </m:e>
                  <m:sup>
                    <m:f>
                      <m:fPr>
                        <m:ctrlPr>
                          <w:rPr>
                            <w:rFonts w:ascii="Cambria Math" w:hAnsi="Cambria Math" w:cs="Times New Roman"/>
                            <w:lang w:val="en-US"/>
                          </w:rPr>
                        </m:ctrlPr>
                      </m:fPr>
                      <m:num>
                        <m:r>
                          <w:rPr>
                            <w:rFonts w:ascii="Cambria Math" w:hAnsi="Cambria Math" w:cs="Times New Roman"/>
                            <w:lang w:val="en-US"/>
                          </w:rPr>
                          <m:t>1</m:t>
                        </m:r>
                      </m:num>
                      <m:den>
                        <m:r>
                          <w:rPr>
                            <w:rFonts w:ascii="Cambria Math" w:hAnsi="Cambria Math" w:cs="Times New Roman"/>
                            <w:lang w:val="en-US"/>
                          </w:rPr>
                          <m:t>1-ε</m:t>
                        </m:r>
                      </m:den>
                    </m:f>
                  </m:sup>
                </m:sSup>
              </m:oMath>
            </m:oMathPara>
          </w:p>
        </w:tc>
      </w:tr>
      <w:tr w:rsidR="00855D6D" w:rsidRPr="00C82B71" w14:paraId="4AC2B5D7" w14:textId="77777777" w:rsidTr="001C4F74">
        <w:trPr>
          <w:trHeight w:val="510"/>
        </w:trPr>
        <w:tc>
          <w:tcPr>
            <w:tcW w:w="1421" w:type="dxa"/>
            <w:tcBorders>
              <w:top w:val="nil"/>
              <w:left w:val="nil"/>
              <w:bottom w:val="nil"/>
              <w:right w:val="nil"/>
            </w:tcBorders>
            <w:shd w:val="clear" w:color="auto" w:fill="auto"/>
            <w:vAlign w:val="center"/>
            <w:hideMark/>
          </w:tcPr>
          <w:p w14:paraId="685B33EA"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 xml:space="preserve">Independent </w:t>
            </w:r>
            <w:proofErr w:type="spellStart"/>
            <w:r w:rsidRPr="00C82B71">
              <w:rPr>
                <w:rFonts w:ascii="Times New Roman" w:eastAsia="Times New Roman" w:hAnsi="Times New Roman" w:cs="Times New Roman"/>
                <w:color w:val="000000"/>
                <w:sz w:val="20"/>
                <w:szCs w:val="20"/>
              </w:rPr>
              <w:t>variable</w:t>
            </w:r>
            <w:proofErr w:type="spellEnd"/>
          </w:p>
        </w:tc>
        <w:tc>
          <w:tcPr>
            <w:tcW w:w="1457" w:type="dxa"/>
            <w:tcBorders>
              <w:top w:val="nil"/>
              <w:left w:val="nil"/>
              <w:bottom w:val="nil"/>
              <w:right w:val="nil"/>
            </w:tcBorders>
            <w:shd w:val="clear" w:color="auto" w:fill="auto"/>
            <w:vAlign w:val="center"/>
            <w:hideMark/>
          </w:tcPr>
          <w:p w14:paraId="0DE38422"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 xml:space="preserve">Urban </w:t>
            </w:r>
            <w:proofErr w:type="spellStart"/>
            <w:r w:rsidRPr="00C82B71">
              <w:rPr>
                <w:rFonts w:ascii="Times New Roman" w:eastAsia="Times New Roman" w:hAnsi="Times New Roman" w:cs="Times New Roman"/>
                <w:color w:val="000000"/>
                <w:sz w:val="20"/>
                <w:szCs w:val="20"/>
              </w:rPr>
              <w:t>smartness</w:t>
            </w:r>
            <w:proofErr w:type="spellEnd"/>
          </w:p>
        </w:tc>
        <w:tc>
          <w:tcPr>
            <w:tcW w:w="1794" w:type="dxa"/>
            <w:tcBorders>
              <w:top w:val="nil"/>
              <w:left w:val="nil"/>
              <w:bottom w:val="nil"/>
              <w:right w:val="nil"/>
            </w:tcBorders>
            <w:shd w:val="clear" w:color="auto" w:fill="auto"/>
            <w:vAlign w:val="center"/>
            <w:hideMark/>
          </w:tcPr>
          <w:p w14:paraId="6C50C3F2"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European</w:t>
            </w:r>
            <w:proofErr w:type="spellEnd"/>
            <w:r w:rsidRPr="00C82B71">
              <w:rPr>
                <w:rFonts w:ascii="Times New Roman" w:eastAsia="Times New Roman" w:hAnsi="Times New Roman" w:cs="Times New Roman"/>
                <w:color w:val="000000"/>
                <w:sz w:val="20"/>
                <w:szCs w:val="20"/>
              </w:rPr>
              <w:t xml:space="preserve"> Value Study/EUROSTAT</w:t>
            </w:r>
          </w:p>
        </w:tc>
        <w:tc>
          <w:tcPr>
            <w:tcW w:w="1099" w:type="dxa"/>
            <w:tcBorders>
              <w:top w:val="nil"/>
              <w:left w:val="nil"/>
              <w:bottom w:val="nil"/>
              <w:right w:val="nil"/>
            </w:tcBorders>
            <w:shd w:val="clear" w:color="auto" w:fill="auto"/>
            <w:vAlign w:val="center"/>
            <w:hideMark/>
          </w:tcPr>
          <w:p w14:paraId="717A1292"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2008-2012</w:t>
            </w:r>
          </w:p>
        </w:tc>
        <w:tc>
          <w:tcPr>
            <w:tcW w:w="4010" w:type="dxa"/>
            <w:tcBorders>
              <w:top w:val="nil"/>
              <w:left w:val="nil"/>
              <w:bottom w:val="nil"/>
              <w:right w:val="nil"/>
            </w:tcBorders>
            <w:shd w:val="clear" w:color="auto" w:fill="auto"/>
            <w:vAlign w:val="center"/>
            <w:hideMark/>
          </w:tcPr>
          <w:p w14:paraId="73276E63"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See</w:t>
            </w:r>
            <w:proofErr w:type="spellEnd"/>
            <w:r w:rsidRPr="00C82B71">
              <w:rPr>
                <w:rFonts w:ascii="Times New Roman" w:eastAsia="Times New Roman" w:hAnsi="Times New Roman" w:cs="Times New Roman"/>
                <w:color w:val="000000"/>
                <w:sz w:val="20"/>
                <w:szCs w:val="20"/>
              </w:rPr>
              <w:t xml:space="preserve"> </w:t>
            </w:r>
            <w:proofErr w:type="spellStart"/>
            <w:r w:rsidRPr="00C82B71">
              <w:rPr>
                <w:rFonts w:ascii="Times New Roman" w:eastAsia="Times New Roman" w:hAnsi="Times New Roman" w:cs="Times New Roman"/>
                <w:color w:val="000000"/>
                <w:sz w:val="20"/>
                <w:szCs w:val="20"/>
              </w:rPr>
              <w:t>Table</w:t>
            </w:r>
            <w:proofErr w:type="spellEnd"/>
            <w:r w:rsidRPr="00C82B71">
              <w:rPr>
                <w:rFonts w:ascii="Times New Roman" w:eastAsia="Times New Roman" w:hAnsi="Times New Roman" w:cs="Times New Roman"/>
                <w:color w:val="000000"/>
                <w:sz w:val="20"/>
                <w:szCs w:val="20"/>
              </w:rPr>
              <w:t xml:space="preserve"> 2</w:t>
            </w:r>
          </w:p>
        </w:tc>
      </w:tr>
      <w:tr w:rsidR="00855D6D" w:rsidRPr="00EE0E6D" w14:paraId="17517D67" w14:textId="77777777" w:rsidTr="001C4F74">
        <w:trPr>
          <w:trHeight w:val="510"/>
        </w:trPr>
        <w:tc>
          <w:tcPr>
            <w:tcW w:w="1421" w:type="dxa"/>
            <w:tcBorders>
              <w:top w:val="nil"/>
              <w:left w:val="nil"/>
              <w:bottom w:val="nil"/>
              <w:right w:val="nil"/>
            </w:tcBorders>
            <w:shd w:val="clear" w:color="auto" w:fill="auto"/>
            <w:vAlign w:val="center"/>
            <w:hideMark/>
          </w:tcPr>
          <w:p w14:paraId="2AC6C5E9"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 xml:space="preserve">Independent </w:t>
            </w:r>
            <w:proofErr w:type="spellStart"/>
            <w:r w:rsidRPr="00C82B71">
              <w:rPr>
                <w:rFonts w:ascii="Times New Roman" w:eastAsia="Times New Roman" w:hAnsi="Times New Roman" w:cs="Times New Roman"/>
                <w:color w:val="000000"/>
                <w:sz w:val="20"/>
                <w:szCs w:val="20"/>
              </w:rPr>
              <w:t>variable</w:t>
            </w:r>
            <w:proofErr w:type="spellEnd"/>
          </w:p>
        </w:tc>
        <w:tc>
          <w:tcPr>
            <w:tcW w:w="1457" w:type="dxa"/>
            <w:tcBorders>
              <w:top w:val="nil"/>
              <w:left w:val="nil"/>
              <w:bottom w:val="nil"/>
              <w:right w:val="nil"/>
            </w:tcBorders>
            <w:shd w:val="clear" w:color="auto" w:fill="auto"/>
            <w:vAlign w:val="center"/>
            <w:hideMark/>
          </w:tcPr>
          <w:p w14:paraId="26A33617"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Real GDP</w:t>
            </w:r>
          </w:p>
        </w:tc>
        <w:tc>
          <w:tcPr>
            <w:tcW w:w="1794" w:type="dxa"/>
            <w:tcBorders>
              <w:top w:val="nil"/>
              <w:left w:val="nil"/>
              <w:bottom w:val="nil"/>
              <w:right w:val="nil"/>
            </w:tcBorders>
            <w:shd w:val="clear" w:color="auto" w:fill="auto"/>
            <w:vAlign w:val="center"/>
            <w:hideMark/>
          </w:tcPr>
          <w:p w14:paraId="5E5EDDE8"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EUROSTAT</w:t>
            </w:r>
          </w:p>
        </w:tc>
        <w:tc>
          <w:tcPr>
            <w:tcW w:w="1099" w:type="dxa"/>
            <w:tcBorders>
              <w:top w:val="nil"/>
              <w:left w:val="nil"/>
              <w:bottom w:val="nil"/>
              <w:right w:val="nil"/>
            </w:tcBorders>
            <w:shd w:val="clear" w:color="auto" w:fill="auto"/>
            <w:vAlign w:val="center"/>
            <w:hideMark/>
          </w:tcPr>
          <w:p w14:paraId="7873E70B"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Average 1995-2010</w:t>
            </w:r>
          </w:p>
        </w:tc>
        <w:tc>
          <w:tcPr>
            <w:tcW w:w="4010" w:type="dxa"/>
            <w:tcBorders>
              <w:top w:val="nil"/>
              <w:left w:val="nil"/>
              <w:bottom w:val="nil"/>
              <w:right w:val="nil"/>
            </w:tcBorders>
            <w:shd w:val="clear" w:color="auto" w:fill="auto"/>
            <w:vAlign w:val="center"/>
            <w:hideMark/>
          </w:tcPr>
          <w:p w14:paraId="11738211" w14:textId="77777777" w:rsidR="00855D6D" w:rsidRPr="009B1822" w:rsidRDefault="00855D6D" w:rsidP="001C4F74">
            <w:pPr>
              <w:spacing w:after="0" w:line="240" w:lineRule="auto"/>
              <w:jc w:val="center"/>
              <w:rPr>
                <w:rFonts w:ascii="Times New Roman" w:eastAsia="Times New Roman" w:hAnsi="Times New Roman" w:cs="Times New Roman"/>
                <w:color w:val="000000"/>
                <w:sz w:val="20"/>
                <w:szCs w:val="20"/>
                <w:lang w:val="en-US"/>
              </w:rPr>
            </w:pPr>
            <w:r w:rsidRPr="009B1822">
              <w:rPr>
                <w:rFonts w:ascii="Times New Roman" w:eastAsia="Times New Roman" w:hAnsi="Times New Roman" w:cs="Times New Roman"/>
                <w:color w:val="000000"/>
                <w:sz w:val="20"/>
                <w:szCs w:val="20"/>
                <w:lang w:val="en-US"/>
              </w:rPr>
              <w:t>GDP in constant market prices (base year=2010)</w:t>
            </w:r>
          </w:p>
        </w:tc>
      </w:tr>
      <w:tr w:rsidR="00855D6D" w:rsidRPr="00EE0E6D" w14:paraId="77702146" w14:textId="77777777" w:rsidTr="001C4F74">
        <w:trPr>
          <w:trHeight w:val="510"/>
        </w:trPr>
        <w:tc>
          <w:tcPr>
            <w:tcW w:w="1421" w:type="dxa"/>
            <w:tcBorders>
              <w:top w:val="nil"/>
              <w:left w:val="nil"/>
              <w:bottom w:val="nil"/>
              <w:right w:val="nil"/>
            </w:tcBorders>
            <w:shd w:val="clear" w:color="auto" w:fill="auto"/>
            <w:vAlign w:val="center"/>
            <w:hideMark/>
          </w:tcPr>
          <w:p w14:paraId="2C4486E0"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 xml:space="preserve">Independent </w:t>
            </w:r>
            <w:proofErr w:type="spellStart"/>
            <w:r w:rsidRPr="00C82B71">
              <w:rPr>
                <w:rFonts w:ascii="Times New Roman" w:eastAsia="Times New Roman" w:hAnsi="Times New Roman" w:cs="Times New Roman"/>
                <w:color w:val="000000"/>
                <w:sz w:val="20"/>
                <w:szCs w:val="20"/>
              </w:rPr>
              <w:t>variable</w:t>
            </w:r>
            <w:proofErr w:type="spellEnd"/>
          </w:p>
        </w:tc>
        <w:tc>
          <w:tcPr>
            <w:tcW w:w="1457" w:type="dxa"/>
            <w:tcBorders>
              <w:top w:val="nil"/>
              <w:left w:val="nil"/>
              <w:bottom w:val="nil"/>
              <w:right w:val="nil"/>
            </w:tcBorders>
            <w:shd w:val="clear" w:color="auto" w:fill="auto"/>
            <w:vAlign w:val="center"/>
            <w:hideMark/>
          </w:tcPr>
          <w:p w14:paraId="5BF70A87"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2B71">
              <w:rPr>
                <w:rFonts w:ascii="Times New Roman" w:eastAsia="Times New Roman" w:hAnsi="Times New Roman" w:cs="Times New Roman"/>
                <w:color w:val="000000"/>
                <w:sz w:val="20"/>
                <w:szCs w:val="20"/>
              </w:rPr>
              <w:t>Population</w:t>
            </w:r>
            <w:proofErr w:type="spellEnd"/>
            <w:r w:rsidRPr="00C82B71">
              <w:rPr>
                <w:rFonts w:ascii="Times New Roman" w:eastAsia="Times New Roman" w:hAnsi="Times New Roman" w:cs="Times New Roman"/>
                <w:color w:val="000000"/>
                <w:sz w:val="20"/>
                <w:szCs w:val="20"/>
              </w:rPr>
              <w:t xml:space="preserve"> </w:t>
            </w:r>
            <w:proofErr w:type="spellStart"/>
            <w:r w:rsidRPr="00C82B71">
              <w:rPr>
                <w:rFonts w:ascii="Times New Roman" w:eastAsia="Times New Roman" w:hAnsi="Times New Roman" w:cs="Times New Roman"/>
                <w:color w:val="000000"/>
                <w:sz w:val="20"/>
                <w:szCs w:val="20"/>
              </w:rPr>
              <w:t>density</w:t>
            </w:r>
            <w:proofErr w:type="spellEnd"/>
          </w:p>
        </w:tc>
        <w:tc>
          <w:tcPr>
            <w:tcW w:w="1794" w:type="dxa"/>
            <w:tcBorders>
              <w:top w:val="nil"/>
              <w:left w:val="nil"/>
              <w:bottom w:val="nil"/>
              <w:right w:val="nil"/>
            </w:tcBorders>
            <w:shd w:val="clear" w:color="auto" w:fill="auto"/>
            <w:vAlign w:val="center"/>
            <w:hideMark/>
          </w:tcPr>
          <w:p w14:paraId="2F5BBE00"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EUROSTAT</w:t>
            </w:r>
          </w:p>
        </w:tc>
        <w:tc>
          <w:tcPr>
            <w:tcW w:w="1099" w:type="dxa"/>
            <w:tcBorders>
              <w:top w:val="nil"/>
              <w:left w:val="nil"/>
              <w:bottom w:val="nil"/>
              <w:right w:val="nil"/>
            </w:tcBorders>
            <w:shd w:val="clear" w:color="auto" w:fill="auto"/>
            <w:vAlign w:val="center"/>
            <w:hideMark/>
          </w:tcPr>
          <w:p w14:paraId="6D94E17C"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rPr>
            </w:pPr>
            <w:r w:rsidRPr="00C82B71">
              <w:rPr>
                <w:rFonts w:ascii="Times New Roman" w:eastAsia="Times New Roman" w:hAnsi="Times New Roman" w:cs="Times New Roman"/>
                <w:color w:val="000000"/>
                <w:sz w:val="20"/>
                <w:szCs w:val="20"/>
              </w:rPr>
              <w:t>Average 1995-2010</w:t>
            </w:r>
          </w:p>
        </w:tc>
        <w:tc>
          <w:tcPr>
            <w:tcW w:w="4010" w:type="dxa"/>
            <w:tcBorders>
              <w:top w:val="nil"/>
              <w:left w:val="nil"/>
              <w:bottom w:val="nil"/>
              <w:right w:val="nil"/>
            </w:tcBorders>
            <w:shd w:val="clear" w:color="auto" w:fill="auto"/>
            <w:vAlign w:val="center"/>
            <w:hideMark/>
          </w:tcPr>
          <w:p w14:paraId="039B49F0" w14:textId="77777777" w:rsidR="00855D6D" w:rsidRPr="00C82B71" w:rsidRDefault="00855D6D" w:rsidP="001C4F74">
            <w:pPr>
              <w:spacing w:after="0" w:line="240" w:lineRule="auto"/>
              <w:jc w:val="center"/>
              <w:rPr>
                <w:rFonts w:ascii="Times New Roman" w:eastAsia="Times New Roman" w:hAnsi="Times New Roman" w:cs="Times New Roman"/>
                <w:color w:val="000000"/>
                <w:sz w:val="20"/>
                <w:szCs w:val="20"/>
                <w:lang w:val="en-US"/>
              </w:rPr>
            </w:pPr>
            <w:r w:rsidRPr="00C82B71">
              <w:rPr>
                <w:rFonts w:ascii="Times New Roman" w:eastAsia="Times New Roman" w:hAnsi="Times New Roman" w:cs="Times New Roman"/>
                <w:color w:val="000000"/>
                <w:sz w:val="20"/>
                <w:szCs w:val="20"/>
                <w:lang w:val="en-US"/>
              </w:rPr>
              <w:t>Urban area population/ Area in sq. kms.</w:t>
            </w:r>
          </w:p>
        </w:tc>
      </w:tr>
      <w:tr w:rsidR="00855D6D" w:rsidRPr="00EE0E6D" w14:paraId="758560ED" w14:textId="77777777" w:rsidTr="001C4F74">
        <w:trPr>
          <w:trHeight w:val="1275"/>
        </w:trPr>
        <w:tc>
          <w:tcPr>
            <w:tcW w:w="1421" w:type="dxa"/>
            <w:tcBorders>
              <w:top w:val="nil"/>
              <w:left w:val="nil"/>
              <w:bottom w:val="nil"/>
              <w:right w:val="nil"/>
            </w:tcBorders>
            <w:shd w:val="clear" w:color="auto" w:fill="auto"/>
            <w:vAlign w:val="center"/>
            <w:hideMark/>
          </w:tcPr>
          <w:p w14:paraId="23B97743"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 xml:space="preserve">Independent </w:t>
            </w:r>
            <w:proofErr w:type="spellStart"/>
            <w:r w:rsidRPr="00C803D5">
              <w:rPr>
                <w:rFonts w:ascii="Times New Roman" w:eastAsia="Times New Roman" w:hAnsi="Times New Roman" w:cs="Times New Roman"/>
                <w:color w:val="000000"/>
                <w:sz w:val="20"/>
                <w:szCs w:val="20"/>
              </w:rPr>
              <w:t>variable</w:t>
            </w:r>
            <w:proofErr w:type="spellEnd"/>
          </w:p>
        </w:tc>
        <w:tc>
          <w:tcPr>
            <w:tcW w:w="1457" w:type="dxa"/>
            <w:tcBorders>
              <w:top w:val="nil"/>
              <w:left w:val="nil"/>
              <w:bottom w:val="nil"/>
              <w:right w:val="nil"/>
            </w:tcBorders>
            <w:shd w:val="clear" w:color="auto" w:fill="auto"/>
            <w:vAlign w:val="center"/>
            <w:hideMark/>
          </w:tcPr>
          <w:p w14:paraId="1D21107F"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Trust</w:t>
            </w:r>
          </w:p>
        </w:tc>
        <w:tc>
          <w:tcPr>
            <w:tcW w:w="1794" w:type="dxa"/>
            <w:tcBorders>
              <w:top w:val="nil"/>
              <w:left w:val="nil"/>
              <w:bottom w:val="nil"/>
              <w:right w:val="nil"/>
            </w:tcBorders>
            <w:shd w:val="clear" w:color="auto" w:fill="auto"/>
            <w:vAlign w:val="center"/>
            <w:hideMark/>
          </w:tcPr>
          <w:p w14:paraId="188292BC"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03D5">
              <w:rPr>
                <w:rFonts w:ascii="Times New Roman" w:eastAsia="Times New Roman" w:hAnsi="Times New Roman" w:cs="Times New Roman"/>
                <w:color w:val="000000"/>
                <w:sz w:val="20"/>
                <w:szCs w:val="20"/>
              </w:rPr>
              <w:t>European</w:t>
            </w:r>
            <w:proofErr w:type="spellEnd"/>
            <w:r w:rsidRPr="00C803D5">
              <w:rPr>
                <w:rFonts w:ascii="Times New Roman" w:eastAsia="Times New Roman" w:hAnsi="Times New Roman" w:cs="Times New Roman"/>
                <w:color w:val="000000"/>
                <w:sz w:val="20"/>
                <w:szCs w:val="20"/>
              </w:rPr>
              <w:t xml:space="preserve"> Value Study</w:t>
            </w:r>
          </w:p>
        </w:tc>
        <w:tc>
          <w:tcPr>
            <w:tcW w:w="1099" w:type="dxa"/>
            <w:tcBorders>
              <w:top w:val="nil"/>
              <w:left w:val="nil"/>
              <w:bottom w:val="nil"/>
              <w:right w:val="nil"/>
            </w:tcBorders>
            <w:shd w:val="clear" w:color="auto" w:fill="auto"/>
            <w:vAlign w:val="center"/>
            <w:hideMark/>
          </w:tcPr>
          <w:p w14:paraId="6443EB6B"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2009-2010</w:t>
            </w:r>
          </w:p>
        </w:tc>
        <w:tc>
          <w:tcPr>
            <w:tcW w:w="4010" w:type="dxa"/>
            <w:tcBorders>
              <w:top w:val="nil"/>
              <w:left w:val="nil"/>
              <w:bottom w:val="nil"/>
              <w:right w:val="nil"/>
            </w:tcBorders>
            <w:shd w:val="clear" w:color="auto" w:fill="auto"/>
            <w:vAlign w:val="center"/>
            <w:hideMark/>
          </w:tcPr>
          <w:p w14:paraId="1CAB5FC2"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lang w:val="en-US"/>
              </w:rPr>
            </w:pPr>
            <w:r w:rsidRPr="00C803D5">
              <w:rPr>
                <w:rFonts w:ascii="Times New Roman" w:eastAsia="Times New Roman" w:hAnsi="Times New Roman" w:cs="Times New Roman"/>
                <w:color w:val="000000"/>
                <w:sz w:val="20"/>
                <w:szCs w:val="20"/>
                <w:lang w:val="en-US"/>
              </w:rPr>
              <w:t>% of respondents "Most people can be trusted" to the question "Generally speaking, would you say that most people can be trusted or that you can’t be too careful in dealing with people?"</w:t>
            </w:r>
          </w:p>
        </w:tc>
      </w:tr>
      <w:tr w:rsidR="00855D6D" w:rsidRPr="00C82B71" w14:paraId="2F16281C" w14:textId="77777777" w:rsidTr="001C4F74">
        <w:trPr>
          <w:trHeight w:val="255"/>
        </w:trPr>
        <w:tc>
          <w:tcPr>
            <w:tcW w:w="1421" w:type="dxa"/>
            <w:tcBorders>
              <w:top w:val="nil"/>
              <w:left w:val="nil"/>
              <w:bottom w:val="nil"/>
              <w:right w:val="nil"/>
            </w:tcBorders>
            <w:shd w:val="clear" w:color="auto" w:fill="auto"/>
            <w:vAlign w:val="center"/>
            <w:hideMark/>
          </w:tcPr>
          <w:p w14:paraId="18E460EE"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 xml:space="preserve">Independent </w:t>
            </w:r>
            <w:proofErr w:type="spellStart"/>
            <w:r w:rsidRPr="00C803D5">
              <w:rPr>
                <w:rFonts w:ascii="Times New Roman" w:eastAsia="Times New Roman" w:hAnsi="Times New Roman" w:cs="Times New Roman"/>
                <w:color w:val="000000"/>
                <w:sz w:val="20"/>
                <w:szCs w:val="20"/>
              </w:rPr>
              <w:t>variable</w:t>
            </w:r>
            <w:proofErr w:type="spellEnd"/>
          </w:p>
        </w:tc>
        <w:tc>
          <w:tcPr>
            <w:tcW w:w="1457" w:type="dxa"/>
            <w:tcBorders>
              <w:top w:val="nil"/>
              <w:left w:val="nil"/>
              <w:bottom w:val="nil"/>
              <w:right w:val="nil"/>
            </w:tcBorders>
            <w:shd w:val="clear" w:color="auto" w:fill="auto"/>
            <w:vAlign w:val="center"/>
            <w:hideMark/>
          </w:tcPr>
          <w:p w14:paraId="0C67559E"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03D5">
              <w:rPr>
                <w:rFonts w:ascii="Times New Roman" w:eastAsia="Times New Roman" w:hAnsi="Times New Roman" w:cs="Times New Roman"/>
                <w:color w:val="000000"/>
                <w:sz w:val="20"/>
                <w:szCs w:val="20"/>
              </w:rPr>
              <w:t>Quality</w:t>
            </w:r>
            <w:proofErr w:type="spellEnd"/>
            <w:r w:rsidRPr="00C803D5">
              <w:rPr>
                <w:rFonts w:ascii="Times New Roman" w:eastAsia="Times New Roman" w:hAnsi="Times New Roman" w:cs="Times New Roman"/>
                <w:color w:val="000000"/>
                <w:sz w:val="20"/>
                <w:szCs w:val="20"/>
              </w:rPr>
              <w:t xml:space="preserve"> of </w:t>
            </w:r>
            <w:proofErr w:type="spellStart"/>
            <w:r w:rsidRPr="00C803D5">
              <w:rPr>
                <w:rFonts w:ascii="Times New Roman" w:eastAsia="Times New Roman" w:hAnsi="Times New Roman" w:cs="Times New Roman"/>
                <w:color w:val="000000"/>
                <w:sz w:val="20"/>
                <w:szCs w:val="20"/>
              </w:rPr>
              <w:t>government</w:t>
            </w:r>
            <w:proofErr w:type="spellEnd"/>
          </w:p>
        </w:tc>
        <w:tc>
          <w:tcPr>
            <w:tcW w:w="1794" w:type="dxa"/>
            <w:tcBorders>
              <w:top w:val="nil"/>
              <w:left w:val="nil"/>
              <w:bottom w:val="nil"/>
              <w:right w:val="nil"/>
            </w:tcBorders>
            <w:shd w:val="clear" w:color="auto" w:fill="auto"/>
            <w:vAlign w:val="center"/>
            <w:hideMark/>
          </w:tcPr>
          <w:p w14:paraId="734C48FD"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proofErr w:type="spellStart"/>
            <w:r w:rsidRPr="00C803D5">
              <w:rPr>
                <w:rFonts w:ascii="Times New Roman" w:eastAsia="Times New Roman" w:hAnsi="Times New Roman" w:cs="Times New Roman"/>
                <w:color w:val="000000"/>
                <w:sz w:val="20"/>
                <w:szCs w:val="20"/>
              </w:rPr>
              <w:t>Charron</w:t>
            </w:r>
            <w:proofErr w:type="spellEnd"/>
            <w:r w:rsidRPr="00C803D5">
              <w:rPr>
                <w:rFonts w:ascii="Times New Roman" w:eastAsia="Times New Roman" w:hAnsi="Times New Roman" w:cs="Times New Roman"/>
                <w:color w:val="000000"/>
                <w:sz w:val="20"/>
                <w:szCs w:val="20"/>
              </w:rPr>
              <w:t xml:space="preserve"> et al. (2014)</w:t>
            </w:r>
          </w:p>
        </w:tc>
        <w:tc>
          <w:tcPr>
            <w:tcW w:w="1099" w:type="dxa"/>
            <w:tcBorders>
              <w:top w:val="nil"/>
              <w:left w:val="nil"/>
              <w:bottom w:val="nil"/>
              <w:right w:val="nil"/>
            </w:tcBorders>
            <w:shd w:val="clear" w:color="auto" w:fill="auto"/>
            <w:vAlign w:val="center"/>
            <w:hideMark/>
          </w:tcPr>
          <w:p w14:paraId="509913C3"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2010</w:t>
            </w:r>
          </w:p>
        </w:tc>
        <w:tc>
          <w:tcPr>
            <w:tcW w:w="4010" w:type="dxa"/>
            <w:tcBorders>
              <w:top w:val="nil"/>
              <w:left w:val="nil"/>
              <w:bottom w:val="nil"/>
              <w:right w:val="nil"/>
            </w:tcBorders>
            <w:shd w:val="clear" w:color="auto" w:fill="auto"/>
            <w:vAlign w:val="center"/>
            <w:hideMark/>
          </w:tcPr>
          <w:p w14:paraId="1B97F170" w14:textId="77777777" w:rsidR="00855D6D" w:rsidRPr="00C803D5" w:rsidRDefault="00855D6D" w:rsidP="001C4F74">
            <w:pPr>
              <w:keepNext/>
              <w:spacing w:after="0" w:line="240" w:lineRule="auto"/>
              <w:jc w:val="center"/>
              <w:rPr>
                <w:rFonts w:ascii="Times New Roman" w:eastAsia="Times New Roman" w:hAnsi="Times New Roman" w:cs="Times New Roman"/>
                <w:color w:val="000000"/>
                <w:sz w:val="20"/>
                <w:szCs w:val="20"/>
              </w:rPr>
            </w:pPr>
            <w:proofErr w:type="spellStart"/>
            <w:r w:rsidRPr="00C803D5">
              <w:rPr>
                <w:rFonts w:ascii="Times New Roman" w:eastAsia="Times New Roman" w:hAnsi="Times New Roman" w:cs="Times New Roman"/>
                <w:color w:val="000000" w:themeColor="text1"/>
                <w:sz w:val="20"/>
                <w:szCs w:val="20"/>
              </w:rPr>
              <w:t>Principal</w:t>
            </w:r>
            <w:proofErr w:type="spellEnd"/>
            <w:r w:rsidRPr="00C803D5">
              <w:rPr>
                <w:rFonts w:ascii="Times New Roman" w:eastAsia="Times New Roman" w:hAnsi="Times New Roman" w:cs="Times New Roman"/>
                <w:color w:val="000000" w:themeColor="text1"/>
                <w:sz w:val="20"/>
                <w:szCs w:val="20"/>
              </w:rPr>
              <w:t xml:space="preserve"> Component Analysis</w:t>
            </w:r>
          </w:p>
        </w:tc>
      </w:tr>
      <w:tr w:rsidR="00855D6D" w:rsidRPr="00C82B71" w14:paraId="5DC7553D" w14:textId="77777777" w:rsidTr="001C4F74">
        <w:trPr>
          <w:trHeight w:val="255"/>
        </w:trPr>
        <w:tc>
          <w:tcPr>
            <w:tcW w:w="1421" w:type="dxa"/>
            <w:tcBorders>
              <w:top w:val="nil"/>
              <w:left w:val="nil"/>
              <w:bottom w:val="single" w:sz="4" w:space="0" w:color="auto"/>
              <w:right w:val="nil"/>
            </w:tcBorders>
            <w:shd w:val="clear" w:color="auto" w:fill="auto"/>
            <w:vAlign w:val="center"/>
          </w:tcPr>
          <w:p w14:paraId="000D8C86"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 xml:space="preserve">Independent </w:t>
            </w:r>
            <w:proofErr w:type="spellStart"/>
            <w:r w:rsidRPr="00C803D5">
              <w:rPr>
                <w:rFonts w:ascii="Times New Roman" w:eastAsia="Times New Roman" w:hAnsi="Times New Roman" w:cs="Times New Roman"/>
                <w:color w:val="000000"/>
                <w:sz w:val="20"/>
                <w:szCs w:val="20"/>
              </w:rPr>
              <w:t>variable</w:t>
            </w:r>
            <w:proofErr w:type="spellEnd"/>
          </w:p>
        </w:tc>
        <w:tc>
          <w:tcPr>
            <w:tcW w:w="1457" w:type="dxa"/>
            <w:tcBorders>
              <w:top w:val="nil"/>
              <w:left w:val="nil"/>
              <w:bottom w:val="single" w:sz="4" w:space="0" w:color="auto"/>
              <w:right w:val="nil"/>
            </w:tcBorders>
            <w:shd w:val="clear" w:color="auto" w:fill="auto"/>
            <w:vAlign w:val="center"/>
          </w:tcPr>
          <w:p w14:paraId="22D495B2"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Urban sustainability</w:t>
            </w:r>
          </w:p>
        </w:tc>
        <w:tc>
          <w:tcPr>
            <w:tcW w:w="1794" w:type="dxa"/>
            <w:tcBorders>
              <w:top w:val="nil"/>
              <w:left w:val="nil"/>
              <w:bottom w:val="single" w:sz="4" w:space="0" w:color="auto"/>
              <w:right w:val="nil"/>
            </w:tcBorders>
            <w:shd w:val="clear" w:color="auto" w:fill="auto"/>
            <w:vAlign w:val="center"/>
          </w:tcPr>
          <w:p w14:paraId="507F9D2A"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EUROSTAT</w:t>
            </w:r>
          </w:p>
        </w:tc>
        <w:tc>
          <w:tcPr>
            <w:tcW w:w="1099" w:type="dxa"/>
            <w:tcBorders>
              <w:top w:val="nil"/>
              <w:left w:val="nil"/>
              <w:bottom w:val="single" w:sz="4" w:space="0" w:color="auto"/>
              <w:right w:val="nil"/>
            </w:tcBorders>
            <w:shd w:val="clear" w:color="auto" w:fill="auto"/>
            <w:vAlign w:val="center"/>
          </w:tcPr>
          <w:p w14:paraId="4ABD3105" w14:textId="77777777" w:rsidR="00855D6D" w:rsidRPr="00C803D5" w:rsidRDefault="00855D6D" w:rsidP="001C4F74">
            <w:pPr>
              <w:spacing w:after="0" w:line="240" w:lineRule="auto"/>
              <w:jc w:val="center"/>
              <w:rPr>
                <w:rFonts w:ascii="Times New Roman" w:eastAsia="Times New Roman" w:hAnsi="Times New Roman" w:cs="Times New Roman"/>
                <w:color w:val="000000"/>
                <w:sz w:val="20"/>
                <w:szCs w:val="20"/>
              </w:rPr>
            </w:pPr>
            <w:r w:rsidRPr="00C803D5">
              <w:rPr>
                <w:rFonts w:ascii="Times New Roman" w:eastAsia="Times New Roman" w:hAnsi="Times New Roman" w:cs="Times New Roman"/>
                <w:color w:val="000000"/>
                <w:sz w:val="20"/>
                <w:szCs w:val="20"/>
              </w:rPr>
              <w:t>2008-2012</w:t>
            </w:r>
          </w:p>
        </w:tc>
        <w:tc>
          <w:tcPr>
            <w:tcW w:w="4010" w:type="dxa"/>
            <w:tcBorders>
              <w:top w:val="nil"/>
              <w:left w:val="nil"/>
              <w:bottom w:val="single" w:sz="4" w:space="0" w:color="auto"/>
              <w:right w:val="nil"/>
            </w:tcBorders>
            <w:shd w:val="clear" w:color="auto" w:fill="auto"/>
            <w:vAlign w:val="center"/>
          </w:tcPr>
          <w:p w14:paraId="570E61B6" w14:textId="77777777" w:rsidR="00855D6D" w:rsidRPr="00C803D5" w:rsidRDefault="00855D6D" w:rsidP="001C4F74">
            <w:pPr>
              <w:keepNext/>
              <w:spacing w:after="0" w:line="240" w:lineRule="auto"/>
              <w:jc w:val="center"/>
              <w:rPr>
                <w:rFonts w:ascii="Times New Roman" w:eastAsia="Times New Roman" w:hAnsi="Times New Roman" w:cs="Times New Roman"/>
                <w:color w:val="000000" w:themeColor="text1"/>
                <w:sz w:val="20"/>
                <w:szCs w:val="20"/>
              </w:rPr>
            </w:pPr>
            <w:proofErr w:type="spellStart"/>
            <w:r w:rsidRPr="00C803D5">
              <w:rPr>
                <w:rFonts w:ascii="Times New Roman" w:eastAsia="Times New Roman" w:hAnsi="Times New Roman" w:cs="Times New Roman"/>
                <w:color w:val="000000" w:themeColor="text1"/>
                <w:sz w:val="20"/>
                <w:szCs w:val="20"/>
              </w:rPr>
              <w:t>Unweighted</w:t>
            </w:r>
            <w:proofErr w:type="spellEnd"/>
            <w:r w:rsidRPr="00C803D5">
              <w:rPr>
                <w:rFonts w:ascii="Times New Roman" w:eastAsia="Times New Roman" w:hAnsi="Times New Roman" w:cs="Times New Roman"/>
                <w:color w:val="000000" w:themeColor="text1"/>
                <w:sz w:val="20"/>
                <w:szCs w:val="20"/>
              </w:rPr>
              <w:t xml:space="preserve"> </w:t>
            </w:r>
            <w:proofErr w:type="spellStart"/>
            <w:r w:rsidRPr="00C803D5">
              <w:rPr>
                <w:rFonts w:ascii="Times New Roman" w:eastAsia="Times New Roman" w:hAnsi="Times New Roman" w:cs="Times New Roman"/>
                <w:color w:val="000000" w:themeColor="text1"/>
                <w:sz w:val="20"/>
                <w:szCs w:val="20"/>
              </w:rPr>
              <w:t>mean</w:t>
            </w:r>
            <w:proofErr w:type="spellEnd"/>
          </w:p>
        </w:tc>
      </w:tr>
    </w:tbl>
    <w:p w14:paraId="431DE1FF" w14:textId="77777777" w:rsidR="00855D6D" w:rsidRDefault="00855D6D" w:rsidP="00855D6D">
      <w:pPr>
        <w:pStyle w:val="Didascalia"/>
        <w:jc w:val="both"/>
        <w:rPr>
          <w:rFonts w:ascii="Times New Roman" w:hAnsi="Times New Roman" w:cs="Times New Roman"/>
          <w:b/>
          <w:i w:val="0"/>
          <w:color w:val="auto"/>
          <w:sz w:val="20"/>
          <w:lang w:val="en-US"/>
        </w:rPr>
      </w:pPr>
      <w:r w:rsidRPr="00FC4EBA">
        <w:rPr>
          <w:rFonts w:ascii="Times New Roman" w:hAnsi="Times New Roman" w:cs="Times New Roman"/>
          <w:b/>
          <w:i w:val="0"/>
          <w:color w:val="auto"/>
          <w:sz w:val="20"/>
          <w:lang w:val="en-US"/>
        </w:rPr>
        <w:t xml:space="preserve">Table </w:t>
      </w:r>
      <w:r>
        <w:rPr>
          <w:rFonts w:ascii="Times New Roman" w:hAnsi="Times New Roman" w:cs="Times New Roman"/>
          <w:b/>
          <w:i w:val="0"/>
          <w:color w:val="auto"/>
          <w:sz w:val="20"/>
          <w:lang w:val="en-US"/>
        </w:rPr>
        <w:t>1</w:t>
      </w:r>
      <w:r w:rsidRPr="00FC4EBA">
        <w:rPr>
          <w:rFonts w:ascii="Times New Roman" w:hAnsi="Times New Roman" w:cs="Times New Roman"/>
          <w:b/>
          <w:i w:val="0"/>
          <w:color w:val="auto"/>
          <w:sz w:val="20"/>
          <w:lang w:val="en-US"/>
        </w:rPr>
        <w:t>. Data and indicators for the empirical analyses</w:t>
      </w:r>
    </w:p>
    <w:p w14:paraId="6C73CF7F" w14:textId="77777777" w:rsidR="00855D6D" w:rsidRPr="008D2C72" w:rsidRDefault="00855D6D" w:rsidP="00855D6D">
      <w:pPr>
        <w:jc w:val="both"/>
        <w:rPr>
          <w:rFonts w:ascii="Times New Roman" w:hAnsi="Times New Roman" w:cs="Times New Roman"/>
          <w:i/>
          <w:sz w:val="20"/>
          <w:lang w:val="en-US"/>
        </w:rPr>
      </w:pPr>
      <w:r w:rsidRPr="04620A2A">
        <w:rPr>
          <w:rFonts w:ascii="Times New Roman" w:hAnsi="Times New Roman" w:cs="Times New Roman"/>
          <w:i/>
          <w:iCs/>
          <w:sz w:val="20"/>
          <w:szCs w:val="20"/>
          <w:lang w:val="en-US"/>
        </w:rPr>
        <w:t>Source: Authors’ elaboration</w:t>
      </w:r>
    </w:p>
    <w:p w14:paraId="48AEB998" w14:textId="77777777" w:rsidR="00855D6D" w:rsidRDefault="00855D6D" w:rsidP="00302FB0">
      <w:pPr>
        <w:spacing w:line="480" w:lineRule="auto"/>
        <w:jc w:val="both"/>
        <w:rPr>
          <w:rFonts w:ascii="Times New Roman" w:hAnsi="Times New Roman" w:cs="Times New Roman"/>
          <w:lang w:val="en-US"/>
        </w:rPr>
      </w:pPr>
    </w:p>
    <w:p w14:paraId="6EEFBDDC" w14:textId="0130D02B"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Data cover the closest functional definition of an urban area proper. Within the framework of a lack of a unified and comparable set of data covering EU metropolitan areas, EUROSTAT has recently proposed the use of European NUTS3 regions (and their combinations) to proxy for functional urban areas (FUAs). FUAs comprise “</w:t>
      </w:r>
      <w:r w:rsidRPr="006B63CF">
        <w:rPr>
          <w:rFonts w:ascii="Times New Roman" w:hAnsi="Times New Roman" w:cs="Times New Roman"/>
          <w:i/>
          <w:iCs/>
          <w:lang w:val="en-US"/>
        </w:rPr>
        <w:t xml:space="preserve">a densely inhabited city and a less densely populated commuting zone whose </w:t>
      </w:r>
      <w:proofErr w:type="spellStart"/>
      <w:r w:rsidRPr="006B63CF">
        <w:rPr>
          <w:rFonts w:ascii="Times New Roman" w:hAnsi="Times New Roman" w:cs="Times New Roman"/>
          <w:i/>
          <w:iCs/>
          <w:lang w:val="en-US"/>
        </w:rPr>
        <w:t>labour</w:t>
      </w:r>
      <w:proofErr w:type="spellEnd"/>
      <w:r w:rsidRPr="006B63CF">
        <w:rPr>
          <w:rFonts w:ascii="Times New Roman" w:hAnsi="Times New Roman" w:cs="Times New Roman"/>
          <w:i/>
          <w:iCs/>
          <w:lang w:val="en-US"/>
        </w:rPr>
        <w:t xml:space="preserve"> market is highly integrated with the city</w:t>
      </w:r>
      <w:r w:rsidRPr="006B63CF">
        <w:rPr>
          <w:rFonts w:ascii="Times New Roman" w:hAnsi="Times New Roman" w:cs="Times New Roman"/>
          <w:lang w:val="en-US"/>
        </w:rPr>
        <w:t>” (EUROSTAT, 2020). When this is not possible, we opt for the territorially closest administrative definition.</w:t>
      </w:r>
      <w:r w:rsidRPr="006B63CF">
        <w:rPr>
          <w:rStyle w:val="Rimandonotadichiusura"/>
          <w:rFonts w:ascii="Times New Roman" w:hAnsi="Times New Roman" w:cs="Times New Roman"/>
          <w:lang w:val="en-US"/>
        </w:rPr>
        <w:endnoteReference w:id="2"/>
      </w:r>
      <w:r w:rsidRPr="006B63CF">
        <w:rPr>
          <w:rFonts w:ascii="Times New Roman" w:hAnsi="Times New Roman" w:cs="Times New Roman"/>
          <w:lang w:val="en-US"/>
        </w:rPr>
        <w:t xml:space="preserve"> For the sake of our work, a choice of spatial units based on a functional classification has many perks, in that the externalities generated by smart urban characteristics do not obey administrative boundaries.</w:t>
      </w:r>
    </w:p>
    <w:p w14:paraId="44F7CE39" w14:textId="19CCFB11"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Our three main dependent variables are among the most commonly used indicators of income inequality. Following Cowell (2000) and Mac Gregor et al. (2019), we provide a brief sketch of the analytical formulation of the three families of indices to measure income inequality.</w:t>
      </w:r>
      <w:r w:rsidRPr="006B63CF">
        <w:rPr>
          <w:rStyle w:val="Rimandonotadichiusura"/>
          <w:rFonts w:ascii="Times New Roman" w:hAnsi="Times New Roman" w:cs="Times New Roman"/>
          <w:lang w:val="en-US"/>
        </w:rPr>
        <w:endnoteReference w:id="3"/>
      </w:r>
    </w:p>
    <w:p w14:paraId="4CDF2842" w14:textId="0B453FBA"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lastRenderedPageBreak/>
        <w:t>First, we consider the Gini index, which is computed as the normalized average absolute difference between all pairs of incomes in the underlying population. This is a widely used index, its appeal being due also to its graphical interpretation as the area between the Lorenz curve, which provides a representation of the distribution of wealth, and the 45° line in the plane where the y-axis is the proportion of income and the x-axis is the proportion of the population.</w:t>
      </w:r>
    </w:p>
    <w:p w14:paraId="7AAA8B2C" w14:textId="1743356F"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Defining </w:t>
      </w:r>
      <w:r w:rsidRPr="006B63CF">
        <w:rPr>
          <w:rFonts w:ascii="Times New Roman" w:hAnsi="Times New Roman" w:cs="Times New Roman"/>
          <w:i/>
          <w:lang w:val="en-US"/>
        </w:rPr>
        <w:t>X</w:t>
      </w:r>
      <w:r w:rsidRPr="006B63CF">
        <w:rPr>
          <w:rFonts w:ascii="Times New Roman" w:hAnsi="Times New Roman" w:cs="Times New Roman"/>
          <w:i/>
          <w:vertAlign w:val="subscript"/>
          <w:lang w:val="en-US"/>
        </w:rPr>
        <w:t>i</w:t>
      </w:r>
      <w:r w:rsidRPr="006B63CF">
        <w:rPr>
          <w:rFonts w:ascii="Times New Roman" w:hAnsi="Times New Roman" w:cs="Times New Roman"/>
          <w:lang w:val="en-US"/>
        </w:rPr>
        <w:t xml:space="preserve"> as the cumulative income of individual </w:t>
      </w:r>
      <w:proofErr w:type="spellStart"/>
      <w:r w:rsidRPr="006B63CF">
        <w:rPr>
          <w:rFonts w:ascii="Times New Roman" w:hAnsi="Times New Roman" w:cs="Times New Roman"/>
          <w:i/>
          <w:lang w:val="en-US"/>
        </w:rPr>
        <w:t>i</w:t>
      </w:r>
      <w:proofErr w:type="spellEnd"/>
      <w:r w:rsidRPr="006B63CF">
        <w:rPr>
          <w:rFonts w:ascii="Times New Roman" w:hAnsi="Times New Roman" w:cs="Times New Roman"/>
          <w:lang w:val="en-US"/>
        </w:rPr>
        <w:t xml:space="preserve"> and </w:t>
      </w:r>
      <w:r w:rsidRPr="006B63CF">
        <w:rPr>
          <w:rFonts w:ascii="Times New Roman" w:hAnsi="Times New Roman" w:cs="Times New Roman"/>
          <w:i/>
          <w:lang w:val="en-US"/>
        </w:rPr>
        <w:t>Y</w:t>
      </w:r>
      <w:r w:rsidRPr="006B63CF">
        <w:rPr>
          <w:rFonts w:ascii="Times New Roman" w:hAnsi="Times New Roman" w:cs="Times New Roman"/>
          <w:i/>
          <w:vertAlign w:val="subscript"/>
          <w:lang w:val="en-US"/>
        </w:rPr>
        <w:t>i</w:t>
      </w:r>
      <w:r w:rsidRPr="006B63CF">
        <w:rPr>
          <w:rFonts w:ascii="Times New Roman" w:hAnsi="Times New Roman" w:cs="Times New Roman"/>
          <w:lang w:val="en-US"/>
        </w:rPr>
        <w:t xml:space="preserve"> the cumulative population up to individual </w:t>
      </w:r>
      <w:proofErr w:type="spellStart"/>
      <w:r w:rsidRPr="006B63CF">
        <w:rPr>
          <w:rFonts w:ascii="Times New Roman" w:hAnsi="Times New Roman" w:cs="Times New Roman"/>
          <w:i/>
          <w:lang w:val="en-US"/>
        </w:rPr>
        <w:t>i</w:t>
      </w:r>
      <w:proofErr w:type="spellEnd"/>
      <w:r w:rsidRPr="006B63CF">
        <w:rPr>
          <w:rFonts w:ascii="Times New Roman" w:hAnsi="Times New Roman" w:cs="Times New Roman"/>
          <w:lang w:val="en-US"/>
        </w:rPr>
        <w:t>, the Gini index can be expressed, in discrete form and based on sorted values as prepared visually for a Lorenz curve, as (Eq. 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F8504A" w:rsidRPr="006B63CF" w14:paraId="2FC0F90D" w14:textId="77777777" w:rsidTr="00B50A72">
        <w:tc>
          <w:tcPr>
            <w:tcW w:w="9067" w:type="dxa"/>
          </w:tcPr>
          <w:p w14:paraId="2DFCCE12" w14:textId="2A64636B" w:rsidR="00F8504A" w:rsidRPr="006B63CF" w:rsidRDefault="005166FE" w:rsidP="00A6130B">
            <w:pPr>
              <w:spacing w:line="480" w:lineRule="auto"/>
              <w:jc w:val="both"/>
              <w:rPr>
                <w:rFonts w:ascii="Times New Roman" w:hAnsi="Times New Roman" w:cs="Times New Roman"/>
                <w:lang w:val="en-US"/>
              </w:rPr>
            </w:pPr>
            <m:oMathPara>
              <m:oMathParaPr>
                <m:jc m:val="left"/>
              </m:oMathParaPr>
              <m:oMath>
                <m:sSub>
                  <m:sSubPr>
                    <m:ctrlPr>
                      <w:rPr>
                        <w:rFonts w:ascii="Cambria Math" w:hAnsi="Cambria Math" w:cs="Times New Roman"/>
                        <w:lang w:val="en-US"/>
                      </w:rPr>
                    </m:ctrlPr>
                  </m:sSubPr>
                  <m:e>
                    <m:r>
                      <w:rPr>
                        <w:rFonts w:ascii="Cambria Math" w:hAnsi="Cambria Math" w:cs="Times New Roman"/>
                        <w:lang w:val="en-US"/>
                      </w:rPr>
                      <m:t>I</m:t>
                    </m:r>
                  </m:e>
                  <m:sub>
                    <m:r>
                      <w:rPr>
                        <w:rFonts w:ascii="Cambria Math" w:hAnsi="Cambria Math" w:cs="Times New Roman"/>
                        <w:lang w:val="en-US"/>
                      </w:rPr>
                      <m:t>Gini</m:t>
                    </m:r>
                  </m:sub>
                </m:sSub>
                <m:r>
                  <w:rPr>
                    <w:rFonts w:ascii="Cambria Math" w:hAnsi="Cambria Math" w:cs="Times New Roman"/>
                    <w:lang w:val="en-US"/>
                  </w:rPr>
                  <m:t>=1-</m:t>
                </m:r>
                <m:nary>
                  <m:naryPr>
                    <m:chr m:val="∑"/>
                    <m:limLoc m:val="undOvr"/>
                    <m:ctrlPr>
                      <w:rPr>
                        <w:rFonts w:ascii="Cambria Math" w:hAnsi="Cambria Math" w:cs="Times New Roman"/>
                        <w:i/>
                        <w:lang w:val="en-US"/>
                      </w:rPr>
                    </m:ctrlPr>
                  </m:naryPr>
                  <m:sub>
                    <m:r>
                      <w:rPr>
                        <w:rFonts w:ascii="Cambria Math" w:hAnsi="Cambria Math" w:cs="Times New Roman"/>
                        <w:lang w:val="en-US"/>
                      </w:rPr>
                      <m:t>i=1</m:t>
                    </m:r>
                  </m:sub>
                  <m:sup>
                    <m:r>
                      <w:rPr>
                        <w:rFonts w:ascii="Cambria Math" w:hAnsi="Cambria Math" w:cs="Times New Roman"/>
                        <w:lang w:val="en-US"/>
                      </w:rPr>
                      <m:t>N</m:t>
                    </m:r>
                  </m:sup>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i-1</m:t>
                            </m:r>
                          </m:sub>
                        </m:sSub>
                      </m:e>
                    </m:d>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i-1</m:t>
                            </m:r>
                          </m:sub>
                        </m:sSub>
                      </m:e>
                    </m:d>
                  </m:e>
                </m:nary>
              </m:oMath>
            </m:oMathPara>
          </w:p>
        </w:tc>
        <w:tc>
          <w:tcPr>
            <w:tcW w:w="561" w:type="dxa"/>
          </w:tcPr>
          <w:p w14:paraId="567A5FFB" w14:textId="77777777" w:rsidR="00F8504A" w:rsidRPr="006B63CF" w:rsidRDefault="00F8504A" w:rsidP="00B50A72">
            <w:pPr>
              <w:spacing w:line="480" w:lineRule="auto"/>
              <w:jc w:val="both"/>
              <w:rPr>
                <w:rFonts w:ascii="Times New Roman" w:hAnsi="Times New Roman" w:cs="Times New Roman"/>
                <w:lang w:val="en-US"/>
              </w:rPr>
            </w:pPr>
            <w:r w:rsidRPr="006B63CF">
              <w:rPr>
                <w:rFonts w:ascii="Times New Roman" w:hAnsi="Times New Roman" w:cs="Times New Roman"/>
                <w:lang w:val="en-US"/>
              </w:rPr>
              <w:t>(1.)</w:t>
            </w:r>
          </w:p>
        </w:tc>
      </w:tr>
    </w:tbl>
    <w:p w14:paraId="6C8F2BBB" w14:textId="77777777"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Income inequality data are mostly calculated at the NUTS3 level (2013 classification), whenever information on the location of respondents at this level is available in the most recent version of the European Value Study (2017).</w:t>
      </w:r>
      <w:r w:rsidRPr="006B63CF">
        <w:rPr>
          <w:rStyle w:val="Rimandonotadichiusura"/>
          <w:rFonts w:ascii="Times New Roman" w:hAnsi="Times New Roman" w:cs="Times New Roman"/>
          <w:lang w:val="en-US"/>
        </w:rPr>
        <w:endnoteReference w:id="4"/>
      </w:r>
      <w:r w:rsidRPr="006B63CF">
        <w:rPr>
          <w:rFonts w:ascii="Times New Roman" w:hAnsi="Times New Roman" w:cs="Times New Roman"/>
          <w:lang w:val="en-US"/>
        </w:rPr>
        <w:t xml:space="preserve"> When georeferentiation at NUTS3 level is not available, we integrate data with NUTS2 level ones. The unit of observation is the household of the survey interviewee. </w:t>
      </w:r>
    </w:p>
    <w:p w14:paraId="73C71A37" w14:textId="0D337492"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The empirical analysis is carried out in   two steps. In the first step, we exploit a </w:t>
      </w:r>
      <w:proofErr w:type="spellStart"/>
      <w:r w:rsidRPr="006B63CF">
        <w:rPr>
          <w:rFonts w:ascii="Times New Roman" w:hAnsi="Times New Roman" w:cs="Times New Roman"/>
          <w:lang w:val="en-US"/>
        </w:rPr>
        <w:t>Mincerian</w:t>
      </w:r>
      <w:proofErr w:type="spellEnd"/>
      <w:r w:rsidRPr="006B63CF">
        <w:rPr>
          <w:rFonts w:ascii="Times New Roman" w:hAnsi="Times New Roman" w:cs="Times New Roman"/>
          <w:lang w:val="en-US"/>
        </w:rPr>
        <w:t xml:space="preserve"> approach to explain individual income levels by controlling for individual characteristics.  The predicted values of this first-stage regression are then used to calculate average urban income levels to be used in the second step.</w:t>
      </w:r>
      <w:r w:rsidRPr="006B63CF">
        <w:rPr>
          <w:rStyle w:val="Rimandonotadichiusura"/>
          <w:rFonts w:ascii="Times New Roman" w:hAnsi="Times New Roman" w:cs="Times New Roman"/>
          <w:lang w:val="en-US"/>
        </w:rPr>
        <w:endnoteReference w:id="5"/>
      </w:r>
      <w:r w:rsidRPr="006B63CF">
        <w:rPr>
          <w:rFonts w:ascii="Times New Roman" w:hAnsi="Times New Roman" w:cs="Times New Roman"/>
          <w:lang w:val="en-US"/>
        </w:rPr>
        <w:t xml:space="preserve"> </w:t>
      </w:r>
    </w:p>
    <w:p w14:paraId="7E2672DB" w14:textId="28C03628" w:rsidR="00F8504A" w:rsidRPr="006B63CF" w:rsidRDefault="00F8504A" w:rsidP="00D64F8C">
      <w:pPr>
        <w:spacing w:line="480" w:lineRule="auto"/>
        <w:rPr>
          <w:rFonts w:ascii="Times New Roman" w:hAnsi="Times New Roman" w:cs="Times New Roman"/>
          <w:lang w:val="en-US"/>
        </w:rPr>
      </w:pPr>
      <w:r w:rsidRPr="006B63CF">
        <w:rPr>
          <w:rFonts w:ascii="Times New Roman" w:hAnsi="Times New Roman" w:cs="Times New Roman"/>
          <w:lang w:val="en-US"/>
        </w:rPr>
        <w:t>The main explanatory variable, which provides for an empirical test of the main research question, is urban smartness. We follow the work presented in Caragliu and Del Bo (2015, 2018, 2019) by calculating an average city-level indicator of smartness. This is obtained by combining, through an unweighted mean, unique indicators for each of the six axes of the definition provided in Caragliu et al. (2011) (</w:t>
      </w:r>
      <w:r w:rsidRPr="006B63CF">
        <w:rPr>
          <w:rFonts w:ascii="Times New Roman" w:hAnsi="Times New Roman" w:cs="Times New Roman"/>
          <w:i/>
          <w:iCs/>
          <w:lang w:val="en-US"/>
        </w:rPr>
        <w:t>human capital; social capital; transport infrastructure; ICTs; natural resources; e-government</w:t>
      </w:r>
      <w:r w:rsidRPr="006B63CF">
        <w:rPr>
          <w:rFonts w:ascii="Times New Roman" w:hAnsi="Times New Roman" w:cs="Times New Roman"/>
          <w:lang w:val="en-US"/>
        </w:rPr>
        <w:t>; see Section 2 above). The latter are obtained as a Principal Component Analysis (PCA) of indicators for the 4/5 vectors per axis shown in Table 2. In other words, PCAs are first performed on each vector measuring the intensity of endowment of the six axes, and the resulting first components (by calculation normally distributed, and centered around zero) are then averaged out.</w:t>
      </w:r>
    </w:p>
    <w:p w14:paraId="415072D3" w14:textId="4BFE844E"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lastRenderedPageBreak/>
        <w:t>Data on urban smartness cover an overall sample of 106 EU cities; explanatory vectors include data ranging between 2008 and 2012.</w:t>
      </w:r>
    </w:p>
    <w:tbl>
      <w:tblPr>
        <w:tblW w:w="8505" w:type="dxa"/>
        <w:tblCellMar>
          <w:left w:w="0" w:type="dxa"/>
          <w:right w:w="0" w:type="dxa"/>
        </w:tblCellMar>
        <w:tblLook w:val="04A0" w:firstRow="1" w:lastRow="0" w:firstColumn="1" w:lastColumn="0" w:noHBand="0" w:noVBand="1"/>
      </w:tblPr>
      <w:tblGrid>
        <w:gridCol w:w="1790"/>
        <w:gridCol w:w="7848"/>
      </w:tblGrid>
      <w:tr w:rsidR="00855D6D" w14:paraId="62268C25" w14:textId="77777777" w:rsidTr="00855D6D">
        <w:trPr>
          <w:trHeight w:val="270"/>
        </w:trPr>
        <w:tc>
          <w:tcPr>
            <w:tcW w:w="2140"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14:paraId="384FAD83" w14:textId="77777777" w:rsidR="00855D6D" w:rsidRDefault="00855D6D" w:rsidP="001C4F74">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 xml:space="preserve">Urban </w:t>
            </w:r>
            <w:proofErr w:type="spellStart"/>
            <w:r>
              <w:rPr>
                <w:rFonts w:ascii="Times New Roman" w:hAnsi="Times New Roman"/>
                <w:b/>
                <w:bCs/>
                <w:color w:val="000000"/>
                <w:sz w:val="20"/>
                <w:szCs w:val="20"/>
                <w:lang w:eastAsia="en-US"/>
              </w:rPr>
              <w:t>smartness</w:t>
            </w:r>
            <w:proofErr w:type="spellEnd"/>
            <w:r>
              <w:rPr>
                <w:rFonts w:ascii="Times New Roman" w:hAnsi="Times New Roman"/>
                <w:b/>
                <w:bCs/>
                <w:color w:val="000000"/>
                <w:sz w:val="20"/>
                <w:szCs w:val="20"/>
                <w:lang w:eastAsia="en-US"/>
              </w:rPr>
              <w:t xml:space="preserve"> </w:t>
            </w:r>
            <w:proofErr w:type="spellStart"/>
            <w:r>
              <w:rPr>
                <w:rFonts w:ascii="Times New Roman" w:hAnsi="Times New Roman"/>
                <w:b/>
                <w:bCs/>
                <w:color w:val="000000"/>
                <w:sz w:val="20"/>
                <w:szCs w:val="20"/>
                <w:lang w:eastAsia="en-US"/>
              </w:rPr>
              <w:t>axis</w:t>
            </w:r>
            <w:proofErr w:type="spellEnd"/>
          </w:p>
        </w:tc>
        <w:tc>
          <w:tcPr>
            <w:tcW w:w="9400"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14:paraId="63C04511" w14:textId="77777777" w:rsidR="00855D6D" w:rsidRDefault="00855D6D" w:rsidP="001C4F74">
            <w:pPr>
              <w:spacing w:after="0" w:line="240" w:lineRule="auto"/>
              <w:jc w:val="center"/>
              <w:rPr>
                <w:rFonts w:ascii="Times New Roman" w:hAnsi="Times New Roman"/>
                <w:b/>
                <w:bCs/>
                <w:color w:val="000000"/>
                <w:sz w:val="20"/>
                <w:szCs w:val="20"/>
                <w:lang w:eastAsia="en-US"/>
              </w:rPr>
            </w:pPr>
            <w:proofErr w:type="spellStart"/>
            <w:r>
              <w:rPr>
                <w:rFonts w:ascii="Times New Roman" w:hAnsi="Times New Roman"/>
                <w:b/>
                <w:bCs/>
                <w:color w:val="000000"/>
                <w:sz w:val="20"/>
                <w:szCs w:val="20"/>
                <w:lang w:eastAsia="en-US"/>
              </w:rPr>
              <w:t>Raw</w:t>
            </w:r>
            <w:proofErr w:type="spellEnd"/>
            <w:r>
              <w:rPr>
                <w:rFonts w:ascii="Times New Roman" w:hAnsi="Times New Roman"/>
                <w:b/>
                <w:bCs/>
                <w:color w:val="000000"/>
                <w:sz w:val="20"/>
                <w:szCs w:val="20"/>
                <w:lang w:eastAsia="en-US"/>
              </w:rPr>
              <w:t xml:space="preserve"> data</w:t>
            </w:r>
          </w:p>
        </w:tc>
      </w:tr>
      <w:tr w:rsidR="00855D6D" w:rsidRPr="00A42E1C" w14:paraId="384507EF" w14:textId="77777777" w:rsidTr="00855D6D">
        <w:trPr>
          <w:trHeight w:val="270"/>
        </w:trPr>
        <w:tc>
          <w:tcPr>
            <w:tcW w:w="0" w:type="auto"/>
            <w:vMerge w:val="restart"/>
            <w:tcBorders>
              <w:top w:val="nil"/>
              <w:left w:val="nil"/>
              <w:bottom w:val="single" w:sz="4" w:space="0" w:color="000000"/>
              <w:right w:val="nil"/>
            </w:tcBorders>
            <w:noWrap/>
            <w:tcMar>
              <w:top w:w="15" w:type="dxa"/>
              <w:left w:w="15" w:type="dxa"/>
              <w:bottom w:w="0" w:type="dxa"/>
              <w:right w:w="15" w:type="dxa"/>
            </w:tcMar>
            <w:vAlign w:val="center"/>
            <w:hideMark/>
          </w:tcPr>
          <w:p w14:paraId="7BDB41A7" w14:textId="77777777" w:rsidR="00855D6D" w:rsidRDefault="00855D6D" w:rsidP="001C4F74">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Human capital</w:t>
            </w:r>
          </w:p>
        </w:tc>
        <w:tc>
          <w:tcPr>
            <w:tcW w:w="0" w:type="auto"/>
            <w:noWrap/>
            <w:tcMar>
              <w:top w:w="15" w:type="dxa"/>
              <w:left w:w="15" w:type="dxa"/>
              <w:bottom w:w="0" w:type="dxa"/>
              <w:right w:w="15" w:type="dxa"/>
            </w:tcMar>
            <w:vAlign w:val="bottom"/>
            <w:hideMark/>
          </w:tcPr>
          <w:p w14:paraId="2572982F"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Proportion of population aged 15-64 qualified at tertiary level (ISCED 5-6) living in Urban Audit cities - %</w:t>
            </w:r>
          </w:p>
        </w:tc>
      </w:tr>
      <w:tr w:rsidR="00855D6D" w:rsidRPr="00A42E1C" w14:paraId="1F83E366" w14:textId="77777777" w:rsidTr="00855D6D">
        <w:trPr>
          <w:trHeight w:val="255"/>
        </w:trPr>
        <w:tc>
          <w:tcPr>
            <w:tcW w:w="0" w:type="auto"/>
            <w:vMerge/>
            <w:tcBorders>
              <w:top w:val="nil"/>
              <w:left w:val="nil"/>
              <w:bottom w:val="single" w:sz="4" w:space="0" w:color="000000"/>
              <w:right w:val="nil"/>
            </w:tcBorders>
            <w:vAlign w:val="center"/>
            <w:hideMark/>
          </w:tcPr>
          <w:p w14:paraId="4B4E32E4"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12033138"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Students in tertiary education (ISCED 5-6) living in Urban Audit cities - number of students per ,1000 inhabitants</w:t>
            </w:r>
          </w:p>
        </w:tc>
      </w:tr>
      <w:tr w:rsidR="00855D6D" w:rsidRPr="00A42E1C" w14:paraId="30F0CFDA" w14:textId="77777777" w:rsidTr="00855D6D">
        <w:trPr>
          <w:trHeight w:val="255"/>
        </w:trPr>
        <w:tc>
          <w:tcPr>
            <w:tcW w:w="0" w:type="auto"/>
            <w:vMerge/>
            <w:tcBorders>
              <w:top w:val="nil"/>
              <w:left w:val="nil"/>
              <w:bottom w:val="single" w:sz="4" w:space="0" w:color="000000"/>
              <w:right w:val="nil"/>
            </w:tcBorders>
            <w:vAlign w:val="center"/>
            <w:hideMark/>
          </w:tcPr>
          <w:p w14:paraId="21B7806C"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17C663D6"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Proportion of employment in financial intermediation business activities</w:t>
            </w:r>
          </w:p>
        </w:tc>
      </w:tr>
      <w:tr w:rsidR="00855D6D" w:rsidRPr="00A42E1C" w14:paraId="002EBDD3" w14:textId="77777777" w:rsidTr="00855D6D">
        <w:trPr>
          <w:trHeight w:val="255"/>
        </w:trPr>
        <w:tc>
          <w:tcPr>
            <w:tcW w:w="0" w:type="auto"/>
            <w:vMerge/>
            <w:tcBorders>
              <w:top w:val="nil"/>
              <w:left w:val="nil"/>
              <w:bottom w:val="single" w:sz="4" w:space="0" w:color="000000"/>
              <w:right w:val="nil"/>
            </w:tcBorders>
            <w:vAlign w:val="center"/>
            <w:hideMark/>
          </w:tcPr>
          <w:p w14:paraId="2162A022"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5FA60C32"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Proportion of employment public administration health education</w:t>
            </w:r>
          </w:p>
        </w:tc>
      </w:tr>
      <w:tr w:rsidR="00855D6D" w:rsidRPr="00A42E1C" w14:paraId="6C97A091" w14:textId="77777777" w:rsidTr="00855D6D">
        <w:trPr>
          <w:trHeight w:val="255"/>
        </w:trPr>
        <w:tc>
          <w:tcPr>
            <w:tcW w:w="0" w:type="auto"/>
            <w:vMerge/>
            <w:tcBorders>
              <w:top w:val="nil"/>
              <w:left w:val="nil"/>
              <w:bottom w:val="single" w:sz="4" w:space="0" w:color="000000"/>
              <w:right w:val="nil"/>
            </w:tcBorders>
            <w:vAlign w:val="center"/>
            <w:hideMark/>
          </w:tcPr>
          <w:p w14:paraId="1C34EB19"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52BCE57"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Number of companies with headquarters in the city quoted on the national stock market</w:t>
            </w:r>
          </w:p>
        </w:tc>
      </w:tr>
      <w:tr w:rsidR="00855D6D" w14:paraId="6808A73F" w14:textId="77777777" w:rsidTr="00855D6D">
        <w:trPr>
          <w:trHeight w:val="255"/>
        </w:trPr>
        <w:tc>
          <w:tcPr>
            <w:tcW w:w="0" w:type="auto"/>
            <w:vMerge w:val="restart"/>
            <w:tcBorders>
              <w:top w:val="nil"/>
              <w:left w:val="nil"/>
              <w:bottom w:val="single" w:sz="4" w:space="0" w:color="000000"/>
              <w:right w:val="nil"/>
            </w:tcBorders>
            <w:noWrap/>
            <w:tcMar>
              <w:top w:w="15" w:type="dxa"/>
              <w:left w:w="15" w:type="dxa"/>
              <w:bottom w:w="0" w:type="dxa"/>
              <w:right w:w="15" w:type="dxa"/>
            </w:tcMar>
            <w:vAlign w:val="center"/>
            <w:hideMark/>
          </w:tcPr>
          <w:p w14:paraId="0FF7C706" w14:textId="77777777" w:rsidR="00855D6D" w:rsidRDefault="00855D6D" w:rsidP="001C4F74">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 Social capital</w:t>
            </w:r>
          </w:p>
        </w:tc>
        <w:tc>
          <w:tcPr>
            <w:tcW w:w="0" w:type="auto"/>
            <w:noWrap/>
            <w:tcMar>
              <w:top w:w="15" w:type="dxa"/>
              <w:left w:w="15" w:type="dxa"/>
              <w:bottom w:w="0" w:type="dxa"/>
              <w:right w:w="15" w:type="dxa"/>
            </w:tcMar>
            <w:vAlign w:val="bottom"/>
            <w:hideMark/>
          </w:tcPr>
          <w:p w14:paraId="2F9AFDD5" w14:textId="77777777" w:rsidR="00855D6D" w:rsidRDefault="00855D6D" w:rsidP="001C4F74">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Car </w:t>
            </w:r>
            <w:proofErr w:type="spellStart"/>
            <w:r>
              <w:rPr>
                <w:rFonts w:ascii="Times New Roman" w:hAnsi="Times New Roman"/>
                <w:color w:val="000000"/>
                <w:sz w:val="20"/>
                <w:szCs w:val="20"/>
                <w:lang w:eastAsia="en-US"/>
              </w:rPr>
              <w:t>thefts</w:t>
            </w:r>
            <w:proofErr w:type="spellEnd"/>
            <w:r>
              <w:rPr>
                <w:rFonts w:ascii="Times New Roman" w:hAnsi="Times New Roman"/>
                <w:color w:val="000000"/>
                <w:sz w:val="20"/>
                <w:szCs w:val="20"/>
                <w:lang w:eastAsia="en-US"/>
              </w:rPr>
              <w:t xml:space="preserve"> per 1,000 pop.</w:t>
            </w:r>
          </w:p>
        </w:tc>
      </w:tr>
      <w:tr w:rsidR="00855D6D" w14:paraId="2BE33FD7" w14:textId="77777777" w:rsidTr="00855D6D">
        <w:trPr>
          <w:trHeight w:val="255"/>
        </w:trPr>
        <w:tc>
          <w:tcPr>
            <w:tcW w:w="0" w:type="auto"/>
            <w:vMerge/>
            <w:tcBorders>
              <w:top w:val="nil"/>
              <w:left w:val="nil"/>
              <w:bottom w:val="single" w:sz="4" w:space="0" w:color="000000"/>
              <w:right w:val="nil"/>
            </w:tcBorders>
            <w:vAlign w:val="center"/>
            <w:hideMark/>
          </w:tcPr>
          <w:p w14:paraId="2F05180B" w14:textId="77777777" w:rsidR="00855D6D" w:rsidRDefault="00855D6D" w:rsidP="001C4F74">
            <w:pPr>
              <w:spacing w:after="0" w:line="256" w:lineRule="auto"/>
              <w:rPr>
                <w:rFonts w:ascii="Times New Roman" w:hAnsi="Times New Roman"/>
                <w:color w:val="000000"/>
                <w:sz w:val="20"/>
                <w:szCs w:val="20"/>
                <w:lang w:eastAsia="en-US"/>
              </w:rPr>
            </w:pPr>
          </w:p>
        </w:tc>
        <w:tc>
          <w:tcPr>
            <w:tcW w:w="0" w:type="auto"/>
            <w:noWrap/>
            <w:tcMar>
              <w:top w:w="15" w:type="dxa"/>
              <w:left w:w="15" w:type="dxa"/>
              <w:bottom w:w="0" w:type="dxa"/>
              <w:right w:w="15" w:type="dxa"/>
            </w:tcMar>
            <w:vAlign w:val="bottom"/>
            <w:hideMark/>
          </w:tcPr>
          <w:p w14:paraId="71783702" w14:textId="77777777" w:rsidR="00855D6D" w:rsidRDefault="00855D6D" w:rsidP="001C4F74">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Burglaries</w:t>
            </w:r>
            <w:proofErr w:type="spellEnd"/>
            <w:r>
              <w:rPr>
                <w:rFonts w:ascii="Times New Roman" w:hAnsi="Times New Roman"/>
                <w:color w:val="000000"/>
                <w:sz w:val="20"/>
                <w:szCs w:val="20"/>
                <w:lang w:eastAsia="en-US"/>
              </w:rPr>
              <w:t xml:space="preserve"> per 1,000 pop.</w:t>
            </w:r>
          </w:p>
        </w:tc>
      </w:tr>
      <w:tr w:rsidR="00855D6D" w14:paraId="3D0E273E" w14:textId="77777777" w:rsidTr="00855D6D">
        <w:trPr>
          <w:trHeight w:val="255"/>
        </w:trPr>
        <w:tc>
          <w:tcPr>
            <w:tcW w:w="0" w:type="auto"/>
            <w:vMerge/>
            <w:tcBorders>
              <w:top w:val="nil"/>
              <w:left w:val="nil"/>
              <w:bottom w:val="single" w:sz="4" w:space="0" w:color="000000"/>
              <w:right w:val="nil"/>
            </w:tcBorders>
            <w:vAlign w:val="center"/>
            <w:hideMark/>
          </w:tcPr>
          <w:p w14:paraId="4814D52D" w14:textId="77777777" w:rsidR="00855D6D" w:rsidRDefault="00855D6D" w:rsidP="001C4F74">
            <w:pPr>
              <w:spacing w:after="0" w:line="256" w:lineRule="auto"/>
              <w:rPr>
                <w:rFonts w:ascii="Times New Roman" w:hAnsi="Times New Roman"/>
                <w:color w:val="000000"/>
                <w:sz w:val="20"/>
                <w:szCs w:val="20"/>
                <w:lang w:eastAsia="en-US"/>
              </w:rPr>
            </w:pPr>
          </w:p>
        </w:tc>
        <w:tc>
          <w:tcPr>
            <w:tcW w:w="0" w:type="auto"/>
            <w:noWrap/>
            <w:tcMar>
              <w:top w:w="15" w:type="dxa"/>
              <w:left w:w="15" w:type="dxa"/>
              <w:bottom w:w="0" w:type="dxa"/>
              <w:right w:w="15" w:type="dxa"/>
            </w:tcMar>
            <w:vAlign w:val="bottom"/>
            <w:hideMark/>
          </w:tcPr>
          <w:p w14:paraId="6242F06B" w14:textId="77777777" w:rsidR="00855D6D" w:rsidRDefault="00855D6D" w:rsidP="001C4F74">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Crimes per 1,000 pop.</w:t>
            </w:r>
          </w:p>
        </w:tc>
      </w:tr>
      <w:tr w:rsidR="00855D6D" w:rsidRPr="00A42E1C" w14:paraId="01C1A0B8" w14:textId="77777777" w:rsidTr="00855D6D">
        <w:trPr>
          <w:trHeight w:val="255"/>
        </w:trPr>
        <w:tc>
          <w:tcPr>
            <w:tcW w:w="0" w:type="auto"/>
            <w:vMerge/>
            <w:tcBorders>
              <w:top w:val="nil"/>
              <w:left w:val="nil"/>
              <w:bottom w:val="single" w:sz="4" w:space="0" w:color="000000"/>
              <w:right w:val="nil"/>
            </w:tcBorders>
            <w:vAlign w:val="center"/>
            <w:hideMark/>
          </w:tcPr>
          <w:p w14:paraId="63043E5A" w14:textId="77777777" w:rsidR="00855D6D" w:rsidRDefault="00855D6D" w:rsidP="001C4F74">
            <w:pPr>
              <w:spacing w:after="0" w:line="256" w:lineRule="auto"/>
              <w:rPr>
                <w:rFonts w:ascii="Times New Roman" w:hAnsi="Times New Roman"/>
                <w:color w:val="000000"/>
                <w:sz w:val="20"/>
                <w:szCs w:val="20"/>
                <w:lang w:eastAsia="en-US"/>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4D8F1D1"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Number of elected city representatives</w:t>
            </w:r>
          </w:p>
        </w:tc>
      </w:tr>
      <w:tr w:rsidR="00855D6D" w:rsidRPr="00A42E1C" w14:paraId="0E2A7D6C" w14:textId="77777777" w:rsidTr="00855D6D">
        <w:trPr>
          <w:trHeight w:val="255"/>
        </w:trPr>
        <w:tc>
          <w:tcPr>
            <w:tcW w:w="0" w:type="auto"/>
            <w:vMerge w:val="restart"/>
            <w:tcBorders>
              <w:top w:val="nil"/>
              <w:left w:val="nil"/>
              <w:bottom w:val="single" w:sz="4" w:space="0" w:color="000000"/>
              <w:right w:val="nil"/>
            </w:tcBorders>
            <w:noWrap/>
            <w:tcMar>
              <w:top w:w="15" w:type="dxa"/>
              <w:left w:w="15" w:type="dxa"/>
              <w:bottom w:w="0" w:type="dxa"/>
              <w:right w:w="15" w:type="dxa"/>
            </w:tcMar>
            <w:vAlign w:val="center"/>
            <w:hideMark/>
          </w:tcPr>
          <w:p w14:paraId="7C3F5263" w14:textId="77777777" w:rsidR="00855D6D" w:rsidRDefault="00855D6D" w:rsidP="001C4F74">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proofErr w:type="spellStart"/>
            <w:r>
              <w:rPr>
                <w:rFonts w:ascii="Times New Roman" w:hAnsi="Times New Roman"/>
                <w:color w:val="000000"/>
                <w:sz w:val="20"/>
                <w:szCs w:val="20"/>
                <w:lang w:eastAsia="en-US"/>
              </w:rPr>
              <w:t>Transport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infrastructure</w:t>
            </w:r>
            <w:proofErr w:type="spellEnd"/>
          </w:p>
        </w:tc>
        <w:tc>
          <w:tcPr>
            <w:tcW w:w="0" w:type="auto"/>
            <w:noWrap/>
            <w:tcMar>
              <w:top w:w="15" w:type="dxa"/>
              <w:left w:w="15" w:type="dxa"/>
              <w:bottom w:w="0" w:type="dxa"/>
              <w:right w:w="15" w:type="dxa"/>
            </w:tcMar>
            <w:vAlign w:val="bottom"/>
            <w:hideMark/>
          </w:tcPr>
          <w:p w14:paraId="24488BDE"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Length of public transport network per inhabitant</w:t>
            </w:r>
          </w:p>
        </w:tc>
      </w:tr>
      <w:tr w:rsidR="00855D6D" w:rsidRPr="00A42E1C" w14:paraId="0E7CE043" w14:textId="77777777" w:rsidTr="00855D6D">
        <w:trPr>
          <w:trHeight w:val="255"/>
        </w:trPr>
        <w:tc>
          <w:tcPr>
            <w:tcW w:w="0" w:type="auto"/>
            <w:vMerge/>
            <w:tcBorders>
              <w:top w:val="nil"/>
              <w:left w:val="nil"/>
              <w:bottom w:val="single" w:sz="4" w:space="0" w:color="000000"/>
              <w:right w:val="nil"/>
            </w:tcBorders>
            <w:vAlign w:val="center"/>
            <w:hideMark/>
          </w:tcPr>
          <w:p w14:paraId="0F1A4D70"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7F1973D0"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Share of restricted bus lanes from public transport network</w:t>
            </w:r>
          </w:p>
        </w:tc>
      </w:tr>
      <w:tr w:rsidR="00855D6D" w:rsidRPr="00A42E1C" w14:paraId="5531B758" w14:textId="77777777" w:rsidTr="00855D6D">
        <w:trPr>
          <w:trHeight w:val="255"/>
        </w:trPr>
        <w:tc>
          <w:tcPr>
            <w:tcW w:w="0" w:type="auto"/>
            <w:vMerge/>
            <w:tcBorders>
              <w:top w:val="nil"/>
              <w:left w:val="nil"/>
              <w:bottom w:val="single" w:sz="4" w:space="0" w:color="000000"/>
              <w:right w:val="nil"/>
            </w:tcBorders>
            <w:vAlign w:val="center"/>
            <w:hideMark/>
          </w:tcPr>
          <w:p w14:paraId="67B41AD1"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0375B1C6"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Number of buses (or bus equivalents) operating in the public transport per 1,000 pop</w:t>
            </w:r>
          </w:p>
        </w:tc>
      </w:tr>
      <w:tr w:rsidR="00855D6D" w:rsidRPr="00A42E1C" w14:paraId="2A149750" w14:textId="77777777" w:rsidTr="00855D6D">
        <w:trPr>
          <w:trHeight w:val="255"/>
        </w:trPr>
        <w:tc>
          <w:tcPr>
            <w:tcW w:w="0" w:type="auto"/>
            <w:vMerge/>
            <w:tcBorders>
              <w:top w:val="nil"/>
              <w:left w:val="nil"/>
              <w:bottom w:val="single" w:sz="4" w:space="0" w:color="000000"/>
              <w:right w:val="nil"/>
            </w:tcBorders>
            <w:vAlign w:val="center"/>
            <w:hideMark/>
          </w:tcPr>
          <w:p w14:paraId="6F539092"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3DE1690"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Number of stops of public transport per 1,000 pop.</w:t>
            </w:r>
          </w:p>
        </w:tc>
      </w:tr>
      <w:tr w:rsidR="00855D6D" w:rsidRPr="00A42E1C" w14:paraId="6F31AF31" w14:textId="77777777" w:rsidTr="00855D6D">
        <w:trPr>
          <w:trHeight w:val="255"/>
        </w:trPr>
        <w:tc>
          <w:tcPr>
            <w:tcW w:w="0" w:type="auto"/>
            <w:vMerge w:val="restart"/>
            <w:tcBorders>
              <w:top w:val="nil"/>
              <w:left w:val="nil"/>
              <w:bottom w:val="single" w:sz="4" w:space="0" w:color="000000"/>
              <w:right w:val="nil"/>
            </w:tcBorders>
            <w:noWrap/>
            <w:tcMar>
              <w:top w:w="15" w:type="dxa"/>
              <w:left w:w="15" w:type="dxa"/>
              <w:bottom w:w="0" w:type="dxa"/>
              <w:right w:w="15" w:type="dxa"/>
            </w:tcMar>
            <w:vAlign w:val="center"/>
            <w:hideMark/>
          </w:tcPr>
          <w:p w14:paraId="72FD9B6C" w14:textId="77777777" w:rsidR="00855D6D" w:rsidRDefault="00855D6D" w:rsidP="001C4F74">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4. ICT </w:t>
            </w:r>
            <w:proofErr w:type="spellStart"/>
            <w:r>
              <w:rPr>
                <w:rFonts w:ascii="Times New Roman" w:hAnsi="Times New Roman"/>
                <w:color w:val="000000"/>
                <w:sz w:val="20"/>
                <w:szCs w:val="20"/>
                <w:lang w:eastAsia="en-US"/>
              </w:rPr>
              <w:t>infrastructure</w:t>
            </w:r>
            <w:proofErr w:type="spellEnd"/>
          </w:p>
        </w:tc>
        <w:tc>
          <w:tcPr>
            <w:tcW w:w="0" w:type="auto"/>
            <w:noWrap/>
            <w:tcMar>
              <w:top w:w="15" w:type="dxa"/>
              <w:left w:w="15" w:type="dxa"/>
              <w:bottom w:w="0" w:type="dxa"/>
              <w:right w:w="15" w:type="dxa"/>
            </w:tcMar>
            <w:vAlign w:val="bottom"/>
            <w:hideMark/>
          </w:tcPr>
          <w:p w14:paraId="06406364"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Percentage of families with internet access at home</w:t>
            </w:r>
          </w:p>
        </w:tc>
      </w:tr>
      <w:tr w:rsidR="00855D6D" w:rsidRPr="00A42E1C" w14:paraId="61A94413" w14:textId="77777777" w:rsidTr="00855D6D">
        <w:trPr>
          <w:trHeight w:val="255"/>
        </w:trPr>
        <w:tc>
          <w:tcPr>
            <w:tcW w:w="0" w:type="auto"/>
            <w:vMerge/>
            <w:tcBorders>
              <w:top w:val="nil"/>
              <w:left w:val="nil"/>
              <w:bottom w:val="single" w:sz="4" w:space="0" w:color="000000"/>
              <w:right w:val="nil"/>
            </w:tcBorders>
            <w:vAlign w:val="center"/>
            <w:hideMark/>
          </w:tcPr>
          <w:p w14:paraId="601AF006"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0476EE86"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Number of local units producing ICT products</w:t>
            </w:r>
          </w:p>
        </w:tc>
      </w:tr>
      <w:tr w:rsidR="00855D6D" w:rsidRPr="00A42E1C" w14:paraId="168F7267" w14:textId="77777777" w:rsidTr="00855D6D">
        <w:trPr>
          <w:trHeight w:val="255"/>
        </w:trPr>
        <w:tc>
          <w:tcPr>
            <w:tcW w:w="0" w:type="auto"/>
            <w:vMerge/>
            <w:tcBorders>
              <w:top w:val="nil"/>
              <w:left w:val="nil"/>
              <w:bottom w:val="single" w:sz="4" w:space="0" w:color="000000"/>
              <w:right w:val="nil"/>
            </w:tcBorders>
            <w:vAlign w:val="center"/>
            <w:hideMark/>
          </w:tcPr>
          <w:p w14:paraId="35A56BFD"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262C8FA5"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Number of local units producing ICT-related services</w:t>
            </w:r>
          </w:p>
        </w:tc>
      </w:tr>
      <w:tr w:rsidR="00855D6D" w:rsidRPr="00A42E1C" w14:paraId="5E09E65A" w14:textId="77777777" w:rsidTr="00855D6D">
        <w:trPr>
          <w:trHeight w:val="255"/>
        </w:trPr>
        <w:tc>
          <w:tcPr>
            <w:tcW w:w="0" w:type="auto"/>
            <w:vMerge/>
            <w:tcBorders>
              <w:top w:val="nil"/>
              <w:left w:val="nil"/>
              <w:bottom w:val="single" w:sz="4" w:space="0" w:color="000000"/>
              <w:right w:val="nil"/>
            </w:tcBorders>
            <w:vAlign w:val="center"/>
            <w:hideMark/>
          </w:tcPr>
          <w:p w14:paraId="18249B82" w14:textId="77777777" w:rsidR="00855D6D" w:rsidRPr="00A42E1C" w:rsidRDefault="00855D6D" w:rsidP="001C4F74">
            <w:pPr>
              <w:spacing w:after="0" w:line="256" w:lineRule="auto"/>
              <w:rPr>
                <w:rFonts w:ascii="Times New Roman" w:hAnsi="Times New Roman"/>
                <w:color w:val="000000"/>
                <w:sz w:val="20"/>
                <w:szCs w:val="20"/>
                <w:lang w:val="en-US" w:eastAsia="en-US"/>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F6E85A5" w14:textId="77777777" w:rsidR="00855D6D" w:rsidRDefault="00855D6D" w:rsidP="001C4F74">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Number of local units producing web content</w:t>
            </w:r>
          </w:p>
        </w:tc>
      </w:tr>
      <w:tr w:rsidR="00855D6D" w:rsidRPr="005E1478" w14:paraId="1D3587C4" w14:textId="77777777" w:rsidTr="00855D6D">
        <w:trPr>
          <w:trHeight w:val="255"/>
        </w:trPr>
        <w:tc>
          <w:tcPr>
            <w:tcW w:w="0" w:type="auto"/>
            <w:vMerge w:val="restart"/>
            <w:tcBorders>
              <w:top w:val="nil"/>
              <w:left w:val="nil"/>
              <w:bottom w:val="single" w:sz="4" w:space="0" w:color="000000"/>
              <w:right w:val="nil"/>
            </w:tcBorders>
            <w:noWrap/>
            <w:tcMar>
              <w:top w:w="15" w:type="dxa"/>
              <w:left w:w="15" w:type="dxa"/>
              <w:bottom w:w="0" w:type="dxa"/>
              <w:right w:w="15" w:type="dxa"/>
            </w:tcMar>
            <w:vAlign w:val="center"/>
            <w:hideMark/>
          </w:tcPr>
          <w:p w14:paraId="3CD6FB9D" w14:textId="77777777" w:rsidR="00855D6D" w:rsidRPr="005E1478" w:rsidRDefault="00855D6D" w:rsidP="001C4F74">
            <w:pPr>
              <w:spacing w:after="0" w:line="240" w:lineRule="auto"/>
              <w:jc w:val="center"/>
              <w:rPr>
                <w:rFonts w:ascii="Times New Roman" w:hAnsi="Times New Roman"/>
                <w:color w:val="000000"/>
                <w:sz w:val="20"/>
                <w:szCs w:val="20"/>
                <w:lang w:eastAsia="en-US"/>
              </w:rPr>
            </w:pPr>
            <w:r w:rsidRPr="005E1478">
              <w:rPr>
                <w:rFonts w:ascii="Times New Roman" w:hAnsi="Times New Roman"/>
                <w:color w:val="000000"/>
                <w:sz w:val="20"/>
                <w:szCs w:val="20"/>
                <w:lang w:eastAsia="en-US"/>
              </w:rPr>
              <w:t>5. Natural resources</w:t>
            </w:r>
          </w:p>
        </w:tc>
        <w:tc>
          <w:tcPr>
            <w:tcW w:w="0" w:type="auto"/>
            <w:noWrap/>
            <w:tcMar>
              <w:top w:w="15" w:type="dxa"/>
              <w:left w:w="15" w:type="dxa"/>
              <w:bottom w:w="0" w:type="dxa"/>
              <w:right w:w="15" w:type="dxa"/>
            </w:tcMar>
            <w:vAlign w:val="bottom"/>
            <w:hideMark/>
          </w:tcPr>
          <w:p w14:paraId="1E7F859D"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Proportion of solid waste arising within the boundary processed by recycling</w:t>
            </w:r>
          </w:p>
        </w:tc>
      </w:tr>
      <w:tr w:rsidR="00855D6D" w:rsidRPr="005E1478" w14:paraId="3948A305" w14:textId="77777777" w:rsidTr="00855D6D">
        <w:trPr>
          <w:trHeight w:val="255"/>
        </w:trPr>
        <w:tc>
          <w:tcPr>
            <w:tcW w:w="0" w:type="auto"/>
            <w:vMerge/>
            <w:tcBorders>
              <w:top w:val="nil"/>
              <w:left w:val="nil"/>
              <w:bottom w:val="single" w:sz="4" w:space="0" w:color="000000"/>
              <w:right w:val="nil"/>
            </w:tcBorders>
            <w:vAlign w:val="center"/>
            <w:hideMark/>
          </w:tcPr>
          <w:p w14:paraId="29A638BB" w14:textId="77777777" w:rsidR="00855D6D" w:rsidRPr="005E1478"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68DB1F32"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Proportion of the area in green space</w:t>
            </w:r>
          </w:p>
        </w:tc>
      </w:tr>
      <w:tr w:rsidR="00855D6D" w:rsidRPr="005E1478" w14:paraId="5C699050" w14:textId="77777777" w:rsidTr="00855D6D">
        <w:trPr>
          <w:trHeight w:val="255"/>
        </w:trPr>
        <w:tc>
          <w:tcPr>
            <w:tcW w:w="0" w:type="auto"/>
            <w:vMerge/>
            <w:tcBorders>
              <w:top w:val="nil"/>
              <w:left w:val="nil"/>
              <w:bottom w:val="single" w:sz="4" w:space="0" w:color="000000"/>
              <w:right w:val="nil"/>
            </w:tcBorders>
            <w:vAlign w:val="center"/>
            <w:hideMark/>
          </w:tcPr>
          <w:p w14:paraId="32A2D933" w14:textId="77777777" w:rsidR="00855D6D" w:rsidRPr="005E1478"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2C733FF6"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Green space (in m2) to which the public has access, per capita</w:t>
            </w:r>
          </w:p>
        </w:tc>
      </w:tr>
      <w:tr w:rsidR="00855D6D" w:rsidRPr="005E1478" w14:paraId="070C4BE0" w14:textId="77777777" w:rsidTr="00855D6D">
        <w:trPr>
          <w:trHeight w:val="255"/>
        </w:trPr>
        <w:tc>
          <w:tcPr>
            <w:tcW w:w="0" w:type="auto"/>
            <w:vMerge/>
            <w:tcBorders>
              <w:top w:val="nil"/>
              <w:left w:val="nil"/>
              <w:bottom w:val="single" w:sz="4" w:space="0" w:color="000000"/>
              <w:right w:val="nil"/>
            </w:tcBorders>
            <w:vAlign w:val="center"/>
            <w:hideMark/>
          </w:tcPr>
          <w:p w14:paraId="58D245FF" w14:textId="77777777" w:rsidR="00855D6D" w:rsidRPr="005E1478"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15D427EC"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Annual average concentration of PM</w:t>
            </w:r>
            <w:r w:rsidRPr="005E1478">
              <w:rPr>
                <w:rFonts w:ascii="Times New Roman" w:hAnsi="Times New Roman"/>
                <w:color w:val="000000"/>
                <w:sz w:val="20"/>
                <w:szCs w:val="20"/>
                <w:vertAlign w:val="subscript"/>
                <w:lang w:val="en-US" w:eastAsia="en-US"/>
              </w:rPr>
              <w:t>10</w:t>
            </w:r>
          </w:p>
        </w:tc>
      </w:tr>
      <w:tr w:rsidR="00855D6D" w:rsidRPr="005E1478" w14:paraId="6244132E" w14:textId="77777777" w:rsidTr="00855D6D">
        <w:trPr>
          <w:trHeight w:val="285"/>
        </w:trPr>
        <w:tc>
          <w:tcPr>
            <w:tcW w:w="0" w:type="auto"/>
            <w:vMerge/>
            <w:tcBorders>
              <w:top w:val="nil"/>
              <w:left w:val="nil"/>
              <w:bottom w:val="single" w:sz="4" w:space="0" w:color="000000"/>
              <w:right w:val="nil"/>
            </w:tcBorders>
            <w:vAlign w:val="center"/>
            <w:hideMark/>
          </w:tcPr>
          <w:p w14:paraId="7DC77A42" w14:textId="77777777" w:rsidR="00855D6D" w:rsidRPr="005E1478" w:rsidRDefault="00855D6D" w:rsidP="001C4F74">
            <w:pPr>
              <w:spacing w:after="0" w:line="256" w:lineRule="auto"/>
              <w:rPr>
                <w:rFonts w:ascii="Times New Roman" w:hAnsi="Times New Roman"/>
                <w:color w:val="000000"/>
                <w:sz w:val="20"/>
                <w:szCs w:val="20"/>
                <w:lang w:val="en-US" w:eastAsia="en-US"/>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8AA246B"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Annual average concentration of NO</w:t>
            </w:r>
            <w:r w:rsidRPr="005E1478">
              <w:rPr>
                <w:rFonts w:ascii="Times New Roman" w:hAnsi="Times New Roman"/>
                <w:color w:val="000000"/>
                <w:sz w:val="20"/>
                <w:szCs w:val="20"/>
                <w:vertAlign w:val="subscript"/>
                <w:lang w:val="en-US" w:eastAsia="en-US"/>
              </w:rPr>
              <w:t>2</w:t>
            </w:r>
          </w:p>
        </w:tc>
      </w:tr>
      <w:tr w:rsidR="00855D6D" w:rsidRPr="005E1478" w14:paraId="1F884A35" w14:textId="77777777" w:rsidTr="00855D6D">
        <w:trPr>
          <w:trHeight w:val="255"/>
        </w:trPr>
        <w:tc>
          <w:tcPr>
            <w:tcW w:w="0" w:type="auto"/>
            <w:vMerge w:val="restart"/>
            <w:tcBorders>
              <w:top w:val="nil"/>
              <w:left w:val="nil"/>
              <w:bottom w:val="single" w:sz="4" w:space="0" w:color="000000"/>
              <w:right w:val="nil"/>
            </w:tcBorders>
            <w:noWrap/>
            <w:tcMar>
              <w:top w:w="15" w:type="dxa"/>
              <w:left w:w="15" w:type="dxa"/>
              <w:bottom w:w="0" w:type="dxa"/>
              <w:right w:w="15" w:type="dxa"/>
            </w:tcMar>
            <w:vAlign w:val="center"/>
            <w:hideMark/>
          </w:tcPr>
          <w:p w14:paraId="68A0C4A5" w14:textId="77777777" w:rsidR="00855D6D" w:rsidRPr="005E1478" w:rsidRDefault="00855D6D" w:rsidP="001C4F74">
            <w:pPr>
              <w:spacing w:after="0" w:line="240" w:lineRule="auto"/>
              <w:jc w:val="center"/>
              <w:rPr>
                <w:rFonts w:ascii="Times New Roman" w:hAnsi="Times New Roman"/>
                <w:color w:val="000000"/>
                <w:sz w:val="20"/>
                <w:szCs w:val="20"/>
                <w:lang w:eastAsia="en-US"/>
              </w:rPr>
            </w:pPr>
            <w:r w:rsidRPr="005E1478">
              <w:rPr>
                <w:rFonts w:ascii="Times New Roman" w:hAnsi="Times New Roman"/>
                <w:color w:val="000000"/>
                <w:sz w:val="20"/>
                <w:szCs w:val="20"/>
                <w:lang w:eastAsia="en-US"/>
              </w:rPr>
              <w:t>6. E-government</w:t>
            </w:r>
          </w:p>
        </w:tc>
        <w:tc>
          <w:tcPr>
            <w:tcW w:w="0" w:type="auto"/>
            <w:noWrap/>
            <w:tcMar>
              <w:top w:w="15" w:type="dxa"/>
              <w:left w:w="15" w:type="dxa"/>
              <w:bottom w:w="0" w:type="dxa"/>
              <w:right w:w="15" w:type="dxa"/>
            </w:tcMar>
            <w:vAlign w:val="bottom"/>
            <w:hideMark/>
          </w:tcPr>
          <w:p w14:paraId="7AA4CE39"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 of internet users who interacted via internet with the public authorities in the last 12 months (Country data)</w:t>
            </w:r>
          </w:p>
        </w:tc>
      </w:tr>
      <w:tr w:rsidR="00855D6D" w:rsidRPr="005E1478" w14:paraId="64453AB6" w14:textId="77777777" w:rsidTr="00855D6D">
        <w:trPr>
          <w:trHeight w:val="255"/>
        </w:trPr>
        <w:tc>
          <w:tcPr>
            <w:tcW w:w="0" w:type="auto"/>
            <w:vMerge/>
            <w:tcBorders>
              <w:top w:val="nil"/>
              <w:left w:val="nil"/>
              <w:bottom w:val="single" w:sz="4" w:space="0" w:color="000000"/>
              <w:right w:val="nil"/>
            </w:tcBorders>
            <w:vAlign w:val="center"/>
            <w:hideMark/>
          </w:tcPr>
          <w:p w14:paraId="4A93A380" w14:textId="77777777" w:rsidR="00855D6D" w:rsidRPr="005E1478"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1CF453F2"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 of internet users who sent filled forms to public authorities in the last 12 months (Country data)</w:t>
            </w:r>
          </w:p>
        </w:tc>
      </w:tr>
      <w:tr w:rsidR="00855D6D" w:rsidRPr="005E1478" w14:paraId="665F6032" w14:textId="77777777" w:rsidTr="00855D6D">
        <w:trPr>
          <w:trHeight w:val="255"/>
        </w:trPr>
        <w:tc>
          <w:tcPr>
            <w:tcW w:w="0" w:type="auto"/>
            <w:vMerge/>
            <w:tcBorders>
              <w:top w:val="nil"/>
              <w:left w:val="nil"/>
              <w:bottom w:val="single" w:sz="4" w:space="0" w:color="000000"/>
              <w:right w:val="nil"/>
            </w:tcBorders>
            <w:vAlign w:val="center"/>
            <w:hideMark/>
          </w:tcPr>
          <w:p w14:paraId="4EEA431D" w14:textId="77777777" w:rsidR="00855D6D" w:rsidRPr="005E1478" w:rsidRDefault="00855D6D" w:rsidP="001C4F74">
            <w:pPr>
              <w:spacing w:after="0" w:line="256" w:lineRule="auto"/>
              <w:rPr>
                <w:rFonts w:ascii="Times New Roman" w:hAnsi="Times New Roman"/>
                <w:color w:val="000000"/>
                <w:sz w:val="20"/>
                <w:szCs w:val="20"/>
                <w:lang w:val="en-US" w:eastAsia="en-US"/>
              </w:rPr>
            </w:pPr>
          </w:p>
        </w:tc>
        <w:tc>
          <w:tcPr>
            <w:tcW w:w="0" w:type="auto"/>
            <w:noWrap/>
            <w:tcMar>
              <w:top w:w="15" w:type="dxa"/>
              <w:left w:w="15" w:type="dxa"/>
              <w:bottom w:w="0" w:type="dxa"/>
              <w:right w:w="15" w:type="dxa"/>
            </w:tcMar>
            <w:vAlign w:val="bottom"/>
            <w:hideMark/>
          </w:tcPr>
          <w:p w14:paraId="0C1D9810" w14:textId="77777777" w:rsidR="00855D6D" w:rsidRPr="005E1478" w:rsidRDefault="00855D6D" w:rsidP="001C4F74">
            <w:pPr>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Number of administrative forms available for download from official web site</w:t>
            </w:r>
          </w:p>
        </w:tc>
      </w:tr>
      <w:tr w:rsidR="00855D6D" w:rsidRPr="005E1478" w14:paraId="55DBFA65" w14:textId="77777777" w:rsidTr="00855D6D">
        <w:trPr>
          <w:trHeight w:val="255"/>
        </w:trPr>
        <w:tc>
          <w:tcPr>
            <w:tcW w:w="0" w:type="auto"/>
            <w:vMerge/>
            <w:tcBorders>
              <w:top w:val="nil"/>
              <w:left w:val="nil"/>
              <w:bottom w:val="single" w:sz="4" w:space="0" w:color="000000"/>
              <w:right w:val="nil"/>
            </w:tcBorders>
            <w:vAlign w:val="center"/>
            <w:hideMark/>
          </w:tcPr>
          <w:p w14:paraId="73FA5BD1" w14:textId="77777777" w:rsidR="00855D6D" w:rsidRPr="005E1478" w:rsidRDefault="00855D6D" w:rsidP="001C4F74">
            <w:pPr>
              <w:spacing w:after="0" w:line="256" w:lineRule="auto"/>
              <w:rPr>
                <w:rFonts w:ascii="Times New Roman" w:hAnsi="Times New Roman"/>
                <w:color w:val="000000"/>
                <w:sz w:val="20"/>
                <w:szCs w:val="20"/>
                <w:lang w:val="en-US" w:eastAsia="en-US"/>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6A15237" w14:textId="77777777" w:rsidR="00855D6D" w:rsidRPr="005E1478" w:rsidRDefault="00855D6D" w:rsidP="001C4F74">
            <w:pPr>
              <w:keepNext/>
              <w:spacing w:after="0" w:line="240" w:lineRule="auto"/>
              <w:jc w:val="center"/>
              <w:rPr>
                <w:rFonts w:ascii="Times New Roman" w:hAnsi="Times New Roman"/>
                <w:color w:val="000000"/>
                <w:sz w:val="20"/>
                <w:szCs w:val="20"/>
                <w:lang w:val="en-US" w:eastAsia="en-US"/>
              </w:rPr>
            </w:pPr>
            <w:r w:rsidRPr="005E1478">
              <w:rPr>
                <w:rFonts w:ascii="Times New Roman" w:hAnsi="Times New Roman"/>
                <w:color w:val="000000"/>
                <w:sz w:val="20"/>
                <w:szCs w:val="20"/>
                <w:lang w:val="en-US" w:eastAsia="en-US"/>
              </w:rPr>
              <w:t>Number of administrative forms which can be submitted electronically</w:t>
            </w:r>
          </w:p>
        </w:tc>
      </w:tr>
    </w:tbl>
    <w:p w14:paraId="7321DC8A" w14:textId="77777777" w:rsidR="00855D6D" w:rsidRPr="005E1478" w:rsidRDefault="00855D6D" w:rsidP="00855D6D">
      <w:pPr>
        <w:pStyle w:val="Didascalia"/>
        <w:spacing w:after="0"/>
        <w:rPr>
          <w:b/>
          <w:i w:val="0"/>
          <w:color w:val="auto"/>
          <w:sz w:val="20"/>
          <w:szCs w:val="20"/>
          <w:lang w:val="en-US"/>
        </w:rPr>
      </w:pPr>
      <w:r w:rsidRPr="005E1478">
        <w:rPr>
          <w:rFonts w:ascii="Times New Roman" w:hAnsi="Times New Roman"/>
          <w:b/>
          <w:i w:val="0"/>
          <w:color w:val="auto"/>
          <w:sz w:val="20"/>
          <w:szCs w:val="20"/>
          <w:lang w:val="en-US"/>
        </w:rPr>
        <w:t>Table 2. Indicators for the 6 axes of the Smart City definition</w:t>
      </w:r>
    </w:p>
    <w:p w14:paraId="751690E4" w14:textId="77777777" w:rsidR="00855D6D" w:rsidRPr="00A42E1C" w:rsidRDefault="00855D6D" w:rsidP="00855D6D">
      <w:pPr>
        <w:jc w:val="both"/>
        <w:rPr>
          <w:rFonts w:ascii="Times New Roman" w:hAnsi="Times New Roman" w:cs="Times New Roman"/>
        </w:rPr>
      </w:pPr>
      <w:r w:rsidRPr="005E1478">
        <w:rPr>
          <w:rFonts w:ascii="Times New Roman" w:hAnsi="Times New Roman"/>
          <w:i/>
          <w:color w:val="000000" w:themeColor="text1"/>
          <w:sz w:val="20"/>
          <w:szCs w:val="20"/>
          <w:lang w:val="en-US"/>
        </w:rPr>
        <w:t xml:space="preserve">Source: </w:t>
      </w:r>
      <w:r>
        <w:rPr>
          <w:rFonts w:ascii="Times New Roman" w:hAnsi="Times New Roman"/>
          <w:i/>
          <w:color w:val="000000" w:themeColor="text1"/>
          <w:sz w:val="20"/>
          <w:szCs w:val="20"/>
          <w:lang w:val="en-US"/>
        </w:rPr>
        <w:t>Caragliu and Del Bo (2015)</w:t>
      </w:r>
    </w:p>
    <w:p w14:paraId="4651D049" w14:textId="50650FF3"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As for other control variables, following the discussion of the literature on determinants of inequality presented in Section 2, we include data on urban real GDP, population density, trust, and quality of government.</w:t>
      </w:r>
    </w:p>
    <w:p w14:paraId="4BB04CDF" w14:textId="77777777"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Urban real GDP is calculated at the NUTS3 level by deflating nominal GDP levels (averaged out for the period 1995-2010 in order to smooth business cycles as well as the territorially heterogeneous impact of the 2007/2008 financial crisis) with national price deflators. Data are expressed in constant 2010 Euros.</w:t>
      </w:r>
    </w:p>
    <w:p w14:paraId="4581E45F" w14:textId="77777777"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Population density is measured by the ratio of NUTS3 population to NUTS3 area in squared kilometers, again averaged out between 1995 and 2010 to smooth medium run demographic trends.</w:t>
      </w:r>
    </w:p>
    <w:p w14:paraId="2322F6CA" w14:textId="64744075" w:rsidR="00F8504A" w:rsidRPr="006B63CF" w:rsidRDefault="00855D6D" w:rsidP="00302FB0">
      <w:pPr>
        <w:spacing w:line="480" w:lineRule="auto"/>
        <w:jc w:val="both"/>
        <w:rPr>
          <w:rFonts w:ascii="Times New Roman" w:hAnsi="Times New Roman" w:cs="Times New Roman"/>
          <w:lang w:val="en-US"/>
        </w:rPr>
      </w:pPr>
      <w:r>
        <w:rPr>
          <w:rFonts w:ascii="Times New Roman" w:hAnsi="Times New Roman" w:cs="Times New Roman"/>
          <w:lang w:val="en-US"/>
        </w:rPr>
        <w:lastRenderedPageBreak/>
        <w:t>-</w:t>
      </w:r>
      <w:r w:rsidR="00F8504A" w:rsidRPr="006B63CF">
        <w:rPr>
          <w:rFonts w:ascii="Times New Roman" w:hAnsi="Times New Roman" w:cs="Times New Roman"/>
          <w:lang w:val="en-US"/>
        </w:rPr>
        <w:t>Trust represents a proxy for general social capital effects. This indicator is based on the 1999-2000 edition of the European Values Study, and is calculated as the percentage of respondents “</w:t>
      </w:r>
      <w:r w:rsidR="00F8504A" w:rsidRPr="006B63CF">
        <w:rPr>
          <w:rFonts w:ascii="Times New Roman" w:hAnsi="Times New Roman" w:cs="Times New Roman"/>
          <w:i/>
          <w:lang w:val="en-US"/>
        </w:rPr>
        <w:t>Most people can be trusted</w:t>
      </w:r>
      <w:r w:rsidR="00F8504A" w:rsidRPr="006B63CF">
        <w:rPr>
          <w:rFonts w:ascii="Times New Roman" w:hAnsi="Times New Roman" w:cs="Times New Roman"/>
          <w:lang w:val="en-US"/>
        </w:rPr>
        <w:t>” to the question “Generally speaking, would you say that most people can be trusted or that you can’t be too careful in dealing with people?”.</w:t>
      </w:r>
    </w:p>
    <w:p w14:paraId="0218E9B7" w14:textId="5C25F1DF"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In the absence of urban data comparable across the whole Europe, Quality of Government is calculated on the basis of the 2010 version of the European Quality of Government Index (EQI) described in Charron et al. (2014). The EQI represents a composite indicator calculated at NUTS2 level comprising sub-indicators of low corruption,</w:t>
      </w:r>
      <w:r w:rsidRPr="006B63CF">
        <w:rPr>
          <w:lang w:val="en-US"/>
        </w:rPr>
        <w:t xml:space="preserve"> </w:t>
      </w:r>
      <w:r w:rsidRPr="006B63CF">
        <w:rPr>
          <w:rFonts w:ascii="Times New Roman" w:hAnsi="Times New Roman" w:cs="Times New Roman"/>
          <w:lang w:val="en-US"/>
        </w:rPr>
        <w:t>rule of law, bureaucratic effectiveness, government voice and accountability, and strength of democratic and electoral institutions. Data are collected at NUTS2 level, and the value of each NUTS2 region is attributed to the metropolitan (NUTS3) area within each NUTS2 region.</w:t>
      </w:r>
    </w:p>
    <w:p w14:paraId="36BCD560" w14:textId="7C2BE991"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Lastly, in order to rule out the possibility that urban smartness truly captures only the effect of sustainable urban management,</w:t>
      </w:r>
      <w:r w:rsidRPr="006B63CF">
        <w:rPr>
          <w:rStyle w:val="Rimandonotadichiusura"/>
          <w:rFonts w:ascii="Times New Roman" w:hAnsi="Times New Roman" w:cs="Times New Roman"/>
          <w:lang w:val="en-US"/>
        </w:rPr>
        <w:endnoteReference w:id="6"/>
      </w:r>
      <w:r w:rsidRPr="006B63CF">
        <w:rPr>
          <w:rFonts w:ascii="Times New Roman" w:hAnsi="Times New Roman" w:cs="Times New Roman"/>
          <w:lang w:val="en-US"/>
        </w:rPr>
        <w:t xml:space="preserve"> we calculated a city-specific index of urban sustainability, as an unweighted mean of three indicators, measuring respectively cities’ exposure to the risk of poverty, to environmental degradation, and to energy inefficiency. These are calculated, respectively, as people at risk of poverty or social exclusion; per capita municipal waste; and the number of cooling and heating degree days. All data are collected from various EUROSTAT raw sources</w:t>
      </w:r>
      <w:r w:rsidRPr="006B63CF">
        <w:rPr>
          <w:rStyle w:val="Rimandonotadichiusura"/>
          <w:rFonts w:ascii="Times New Roman" w:hAnsi="Times New Roman" w:cs="Times New Roman"/>
          <w:lang w:val="en-US"/>
        </w:rPr>
        <w:endnoteReference w:id="7"/>
      </w:r>
      <w:r w:rsidRPr="006B63CF">
        <w:rPr>
          <w:rFonts w:ascii="Times New Roman" w:hAnsi="Times New Roman" w:cs="Times New Roman"/>
          <w:lang w:val="en-US"/>
        </w:rPr>
        <w:t>.</w:t>
      </w:r>
    </w:p>
    <w:p w14:paraId="31A1D70A" w14:textId="0586580D" w:rsidR="00F8504A" w:rsidRPr="006B63CF" w:rsidRDefault="00F8504A" w:rsidP="00302FB0">
      <w:pPr>
        <w:spacing w:line="480" w:lineRule="auto"/>
        <w:jc w:val="both"/>
        <w:rPr>
          <w:rFonts w:ascii="Times New Roman" w:hAnsi="Times New Roman" w:cs="Times New Roman"/>
          <w:lang w:val="en-US"/>
        </w:rPr>
      </w:pPr>
      <w:bookmarkStart w:id="6" w:name="_Hlk52463792"/>
      <w:r w:rsidRPr="006B63CF">
        <w:rPr>
          <w:rFonts w:ascii="Times New Roman" w:hAnsi="Times New Roman" w:cs="Times New Roman"/>
          <w:lang w:val="en-US"/>
        </w:rPr>
        <w:t xml:space="preserve">Many of the above-mentioned indicators could be affected by serial correlation (Bettencourt et al., 2007), mainly driven by the scaling properties underlying most of them. </w:t>
      </w:r>
      <w:bookmarkEnd w:id="6"/>
      <w:r w:rsidRPr="006B63CF">
        <w:rPr>
          <w:rFonts w:ascii="Times New Roman" w:hAnsi="Times New Roman" w:cs="Times New Roman"/>
          <w:lang w:val="en-US"/>
        </w:rPr>
        <w:t>In order to deal with this potential issue, we provide (in a separate Technical Appendix, also showing the main descriptive statistics for these indicators, Table A.2) additional details on the correlation structure among these factors. While the interested reader is referred to the appendix for a full-fledged comment, it is worth mentioning that variables tend to behave normally, with symmetric distributions and light tails, except for the income inequality measures, which instead reflect a remarkable spatial heterogeneity.</w:t>
      </w:r>
    </w:p>
    <w:p w14:paraId="7AEA05AB" w14:textId="1222B62E"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Our empirical analyses are thus based on the following model (Eq. 2):</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F8504A" w:rsidRPr="006B63CF" w14:paraId="19D88D3B" w14:textId="77777777" w:rsidTr="00064B83">
        <w:tc>
          <w:tcPr>
            <w:tcW w:w="9067" w:type="dxa"/>
          </w:tcPr>
          <w:p w14:paraId="3F21702A" w14:textId="4B41BB6F" w:rsidR="00F8504A" w:rsidRPr="006B63CF" w:rsidRDefault="005166FE" w:rsidP="00064B83">
            <w:pPr>
              <w:spacing w:line="480" w:lineRule="auto"/>
              <w:jc w:val="both"/>
              <w:rPr>
                <w:rFonts w:ascii="Times New Roman" w:hAnsi="Times New Roman" w:cs="Times New Roman"/>
                <w:lang w:val="en-US"/>
              </w:rPr>
            </w:pPr>
            <m:oMathPara>
              <m:oMathParaPr>
                <m:jc m:val="left"/>
              </m:oMathParaPr>
              <m:oMath>
                <m:sSub>
                  <m:sSubPr>
                    <m:ctrlPr>
                      <w:rPr>
                        <w:rFonts w:ascii="Cambria Math" w:hAnsi="Cambria Math" w:cs="Times New Roman"/>
                        <w:lang w:val="en-US"/>
                      </w:rPr>
                    </m:ctrlPr>
                  </m:sSubPr>
                  <m:e>
                    <m:r>
                      <m:rPr>
                        <m:sty m:val="p"/>
                      </m:rPr>
                      <w:rPr>
                        <w:rFonts w:ascii="Cambria Math" w:hAnsi="Cambria Math" w:cs="Times New Roman"/>
                        <w:lang w:val="en-US"/>
                      </w:rPr>
                      <m:t>INEQ</m:t>
                    </m:r>
                  </m:e>
                  <m:sub>
                    <m:r>
                      <w:rPr>
                        <w:rFonts w:ascii="Cambria Math" w:hAnsi="Cambria Math" w:cs="Times New Roman"/>
                        <w:lang w:val="en-US"/>
                      </w:rPr>
                      <m:t>c,t</m:t>
                    </m:r>
                  </m:sub>
                </m:sSub>
                <m:r>
                  <w:rPr>
                    <w:rFonts w:ascii="Cambria Math" w:hAnsi="Cambria Math" w:cs="Times New Roman"/>
                    <w:lang w:val="en-US"/>
                  </w:rPr>
                  <m:t>=α+β</m:t>
                </m:r>
                <m:sSub>
                  <m:sSubPr>
                    <m:ctrlPr>
                      <w:rPr>
                        <w:rFonts w:ascii="Cambria Math" w:hAnsi="Cambria Math" w:cs="Times New Roman"/>
                        <w:lang w:val="en-US"/>
                      </w:rPr>
                    </m:ctrlPr>
                  </m:sSubPr>
                  <m:e>
                    <m:r>
                      <m:rPr>
                        <m:sty m:val="p"/>
                      </m:rPr>
                      <w:rPr>
                        <w:rFonts w:ascii="Cambria Math" w:hAnsi="Cambria Math" w:cs="Times New Roman"/>
                        <w:lang w:val="en-US"/>
                      </w:rPr>
                      <m:t>smartness</m:t>
                    </m:r>
                  </m:e>
                  <m:sub>
                    <m:r>
                      <w:rPr>
                        <w:rFonts w:ascii="Cambria Math" w:hAnsi="Cambria Math" w:cs="Times New Roman"/>
                        <w:lang w:val="en-US"/>
                      </w:rPr>
                      <m:t>c,t-1</m:t>
                    </m:r>
                  </m:sub>
                </m:sSub>
                <m:r>
                  <w:rPr>
                    <w:rFonts w:ascii="Cambria Math" w:hAnsi="Cambria Math" w:cs="Times New Roman"/>
                    <w:lang w:val="en-US"/>
                  </w:rPr>
                  <m:t>+β</m:t>
                </m:r>
                <m:sSub>
                  <m:sSubPr>
                    <m:ctrlPr>
                      <w:rPr>
                        <w:rFonts w:ascii="Cambria Math" w:hAnsi="Cambria Math" w:cs="Times New Roman"/>
                        <w:lang w:val="en-US"/>
                      </w:rPr>
                    </m:ctrlPr>
                  </m:sSubPr>
                  <m:e>
                    <m:r>
                      <m:rPr>
                        <m:sty m:val="p"/>
                      </m:rPr>
                      <w:rPr>
                        <w:rFonts w:ascii="Cambria Math" w:hAnsi="Cambria Math" w:cs="Times New Roman"/>
                        <w:lang w:val="en-US"/>
                      </w:rPr>
                      <m:t>Z</m:t>
                    </m:r>
                  </m:e>
                  <m:sub>
                    <m:r>
                      <w:rPr>
                        <w:rFonts w:ascii="Cambria Math" w:hAnsi="Cambria Math" w:cs="Times New Roman"/>
                        <w:lang w:val="en-US"/>
                      </w:rPr>
                      <m:t>c,t-1</m:t>
                    </m:r>
                  </m:sub>
                </m:sSub>
                <m: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ε</m:t>
                    </m:r>
                  </m:e>
                  <m:sub>
                    <m:r>
                      <w:rPr>
                        <w:rFonts w:ascii="Cambria Math" w:hAnsi="Cambria Math" w:cs="Times New Roman"/>
                        <w:lang w:val="en-US"/>
                      </w:rPr>
                      <m:t>c,t</m:t>
                    </m:r>
                  </m:sub>
                </m:sSub>
              </m:oMath>
            </m:oMathPara>
          </w:p>
        </w:tc>
        <w:tc>
          <w:tcPr>
            <w:tcW w:w="561" w:type="dxa"/>
          </w:tcPr>
          <w:p w14:paraId="00D8D7B9" w14:textId="03EEEFB1" w:rsidR="00F8504A" w:rsidRPr="006B63CF" w:rsidRDefault="00F8504A" w:rsidP="00064B83">
            <w:pPr>
              <w:spacing w:line="480" w:lineRule="auto"/>
              <w:jc w:val="both"/>
              <w:rPr>
                <w:rFonts w:ascii="Times New Roman" w:hAnsi="Times New Roman" w:cs="Times New Roman"/>
                <w:lang w:val="en-US"/>
              </w:rPr>
            </w:pPr>
            <w:r w:rsidRPr="006B63CF">
              <w:rPr>
                <w:rFonts w:ascii="Times New Roman" w:hAnsi="Times New Roman" w:cs="Times New Roman"/>
                <w:lang w:val="en-US"/>
              </w:rPr>
              <w:t>(2.)</w:t>
            </w:r>
          </w:p>
        </w:tc>
      </w:tr>
    </w:tbl>
    <w:p w14:paraId="0673F2C8" w14:textId="114C3AAA"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lastRenderedPageBreak/>
        <w:t xml:space="preserve">where INEQ is our measure of inequality (calculated with the Gini, entropy, and Atkinson indexes, respectively); smartness is a measure of our definition; and Z is a matrix of controls including all variables described in Table 1. Indices </w:t>
      </w:r>
      <w:r w:rsidRPr="006B63CF">
        <w:rPr>
          <w:rFonts w:ascii="Times New Roman" w:hAnsi="Times New Roman" w:cs="Times New Roman"/>
          <w:i/>
          <w:lang w:val="en-US"/>
        </w:rPr>
        <w:t>c</w:t>
      </w:r>
      <w:r w:rsidRPr="006B63CF">
        <w:rPr>
          <w:rFonts w:ascii="Times New Roman" w:hAnsi="Times New Roman" w:cs="Times New Roman"/>
          <w:lang w:val="en-US"/>
        </w:rPr>
        <w:t xml:space="preserve"> and </w:t>
      </w:r>
      <w:r w:rsidRPr="006B63CF">
        <w:rPr>
          <w:rFonts w:ascii="Times New Roman" w:hAnsi="Times New Roman" w:cs="Times New Roman"/>
          <w:i/>
          <w:lang w:val="en-US"/>
        </w:rPr>
        <w:t>t</w:t>
      </w:r>
      <w:r w:rsidRPr="006B63CF">
        <w:rPr>
          <w:rFonts w:ascii="Times New Roman" w:hAnsi="Times New Roman" w:cs="Times New Roman"/>
          <w:lang w:val="en-US"/>
        </w:rPr>
        <w:t xml:space="preserve"> indicate city </w:t>
      </w:r>
      <w:r w:rsidRPr="006B63CF">
        <w:rPr>
          <w:rFonts w:ascii="Times New Roman" w:hAnsi="Times New Roman" w:cs="Times New Roman"/>
          <w:i/>
          <w:lang w:val="en-US"/>
        </w:rPr>
        <w:t>c</w:t>
      </w:r>
      <w:r w:rsidRPr="006B63CF">
        <w:rPr>
          <w:rFonts w:ascii="Times New Roman" w:hAnsi="Times New Roman" w:cs="Times New Roman"/>
          <w:lang w:val="en-US"/>
        </w:rPr>
        <w:t xml:space="preserve"> and time </w:t>
      </w:r>
      <w:r w:rsidRPr="006B63CF">
        <w:rPr>
          <w:rFonts w:ascii="Times New Roman" w:hAnsi="Times New Roman" w:cs="Times New Roman"/>
          <w:i/>
          <w:lang w:val="en-US"/>
        </w:rPr>
        <w:t>t</w:t>
      </w:r>
      <w:r w:rsidRPr="006B63CF">
        <w:rPr>
          <w:rFonts w:ascii="Times New Roman" w:hAnsi="Times New Roman" w:cs="Times New Roman"/>
          <w:lang w:val="en-US"/>
        </w:rPr>
        <w:t xml:space="preserve">, respectively; and, lastly, </w:t>
      </w:r>
      <m:oMath>
        <m:sSub>
          <m:sSubPr>
            <m:ctrlPr>
              <w:rPr>
                <w:rFonts w:ascii="Cambria Math" w:hAnsi="Cambria Math" w:cs="Times New Roman"/>
                <w:lang w:val="en-US"/>
              </w:rPr>
            </m:ctrlPr>
          </m:sSubPr>
          <m:e>
            <m:r>
              <m:rPr>
                <m:sty m:val="p"/>
              </m:rPr>
              <w:rPr>
                <w:rFonts w:ascii="Cambria Math" w:hAnsi="Cambria Math" w:cs="Times New Roman"/>
                <w:lang w:val="en-US"/>
              </w:rPr>
              <m:t>ε</m:t>
            </m:r>
          </m:e>
          <m:sub>
            <m:r>
              <w:rPr>
                <w:rFonts w:ascii="Cambria Math" w:hAnsi="Cambria Math" w:cs="Times New Roman"/>
                <w:lang w:val="en-US"/>
              </w:rPr>
              <m:t>c,t</m:t>
            </m:r>
          </m:sub>
        </m:sSub>
      </m:oMath>
      <w:r w:rsidRPr="006B63CF">
        <w:rPr>
          <w:rFonts w:ascii="Times New Roman" w:hAnsi="Times New Roman" w:cs="Times New Roman"/>
          <w:lang w:val="en-US"/>
        </w:rPr>
        <w:t xml:space="preserve"> is an i.i.d. disturbance error.</w:t>
      </w:r>
    </w:p>
    <w:p w14:paraId="3B9F8E96" w14:textId="53AF4842"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Eq. (2.) will be estimated by means of Ordinary Least Squares (OLS, Table 3 and Table 4, columns 1-4; 6-9), Two Stages Least Squares (2SLS, Table 4, Column 10) and Maximum Likelihood of a Spatial Durbin Model (Table 4, column 5).</w:t>
      </w:r>
    </w:p>
    <w:p w14:paraId="46AC96EF" w14:textId="77777777" w:rsidR="00F8504A" w:rsidRPr="006B63CF" w:rsidRDefault="00F8504A" w:rsidP="00491E65">
      <w:pPr>
        <w:pStyle w:val="Titolo1"/>
        <w:spacing w:line="480" w:lineRule="auto"/>
        <w:jc w:val="both"/>
      </w:pPr>
      <w:r w:rsidRPr="006B63CF">
        <w:t>Empirical results</w:t>
      </w:r>
    </w:p>
    <w:p w14:paraId="75885D0A" w14:textId="55D98FD5" w:rsidR="00F8504A" w:rsidRPr="006B63CF" w:rsidRDefault="00F8504A" w:rsidP="00F95B6B">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This section presents and discusses the empirical estimates answering the research question proposed in Section 1. We proceed as follows. In Section 4.1 we present the baseline model where the dependent variable is a Gini Index of income inequality. The assumption behind the use of this indicator is that the citizenship is neutral </w:t>
      </w:r>
      <w:proofErr w:type="spellStart"/>
      <w:r w:rsidRPr="006B63CF">
        <w:rPr>
          <w:rFonts w:ascii="Times New Roman" w:hAnsi="Times New Roman" w:cs="Times New Roman"/>
          <w:lang w:val="en-US"/>
        </w:rPr>
        <w:t>w.r.t.</w:t>
      </w:r>
      <w:proofErr w:type="spellEnd"/>
      <w:r w:rsidRPr="006B63CF">
        <w:rPr>
          <w:rFonts w:ascii="Times New Roman" w:hAnsi="Times New Roman" w:cs="Times New Roman"/>
          <w:lang w:val="en-US"/>
        </w:rPr>
        <w:t xml:space="preserve"> income distribution for different income brackets. Then, in Section 4.2 we deal with identification issues first by running a number of additional robustness checks to verify whether our results suffer from possible omitted variable bias, and then by resorting to a classical Instrumental Variable Strategy.</w:t>
      </w:r>
      <w:r w:rsidRPr="006B63CF">
        <w:rPr>
          <w:rStyle w:val="Rimandonotadichiusura"/>
          <w:rFonts w:ascii="Times New Roman" w:hAnsi="Times New Roman" w:cs="Times New Roman"/>
          <w:lang w:val="en-US"/>
        </w:rPr>
        <w:endnoteReference w:id="8"/>
      </w:r>
    </w:p>
    <w:p w14:paraId="469B4C09" w14:textId="08C002C1" w:rsidR="00F8504A" w:rsidRPr="006B63CF" w:rsidRDefault="00F8504A" w:rsidP="00491E65">
      <w:pPr>
        <w:pStyle w:val="Titolo2"/>
        <w:spacing w:line="480" w:lineRule="auto"/>
        <w:jc w:val="both"/>
        <w:rPr>
          <w:lang w:val="en-US"/>
        </w:rPr>
      </w:pPr>
      <w:r w:rsidRPr="006B63CF">
        <w:rPr>
          <w:lang w:val="en-US"/>
        </w:rPr>
        <w:t>Baseline estimates</w:t>
      </w:r>
    </w:p>
    <w:p w14:paraId="30AA8B61" w14:textId="0491CE54"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Estimates of the baseline model are presented in Table 3. All estimates are based on heteroscedasticity-robust standard errors.</w:t>
      </w:r>
    </w:p>
    <w:p w14:paraId="6D9903FC" w14:textId="77777777" w:rsidR="00855D6D" w:rsidRDefault="00F8504A" w:rsidP="00302FB0">
      <w:pPr>
        <w:spacing w:line="480" w:lineRule="auto"/>
        <w:jc w:val="both"/>
        <w:rPr>
          <w:rFonts w:ascii="Times New Roman" w:hAnsi="Times New Roman" w:cs="Times New Roman"/>
          <w:lang w:val="en-US"/>
        </w:rPr>
        <w:sectPr w:rsidR="00855D6D" w:rsidSect="008D31D6">
          <w:footerReference w:type="default" r:id="rId9"/>
          <w:pgSz w:w="11906" w:h="16838"/>
          <w:pgMar w:top="1417" w:right="1134" w:bottom="1134" w:left="1134" w:header="708" w:footer="708" w:gutter="0"/>
          <w:cols w:space="708"/>
          <w:docGrid w:linePitch="360"/>
        </w:sectPr>
      </w:pPr>
      <w:r w:rsidRPr="006B63CF">
        <w:rPr>
          <w:rFonts w:ascii="Times New Roman" w:hAnsi="Times New Roman" w:cs="Times New Roman"/>
          <w:lang w:val="en-US"/>
        </w:rPr>
        <w:t>Table 3 is organized as follows. In each column we present a different model, each of which includes an additional regressor, in order to highlight possible multicollinearity issues. We start from a baseline regression linking urban smartness to income inequality (Column 1), and then add urban GDP (Column 2), replace the latter with population density (Column 3), include both GDP and population density (Column 4), add trust (Column 5), replace it with Quality of Government (Column 6), and, finally, include both trust and Quality of Government (Column 7).</w:t>
      </w:r>
    </w:p>
    <w:tbl>
      <w:tblPr>
        <w:tblW w:w="12474" w:type="dxa"/>
        <w:tblLayout w:type="fixed"/>
        <w:tblLook w:val="0000" w:firstRow="0" w:lastRow="0" w:firstColumn="0" w:lastColumn="0" w:noHBand="0" w:noVBand="0"/>
      </w:tblPr>
      <w:tblGrid>
        <w:gridCol w:w="1933"/>
        <w:gridCol w:w="1505"/>
        <w:gridCol w:w="1506"/>
        <w:gridCol w:w="1506"/>
        <w:gridCol w:w="1506"/>
        <w:gridCol w:w="1506"/>
        <w:gridCol w:w="1506"/>
        <w:gridCol w:w="1506"/>
      </w:tblGrid>
      <w:tr w:rsidR="00855D6D" w:rsidRPr="00630044" w14:paraId="45EEF906" w14:textId="77777777" w:rsidTr="001C4F74">
        <w:tc>
          <w:tcPr>
            <w:tcW w:w="12474" w:type="dxa"/>
            <w:gridSpan w:val="8"/>
            <w:tcBorders>
              <w:top w:val="single" w:sz="4" w:space="0" w:color="auto"/>
              <w:left w:val="nil"/>
              <w:bottom w:val="nil"/>
              <w:right w:val="nil"/>
            </w:tcBorders>
          </w:tcPr>
          <w:p w14:paraId="38F91031" w14:textId="77777777" w:rsidR="00855D6D" w:rsidRPr="00FC4315" w:rsidRDefault="00855D6D" w:rsidP="001C4F74">
            <w:pPr>
              <w:widowControl w:val="0"/>
              <w:autoSpaceDE w:val="0"/>
              <w:autoSpaceDN w:val="0"/>
              <w:adjustRightInd w:val="0"/>
              <w:spacing w:after="0" w:line="240" w:lineRule="auto"/>
              <w:rPr>
                <w:rFonts w:ascii="Times New Roman" w:hAnsi="Times New Roman" w:cs="Times New Roman"/>
                <w:i/>
                <w:sz w:val="20"/>
                <w:szCs w:val="20"/>
                <w:lang w:val="en-US"/>
              </w:rPr>
            </w:pPr>
            <w:r w:rsidRPr="00FC4315">
              <w:rPr>
                <w:rFonts w:ascii="Times New Roman" w:hAnsi="Times New Roman" w:cs="Times New Roman"/>
                <w:i/>
                <w:sz w:val="20"/>
                <w:szCs w:val="20"/>
                <w:lang w:val="en-US"/>
              </w:rPr>
              <w:lastRenderedPageBreak/>
              <w:t>Dependent variable: Gini index</w:t>
            </w:r>
          </w:p>
        </w:tc>
      </w:tr>
      <w:tr w:rsidR="00855D6D" w:rsidRPr="00630044" w14:paraId="7588B5FF" w14:textId="77777777" w:rsidTr="001C4F74">
        <w:tc>
          <w:tcPr>
            <w:tcW w:w="1933" w:type="dxa"/>
            <w:tcBorders>
              <w:top w:val="nil"/>
              <w:left w:val="nil"/>
              <w:bottom w:val="double" w:sz="4" w:space="0" w:color="auto"/>
              <w:right w:val="nil"/>
            </w:tcBorders>
          </w:tcPr>
          <w:p w14:paraId="7BD4311E" w14:textId="77777777" w:rsidR="00855D6D" w:rsidRPr="00FC4315" w:rsidRDefault="00855D6D" w:rsidP="001C4F74">
            <w:pPr>
              <w:widowControl w:val="0"/>
              <w:autoSpaceDE w:val="0"/>
              <w:autoSpaceDN w:val="0"/>
              <w:adjustRightInd w:val="0"/>
              <w:spacing w:after="0" w:line="240" w:lineRule="auto"/>
              <w:rPr>
                <w:rFonts w:ascii="Times New Roman" w:hAnsi="Times New Roman" w:cs="Times New Roman"/>
                <w:i/>
                <w:sz w:val="20"/>
                <w:szCs w:val="20"/>
                <w:lang w:val="en-US"/>
              </w:rPr>
            </w:pPr>
          </w:p>
        </w:tc>
        <w:tc>
          <w:tcPr>
            <w:tcW w:w="1505" w:type="dxa"/>
            <w:tcBorders>
              <w:top w:val="nil"/>
              <w:left w:val="nil"/>
              <w:bottom w:val="double" w:sz="4" w:space="0" w:color="auto"/>
              <w:right w:val="nil"/>
            </w:tcBorders>
          </w:tcPr>
          <w:p w14:paraId="166D5937" w14:textId="77777777" w:rsidR="00855D6D" w:rsidRPr="00FC4315" w:rsidRDefault="00855D6D" w:rsidP="001C4F7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FC4315">
              <w:rPr>
                <w:rFonts w:ascii="Times New Roman" w:hAnsi="Times New Roman" w:cs="Times New Roman"/>
                <w:i/>
                <w:sz w:val="20"/>
                <w:szCs w:val="20"/>
                <w:lang w:val="en-US"/>
              </w:rPr>
              <w:t>(1)</w:t>
            </w:r>
          </w:p>
        </w:tc>
        <w:tc>
          <w:tcPr>
            <w:tcW w:w="1506" w:type="dxa"/>
            <w:tcBorders>
              <w:top w:val="nil"/>
              <w:left w:val="nil"/>
              <w:bottom w:val="double" w:sz="4" w:space="0" w:color="auto"/>
              <w:right w:val="nil"/>
            </w:tcBorders>
          </w:tcPr>
          <w:p w14:paraId="7C045CA2" w14:textId="77777777" w:rsidR="00855D6D" w:rsidRPr="00FC4315" w:rsidRDefault="00855D6D" w:rsidP="001C4F7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FC4315">
              <w:rPr>
                <w:rFonts w:ascii="Times New Roman" w:hAnsi="Times New Roman" w:cs="Times New Roman"/>
                <w:i/>
                <w:sz w:val="20"/>
                <w:szCs w:val="20"/>
                <w:lang w:val="en-US"/>
              </w:rPr>
              <w:t>(2)</w:t>
            </w:r>
          </w:p>
        </w:tc>
        <w:tc>
          <w:tcPr>
            <w:tcW w:w="1506" w:type="dxa"/>
            <w:tcBorders>
              <w:top w:val="nil"/>
              <w:left w:val="nil"/>
              <w:bottom w:val="double" w:sz="4" w:space="0" w:color="auto"/>
              <w:right w:val="nil"/>
            </w:tcBorders>
          </w:tcPr>
          <w:p w14:paraId="4E62A1E5" w14:textId="77777777" w:rsidR="00855D6D" w:rsidRPr="00FC4315" w:rsidRDefault="00855D6D" w:rsidP="001C4F7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FC4315">
              <w:rPr>
                <w:rFonts w:ascii="Times New Roman" w:hAnsi="Times New Roman" w:cs="Times New Roman"/>
                <w:i/>
                <w:sz w:val="20"/>
                <w:szCs w:val="20"/>
                <w:lang w:val="en-US"/>
              </w:rPr>
              <w:t>(3)</w:t>
            </w:r>
          </w:p>
        </w:tc>
        <w:tc>
          <w:tcPr>
            <w:tcW w:w="1506" w:type="dxa"/>
            <w:tcBorders>
              <w:top w:val="nil"/>
              <w:left w:val="nil"/>
              <w:bottom w:val="double" w:sz="4" w:space="0" w:color="auto"/>
              <w:right w:val="nil"/>
            </w:tcBorders>
          </w:tcPr>
          <w:p w14:paraId="38E9AF86" w14:textId="77777777" w:rsidR="00855D6D" w:rsidRPr="00FC4315" w:rsidRDefault="00855D6D" w:rsidP="001C4F7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FC4315">
              <w:rPr>
                <w:rFonts w:ascii="Times New Roman" w:hAnsi="Times New Roman" w:cs="Times New Roman"/>
                <w:i/>
                <w:sz w:val="20"/>
                <w:szCs w:val="20"/>
                <w:lang w:val="en-US"/>
              </w:rPr>
              <w:t>(4)</w:t>
            </w:r>
          </w:p>
        </w:tc>
        <w:tc>
          <w:tcPr>
            <w:tcW w:w="1506" w:type="dxa"/>
            <w:tcBorders>
              <w:top w:val="nil"/>
              <w:left w:val="nil"/>
              <w:bottom w:val="double" w:sz="4" w:space="0" w:color="auto"/>
              <w:right w:val="nil"/>
            </w:tcBorders>
          </w:tcPr>
          <w:p w14:paraId="77FF7FA4" w14:textId="77777777" w:rsidR="00855D6D" w:rsidRPr="00FC4315" w:rsidRDefault="00855D6D" w:rsidP="001C4F7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FC4315">
              <w:rPr>
                <w:rFonts w:ascii="Times New Roman" w:hAnsi="Times New Roman" w:cs="Times New Roman"/>
                <w:i/>
                <w:sz w:val="20"/>
                <w:szCs w:val="20"/>
                <w:lang w:val="en-US"/>
              </w:rPr>
              <w:t>(5)</w:t>
            </w:r>
          </w:p>
        </w:tc>
        <w:tc>
          <w:tcPr>
            <w:tcW w:w="1506" w:type="dxa"/>
            <w:tcBorders>
              <w:top w:val="nil"/>
              <w:left w:val="nil"/>
              <w:bottom w:val="double" w:sz="4" w:space="0" w:color="auto"/>
              <w:right w:val="nil"/>
            </w:tcBorders>
          </w:tcPr>
          <w:p w14:paraId="1FD0C039" w14:textId="77777777" w:rsidR="00855D6D" w:rsidRPr="00FC4315" w:rsidRDefault="00855D6D" w:rsidP="001C4F7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FC4315">
              <w:rPr>
                <w:rFonts w:ascii="Times New Roman" w:hAnsi="Times New Roman" w:cs="Times New Roman"/>
                <w:i/>
                <w:sz w:val="20"/>
                <w:szCs w:val="20"/>
                <w:lang w:val="en-US"/>
              </w:rPr>
              <w:t>(6)</w:t>
            </w:r>
          </w:p>
        </w:tc>
        <w:tc>
          <w:tcPr>
            <w:tcW w:w="1506" w:type="dxa"/>
            <w:tcBorders>
              <w:top w:val="nil"/>
              <w:left w:val="nil"/>
              <w:bottom w:val="double" w:sz="4" w:space="0" w:color="auto"/>
              <w:right w:val="nil"/>
            </w:tcBorders>
          </w:tcPr>
          <w:p w14:paraId="266B181C" w14:textId="77777777" w:rsidR="00855D6D" w:rsidRPr="00FC4315" w:rsidRDefault="00855D6D" w:rsidP="001C4F7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FC4315">
              <w:rPr>
                <w:rFonts w:ascii="Times New Roman" w:hAnsi="Times New Roman" w:cs="Times New Roman"/>
                <w:i/>
                <w:sz w:val="20"/>
                <w:szCs w:val="20"/>
                <w:lang w:val="en-US"/>
              </w:rPr>
              <w:t>(7)</w:t>
            </w:r>
          </w:p>
        </w:tc>
      </w:tr>
      <w:tr w:rsidR="00855D6D" w:rsidRPr="00FC4315" w14:paraId="792A2229" w14:textId="77777777" w:rsidTr="001C4F74">
        <w:tc>
          <w:tcPr>
            <w:tcW w:w="1933" w:type="dxa"/>
            <w:tcBorders>
              <w:top w:val="double" w:sz="4" w:space="0" w:color="auto"/>
              <w:left w:val="nil"/>
              <w:bottom w:val="nil"/>
              <w:right w:val="nil"/>
            </w:tcBorders>
          </w:tcPr>
          <w:p w14:paraId="18BAF0F3"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r w:rsidRPr="00305362">
              <w:rPr>
                <w:rFonts w:ascii="Times New Roman" w:hAnsi="Times New Roman" w:cs="Times New Roman"/>
                <w:sz w:val="20"/>
                <w:szCs w:val="20"/>
                <w:lang w:val="en-US"/>
              </w:rPr>
              <w:t>Urban smartness</w:t>
            </w:r>
          </w:p>
        </w:tc>
        <w:tc>
          <w:tcPr>
            <w:tcW w:w="1505" w:type="dxa"/>
            <w:tcBorders>
              <w:top w:val="double" w:sz="4" w:space="0" w:color="auto"/>
              <w:left w:val="nil"/>
              <w:bottom w:val="nil"/>
              <w:right w:val="nil"/>
            </w:tcBorders>
          </w:tcPr>
          <w:p w14:paraId="56BA50C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-0.00580</w:t>
            </w:r>
            <w:r w:rsidRPr="00305362">
              <w:rPr>
                <w:rFonts w:ascii="Times New Roman" w:hAnsi="Times New Roman" w:cs="Times New Roman"/>
                <w:sz w:val="20"/>
                <w:szCs w:val="20"/>
                <w:vertAlign w:val="superscript"/>
                <w:lang w:val="en-US"/>
              </w:rPr>
              <w:t>***</w:t>
            </w:r>
          </w:p>
        </w:tc>
        <w:tc>
          <w:tcPr>
            <w:tcW w:w="1506" w:type="dxa"/>
            <w:tcBorders>
              <w:top w:val="double" w:sz="4" w:space="0" w:color="auto"/>
              <w:left w:val="nil"/>
              <w:bottom w:val="nil"/>
              <w:right w:val="nil"/>
            </w:tcBorders>
          </w:tcPr>
          <w:p w14:paraId="44B8B19D"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-0.00370</w:t>
            </w:r>
            <w:r w:rsidRPr="00305362">
              <w:rPr>
                <w:rFonts w:ascii="Times New Roman" w:hAnsi="Times New Roman" w:cs="Times New Roman"/>
                <w:sz w:val="20"/>
                <w:szCs w:val="20"/>
                <w:vertAlign w:val="superscript"/>
                <w:lang w:val="en-US"/>
              </w:rPr>
              <w:t>**</w:t>
            </w:r>
          </w:p>
        </w:tc>
        <w:tc>
          <w:tcPr>
            <w:tcW w:w="1506" w:type="dxa"/>
            <w:tcBorders>
              <w:top w:val="double" w:sz="4" w:space="0" w:color="auto"/>
              <w:left w:val="nil"/>
              <w:bottom w:val="nil"/>
              <w:right w:val="nil"/>
            </w:tcBorders>
          </w:tcPr>
          <w:p w14:paraId="7C82A208"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-0.00550</w:t>
            </w:r>
            <w:r w:rsidRPr="00305362">
              <w:rPr>
                <w:rFonts w:ascii="Times New Roman" w:hAnsi="Times New Roman" w:cs="Times New Roman"/>
                <w:sz w:val="20"/>
                <w:szCs w:val="20"/>
                <w:vertAlign w:val="superscript"/>
                <w:lang w:val="en-US"/>
              </w:rPr>
              <w:t>***</w:t>
            </w:r>
          </w:p>
        </w:tc>
        <w:tc>
          <w:tcPr>
            <w:tcW w:w="1506" w:type="dxa"/>
            <w:tcBorders>
              <w:top w:val="double" w:sz="4" w:space="0" w:color="auto"/>
              <w:left w:val="nil"/>
              <w:bottom w:val="nil"/>
              <w:right w:val="nil"/>
            </w:tcBorders>
          </w:tcPr>
          <w:p w14:paraId="3A8F107B"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-0.00384</w:t>
            </w:r>
            <w:r w:rsidRPr="00305362">
              <w:rPr>
                <w:rFonts w:ascii="Times New Roman" w:hAnsi="Times New Roman" w:cs="Times New Roman"/>
                <w:sz w:val="20"/>
                <w:szCs w:val="20"/>
                <w:vertAlign w:val="superscript"/>
                <w:lang w:val="en-US"/>
              </w:rPr>
              <w:t>**</w:t>
            </w:r>
          </w:p>
        </w:tc>
        <w:tc>
          <w:tcPr>
            <w:tcW w:w="1506" w:type="dxa"/>
            <w:tcBorders>
              <w:top w:val="double" w:sz="4" w:space="0" w:color="auto"/>
              <w:left w:val="nil"/>
              <w:bottom w:val="nil"/>
              <w:right w:val="nil"/>
            </w:tcBorders>
          </w:tcPr>
          <w:p w14:paraId="1D78170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-0.00333</w:t>
            </w:r>
            <w:r w:rsidRPr="00305362">
              <w:rPr>
                <w:rFonts w:ascii="Times New Roman" w:hAnsi="Times New Roman" w:cs="Times New Roman"/>
                <w:sz w:val="20"/>
                <w:szCs w:val="20"/>
                <w:vertAlign w:val="superscript"/>
                <w:lang w:val="en-US"/>
              </w:rPr>
              <w:t>**</w:t>
            </w:r>
          </w:p>
        </w:tc>
        <w:tc>
          <w:tcPr>
            <w:tcW w:w="1506" w:type="dxa"/>
            <w:tcBorders>
              <w:top w:val="double" w:sz="4" w:space="0" w:color="auto"/>
              <w:left w:val="nil"/>
              <w:bottom w:val="nil"/>
              <w:right w:val="nil"/>
            </w:tcBorders>
          </w:tcPr>
          <w:p w14:paraId="231820F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-0.00278</w:t>
            </w:r>
            <w:r w:rsidRPr="00305362">
              <w:rPr>
                <w:rFonts w:ascii="Times New Roman" w:hAnsi="Times New Roman" w:cs="Times New Roman"/>
                <w:sz w:val="20"/>
                <w:szCs w:val="20"/>
                <w:vertAlign w:val="superscript"/>
                <w:lang w:val="en-US"/>
              </w:rPr>
              <w:t>*</w:t>
            </w:r>
          </w:p>
        </w:tc>
        <w:tc>
          <w:tcPr>
            <w:tcW w:w="1506" w:type="dxa"/>
            <w:tcBorders>
              <w:top w:val="double" w:sz="4" w:space="0" w:color="auto"/>
              <w:left w:val="nil"/>
              <w:bottom w:val="nil"/>
              <w:right w:val="nil"/>
            </w:tcBorders>
          </w:tcPr>
          <w:p w14:paraId="6FB47645"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-0.00263*</w:t>
            </w:r>
          </w:p>
        </w:tc>
      </w:tr>
      <w:tr w:rsidR="00855D6D" w:rsidRPr="00FC4315" w14:paraId="15314F10" w14:textId="77777777" w:rsidTr="001C4F74">
        <w:tc>
          <w:tcPr>
            <w:tcW w:w="1933" w:type="dxa"/>
            <w:tcBorders>
              <w:top w:val="nil"/>
              <w:left w:val="nil"/>
              <w:bottom w:val="nil"/>
              <w:right w:val="nil"/>
            </w:tcBorders>
          </w:tcPr>
          <w:p w14:paraId="606D6AB7"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60A3D70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(-4.29)</w:t>
            </w:r>
          </w:p>
        </w:tc>
        <w:tc>
          <w:tcPr>
            <w:tcW w:w="1506" w:type="dxa"/>
            <w:tcBorders>
              <w:top w:val="nil"/>
              <w:left w:val="nil"/>
              <w:bottom w:val="nil"/>
              <w:right w:val="nil"/>
            </w:tcBorders>
          </w:tcPr>
          <w:p w14:paraId="087C2A1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(-2.40)</w:t>
            </w:r>
          </w:p>
        </w:tc>
        <w:tc>
          <w:tcPr>
            <w:tcW w:w="1506" w:type="dxa"/>
            <w:tcBorders>
              <w:top w:val="nil"/>
              <w:left w:val="nil"/>
              <w:bottom w:val="nil"/>
              <w:right w:val="nil"/>
            </w:tcBorders>
          </w:tcPr>
          <w:p w14:paraId="1E6871D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(-4.03)</w:t>
            </w:r>
          </w:p>
        </w:tc>
        <w:tc>
          <w:tcPr>
            <w:tcW w:w="1506" w:type="dxa"/>
            <w:tcBorders>
              <w:top w:val="nil"/>
              <w:left w:val="nil"/>
              <w:bottom w:val="nil"/>
              <w:right w:val="nil"/>
            </w:tcBorders>
          </w:tcPr>
          <w:p w14:paraId="27E39CF2"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(-2.49)</w:t>
            </w:r>
          </w:p>
        </w:tc>
        <w:tc>
          <w:tcPr>
            <w:tcW w:w="1506" w:type="dxa"/>
            <w:tcBorders>
              <w:top w:val="nil"/>
              <w:left w:val="nil"/>
              <w:bottom w:val="nil"/>
              <w:right w:val="nil"/>
            </w:tcBorders>
          </w:tcPr>
          <w:p w14:paraId="6208BBF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(-2.10)</w:t>
            </w:r>
          </w:p>
        </w:tc>
        <w:tc>
          <w:tcPr>
            <w:tcW w:w="1506" w:type="dxa"/>
            <w:tcBorders>
              <w:top w:val="nil"/>
              <w:left w:val="nil"/>
              <w:bottom w:val="nil"/>
              <w:right w:val="nil"/>
            </w:tcBorders>
          </w:tcPr>
          <w:p w14:paraId="041FDA96"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(-1.75)</w:t>
            </w:r>
          </w:p>
        </w:tc>
        <w:tc>
          <w:tcPr>
            <w:tcW w:w="1506" w:type="dxa"/>
            <w:tcBorders>
              <w:top w:val="nil"/>
              <w:left w:val="nil"/>
              <w:bottom w:val="nil"/>
              <w:right w:val="nil"/>
            </w:tcBorders>
          </w:tcPr>
          <w:p w14:paraId="5511568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(-1.67)</w:t>
            </w:r>
          </w:p>
        </w:tc>
      </w:tr>
      <w:tr w:rsidR="00855D6D" w:rsidRPr="00FC4315" w14:paraId="3C4A783B" w14:textId="77777777" w:rsidTr="001C4F74">
        <w:tc>
          <w:tcPr>
            <w:tcW w:w="1933" w:type="dxa"/>
            <w:tcBorders>
              <w:top w:val="nil"/>
              <w:left w:val="nil"/>
              <w:bottom w:val="nil"/>
              <w:right w:val="nil"/>
            </w:tcBorders>
          </w:tcPr>
          <w:p w14:paraId="1FB2E05F"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2C5661E6"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08F66FAD"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7126FF62"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00205402"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73437883"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7E7324BC"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22554526"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r>
      <w:tr w:rsidR="00855D6D" w:rsidRPr="00FC4315" w14:paraId="424051CD" w14:textId="77777777" w:rsidTr="001C4F74">
        <w:tc>
          <w:tcPr>
            <w:tcW w:w="1933" w:type="dxa"/>
            <w:tcBorders>
              <w:top w:val="nil"/>
              <w:left w:val="nil"/>
              <w:bottom w:val="nil"/>
              <w:right w:val="nil"/>
            </w:tcBorders>
          </w:tcPr>
          <w:p w14:paraId="0FF33678"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r w:rsidRPr="00305362">
              <w:rPr>
                <w:rFonts w:ascii="Times New Roman" w:hAnsi="Times New Roman" w:cs="Times New Roman"/>
                <w:sz w:val="20"/>
                <w:szCs w:val="20"/>
                <w:lang w:val="en-US"/>
              </w:rPr>
              <w:t>Log real GDP</w:t>
            </w:r>
          </w:p>
        </w:tc>
        <w:tc>
          <w:tcPr>
            <w:tcW w:w="1505" w:type="dxa"/>
            <w:tcBorders>
              <w:top w:val="nil"/>
              <w:left w:val="nil"/>
              <w:bottom w:val="nil"/>
              <w:right w:val="nil"/>
            </w:tcBorders>
          </w:tcPr>
          <w:p w14:paraId="007D549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6321F04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-0.00739</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280BB713"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647B2CB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-0.00618</w:t>
            </w:r>
          </w:p>
        </w:tc>
        <w:tc>
          <w:tcPr>
            <w:tcW w:w="1506" w:type="dxa"/>
            <w:tcBorders>
              <w:top w:val="nil"/>
              <w:left w:val="nil"/>
              <w:bottom w:val="nil"/>
              <w:right w:val="nil"/>
            </w:tcBorders>
          </w:tcPr>
          <w:p w14:paraId="646E658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-0.00242</w:t>
            </w:r>
          </w:p>
        </w:tc>
        <w:tc>
          <w:tcPr>
            <w:tcW w:w="1506" w:type="dxa"/>
            <w:tcBorders>
              <w:top w:val="nil"/>
              <w:left w:val="nil"/>
              <w:bottom w:val="nil"/>
              <w:right w:val="nil"/>
            </w:tcBorders>
          </w:tcPr>
          <w:p w14:paraId="7A38F295"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-0.000321</w:t>
            </w:r>
          </w:p>
        </w:tc>
        <w:tc>
          <w:tcPr>
            <w:tcW w:w="1506" w:type="dxa"/>
            <w:tcBorders>
              <w:top w:val="nil"/>
              <w:left w:val="nil"/>
              <w:bottom w:val="nil"/>
              <w:right w:val="nil"/>
            </w:tcBorders>
          </w:tcPr>
          <w:p w14:paraId="75BF2D78"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0.00102</w:t>
            </w:r>
          </w:p>
        </w:tc>
      </w:tr>
      <w:tr w:rsidR="00855D6D" w:rsidRPr="00FC4315" w14:paraId="61A9CF11" w14:textId="77777777" w:rsidTr="001C4F74">
        <w:tc>
          <w:tcPr>
            <w:tcW w:w="1933" w:type="dxa"/>
            <w:tcBorders>
              <w:top w:val="nil"/>
              <w:left w:val="nil"/>
              <w:bottom w:val="nil"/>
              <w:right w:val="nil"/>
            </w:tcBorders>
          </w:tcPr>
          <w:p w14:paraId="388EED08"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5E28114A"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422C255D"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(-2.14)</w:t>
            </w:r>
          </w:p>
        </w:tc>
        <w:tc>
          <w:tcPr>
            <w:tcW w:w="1506" w:type="dxa"/>
            <w:tcBorders>
              <w:top w:val="nil"/>
              <w:left w:val="nil"/>
              <w:bottom w:val="nil"/>
              <w:right w:val="nil"/>
            </w:tcBorders>
          </w:tcPr>
          <w:p w14:paraId="32A246B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167EA8FA"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(-1.62)</w:t>
            </w:r>
          </w:p>
        </w:tc>
        <w:tc>
          <w:tcPr>
            <w:tcW w:w="1506" w:type="dxa"/>
            <w:tcBorders>
              <w:top w:val="nil"/>
              <w:left w:val="nil"/>
              <w:bottom w:val="nil"/>
              <w:right w:val="nil"/>
            </w:tcBorders>
          </w:tcPr>
          <w:p w14:paraId="14254CE6"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(-0.61)</w:t>
            </w:r>
          </w:p>
        </w:tc>
        <w:tc>
          <w:tcPr>
            <w:tcW w:w="1506" w:type="dxa"/>
            <w:tcBorders>
              <w:top w:val="nil"/>
              <w:left w:val="nil"/>
              <w:bottom w:val="nil"/>
              <w:right w:val="nil"/>
            </w:tcBorders>
          </w:tcPr>
          <w:p w14:paraId="7603D15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(-0.08)</w:t>
            </w:r>
          </w:p>
        </w:tc>
        <w:tc>
          <w:tcPr>
            <w:tcW w:w="1506" w:type="dxa"/>
            <w:tcBorders>
              <w:top w:val="nil"/>
              <w:left w:val="nil"/>
              <w:bottom w:val="nil"/>
              <w:right w:val="nil"/>
            </w:tcBorders>
          </w:tcPr>
          <w:p w14:paraId="0B83FDBC"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(0.25)</w:t>
            </w:r>
          </w:p>
        </w:tc>
      </w:tr>
      <w:tr w:rsidR="00855D6D" w:rsidRPr="00FC4315" w14:paraId="2AA26F2F" w14:textId="77777777" w:rsidTr="001C4F74">
        <w:tc>
          <w:tcPr>
            <w:tcW w:w="1933" w:type="dxa"/>
            <w:tcBorders>
              <w:top w:val="nil"/>
              <w:left w:val="nil"/>
              <w:bottom w:val="nil"/>
              <w:right w:val="nil"/>
            </w:tcBorders>
          </w:tcPr>
          <w:p w14:paraId="4A799ABD"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36321D27"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3B952880"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643F8D57"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751E3073"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2235908F"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7BF77D43"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608D5FD6"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r>
      <w:tr w:rsidR="00855D6D" w:rsidRPr="00FC4315" w14:paraId="6D1C2F4E" w14:textId="77777777" w:rsidTr="001C4F74">
        <w:tc>
          <w:tcPr>
            <w:tcW w:w="1933" w:type="dxa"/>
            <w:tcBorders>
              <w:top w:val="nil"/>
              <w:left w:val="nil"/>
              <w:bottom w:val="nil"/>
              <w:right w:val="nil"/>
            </w:tcBorders>
          </w:tcPr>
          <w:p w14:paraId="34901AC4"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r w:rsidRPr="00305362">
              <w:rPr>
                <w:rFonts w:ascii="Times New Roman" w:hAnsi="Times New Roman" w:cs="Times New Roman"/>
                <w:sz w:val="20"/>
                <w:szCs w:val="20"/>
                <w:lang w:val="en-US"/>
              </w:rPr>
              <w:t>Log population density</w:t>
            </w:r>
          </w:p>
        </w:tc>
        <w:tc>
          <w:tcPr>
            <w:tcW w:w="1505" w:type="dxa"/>
            <w:tcBorders>
              <w:top w:val="nil"/>
              <w:left w:val="nil"/>
              <w:bottom w:val="nil"/>
              <w:right w:val="nil"/>
            </w:tcBorders>
          </w:tcPr>
          <w:p w14:paraId="175FAFFD"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4CEF4E22"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1395444C"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-0.00312</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6069D832"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-0.00215</w:t>
            </w:r>
          </w:p>
        </w:tc>
        <w:tc>
          <w:tcPr>
            <w:tcW w:w="1506" w:type="dxa"/>
            <w:tcBorders>
              <w:top w:val="nil"/>
              <w:left w:val="nil"/>
              <w:bottom w:val="nil"/>
              <w:right w:val="nil"/>
            </w:tcBorders>
          </w:tcPr>
          <w:p w14:paraId="5797E608"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-0.00297</w:t>
            </w:r>
          </w:p>
        </w:tc>
        <w:tc>
          <w:tcPr>
            <w:tcW w:w="1506" w:type="dxa"/>
            <w:tcBorders>
              <w:top w:val="nil"/>
              <w:left w:val="nil"/>
              <w:bottom w:val="nil"/>
              <w:right w:val="nil"/>
            </w:tcBorders>
          </w:tcPr>
          <w:p w14:paraId="7960A203"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-0.00257</w:t>
            </w:r>
          </w:p>
        </w:tc>
        <w:tc>
          <w:tcPr>
            <w:tcW w:w="1506" w:type="dxa"/>
            <w:tcBorders>
              <w:top w:val="nil"/>
              <w:left w:val="nil"/>
              <w:bottom w:val="nil"/>
              <w:right w:val="nil"/>
            </w:tcBorders>
          </w:tcPr>
          <w:p w14:paraId="0B34368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-0.00297</w:t>
            </w:r>
            <w:r w:rsidRPr="00305362">
              <w:rPr>
                <w:rFonts w:ascii="Times New Roman" w:hAnsi="Times New Roman" w:cs="Times New Roman"/>
                <w:sz w:val="20"/>
                <w:szCs w:val="20"/>
                <w:vertAlign w:val="superscript"/>
                <w:lang w:val="en-US"/>
              </w:rPr>
              <w:t>*</w:t>
            </w:r>
          </w:p>
        </w:tc>
      </w:tr>
      <w:tr w:rsidR="00855D6D" w:rsidRPr="00FC4315" w14:paraId="44164414" w14:textId="77777777" w:rsidTr="001C4F74">
        <w:tc>
          <w:tcPr>
            <w:tcW w:w="1933" w:type="dxa"/>
            <w:tcBorders>
              <w:top w:val="nil"/>
              <w:left w:val="nil"/>
              <w:bottom w:val="nil"/>
              <w:right w:val="nil"/>
            </w:tcBorders>
          </w:tcPr>
          <w:p w14:paraId="6D4FBCDE"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270D827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4C52E5C6"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2345AEE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(-1.84)</w:t>
            </w:r>
          </w:p>
        </w:tc>
        <w:tc>
          <w:tcPr>
            <w:tcW w:w="1506" w:type="dxa"/>
            <w:tcBorders>
              <w:top w:val="nil"/>
              <w:left w:val="nil"/>
              <w:bottom w:val="nil"/>
              <w:right w:val="nil"/>
            </w:tcBorders>
          </w:tcPr>
          <w:p w14:paraId="4353A2D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(-1.18)</w:t>
            </w:r>
          </w:p>
        </w:tc>
        <w:tc>
          <w:tcPr>
            <w:tcW w:w="1506" w:type="dxa"/>
            <w:tcBorders>
              <w:top w:val="nil"/>
              <w:left w:val="nil"/>
              <w:bottom w:val="nil"/>
              <w:right w:val="nil"/>
            </w:tcBorders>
          </w:tcPr>
          <w:p w14:paraId="7A9A100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(-1.61)</w:t>
            </w:r>
          </w:p>
        </w:tc>
        <w:tc>
          <w:tcPr>
            <w:tcW w:w="1506" w:type="dxa"/>
            <w:tcBorders>
              <w:top w:val="nil"/>
              <w:left w:val="nil"/>
              <w:bottom w:val="nil"/>
              <w:right w:val="nil"/>
            </w:tcBorders>
          </w:tcPr>
          <w:p w14:paraId="0365D029"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(-1.57)</w:t>
            </w:r>
          </w:p>
        </w:tc>
        <w:tc>
          <w:tcPr>
            <w:tcW w:w="1506" w:type="dxa"/>
            <w:tcBorders>
              <w:top w:val="nil"/>
              <w:left w:val="nil"/>
              <w:bottom w:val="nil"/>
              <w:right w:val="nil"/>
            </w:tcBorders>
          </w:tcPr>
          <w:p w14:paraId="73EF72DB"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(-1.69)</w:t>
            </w:r>
          </w:p>
        </w:tc>
      </w:tr>
      <w:tr w:rsidR="00855D6D" w:rsidRPr="00FC4315" w14:paraId="7484023C" w14:textId="77777777" w:rsidTr="001C4F74">
        <w:tc>
          <w:tcPr>
            <w:tcW w:w="1933" w:type="dxa"/>
            <w:tcBorders>
              <w:top w:val="nil"/>
              <w:left w:val="nil"/>
              <w:bottom w:val="nil"/>
              <w:right w:val="nil"/>
            </w:tcBorders>
          </w:tcPr>
          <w:p w14:paraId="253E8B4F"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6B731995"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39A958B3"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30BC9056"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4CFA0DC1"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2FEE8F23"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6DF60C60"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1345B6D7"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r>
      <w:tr w:rsidR="00855D6D" w:rsidRPr="00FC4315" w14:paraId="044FF396" w14:textId="77777777" w:rsidTr="001C4F74">
        <w:tc>
          <w:tcPr>
            <w:tcW w:w="1933" w:type="dxa"/>
            <w:tcBorders>
              <w:top w:val="nil"/>
              <w:left w:val="nil"/>
              <w:bottom w:val="nil"/>
              <w:right w:val="nil"/>
            </w:tcBorders>
          </w:tcPr>
          <w:p w14:paraId="0756B77A"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r w:rsidRPr="00305362">
              <w:rPr>
                <w:rFonts w:ascii="Times New Roman" w:hAnsi="Times New Roman" w:cs="Times New Roman"/>
                <w:sz w:val="20"/>
                <w:szCs w:val="20"/>
                <w:lang w:val="en-US"/>
              </w:rPr>
              <w:t>Trust</w:t>
            </w:r>
          </w:p>
        </w:tc>
        <w:tc>
          <w:tcPr>
            <w:tcW w:w="1505" w:type="dxa"/>
            <w:tcBorders>
              <w:top w:val="nil"/>
              <w:left w:val="nil"/>
              <w:bottom w:val="nil"/>
              <w:right w:val="nil"/>
            </w:tcBorders>
          </w:tcPr>
          <w:p w14:paraId="24C98A9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62D61FA3"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4B88A22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53C2A31D"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6CF878A8"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-0.0285</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1339BF2B"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29678B18"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-0.0155</w:t>
            </w:r>
          </w:p>
        </w:tc>
      </w:tr>
      <w:tr w:rsidR="00855D6D" w:rsidRPr="00FC4315" w14:paraId="6C2AA048" w14:textId="77777777" w:rsidTr="001C4F74">
        <w:tc>
          <w:tcPr>
            <w:tcW w:w="1933" w:type="dxa"/>
            <w:tcBorders>
              <w:top w:val="nil"/>
              <w:left w:val="nil"/>
              <w:bottom w:val="nil"/>
              <w:right w:val="nil"/>
            </w:tcBorders>
          </w:tcPr>
          <w:p w14:paraId="0A406922"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640DF432"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065E20DF"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641FC468"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31BEA8D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7A61136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(-2.02)</w:t>
            </w:r>
          </w:p>
        </w:tc>
        <w:tc>
          <w:tcPr>
            <w:tcW w:w="1506" w:type="dxa"/>
            <w:tcBorders>
              <w:top w:val="nil"/>
              <w:left w:val="nil"/>
              <w:bottom w:val="nil"/>
              <w:right w:val="nil"/>
            </w:tcBorders>
          </w:tcPr>
          <w:p w14:paraId="79315C0F"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75A593F9"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(-0.98)</w:t>
            </w:r>
          </w:p>
        </w:tc>
      </w:tr>
      <w:tr w:rsidR="00855D6D" w:rsidRPr="00FC4315" w14:paraId="3DDB227B" w14:textId="77777777" w:rsidTr="001C4F74">
        <w:tc>
          <w:tcPr>
            <w:tcW w:w="1933" w:type="dxa"/>
            <w:tcBorders>
              <w:top w:val="nil"/>
              <w:left w:val="nil"/>
              <w:bottom w:val="nil"/>
              <w:right w:val="nil"/>
            </w:tcBorders>
          </w:tcPr>
          <w:p w14:paraId="3A53C87E"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3B3F57A0"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08116467"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1E457DA4"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6AF1B539"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55C231D5"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15FEA866"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658F19BC"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r>
      <w:tr w:rsidR="00855D6D" w:rsidRPr="00FC4315" w14:paraId="0ABD7ABA" w14:textId="77777777" w:rsidTr="001C4F74">
        <w:tc>
          <w:tcPr>
            <w:tcW w:w="1933" w:type="dxa"/>
            <w:tcBorders>
              <w:top w:val="nil"/>
              <w:left w:val="nil"/>
              <w:bottom w:val="nil"/>
              <w:right w:val="nil"/>
            </w:tcBorders>
          </w:tcPr>
          <w:p w14:paraId="1AC692B7"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r w:rsidRPr="00305362">
              <w:rPr>
                <w:rFonts w:ascii="Times New Roman" w:hAnsi="Times New Roman" w:cs="Times New Roman"/>
                <w:sz w:val="20"/>
                <w:szCs w:val="20"/>
                <w:lang w:val="en-US"/>
              </w:rPr>
              <w:t>Quality of government</w:t>
            </w:r>
          </w:p>
        </w:tc>
        <w:tc>
          <w:tcPr>
            <w:tcW w:w="1505" w:type="dxa"/>
            <w:tcBorders>
              <w:top w:val="nil"/>
              <w:left w:val="nil"/>
              <w:bottom w:val="nil"/>
              <w:right w:val="nil"/>
            </w:tcBorders>
          </w:tcPr>
          <w:p w14:paraId="4EF73BA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7DB7CF2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0F92FD7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1511655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57688DAB"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610FD0A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-0.000333</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36C3A5D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-0.000293</w:t>
            </w:r>
            <w:r w:rsidRPr="00305362">
              <w:rPr>
                <w:rFonts w:ascii="Times New Roman" w:hAnsi="Times New Roman" w:cs="Times New Roman"/>
                <w:sz w:val="20"/>
                <w:szCs w:val="20"/>
                <w:vertAlign w:val="superscript"/>
                <w:lang w:val="en-US"/>
              </w:rPr>
              <w:t>**</w:t>
            </w:r>
          </w:p>
        </w:tc>
      </w:tr>
      <w:tr w:rsidR="00855D6D" w:rsidRPr="00FC4315" w14:paraId="4FA15C8B" w14:textId="77777777" w:rsidTr="001C4F74">
        <w:tc>
          <w:tcPr>
            <w:tcW w:w="1933" w:type="dxa"/>
            <w:tcBorders>
              <w:top w:val="nil"/>
              <w:left w:val="nil"/>
              <w:bottom w:val="nil"/>
              <w:right w:val="nil"/>
            </w:tcBorders>
          </w:tcPr>
          <w:p w14:paraId="2219FAB4"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59B389A8"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57B4C9B2"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4DAA9F6F"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25B34323"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69235913"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6" w:type="dxa"/>
            <w:tcBorders>
              <w:top w:val="nil"/>
              <w:left w:val="nil"/>
              <w:bottom w:val="nil"/>
              <w:right w:val="nil"/>
            </w:tcBorders>
          </w:tcPr>
          <w:p w14:paraId="0C1D130F"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(-3.07)</w:t>
            </w:r>
          </w:p>
        </w:tc>
        <w:tc>
          <w:tcPr>
            <w:tcW w:w="1506" w:type="dxa"/>
            <w:tcBorders>
              <w:top w:val="nil"/>
              <w:left w:val="nil"/>
              <w:bottom w:val="nil"/>
              <w:right w:val="nil"/>
            </w:tcBorders>
          </w:tcPr>
          <w:p w14:paraId="5270E22B"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(-2.45)</w:t>
            </w:r>
          </w:p>
        </w:tc>
      </w:tr>
      <w:tr w:rsidR="00855D6D" w:rsidRPr="00FC4315" w14:paraId="6D06B34E" w14:textId="77777777" w:rsidTr="001C4F74">
        <w:tc>
          <w:tcPr>
            <w:tcW w:w="1933" w:type="dxa"/>
            <w:tcBorders>
              <w:top w:val="nil"/>
              <w:left w:val="nil"/>
              <w:bottom w:val="nil"/>
              <w:right w:val="nil"/>
            </w:tcBorders>
          </w:tcPr>
          <w:p w14:paraId="7C6820ED"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nil"/>
              <w:right w:val="nil"/>
            </w:tcBorders>
          </w:tcPr>
          <w:p w14:paraId="41C41B89"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1B611EEE"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77EC40DD"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3D81452A"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23471EDF"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7A7816D7"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6" w:type="dxa"/>
            <w:tcBorders>
              <w:top w:val="nil"/>
              <w:left w:val="nil"/>
              <w:bottom w:val="nil"/>
              <w:right w:val="nil"/>
            </w:tcBorders>
          </w:tcPr>
          <w:p w14:paraId="6C114165"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r>
      <w:tr w:rsidR="00855D6D" w:rsidRPr="00FC4315" w14:paraId="6F1F6258" w14:textId="77777777" w:rsidTr="001C4F74">
        <w:tc>
          <w:tcPr>
            <w:tcW w:w="1933" w:type="dxa"/>
            <w:tcBorders>
              <w:top w:val="nil"/>
              <w:left w:val="nil"/>
              <w:bottom w:val="nil"/>
              <w:right w:val="nil"/>
            </w:tcBorders>
          </w:tcPr>
          <w:p w14:paraId="35199BAA"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r w:rsidRPr="00305362">
              <w:rPr>
                <w:rFonts w:ascii="Times New Roman" w:hAnsi="Times New Roman" w:cs="Times New Roman"/>
                <w:sz w:val="20"/>
                <w:szCs w:val="20"/>
                <w:lang w:val="en-US"/>
              </w:rPr>
              <w:t>Constant</w:t>
            </w:r>
          </w:p>
        </w:tc>
        <w:tc>
          <w:tcPr>
            <w:tcW w:w="1505" w:type="dxa"/>
            <w:tcBorders>
              <w:top w:val="nil"/>
              <w:left w:val="nil"/>
              <w:bottom w:val="nil"/>
              <w:right w:val="nil"/>
            </w:tcBorders>
          </w:tcPr>
          <w:p w14:paraId="3275AAFD"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0.104</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672D8AC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0.176</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59317FC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0.121</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5AFF074C"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0.176</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04C7D5F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0.153</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01671E2D"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0.142</w:t>
            </w:r>
            <w:r w:rsidRPr="00305362">
              <w:rPr>
                <w:rFonts w:ascii="Times New Roman" w:hAnsi="Times New Roman" w:cs="Times New Roman"/>
                <w:sz w:val="20"/>
                <w:szCs w:val="20"/>
                <w:vertAlign w:val="superscript"/>
                <w:lang w:val="en-US"/>
              </w:rPr>
              <w:t>***</w:t>
            </w:r>
          </w:p>
        </w:tc>
        <w:tc>
          <w:tcPr>
            <w:tcW w:w="1506" w:type="dxa"/>
            <w:tcBorders>
              <w:top w:val="nil"/>
              <w:left w:val="nil"/>
              <w:bottom w:val="nil"/>
              <w:right w:val="nil"/>
            </w:tcBorders>
          </w:tcPr>
          <w:p w14:paraId="6BFD4A7C"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0.134</w:t>
            </w:r>
            <w:r w:rsidRPr="00305362">
              <w:rPr>
                <w:rFonts w:ascii="Times New Roman" w:hAnsi="Times New Roman" w:cs="Times New Roman"/>
                <w:sz w:val="20"/>
                <w:szCs w:val="20"/>
                <w:vertAlign w:val="superscript"/>
                <w:lang w:val="en-US"/>
              </w:rPr>
              <w:t>***</w:t>
            </w:r>
          </w:p>
        </w:tc>
      </w:tr>
      <w:tr w:rsidR="00855D6D" w:rsidRPr="00FC4315" w14:paraId="4D6FA013" w14:textId="77777777" w:rsidTr="001C4F74">
        <w:tc>
          <w:tcPr>
            <w:tcW w:w="1933" w:type="dxa"/>
            <w:tcBorders>
              <w:top w:val="nil"/>
              <w:left w:val="nil"/>
              <w:bottom w:val="single" w:sz="4" w:space="0" w:color="auto"/>
              <w:right w:val="nil"/>
            </w:tcBorders>
          </w:tcPr>
          <w:p w14:paraId="220CB38B"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sz w:val="20"/>
                <w:szCs w:val="20"/>
                <w:lang w:val="en-US"/>
              </w:rPr>
            </w:pPr>
          </w:p>
        </w:tc>
        <w:tc>
          <w:tcPr>
            <w:tcW w:w="1505" w:type="dxa"/>
            <w:tcBorders>
              <w:top w:val="nil"/>
              <w:left w:val="nil"/>
              <w:bottom w:val="single" w:sz="4" w:space="0" w:color="auto"/>
              <w:right w:val="nil"/>
            </w:tcBorders>
          </w:tcPr>
          <w:p w14:paraId="5C50B2C9"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(52.91)</w:t>
            </w:r>
          </w:p>
        </w:tc>
        <w:tc>
          <w:tcPr>
            <w:tcW w:w="1506" w:type="dxa"/>
            <w:tcBorders>
              <w:top w:val="nil"/>
              <w:left w:val="nil"/>
              <w:bottom w:val="single" w:sz="4" w:space="0" w:color="auto"/>
              <w:right w:val="nil"/>
            </w:tcBorders>
          </w:tcPr>
          <w:p w14:paraId="1EE7BA5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(5.19)</w:t>
            </w:r>
          </w:p>
        </w:tc>
        <w:tc>
          <w:tcPr>
            <w:tcW w:w="1506" w:type="dxa"/>
            <w:tcBorders>
              <w:top w:val="nil"/>
              <w:left w:val="nil"/>
              <w:bottom w:val="single" w:sz="4" w:space="0" w:color="auto"/>
              <w:right w:val="nil"/>
            </w:tcBorders>
          </w:tcPr>
          <w:p w14:paraId="3AE35B1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(12.79)</w:t>
            </w:r>
          </w:p>
        </w:tc>
        <w:tc>
          <w:tcPr>
            <w:tcW w:w="1506" w:type="dxa"/>
            <w:tcBorders>
              <w:top w:val="nil"/>
              <w:left w:val="nil"/>
              <w:bottom w:val="single" w:sz="4" w:space="0" w:color="auto"/>
              <w:right w:val="nil"/>
            </w:tcBorders>
          </w:tcPr>
          <w:p w14:paraId="3F2B4F63"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(5.15)</w:t>
            </w:r>
          </w:p>
        </w:tc>
        <w:tc>
          <w:tcPr>
            <w:tcW w:w="1506" w:type="dxa"/>
            <w:tcBorders>
              <w:top w:val="nil"/>
              <w:left w:val="nil"/>
              <w:bottom w:val="single" w:sz="4" w:space="0" w:color="auto"/>
              <w:right w:val="nil"/>
            </w:tcBorders>
          </w:tcPr>
          <w:p w14:paraId="7B91595C"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(4.59)</w:t>
            </w:r>
          </w:p>
        </w:tc>
        <w:tc>
          <w:tcPr>
            <w:tcW w:w="1506" w:type="dxa"/>
            <w:tcBorders>
              <w:top w:val="nil"/>
              <w:left w:val="nil"/>
              <w:bottom w:val="single" w:sz="4" w:space="0" w:color="auto"/>
              <w:right w:val="nil"/>
            </w:tcBorders>
          </w:tcPr>
          <w:p w14:paraId="121E1AC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(4.23)</w:t>
            </w:r>
          </w:p>
        </w:tc>
        <w:tc>
          <w:tcPr>
            <w:tcW w:w="1506" w:type="dxa"/>
            <w:tcBorders>
              <w:top w:val="nil"/>
              <w:left w:val="nil"/>
              <w:bottom w:val="single" w:sz="4" w:space="0" w:color="auto"/>
              <w:right w:val="nil"/>
            </w:tcBorders>
          </w:tcPr>
          <w:p w14:paraId="27F71865"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(3.97)</w:t>
            </w:r>
          </w:p>
        </w:tc>
      </w:tr>
      <w:tr w:rsidR="00855D6D" w:rsidRPr="00FC4315" w14:paraId="034D2D4D" w14:textId="77777777" w:rsidTr="001C4F74">
        <w:tc>
          <w:tcPr>
            <w:tcW w:w="1933" w:type="dxa"/>
            <w:tcBorders>
              <w:top w:val="single" w:sz="4" w:space="0" w:color="auto"/>
              <w:left w:val="nil"/>
              <w:right w:val="nil"/>
            </w:tcBorders>
          </w:tcPr>
          <w:p w14:paraId="4E5CDA62"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i/>
                <w:iCs/>
                <w:sz w:val="20"/>
                <w:szCs w:val="20"/>
                <w:lang w:val="en-US"/>
              </w:rPr>
            </w:pPr>
            <w:r w:rsidRPr="00305362">
              <w:rPr>
                <w:rFonts w:ascii="Times New Roman" w:hAnsi="Times New Roman" w:cs="Times New Roman"/>
                <w:i/>
                <w:iCs/>
                <w:sz w:val="20"/>
                <w:szCs w:val="20"/>
                <w:lang w:val="en-US"/>
              </w:rPr>
              <w:t>Observations</w:t>
            </w:r>
          </w:p>
        </w:tc>
        <w:tc>
          <w:tcPr>
            <w:tcW w:w="1505" w:type="dxa"/>
            <w:tcBorders>
              <w:top w:val="single" w:sz="4" w:space="0" w:color="auto"/>
              <w:left w:val="nil"/>
              <w:right w:val="nil"/>
            </w:tcBorders>
          </w:tcPr>
          <w:p w14:paraId="5B32C78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106</w:t>
            </w:r>
          </w:p>
        </w:tc>
        <w:tc>
          <w:tcPr>
            <w:tcW w:w="1506" w:type="dxa"/>
            <w:tcBorders>
              <w:top w:val="single" w:sz="4" w:space="0" w:color="auto"/>
              <w:left w:val="nil"/>
              <w:right w:val="nil"/>
            </w:tcBorders>
          </w:tcPr>
          <w:p w14:paraId="461C7AE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106</w:t>
            </w:r>
          </w:p>
        </w:tc>
        <w:tc>
          <w:tcPr>
            <w:tcW w:w="1506" w:type="dxa"/>
            <w:tcBorders>
              <w:top w:val="single" w:sz="4" w:space="0" w:color="auto"/>
              <w:left w:val="nil"/>
              <w:right w:val="nil"/>
            </w:tcBorders>
          </w:tcPr>
          <w:p w14:paraId="4DA3BDF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106</w:t>
            </w:r>
          </w:p>
        </w:tc>
        <w:tc>
          <w:tcPr>
            <w:tcW w:w="1506" w:type="dxa"/>
            <w:tcBorders>
              <w:top w:val="single" w:sz="4" w:space="0" w:color="auto"/>
              <w:left w:val="nil"/>
              <w:right w:val="nil"/>
            </w:tcBorders>
          </w:tcPr>
          <w:p w14:paraId="1DBC9D7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106</w:t>
            </w:r>
          </w:p>
        </w:tc>
        <w:tc>
          <w:tcPr>
            <w:tcW w:w="1506" w:type="dxa"/>
            <w:tcBorders>
              <w:top w:val="single" w:sz="4" w:space="0" w:color="auto"/>
              <w:left w:val="nil"/>
              <w:right w:val="nil"/>
            </w:tcBorders>
          </w:tcPr>
          <w:p w14:paraId="67F13F5C"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106</w:t>
            </w:r>
          </w:p>
        </w:tc>
        <w:tc>
          <w:tcPr>
            <w:tcW w:w="1506" w:type="dxa"/>
            <w:tcBorders>
              <w:top w:val="single" w:sz="4" w:space="0" w:color="auto"/>
              <w:left w:val="nil"/>
              <w:right w:val="nil"/>
            </w:tcBorders>
          </w:tcPr>
          <w:p w14:paraId="2D188C8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106</w:t>
            </w:r>
          </w:p>
        </w:tc>
        <w:tc>
          <w:tcPr>
            <w:tcW w:w="1506" w:type="dxa"/>
            <w:tcBorders>
              <w:top w:val="single" w:sz="4" w:space="0" w:color="auto"/>
              <w:left w:val="nil"/>
              <w:right w:val="nil"/>
            </w:tcBorders>
          </w:tcPr>
          <w:p w14:paraId="21D4FF27"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106</w:t>
            </w:r>
          </w:p>
        </w:tc>
      </w:tr>
      <w:tr w:rsidR="00855D6D" w:rsidRPr="00FC4315" w14:paraId="6CC5221A" w14:textId="77777777" w:rsidTr="001C4F74">
        <w:tc>
          <w:tcPr>
            <w:tcW w:w="1933" w:type="dxa"/>
            <w:tcBorders>
              <w:left w:val="nil"/>
              <w:bottom w:val="nil"/>
              <w:right w:val="nil"/>
            </w:tcBorders>
          </w:tcPr>
          <w:p w14:paraId="42CF83F1"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i/>
                <w:iCs/>
                <w:sz w:val="20"/>
                <w:szCs w:val="20"/>
                <w:lang w:val="en-US"/>
              </w:rPr>
            </w:pPr>
            <w:r w:rsidRPr="00305362">
              <w:rPr>
                <w:rFonts w:ascii="Times New Roman" w:hAnsi="Times New Roman" w:cs="Times New Roman"/>
                <w:i/>
                <w:iCs/>
                <w:sz w:val="20"/>
                <w:szCs w:val="20"/>
                <w:lang w:val="en-US"/>
              </w:rPr>
              <w:t>Largest VIF</w:t>
            </w:r>
          </w:p>
        </w:tc>
        <w:tc>
          <w:tcPr>
            <w:tcW w:w="1505" w:type="dxa"/>
            <w:tcBorders>
              <w:left w:val="nil"/>
              <w:bottom w:val="nil"/>
              <w:right w:val="nil"/>
            </w:tcBorders>
          </w:tcPr>
          <w:p w14:paraId="2E058B65"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w:t>
            </w:r>
          </w:p>
        </w:tc>
        <w:tc>
          <w:tcPr>
            <w:tcW w:w="1506" w:type="dxa"/>
            <w:tcBorders>
              <w:left w:val="nil"/>
              <w:bottom w:val="nil"/>
              <w:right w:val="nil"/>
            </w:tcBorders>
          </w:tcPr>
          <w:p w14:paraId="25C1802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1.27</w:t>
            </w:r>
          </w:p>
        </w:tc>
        <w:tc>
          <w:tcPr>
            <w:tcW w:w="1506" w:type="dxa"/>
            <w:tcBorders>
              <w:left w:val="nil"/>
              <w:bottom w:val="nil"/>
              <w:right w:val="nil"/>
            </w:tcBorders>
          </w:tcPr>
          <w:p w14:paraId="0B5F1A1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1.02</w:t>
            </w:r>
          </w:p>
        </w:tc>
        <w:tc>
          <w:tcPr>
            <w:tcW w:w="1506" w:type="dxa"/>
            <w:tcBorders>
              <w:left w:val="nil"/>
              <w:bottom w:val="nil"/>
              <w:right w:val="nil"/>
            </w:tcBorders>
          </w:tcPr>
          <w:p w14:paraId="5A7797E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1.53</w:t>
            </w:r>
          </w:p>
        </w:tc>
        <w:tc>
          <w:tcPr>
            <w:tcW w:w="1506" w:type="dxa"/>
            <w:tcBorders>
              <w:left w:val="nil"/>
              <w:bottom w:val="nil"/>
              <w:right w:val="nil"/>
            </w:tcBorders>
          </w:tcPr>
          <w:p w14:paraId="390A51D4"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2.17</w:t>
            </w:r>
          </w:p>
        </w:tc>
        <w:tc>
          <w:tcPr>
            <w:tcW w:w="1506" w:type="dxa"/>
            <w:tcBorders>
              <w:left w:val="nil"/>
              <w:bottom w:val="nil"/>
              <w:right w:val="nil"/>
            </w:tcBorders>
          </w:tcPr>
          <w:p w14:paraId="5BF2099B"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2.15</w:t>
            </w:r>
          </w:p>
        </w:tc>
        <w:tc>
          <w:tcPr>
            <w:tcW w:w="1506" w:type="dxa"/>
            <w:tcBorders>
              <w:left w:val="nil"/>
              <w:bottom w:val="nil"/>
              <w:right w:val="nil"/>
            </w:tcBorders>
          </w:tcPr>
          <w:p w14:paraId="6F67661C"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2.47</w:t>
            </w:r>
          </w:p>
        </w:tc>
      </w:tr>
      <w:tr w:rsidR="00855D6D" w:rsidRPr="00FC4315" w14:paraId="5FC6A2A3" w14:textId="77777777" w:rsidTr="001C4F74">
        <w:tc>
          <w:tcPr>
            <w:tcW w:w="1933" w:type="dxa"/>
            <w:tcBorders>
              <w:top w:val="nil"/>
              <w:left w:val="nil"/>
              <w:bottom w:val="single" w:sz="4" w:space="0" w:color="auto"/>
              <w:right w:val="nil"/>
            </w:tcBorders>
          </w:tcPr>
          <w:p w14:paraId="61BA28DE" w14:textId="77777777" w:rsidR="00855D6D" w:rsidRPr="00305362" w:rsidRDefault="00855D6D" w:rsidP="001C4F74">
            <w:pPr>
              <w:widowControl w:val="0"/>
              <w:autoSpaceDE w:val="0"/>
              <w:autoSpaceDN w:val="0"/>
              <w:adjustRightInd w:val="0"/>
              <w:spacing w:after="0" w:line="240" w:lineRule="auto"/>
              <w:rPr>
                <w:rFonts w:ascii="Times New Roman" w:hAnsi="Times New Roman" w:cs="Times New Roman"/>
                <w:i/>
                <w:iCs/>
                <w:sz w:val="20"/>
                <w:szCs w:val="20"/>
                <w:lang w:val="en-US"/>
              </w:rPr>
            </w:pPr>
            <w:r w:rsidRPr="00305362">
              <w:rPr>
                <w:rFonts w:ascii="Times New Roman" w:hAnsi="Times New Roman" w:cs="Times New Roman"/>
                <w:i/>
                <w:iCs/>
                <w:sz w:val="20"/>
                <w:szCs w:val="20"/>
                <w:lang w:val="en-US"/>
              </w:rPr>
              <w:t>Adjusted R</w:t>
            </w:r>
            <w:r w:rsidRPr="00305362">
              <w:rPr>
                <w:rFonts w:ascii="Times New Roman" w:hAnsi="Times New Roman" w:cs="Times New Roman"/>
                <w:i/>
                <w:iCs/>
                <w:sz w:val="20"/>
                <w:szCs w:val="20"/>
                <w:vertAlign w:val="superscript"/>
                <w:lang w:val="en-US"/>
              </w:rPr>
              <w:t>2</w:t>
            </w:r>
          </w:p>
        </w:tc>
        <w:tc>
          <w:tcPr>
            <w:tcW w:w="1505" w:type="dxa"/>
            <w:tcBorders>
              <w:top w:val="nil"/>
              <w:left w:val="nil"/>
              <w:bottom w:val="single" w:sz="4" w:space="0" w:color="auto"/>
              <w:right w:val="nil"/>
            </w:tcBorders>
          </w:tcPr>
          <w:p w14:paraId="3DBEBC5E"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0.128</w:t>
            </w:r>
          </w:p>
        </w:tc>
        <w:tc>
          <w:tcPr>
            <w:tcW w:w="1506" w:type="dxa"/>
            <w:tcBorders>
              <w:top w:val="nil"/>
              <w:left w:val="nil"/>
              <w:bottom w:val="single" w:sz="4" w:space="0" w:color="auto"/>
              <w:right w:val="nil"/>
            </w:tcBorders>
          </w:tcPr>
          <w:p w14:paraId="594D3551"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0.164</w:t>
            </w:r>
          </w:p>
        </w:tc>
        <w:tc>
          <w:tcPr>
            <w:tcW w:w="1506" w:type="dxa"/>
            <w:tcBorders>
              <w:top w:val="nil"/>
              <w:left w:val="nil"/>
              <w:bottom w:val="single" w:sz="4" w:space="0" w:color="auto"/>
              <w:right w:val="nil"/>
            </w:tcBorders>
          </w:tcPr>
          <w:p w14:paraId="02035619"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0.148</w:t>
            </w:r>
          </w:p>
        </w:tc>
        <w:tc>
          <w:tcPr>
            <w:tcW w:w="1506" w:type="dxa"/>
            <w:tcBorders>
              <w:top w:val="nil"/>
              <w:left w:val="nil"/>
              <w:bottom w:val="single" w:sz="4" w:space="0" w:color="auto"/>
              <w:right w:val="nil"/>
            </w:tcBorders>
          </w:tcPr>
          <w:p w14:paraId="550A9F4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0.169</w:t>
            </w:r>
          </w:p>
        </w:tc>
        <w:tc>
          <w:tcPr>
            <w:tcW w:w="1506" w:type="dxa"/>
            <w:tcBorders>
              <w:top w:val="nil"/>
              <w:left w:val="nil"/>
              <w:bottom w:val="single" w:sz="4" w:space="0" w:color="auto"/>
              <w:right w:val="nil"/>
            </w:tcBorders>
          </w:tcPr>
          <w:p w14:paraId="138C2D80"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0.187</w:t>
            </w:r>
          </w:p>
        </w:tc>
        <w:tc>
          <w:tcPr>
            <w:tcW w:w="1506" w:type="dxa"/>
            <w:tcBorders>
              <w:top w:val="nil"/>
              <w:left w:val="nil"/>
              <w:bottom w:val="single" w:sz="4" w:space="0" w:color="auto"/>
              <w:right w:val="nil"/>
            </w:tcBorders>
          </w:tcPr>
          <w:p w14:paraId="03BA4A6A" w14:textId="77777777" w:rsidR="00855D6D" w:rsidRPr="00305362" w:rsidRDefault="00855D6D"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0.223</w:t>
            </w:r>
          </w:p>
        </w:tc>
        <w:tc>
          <w:tcPr>
            <w:tcW w:w="1506" w:type="dxa"/>
            <w:tcBorders>
              <w:top w:val="nil"/>
              <w:left w:val="nil"/>
              <w:bottom w:val="single" w:sz="4" w:space="0" w:color="auto"/>
              <w:right w:val="nil"/>
            </w:tcBorders>
          </w:tcPr>
          <w:p w14:paraId="1CC57FDA" w14:textId="77777777" w:rsidR="00855D6D" w:rsidRPr="00305362" w:rsidRDefault="00855D6D" w:rsidP="001C4F74">
            <w:pPr>
              <w:keepNext/>
              <w:widowControl w:val="0"/>
              <w:autoSpaceDE w:val="0"/>
              <w:autoSpaceDN w:val="0"/>
              <w:adjustRightInd w:val="0"/>
              <w:spacing w:after="0" w:line="240" w:lineRule="auto"/>
              <w:jc w:val="center"/>
              <w:rPr>
                <w:rFonts w:ascii="Times New Roman" w:hAnsi="Times New Roman" w:cs="Times New Roman"/>
                <w:sz w:val="20"/>
                <w:szCs w:val="20"/>
                <w:lang w:val="en-US"/>
              </w:rPr>
            </w:pPr>
            <w:r w:rsidRPr="00305362">
              <w:rPr>
                <w:rFonts w:ascii="Times New Roman" w:hAnsi="Times New Roman" w:cs="Times New Roman"/>
                <w:sz w:val="20"/>
                <w:szCs w:val="20"/>
                <w:lang w:val="en-US"/>
              </w:rPr>
              <w:t>0.222</w:t>
            </w:r>
          </w:p>
        </w:tc>
      </w:tr>
    </w:tbl>
    <w:p w14:paraId="625A3C40" w14:textId="77777777" w:rsidR="00855D6D" w:rsidRPr="00FC4315" w:rsidRDefault="00855D6D" w:rsidP="00855D6D">
      <w:pPr>
        <w:pStyle w:val="Didascalia"/>
        <w:rPr>
          <w:rFonts w:ascii="Times New Roman" w:hAnsi="Times New Roman" w:cs="Times New Roman"/>
          <w:b/>
          <w:i w:val="0"/>
          <w:color w:val="auto"/>
          <w:sz w:val="20"/>
          <w:szCs w:val="20"/>
          <w:lang w:val="en-US"/>
        </w:rPr>
      </w:pPr>
      <w:r w:rsidRPr="00FC4315">
        <w:rPr>
          <w:rFonts w:ascii="Times New Roman" w:hAnsi="Times New Roman" w:cs="Times New Roman"/>
          <w:b/>
          <w:i w:val="0"/>
          <w:color w:val="auto"/>
          <w:sz w:val="20"/>
          <w:szCs w:val="20"/>
          <w:lang w:val="en-US"/>
        </w:rPr>
        <w:t xml:space="preserve">Table </w:t>
      </w:r>
      <w:r>
        <w:rPr>
          <w:rFonts w:ascii="Times New Roman" w:hAnsi="Times New Roman" w:cs="Times New Roman"/>
          <w:b/>
          <w:i w:val="0"/>
          <w:color w:val="auto"/>
          <w:sz w:val="20"/>
          <w:szCs w:val="20"/>
          <w:lang w:val="en-US"/>
        </w:rPr>
        <w:t>3</w:t>
      </w:r>
      <w:r w:rsidRPr="00FC4315">
        <w:rPr>
          <w:rFonts w:ascii="Times New Roman" w:hAnsi="Times New Roman" w:cs="Times New Roman"/>
          <w:b/>
          <w:i w:val="0"/>
          <w:color w:val="auto"/>
          <w:sz w:val="20"/>
          <w:szCs w:val="20"/>
          <w:lang w:val="en-US"/>
        </w:rPr>
        <w:t>. Baseline model estimates</w:t>
      </w:r>
    </w:p>
    <w:p w14:paraId="3AD7AC04" w14:textId="6649FD2D" w:rsidR="00855D6D" w:rsidRPr="00855D6D" w:rsidRDefault="00855D6D" w:rsidP="00855D6D">
      <w:pPr>
        <w:ind w:left="397" w:hanging="397"/>
        <w:jc w:val="both"/>
        <w:rPr>
          <w:rFonts w:ascii="Times New Roman" w:hAnsi="Times New Roman" w:cs="Times New Roman"/>
          <w:i/>
          <w:sz w:val="20"/>
          <w:szCs w:val="20"/>
          <w:lang w:val="en-US"/>
        </w:rPr>
      </w:pPr>
      <w:r w:rsidRPr="009A0382">
        <w:rPr>
          <w:rFonts w:ascii="Times New Roman" w:hAnsi="Times New Roman" w:cs="Times New Roman"/>
          <w:i/>
          <w:sz w:val="20"/>
          <w:szCs w:val="20"/>
          <w:lang w:val="en-US"/>
        </w:rPr>
        <w:t xml:space="preserve">Note: </w:t>
      </w:r>
      <w:r>
        <w:rPr>
          <w:rFonts w:ascii="Times New Roman" w:hAnsi="Times New Roman" w:cs="Times New Roman"/>
          <w:i/>
          <w:sz w:val="20"/>
          <w:szCs w:val="20"/>
          <w:lang w:val="en-US"/>
        </w:rPr>
        <w:t xml:space="preserve">t-statistics in parentheses. </w:t>
      </w:r>
      <w:r w:rsidRPr="009A0382">
        <w:rPr>
          <w:rFonts w:ascii="Times New Roman" w:hAnsi="Times New Roman" w:cs="Times New Roman"/>
          <w:i/>
          <w:sz w:val="20"/>
          <w:szCs w:val="20"/>
          <w:lang w:val="en-US"/>
        </w:rPr>
        <w:t>*</w:t>
      </w:r>
      <w:r>
        <w:rPr>
          <w:rFonts w:ascii="Times New Roman" w:hAnsi="Times New Roman" w:cs="Times New Roman"/>
          <w:i/>
          <w:sz w:val="20"/>
          <w:szCs w:val="20"/>
          <w:lang w:val="en-US"/>
        </w:rPr>
        <w:t>:</w:t>
      </w:r>
      <w:r w:rsidRPr="009A0382">
        <w:rPr>
          <w:rFonts w:ascii="Times New Roman" w:hAnsi="Times New Roman" w:cs="Times New Roman"/>
          <w:i/>
          <w:sz w:val="20"/>
          <w:szCs w:val="20"/>
          <w:lang w:val="en-US"/>
        </w:rPr>
        <w:t xml:space="preserve"> 0.10</w:t>
      </w:r>
      <w:r>
        <w:rPr>
          <w:rFonts w:ascii="Times New Roman" w:hAnsi="Times New Roman" w:cs="Times New Roman"/>
          <w:i/>
          <w:sz w:val="20"/>
          <w:szCs w:val="20"/>
          <w:lang w:val="en-US"/>
        </w:rPr>
        <w:t>:</w:t>
      </w:r>
      <w:r w:rsidRPr="009A0382">
        <w:rPr>
          <w:rFonts w:ascii="Times New Roman" w:hAnsi="Times New Roman" w:cs="Times New Roman"/>
          <w:i/>
          <w:sz w:val="20"/>
          <w:szCs w:val="20"/>
          <w:lang w:val="en-US"/>
        </w:rPr>
        <w:t xml:space="preserve"> </w:t>
      </w:r>
      <w:r>
        <w:rPr>
          <w:rFonts w:ascii="Times New Roman" w:hAnsi="Times New Roman" w:cs="Times New Roman"/>
          <w:i/>
          <w:sz w:val="20"/>
          <w:szCs w:val="20"/>
          <w:lang w:val="en-US"/>
        </w:rPr>
        <w:t xml:space="preserve">significance level. </w:t>
      </w:r>
      <w:r w:rsidRPr="009A0382">
        <w:rPr>
          <w:rFonts w:ascii="Times New Roman" w:hAnsi="Times New Roman" w:cs="Times New Roman"/>
          <w:i/>
          <w:sz w:val="20"/>
          <w:szCs w:val="20"/>
          <w:lang w:val="en-US"/>
        </w:rPr>
        <w:t>**</w:t>
      </w:r>
      <w:r>
        <w:rPr>
          <w:rFonts w:ascii="Times New Roman" w:hAnsi="Times New Roman" w:cs="Times New Roman"/>
          <w:i/>
          <w:sz w:val="20"/>
          <w:szCs w:val="20"/>
          <w:lang w:val="en-US"/>
        </w:rPr>
        <w:t>:</w:t>
      </w:r>
      <w:r w:rsidRPr="009A0382">
        <w:rPr>
          <w:rFonts w:ascii="Times New Roman" w:hAnsi="Times New Roman" w:cs="Times New Roman"/>
          <w:i/>
          <w:sz w:val="20"/>
          <w:szCs w:val="20"/>
          <w:lang w:val="en-US"/>
        </w:rPr>
        <w:t xml:space="preserve"> 0.05 </w:t>
      </w:r>
      <w:r>
        <w:rPr>
          <w:rFonts w:ascii="Times New Roman" w:hAnsi="Times New Roman" w:cs="Times New Roman"/>
          <w:i/>
          <w:sz w:val="20"/>
          <w:szCs w:val="20"/>
          <w:lang w:val="en-US"/>
        </w:rPr>
        <w:t xml:space="preserve">significance level. </w:t>
      </w:r>
      <w:r w:rsidRPr="009A0382">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r w:rsidRPr="009A0382">
        <w:rPr>
          <w:rFonts w:ascii="Times New Roman" w:hAnsi="Times New Roman" w:cs="Times New Roman"/>
          <w:i/>
          <w:sz w:val="20"/>
          <w:szCs w:val="20"/>
          <w:lang w:val="en-US"/>
        </w:rPr>
        <w:t>0.01</w:t>
      </w:r>
      <w:r>
        <w:rPr>
          <w:rFonts w:ascii="Times New Roman" w:hAnsi="Times New Roman" w:cs="Times New Roman"/>
          <w:i/>
          <w:sz w:val="20"/>
          <w:szCs w:val="20"/>
          <w:lang w:val="en-US"/>
        </w:rPr>
        <w:t xml:space="preserve"> significance level.</w:t>
      </w:r>
    </w:p>
    <w:p w14:paraId="2E1A1088" w14:textId="77777777" w:rsidR="00855D6D" w:rsidRDefault="00855D6D" w:rsidP="00302FB0">
      <w:pPr>
        <w:spacing w:line="480" w:lineRule="auto"/>
        <w:jc w:val="both"/>
        <w:rPr>
          <w:rFonts w:ascii="Times New Roman" w:hAnsi="Times New Roman" w:cs="Times New Roman"/>
          <w:lang w:val="en-US"/>
        </w:rPr>
      </w:pPr>
    </w:p>
    <w:p w14:paraId="452C1D6A" w14:textId="48713A55" w:rsidR="00855D6D" w:rsidRDefault="00855D6D" w:rsidP="00302FB0">
      <w:pPr>
        <w:spacing w:line="480" w:lineRule="auto"/>
        <w:jc w:val="both"/>
        <w:rPr>
          <w:rFonts w:ascii="Times New Roman" w:hAnsi="Times New Roman" w:cs="Times New Roman"/>
          <w:lang w:val="en-US"/>
        </w:rPr>
        <w:sectPr w:rsidR="00855D6D" w:rsidSect="00855D6D">
          <w:pgSz w:w="16838" w:h="11906" w:orient="landscape"/>
          <w:pgMar w:top="1134" w:right="1417" w:bottom="1134" w:left="1134" w:header="708" w:footer="708" w:gutter="0"/>
          <w:cols w:space="708"/>
          <w:docGrid w:linePitch="360"/>
        </w:sectPr>
      </w:pPr>
    </w:p>
    <w:p w14:paraId="5F807196" w14:textId="6F784FF3"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lastRenderedPageBreak/>
        <w:t xml:space="preserve">The crucial estimate here is the coefficient associated to urban smartness. This turns out to be significantly different from zero and negatively associated with income inequalities, with decreasing parameter estimates and significance levels as additional controls are also included in the model. The decreasing sign of the estimated parameter as additional controls are included indirectly suggests that urban smartness as defined in this paper comprises several features making a city more efficient, within the urban smartness paradigm. Delving more into the details of the relative magnitude of this parameter, based on our preferred specification (Column 3), a 1 per cent increase in urban smartness is associated, all else being equal, to a 0.18 per cent decrease in the Gini Index of the average city. Given the distribution of values of this index in the analyzed sample, this means that moving from the city of </w:t>
      </w:r>
      <w:proofErr w:type="spellStart"/>
      <w:r w:rsidRPr="006B63CF">
        <w:rPr>
          <w:rFonts w:ascii="Times New Roman" w:hAnsi="Times New Roman" w:cs="Times New Roman"/>
          <w:lang w:val="en-US"/>
        </w:rPr>
        <w:t>Düsserdolf</w:t>
      </w:r>
      <w:proofErr w:type="spellEnd"/>
      <w:r w:rsidRPr="006B63CF">
        <w:rPr>
          <w:rFonts w:ascii="Times New Roman" w:hAnsi="Times New Roman" w:cs="Times New Roman"/>
          <w:lang w:val="en-US"/>
        </w:rPr>
        <w:t xml:space="preserve"> to the city of Brescia, around the mean of the smartness distribution and contiguous in terms of the urban smartness distribution, would cause a decrease of the inequality (Gini) index from 0.11 to 0.09.</w:t>
      </w:r>
    </w:p>
    <w:p w14:paraId="5C426905" w14:textId="1AFEAD3F"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The level of development, as summarized by GDP, is negatively associated with income inequality (Column 2). The same can be said for population density, suggesting a negative association between compact city structure and inequality (Column 3). As expected, GDP levels and population density turn out to be mutually correlated (</w:t>
      </w:r>
      <w:proofErr w:type="spellStart"/>
      <w:r w:rsidRPr="006B63CF">
        <w:rPr>
          <w:rFonts w:ascii="Times New Roman" w:hAnsi="Times New Roman" w:cs="Times New Roman"/>
          <w:lang w:val="en-US"/>
        </w:rPr>
        <w:t>Klasen</w:t>
      </w:r>
      <w:proofErr w:type="spellEnd"/>
      <w:r w:rsidRPr="006B63CF">
        <w:rPr>
          <w:rFonts w:ascii="Times New Roman" w:hAnsi="Times New Roman" w:cs="Times New Roman"/>
          <w:lang w:val="en-US"/>
        </w:rPr>
        <w:t xml:space="preserve"> and </w:t>
      </w:r>
      <w:proofErr w:type="spellStart"/>
      <w:r w:rsidRPr="006B63CF">
        <w:rPr>
          <w:rFonts w:ascii="Times New Roman" w:hAnsi="Times New Roman" w:cs="Times New Roman"/>
          <w:lang w:val="en-US"/>
        </w:rPr>
        <w:t>Nestmann</w:t>
      </w:r>
      <w:proofErr w:type="spellEnd"/>
      <w:r w:rsidRPr="006B63CF">
        <w:rPr>
          <w:rFonts w:ascii="Times New Roman" w:hAnsi="Times New Roman" w:cs="Times New Roman"/>
          <w:lang w:val="en-US"/>
        </w:rPr>
        <w:t xml:space="preserve">, 2006), as testified by the crowding out effect that the inclusion of both has (Column 4) on the significance of their parameter estimates, as well as by the fact that the impact of smartness found in model 4 is slightly higher than in the case of model 2, where only GDP is included, but lower than in the case of model 3, which controls for density, and not for GDP levels. </w:t>
      </w:r>
    </w:p>
    <w:p w14:paraId="66833585" w14:textId="397F0F61" w:rsidR="00F8504A" w:rsidRPr="006B63CF" w:rsidRDefault="00F8504A" w:rsidP="00302FB0">
      <w:pPr>
        <w:spacing w:after="0" w:line="480" w:lineRule="auto"/>
        <w:jc w:val="both"/>
        <w:rPr>
          <w:rFonts w:ascii="Times New Roman" w:hAnsi="Times New Roman" w:cs="Times New Roman"/>
          <w:lang w:val="en-US"/>
        </w:rPr>
      </w:pPr>
      <w:r w:rsidRPr="006B63CF">
        <w:rPr>
          <w:rFonts w:ascii="Times New Roman" w:hAnsi="Times New Roman" w:cs="Times New Roman"/>
          <w:lang w:val="en-US"/>
        </w:rPr>
        <w:t>We also find a negative association between social capital, measured by urban trust levels, and income inequality, which nevertheless becomes not significantly distinguishable from zero after controlling for the local quality of institutions. The latter are instead a strong predictor of lower levels of urban income inequality (Column 7), even after controlling for urban trust. These results are in line with the consensus, also in the literature focusing on country-level determinants, that structural characteristics and institutional factors are strongly and significantly correlated with income inequalities. A city with good institutional quality and high levels of interpersonal trust is also a city with lower level of income inequality.</w:t>
      </w:r>
    </w:p>
    <w:p w14:paraId="10EAE027" w14:textId="3CE6FEF3"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All in all, using these specifications, we explain roughly 22 per cent of total variance.</w:t>
      </w:r>
      <w:r w:rsidRPr="006B63CF">
        <w:rPr>
          <w:rStyle w:val="Rimandonotadichiusura"/>
          <w:rFonts w:ascii="Times New Roman" w:hAnsi="Times New Roman" w:cs="Times New Roman"/>
          <w:lang w:val="en-US"/>
        </w:rPr>
        <w:endnoteReference w:id="9"/>
      </w:r>
    </w:p>
    <w:p w14:paraId="2A856E4A" w14:textId="042E8330" w:rsidR="00F8504A" w:rsidRPr="006B63CF" w:rsidRDefault="00F8504A" w:rsidP="00491E65">
      <w:pPr>
        <w:pStyle w:val="Titolo2"/>
        <w:spacing w:line="480" w:lineRule="auto"/>
        <w:jc w:val="both"/>
        <w:rPr>
          <w:lang w:val="en-US"/>
        </w:rPr>
      </w:pPr>
      <w:r w:rsidRPr="006B63CF">
        <w:rPr>
          <w:lang w:val="en-US"/>
        </w:rPr>
        <w:lastRenderedPageBreak/>
        <w:t>Identification issues</w:t>
      </w:r>
    </w:p>
    <w:p w14:paraId="425BDCBB" w14:textId="3A750996"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This last subsection deals with two reasons why the main findings presented in Section 4.1 could be potentially biased:</w:t>
      </w:r>
    </w:p>
    <w:p w14:paraId="1BC1D7A8" w14:textId="77777777" w:rsidR="00F8504A" w:rsidRPr="006B63CF" w:rsidRDefault="00F8504A" w:rsidP="00302FB0">
      <w:pPr>
        <w:pStyle w:val="Paragrafoelenco"/>
        <w:numPr>
          <w:ilvl w:val="0"/>
          <w:numId w:val="15"/>
        </w:numPr>
        <w:spacing w:line="480" w:lineRule="auto"/>
        <w:jc w:val="both"/>
        <w:rPr>
          <w:rFonts w:ascii="Times New Roman" w:hAnsi="Times New Roman" w:cs="Times New Roman"/>
          <w:lang w:val="en-US"/>
        </w:rPr>
      </w:pPr>
      <w:r w:rsidRPr="006B63CF">
        <w:rPr>
          <w:rFonts w:ascii="Times New Roman" w:hAnsi="Times New Roman" w:cs="Times New Roman"/>
          <w:lang w:val="en-US"/>
        </w:rPr>
        <w:t>Omitted Variable bias;</w:t>
      </w:r>
    </w:p>
    <w:p w14:paraId="73FC5E8F" w14:textId="77777777" w:rsidR="00F8504A" w:rsidRPr="006B63CF" w:rsidRDefault="00F8504A" w:rsidP="00302FB0">
      <w:pPr>
        <w:pStyle w:val="Paragrafoelenco"/>
        <w:numPr>
          <w:ilvl w:val="0"/>
          <w:numId w:val="15"/>
        </w:numPr>
        <w:spacing w:line="480" w:lineRule="auto"/>
        <w:jc w:val="both"/>
        <w:rPr>
          <w:rFonts w:ascii="Times New Roman" w:hAnsi="Times New Roman" w:cs="Times New Roman"/>
          <w:lang w:val="en-US"/>
        </w:rPr>
      </w:pPr>
      <w:r w:rsidRPr="006B63CF">
        <w:rPr>
          <w:rFonts w:ascii="Times New Roman" w:hAnsi="Times New Roman" w:cs="Times New Roman"/>
          <w:lang w:val="en-US"/>
        </w:rPr>
        <w:t>Reverse causality.</w:t>
      </w:r>
    </w:p>
    <w:p w14:paraId="556E8921" w14:textId="58067EFB"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As for the former, one may argue that our results could be driven by the omission of other relevant factors that co-vary with our </w:t>
      </w:r>
      <w:proofErr w:type="gramStart"/>
      <w:r w:rsidRPr="006B63CF">
        <w:rPr>
          <w:rFonts w:ascii="Times New Roman" w:hAnsi="Times New Roman" w:cs="Times New Roman"/>
          <w:lang w:val="en-US"/>
        </w:rPr>
        <w:t>right hand</w:t>
      </w:r>
      <w:proofErr w:type="gramEnd"/>
      <w:r w:rsidRPr="006B63CF">
        <w:rPr>
          <w:rFonts w:ascii="Times New Roman" w:hAnsi="Times New Roman" w:cs="Times New Roman"/>
          <w:lang w:val="en-US"/>
        </w:rPr>
        <w:t xml:space="preserve"> side (RHS) variables, so that both independent and dependent variables in our model are simultaneously driven by these missing variables. As instead for the latter, higher scores in urban smartness may not be causing a reduction in income inequalities, despite the careful choice of timing for the variables included in the model, but rather be due to them, or, alternatively, both could be simultaneously caused by other factors. In the absence of randomized experiments, the usual choice is to resort to Instrumental Variables (Angrist and Krueger, 2001).</w:t>
      </w:r>
    </w:p>
    <w:p w14:paraId="29C4F4AD" w14:textId="77E2BDAD"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In order to test the robustness of our results for potential omitted variables bias, Table 4 shows the following controls. In Column 1 we show whether our results are affected by the relatively traditional definition of urban smartness we adopt, and in particular whether recently successful urban smart services could potentially affect the negative relation we identify between urban smartness and income inequality. For this reason, we also control for the presence of bike sharing services in each urban area (with a dummy variable, equal to 1 if the city offers bike sharing services, and zero otherwise). This variable turns out to be not associated with income inequality, while results for the main relationship remain unaffected.</w:t>
      </w:r>
    </w:p>
    <w:p w14:paraId="1617BA30" w14:textId="77777777" w:rsidR="00855D6D" w:rsidRDefault="00F8504A" w:rsidP="00302FB0">
      <w:pPr>
        <w:spacing w:line="480" w:lineRule="auto"/>
        <w:jc w:val="both"/>
        <w:rPr>
          <w:rFonts w:ascii="Times New Roman" w:hAnsi="Times New Roman" w:cs="Times New Roman"/>
          <w:lang w:val="en-US"/>
        </w:rPr>
        <w:sectPr w:rsidR="00855D6D" w:rsidSect="008D31D6">
          <w:pgSz w:w="11906" w:h="16838"/>
          <w:pgMar w:top="1417" w:right="1134" w:bottom="1134" w:left="1134" w:header="708" w:footer="708" w:gutter="0"/>
          <w:cols w:space="708"/>
          <w:docGrid w:linePitch="360"/>
        </w:sectPr>
      </w:pPr>
      <w:r w:rsidRPr="006B63CF">
        <w:rPr>
          <w:rFonts w:ascii="Times New Roman" w:hAnsi="Times New Roman" w:cs="Times New Roman"/>
          <w:lang w:val="en-US"/>
        </w:rPr>
        <w:t xml:space="preserve">The second control specifically tackles the issue often raised in the literature and also referred to in Section 2 above, viz. whether Urban Smartness represents a new urban policy style altogether or if instead it is its ICT component that truly drives the effects the applied literature is identifying. This control is shown in Column 2, which drops the composite smartness indicator and adds its ICT component only. The negative smartness impact is no longer statistically distinguishable from zero if only ICTs are </w:t>
      </w:r>
      <w:proofErr w:type="gramStart"/>
      <w:r w:rsidRPr="006B63CF">
        <w:rPr>
          <w:rFonts w:ascii="Times New Roman" w:hAnsi="Times New Roman" w:cs="Times New Roman"/>
          <w:lang w:val="en-US"/>
        </w:rPr>
        <w:t>taken into account</w:t>
      </w:r>
      <w:proofErr w:type="gramEnd"/>
      <w:r w:rsidRPr="006B63CF">
        <w:rPr>
          <w:rFonts w:ascii="Times New Roman" w:hAnsi="Times New Roman" w:cs="Times New Roman"/>
          <w:lang w:val="en-US"/>
        </w:rPr>
        <w:t>, providing support for the hypothesis that Smart Cities are truly about the interaction between sensors and citizens.</w:t>
      </w:r>
    </w:p>
    <w:tbl>
      <w:tblPr>
        <w:tblW w:w="11941" w:type="dxa"/>
        <w:tblLayout w:type="fixed"/>
        <w:tblLook w:val="0000" w:firstRow="0" w:lastRow="0" w:firstColumn="0" w:lastColumn="0" w:noHBand="0" w:noVBand="0"/>
      </w:tblPr>
      <w:tblGrid>
        <w:gridCol w:w="1058"/>
        <w:gridCol w:w="1058"/>
        <w:gridCol w:w="1058"/>
        <w:gridCol w:w="1057"/>
        <w:gridCol w:w="1057"/>
        <w:gridCol w:w="1091"/>
        <w:gridCol w:w="1057"/>
        <w:gridCol w:w="1057"/>
        <w:gridCol w:w="1057"/>
        <w:gridCol w:w="1057"/>
        <w:gridCol w:w="1334"/>
      </w:tblGrid>
      <w:tr w:rsidR="00170BA7" w:rsidRPr="00320144" w14:paraId="215ADC0C" w14:textId="77777777" w:rsidTr="001C4F74">
        <w:tc>
          <w:tcPr>
            <w:tcW w:w="11937" w:type="dxa"/>
            <w:gridSpan w:val="11"/>
            <w:tcBorders>
              <w:top w:val="single" w:sz="4" w:space="0" w:color="auto"/>
              <w:left w:val="nil"/>
              <w:right w:val="nil"/>
            </w:tcBorders>
          </w:tcPr>
          <w:p w14:paraId="261C28ED" w14:textId="77777777" w:rsidR="00170BA7" w:rsidRPr="00320144" w:rsidRDefault="00170BA7" w:rsidP="001C4F74">
            <w:pPr>
              <w:widowControl w:val="0"/>
              <w:autoSpaceDE w:val="0"/>
              <w:autoSpaceDN w:val="0"/>
              <w:adjustRightInd w:val="0"/>
              <w:spacing w:after="0" w:line="240" w:lineRule="auto"/>
              <w:jc w:val="both"/>
              <w:rPr>
                <w:rFonts w:ascii="Times New Roman" w:hAnsi="Times New Roman" w:cs="Times New Roman"/>
                <w:i/>
                <w:iCs/>
                <w:sz w:val="18"/>
                <w:szCs w:val="18"/>
                <w:lang w:val="en-US"/>
              </w:rPr>
            </w:pPr>
            <w:r w:rsidRPr="001D0621">
              <w:rPr>
                <w:rFonts w:ascii="Times New Roman" w:hAnsi="Times New Roman" w:cs="Times New Roman"/>
                <w:i/>
                <w:sz w:val="20"/>
                <w:szCs w:val="20"/>
                <w:lang w:val="en-US"/>
              </w:rPr>
              <w:lastRenderedPageBreak/>
              <w:t>Dependent variable: Gini coefficient</w:t>
            </w:r>
          </w:p>
        </w:tc>
      </w:tr>
      <w:tr w:rsidR="00170BA7" w:rsidRPr="006F7795" w14:paraId="36607DF3" w14:textId="77777777" w:rsidTr="001C4F74">
        <w:tc>
          <w:tcPr>
            <w:tcW w:w="1058" w:type="dxa"/>
            <w:tcBorders>
              <w:left w:val="nil"/>
              <w:bottom w:val="double" w:sz="4" w:space="0" w:color="auto"/>
              <w:right w:val="nil"/>
            </w:tcBorders>
          </w:tcPr>
          <w:p w14:paraId="35B88AE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Model</w:t>
            </w:r>
          </w:p>
        </w:tc>
        <w:tc>
          <w:tcPr>
            <w:tcW w:w="1058" w:type="dxa"/>
            <w:tcBorders>
              <w:left w:val="nil"/>
              <w:bottom w:val="double" w:sz="4" w:space="0" w:color="auto"/>
              <w:right w:val="nil"/>
            </w:tcBorders>
          </w:tcPr>
          <w:p w14:paraId="03B6ACB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(1.)</w:t>
            </w:r>
          </w:p>
        </w:tc>
        <w:tc>
          <w:tcPr>
            <w:tcW w:w="1058" w:type="dxa"/>
            <w:tcBorders>
              <w:left w:val="nil"/>
              <w:bottom w:val="double" w:sz="4" w:space="0" w:color="auto"/>
              <w:right w:val="nil"/>
            </w:tcBorders>
          </w:tcPr>
          <w:p w14:paraId="120DDE8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(2.)</w:t>
            </w:r>
          </w:p>
        </w:tc>
        <w:tc>
          <w:tcPr>
            <w:tcW w:w="1057" w:type="dxa"/>
            <w:tcBorders>
              <w:left w:val="nil"/>
              <w:bottom w:val="double" w:sz="4" w:space="0" w:color="auto"/>
              <w:right w:val="nil"/>
            </w:tcBorders>
          </w:tcPr>
          <w:p w14:paraId="391E8AE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(3.)</w:t>
            </w:r>
          </w:p>
        </w:tc>
        <w:tc>
          <w:tcPr>
            <w:tcW w:w="1057" w:type="dxa"/>
            <w:tcBorders>
              <w:left w:val="nil"/>
              <w:bottom w:val="double" w:sz="4" w:space="0" w:color="auto"/>
              <w:right w:val="nil"/>
            </w:tcBorders>
          </w:tcPr>
          <w:p w14:paraId="63C4948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(4.)</w:t>
            </w:r>
          </w:p>
        </w:tc>
        <w:tc>
          <w:tcPr>
            <w:tcW w:w="1091" w:type="dxa"/>
            <w:tcBorders>
              <w:left w:val="nil"/>
              <w:bottom w:val="double" w:sz="4" w:space="0" w:color="auto"/>
              <w:right w:val="nil"/>
            </w:tcBorders>
          </w:tcPr>
          <w:p w14:paraId="0783684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(5.)</w:t>
            </w:r>
          </w:p>
        </w:tc>
        <w:tc>
          <w:tcPr>
            <w:tcW w:w="1057" w:type="dxa"/>
            <w:tcBorders>
              <w:left w:val="nil"/>
              <w:bottom w:val="double" w:sz="4" w:space="0" w:color="auto"/>
              <w:right w:val="nil"/>
            </w:tcBorders>
          </w:tcPr>
          <w:p w14:paraId="5744F03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(6.)</w:t>
            </w:r>
          </w:p>
        </w:tc>
        <w:tc>
          <w:tcPr>
            <w:tcW w:w="1057" w:type="dxa"/>
            <w:tcBorders>
              <w:left w:val="nil"/>
              <w:bottom w:val="double" w:sz="4" w:space="0" w:color="auto"/>
              <w:right w:val="nil"/>
            </w:tcBorders>
          </w:tcPr>
          <w:p w14:paraId="0AC1630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(7.)</w:t>
            </w:r>
          </w:p>
        </w:tc>
        <w:tc>
          <w:tcPr>
            <w:tcW w:w="1057" w:type="dxa"/>
            <w:tcBorders>
              <w:left w:val="nil"/>
              <w:bottom w:val="double" w:sz="4" w:space="0" w:color="auto"/>
              <w:right w:val="nil"/>
            </w:tcBorders>
          </w:tcPr>
          <w:p w14:paraId="3801AC1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(8.)</w:t>
            </w:r>
          </w:p>
        </w:tc>
        <w:tc>
          <w:tcPr>
            <w:tcW w:w="1057" w:type="dxa"/>
            <w:tcBorders>
              <w:left w:val="nil"/>
              <w:bottom w:val="double" w:sz="4" w:space="0" w:color="auto"/>
              <w:right w:val="nil"/>
            </w:tcBorders>
          </w:tcPr>
          <w:p w14:paraId="3334857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(9.)</w:t>
            </w:r>
          </w:p>
        </w:tc>
        <w:tc>
          <w:tcPr>
            <w:tcW w:w="1334" w:type="dxa"/>
            <w:tcBorders>
              <w:left w:val="nil"/>
              <w:bottom w:val="double" w:sz="4" w:space="0" w:color="auto"/>
              <w:right w:val="nil"/>
            </w:tcBorders>
          </w:tcPr>
          <w:p w14:paraId="00F0F12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i/>
                <w:iCs/>
                <w:sz w:val="18"/>
                <w:szCs w:val="18"/>
                <w:lang w:val="en-US"/>
              </w:rPr>
            </w:pPr>
            <w:r w:rsidRPr="006F7795">
              <w:rPr>
                <w:rFonts w:ascii="Times New Roman" w:hAnsi="Times New Roman" w:cs="Times New Roman"/>
                <w:i/>
                <w:iCs/>
                <w:sz w:val="18"/>
                <w:szCs w:val="18"/>
                <w:lang w:val="en-US"/>
              </w:rPr>
              <w:t>(10.)</w:t>
            </w:r>
          </w:p>
        </w:tc>
      </w:tr>
      <w:tr w:rsidR="00170BA7" w:rsidRPr="006F7795" w14:paraId="3F680F2C" w14:textId="77777777" w:rsidTr="001C4F74">
        <w:tc>
          <w:tcPr>
            <w:tcW w:w="1058" w:type="dxa"/>
            <w:vMerge w:val="restart"/>
            <w:tcBorders>
              <w:top w:val="double" w:sz="4" w:space="0" w:color="auto"/>
              <w:left w:val="nil"/>
              <w:right w:val="nil"/>
            </w:tcBorders>
          </w:tcPr>
          <w:p w14:paraId="2ECC94C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Urban smartness</w:t>
            </w:r>
          </w:p>
        </w:tc>
        <w:tc>
          <w:tcPr>
            <w:tcW w:w="1058" w:type="dxa"/>
            <w:tcBorders>
              <w:top w:val="double" w:sz="4" w:space="0" w:color="auto"/>
              <w:left w:val="nil"/>
              <w:bottom w:val="nil"/>
              <w:right w:val="nil"/>
            </w:tcBorders>
          </w:tcPr>
          <w:p w14:paraId="7973FF1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-0.00285</w:t>
            </w:r>
            <w:r w:rsidRPr="006F7795">
              <w:rPr>
                <w:rFonts w:ascii="Times New Roman" w:hAnsi="Times New Roman" w:cs="Times New Roman"/>
                <w:sz w:val="18"/>
                <w:szCs w:val="18"/>
                <w:vertAlign w:val="superscript"/>
                <w:lang w:val="en-US"/>
              </w:rPr>
              <w:t>*</w:t>
            </w:r>
          </w:p>
        </w:tc>
        <w:tc>
          <w:tcPr>
            <w:tcW w:w="1058" w:type="dxa"/>
            <w:tcBorders>
              <w:top w:val="double" w:sz="4" w:space="0" w:color="auto"/>
              <w:left w:val="nil"/>
              <w:bottom w:val="nil"/>
              <w:right w:val="nil"/>
            </w:tcBorders>
          </w:tcPr>
          <w:p w14:paraId="720CFD2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double" w:sz="4" w:space="0" w:color="auto"/>
              <w:left w:val="nil"/>
              <w:bottom w:val="nil"/>
              <w:right w:val="nil"/>
            </w:tcBorders>
          </w:tcPr>
          <w:p w14:paraId="775984A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-0.00288</w:t>
            </w:r>
            <w:r w:rsidRPr="006F7795">
              <w:rPr>
                <w:rFonts w:ascii="Times New Roman" w:hAnsi="Times New Roman" w:cs="Times New Roman"/>
                <w:sz w:val="18"/>
                <w:szCs w:val="18"/>
                <w:vertAlign w:val="superscript"/>
                <w:lang w:val="en-US"/>
              </w:rPr>
              <w:t>*</w:t>
            </w:r>
          </w:p>
        </w:tc>
        <w:tc>
          <w:tcPr>
            <w:tcW w:w="1057" w:type="dxa"/>
            <w:tcBorders>
              <w:top w:val="double" w:sz="4" w:space="0" w:color="auto"/>
              <w:left w:val="nil"/>
              <w:bottom w:val="nil"/>
              <w:right w:val="nil"/>
            </w:tcBorders>
          </w:tcPr>
          <w:p w14:paraId="40421A3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-0.00248</w:t>
            </w:r>
          </w:p>
        </w:tc>
        <w:tc>
          <w:tcPr>
            <w:tcW w:w="1091" w:type="dxa"/>
            <w:tcBorders>
              <w:top w:val="double" w:sz="4" w:space="0" w:color="auto"/>
              <w:left w:val="nil"/>
              <w:bottom w:val="nil"/>
              <w:right w:val="nil"/>
            </w:tcBorders>
          </w:tcPr>
          <w:p w14:paraId="42F5527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-0.00200</w:t>
            </w:r>
          </w:p>
        </w:tc>
        <w:tc>
          <w:tcPr>
            <w:tcW w:w="1057" w:type="dxa"/>
            <w:tcBorders>
              <w:top w:val="double" w:sz="4" w:space="0" w:color="auto"/>
              <w:left w:val="nil"/>
              <w:bottom w:val="nil"/>
              <w:right w:val="nil"/>
            </w:tcBorders>
          </w:tcPr>
          <w:p w14:paraId="5869F4A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-0.00271</w:t>
            </w:r>
          </w:p>
        </w:tc>
        <w:tc>
          <w:tcPr>
            <w:tcW w:w="1057" w:type="dxa"/>
            <w:tcBorders>
              <w:top w:val="double" w:sz="4" w:space="0" w:color="auto"/>
              <w:left w:val="nil"/>
              <w:bottom w:val="nil"/>
              <w:right w:val="nil"/>
            </w:tcBorders>
          </w:tcPr>
          <w:p w14:paraId="73DA83F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-0.00298</w:t>
            </w:r>
            <w:r w:rsidRPr="006F7795">
              <w:rPr>
                <w:rFonts w:ascii="Times New Roman" w:hAnsi="Times New Roman" w:cs="Times New Roman"/>
                <w:sz w:val="18"/>
                <w:szCs w:val="18"/>
                <w:vertAlign w:val="superscript"/>
                <w:lang w:val="en-US"/>
              </w:rPr>
              <w:t>*</w:t>
            </w:r>
          </w:p>
        </w:tc>
        <w:tc>
          <w:tcPr>
            <w:tcW w:w="1057" w:type="dxa"/>
            <w:tcBorders>
              <w:top w:val="double" w:sz="4" w:space="0" w:color="auto"/>
              <w:left w:val="nil"/>
              <w:bottom w:val="nil"/>
              <w:right w:val="nil"/>
            </w:tcBorders>
          </w:tcPr>
          <w:p w14:paraId="2104FBB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-0.00562</w:t>
            </w:r>
            <w:r w:rsidRPr="006F7795">
              <w:rPr>
                <w:rFonts w:ascii="Times New Roman" w:hAnsi="Times New Roman" w:cs="Times New Roman"/>
                <w:sz w:val="18"/>
                <w:szCs w:val="18"/>
                <w:vertAlign w:val="superscript"/>
                <w:lang w:val="en-US"/>
              </w:rPr>
              <w:t>**</w:t>
            </w:r>
          </w:p>
        </w:tc>
        <w:tc>
          <w:tcPr>
            <w:tcW w:w="1057" w:type="dxa"/>
            <w:tcBorders>
              <w:top w:val="double" w:sz="4" w:space="0" w:color="auto"/>
              <w:left w:val="nil"/>
              <w:bottom w:val="nil"/>
              <w:right w:val="nil"/>
            </w:tcBorders>
          </w:tcPr>
          <w:p w14:paraId="5739477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-0.00269</w:t>
            </w:r>
            <w:r w:rsidRPr="006F7795">
              <w:rPr>
                <w:rFonts w:ascii="Times New Roman" w:hAnsi="Times New Roman" w:cs="Times New Roman"/>
                <w:sz w:val="18"/>
                <w:szCs w:val="18"/>
                <w:vertAlign w:val="superscript"/>
                <w:lang w:val="en-US"/>
              </w:rPr>
              <w:t>*</w:t>
            </w:r>
          </w:p>
        </w:tc>
        <w:tc>
          <w:tcPr>
            <w:tcW w:w="1334" w:type="dxa"/>
            <w:tcBorders>
              <w:top w:val="double" w:sz="4" w:space="0" w:color="auto"/>
              <w:left w:val="nil"/>
              <w:bottom w:val="nil"/>
              <w:right w:val="nil"/>
            </w:tcBorders>
          </w:tcPr>
          <w:p w14:paraId="4B776B9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-0.0122</w:t>
            </w:r>
            <w:r w:rsidRPr="006F7795">
              <w:rPr>
                <w:rFonts w:ascii="Times New Roman" w:hAnsi="Times New Roman" w:cs="Times New Roman"/>
                <w:sz w:val="18"/>
                <w:szCs w:val="18"/>
                <w:vertAlign w:val="superscript"/>
                <w:lang w:val="en-US"/>
              </w:rPr>
              <w:t>***</w:t>
            </w:r>
          </w:p>
        </w:tc>
      </w:tr>
      <w:tr w:rsidR="00170BA7" w:rsidRPr="006F7795" w14:paraId="524A82AE" w14:textId="77777777" w:rsidTr="001C4F74">
        <w:tc>
          <w:tcPr>
            <w:tcW w:w="1058" w:type="dxa"/>
            <w:vMerge/>
            <w:tcBorders>
              <w:left w:val="nil"/>
              <w:right w:val="nil"/>
            </w:tcBorders>
          </w:tcPr>
          <w:p w14:paraId="161ADA1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1F2E36D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(-1.80)</w:t>
            </w:r>
          </w:p>
        </w:tc>
        <w:tc>
          <w:tcPr>
            <w:tcW w:w="1058" w:type="dxa"/>
            <w:tcBorders>
              <w:top w:val="nil"/>
              <w:left w:val="nil"/>
              <w:bottom w:val="nil"/>
              <w:right w:val="nil"/>
            </w:tcBorders>
          </w:tcPr>
          <w:p w14:paraId="4AF9D72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DC0BEB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(-1.77)</w:t>
            </w:r>
          </w:p>
        </w:tc>
        <w:tc>
          <w:tcPr>
            <w:tcW w:w="1057" w:type="dxa"/>
            <w:tcBorders>
              <w:top w:val="nil"/>
              <w:left w:val="nil"/>
              <w:bottom w:val="nil"/>
              <w:right w:val="nil"/>
            </w:tcBorders>
          </w:tcPr>
          <w:p w14:paraId="1661B63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(-1.63)</w:t>
            </w:r>
          </w:p>
        </w:tc>
        <w:tc>
          <w:tcPr>
            <w:tcW w:w="1091" w:type="dxa"/>
            <w:tcBorders>
              <w:top w:val="nil"/>
              <w:left w:val="nil"/>
              <w:bottom w:val="nil"/>
              <w:right w:val="nil"/>
            </w:tcBorders>
          </w:tcPr>
          <w:p w14:paraId="3D9760B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(-1.20)</w:t>
            </w:r>
          </w:p>
        </w:tc>
        <w:tc>
          <w:tcPr>
            <w:tcW w:w="1057" w:type="dxa"/>
            <w:tcBorders>
              <w:top w:val="nil"/>
              <w:left w:val="nil"/>
              <w:bottom w:val="nil"/>
              <w:right w:val="nil"/>
            </w:tcBorders>
          </w:tcPr>
          <w:p w14:paraId="73667AC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(-1.61)</w:t>
            </w:r>
          </w:p>
        </w:tc>
        <w:tc>
          <w:tcPr>
            <w:tcW w:w="1057" w:type="dxa"/>
            <w:tcBorders>
              <w:top w:val="nil"/>
              <w:left w:val="nil"/>
              <w:bottom w:val="nil"/>
              <w:right w:val="nil"/>
            </w:tcBorders>
          </w:tcPr>
          <w:p w14:paraId="3D8077B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(-1.94)</w:t>
            </w:r>
          </w:p>
        </w:tc>
        <w:tc>
          <w:tcPr>
            <w:tcW w:w="1057" w:type="dxa"/>
            <w:tcBorders>
              <w:top w:val="nil"/>
              <w:left w:val="nil"/>
              <w:bottom w:val="nil"/>
              <w:right w:val="nil"/>
            </w:tcBorders>
          </w:tcPr>
          <w:p w14:paraId="047D581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(-2.26)</w:t>
            </w:r>
          </w:p>
        </w:tc>
        <w:tc>
          <w:tcPr>
            <w:tcW w:w="1057" w:type="dxa"/>
            <w:tcBorders>
              <w:top w:val="nil"/>
              <w:left w:val="nil"/>
              <w:bottom w:val="nil"/>
              <w:right w:val="nil"/>
            </w:tcBorders>
          </w:tcPr>
          <w:p w14:paraId="57A9FF9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(-1.67)</w:t>
            </w:r>
          </w:p>
        </w:tc>
        <w:tc>
          <w:tcPr>
            <w:tcW w:w="1334" w:type="dxa"/>
            <w:tcBorders>
              <w:top w:val="nil"/>
              <w:left w:val="nil"/>
              <w:bottom w:val="nil"/>
              <w:right w:val="nil"/>
            </w:tcBorders>
          </w:tcPr>
          <w:p w14:paraId="2FBF206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(-4.14)</w:t>
            </w:r>
          </w:p>
        </w:tc>
      </w:tr>
      <w:tr w:rsidR="00170BA7" w:rsidRPr="006F7795" w14:paraId="17D1910F" w14:textId="77777777" w:rsidTr="001C4F74">
        <w:tc>
          <w:tcPr>
            <w:tcW w:w="1058" w:type="dxa"/>
            <w:vMerge w:val="restart"/>
            <w:tcBorders>
              <w:left w:val="nil"/>
              <w:right w:val="nil"/>
            </w:tcBorders>
          </w:tcPr>
          <w:p w14:paraId="0F842BB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Log real GDP</w:t>
            </w:r>
          </w:p>
        </w:tc>
        <w:tc>
          <w:tcPr>
            <w:tcW w:w="1058" w:type="dxa"/>
            <w:tcBorders>
              <w:top w:val="nil"/>
              <w:left w:val="nil"/>
              <w:bottom w:val="nil"/>
              <w:right w:val="nil"/>
            </w:tcBorders>
          </w:tcPr>
          <w:p w14:paraId="5C8D276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0.000485</w:t>
            </w:r>
          </w:p>
        </w:tc>
        <w:tc>
          <w:tcPr>
            <w:tcW w:w="1058" w:type="dxa"/>
            <w:tcBorders>
              <w:top w:val="nil"/>
              <w:left w:val="nil"/>
              <w:bottom w:val="nil"/>
              <w:right w:val="nil"/>
            </w:tcBorders>
          </w:tcPr>
          <w:p w14:paraId="2E2C744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-0.000808</w:t>
            </w:r>
          </w:p>
        </w:tc>
        <w:tc>
          <w:tcPr>
            <w:tcW w:w="1057" w:type="dxa"/>
            <w:tcBorders>
              <w:top w:val="nil"/>
              <w:left w:val="nil"/>
              <w:bottom w:val="nil"/>
              <w:right w:val="nil"/>
            </w:tcBorders>
          </w:tcPr>
          <w:p w14:paraId="7A76936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0.00124</w:t>
            </w:r>
          </w:p>
        </w:tc>
        <w:tc>
          <w:tcPr>
            <w:tcW w:w="1057" w:type="dxa"/>
            <w:tcBorders>
              <w:top w:val="nil"/>
              <w:left w:val="nil"/>
              <w:bottom w:val="nil"/>
              <w:right w:val="nil"/>
            </w:tcBorders>
          </w:tcPr>
          <w:p w14:paraId="3202943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-0.00176</w:t>
            </w:r>
          </w:p>
        </w:tc>
        <w:tc>
          <w:tcPr>
            <w:tcW w:w="1091" w:type="dxa"/>
            <w:tcBorders>
              <w:top w:val="nil"/>
              <w:left w:val="nil"/>
              <w:bottom w:val="nil"/>
              <w:right w:val="nil"/>
            </w:tcBorders>
          </w:tcPr>
          <w:p w14:paraId="27FBDC5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-0.000942</w:t>
            </w:r>
          </w:p>
        </w:tc>
        <w:tc>
          <w:tcPr>
            <w:tcW w:w="1057" w:type="dxa"/>
            <w:tcBorders>
              <w:top w:val="nil"/>
              <w:left w:val="nil"/>
              <w:bottom w:val="nil"/>
              <w:right w:val="nil"/>
            </w:tcBorders>
          </w:tcPr>
          <w:p w14:paraId="043FD1F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-0.000269</w:t>
            </w:r>
          </w:p>
        </w:tc>
        <w:tc>
          <w:tcPr>
            <w:tcW w:w="1057" w:type="dxa"/>
            <w:tcBorders>
              <w:top w:val="nil"/>
              <w:left w:val="nil"/>
              <w:bottom w:val="nil"/>
              <w:right w:val="nil"/>
            </w:tcBorders>
          </w:tcPr>
          <w:p w14:paraId="1F66AF9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0.0000500</w:t>
            </w:r>
          </w:p>
        </w:tc>
        <w:tc>
          <w:tcPr>
            <w:tcW w:w="1057" w:type="dxa"/>
            <w:tcBorders>
              <w:top w:val="nil"/>
              <w:left w:val="nil"/>
              <w:bottom w:val="nil"/>
              <w:right w:val="nil"/>
            </w:tcBorders>
          </w:tcPr>
          <w:p w14:paraId="416B434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0.00610</w:t>
            </w:r>
          </w:p>
        </w:tc>
        <w:tc>
          <w:tcPr>
            <w:tcW w:w="1057" w:type="dxa"/>
            <w:tcBorders>
              <w:top w:val="nil"/>
              <w:left w:val="nil"/>
              <w:bottom w:val="nil"/>
              <w:right w:val="nil"/>
            </w:tcBorders>
          </w:tcPr>
          <w:p w14:paraId="4B007AD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0.00274</w:t>
            </w:r>
          </w:p>
        </w:tc>
        <w:tc>
          <w:tcPr>
            <w:tcW w:w="1334" w:type="dxa"/>
            <w:tcBorders>
              <w:top w:val="nil"/>
              <w:left w:val="nil"/>
              <w:bottom w:val="nil"/>
              <w:right w:val="nil"/>
            </w:tcBorders>
          </w:tcPr>
          <w:p w14:paraId="6C76777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0.00702</w:t>
            </w:r>
            <w:r w:rsidRPr="006F7795">
              <w:rPr>
                <w:rFonts w:ascii="Times New Roman" w:hAnsi="Times New Roman" w:cs="Times New Roman"/>
                <w:sz w:val="18"/>
                <w:szCs w:val="18"/>
                <w:vertAlign w:val="superscript"/>
                <w:lang w:val="en-US"/>
              </w:rPr>
              <w:t>***</w:t>
            </w:r>
          </w:p>
        </w:tc>
      </w:tr>
      <w:tr w:rsidR="00170BA7" w:rsidRPr="006F7795" w14:paraId="4F89B7AE" w14:textId="77777777" w:rsidTr="001C4F74">
        <w:tc>
          <w:tcPr>
            <w:tcW w:w="1058" w:type="dxa"/>
            <w:vMerge/>
            <w:tcBorders>
              <w:left w:val="nil"/>
              <w:right w:val="nil"/>
            </w:tcBorders>
          </w:tcPr>
          <w:p w14:paraId="5DB69FE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422218C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(0.12)</w:t>
            </w:r>
          </w:p>
        </w:tc>
        <w:tc>
          <w:tcPr>
            <w:tcW w:w="1058" w:type="dxa"/>
            <w:tcBorders>
              <w:top w:val="nil"/>
              <w:left w:val="nil"/>
              <w:bottom w:val="nil"/>
              <w:right w:val="nil"/>
            </w:tcBorders>
          </w:tcPr>
          <w:p w14:paraId="311D16F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(-0.20)</w:t>
            </w:r>
          </w:p>
        </w:tc>
        <w:tc>
          <w:tcPr>
            <w:tcW w:w="1057" w:type="dxa"/>
            <w:tcBorders>
              <w:top w:val="nil"/>
              <w:left w:val="nil"/>
              <w:bottom w:val="nil"/>
              <w:right w:val="nil"/>
            </w:tcBorders>
          </w:tcPr>
          <w:p w14:paraId="4406833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(0.30)</w:t>
            </w:r>
          </w:p>
        </w:tc>
        <w:tc>
          <w:tcPr>
            <w:tcW w:w="1057" w:type="dxa"/>
            <w:tcBorders>
              <w:top w:val="nil"/>
              <w:left w:val="nil"/>
              <w:bottom w:val="nil"/>
              <w:right w:val="nil"/>
            </w:tcBorders>
          </w:tcPr>
          <w:p w14:paraId="48E53A3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(-0.39)</w:t>
            </w:r>
          </w:p>
        </w:tc>
        <w:tc>
          <w:tcPr>
            <w:tcW w:w="1091" w:type="dxa"/>
            <w:tcBorders>
              <w:top w:val="nil"/>
              <w:left w:val="nil"/>
              <w:bottom w:val="nil"/>
              <w:right w:val="nil"/>
            </w:tcBorders>
          </w:tcPr>
          <w:p w14:paraId="1CF60F6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(-0.21)</w:t>
            </w:r>
          </w:p>
        </w:tc>
        <w:tc>
          <w:tcPr>
            <w:tcW w:w="1057" w:type="dxa"/>
            <w:tcBorders>
              <w:top w:val="nil"/>
              <w:left w:val="nil"/>
              <w:bottom w:val="nil"/>
              <w:right w:val="nil"/>
            </w:tcBorders>
          </w:tcPr>
          <w:p w14:paraId="26BA366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(-0.06)</w:t>
            </w:r>
          </w:p>
        </w:tc>
        <w:tc>
          <w:tcPr>
            <w:tcW w:w="1057" w:type="dxa"/>
            <w:tcBorders>
              <w:top w:val="nil"/>
              <w:left w:val="nil"/>
              <w:bottom w:val="nil"/>
              <w:right w:val="nil"/>
            </w:tcBorders>
          </w:tcPr>
          <w:p w14:paraId="50C56ED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w:t>
            </w:r>
          </w:p>
        </w:tc>
        <w:tc>
          <w:tcPr>
            <w:tcW w:w="1057" w:type="dxa"/>
            <w:tcBorders>
              <w:top w:val="nil"/>
              <w:left w:val="nil"/>
              <w:bottom w:val="nil"/>
              <w:right w:val="nil"/>
            </w:tcBorders>
          </w:tcPr>
          <w:p w14:paraId="413A507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(1.13)</w:t>
            </w:r>
          </w:p>
        </w:tc>
        <w:tc>
          <w:tcPr>
            <w:tcW w:w="1057" w:type="dxa"/>
            <w:tcBorders>
              <w:top w:val="nil"/>
              <w:left w:val="nil"/>
              <w:bottom w:val="nil"/>
              <w:right w:val="nil"/>
            </w:tcBorders>
          </w:tcPr>
          <w:p w14:paraId="752E236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(0.68)</w:t>
            </w:r>
          </w:p>
        </w:tc>
        <w:tc>
          <w:tcPr>
            <w:tcW w:w="1334" w:type="dxa"/>
            <w:tcBorders>
              <w:top w:val="nil"/>
              <w:left w:val="nil"/>
              <w:bottom w:val="nil"/>
              <w:right w:val="nil"/>
            </w:tcBorders>
          </w:tcPr>
          <w:p w14:paraId="0610DA0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(64.67)</w:t>
            </w:r>
          </w:p>
        </w:tc>
      </w:tr>
      <w:tr w:rsidR="00170BA7" w:rsidRPr="006F7795" w14:paraId="441062E3" w14:textId="77777777" w:rsidTr="001C4F74">
        <w:tc>
          <w:tcPr>
            <w:tcW w:w="1058" w:type="dxa"/>
            <w:vMerge w:val="restart"/>
            <w:tcBorders>
              <w:left w:val="nil"/>
              <w:right w:val="nil"/>
            </w:tcBorders>
          </w:tcPr>
          <w:p w14:paraId="7158665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Log population density</w:t>
            </w:r>
          </w:p>
        </w:tc>
        <w:tc>
          <w:tcPr>
            <w:tcW w:w="1058" w:type="dxa"/>
            <w:tcBorders>
              <w:top w:val="nil"/>
              <w:left w:val="nil"/>
              <w:bottom w:val="nil"/>
              <w:right w:val="nil"/>
            </w:tcBorders>
          </w:tcPr>
          <w:p w14:paraId="675A6F5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-0.00278</w:t>
            </w:r>
          </w:p>
        </w:tc>
        <w:tc>
          <w:tcPr>
            <w:tcW w:w="1058" w:type="dxa"/>
            <w:tcBorders>
              <w:top w:val="nil"/>
              <w:left w:val="nil"/>
              <w:bottom w:val="nil"/>
              <w:right w:val="nil"/>
            </w:tcBorders>
          </w:tcPr>
          <w:p w14:paraId="136F54A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-0.00239</w:t>
            </w:r>
          </w:p>
        </w:tc>
        <w:tc>
          <w:tcPr>
            <w:tcW w:w="1057" w:type="dxa"/>
            <w:tcBorders>
              <w:top w:val="nil"/>
              <w:left w:val="nil"/>
              <w:bottom w:val="nil"/>
              <w:right w:val="nil"/>
            </w:tcBorders>
          </w:tcPr>
          <w:p w14:paraId="3110171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-0.00313</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51518CB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-0.00243</w:t>
            </w:r>
          </w:p>
        </w:tc>
        <w:tc>
          <w:tcPr>
            <w:tcW w:w="1091" w:type="dxa"/>
            <w:tcBorders>
              <w:top w:val="nil"/>
              <w:left w:val="nil"/>
              <w:bottom w:val="nil"/>
              <w:right w:val="nil"/>
            </w:tcBorders>
          </w:tcPr>
          <w:p w14:paraId="4090226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-0.00125</w:t>
            </w:r>
          </w:p>
        </w:tc>
        <w:tc>
          <w:tcPr>
            <w:tcW w:w="1057" w:type="dxa"/>
            <w:tcBorders>
              <w:top w:val="nil"/>
              <w:left w:val="nil"/>
              <w:bottom w:val="nil"/>
              <w:right w:val="nil"/>
            </w:tcBorders>
          </w:tcPr>
          <w:p w14:paraId="7484555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-0.00217</w:t>
            </w:r>
          </w:p>
        </w:tc>
        <w:tc>
          <w:tcPr>
            <w:tcW w:w="1057" w:type="dxa"/>
            <w:tcBorders>
              <w:top w:val="nil"/>
              <w:left w:val="nil"/>
              <w:bottom w:val="nil"/>
              <w:right w:val="nil"/>
            </w:tcBorders>
          </w:tcPr>
          <w:p w14:paraId="13CA732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-0.00273</w:t>
            </w:r>
          </w:p>
        </w:tc>
        <w:tc>
          <w:tcPr>
            <w:tcW w:w="1057" w:type="dxa"/>
            <w:tcBorders>
              <w:top w:val="nil"/>
              <w:left w:val="nil"/>
              <w:bottom w:val="nil"/>
              <w:right w:val="nil"/>
            </w:tcBorders>
          </w:tcPr>
          <w:p w14:paraId="58B0478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-0.00329</w:t>
            </w:r>
          </w:p>
        </w:tc>
        <w:tc>
          <w:tcPr>
            <w:tcW w:w="1057" w:type="dxa"/>
            <w:tcBorders>
              <w:top w:val="nil"/>
              <w:left w:val="nil"/>
              <w:bottom w:val="nil"/>
              <w:right w:val="nil"/>
            </w:tcBorders>
          </w:tcPr>
          <w:p w14:paraId="7DB5E8C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-0.00260</w:t>
            </w:r>
          </w:p>
        </w:tc>
        <w:tc>
          <w:tcPr>
            <w:tcW w:w="1334" w:type="dxa"/>
            <w:tcBorders>
              <w:top w:val="nil"/>
              <w:left w:val="nil"/>
              <w:bottom w:val="nil"/>
              <w:right w:val="nil"/>
            </w:tcBorders>
          </w:tcPr>
          <w:p w14:paraId="46AF099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-0.00273</w:t>
            </w:r>
            <w:r w:rsidRPr="006F7795">
              <w:rPr>
                <w:rFonts w:ascii="Times New Roman" w:hAnsi="Times New Roman" w:cs="Times New Roman"/>
                <w:sz w:val="18"/>
                <w:szCs w:val="18"/>
                <w:vertAlign w:val="superscript"/>
                <w:lang w:val="en-US"/>
              </w:rPr>
              <w:t>***</w:t>
            </w:r>
          </w:p>
        </w:tc>
      </w:tr>
      <w:tr w:rsidR="00170BA7" w:rsidRPr="006F7795" w14:paraId="6AC75E88" w14:textId="77777777" w:rsidTr="001C4F74">
        <w:tc>
          <w:tcPr>
            <w:tcW w:w="1058" w:type="dxa"/>
            <w:vMerge/>
            <w:tcBorders>
              <w:left w:val="nil"/>
              <w:right w:val="nil"/>
            </w:tcBorders>
          </w:tcPr>
          <w:p w14:paraId="43AE87A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19975F8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(-1.42)</w:t>
            </w:r>
          </w:p>
        </w:tc>
        <w:tc>
          <w:tcPr>
            <w:tcW w:w="1058" w:type="dxa"/>
            <w:tcBorders>
              <w:top w:val="nil"/>
              <w:left w:val="nil"/>
              <w:bottom w:val="nil"/>
              <w:right w:val="nil"/>
            </w:tcBorders>
          </w:tcPr>
          <w:p w14:paraId="5F3763B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(-1.38)</w:t>
            </w:r>
          </w:p>
        </w:tc>
        <w:tc>
          <w:tcPr>
            <w:tcW w:w="1057" w:type="dxa"/>
            <w:tcBorders>
              <w:top w:val="nil"/>
              <w:left w:val="nil"/>
              <w:bottom w:val="nil"/>
              <w:right w:val="nil"/>
            </w:tcBorders>
          </w:tcPr>
          <w:p w14:paraId="6AF8BEB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(-1.81)</w:t>
            </w:r>
          </w:p>
        </w:tc>
        <w:tc>
          <w:tcPr>
            <w:tcW w:w="1057" w:type="dxa"/>
            <w:tcBorders>
              <w:top w:val="nil"/>
              <w:left w:val="nil"/>
              <w:bottom w:val="nil"/>
              <w:right w:val="nil"/>
            </w:tcBorders>
          </w:tcPr>
          <w:p w14:paraId="63B85F0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(-1.42)</w:t>
            </w:r>
          </w:p>
        </w:tc>
        <w:tc>
          <w:tcPr>
            <w:tcW w:w="1091" w:type="dxa"/>
            <w:tcBorders>
              <w:top w:val="nil"/>
              <w:left w:val="nil"/>
              <w:bottom w:val="nil"/>
              <w:right w:val="nil"/>
            </w:tcBorders>
          </w:tcPr>
          <w:p w14:paraId="3322310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(-0.59)</w:t>
            </w:r>
          </w:p>
        </w:tc>
        <w:tc>
          <w:tcPr>
            <w:tcW w:w="1057" w:type="dxa"/>
            <w:tcBorders>
              <w:top w:val="nil"/>
              <w:left w:val="nil"/>
              <w:bottom w:val="nil"/>
              <w:right w:val="nil"/>
            </w:tcBorders>
          </w:tcPr>
          <w:p w14:paraId="41C0078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(-1.13)</w:t>
            </w:r>
          </w:p>
        </w:tc>
        <w:tc>
          <w:tcPr>
            <w:tcW w:w="1057" w:type="dxa"/>
            <w:tcBorders>
              <w:top w:val="nil"/>
              <w:left w:val="nil"/>
              <w:bottom w:val="nil"/>
              <w:right w:val="nil"/>
            </w:tcBorders>
          </w:tcPr>
          <w:p w14:paraId="7EED970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(-1.57)</w:t>
            </w:r>
          </w:p>
        </w:tc>
        <w:tc>
          <w:tcPr>
            <w:tcW w:w="1057" w:type="dxa"/>
            <w:tcBorders>
              <w:top w:val="nil"/>
              <w:left w:val="nil"/>
              <w:bottom w:val="nil"/>
              <w:right w:val="nil"/>
            </w:tcBorders>
          </w:tcPr>
          <w:p w14:paraId="7BC8420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(-1.25)</w:t>
            </w:r>
          </w:p>
        </w:tc>
        <w:tc>
          <w:tcPr>
            <w:tcW w:w="1057" w:type="dxa"/>
            <w:tcBorders>
              <w:top w:val="nil"/>
              <w:left w:val="nil"/>
              <w:bottom w:val="nil"/>
              <w:right w:val="nil"/>
            </w:tcBorders>
          </w:tcPr>
          <w:p w14:paraId="4C9A203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(-1.54)</w:t>
            </w:r>
          </w:p>
        </w:tc>
        <w:tc>
          <w:tcPr>
            <w:tcW w:w="1334" w:type="dxa"/>
            <w:tcBorders>
              <w:top w:val="nil"/>
              <w:left w:val="nil"/>
              <w:bottom w:val="nil"/>
              <w:right w:val="nil"/>
            </w:tcBorders>
          </w:tcPr>
          <w:p w14:paraId="4FD2F32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(-6.25)</w:t>
            </w:r>
          </w:p>
        </w:tc>
      </w:tr>
      <w:tr w:rsidR="00170BA7" w:rsidRPr="006F7795" w14:paraId="26EF938C" w14:textId="77777777" w:rsidTr="001C4F74">
        <w:tc>
          <w:tcPr>
            <w:tcW w:w="1058" w:type="dxa"/>
            <w:vMerge w:val="restart"/>
            <w:tcBorders>
              <w:left w:val="nil"/>
              <w:right w:val="nil"/>
            </w:tcBorders>
          </w:tcPr>
          <w:p w14:paraId="7D82842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Trust</w:t>
            </w:r>
          </w:p>
        </w:tc>
        <w:tc>
          <w:tcPr>
            <w:tcW w:w="1058" w:type="dxa"/>
            <w:tcBorders>
              <w:top w:val="nil"/>
              <w:left w:val="nil"/>
              <w:bottom w:val="nil"/>
              <w:right w:val="nil"/>
            </w:tcBorders>
          </w:tcPr>
          <w:p w14:paraId="1315035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-0.0169</w:t>
            </w:r>
          </w:p>
        </w:tc>
        <w:tc>
          <w:tcPr>
            <w:tcW w:w="1058" w:type="dxa"/>
            <w:tcBorders>
              <w:top w:val="nil"/>
              <w:left w:val="nil"/>
              <w:bottom w:val="nil"/>
              <w:right w:val="nil"/>
            </w:tcBorders>
          </w:tcPr>
          <w:p w14:paraId="282F0B5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-0.0194</w:t>
            </w:r>
          </w:p>
        </w:tc>
        <w:tc>
          <w:tcPr>
            <w:tcW w:w="1057" w:type="dxa"/>
            <w:tcBorders>
              <w:top w:val="nil"/>
              <w:left w:val="nil"/>
              <w:bottom w:val="nil"/>
              <w:right w:val="nil"/>
            </w:tcBorders>
          </w:tcPr>
          <w:p w14:paraId="2FD2A21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-0.0184</w:t>
            </w:r>
          </w:p>
        </w:tc>
        <w:tc>
          <w:tcPr>
            <w:tcW w:w="1057" w:type="dxa"/>
            <w:tcBorders>
              <w:top w:val="nil"/>
              <w:left w:val="nil"/>
              <w:bottom w:val="nil"/>
              <w:right w:val="nil"/>
            </w:tcBorders>
          </w:tcPr>
          <w:p w14:paraId="3EA0D02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-0.0206</w:t>
            </w:r>
          </w:p>
        </w:tc>
        <w:tc>
          <w:tcPr>
            <w:tcW w:w="1091" w:type="dxa"/>
            <w:tcBorders>
              <w:top w:val="nil"/>
              <w:left w:val="nil"/>
              <w:bottom w:val="nil"/>
              <w:right w:val="nil"/>
            </w:tcBorders>
          </w:tcPr>
          <w:p w14:paraId="3A5F324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-0.0246</w:t>
            </w:r>
          </w:p>
        </w:tc>
        <w:tc>
          <w:tcPr>
            <w:tcW w:w="1057" w:type="dxa"/>
            <w:tcBorders>
              <w:top w:val="nil"/>
              <w:left w:val="nil"/>
              <w:bottom w:val="nil"/>
              <w:right w:val="nil"/>
            </w:tcBorders>
          </w:tcPr>
          <w:p w14:paraId="711999A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-0.0172</w:t>
            </w:r>
          </w:p>
        </w:tc>
        <w:tc>
          <w:tcPr>
            <w:tcW w:w="1057" w:type="dxa"/>
            <w:tcBorders>
              <w:top w:val="nil"/>
              <w:left w:val="nil"/>
              <w:bottom w:val="nil"/>
              <w:right w:val="nil"/>
            </w:tcBorders>
          </w:tcPr>
          <w:p w14:paraId="7E2861C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-0.0172</w:t>
            </w:r>
          </w:p>
        </w:tc>
        <w:tc>
          <w:tcPr>
            <w:tcW w:w="1057" w:type="dxa"/>
            <w:tcBorders>
              <w:top w:val="nil"/>
              <w:left w:val="nil"/>
              <w:bottom w:val="nil"/>
              <w:right w:val="nil"/>
            </w:tcBorders>
          </w:tcPr>
          <w:p w14:paraId="6E3CCFE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-0.00987</w:t>
            </w:r>
          </w:p>
        </w:tc>
        <w:tc>
          <w:tcPr>
            <w:tcW w:w="1057" w:type="dxa"/>
            <w:tcBorders>
              <w:top w:val="nil"/>
              <w:left w:val="nil"/>
              <w:bottom w:val="nil"/>
              <w:right w:val="nil"/>
            </w:tcBorders>
          </w:tcPr>
          <w:p w14:paraId="2E0100C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-0.00781</w:t>
            </w:r>
          </w:p>
        </w:tc>
        <w:tc>
          <w:tcPr>
            <w:tcW w:w="1334" w:type="dxa"/>
            <w:tcBorders>
              <w:top w:val="nil"/>
              <w:left w:val="nil"/>
              <w:bottom w:val="nil"/>
              <w:right w:val="nil"/>
            </w:tcBorders>
          </w:tcPr>
          <w:p w14:paraId="778791C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-0.00794</w:t>
            </w:r>
          </w:p>
        </w:tc>
      </w:tr>
      <w:tr w:rsidR="00170BA7" w:rsidRPr="006F7795" w14:paraId="7FD51341" w14:textId="77777777" w:rsidTr="001C4F74">
        <w:tc>
          <w:tcPr>
            <w:tcW w:w="1058" w:type="dxa"/>
            <w:vMerge/>
            <w:tcBorders>
              <w:left w:val="nil"/>
              <w:right w:val="nil"/>
            </w:tcBorders>
          </w:tcPr>
          <w:p w14:paraId="4FFC343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196BA0A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c>
          <w:tcPr>
            <w:tcW w:w="1058" w:type="dxa"/>
            <w:tcBorders>
              <w:top w:val="nil"/>
              <w:left w:val="nil"/>
              <w:bottom w:val="nil"/>
              <w:right w:val="nil"/>
            </w:tcBorders>
          </w:tcPr>
          <w:p w14:paraId="50FE365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(-1.13)</w:t>
            </w:r>
          </w:p>
        </w:tc>
        <w:tc>
          <w:tcPr>
            <w:tcW w:w="1057" w:type="dxa"/>
            <w:tcBorders>
              <w:top w:val="nil"/>
              <w:left w:val="nil"/>
              <w:bottom w:val="nil"/>
              <w:right w:val="nil"/>
            </w:tcBorders>
          </w:tcPr>
          <w:p w14:paraId="4377E9D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(-1.14)</w:t>
            </w:r>
          </w:p>
        </w:tc>
        <w:tc>
          <w:tcPr>
            <w:tcW w:w="1057" w:type="dxa"/>
            <w:tcBorders>
              <w:top w:val="nil"/>
              <w:left w:val="nil"/>
              <w:bottom w:val="nil"/>
              <w:right w:val="nil"/>
            </w:tcBorders>
          </w:tcPr>
          <w:p w14:paraId="6A51EFE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(-1.30)</w:t>
            </w:r>
          </w:p>
        </w:tc>
        <w:tc>
          <w:tcPr>
            <w:tcW w:w="1091" w:type="dxa"/>
            <w:tcBorders>
              <w:top w:val="nil"/>
              <w:left w:val="nil"/>
              <w:bottom w:val="nil"/>
              <w:right w:val="nil"/>
            </w:tcBorders>
          </w:tcPr>
          <w:p w14:paraId="646E8B1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(-1.34)</w:t>
            </w:r>
          </w:p>
        </w:tc>
        <w:tc>
          <w:tcPr>
            <w:tcW w:w="1057" w:type="dxa"/>
            <w:tcBorders>
              <w:top w:val="nil"/>
              <w:left w:val="nil"/>
              <w:bottom w:val="nil"/>
              <w:right w:val="nil"/>
            </w:tcBorders>
          </w:tcPr>
          <w:p w14:paraId="7FDA3D4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(-0.99)</w:t>
            </w:r>
          </w:p>
        </w:tc>
        <w:tc>
          <w:tcPr>
            <w:tcW w:w="1057" w:type="dxa"/>
            <w:tcBorders>
              <w:top w:val="nil"/>
              <w:left w:val="nil"/>
              <w:bottom w:val="nil"/>
              <w:right w:val="nil"/>
            </w:tcBorders>
          </w:tcPr>
          <w:p w14:paraId="726DC3C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(-1.07)</w:t>
            </w:r>
          </w:p>
        </w:tc>
        <w:tc>
          <w:tcPr>
            <w:tcW w:w="1057" w:type="dxa"/>
            <w:tcBorders>
              <w:top w:val="nil"/>
              <w:left w:val="nil"/>
              <w:bottom w:val="nil"/>
              <w:right w:val="nil"/>
            </w:tcBorders>
          </w:tcPr>
          <w:p w14:paraId="77FC943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(-0.49)</w:t>
            </w:r>
          </w:p>
        </w:tc>
        <w:tc>
          <w:tcPr>
            <w:tcW w:w="1057" w:type="dxa"/>
            <w:tcBorders>
              <w:top w:val="nil"/>
              <w:left w:val="nil"/>
              <w:bottom w:val="nil"/>
              <w:right w:val="nil"/>
            </w:tcBorders>
          </w:tcPr>
          <w:p w14:paraId="2FCEE39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(-0.46)</w:t>
            </w:r>
          </w:p>
        </w:tc>
        <w:tc>
          <w:tcPr>
            <w:tcW w:w="1334" w:type="dxa"/>
            <w:tcBorders>
              <w:top w:val="nil"/>
              <w:left w:val="nil"/>
              <w:bottom w:val="nil"/>
              <w:right w:val="nil"/>
            </w:tcBorders>
          </w:tcPr>
          <w:p w14:paraId="2EFECB9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(-0.42)</w:t>
            </w:r>
          </w:p>
        </w:tc>
      </w:tr>
      <w:tr w:rsidR="00170BA7" w:rsidRPr="006F7795" w14:paraId="1A7AD5A9" w14:textId="77777777" w:rsidTr="001C4F74">
        <w:tc>
          <w:tcPr>
            <w:tcW w:w="1058" w:type="dxa"/>
            <w:vMerge w:val="restart"/>
            <w:tcBorders>
              <w:left w:val="nil"/>
              <w:right w:val="nil"/>
            </w:tcBorders>
          </w:tcPr>
          <w:p w14:paraId="2C5095A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Quality of government</w:t>
            </w:r>
          </w:p>
        </w:tc>
        <w:tc>
          <w:tcPr>
            <w:tcW w:w="1058" w:type="dxa"/>
            <w:tcBorders>
              <w:top w:val="nil"/>
              <w:left w:val="nil"/>
              <w:bottom w:val="nil"/>
              <w:right w:val="nil"/>
            </w:tcBorders>
          </w:tcPr>
          <w:p w14:paraId="2A8B11C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-0.000303</w:t>
            </w:r>
            <w:r w:rsidRPr="006F7795">
              <w:rPr>
                <w:rFonts w:ascii="Times New Roman" w:hAnsi="Times New Roman" w:cs="Times New Roman"/>
                <w:sz w:val="18"/>
                <w:szCs w:val="18"/>
                <w:vertAlign w:val="superscript"/>
                <w:lang w:val="en-US"/>
              </w:rPr>
              <w:t>**</w:t>
            </w:r>
          </w:p>
        </w:tc>
        <w:tc>
          <w:tcPr>
            <w:tcW w:w="1058" w:type="dxa"/>
            <w:tcBorders>
              <w:top w:val="nil"/>
              <w:left w:val="nil"/>
              <w:bottom w:val="nil"/>
              <w:right w:val="nil"/>
            </w:tcBorders>
          </w:tcPr>
          <w:p w14:paraId="343693E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-0.000342</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2CD5DC9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-0.000309</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237D53F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-0.000292</w:t>
            </w:r>
            <w:r w:rsidRPr="006F7795">
              <w:rPr>
                <w:rFonts w:ascii="Times New Roman" w:hAnsi="Times New Roman" w:cs="Times New Roman"/>
                <w:sz w:val="18"/>
                <w:szCs w:val="18"/>
                <w:vertAlign w:val="superscript"/>
                <w:lang w:val="en-US"/>
              </w:rPr>
              <w:t>**</w:t>
            </w:r>
          </w:p>
        </w:tc>
        <w:tc>
          <w:tcPr>
            <w:tcW w:w="1091" w:type="dxa"/>
            <w:tcBorders>
              <w:top w:val="nil"/>
              <w:left w:val="nil"/>
              <w:bottom w:val="nil"/>
              <w:right w:val="nil"/>
            </w:tcBorders>
          </w:tcPr>
          <w:p w14:paraId="1A0C12C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-0.000222</w:t>
            </w:r>
          </w:p>
        </w:tc>
        <w:tc>
          <w:tcPr>
            <w:tcW w:w="1057" w:type="dxa"/>
            <w:tcBorders>
              <w:top w:val="nil"/>
              <w:left w:val="nil"/>
              <w:bottom w:val="nil"/>
              <w:right w:val="nil"/>
            </w:tcBorders>
          </w:tcPr>
          <w:p w14:paraId="5C38945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-0.000310</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01A07F3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-0.000284</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053E1DA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-0.000360</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3B03747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-0.000357</w:t>
            </w:r>
            <w:r w:rsidRPr="006F7795">
              <w:rPr>
                <w:rFonts w:ascii="Times New Roman" w:hAnsi="Times New Roman" w:cs="Times New Roman"/>
                <w:sz w:val="18"/>
                <w:szCs w:val="18"/>
                <w:vertAlign w:val="superscript"/>
                <w:lang w:val="en-US"/>
              </w:rPr>
              <w:t>***</w:t>
            </w:r>
          </w:p>
        </w:tc>
        <w:tc>
          <w:tcPr>
            <w:tcW w:w="1334" w:type="dxa"/>
            <w:tcBorders>
              <w:top w:val="nil"/>
              <w:left w:val="nil"/>
              <w:bottom w:val="nil"/>
              <w:right w:val="nil"/>
            </w:tcBorders>
          </w:tcPr>
          <w:p w14:paraId="0E98E44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-0.000180</w:t>
            </w:r>
            <w:r w:rsidRPr="006F7795">
              <w:rPr>
                <w:rFonts w:ascii="Times New Roman" w:hAnsi="Times New Roman" w:cs="Times New Roman"/>
                <w:sz w:val="18"/>
                <w:szCs w:val="18"/>
                <w:vertAlign w:val="superscript"/>
                <w:lang w:val="en-US"/>
              </w:rPr>
              <w:t>*</w:t>
            </w:r>
          </w:p>
        </w:tc>
      </w:tr>
      <w:tr w:rsidR="00170BA7" w:rsidRPr="006F7795" w14:paraId="639228E1" w14:textId="77777777" w:rsidTr="001C4F74">
        <w:tc>
          <w:tcPr>
            <w:tcW w:w="1058" w:type="dxa"/>
            <w:vMerge/>
            <w:tcBorders>
              <w:left w:val="nil"/>
              <w:right w:val="nil"/>
            </w:tcBorders>
          </w:tcPr>
          <w:p w14:paraId="756361A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00A6126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(-2.49)</w:t>
            </w:r>
          </w:p>
        </w:tc>
        <w:tc>
          <w:tcPr>
            <w:tcW w:w="1058" w:type="dxa"/>
            <w:tcBorders>
              <w:top w:val="nil"/>
              <w:left w:val="nil"/>
              <w:bottom w:val="nil"/>
              <w:right w:val="nil"/>
            </w:tcBorders>
          </w:tcPr>
          <w:p w14:paraId="7E1D691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(-2.73)</w:t>
            </w:r>
          </w:p>
        </w:tc>
        <w:tc>
          <w:tcPr>
            <w:tcW w:w="1057" w:type="dxa"/>
            <w:tcBorders>
              <w:top w:val="nil"/>
              <w:left w:val="nil"/>
              <w:bottom w:val="nil"/>
              <w:right w:val="nil"/>
            </w:tcBorders>
          </w:tcPr>
          <w:p w14:paraId="495659F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(-2.64)</w:t>
            </w:r>
          </w:p>
        </w:tc>
        <w:tc>
          <w:tcPr>
            <w:tcW w:w="1057" w:type="dxa"/>
            <w:tcBorders>
              <w:top w:val="nil"/>
              <w:left w:val="nil"/>
              <w:bottom w:val="nil"/>
              <w:right w:val="nil"/>
            </w:tcBorders>
          </w:tcPr>
          <w:p w14:paraId="10C7769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(-2.48)</w:t>
            </w:r>
          </w:p>
        </w:tc>
        <w:tc>
          <w:tcPr>
            <w:tcW w:w="1091" w:type="dxa"/>
            <w:tcBorders>
              <w:top w:val="nil"/>
              <w:left w:val="nil"/>
              <w:bottom w:val="nil"/>
              <w:right w:val="nil"/>
            </w:tcBorders>
          </w:tcPr>
          <w:p w14:paraId="4F1C2D8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(-1.49)</w:t>
            </w:r>
          </w:p>
        </w:tc>
        <w:tc>
          <w:tcPr>
            <w:tcW w:w="1057" w:type="dxa"/>
            <w:tcBorders>
              <w:top w:val="nil"/>
              <w:left w:val="nil"/>
              <w:bottom w:val="nil"/>
              <w:right w:val="nil"/>
            </w:tcBorders>
          </w:tcPr>
          <w:p w14:paraId="070A9AB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(-2.34)</w:t>
            </w:r>
          </w:p>
        </w:tc>
        <w:tc>
          <w:tcPr>
            <w:tcW w:w="1057" w:type="dxa"/>
            <w:tcBorders>
              <w:top w:val="nil"/>
              <w:left w:val="nil"/>
              <w:bottom w:val="nil"/>
              <w:right w:val="nil"/>
            </w:tcBorders>
          </w:tcPr>
          <w:p w14:paraId="3CDEF53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(-2.29)</w:t>
            </w:r>
          </w:p>
        </w:tc>
        <w:tc>
          <w:tcPr>
            <w:tcW w:w="1057" w:type="dxa"/>
            <w:tcBorders>
              <w:top w:val="nil"/>
              <w:left w:val="nil"/>
              <w:bottom w:val="nil"/>
              <w:right w:val="nil"/>
            </w:tcBorders>
          </w:tcPr>
          <w:p w14:paraId="50720D6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(-2.29)</w:t>
            </w:r>
          </w:p>
        </w:tc>
        <w:tc>
          <w:tcPr>
            <w:tcW w:w="1057" w:type="dxa"/>
            <w:tcBorders>
              <w:top w:val="nil"/>
              <w:left w:val="nil"/>
              <w:bottom w:val="nil"/>
              <w:right w:val="nil"/>
            </w:tcBorders>
          </w:tcPr>
          <w:p w14:paraId="427A159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(-2.79)</w:t>
            </w:r>
          </w:p>
        </w:tc>
        <w:tc>
          <w:tcPr>
            <w:tcW w:w="1334" w:type="dxa"/>
            <w:tcBorders>
              <w:top w:val="nil"/>
              <w:left w:val="nil"/>
              <w:bottom w:val="nil"/>
              <w:right w:val="nil"/>
            </w:tcBorders>
          </w:tcPr>
          <w:p w14:paraId="609C346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(-1.75)</w:t>
            </w:r>
          </w:p>
        </w:tc>
      </w:tr>
      <w:tr w:rsidR="00170BA7" w:rsidRPr="006F7795" w14:paraId="060425F4" w14:textId="77777777" w:rsidTr="001C4F74">
        <w:tc>
          <w:tcPr>
            <w:tcW w:w="1058" w:type="dxa"/>
            <w:vMerge w:val="restart"/>
            <w:tcBorders>
              <w:left w:val="nil"/>
              <w:right w:val="nil"/>
            </w:tcBorders>
          </w:tcPr>
          <w:p w14:paraId="7937300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Bike sharing</w:t>
            </w:r>
          </w:p>
        </w:tc>
        <w:tc>
          <w:tcPr>
            <w:tcW w:w="1058" w:type="dxa"/>
            <w:tcBorders>
              <w:top w:val="nil"/>
              <w:left w:val="nil"/>
              <w:bottom w:val="nil"/>
              <w:right w:val="nil"/>
            </w:tcBorders>
          </w:tcPr>
          <w:p w14:paraId="553B6DA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0.00235</w:t>
            </w:r>
          </w:p>
        </w:tc>
        <w:tc>
          <w:tcPr>
            <w:tcW w:w="1058" w:type="dxa"/>
            <w:tcBorders>
              <w:top w:val="nil"/>
              <w:left w:val="nil"/>
              <w:bottom w:val="nil"/>
              <w:right w:val="nil"/>
            </w:tcBorders>
          </w:tcPr>
          <w:p w14:paraId="63E9FD6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2AC181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F23F30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612E5B5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A73A4C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1851D4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AC1862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D44AA6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7E4A5DF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16D4280D" w14:textId="77777777" w:rsidTr="001C4F74">
        <w:tc>
          <w:tcPr>
            <w:tcW w:w="1058" w:type="dxa"/>
            <w:vMerge/>
            <w:tcBorders>
              <w:left w:val="nil"/>
              <w:right w:val="nil"/>
            </w:tcBorders>
          </w:tcPr>
          <w:p w14:paraId="6830A4E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2D342D8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(0.58)</w:t>
            </w:r>
          </w:p>
        </w:tc>
        <w:tc>
          <w:tcPr>
            <w:tcW w:w="1058" w:type="dxa"/>
            <w:tcBorders>
              <w:top w:val="nil"/>
              <w:left w:val="nil"/>
              <w:bottom w:val="nil"/>
              <w:right w:val="nil"/>
            </w:tcBorders>
          </w:tcPr>
          <w:p w14:paraId="45C28F0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3F6896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401867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399135F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2D0F6D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599637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88A17F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04C60DB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3D08D4B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4C1E93F1" w14:textId="77777777" w:rsidTr="001C4F74">
        <w:tc>
          <w:tcPr>
            <w:tcW w:w="1058" w:type="dxa"/>
            <w:vMerge w:val="restart"/>
            <w:tcBorders>
              <w:left w:val="nil"/>
              <w:right w:val="nil"/>
            </w:tcBorders>
          </w:tcPr>
          <w:p w14:paraId="6411327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ICT component of the smartness definition</w:t>
            </w:r>
          </w:p>
        </w:tc>
        <w:tc>
          <w:tcPr>
            <w:tcW w:w="1058" w:type="dxa"/>
            <w:tcBorders>
              <w:top w:val="nil"/>
              <w:left w:val="nil"/>
              <w:bottom w:val="nil"/>
              <w:right w:val="nil"/>
            </w:tcBorders>
          </w:tcPr>
          <w:p w14:paraId="02CA04D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1B280DB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0.000121</w:t>
            </w:r>
          </w:p>
        </w:tc>
        <w:tc>
          <w:tcPr>
            <w:tcW w:w="1057" w:type="dxa"/>
            <w:tcBorders>
              <w:top w:val="nil"/>
              <w:left w:val="nil"/>
              <w:bottom w:val="nil"/>
              <w:right w:val="nil"/>
            </w:tcBorders>
          </w:tcPr>
          <w:p w14:paraId="6AA1D62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DA1965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1B128C3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198C07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C1C637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8204B4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09F3EEF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6E22E7A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51A54BED" w14:textId="77777777" w:rsidTr="001C4F74">
        <w:tc>
          <w:tcPr>
            <w:tcW w:w="1058" w:type="dxa"/>
            <w:vMerge/>
            <w:tcBorders>
              <w:left w:val="nil"/>
              <w:right w:val="nil"/>
            </w:tcBorders>
          </w:tcPr>
          <w:p w14:paraId="4C1E521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4240893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40DCA75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(0.12)</w:t>
            </w:r>
          </w:p>
        </w:tc>
        <w:tc>
          <w:tcPr>
            <w:tcW w:w="1057" w:type="dxa"/>
            <w:tcBorders>
              <w:top w:val="nil"/>
              <w:left w:val="nil"/>
              <w:bottom w:val="nil"/>
              <w:right w:val="nil"/>
            </w:tcBorders>
          </w:tcPr>
          <w:p w14:paraId="6C0BD24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C8FA1D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4D3FEB0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827468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05CA6A1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1559AA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0C1BA4E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1B922BC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74B99F50" w14:textId="77777777" w:rsidTr="001C4F74">
        <w:tc>
          <w:tcPr>
            <w:tcW w:w="1058" w:type="dxa"/>
            <w:vMerge w:val="restart"/>
            <w:tcBorders>
              <w:left w:val="nil"/>
              <w:right w:val="nil"/>
            </w:tcBorders>
          </w:tcPr>
          <w:p w14:paraId="4D5EA18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Number of Smart City projects by IBM</w:t>
            </w:r>
          </w:p>
        </w:tc>
        <w:tc>
          <w:tcPr>
            <w:tcW w:w="1058" w:type="dxa"/>
            <w:tcBorders>
              <w:top w:val="nil"/>
              <w:left w:val="nil"/>
              <w:bottom w:val="nil"/>
              <w:right w:val="nil"/>
            </w:tcBorders>
          </w:tcPr>
          <w:p w14:paraId="4266CCF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7CD230A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6A0E8A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0.0110</w:t>
            </w:r>
          </w:p>
        </w:tc>
        <w:tc>
          <w:tcPr>
            <w:tcW w:w="1057" w:type="dxa"/>
            <w:tcBorders>
              <w:top w:val="nil"/>
              <w:left w:val="nil"/>
              <w:bottom w:val="nil"/>
              <w:right w:val="nil"/>
            </w:tcBorders>
          </w:tcPr>
          <w:p w14:paraId="060A503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54B4505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47B8EF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329A19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F29906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89571C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783A6EC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752CA5BC" w14:textId="77777777" w:rsidTr="001C4F74">
        <w:tc>
          <w:tcPr>
            <w:tcW w:w="1058" w:type="dxa"/>
            <w:vMerge/>
            <w:tcBorders>
              <w:left w:val="nil"/>
              <w:right w:val="nil"/>
            </w:tcBorders>
          </w:tcPr>
          <w:p w14:paraId="1021AF2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774A5FE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7B4F471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B6618B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(1.56)</w:t>
            </w:r>
          </w:p>
        </w:tc>
        <w:tc>
          <w:tcPr>
            <w:tcW w:w="1057" w:type="dxa"/>
            <w:tcBorders>
              <w:top w:val="nil"/>
              <w:left w:val="nil"/>
              <w:bottom w:val="nil"/>
              <w:right w:val="nil"/>
            </w:tcBorders>
          </w:tcPr>
          <w:p w14:paraId="06CFE21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7021D84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D7438D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EB6ABB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0E54F4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081E8C6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16FCA40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0DE588B0" w14:textId="77777777" w:rsidTr="001C4F74">
        <w:tc>
          <w:tcPr>
            <w:tcW w:w="1058" w:type="dxa"/>
            <w:vMerge w:val="restart"/>
            <w:tcBorders>
              <w:left w:val="nil"/>
              <w:right w:val="nil"/>
            </w:tcBorders>
          </w:tcPr>
          <w:p w14:paraId="4CDF024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Log of average price per sqm. of average quality downtown apartment</w:t>
            </w:r>
          </w:p>
        </w:tc>
        <w:tc>
          <w:tcPr>
            <w:tcW w:w="1058" w:type="dxa"/>
            <w:tcBorders>
              <w:top w:val="nil"/>
              <w:left w:val="nil"/>
              <w:bottom w:val="nil"/>
              <w:right w:val="nil"/>
            </w:tcBorders>
          </w:tcPr>
          <w:p w14:paraId="2268181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0E72101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8DF157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148814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0.00560</w:t>
            </w:r>
            <w:r w:rsidRPr="006F7795">
              <w:rPr>
                <w:rFonts w:ascii="Times New Roman" w:hAnsi="Times New Roman" w:cs="Times New Roman"/>
                <w:sz w:val="18"/>
                <w:szCs w:val="18"/>
                <w:vertAlign w:val="superscript"/>
                <w:lang w:val="en-US"/>
              </w:rPr>
              <w:t>**</w:t>
            </w:r>
          </w:p>
        </w:tc>
        <w:tc>
          <w:tcPr>
            <w:tcW w:w="1091" w:type="dxa"/>
            <w:tcBorders>
              <w:top w:val="nil"/>
              <w:left w:val="nil"/>
              <w:bottom w:val="nil"/>
              <w:right w:val="nil"/>
            </w:tcBorders>
          </w:tcPr>
          <w:p w14:paraId="4593657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2A871A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31DE5D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D06795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C68CB9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1B57AF1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62F87489" w14:textId="77777777" w:rsidTr="001C4F74">
        <w:tc>
          <w:tcPr>
            <w:tcW w:w="1058" w:type="dxa"/>
            <w:vMerge/>
            <w:tcBorders>
              <w:left w:val="nil"/>
              <w:bottom w:val="nil"/>
              <w:right w:val="nil"/>
            </w:tcBorders>
          </w:tcPr>
          <w:p w14:paraId="39B96E4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19C959D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5C87523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E6AA13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BB67CA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(2.25)</w:t>
            </w:r>
          </w:p>
        </w:tc>
        <w:tc>
          <w:tcPr>
            <w:tcW w:w="1091" w:type="dxa"/>
            <w:tcBorders>
              <w:top w:val="nil"/>
              <w:left w:val="nil"/>
              <w:bottom w:val="nil"/>
              <w:right w:val="nil"/>
            </w:tcBorders>
          </w:tcPr>
          <w:p w14:paraId="52D9518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618DAA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288AD6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072258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615D02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3DE05A6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6E44186A" w14:textId="77777777" w:rsidTr="001C4F74">
        <w:tc>
          <w:tcPr>
            <w:tcW w:w="1058" w:type="dxa"/>
            <w:vMerge w:val="restart"/>
            <w:tcBorders>
              <w:top w:val="nil"/>
              <w:left w:val="nil"/>
              <w:right w:val="nil"/>
            </w:tcBorders>
          </w:tcPr>
          <w:p w14:paraId="709B8D2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Land use: share of continuous urban fabric</w:t>
            </w:r>
          </w:p>
        </w:tc>
        <w:tc>
          <w:tcPr>
            <w:tcW w:w="1058" w:type="dxa"/>
            <w:tcBorders>
              <w:top w:val="nil"/>
              <w:left w:val="nil"/>
              <w:bottom w:val="nil"/>
              <w:right w:val="nil"/>
            </w:tcBorders>
          </w:tcPr>
          <w:p w14:paraId="1A83D64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4EC0676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64B3BF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F49893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5321EC2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76E7B7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-1.204</w:t>
            </w:r>
          </w:p>
        </w:tc>
        <w:tc>
          <w:tcPr>
            <w:tcW w:w="1057" w:type="dxa"/>
            <w:tcBorders>
              <w:top w:val="nil"/>
              <w:left w:val="nil"/>
              <w:bottom w:val="nil"/>
              <w:right w:val="nil"/>
            </w:tcBorders>
          </w:tcPr>
          <w:p w14:paraId="4482C35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78CD54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0DE8AC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147F2F3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1008E1F7" w14:textId="77777777" w:rsidTr="001C4F74">
        <w:tc>
          <w:tcPr>
            <w:tcW w:w="1058" w:type="dxa"/>
            <w:vMerge/>
            <w:tcBorders>
              <w:left w:val="nil"/>
              <w:right w:val="nil"/>
            </w:tcBorders>
          </w:tcPr>
          <w:p w14:paraId="456991D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7E0DD91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744F748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736E31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FB3E20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32F2B7C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4811EB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(-0.26)</w:t>
            </w:r>
          </w:p>
        </w:tc>
        <w:tc>
          <w:tcPr>
            <w:tcW w:w="1057" w:type="dxa"/>
            <w:tcBorders>
              <w:top w:val="nil"/>
              <w:left w:val="nil"/>
              <w:bottom w:val="nil"/>
              <w:right w:val="nil"/>
            </w:tcBorders>
          </w:tcPr>
          <w:p w14:paraId="0885238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6B00CD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AE8788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2365B62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37B9B789" w14:textId="77777777" w:rsidTr="001C4F74">
        <w:tc>
          <w:tcPr>
            <w:tcW w:w="1058" w:type="dxa"/>
            <w:vMerge/>
            <w:tcBorders>
              <w:left w:val="nil"/>
              <w:bottom w:val="nil"/>
              <w:right w:val="nil"/>
            </w:tcBorders>
          </w:tcPr>
          <w:p w14:paraId="3FD1694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5FC039C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6C76877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A372B0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17AAD3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6A550D7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BF2AEA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0823126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0.00000480</w:t>
            </w:r>
          </w:p>
        </w:tc>
        <w:tc>
          <w:tcPr>
            <w:tcW w:w="1057" w:type="dxa"/>
            <w:tcBorders>
              <w:top w:val="nil"/>
              <w:left w:val="nil"/>
              <w:bottom w:val="nil"/>
              <w:right w:val="nil"/>
            </w:tcBorders>
          </w:tcPr>
          <w:p w14:paraId="4485320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44DC72F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583300F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1D67833E" w14:textId="77777777" w:rsidTr="001C4F74">
        <w:tc>
          <w:tcPr>
            <w:tcW w:w="1058" w:type="dxa"/>
            <w:vMerge w:val="restart"/>
            <w:tcBorders>
              <w:top w:val="nil"/>
              <w:left w:val="nil"/>
              <w:right w:val="nil"/>
            </w:tcBorders>
          </w:tcPr>
          <w:p w14:paraId="6AC2E38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Urban sustainability</w:t>
            </w:r>
          </w:p>
        </w:tc>
        <w:tc>
          <w:tcPr>
            <w:tcW w:w="1058" w:type="dxa"/>
            <w:tcBorders>
              <w:top w:val="nil"/>
              <w:left w:val="nil"/>
              <w:bottom w:val="nil"/>
              <w:right w:val="nil"/>
            </w:tcBorders>
          </w:tcPr>
          <w:p w14:paraId="519E927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4B64FD4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C563D4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37A940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608CCCE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49D419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FE8F90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(1.50)</w:t>
            </w:r>
          </w:p>
        </w:tc>
        <w:tc>
          <w:tcPr>
            <w:tcW w:w="1057" w:type="dxa"/>
            <w:tcBorders>
              <w:top w:val="nil"/>
              <w:left w:val="nil"/>
              <w:bottom w:val="nil"/>
              <w:right w:val="nil"/>
            </w:tcBorders>
          </w:tcPr>
          <w:p w14:paraId="57A6082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792FFF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7D721A4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795D98F8" w14:textId="77777777" w:rsidTr="001C4F74">
        <w:tc>
          <w:tcPr>
            <w:tcW w:w="1058" w:type="dxa"/>
            <w:vMerge/>
            <w:tcBorders>
              <w:left w:val="nil"/>
              <w:bottom w:val="nil"/>
              <w:right w:val="nil"/>
            </w:tcBorders>
          </w:tcPr>
          <w:p w14:paraId="2722ACD4"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8" w:type="dxa"/>
            <w:tcBorders>
              <w:top w:val="nil"/>
              <w:left w:val="nil"/>
              <w:bottom w:val="nil"/>
              <w:right w:val="nil"/>
            </w:tcBorders>
          </w:tcPr>
          <w:p w14:paraId="784D098B"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8" w:type="dxa"/>
            <w:tcBorders>
              <w:top w:val="nil"/>
              <w:left w:val="nil"/>
              <w:bottom w:val="nil"/>
              <w:right w:val="nil"/>
            </w:tcBorders>
          </w:tcPr>
          <w:p w14:paraId="3E74131B"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7" w:type="dxa"/>
            <w:tcBorders>
              <w:top w:val="nil"/>
              <w:left w:val="nil"/>
              <w:bottom w:val="nil"/>
              <w:right w:val="nil"/>
            </w:tcBorders>
          </w:tcPr>
          <w:p w14:paraId="060DC529"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7" w:type="dxa"/>
            <w:tcBorders>
              <w:top w:val="nil"/>
              <w:left w:val="nil"/>
              <w:bottom w:val="nil"/>
              <w:right w:val="nil"/>
            </w:tcBorders>
          </w:tcPr>
          <w:p w14:paraId="59515AE8"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91" w:type="dxa"/>
            <w:tcBorders>
              <w:top w:val="nil"/>
              <w:left w:val="nil"/>
              <w:bottom w:val="nil"/>
              <w:right w:val="nil"/>
            </w:tcBorders>
          </w:tcPr>
          <w:p w14:paraId="21196C25"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7" w:type="dxa"/>
            <w:tcBorders>
              <w:top w:val="nil"/>
              <w:left w:val="nil"/>
              <w:bottom w:val="nil"/>
              <w:right w:val="nil"/>
            </w:tcBorders>
          </w:tcPr>
          <w:p w14:paraId="67569690"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7" w:type="dxa"/>
            <w:tcBorders>
              <w:top w:val="nil"/>
              <w:left w:val="nil"/>
              <w:bottom w:val="nil"/>
              <w:right w:val="nil"/>
            </w:tcBorders>
          </w:tcPr>
          <w:p w14:paraId="7FDB0B51"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7" w:type="dxa"/>
            <w:tcBorders>
              <w:top w:val="nil"/>
              <w:left w:val="nil"/>
              <w:bottom w:val="nil"/>
              <w:right w:val="nil"/>
            </w:tcBorders>
          </w:tcPr>
          <w:p w14:paraId="114E300B"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057" w:type="dxa"/>
            <w:tcBorders>
              <w:top w:val="nil"/>
              <w:left w:val="nil"/>
              <w:bottom w:val="nil"/>
              <w:right w:val="nil"/>
            </w:tcBorders>
          </w:tcPr>
          <w:p w14:paraId="7F95D528"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c>
          <w:tcPr>
            <w:tcW w:w="1334" w:type="dxa"/>
            <w:tcBorders>
              <w:top w:val="nil"/>
              <w:left w:val="nil"/>
              <w:bottom w:val="nil"/>
              <w:right w:val="nil"/>
            </w:tcBorders>
          </w:tcPr>
          <w:p w14:paraId="321F6475" w14:textId="77777777" w:rsidR="00170BA7" w:rsidRPr="006F7795" w:rsidRDefault="00170BA7" w:rsidP="001C4F74">
            <w:pPr>
              <w:widowControl w:val="0"/>
              <w:autoSpaceDE w:val="0"/>
              <w:autoSpaceDN w:val="0"/>
              <w:adjustRightInd w:val="0"/>
              <w:spacing w:after="0" w:line="240" w:lineRule="auto"/>
              <w:rPr>
                <w:rFonts w:ascii="Times New Roman" w:hAnsi="Times New Roman" w:cs="Times New Roman"/>
                <w:sz w:val="18"/>
                <w:szCs w:val="18"/>
                <w:lang w:val="en-US"/>
              </w:rPr>
            </w:pPr>
          </w:p>
        </w:tc>
      </w:tr>
      <w:tr w:rsidR="00170BA7" w:rsidRPr="006F7795" w14:paraId="0404F8C1" w14:textId="77777777" w:rsidTr="001C4F74">
        <w:tc>
          <w:tcPr>
            <w:tcW w:w="1058" w:type="dxa"/>
            <w:vMerge w:val="restart"/>
            <w:tcBorders>
              <w:top w:val="nil"/>
              <w:left w:val="nil"/>
              <w:right w:val="nil"/>
            </w:tcBorders>
          </w:tcPr>
          <w:p w14:paraId="16C2525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Urban quality of life</w:t>
            </w:r>
          </w:p>
        </w:tc>
        <w:tc>
          <w:tcPr>
            <w:tcW w:w="1058" w:type="dxa"/>
            <w:tcBorders>
              <w:top w:val="nil"/>
              <w:left w:val="nil"/>
              <w:bottom w:val="nil"/>
              <w:right w:val="nil"/>
            </w:tcBorders>
          </w:tcPr>
          <w:p w14:paraId="37DD8AF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49297B9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7769FA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7CD8918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1B54C90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EB106A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0859313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0C1470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-0.600</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71CE6E5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176B220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2ABCCE18" w14:textId="77777777" w:rsidTr="001C4F74">
        <w:tc>
          <w:tcPr>
            <w:tcW w:w="1058" w:type="dxa"/>
            <w:vMerge/>
            <w:tcBorders>
              <w:left w:val="nil"/>
              <w:bottom w:val="nil"/>
              <w:right w:val="nil"/>
            </w:tcBorders>
          </w:tcPr>
          <w:p w14:paraId="4DC7BCE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02A7045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5C5E8BA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22107F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83AC42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4184D67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023ED6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D56F99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CB1A45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(-1.87)</w:t>
            </w:r>
          </w:p>
        </w:tc>
        <w:tc>
          <w:tcPr>
            <w:tcW w:w="1057" w:type="dxa"/>
            <w:tcBorders>
              <w:top w:val="nil"/>
              <w:left w:val="nil"/>
              <w:bottom w:val="nil"/>
              <w:right w:val="nil"/>
            </w:tcBorders>
          </w:tcPr>
          <w:p w14:paraId="35F9937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nil"/>
              <w:right w:val="nil"/>
            </w:tcBorders>
          </w:tcPr>
          <w:p w14:paraId="429A0BA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554D2737" w14:textId="77777777" w:rsidTr="001C4F74">
        <w:tc>
          <w:tcPr>
            <w:tcW w:w="1058" w:type="dxa"/>
            <w:vMerge w:val="restart"/>
            <w:tcBorders>
              <w:top w:val="nil"/>
              <w:left w:val="nil"/>
              <w:right w:val="nil"/>
            </w:tcBorders>
          </w:tcPr>
          <w:p w14:paraId="283B47C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 xml:space="preserve">Prior urban </w:t>
            </w:r>
            <w:r w:rsidRPr="006F7795">
              <w:rPr>
                <w:rFonts w:ascii="Times New Roman" w:hAnsi="Times New Roman" w:cs="Times New Roman"/>
                <w:sz w:val="18"/>
                <w:szCs w:val="18"/>
                <w:lang w:val="en-US"/>
              </w:rPr>
              <w:lastRenderedPageBreak/>
              <w:t>GDP growth</w:t>
            </w:r>
          </w:p>
        </w:tc>
        <w:tc>
          <w:tcPr>
            <w:tcW w:w="1058" w:type="dxa"/>
            <w:tcBorders>
              <w:top w:val="nil"/>
              <w:left w:val="nil"/>
              <w:bottom w:val="nil"/>
              <w:right w:val="nil"/>
            </w:tcBorders>
          </w:tcPr>
          <w:p w14:paraId="053EA8E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4FE2F53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0E73C5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203AAC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71BA885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C0CCCA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21480F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7A4F44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E3B17A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-0.103</w:t>
            </w:r>
          </w:p>
        </w:tc>
        <w:tc>
          <w:tcPr>
            <w:tcW w:w="1334" w:type="dxa"/>
            <w:tcBorders>
              <w:top w:val="nil"/>
              <w:left w:val="nil"/>
              <w:bottom w:val="nil"/>
              <w:right w:val="nil"/>
            </w:tcBorders>
          </w:tcPr>
          <w:p w14:paraId="6C06A0A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5A6806C7" w14:textId="77777777" w:rsidTr="001C4F74">
        <w:tc>
          <w:tcPr>
            <w:tcW w:w="1058" w:type="dxa"/>
            <w:vMerge/>
            <w:tcBorders>
              <w:left w:val="nil"/>
              <w:bottom w:val="nil"/>
              <w:right w:val="nil"/>
            </w:tcBorders>
          </w:tcPr>
          <w:p w14:paraId="0BE6440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1BCC41E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nil"/>
              <w:right w:val="nil"/>
            </w:tcBorders>
          </w:tcPr>
          <w:p w14:paraId="0608AC0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5BB9CF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5980D00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nil"/>
              <w:right w:val="nil"/>
            </w:tcBorders>
          </w:tcPr>
          <w:p w14:paraId="3DBA37E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2C00313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1E6D456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610C574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nil"/>
              <w:right w:val="nil"/>
            </w:tcBorders>
          </w:tcPr>
          <w:p w14:paraId="317C6CD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(-1.32)</w:t>
            </w:r>
          </w:p>
        </w:tc>
        <w:tc>
          <w:tcPr>
            <w:tcW w:w="1334" w:type="dxa"/>
            <w:tcBorders>
              <w:top w:val="nil"/>
              <w:left w:val="nil"/>
              <w:bottom w:val="nil"/>
              <w:right w:val="nil"/>
            </w:tcBorders>
          </w:tcPr>
          <w:p w14:paraId="0D67991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57D5D392" w14:textId="77777777" w:rsidTr="001C4F74">
        <w:tc>
          <w:tcPr>
            <w:tcW w:w="1058" w:type="dxa"/>
            <w:vMerge w:val="restart"/>
            <w:tcBorders>
              <w:top w:val="nil"/>
              <w:left w:val="nil"/>
              <w:right w:val="nil"/>
            </w:tcBorders>
          </w:tcPr>
          <w:p w14:paraId="63D8E5D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Constant term</w:t>
            </w:r>
          </w:p>
        </w:tc>
        <w:tc>
          <w:tcPr>
            <w:tcW w:w="1058" w:type="dxa"/>
            <w:tcBorders>
              <w:top w:val="nil"/>
              <w:left w:val="nil"/>
              <w:bottom w:val="nil"/>
              <w:right w:val="nil"/>
            </w:tcBorders>
          </w:tcPr>
          <w:p w14:paraId="12F587D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0.138</w:t>
            </w:r>
            <w:r w:rsidRPr="006F7795">
              <w:rPr>
                <w:rFonts w:ascii="Times New Roman" w:hAnsi="Times New Roman" w:cs="Times New Roman"/>
                <w:sz w:val="18"/>
                <w:szCs w:val="18"/>
                <w:vertAlign w:val="superscript"/>
                <w:lang w:val="en-US"/>
              </w:rPr>
              <w:t>***</w:t>
            </w:r>
          </w:p>
        </w:tc>
        <w:tc>
          <w:tcPr>
            <w:tcW w:w="1058" w:type="dxa"/>
            <w:tcBorders>
              <w:top w:val="nil"/>
              <w:left w:val="nil"/>
              <w:bottom w:val="nil"/>
              <w:right w:val="nil"/>
            </w:tcBorders>
          </w:tcPr>
          <w:p w14:paraId="7069728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0.153</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185AEDE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0.134</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7365500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0.116</w:t>
            </w:r>
            <w:r w:rsidRPr="006F7795">
              <w:rPr>
                <w:rFonts w:ascii="Times New Roman" w:hAnsi="Times New Roman" w:cs="Times New Roman"/>
                <w:sz w:val="18"/>
                <w:szCs w:val="18"/>
                <w:vertAlign w:val="superscript"/>
                <w:lang w:val="en-US"/>
              </w:rPr>
              <w:t>***</w:t>
            </w:r>
          </w:p>
        </w:tc>
        <w:tc>
          <w:tcPr>
            <w:tcW w:w="1091" w:type="dxa"/>
            <w:tcBorders>
              <w:top w:val="nil"/>
              <w:left w:val="nil"/>
              <w:bottom w:val="nil"/>
              <w:right w:val="nil"/>
            </w:tcBorders>
          </w:tcPr>
          <w:p w14:paraId="10BBA3E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0.147</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098B0DD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0.144</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369DAFF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0.136</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5A73800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0.439</w:t>
            </w:r>
            <w:r w:rsidRPr="006F7795">
              <w:rPr>
                <w:rFonts w:ascii="Times New Roman" w:hAnsi="Times New Roman" w:cs="Times New Roman"/>
                <w:sz w:val="18"/>
                <w:szCs w:val="18"/>
                <w:vertAlign w:val="superscript"/>
                <w:lang w:val="en-US"/>
              </w:rPr>
              <w:t>**</w:t>
            </w:r>
          </w:p>
        </w:tc>
        <w:tc>
          <w:tcPr>
            <w:tcW w:w="1057" w:type="dxa"/>
            <w:tcBorders>
              <w:top w:val="nil"/>
              <w:left w:val="nil"/>
              <w:bottom w:val="nil"/>
              <w:right w:val="nil"/>
            </w:tcBorders>
          </w:tcPr>
          <w:p w14:paraId="1C0441D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0.114</w:t>
            </w:r>
            <w:r w:rsidRPr="006F7795">
              <w:rPr>
                <w:rFonts w:ascii="Times New Roman" w:hAnsi="Times New Roman" w:cs="Times New Roman"/>
                <w:sz w:val="18"/>
                <w:szCs w:val="18"/>
                <w:vertAlign w:val="superscript"/>
                <w:lang w:val="en-US"/>
              </w:rPr>
              <w:t>***</w:t>
            </w:r>
          </w:p>
        </w:tc>
        <w:tc>
          <w:tcPr>
            <w:tcW w:w="1334" w:type="dxa"/>
            <w:tcBorders>
              <w:top w:val="nil"/>
              <w:left w:val="nil"/>
              <w:bottom w:val="nil"/>
              <w:right w:val="nil"/>
            </w:tcBorders>
          </w:tcPr>
          <w:p w14:paraId="6A5EF47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0.0662</w:t>
            </w:r>
            <w:r w:rsidRPr="006F7795">
              <w:rPr>
                <w:rFonts w:ascii="Times New Roman" w:hAnsi="Times New Roman" w:cs="Times New Roman"/>
                <w:sz w:val="18"/>
                <w:szCs w:val="18"/>
                <w:vertAlign w:val="superscript"/>
                <w:lang w:val="en-US"/>
              </w:rPr>
              <w:t>***</w:t>
            </w:r>
          </w:p>
        </w:tc>
      </w:tr>
      <w:tr w:rsidR="00170BA7" w:rsidRPr="006F7795" w14:paraId="509A709F" w14:textId="77777777" w:rsidTr="001C4F74">
        <w:tc>
          <w:tcPr>
            <w:tcW w:w="1058" w:type="dxa"/>
            <w:vMerge/>
            <w:tcBorders>
              <w:left w:val="nil"/>
              <w:bottom w:val="single" w:sz="4" w:space="0" w:color="auto"/>
              <w:right w:val="nil"/>
            </w:tcBorders>
          </w:tcPr>
          <w:p w14:paraId="41226D6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single" w:sz="4" w:space="0" w:color="auto"/>
              <w:right w:val="nil"/>
            </w:tcBorders>
          </w:tcPr>
          <w:p w14:paraId="60CC727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(4.12)</w:t>
            </w:r>
          </w:p>
        </w:tc>
        <w:tc>
          <w:tcPr>
            <w:tcW w:w="1058" w:type="dxa"/>
            <w:tcBorders>
              <w:top w:val="nil"/>
              <w:left w:val="nil"/>
              <w:bottom w:val="single" w:sz="4" w:space="0" w:color="auto"/>
              <w:right w:val="nil"/>
            </w:tcBorders>
          </w:tcPr>
          <w:p w14:paraId="1E5136B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(4.65)</w:t>
            </w:r>
          </w:p>
        </w:tc>
        <w:tc>
          <w:tcPr>
            <w:tcW w:w="1057" w:type="dxa"/>
            <w:tcBorders>
              <w:top w:val="nil"/>
              <w:left w:val="nil"/>
              <w:bottom w:val="single" w:sz="4" w:space="0" w:color="auto"/>
              <w:right w:val="nil"/>
            </w:tcBorders>
          </w:tcPr>
          <w:p w14:paraId="2CAC2C3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(3.94)</w:t>
            </w:r>
          </w:p>
        </w:tc>
        <w:tc>
          <w:tcPr>
            <w:tcW w:w="1057" w:type="dxa"/>
            <w:tcBorders>
              <w:top w:val="nil"/>
              <w:left w:val="nil"/>
              <w:bottom w:val="single" w:sz="4" w:space="0" w:color="auto"/>
              <w:right w:val="nil"/>
            </w:tcBorders>
          </w:tcPr>
          <w:p w14:paraId="64294D3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(3.51)</w:t>
            </w:r>
          </w:p>
        </w:tc>
        <w:tc>
          <w:tcPr>
            <w:tcW w:w="1091" w:type="dxa"/>
            <w:tcBorders>
              <w:top w:val="nil"/>
              <w:left w:val="nil"/>
              <w:bottom w:val="single" w:sz="4" w:space="0" w:color="auto"/>
              <w:right w:val="nil"/>
            </w:tcBorders>
          </w:tcPr>
          <w:p w14:paraId="1F840DE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(4.08)</w:t>
            </w:r>
          </w:p>
        </w:tc>
        <w:tc>
          <w:tcPr>
            <w:tcW w:w="1057" w:type="dxa"/>
            <w:tcBorders>
              <w:top w:val="nil"/>
              <w:left w:val="nil"/>
              <w:bottom w:val="single" w:sz="4" w:space="0" w:color="auto"/>
              <w:right w:val="nil"/>
            </w:tcBorders>
          </w:tcPr>
          <w:p w14:paraId="2815FF0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(3.91)</w:t>
            </w:r>
          </w:p>
        </w:tc>
        <w:tc>
          <w:tcPr>
            <w:tcW w:w="1057" w:type="dxa"/>
            <w:tcBorders>
              <w:top w:val="nil"/>
              <w:left w:val="nil"/>
              <w:bottom w:val="single" w:sz="4" w:space="0" w:color="auto"/>
              <w:right w:val="nil"/>
            </w:tcBorders>
          </w:tcPr>
          <w:p w14:paraId="6EE4AA0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(4.03)</w:t>
            </w:r>
          </w:p>
        </w:tc>
        <w:tc>
          <w:tcPr>
            <w:tcW w:w="1057" w:type="dxa"/>
            <w:tcBorders>
              <w:top w:val="nil"/>
              <w:left w:val="nil"/>
              <w:bottom w:val="single" w:sz="4" w:space="0" w:color="auto"/>
              <w:right w:val="nil"/>
            </w:tcBorders>
          </w:tcPr>
          <w:p w14:paraId="555B67C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(2.39)</w:t>
            </w:r>
          </w:p>
        </w:tc>
        <w:tc>
          <w:tcPr>
            <w:tcW w:w="1057" w:type="dxa"/>
            <w:tcBorders>
              <w:top w:val="nil"/>
              <w:left w:val="nil"/>
              <w:bottom w:val="single" w:sz="4" w:space="0" w:color="auto"/>
              <w:right w:val="nil"/>
            </w:tcBorders>
          </w:tcPr>
          <w:p w14:paraId="2EA9B8D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(3.33)</w:t>
            </w:r>
          </w:p>
        </w:tc>
        <w:tc>
          <w:tcPr>
            <w:tcW w:w="1334" w:type="dxa"/>
            <w:tcBorders>
              <w:top w:val="nil"/>
              <w:left w:val="nil"/>
              <w:bottom w:val="single" w:sz="4" w:space="0" w:color="auto"/>
              <w:right w:val="nil"/>
            </w:tcBorders>
          </w:tcPr>
          <w:p w14:paraId="40246DF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(6.70)</w:t>
            </w:r>
          </w:p>
        </w:tc>
      </w:tr>
      <w:tr w:rsidR="00170BA7" w:rsidRPr="006F7795" w14:paraId="0539926C" w14:textId="77777777" w:rsidTr="001C4F74">
        <w:tc>
          <w:tcPr>
            <w:tcW w:w="1058" w:type="dxa"/>
            <w:tcBorders>
              <w:top w:val="single" w:sz="4" w:space="0" w:color="auto"/>
              <w:left w:val="nil"/>
              <w:bottom w:val="single" w:sz="4" w:space="0" w:color="auto"/>
              <w:right w:val="nil"/>
            </w:tcBorders>
          </w:tcPr>
          <w:p w14:paraId="4FDF54D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F7795">
              <w:rPr>
                <w:rFonts w:ascii="Times New Roman" w:hAnsi="Times New Roman" w:cs="Times New Roman"/>
                <w:sz w:val="20"/>
                <w:szCs w:val="20"/>
                <w:lang w:val="en-US"/>
              </w:rPr>
              <w:t>Estimation method</w:t>
            </w:r>
          </w:p>
        </w:tc>
        <w:tc>
          <w:tcPr>
            <w:tcW w:w="1058" w:type="dxa"/>
            <w:tcBorders>
              <w:top w:val="single" w:sz="4" w:space="0" w:color="auto"/>
              <w:left w:val="nil"/>
              <w:bottom w:val="single" w:sz="4" w:space="0" w:color="auto"/>
              <w:right w:val="nil"/>
            </w:tcBorders>
          </w:tcPr>
          <w:p w14:paraId="45C65DC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058" w:type="dxa"/>
            <w:tcBorders>
              <w:top w:val="single" w:sz="4" w:space="0" w:color="auto"/>
              <w:left w:val="nil"/>
              <w:bottom w:val="single" w:sz="4" w:space="0" w:color="auto"/>
              <w:right w:val="nil"/>
            </w:tcBorders>
          </w:tcPr>
          <w:p w14:paraId="6607579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057" w:type="dxa"/>
            <w:tcBorders>
              <w:top w:val="single" w:sz="4" w:space="0" w:color="auto"/>
              <w:left w:val="nil"/>
              <w:bottom w:val="single" w:sz="4" w:space="0" w:color="auto"/>
              <w:right w:val="nil"/>
            </w:tcBorders>
          </w:tcPr>
          <w:p w14:paraId="42B7B7E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057" w:type="dxa"/>
            <w:tcBorders>
              <w:top w:val="single" w:sz="4" w:space="0" w:color="auto"/>
              <w:left w:val="nil"/>
              <w:bottom w:val="single" w:sz="4" w:space="0" w:color="auto"/>
              <w:right w:val="nil"/>
            </w:tcBorders>
          </w:tcPr>
          <w:p w14:paraId="1D16414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091" w:type="dxa"/>
            <w:tcBorders>
              <w:top w:val="single" w:sz="4" w:space="0" w:color="auto"/>
              <w:left w:val="nil"/>
              <w:bottom w:val="single" w:sz="4" w:space="0" w:color="auto"/>
              <w:right w:val="nil"/>
            </w:tcBorders>
          </w:tcPr>
          <w:p w14:paraId="79D2208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SDM</w:t>
            </w:r>
          </w:p>
        </w:tc>
        <w:tc>
          <w:tcPr>
            <w:tcW w:w="1057" w:type="dxa"/>
            <w:tcBorders>
              <w:top w:val="single" w:sz="4" w:space="0" w:color="auto"/>
              <w:left w:val="nil"/>
              <w:bottom w:val="single" w:sz="4" w:space="0" w:color="auto"/>
              <w:right w:val="nil"/>
            </w:tcBorders>
          </w:tcPr>
          <w:p w14:paraId="0D367A3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057" w:type="dxa"/>
            <w:tcBorders>
              <w:top w:val="single" w:sz="4" w:space="0" w:color="auto"/>
              <w:left w:val="nil"/>
              <w:bottom w:val="single" w:sz="4" w:space="0" w:color="auto"/>
              <w:right w:val="nil"/>
            </w:tcBorders>
          </w:tcPr>
          <w:p w14:paraId="7DFB590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057" w:type="dxa"/>
            <w:tcBorders>
              <w:top w:val="single" w:sz="4" w:space="0" w:color="auto"/>
              <w:left w:val="nil"/>
              <w:bottom w:val="single" w:sz="4" w:space="0" w:color="auto"/>
              <w:right w:val="nil"/>
            </w:tcBorders>
          </w:tcPr>
          <w:p w14:paraId="2E938BE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057" w:type="dxa"/>
            <w:tcBorders>
              <w:top w:val="single" w:sz="4" w:space="0" w:color="auto"/>
              <w:left w:val="nil"/>
              <w:bottom w:val="single" w:sz="4" w:space="0" w:color="auto"/>
              <w:right w:val="nil"/>
            </w:tcBorders>
          </w:tcPr>
          <w:p w14:paraId="6D6C056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OLS</w:t>
            </w:r>
          </w:p>
        </w:tc>
        <w:tc>
          <w:tcPr>
            <w:tcW w:w="1334" w:type="dxa"/>
            <w:tcBorders>
              <w:top w:val="single" w:sz="4" w:space="0" w:color="auto"/>
              <w:left w:val="nil"/>
              <w:bottom w:val="single" w:sz="4" w:space="0" w:color="auto"/>
              <w:right w:val="nil"/>
            </w:tcBorders>
          </w:tcPr>
          <w:p w14:paraId="6417EF0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IV</w:t>
            </w:r>
          </w:p>
        </w:tc>
      </w:tr>
      <w:tr w:rsidR="00170BA7" w:rsidRPr="006F7795" w14:paraId="1E27135C" w14:textId="77777777" w:rsidTr="001C4F74">
        <w:tc>
          <w:tcPr>
            <w:tcW w:w="1058" w:type="dxa"/>
            <w:tcBorders>
              <w:top w:val="single" w:sz="4" w:space="0" w:color="auto"/>
              <w:left w:val="nil"/>
              <w:right w:val="nil"/>
            </w:tcBorders>
          </w:tcPr>
          <w:p w14:paraId="0CB2F98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20"/>
                <w:szCs w:val="20"/>
                <w:lang w:val="en-US"/>
              </w:rPr>
              <w:t>λ</w:t>
            </w:r>
          </w:p>
        </w:tc>
        <w:tc>
          <w:tcPr>
            <w:tcW w:w="1058" w:type="dxa"/>
            <w:tcBorders>
              <w:top w:val="single" w:sz="4" w:space="0" w:color="auto"/>
              <w:left w:val="nil"/>
              <w:right w:val="nil"/>
            </w:tcBorders>
          </w:tcPr>
          <w:p w14:paraId="491B5DA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single" w:sz="4" w:space="0" w:color="auto"/>
              <w:left w:val="nil"/>
              <w:right w:val="nil"/>
            </w:tcBorders>
          </w:tcPr>
          <w:p w14:paraId="39E5811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34959DD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6AD4A56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single" w:sz="4" w:space="0" w:color="auto"/>
              <w:left w:val="nil"/>
              <w:right w:val="nil"/>
            </w:tcBorders>
          </w:tcPr>
          <w:p w14:paraId="7AD9727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-0.264</w:t>
            </w:r>
          </w:p>
        </w:tc>
        <w:tc>
          <w:tcPr>
            <w:tcW w:w="1057" w:type="dxa"/>
            <w:tcBorders>
              <w:top w:val="single" w:sz="4" w:space="0" w:color="auto"/>
              <w:left w:val="nil"/>
              <w:right w:val="nil"/>
            </w:tcBorders>
          </w:tcPr>
          <w:p w14:paraId="030A608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4025242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6BE7FC1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3DBE5FE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single" w:sz="4" w:space="0" w:color="auto"/>
              <w:left w:val="nil"/>
              <w:right w:val="nil"/>
            </w:tcBorders>
          </w:tcPr>
          <w:p w14:paraId="4B73378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77ADBAAD" w14:textId="77777777" w:rsidTr="001C4F74">
        <w:tc>
          <w:tcPr>
            <w:tcW w:w="1058" w:type="dxa"/>
            <w:tcBorders>
              <w:top w:val="nil"/>
              <w:left w:val="nil"/>
              <w:bottom w:val="single" w:sz="4" w:space="0" w:color="auto"/>
              <w:right w:val="nil"/>
            </w:tcBorders>
          </w:tcPr>
          <w:p w14:paraId="5C1E82E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single" w:sz="4" w:space="0" w:color="auto"/>
              <w:right w:val="nil"/>
            </w:tcBorders>
          </w:tcPr>
          <w:p w14:paraId="19914AB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single" w:sz="4" w:space="0" w:color="auto"/>
              <w:right w:val="nil"/>
            </w:tcBorders>
          </w:tcPr>
          <w:p w14:paraId="75EB093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54CC930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4731B26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single" w:sz="4" w:space="0" w:color="auto"/>
              <w:right w:val="nil"/>
            </w:tcBorders>
          </w:tcPr>
          <w:p w14:paraId="58954BF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(-0.47)</w:t>
            </w:r>
          </w:p>
        </w:tc>
        <w:tc>
          <w:tcPr>
            <w:tcW w:w="1057" w:type="dxa"/>
            <w:tcBorders>
              <w:top w:val="nil"/>
              <w:left w:val="nil"/>
              <w:bottom w:val="single" w:sz="4" w:space="0" w:color="auto"/>
              <w:right w:val="nil"/>
            </w:tcBorders>
          </w:tcPr>
          <w:p w14:paraId="728F3D6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7C349FD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09E4F71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2FE8DEB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single" w:sz="4" w:space="0" w:color="auto"/>
              <w:right w:val="nil"/>
            </w:tcBorders>
          </w:tcPr>
          <w:p w14:paraId="13B3E6E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153D5504" w14:textId="77777777" w:rsidTr="001C4F74">
        <w:tc>
          <w:tcPr>
            <w:tcW w:w="1058" w:type="dxa"/>
            <w:tcBorders>
              <w:top w:val="single" w:sz="4" w:space="0" w:color="auto"/>
              <w:left w:val="nil"/>
              <w:right w:val="nil"/>
            </w:tcBorders>
          </w:tcPr>
          <w:p w14:paraId="5EDF76B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20"/>
                <w:szCs w:val="20"/>
                <w:lang w:val="en-US"/>
              </w:rPr>
              <w:t>ρ</w:t>
            </w:r>
          </w:p>
        </w:tc>
        <w:tc>
          <w:tcPr>
            <w:tcW w:w="1058" w:type="dxa"/>
            <w:tcBorders>
              <w:top w:val="single" w:sz="4" w:space="0" w:color="auto"/>
              <w:left w:val="nil"/>
              <w:right w:val="nil"/>
            </w:tcBorders>
          </w:tcPr>
          <w:p w14:paraId="3DDAD5C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single" w:sz="4" w:space="0" w:color="auto"/>
              <w:left w:val="nil"/>
              <w:right w:val="nil"/>
            </w:tcBorders>
          </w:tcPr>
          <w:p w14:paraId="0F46FD3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316D185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414BE15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single" w:sz="4" w:space="0" w:color="auto"/>
              <w:left w:val="nil"/>
              <w:right w:val="nil"/>
            </w:tcBorders>
          </w:tcPr>
          <w:p w14:paraId="17111D6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3.137</w:t>
            </w:r>
          </w:p>
        </w:tc>
        <w:tc>
          <w:tcPr>
            <w:tcW w:w="1057" w:type="dxa"/>
            <w:tcBorders>
              <w:top w:val="single" w:sz="4" w:space="0" w:color="auto"/>
              <w:left w:val="nil"/>
              <w:right w:val="nil"/>
            </w:tcBorders>
          </w:tcPr>
          <w:p w14:paraId="06A2AF6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2A2EA20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5A0A000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right w:val="nil"/>
            </w:tcBorders>
          </w:tcPr>
          <w:p w14:paraId="4CB06D4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single" w:sz="4" w:space="0" w:color="auto"/>
              <w:left w:val="nil"/>
              <w:right w:val="nil"/>
            </w:tcBorders>
          </w:tcPr>
          <w:p w14:paraId="275C267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258B16F6" w14:textId="77777777" w:rsidTr="001C4F74">
        <w:tc>
          <w:tcPr>
            <w:tcW w:w="1058" w:type="dxa"/>
            <w:tcBorders>
              <w:top w:val="nil"/>
              <w:left w:val="nil"/>
              <w:bottom w:val="single" w:sz="4" w:space="0" w:color="auto"/>
              <w:right w:val="nil"/>
            </w:tcBorders>
          </w:tcPr>
          <w:p w14:paraId="6CF3387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single" w:sz="4" w:space="0" w:color="auto"/>
              <w:right w:val="nil"/>
            </w:tcBorders>
          </w:tcPr>
          <w:p w14:paraId="49CB22E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single" w:sz="4" w:space="0" w:color="auto"/>
              <w:right w:val="nil"/>
            </w:tcBorders>
          </w:tcPr>
          <w:p w14:paraId="1106A56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47041DB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03F498E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single" w:sz="4" w:space="0" w:color="auto"/>
              <w:right w:val="nil"/>
            </w:tcBorders>
          </w:tcPr>
          <w:p w14:paraId="599B6C5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(1.58)</w:t>
            </w:r>
          </w:p>
        </w:tc>
        <w:tc>
          <w:tcPr>
            <w:tcW w:w="1057" w:type="dxa"/>
            <w:tcBorders>
              <w:top w:val="nil"/>
              <w:left w:val="nil"/>
              <w:bottom w:val="single" w:sz="4" w:space="0" w:color="auto"/>
              <w:right w:val="nil"/>
            </w:tcBorders>
          </w:tcPr>
          <w:p w14:paraId="3A9891A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0A17E4F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51B8C8C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38FA5DD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single" w:sz="4" w:space="0" w:color="auto"/>
              <w:right w:val="nil"/>
            </w:tcBorders>
          </w:tcPr>
          <w:p w14:paraId="77EEF71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1DC7BC3D" w14:textId="77777777" w:rsidTr="001C4F74">
        <w:tc>
          <w:tcPr>
            <w:tcW w:w="1058" w:type="dxa"/>
            <w:tcBorders>
              <w:top w:val="single" w:sz="4" w:space="0" w:color="auto"/>
              <w:left w:val="nil"/>
              <w:bottom w:val="nil"/>
              <w:right w:val="nil"/>
            </w:tcBorders>
          </w:tcPr>
          <w:p w14:paraId="63FCA5E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20"/>
                <w:szCs w:val="20"/>
                <w:lang w:val="en-US"/>
              </w:rPr>
              <w:t>σ</w:t>
            </w:r>
            <w:r w:rsidRPr="006F7795">
              <w:rPr>
                <w:rFonts w:ascii="Times New Roman" w:hAnsi="Times New Roman" w:cs="Times New Roman"/>
                <w:sz w:val="20"/>
                <w:szCs w:val="20"/>
                <w:vertAlign w:val="superscript"/>
                <w:lang w:val="en-US"/>
              </w:rPr>
              <w:t>2</w:t>
            </w:r>
          </w:p>
        </w:tc>
        <w:tc>
          <w:tcPr>
            <w:tcW w:w="1058" w:type="dxa"/>
            <w:tcBorders>
              <w:top w:val="single" w:sz="4" w:space="0" w:color="auto"/>
              <w:left w:val="nil"/>
              <w:bottom w:val="nil"/>
              <w:right w:val="nil"/>
            </w:tcBorders>
          </w:tcPr>
          <w:p w14:paraId="6E761E4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single" w:sz="4" w:space="0" w:color="auto"/>
              <w:left w:val="nil"/>
              <w:bottom w:val="nil"/>
              <w:right w:val="nil"/>
            </w:tcBorders>
          </w:tcPr>
          <w:p w14:paraId="447592C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bottom w:val="nil"/>
              <w:right w:val="nil"/>
            </w:tcBorders>
          </w:tcPr>
          <w:p w14:paraId="6D8D445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bottom w:val="nil"/>
              <w:right w:val="nil"/>
            </w:tcBorders>
          </w:tcPr>
          <w:p w14:paraId="5F83D29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single" w:sz="4" w:space="0" w:color="auto"/>
              <w:left w:val="nil"/>
              <w:bottom w:val="nil"/>
              <w:right w:val="nil"/>
            </w:tcBorders>
          </w:tcPr>
          <w:p w14:paraId="5F31BC0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0.000301</w:t>
            </w:r>
            <w:r w:rsidRPr="006F7795">
              <w:rPr>
                <w:rFonts w:ascii="Times New Roman" w:hAnsi="Times New Roman" w:cs="Times New Roman"/>
                <w:sz w:val="18"/>
                <w:szCs w:val="18"/>
                <w:vertAlign w:val="superscript"/>
                <w:lang w:val="en-US"/>
              </w:rPr>
              <w:t>***</w:t>
            </w:r>
          </w:p>
        </w:tc>
        <w:tc>
          <w:tcPr>
            <w:tcW w:w="1057" w:type="dxa"/>
            <w:tcBorders>
              <w:top w:val="single" w:sz="4" w:space="0" w:color="auto"/>
              <w:left w:val="nil"/>
              <w:bottom w:val="nil"/>
              <w:right w:val="nil"/>
            </w:tcBorders>
          </w:tcPr>
          <w:p w14:paraId="1207FB1E"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bottom w:val="nil"/>
              <w:right w:val="nil"/>
            </w:tcBorders>
          </w:tcPr>
          <w:p w14:paraId="573970C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bottom w:val="nil"/>
              <w:right w:val="nil"/>
            </w:tcBorders>
          </w:tcPr>
          <w:p w14:paraId="51A996E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single" w:sz="4" w:space="0" w:color="auto"/>
              <w:left w:val="nil"/>
              <w:bottom w:val="nil"/>
              <w:right w:val="nil"/>
            </w:tcBorders>
          </w:tcPr>
          <w:p w14:paraId="720F16B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single" w:sz="4" w:space="0" w:color="auto"/>
              <w:left w:val="nil"/>
              <w:bottom w:val="nil"/>
              <w:right w:val="nil"/>
            </w:tcBorders>
          </w:tcPr>
          <w:p w14:paraId="47E7AC3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74773C43" w14:textId="77777777" w:rsidTr="001C4F74">
        <w:tc>
          <w:tcPr>
            <w:tcW w:w="1058" w:type="dxa"/>
            <w:tcBorders>
              <w:top w:val="nil"/>
              <w:left w:val="nil"/>
              <w:bottom w:val="single" w:sz="4" w:space="0" w:color="auto"/>
              <w:right w:val="nil"/>
            </w:tcBorders>
          </w:tcPr>
          <w:p w14:paraId="128D315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single" w:sz="4" w:space="0" w:color="auto"/>
              <w:right w:val="nil"/>
            </w:tcBorders>
          </w:tcPr>
          <w:p w14:paraId="4DAAFE3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8" w:type="dxa"/>
            <w:tcBorders>
              <w:top w:val="nil"/>
              <w:left w:val="nil"/>
              <w:bottom w:val="single" w:sz="4" w:space="0" w:color="auto"/>
              <w:right w:val="nil"/>
            </w:tcBorders>
          </w:tcPr>
          <w:p w14:paraId="33E790D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55AC9AE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59BEF04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91" w:type="dxa"/>
            <w:tcBorders>
              <w:top w:val="nil"/>
              <w:left w:val="nil"/>
              <w:bottom w:val="single" w:sz="4" w:space="0" w:color="auto"/>
              <w:right w:val="nil"/>
            </w:tcBorders>
          </w:tcPr>
          <w:p w14:paraId="0D157AC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(7.15)</w:t>
            </w:r>
          </w:p>
        </w:tc>
        <w:tc>
          <w:tcPr>
            <w:tcW w:w="1057" w:type="dxa"/>
            <w:tcBorders>
              <w:top w:val="nil"/>
              <w:left w:val="nil"/>
              <w:bottom w:val="single" w:sz="4" w:space="0" w:color="auto"/>
              <w:right w:val="nil"/>
            </w:tcBorders>
          </w:tcPr>
          <w:p w14:paraId="0C144F6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023803B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39F2FAF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3991AE4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single" w:sz="4" w:space="0" w:color="auto"/>
              <w:right w:val="nil"/>
            </w:tcBorders>
          </w:tcPr>
          <w:p w14:paraId="24D758D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170BA7" w:rsidRPr="006F7795" w14:paraId="5749FF0D" w14:textId="77777777" w:rsidTr="001C4F74">
        <w:tc>
          <w:tcPr>
            <w:tcW w:w="1058" w:type="dxa"/>
            <w:tcBorders>
              <w:top w:val="nil"/>
              <w:left w:val="nil"/>
              <w:bottom w:val="single" w:sz="4" w:space="0" w:color="auto"/>
              <w:right w:val="nil"/>
            </w:tcBorders>
          </w:tcPr>
          <w:p w14:paraId="1D4FDD9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Variables instrumented</w:t>
            </w:r>
          </w:p>
        </w:tc>
        <w:tc>
          <w:tcPr>
            <w:tcW w:w="1058" w:type="dxa"/>
            <w:tcBorders>
              <w:top w:val="nil"/>
              <w:left w:val="nil"/>
              <w:bottom w:val="single" w:sz="4" w:space="0" w:color="auto"/>
              <w:right w:val="nil"/>
            </w:tcBorders>
          </w:tcPr>
          <w:p w14:paraId="1BF4981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8" w:type="dxa"/>
            <w:tcBorders>
              <w:top w:val="nil"/>
              <w:left w:val="nil"/>
              <w:bottom w:val="single" w:sz="4" w:space="0" w:color="auto"/>
              <w:right w:val="nil"/>
            </w:tcBorders>
          </w:tcPr>
          <w:p w14:paraId="117B609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4535E14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3F0FC81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91" w:type="dxa"/>
            <w:tcBorders>
              <w:top w:val="nil"/>
              <w:left w:val="nil"/>
              <w:bottom w:val="single" w:sz="4" w:space="0" w:color="auto"/>
              <w:right w:val="nil"/>
            </w:tcBorders>
          </w:tcPr>
          <w:p w14:paraId="5B7B104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1B2BBD3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7807EAB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62C507C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3BC7992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single" w:sz="4" w:space="0" w:color="auto"/>
              <w:right w:val="nil"/>
            </w:tcBorders>
          </w:tcPr>
          <w:p w14:paraId="734C75A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Urban smartness</w:t>
            </w:r>
          </w:p>
        </w:tc>
      </w:tr>
      <w:tr w:rsidR="00170BA7" w:rsidRPr="006F7795" w14:paraId="37D992A0" w14:textId="77777777" w:rsidTr="001C4F74">
        <w:tc>
          <w:tcPr>
            <w:tcW w:w="1058" w:type="dxa"/>
            <w:tcBorders>
              <w:top w:val="nil"/>
              <w:left w:val="nil"/>
              <w:bottom w:val="single" w:sz="4" w:space="0" w:color="auto"/>
              <w:right w:val="nil"/>
            </w:tcBorders>
          </w:tcPr>
          <w:p w14:paraId="4CCA73E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Instruments</w:t>
            </w:r>
          </w:p>
        </w:tc>
        <w:tc>
          <w:tcPr>
            <w:tcW w:w="1058" w:type="dxa"/>
            <w:tcBorders>
              <w:top w:val="nil"/>
              <w:left w:val="nil"/>
              <w:bottom w:val="single" w:sz="4" w:space="0" w:color="auto"/>
              <w:right w:val="nil"/>
            </w:tcBorders>
          </w:tcPr>
          <w:p w14:paraId="0DCD717D"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8" w:type="dxa"/>
            <w:tcBorders>
              <w:top w:val="nil"/>
              <w:left w:val="nil"/>
              <w:bottom w:val="single" w:sz="4" w:space="0" w:color="auto"/>
              <w:right w:val="nil"/>
            </w:tcBorders>
          </w:tcPr>
          <w:p w14:paraId="1D87729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7044152C"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7EED1EA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91" w:type="dxa"/>
            <w:tcBorders>
              <w:top w:val="nil"/>
              <w:left w:val="nil"/>
              <w:bottom w:val="single" w:sz="4" w:space="0" w:color="auto"/>
              <w:right w:val="nil"/>
            </w:tcBorders>
          </w:tcPr>
          <w:p w14:paraId="69BE25F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3EC3563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66CF3B8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372B385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57" w:type="dxa"/>
            <w:tcBorders>
              <w:top w:val="nil"/>
              <w:left w:val="nil"/>
              <w:bottom w:val="single" w:sz="4" w:space="0" w:color="auto"/>
              <w:right w:val="nil"/>
            </w:tcBorders>
          </w:tcPr>
          <w:p w14:paraId="101DC92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334" w:type="dxa"/>
            <w:tcBorders>
              <w:top w:val="nil"/>
              <w:left w:val="nil"/>
              <w:bottom w:val="single" w:sz="4" w:space="0" w:color="auto"/>
              <w:right w:val="nil"/>
            </w:tcBorders>
          </w:tcPr>
          <w:p w14:paraId="61BA018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Optic fiber connectivity</w:t>
            </w:r>
          </w:p>
        </w:tc>
      </w:tr>
      <w:tr w:rsidR="00170BA7" w:rsidRPr="006F7795" w14:paraId="58287BB3" w14:textId="77777777" w:rsidTr="001C4F74">
        <w:tc>
          <w:tcPr>
            <w:tcW w:w="1058" w:type="dxa"/>
            <w:tcBorders>
              <w:top w:val="single" w:sz="4" w:space="0" w:color="auto"/>
              <w:left w:val="nil"/>
              <w:bottom w:val="nil"/>
              <w:right w:val="nil"/>
            </w:tcBorders>
          </w:tcPr>
          <w:p w14:paraId="30DAE44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Number of obs.</w:t>
            </w:r>
          </w:p>
        </w:tc>
        <w:tc>
          <w:tcPr>
            <w:tcW w:w="1058" w:type="dxa"/>
            <w:tcBorders>
              <w:top w:val="single" w:sz="4" w:space="0" w:color="auto"/>
              <w:left w:val="nil"/>
              <w:bottom w:val="nil"/>
              <w:right w:val="nil"/>
            </w:tcBorders>
          </w:tcPr>
          <w:p w14:paraId="5873938A"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c>
          <w:tcPr>
            <w:tcW w:w="1058" w:type="dxa"/>
            <w:tcBorders>
              <w:top w:val="single" w:sz="4" w:space="0" w:color="auto"/>
              <w:left w:val="nil"/>
              <w:bottom w:val="nil"/>
              <w:right w:val="nil"/>
            </w:tcBorders>
          </w:tcPr>
          <w:p w14:paraId="64EFED9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103</w:t>
            </w:r>
          </w:p>
        </w:tc>
        <w:tc>
          <w:tcPr>
            <w:tcW w:w="1057" w:type="dxa"/>
            <w:tcBorders>
              <w:top w:val="single" w:sz="4" w:space="0" w:color="auto"/>
              <w:left w:val="nil"/>
              <w:bottom w:val="nil"/>
              <w:right w:val="nil"/>
            </w:tcBorders>
          </w:tcPr>
          <w:p w14:paraId="637BDA74"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c>
          <w:tcPr>
            <w:tcW w:w="1057" w:type="dxa"/>
            <w:tcBorders>
              <w:top w:val="single" w:sz="4" w:space="0" w:color="auto"/>
              <w:left w:val="nil"/>
              <w:bottom w:val="nil"/>
              <w:right w:val="nil"/>
            </w:tcBorders>
          </w:tcPr>
          <w:p w14:paraId="2178915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c>
          <w:tcPr>
            <w:tcW w:w="1091" w:type="dxa"/>
            <w:tcBorders>
              <w:top w:val="single" w:sz="4" w:space="0" w:color="auto"/>
              <w:left w:val="nil"/>
              <w:bottom w:val="nil"/>
              <w:right w:val="nil"/>
            </w:tcBorders>
          </w:tcPr>
          <w:p w14:paraId="296CCAD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c>
          <w:tcPr>
            <w:tcW w:w="1057" w:type="dxa"/>
            <w:tcBorders>
              <w:top w:val="single" w:sz="4" w:space="0" w:color="auto"/>
              <w:left w:val="nil"/>
              <w:bottom w:val="nil"/>
              <w:right w:val="nil"/>
            </w:tcBorders>
          </w:tcPr>
          <w:p w14:paraId="4DAD725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90</w:t>
            </w:r>
          </w:p>
        </w:tc>
        <w:tc>
          <w:tcPr>
            <w:tcW w:w="1057" w:type="dxa"/>
            <w:tcBorders>
              <w:top w:val="single" w:sz="4" w:space="0" w:color="auto"/>
              <w:left w:val="nil"/>
              <w:bottom w:val="nil"/>
              <w:right w:val="nil"/>
            </w:tcBorders>
          </w:tcPr>
          <w:p w14:paraId="12085936"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c>
          <w:tcPr>
            <w:tcW w:w="1057" w:type="dxa"/>
            <w:tcBorders>
              <w:top w:val="single" w:sz="4" w:space="0" w:color="auto"/>
              <w:left w:val="nil"/>
              <w:bottom w:val="nil"/>
              <w:right w:val="nil"/>
            </w:tcBorders>
          </w:tcPr>
          <w:p w14:paraId="65532BC8"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45</w:t>
            </w:r>
          </w:p>
        </w:tc>
        <w:tc>
          <w:tcPr>
            <w:tcW w:w="1057" w:type="dxa"/>
            <w:tcBorders>
              <w:top w:val="single" w:sz="4" w:space="0" w:color="auto"/>
              <w:left w:val="nil"/>
              <w:bottom w:val="nil"/>
              <w:right w:val="nil"/>
            </w:tcBorders>
          </w:tcPr>
          <w:p w14:paraId="42C37637"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c>
          <w:tcPr>
            <w:tcW w:w="1334" w:type="dxa"/>
            <w:tcBorders>
              <w:top w:val="single" w:sz="4" w:space="0" w:color="auto"/>
              <w:left w:val="nil"/>
              <w:bottom w:val="nil"/>
              <w:right w:val="nil"/>
            </w:tcBorders>
          </w:tcPr>
          <w:p w14:paraId="5F9AFEA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104</w:t>
            </w:r>
          </w:p>
        </w:tc>
      </w:tr>
      <w:tr w:rsidR="00170BA7" w:rsidRPr="006F7795" w14:paraId="7029978E" w14:textId="77777777" w:rsidTr="001C4F74">
        <w:tc>
          <w:tcPr>
            <w:tcW w:w="1058" w:type="dxa"/>
            <w:tcBorders>
              <w:top w:val="nil"/>
              <w:left w:val="nil"/>
              <w:bottom w:val="single" w:sz="4" w:space="0" w:color="auto"/>
              <w:right w:val="nil"/>
            </w:tcBorders>
          </w:tcPr>
          <w:p w14:paraId="241E67D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R</w:t>
            </w:r>
            <w:r w:rsidRPr="006F7795">
              <w:rPr>
                <w:rFonts w:ascii="Times New Roman" w:hAnsi="Times New Roman" w:cs="Times New Roman"/>
                <w:sz w:val="18"/>
                <w:szCs w:val="18"/>
                <w:vertAlign w:val="superscript"/>
                <w:lang w:val="en-US"/>
              </w:rPr>
              <w:t>2</w:t>
            </w:r>
          </w:p>
        </w:tc>
        <w:tc>
          <w:tcPr>
            <w:tcW w:w="1058" w:type="dxa"/>
            <w:tcBorders>
              <w:top w:val="nil"/>
              <w:left w:val="nil"/>
              <w:bottom w:val="single" w:sz="4" w:space="0" w:color="auto"/>
              <w:right w:val="nil"/>
            </w:tcBorders>
          </w:tcPr>
          <w:p w14:paraId="3D8310A1"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0.234</w:t>
            </w:r>
          </w:p>
        </w:tc>
        <w:tc>
          <w:tcPr>
            <w:tcW w:w="1058" w:type="dxa"/>
            <w:tcBorders>
              <w:top w:val="nil"/>
              <w:left w:val="nil"/>
              <w:bottom w:val="single" w:sz="4" w:space="0" w:color="auto"/>
              <w:right w:val="nil"/>
            </w:tcBorders>
          </w:tcPr>
          <w:p w14:paraId="6821C2AF"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0.203</w:t>
            </w:r>
          </w:p>
        </w:tc>
        <w:tc>
          <w:tcPr>
            <w:tcW w:w="1057" w:type="dxa"/>
            <w:tcBorders>
              <w:top w:val="nil"/>
              <w:left w:val="nil"/>
              <w:bottom w:val="single" w:sz="4" w:space="0" w:color="auto"/>
              <w:right w:val="nil"/>
            </w:tcBorders>
          </w:tcPr>
          <w:p w14:paraId="72369760"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0.244</w:t>
            </w:r>
          </w:p>
        </w:tc>
        <w:tc>
          <w:tcPr>
            <w:tcW w:w="1057" w:type="dxa"/>
            <w:tcBorders>
              <w:top w:val="nil"/>
              <w:left w:val="nil"/>
              <w:bottom w:val="single" w:sz="4" w:space="0" w:color="auto"/>
              <w:right w:val="nil"/>
            </w:tcBorders>
          </w:tcPr>
          <w:p w14:paraId="335A3BF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0.256</w:t>
            </w:r>
          </w:p>
        </w:tc>
        <w:tc>
          <w:tcPr>
            <w:tcW w:w="1091" w:type="dxa"/>
            <w:tcBorders>
              <w:top w:val="nil"/>
              <w:left w:val="nil"/>
              <w:bottom w:val="single" w:sz="4" w:space="0" w:color="auto"/>
              <w:right w:val="nil"/>
            </w:tcBorders>
          </w:tcPr>
          <w:p w14:paraId="27BBDAA3"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w:t>
            </w:r>
          </w:p>
        </w:tc>
        <w:tc>
          <w:tcPr>
            <w:tcW w:w="1057" w:type="dxa"/>
            <w:tcBorders>
              <w:top w:val="nil"/>
              <w:left w:val="nil"/>
              <w:bottom w:val="single" w:sz="4" w:space="0" w:color="auto"/>
              <w:right w:val="nil"/>
            </w:tcBorders>
          </w:tcPr>
          <w:p w14:paraId="6CBF598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0.249</w:t>
            </w:r>
          </w:p>
        </w:tc>
        <w:tc>
          <w:tcPr>
            <w:tcW w:w="1057" w:type="dxa"/>
            <w:tcBorders>
              <w:top w:val="nil"/>
              <w:left w:val="nil"/>
              <w:bottom w:val="single" w:sz="4" w:space="0" w:color="auto"/>
              <w:right w:val="nil"/>
            </w:tcBorders>
          </w:tcPr>
          <w:p w14:paraId="03D9B635"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0.243</w:t>
            </w:r>
          </w:p>
        </w:tc>
        <w:tc>
          <w:tcPr>
            <w:tcW w:w="1057" w:type="dxa"/>
            <w:tcBorders>
              <w:top w:val="nil"/>
              <w:left w:val="nil"/>
              <w:bottom w:val="single" w:sz="4" w:space="0" w:color="auto"/>
              <w:right w:val="nil"/>
            </w:tcBorders>
          </w:tcPr>
          <w:p w14:paraId="522FCAF9"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0.433</w:t>
            </w:r>
          </w:p>
        </w:tc>
        <w:tc>
          <w:tcPr>
            <w:tcW w:w="1057" w:type="dxa"/>
            <w:tcBorders>
              <w:top w:val="nil"/>
              <w:left w:val="nil"/>
              <w:bottom w:val="single" w:sz="4" w:space="0" w:color="auto"/>
              <w:right w:val="nil"/>
            </w:tcBorders>
          </w:tcPr>
          <w:p w14:paraId="0E8A8362"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0.244</w:t>
            </w:r>
          </w:p>
        </w:tc>
        <w:tc>
          <w:tcPr>
            <w:tcW w:w="1334" w:type="dxa"/>
            <w:tcBorders>
              <w:top w:val="nil"/>
              <w:left w:val="nil"/>
              <w:bottom w:val="single" w:sz="4" w:space="0" w:color="auto"/>
              <w:right w:val="nil"/>
            </w:tcBorders>
          </w:tcPr>
          <w:p w14:paraId="72DF00AB" w14:textId="77777777" w:rsidR="00170BA7" w:rsidRPr="006F7795" w:rsidRDefault="00170BA7" w:rsidP="001C4F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6F7795">
              <w:rPr>
                <w:rFonts w:ascii="Times New Roman" w:hAnsi="Times New Roman" w:cs="Times New Roman"/>
                <w:sz w:val="18"/>
                <w:szCs w:val="18"/>
                <w:lang w:val="en-US"/>
              </w:rPr>
              <w:t>-0.019</w:t>
            </w:r>
          </w:p>
        </w:tc>
      </w:tr>
    </w:tbl>
    <w:p w14:paraId="06A8111C" w14:textId="77777777" w:rsidR="00170BA7" w:rsidRPr="006F7795" w:rsidRDefault="00170BA7" w:rsidP="00170BA7">
      <w:pPr>
        <w:pStyle w:val="Didascalia"/>
        <w:rPr>
          <w:rFonts w:ascii="Times New Roman" w:hAnsi="Times New Roman" w:cs="Times New Roman"/>
          <w:b/>
          <w:i w:val="0"/>
          <w:color w:val="auto"/>
          <w:sz w:val="20"/>
          <w:szCs w:val="20"/>
          <w:lang w:val="en-US"/>
        </w:rPr>
      </w:pPr>
      <w:r w:rsidRPr="006F7795">
        <w:rPr>
          <w:rFonts w:ascii="Times New Roman" w:hAnsi="Times New Roman" w:cs="Times New Roman"/>
          <w:b/>
          <w:i w:val="0"/>
          <w:color w:val="auto"/>
          <w:sz w:val="20"/>
          <w:szCs w:val="20"/>
          <w:lang w:val="en-US"/>
        </w:rPr>
        <w:t>Table 4. Identification issues</w:t>
      </w:r>
    </w:p>
    <w:p w14:paraId="59D5DD60" w14:textId="6F564126" w:rsidR="00855D6D" w:rsidRPr="00170BA7" w:rsidRDefault="00170BA7" w:rsidP="00170BA7">
      <w:r w:rsidRPr="006F7795">
        <w:rPr>
          <w:rFonts w:ascii="Times New Roman" w:hAnsi="Times New Roman" w:cs="Times New Roman"/>
          <w:i/>
          <w:sz w:val="20"/>
          <w:szCs w:val="20"/>
          <w:lang w:val="en-US"/>
        </w:rPr>
        <w:t>Note: t-statistics in parentheses. *: 0.10: significance level. **: 0.05 significance level. ***: 0.01 significance level.</w:t>
      </w:r>
    </w:p>
    <w:p w14:paraId="090C56FC" w14:textId="3971B267" w:rsidR="00855D6D" w:rsidRDefault="00855D6D" w:rsidP="00302FB0">
      <w:pPr>
        <w:spacing w:line="480" w:lineRule="auto"/>
        <w:jc w:val="both"/>
        <w:rPr>
          <w:rFonts w:ascii="Times New Roman" w:hAnsi="Times New Roman" w:cs="Times New Roman"/>
          <w:lang w:val="en-US"/>
        </w:rPr>
        <w:sectPr w:rsidR="00855D6D" w:rsidSect="00855D6D">
          <w:pgSz w:w="16838" w:h="11906" w:orient="landscape"/>
          <w:pgMar w:top="1134" w:right="1417" w:bottom="1134" w:left="1134" w:header="708" w:footer="708" w:gutter="0"/>
          <w:cols w:space="708"/>
          <w:docGrid w:linePitch="360"/>
        </w:sectPr>
      </w:pPr>
    </w:p>
    <w:p w14:paraId="61428C71" w14:textId="345E9878"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lastRenderedPageBreak/>
        <w:t>Column 3 verifies instead whether results hold when we also control for the importance of private actors in driving Smart City projects. In fact, several critiques of the Smart City project revolve around the overwhelming role of private companies in fostering the narrative of the positive role of ICTs in making cities more efficient. To this aim we collected information on the cities for which one of the major players in the Smart Cities arena, viz. IBM, has Smart City projects undergoing or carried out in the past. Column 3 shows that while the parameter associated to IBM projects turns out to be statistically insignificantly associated with urban smartness, our main results hold.</w:t>
      </w:r>
    </w:p>
    <w:p w14:paraId="6184B0C2" w14:textId="18159022"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Column 4 shows an additional robustness check aimed at uncovering whether urban smartness is somehow reflected in higher urban land rent, or, in other words, if smarter cities tend to be reflected in higher house prices, thus engendering a further form of income inequality.</w:t>
      </w:r>
      <w:r w:rsidRPr="006B63CF">
        <w:rPr>
          <w:rStyle w:val="Rimandonotadichiusura"/>
          <w:rFonts w:ascii="Times New Roman" w:hAnsi="Times New Roman" w:cs="Times New Roman"/>
          <w:lang w:val="en-US"/>
        </w:rPr>
        <w:endnoteReference w:id="10"/>
      </w:r>
      <w:r w:rsidRPr="006B63CF">
        <w:rPr>
          <w:rFonts w:ascii="Times New Roman" w:hAnsi="Times New Roman" w:cs="Times New Roman"/>
          <w:lang w:val="en-US"/>
        </w:rPr>
        <w:t xml:space="preserve"> Data for the average price per square meters of average quality apartments located in downtowns of the selected urban areas have been collected, and results suggest that this may marginally impact the precision of our estimates.</w:t>
      </w:r>
      <w:r w:rsidRPr="006B63CF">
        <w:rPr>
          <w:rStyle w:val="Rimandonotadichiusura"/>
          <w:rFonts w:ascii="Times New Roman" w:hAnsi="Times New Roman" w:cs="Times New Roman"/>
          <w:lang w:val="en-US"/>
        </w:rPr>
        <w:endnoteReference w:id="11"/>
      </w:r>
    </w:p>
    <w:p w14:paraId="59720A4D" w14:textId="6C1F1247"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In Column 5 we deal instead with the possible spatial heterogeneity in our estimates. This may be due to the network dependence in the diffusion mechanism behind Smart City technologies, as well as to possible spatial externalities affecting both the independent and the dependent variables in the model (</w:t>
      </w:r>
      <w:proofErr w:type="spellStart"/>
      <w:r w:rsidRPr="006B63CF">
        <w:rPr>
          <w:rFonts w:ascii="Times New Roman" w:hAnsi="Times New Roman" w:cs="Times New Roman"/>
          <w:lang w:val="en-US"/>
        </w:rPr>
        <w:t>Corrado</w:t>
      </w:r>
      <w:proofErr w:type="spellEnd"/>
      <w:r w:rsidRPr="006B63CF">
        <w:rPr>
          <w:rFonts w:ascii="Times New Roman" w:hAnsi="Times New Roman" w:cs="Times New Roman"/>
          <w:lang w:val="en-US"/>
        </w:rPr>
        <w:t xml:space="preserve"> and </w:t>
      </w:r>
      <w:proofErr w:type="spellStart"/>
      <w:r w:rsidRPr="006B63CF">
        <w:rPr>
          <w:rFonts w:ascii="Times New Roman" w:hAnsi="Times New Roman" w:cs="Times New Roman"/>
          <w:lang w:val="en-US"/>
        </w:rPr>
        <w:t>Fingleton</w:t>
      </w:r>
      <w:proofErr w:type="spellEnd"/>
      <w:r w:rsidRPr="006B63CF">
        <w:rPr>
          <w:rFonts w:ascii="Times New Roman" w:hAnsi="Times New Roman" w:cs="Times New Roman"/>
          <w:lang w:val="en-US"/>
        </w:rPr>
        <w:t xml:space="preserve">, 2012). In order to address these </w:t>
      </w:r>
      <w:proofErr w:type="gramStart"/>
      <w:r w:rsidRPr="006B63CF">
        <w:rPr>
          <w:rFonts w:ascii="Times New Roman" w:hAnsi="Times New Roman" w:cs="Times New Roman"/>
          <w:lang w:val="en-US"/>
        </w:rPr>
        <w:t>issues</w:t>
      </w:r>
      <w:proofErr w:type="gramEnd"/>
      <w:r w:rsidRPr="006B63CF">
        <w:rPr>
          <w:rFonts w:ascii="Times New Roman" w:hAnsi="Times New Roman" w:cs="Times New Roman"/>
          <w:lang w:val="en-US"/>
        </w:rPr>
        <w:t xml:space="preserve"> we also provide estimates of a Spatial Durbin specification assuming spatial dependence in both the RHS and left hand side (LHS) variables, with the use of a regular inverse distance weight matrix. Accounting for spatial heterogeneity does not change the direction of the identified correlation, but does cause a significant drop in the associated significance. Lastly, it is worth stressing that this robustness test seems not to be suggested by the standard tests for spatial autocorrelation in the residuals, that turn out to be never significant.</w:t>
      </w:r>
    </w:p>
    <w:p w14:paraId="2FC05998" w14:textId="7680C24E"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Column 6 tests a further hypothesis that land use affects the identified relationship. This may happen because, as discussed above, more compact cities could be structurally more efficient and thereby also find it easier to handle possible unequal effects of the adoption of smart urban technologies. This test is performed by also controlling for the share of continuous urban fabric as captured by the 2012 version of Corine Land Cover. This result does not change the direction of the identified relationship, although it does cause a decrease in the associated significance level, now barely out of the usual 10 per cent level.</w:t>
      </w:r>
    </w:p>
    <w:p w14:paraId="14450FD5" w14:textId="1B3440FD"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lastRenderedPageBreak/>
        <w:t>Column 7 deals with yet another possible source of potential omitted bias in our estimates, linked to the recent success met by many competing definitions of what an efficiently managed city is. Among those, recently substantial attention has been drawn by the concept of sustainable cities (Haughton and Hunter, 2004; Satterthwaite, 1997). While we agree urban sustainability deserves utmost importance in the context of increasing resource limitations and with the aim to guarantee the feasibility of long-run consumption for future generations, without hampering the quality of both landscape and environment, we believe again this issue only represents an axis in our very definition of urban smartness.</w:t>
      </w:r>
    </w:p>
    <w:p w14:paraId="3AEC8396" w14:textId="571AEE14" w:rsidR="00F8504A" w:rsidRPr="006B63CF" w:rsidRDefault="00F8504A" w:rsidP="00094E66">
      <w:pPr>
        <w:spacing w:line="480" w:lineRule="auto"/>
        <w:jc w:val="both"/>
        <w:rPr>
          <w:rFonts w:ascii="Times New Roman" w:hAnsi="Times New Roman" w:cs="Times New Roman"/>
          <w:lang w:val="en-US"/>
        </w:rPr>
      </w:pPr>
      <w:r w:rsidRPr="006B63CF">
        <w:rPr>
          <w:rFonts w:ascii="Times New Roman" w:hAnsi="Times New Roman" w:cs="Times New Roman"/>
          <w:lang w:val="en-US"/>
        </w:rPr>
        <w:t>Moreover, we also perform an additional robustness check by inspecting whether our results are affected by the inclusion of the measure of urban sustainability described in Section 3. Column 7 suggests that the inclusion of this additional vector does not change the main message of our results: urban smartness is still found to be negatively and significantly associated with urban income inequality. It is also worth mentioning that the additional indicator of urban smartness is found to be insignificantly associated with urban income inequality, even though marginally so (and with a positive sign).</w:t>
      </w:r>
    </w:p>
    <w:p w14:paraId="78D2325F" w14:textId="65D8D564" w:rsidR="00F8504A" w:rsidRPr="006B63CF" w:rsidRDefault="00F8504A" w:rsidP="008C044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A further consistency check for possible omitted variable bias is related to verifying whether our findings depend on the omission of the quality of life component within our empirical measurement of urban smartness. We perform this check by including a city-specific indicator of quality of life, calculated as follows. Following </w:t>
      </w:r>
      <w:proofErr w:type="spellStart"/>
      <w:r w:rsidRPr="006B63CF">
        <w:rPr>
          <w:rFonts w:ascii="Times New Roman" w:hAnsi="Times New Roman" w:cs="Times New Roman"/>
          <w:lang w:val="en-US"/>
        </w:rPr>
        <w:t>Lenzi</w:t>
      </w:r>
      <w:proofErr w:type="spellEnd"/>
      <w:r w:rsidRPr="006B63CF">
        <w:rPr>
          <w:rFonts w:ascii="Times New Roman" w:hAnsi="Times New Roman" w:cs="Times New Roman"/>
          <w:lang w:val="en-US"/>
        </w:rPr>
        <w:t xml:space="preserve"> and </w:t>
      </w:r>
      <w:proofErr w:type="spellStart"/>
      <w:r w:rsidRPr="006B63CF">
        <w:rPr>
          <w:rFonts w:ascii="Times New Roman" w:hAnsi="Times New Roman" w:cs="Times New Roman"/>
          <w:lang w:val="en-US"/>
        </w:rPr>
        <w:t>Perucca</w:t>
      </w:r>
      <w:proofErr w:type="spellEnd"/>
      <w:r w:rsidRPr="006B63CF">
        <w:rPr>
          <w:rFonts w:ascii="Times New Roman" w:hAnsi="Times New Roman" w:cs="Times New Roman"/>
          <w:lang w:val="en-US"/>
        </w:rPr>
        <w:t xml:space="preserve"> (2020), we exploit the information contained in the Eurobarometer 419 (Quality of Life in European Cities 2015), to calculate individual answers (with 40,798 European citizens interviewed) to the question “</w:t>
      </w:r>
      <w:r w:rsidRPr="006B63CF">
        <w:rPr>
          <w:rFonts w:ascii="Times New Roman" w:hAnsi="Times New Roman" w:cs="Times New Roman"/>
          <w:i/>
          <w:iCs/>
          <w:lang w:val="en-US"/>
        </w:rPr>
        <w:t>Please tell me whether you strongly agree, somewhat agree, somewhat disagree or strongly disagree with the statement ‘I am satisfied to live in [Name of the city]</w:t>
      </w:r>
      <w:proofErr w:type="gramStart"/>
      <w:r w:rsidRPr="006B63CF">
        <w:rPr>
          <w:rFonts w:ascii="Times New Roman" w:hAnsi="Times New Roman" w:cs="Times New Roman"/>
          <w:i/>
          <w:iCs/>
          <w:lang w:val="en-US"/>
        </w:rPr>
        <w:t>’ ”</w:t>
      </w:r>
      <w:proofErr w:type="gramEnd"/>
      <w:r w:rsidRPr="006B63CF">
        <w:rPr>
          <w:rFonts w:ascii="Times New Roman" w:hAnsi="Times New Roman" w:cs="Times New Roman"/>
          <w:lang w:val="en-US"/>
        </w:rPr>
        <w:t>. The percentage of people answering they strongly agree with this statement is first regressed on individual traits (including age, gender, occupation, and level of education);</w:t>
      </w:r>
      <w:r w:rsidRPr="006B63CF">
        <w:rPr>
          <w:rStyle w:val="Rimandonotadichiusura"/>
          <w:rFonts w:ascii="Times New Roman" w:hAnsi="Times New Roman" w:cs="Times New Roman"/>
          <w:lang w:val="en-US"/>
        </w:rPr>
        <w:endnoteReference w:id="12"/>
      </w:r>
      <w:r w:rsidRPr="006B63CF">
        <w:rPr>
          <w:rFonts w:ascii="Times New Roman" w:hAnsi="Times New Roman" w:cs="Times New Roman"/>
          <w:lang w:val="en-US"/>
        </w:rPr>
        <w:t xml:space="preserve"> next, the predicted value of this regression is calculated, in order to obtain a city-specific </w:t>
      </w:r>
      <w:r w:rsidRPr="006B63CF">
        <w:rPr>
          <w:rFonts w:ascii="Times New Roman" w:hAnsi="Times New Roman" w:cs="Times New Roman"/>
          <w:i/>
          <w:iCs/>
          <w:lang w:val="en-US"/>
        </w:rPr>
        <w:t>mean</w:t>
      </w:r>
      <w:r w:rsidRPr="006B63CF">
        <w:rPr>
          <w:rFonts w:ascii="Times New Roman" w:hAnsi="Times New Roman" w:cs="Times New Roman"/>
          <w:lang w:val="en-US"/>
        </w:rPr>
        <w:t xml:space="preserve"> value of life satisfaction that is net of the sorting of people who may be satisfied to live in that city for their own reasons, or individual characteristics, and not for the objective benefits the city offers in terms of quality of life. Altogether we obtain 45 observations overlapping with our database.</w:t>
      </w:r>
    </w:p>
    <w:p w14:paraId="0B81022C" w14:textId="04CF76F0" w:rsidR="00F8504A" w:rsidRPr="006B63CF" w:rsidRDefault="00F8504A" w:rsidP="008C044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Results shown in Column 8 suggest that, despite the rather substantial reduction in the number of observations (down to 45 with the inclusion of the last set of controls calculated on the basis of the Flash Eurobarometer </w:t>
      </w:r>
      <w:r w:rsidRPr="006B63CF">
        <w:rPr>
          <w:rFonts w:ascii="Times New Roman" w:hAnsi="Times New Roman" w:cs="Times New Roman"/>
          <w:lang w:val="en-US"/>
        </w:rPr>
        <w:lastRenderedPageBreak/>
        <w:t>data base), the negative association between urban smartness and urban income inequality is confirmed, and, if anything, becomes larger in magnitude while also being characterized by higher significance levels. This is also reflected in a higher R</w:t>
      </w:r>
      <w:r w:rsidRPr="006B63CF">
        <w:rPr>
          <w:rFonts w:ascii="Times New Roman" w:hAnsi="Times New Roman" w:cs="Times New Roman"/>
          <w:vertAlign w:val="superscript"/>
          <w:lang w:val="en-US"/>
        </w:rPr>
        <w:t>2</w:t>
      </w:r>
      <w:r w:rsidRPr="006B63CF">
        <w:rPr>
          <w:rFonts w:ascii="Times New Roman" w:hAnsi="Times New Roman" w:cs="Times New Roman"/>
          <w:lang w:val="en-US"/>
        </w:rPr>
        <w:t xml:space="preserve"> for this specification, which cannot be compared to other columns, though, again because of the lower number of observations. In fact, the reduction in the observations available could be not neutral </w:t>
      </w:r>
      <w:proofErr w:type="spellStart"/>
      <w:r w:rsidRPr="006B63CF">
        <w:rPr>
          <w:rFonts w:ascii="Times New Roman" w:hAnsi="Times New Roman" w:cs="Times New Roman"/>
          <w:lang w:val="en-US"/>
        </w:rPr>
        <w:t>w.r.t.</w:t>
      </w:r>
      <w:proofErr w:type="spellEnd"/>
      <w:r w:rsidRPr="006B63CF">
        <w:rPr>
          <w:rFonts w:ascii="Times New Roman" w:hAnsi="Times New Roman" w:cs="Times New Roman"/>
          <w:lang w:val="en-US"/>
        </w:rPr>
        <w:t xml:space="preserve"> city size: most cities in the Flash Eurobarometer used for this robustness checks tend to be on the large end of the size spectrum, and may thus lead us to identify a somewhat more coherent set of cities for this particular control.</w:t>
      </w:r>
    </w:p>
    <w:p w14:paraId="261293AE" w14:textId="3039FF60" w:rsidR="00F8504A" w:rsidRPr="006B63CF" w:rsidRDefault="00F8504A" w:rsidP="008C0440">
      <w:pPr>
        <w:spacing w:line="480" w:lineRule="auto"/>
        <w:jc w:val="both"/>
        <w:rPr>
          <w:rFonts w:ascii="Times New Roman" w:hAnsi="Times New Roman" w:cs="Times New Roman"/>
          <w:lang w:val="en-US"/>
        </w:rPr>
      </w:pPr>
      <w:r w:rsidRPr="006B63CF">
        <w:rPr>
          <w:rFonts w:ascii="Times New Roman" w:hAnsi="Times New Roman" w:cs="Times New Roman"/>
          <w:lang w:val="en-US"/>
        </w:rPr>
        <w:t>Following the argument presented (among many) in Wheeler (2004), one may also argue that the negative relationship between urban smartness and income inequality we find could be due to the Smart Cities’ average faster economic growth, since the latter is also often found to be associated with lower income inequalities. This assumption has been tested in another specification, where, along with the control variables shown in the previous specifications, in Table 4, Column 9 we also include the average urban GDP growth rate between 2008 and 2010 (the two years immediately prior to the years the main control variables in our regressions are calculated). Results for the main RHS variables remain largely unaffected, and in particular we find a negative and significant association between smartness and income inequality (which shows that this result is not driven by prior economic performance).</w:t>
      </w:r>
    </w:p>
    <w:p w14:paraId="259FBF55" w14:textId="498424B6" w:rsidR="00F8504A" w:rsidRPr="006B63CF" w:rsidRDefault="00F8504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Finally, in Column 10 we present results of an Instrumental Variable regression that deals with possible endogeneity of Smartness </w:t>
      </w:r>
      <w:proofErr w:type="spellStart"/>
      <w:r w:rsidRPr="006B63CF">
        <w:rPr>
          <w:rFonts w:ascii="Times New Roman" w:hAnsi="Times New Roman" w:cs="Times New Roman"/>
          <w:lang w:val="en-US"/>
        </w:rPr>
        <w:t>w.r.t.</w:t>
      </w:r>
      <w:proofErr w:type="spellEnd"/>
      <w:r w:rsidRPr="006B63CF">
        <w:rPr>
          <w:rFonts w:ascii="Times New Roman" w:hAnsi="Times New Roman" w:cs="Times New Roman"/>
          <w:lang w:val="en-US"/>
        </w:rPr>
        <w:t xml:space="preserve"> income inequality. Our identification strategy uses a </w:t>
      </w:r>
      <w:proofErr w:type="gramStart"/>
      <w:r w:rsidRPr="006B63CF">
        <w:rPr>
          <w:rFonts w:ascii="Times New Roman" w:hAnsi="Times New Roman" w:cs="Times New Roman"/>
          <w:lang w:val="en-US"/>
        </w:rPr>
        <w:t>five year</w:t>
      </w:r>
      <w:proofErr w:type="gramEnd"/>
      <w:r w:rsidRPr="006B63CF">
        <w:rPr>
          <w:rFonts w:ascii="Times New Roman" w:hAnsi="Times New Roman" w:cs="Times New Roman"/>
          <w:lang w:val="en-US"/>
        </w:rPr>
        <w:t xml:space="preserve"> time lagged (2005) vector of city-specific endowment with optic fiber, which may well have represented a competitive advantage for cities in our sample to adopt Smart technologies, without however being associated to income disparities in 2017.</w:t>
      </w:r>
      <w:r w:rsidRPr="006B63CF">
        <w:rPr>
          <w:rStyle w:val="Rimandonotadichiusura"/>
          <w:rFonts w:ascii="Times New Roman" w:hAnsi="Times New Roman" w:cs="Times New Roman"/>
          <w:lang w:val="en-US"/>
        </w:rPr>
        <w:endnoteReference w:id="13"/>
      </w:r>
    </w:p>
    <w:p w14:paraId="35EC47ED" w14:textId="6337DF4B" w:rsidR="00341023" w:rsidRPr="006B63CF" w:rsidRDefault="00082C73"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Results confirm that the association between urban smartness is negative and significant at all conventional levels, while possible reverse causation can be ruled out on the basis of the IV approach. All standard tests (Underidentification, weak identification, and overidentification) are passed at all conventional levels. These last findings provide robust evidence that the main results discussed throughout this paper are robust to several robustness checks, and that the identified negative association between urban smartness and urban income inequality can be interpreted in a causal sense.</w:t>
      </w:r>
    </w:p>
    <w:p w14:paraId="3CB7D8A9" w14:textId="77777777" w:rsidR="00E77EC1" w:rsidRPr="006B63CF" w:rsidRDefault="00E77EC1" w:rsidP="00491E65">
      <w:pPr>
        <w:pStyle w:val="Titolo1"/>
        <w:spacing w:line="480" w:lineRule="auto"/>
        <w:jc w:val="both"/>
      </w:pPr>
      <w:r w:rsidRPr="006B63CF">
        <w:lastRenderedPageBreak/>
        <w:t>Conclusions</w:t>
      </w:r>
    </w:p>
    <w:p w14:paraId="6088659B" w14:textId="3CA3A717" w:rsidR="00E77EC1" w:rsidRPr="006B63CF" w:rsidRDefault="00986890"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The academic and policy debate </w:t>
      </w:r>
      <w:r w:rsidR="008029F1" w:rsidRPr="006B63CF">
        <w:rPr>
          <w:rFonts w:ascii="Times New Roman" w:hAnsi="Times New Roman" w:cs="Times New Roman"/>
          <w:lang w:val="en-US"/>
        </w:rPr>
        <w:t xml:space="preserve">on </w:t>
      </w:r>
      <w:r w:rsidR="00523F5C" w:rsidRPr="006B63CF">
        <w:rPr>
          <w:rFonts w:ascii="Times New Roman" w:hAnsi="Times New Roman" w:cs="Times New Roman"/>
          <w:lang w:val="en-US"/>
        </w:rPr>
        <w:t xml:space="preserve">the Smart City paradigm has recently </w:t>
      </w:r>
      <w:r w:rsidR="00591CEE" w:rsidRPr="006B63CF">
        <w:rPr>
          <w:rFonts w:ascii="Times New Roman" w:hAnsi="Times New Roman" w:cs="Times New Roman"/>
          <w:lang w:val="en-US"/>
        </w:rPr>
        <w:t>produced</w:t>
      </w:r>
      <w:r w:rsidR="00523F5C" w:rsidRPr="006B63CF">
        <w:rPr>
          <w:rFonts w:ascii="Times New Roman" w:hAnsi="Times New Roman" w:cs="Times New Roman"/>
          <w:lang w:val="en-US"/>
        </w:rPr>
        <w:t xml:space="preserve"> a stream of studies arguing that the technological twist of the prevailing Smart City definitions, approaches, and policies</w:t>
      </w:r>
      <w:r w:rsidR="007837BF" w:rsidRPr="006B63CF">
        <w:rPr>
          <w:rFonts w:ascii="Times New Roman" w:hAnsi="Times New Roman" w:cs="Times New Roman"/>
          <w:lang w:val="en-US"/>
        </w:rPr>
        <w:t xml:space="preserve"> could</w:t>
      </w:r>
      <w:r w:rsidR="008575FB" w:rsidRPr="006B63CF">
        <w:rPr>
          <w:rFonts w:ascii="Times New Roman" w:hAnsi="Times New Roman" w:cs="Times New Roman"/>
          <w:lang w:val="en-US"/>
        </w:rPr>
        <w:t xml:space="preserve"> potentially</w:t>
      </w:r>
      <w:r w:rsidR="007837BF" w:rsidRPr="006B63CF">
        <w:rPr>
          <w:rFonts w:ascii="Times New Roman" w:hAnsi="Times New Roman" w:cs="Times New Roman"/>
          <w:lang w:val="en-US"/>
        </w:rPr>
        <w:t xml:space="preserve"> hide severe pitfalls </w:t>
      </w:r>
      <w:r w:rsidR="00591CEE" w:rsidRPr="006B63CF">
        <w:rPr>
          <w:rFonts w:ascii="Times New Roman" w:hAnsi="Times New Roman" w:cs="Times New Roman"/>
          <w:lang w:val="en-US"/>
        </w:rPr>
        <w:t>related to</w:t>
      </w:r>
      <w:r w:rsidR="007837BF" w:rsidRPr="006B63CF">
        <w:rPr>
          <w:rFonts w:ascii="Times New Roman" w:hAnsi="Times New Roman" w:cs="Times New Roman"/>
          <w:lang w:val="en-US"/>
        </w:rPr>
        <w:t xml:space="preserve"> this planning approach</w:t>
      </w:r>
      <w:r w:rsidR="00523F5C" w:rsidRPr="006B63CF">
        <w:rPr>
          <w:rFonts w:ascii="Times New Roman" w:hAnsi="Times New Roman" w:cs="Times New Roman"/>
          <w:lang w:val="en-US"/>
        </w:rPr>
        <w:t xml:space="preserve">. </w:t>
      </w:r>
      <w:r w:rsidR="007837BF" w:rsidRPr="006B63CF">
        <w:rPr>
          <w:rFonts w:ascii="Times New Roman" w:hAnsi="Times New Roman" w:cs="Times New Roman"/>
          <w:lang w:val="en-US"/>
        </w:rPr>
        <w:t xml:space="preserve">In the academic debate, this argument has often been </w:t>
      </w:r>
      <w:r w:rsidR="00C849DA" w:rsidRPr="006B63CF">
        <w:rPr>
          <w:rFonts w:ascii="Times New Roman" w:hAnsi="Times New Roman" w:cs="Times New Roman"/>
          <w:lang w:val="en-US"/>
        </w:rPr>
        <w:t xml:space="preserve">revolving around the idea that the </w:t>
      </w:r>
      <w:r w:rsidR="00140A40" w:rsidRPr="006B63CF">
        <w:rPr>
          <w:rFonts w:ascii="Times New Roman" w:hAnsi="Times New Roman" w:cs="Times New Roman"/>
          <w:lang w:val="en-US"/>
        </w:rPr>
        <w:t xml:space="preserve">adoption of Smart technologies for managing cities would exacerbate income inequalities, by favoring </w:t>
      </w:r>
      <w:r w:rsidR="0034498F" w:rsidRPr="006B63CF">
        <w:rPr>
          <w:rFonts w:ascii="Times New Roman" w:hAnsi="Times New Roman" w:cs="Times New Roman"/>
          <w:lang w:val="en-US"/>
        </w:rPr>
        <w:t xml:space="preserve">layers of the income distribution that are already </w:t>
      </w:r>
      <w:r w:rsidR="00B22466" w:rsidRPr="006B63CF">
        <w:rPr>
          <w:rFonts w:ascii="Times New Roman" w:hAnsi="Times New Roman" w:cs="Times New Roman"/>
          <w:lang w:val="en-US"/>
        </w:rPr>
        <w:t>skilled, high-salary, and thereby capable of reaping the benefits of this paradigm.</w:t>
      </w:r>
    </w:p>
    <w:p w14:paraId="56239445" w14:textId="121B3F32" w:rsidR="00B22466" w:rsidRPr="006B63CF" w:rsidRDefault="00F3053F"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However, to date</w:t>
      </w:r>
      <w:r w:rsidR="00A63D54" w:rsidRPr="006B63CF">
        <w:rPr>
          <w:rFonts w:ascii="Times New Roman" w:hAnsi="Times New Roman" w:cs="Times New Roman"/>
          <w:lang w:val="en-US"/>
        </w:rPr>
        <w:t>,</w:t>
      </w:r>
      <w:r w:rsidRPr="006B63CF">
        <w:rPr>
          <w:rFonts w:ascii="Times New Roman" w:hAnsi="Times New Roman" w:cs="Times New Roman"/>
          <w:lang w:val="en-US"/>
        </w:rPr>
        <w:t xml:space="preserve"> t</w:t>
      </w:r>
      <w:r w:rsidR="00B22466" w:rsidRPr="006B63CF">
        <w:rPr>
          <w:rFonts w:ascii="Times New Roman" w:hAnsi="Times New Roman" w:cs="Times New Roman"/>
          <w:lang w:val="en-US"/>
        </w:rPr>
        <w:t xml:space="preserve">his </w:t>
      </w:r>
      <w:r w:rsidRPr="006B63CF">
        <w:rPr>
          <w:rFonts w:ascii="Times New Roman" w:hAnsi="Times New Roman" w:cs="Times New Roman"/>
          <w:lang w:val="en-US"/>
        </w:rPr>
        <w:t xml:space="preserve">proposition has never been empirically tested on a cross section of cities allowing safe statistical inference; in fact, so far the discussion mostly revolved around theories and approaches </w:t>
      </w:r>
      <w:r w:rsidR="00CF78B6" w:rsidRPr="006B63CF">
        <w:rPr>
          <w:rFonts w:ascii="Times New Roman" w:hAnsi="Times New Roman" w:cs="Times New Roman"/>
          <w:lang w:val="en-US"/>
        </w:rPr>
        <w:t>rooted more in critical reviews of the Smart City concept, rather than</w:t>
      </w:r>
      <w:r w:rsidR="00606840" w:rsidRPr="006B63CF">
        <w:rPr>
          <w:rFonts w:ascii="Times New Roman" w:hAnsi="Times New Roman" w:cs="Times New Roman"/>
          <w:lang w:val="en-US"/>
        </w:rPr>
        <w:t xml:space="preserve"> being based</w:t>
      </w:r>
      <w:r w:rsidR="00CF78B6" w:rsidRPr="006B63CF">
        <w:rPr>
          <w:rFonts w:ascii="Times New Roman" w:hAnsi="Times New Roman" w:cs="Times New Roman"/>
          <w:lang w:val="en-US"/>
        </w:rPr>
        <w:t xml:space="preserve"> on sound empirical evidence. </w:t>
      </w:r>
      <w:r w:rsidR="00245247" w:rsidRPr="006B63CF">
        <w:rPr>
          <w:rFonts w:ascii="Times New Roman" w:hAnsi="Times New Roman" w:cs="Times New Roman"/>
          <w:lang w:val="en-US"/>
        </w:rPr>
        <w:t xml:space="preserve">This paper </w:t>
      </w:r>
      <w:r w:rsidR="00606840" w:rsidRPr="006B63CF">
        <w:rPr>
          <w:rFonts w:ascii="Times New Roman" w:hAnsi="Times New Roman" w:cs="Times New Roman"/>
          <w:lang w:val="en-US"/>
        </w:rPr>
        <w:t>fills this gap and proposes a set of empirical analyses suggesting that</w:t>
      </w:r>
      <w:r w:rsidR="00591CEE" w:rsidRPr="006B63CF">
        <w:rPr>
          <w:rFonts w:ascii="Times New Roman" w:hAnsi="Times New Roman" w:cs="Times New Roman"/>
          <w:lang w:val="en-US"/>
        </w:rPr>
        <w:t>,</w:t>
      </w:r>
      <w:r w:rsidR="00606840" w:rsidRPr="006B63CF">
        <w:rPr>
          <w:rFonts w:ascii="Times New Roman" w:hAnsi="Times New Roman" w:cs="Times New Roman"/>
          <w:lang w:val="en-US"/>
        </w:rPr>
        <w:t xml:space="preserve"> in fact</w:t>
      </w:r>
      <w:r w:rsidR="00591CEE" w:rsidRPr="006B63CF">
        <w:rPr>
          <w:rFonts w:ascii="Times New Roman" w:hAnsi="Times New Roman" w:cs="Times New Roman"/>
          <w:lang w:val="en-US"/>
        </w:rPr>
        <w:t>,</w:t>
      </w:r>
      <w:r w:rsidR="005F2A68" w:rsidRPr="006B63CF">
        <w:rPr>
          <w:rFonts w:ascii="Times New Roman" w:hAnsi="Times New Roman" w:cs="Times New Roman"/>
          <w:lang w:val="en-US"/>
        </w:rPr>
        <w:t xml:space="preserve"> </w:t>
      </w:r>
      <w:r w:rsidR="00B255ED" w:rsidRPr="006B63CF">
        <w:rPr>
          <w:rFonts w:ascii="Times New Roman" w:hAnsi="Times New Roman" w:cs="Times New Roman"/>
          <w:lang w:val="en-US"/>
        </w:rPr>
        <w:t xml:space="preserve">higher levels of urban smartness are associated </w:t>
      </w:r>
      <w:r w:rsidR="0049228A" w:rsidRPr="006B63CF">
        <w:rPr>
          <w:rFonts w:ascii="Times New Roman" w:hAnsi="Times New Roman" w:cs="Times New Roman"/>
          <w:lang w:val="en-US"/>
        </w:rPr>
        <w:t>with lower levels of income inequality</w:t>
      </w:r>
      <w:r w:rsidR="00275717" w:rsidRPr="006B63CF">
        <w:rPr>
          <w:rFonts w:ascii="Times New Roman" w:hAnsi="Times New Roman" w:cs="Times New Roman"/>
          <w:lang w:val="en-US"/>
        </w:rPr>
        <w:t xml:space="preserve">. Results hold also when controlling for several urban characteristics typically associated with income inequality: compact urban form, level of </w:t>
      </w:r>
      <w:r w:rsidR="00311394" w:rsidRPr="006B63CF">
        <w:rPr>
          <w:rFonts w:ascii="Times New Roman" w:hAnsi="Times New Roman" w:cs="Times New Roman"/>
          <w:lang w:val="en-US"/>
        </w:rPr>
        <w:t xml:space="preserve">economic </w:t>
      </w:r>
      <w:r w:rsidR="00275717" w:rsidRPr="006B63CF">
        <w:rPr>
          <w:rFonts w:ascii="Times New Roman" w:hAnsi="Times New Roman" w:cs="Times New Roman"/>
          <w:lang w:val="en-US"/>
        </w:rPr>
        <w:t xml:space="preserve">development, </w:t>
      </w:r>
      <w:r w:rsidR="00311394" w:rsidRPr="006B63CF">
        <w:rPr>
          <w:rFonts w:ascii="Times New Roman" w:hAnsi="Times New Roman" w:cs="Times New Roman"/>
          <w:lang w:val="en-US"/>
        </w:rPr>
        <w:t xml:space="preserve">social capital, and institutional quality. Besides, </w:t>
      </w:r>
      <w:r w:rsidR="00953121" w:rsidRPr="006B63CF">
        <w:rPr>
          <w:rFonts w:ascii="Times New Roman" w:hAnsi="Times New Roman" w:cs="Times New Roman"/>
          <w:lang w:val="en-US"/>
        </w:rPr>
        <w:t xml:space="preserve">and again contrary to what often argued, higher levels of urban smartness are also associated </w:t>
      </w:r>
      <w:r w:rsidR="0079267A" w:rsidRPr="006B63CF">
        <w:rPr>
          <w:rFonts w:ascii="Times New Roman" w:hAnsi="Times New Roman" w:cs="Times New Roman"/>
          <w:lang w:val="en-US"/>
        </w:rPr>
        <w:t xml:space="preserve">with </w:t>
      </w:r>
      <w:r w:rsidR="00124EEA" w:rsidRPr="006B63CF">
        <w:rPr>
          <w:rFonts w:ascii="Times New Roman" w:hAnsi="Times New Roman" w:cs="Times New Roman"/>
          <w:lang w:val="en-US"/>
        </w:rPr>
        <w:t xml:space="preserve">stronger negative impacts on income inequality as we look at stronger welfare preferences </w:t>
      </w:r>
      <w:r w:rsidR="00C5674E" w:rsidRPr="006B63CF">
        <w:rPr>
          <w:rFonts w:ascii="Times New Roman" w:hAnsi="Times New Roman" w:cs="Times New Roman"/>
          <w:lang w:val="en-US"/>
        </w:rPr>
        <w:t xml:space="preserve">against income inequalities in </w:t>
      </w:r>
      <w:r w:rsidR="00591CEE" w:rsidRPr="006B63CF">
        <w:rPr>
          <w:rFonts w:ascii="Times New Roman" w:hAnsi="Times New Roman" w:cs="Times New Roman"/>
          <w:lang w:val="en-US"/>
        </w:rPr>
        <w:t>the lower layers o</w:t>
      </w:r>
      <w:r w:rsidR="00C5674E" w:rsidRPr="006B63CF">
        <w:rPr>
          <w:rFonts w:ascii="Times New Roman" w:hAnsi="Times New Roman" w:cs="Times New Roman"/>
          <w:lang w:val="en-US"/>
        </w:rPr>
        <w:t>f the distribution.</w:t>
      </w:r>
    </w:p>
    <w:p w14:paraId="45B185C5" w14:textId="77777777" w:rsidR="004A1407" w:rsidRPr="006B63CF" w:rsidRDefault="00C5674E"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In order to further strengthen these results, and to rule out possible biases that may affect our estimates, </w:t>
      </w:r>
      <w:r w:rsidR="00BE2C07" w:rsidRPr="006B63CF">
        <w:rPr>
          <w:rFonts w:ascii="Times New Roman" w:hAnsi="Times New Roman" w:cs="Times New Roman"/>
          <w:lang w:val="en-US"/>
        </w:rPr>
        <w:t xml:space="preserve">we </w:t>
      </w:r>
      <w:r w:rsidR="0079267A" w:rsidRPr="006B63CF">
        <w:rPr>
          <w:rFonts w:ascii="Times New Roman" w:hAnsi="Times New Roman" w:cs="Times New Roman"/>
          <w:lang w:val="en-US"/>
        </w:rPr>
        <w:t>have addressed</w:t>
      </w:r>
      <w:r w:rsidR="00BE2C07" w:rsidRPr="006B63CF">
        <w:rPr>
          <w:rFonts w:ascii="Times New Roman" w:hAnsi="Times New Roman" w:cs="Times New Roman"/>
          <w:lang w:val="en-US"/>
        </w:rPr>
        <w:t xml:space="preserve"> endogeneity by means of two-stages least squares. </w:t>
      </w:r>
      <w:r w:rsidR="0079267A" w:rsidRPr="006B63CF">
        <w:rPr>
          <w:rFonts w:ascii="Times New Roman" w:hAnsi="Times New Roman" w:cs="Times New Roman"/>
          <w:lang w:val="en-US"/>
        </w:rPr>
        <w:t>This empirical stra</w:t>
      </w:r>
      <w:r w:rsidR="004961F0" w:rsidRPr="006B63CF">
        <w:rPr>
          <w:rFonts w:ascii="Times New Roman" w:hAnsi="Times New Roman" w:cs="Times New Roman"/>
          <w:lang w:val="en-US"/>
        </w:rPr>
        <w:t>teg</w:t>
      </w:r>
      <w:r w:rsidR="0079267A" w:rsidRPr="006B63CF">
        <w:rPr>
          <w:rFonts w:ascii="Times New Roman" w:hAnsi="Times New Roman" w:cs="Times New Roman"/>
          <w:lang w:val="en-US"/>
        </w:rPr>
        <w:t xml:space="preserve">y confirms </w:t>
      </w:r>
      <w:r w:rsidR="004961F0" w:rsidRPr="006B63CF">
        <w:rPr>
          <w:rFonts w:ascii="Times New Roman" w:hAnsi="Times New Roman" w:cs="Times New Roman"/>
          <w:lang w:val="en-US"/>
        </w:rPr>
        <w:t xml:space="preserve">our </w:t>
      </w:r>
      <w:r w:rsidR="0079267A" w:rsidRPr="006B63CF">
        <w:rPr>
          <w:rFonts w:ascii="Times New Roman" w:hAnsi="Times New Roman" w:cs="Times New Roman"/>
          <w:lang w:val="en-US"/>
        </w:rPr>
        <w:t>main findings regarding the mitigating effect of smart characteristics on income inequality.</w:t>
      </w:r>
    </w:p>
    <w:p w14:paraId="35F9509B" w14:textId="0D9F3BC7" w:rsidR="0003305A" w:rsidRPr="006B63CF" w:rsidRDefault="0003305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The answer to the research question of this paper thus seems to be a rather univocal “no”: Smart Cities tend, in fact, to be more equitable from an income distribution point of view. This is rather suggestive, in that it offers a counterargument to the classical trade-off between efficiency and equity</w:t>
      </w:r>
      <w:r w:rsidR="00E90B77" w:rsidRPr="006B63CF">
        <w:rPr>
          <w:rFonts w:ascii="Times New Roman" w:hAnsi="Times New Roman" w:cs="Times New Roman"/>
          <w:lang w:val="en-US"/>
        </w:rPr>
        <w:t>, which has also been questioned in prior works</w:t>
      </w:r>
      <w:r w:rsidRPr="006B63CF">
        <w:rPr>
          <w:rFonts w:ascii="Times New Roman" w:hAnsi="Times New Roman" w:cs="Times New Roman"/>
          <w:lang w:val="en-US"/>
        </w:rPr>
        <w:t xml:space="preserve"> (</w:t>
      </w:r>
      <w:r w:rsidR="00E90B77" w:rsidRPr="006B63CF">
        <w:rPr>
          <w:rFonts w:ascii="Times New Roman" w:hAnsi="Times New Roman" w:cs="Times New Roman"/>
          <w:lang w:val="en-US"/>
        </w:rPr>
        <w:t xml:space="preserve">see e.g. </w:t>
      </w:r>
      <w:r w:rsidRPr="006B63CF">
        <w:rPr>
          <w:rFonts w:ascii="Times New Roman" w:hAnsi="Times New Roman" w:cs="Times New Roman"/>
          <w:lang w:val="en-US"/>
        </w:rPr>
        <w:t>Martin, 2008).</w:t>
      </w:r>
    </w:p>
    <w:p w14:paraId="7ED6BA95" w14:textId="43051B69" w:rsidR="00C5674E" w:rsidRPr="006B63CF" w:rsidRDefault="0079267A"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As an avenue for future research</w:t>
      </w:r>
      <w:r w:rsidR="00BE2C07" w:rsidRPr="006B63CF">
        <w:rPr>
          <w:rFonts w:ascii="Times New Roman" w:hAnsi="Times New Roman" w:cs="Times New Roman"/>
          <w:lang w:val="en-US"/>
        </w:rPr>
        <w:t xml:space="preserve">, a further empirical verification to be carried out </w:t>
      </w:r>
      <w:r w:rsidRPr="006B63CF">
        <w:rPr>
          <w:rFonts w:ascii="Times New Roman" w:hAnsi="Times New Roman" w:cs="Times New Roman"/>
          <w:lang w:val="en-US"/>
        </w:rPr>
        <w:t>is</w:t>
      </w:r>
      <w:r w:rsidR="00BE2C07" w:rsidRPr="006B63CF">
        <w:rPr>
          <w:rFonts w:ascii="Times New Roman" w:hAnsi="Times New Roman" w:cs="Times New Roman"/>
          <w:lang w:val="en-US"/>
        </w:rPr>
        <w:t xml:space="preserve"> related to looking at the impact of the adoption of Smart Urban technologies on another </w:t>
      </w:r>
      <w:r w:rsidR="00A65E9A" w:rsidRPr="006B63CF">
        <w:rPr>
          <w:rFonts w:ascii="Times New Roman" w:hAnsi="Times New Roman" w:cs="Times New Roman"/>
          <w:lang w:val="en-US"/>
        </w:rPr>
        <w:t>frequently advocated</w:t>
      </w:r>
      <w:r w:rsidR="00BE2C07" w:rsidRPr="006B63CF">
        <w:rPr>
          <w:rFonts w:ascii="Times New Roman" w:hAnsi="Times New Roman" w:cs="Times New Roman"/>
          <w:lang w:val="en-US"/>
        </w:rPr>
        <w:t xml:space="preserve"> form of </w:t>
      </w:r>
      <w:r w:rsidR="00A65E9A" w:rsidRPr="006B63CF">
        <w:rPr>
          <w:rFonts w:ascii="Times New Roman" w:hAnsi="Times New Roman" w:cs="Times New Roman"/>
          <w:lang w:val="en-US"/>
        </w:rPr>
        <w:t xml:space="preserve">inequality, i.e. </w:t>
      </w:r>
      <w:r w:rsidR="00A65E9A" w:rsidRPr="006B63CF">
        <w:rPr>
          <w:rFonts w:ascii="Times New Roman" w:hAnsi="Times New Roman" w:cs="Times New Roman"/>
          <w:lang w:val="en-US"/>
        </w:rPr>
        <w:lastRenderedPageBreak/>
        <w:t xml:space="preserve">the digital divide. In fact, several recent critiques against the Smart City paradigm </w:t>
      </w:r>
      <w:r w:rsidR="007E75C6" w:rsidRPr="006B63CF">
        <w:rPr>
          <w:rFonts w:ascii="Times New Roman" w:hAnsi="Times New Roman" w:cs="Times New Roman"/>
          <w:lang w:val="en-US"/>
        </w:rPr>
        <w:t>focused on the fact that only the tech-savvy would really benefit from it.</w:t>
      </w:r>
    </w:p>
    <w:p w14:paraId="0E59BBEC" w14:textId="77777777" w:rsidR="007E75C6" w:rsidRPr="006B63CF" w:rsidRDefault="007E75C6" w:rsidP="00302FB0">
      <w:pPr>
        <w:spacing w:line="480" w:lineRule="auto"/>
        <w:jc w:val="both"/>
        <w:rPr>
          <w:rFonts w:ascii="Times New Roman" w:hAnsi="Times New Roman" w:cs="Times New Roman"/>
          <w:lang w:val="en-US"/>
        </w:rPr>
      </w:pPr>
      <w:r w:rsidRPr="006B63CF">
        <w:rPr>
          <w:rFonts w:ascii="Times New Roman" w:hAnsi="Times New Roman" w:cs="Times New Roman"/>
          <w:lang w:val="en-US"/>
        </w:rPr>
        <w:t xml:space="preserve">While not yet being conclusive in this debate, our findings suggest that-once again-critiques against the adoption of </w:t>
      </w:r>
      <w:r w:rsidR="00987072" w:rsidRPr="006B63CF">
        <w:rPr>
          <w:rFonts w:ascii="Times New Roman" w:hAnsi="Times New Roman" w:cs="Times New Roman"/>
          <w:lang w:val="en-US"/>
        </w:rPr>
        <w:t>smart p</w:t>
      </w:r>
      <w:r w:rsidR="002510D0" w:rsidRPr="006B63CF">
        <w:rPr>
          <w:rFonts w:ascii="Times New Roman" w:hAnsi="Times New Roman" w:cs="Times New Roman"/>
          <w:lang w:val="en-US"/>
        </w:rPr>
        <w:t xml:space="preserve">olicy approaches and measures need to be tested </w:t>
      </w:r>
      <w:r w:rsidR="00F93DF3" w:rsidRPr="006B63CF">
        <w:rPr>
          <w:rFonts w:ascii="Times New Roman" w:hAnsi="Times New Roman" w:cs="Times New Roman"/>
          <w:lang w:val="en-US"/>
        </w:rPr>
        <w:t>to avoid that</w:t>
      </w:r>
      <w:r w:rsidR="002510D0" w:rsidRPr="006B63CF">
        <w:rPr>
          <w:rFonts w:ascii="Times New Roman" w:hAnsi="Times New Roman" w:cs="Times New Roman"/>
          <w:lang w:val="en-US"/>
        </w:rPr>
        <w:t xml:space="preserve"> radicalized and judgmental opinions prevail on hard facts and sound evidence.</w:t>
      </w:r>
    </w:p>
    <w:p w14:paraId="24EE6B88" w14:textId="0DC32F9A" w:rsidR="00353E37" w:rsidRDefault="00353E37" w:rsidP="00302FB0">
      <w:pPr>
        <w:pStyle w:val="Titolo1"/>
        <w:spacing w:line="480" w:lineRule="auto"/>
        <w:jc w:val="both"/>
      </w:pPr>
      <w:r>
        <w:t>Acknowledgments</w:t>
      </w:r>
    </w:p>
    <w:p w14:paraId="1405CF7C" w14:textId="3DF585CA" w:rsidR="00353E37" w:rsidRPr="00353E37" w:rsidRDefault="00353E37" w:rsidP="00353E37">
      <w:pPr>
        <w:spacing w:line="480" w:lineRule="auto"/>
        <w:jc w:val="both"/>
        <w:rPr>
          <w:rFonts w:ascii="Times New Roman" w:hAnsi="Times New Roman" w:cs="Times New Roman"/>
          <w:lang w:val="en-US"/>
        </w:rPr>
      </w:pPr>
      <w:r w:rsidRPr="00353E37">
        <w:rPr>
          <w:rFonts w:ascii="Times New Roman" w:hAnsi="Times New Roman" w:cs="Times New Roman"/>
          <w:lang w:val="en-US"/>
        </w:rPr>
        <w:t xml:space="preserve">The Authors would like to thank Annie </w:t>
      </w:r>
      <w:proofErr w:type="spellStart"/>
      <w:r w:rsidRPr="00353E37">
        <w:rPr>
          <w:rFonts w:ascii="Times New Roman" w:hAnsi="Times New Roman" w:cs="Times New Roman"/>
          <w:lang w:val="en-US"/>
        </w:rPr>
        <w:t>Tubadji</w:t>
      </w:r>
      <w:proofErr w:type="spellEnd"/>
      <w:r w:rsidRPr="00353E37">
        <w:rPr>
          <w:rFonts w:ascii="Times New Roman" w:hAnsi="Times New Roman" w:cs="Times New Roman"/>
          <w:lang w:val="en-US"/>
        </w:rPr>
        <w:t xml:space="preserve">, Fabio Mazzola, Ling Liu, Marcello Graziano, Mildred Warner, participants in the 66th Annual North American Meetings of the Regional Science Association International, Pittsburgh, Nov. 13-16, 2019, and the XXXII Annual conference of the Italian Society of Public Economics, Milan, Sep. 17, 2020, the Handling Editor, and two anonymous reviewers for their useful suggestions and comments. We would also like Roberto </w:t>
      </w:r>
      <w:proofErr w:type="spellStart"/>
      <w:r w:rsidRPr="00353E37">
        <w:rPr>
          <w:rFonts w:ascii="Times New Roman" w:hAnsi="Times New Roman" w:cs="Times New Roman"/>
          <w:lang w:val="en-US"/>
        </w:rPr>
        <w:t>Patuelli</w:t>
      </w:r>
      <w:proofErr w:type="spellEnd"/>
      <w:r w:rsidRPr="00353E37">
        <w:rPr>
          <w:rFonts w:ascii="Times New Roman" w:hAnsi="Times New Roman" w:cs="Times New Roman"/>
          <w:lang w:val="en-US"/>
        </w:rPr>
        <w:t xml:space="preserve"> for sending the data used for the TSLS estimates described in Section 4.2. All remaining errors are our own.</w:t>
      </w:r>
    </w:p>
    <w:p w14:paraId="071E4E01" w14:textId="02056B34" w:rsidR="002D7B36" w:rsidRPr="006B63CF" w:rsidRDefault="002D7B36" w:rsidP="00302FB0">
      <w:pPr>
        <w:pStyle w:val="Titolo1"/>
        <w:spacing w:line="480" w:lineRule="auto"/>
        <w:jc w:val="both"/>
      </w:pPr>
      <w:r w:rsidRPr="006B63CF">
        <w:t>References</w:t>
      </w:r>
    </w:p>
    <w:p w14:paraId="00200E93"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Allwinkle</w:t>
      </w:r>
      <w:proofErr w:type="spellEnd"/>
      <w:r w:rsidRPr="006B63CF">
        <w:rPr>
          <w:rFonts w:ascii="Times New Roman" w:hAnsi="Times New Roman" w:cs="Times New Roman"/>
          <w:sz w:val="20"/>
          <w:szCs w:val="20"/>
          <w:lang w:val="en-US"/>
        </w:rPr>
        <w:t xml:space="preserve">, S., and Cruickshank, P. (2011). “Creating smart-er cities: An overview”, </w:t>
      </w:r>
      <w:r w:rsidRPr="006B63CF">
        <w:rPr>
          <w:rFonts w:ascii="Times New Roman" w:hAnsi="Times New Roman" w:cs="Times New Roman"/>
          <w:i/>
          <w:sz w:val="20"/>
          <w:szCs w:val="20"/>
          <w:lang w:val="en-US"/>
        </w:rPr>
        <w:t>Journal of Urban Technology</w:t>
      </w:r>
      <w:r w:rsidRPr="006B63CF">
        <w:rPr>
          <w:rFonts w:ascii="Times New Roman" w:hAnsi="Times New Roman" w:cs="Times New Roman"/>
          <w:sz w:val="20"/>
          <w:szCs w:val="20"/>
          <w:lang w:val="en-US"/>
        </w:rPr>
        <w:t>, 18 (2): 1–16.</w:t>
      </w:r>
    </w:p>
    <w:p w14:paraId="68DBBBBF"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Angrist, J. D., and Krueger, A. B. (2001). “Instrumental variables and the search for identification: From supply and demand to natural experiments”, </w:t>
      </w:r>
      <w:r w:rsidRPr="006B63CF">
        <w:rPr>
          <w:rFonts w:ascii="Times New Roman" w:hAnsi="Times New Roman" w:cs="Times New Roman"/>
          <w:i/>
          <w:sz w:val="20"/>
          <w:szCs w:val="20"/>
          <w:lang w:val="en-US"/>
        </w:rPr>
        <w:t>Journal of Economic Perspectives</w:t>
      </w:r>
      <w:r w:rsidRPr="006B63CF">
        <w:rPr>
          <w:rFonts w:ascii="Times New Roman" w:hAnsi="Times New Roman" w:cs="Times New Roman"/>
          <w:sz w:val="20"/>
          <w:szCs w:val="20"/>
          <w:lang w:val="en-US"/>
        </w:rPr>
        <w:t>, 15 (4): 69–85.</w:t>
      </w:r>
    </w:p>
    <w:p w14:paraId="36F013C1"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Atkinson, A.B and </w:t>
      </w:r>
      <w:proofErr w:type="spellStart"/>
      <w:r w:rsidRPr="006B63CF">
        <w:rPr>
          <w:rFonts w:ascii="Times New Roman" w:hAnsi="Times New Roman" w:cs="Times New Roman"/>
          <w:sz w:val="20"/>
          <w:szCs w:val="20"/>
          <w:lang w:val="en-US"/>
        </w:rPr>
        <w:t>Brandolini</w:t>
      </w:r>
      <w:proofErr w:type="spellEnd"/>
      <w:r w:rsidRPr="006B63CF">
        <w:rPr>
          <w:rFonts w:ascii="Times New Roman" w:hAnsi="Times New Roman" w:cs="Times New Roman"/>
          <w:sz w:val="20"/>
          <w:szCs w:val="20"/>
          <w:lang w:val="en-US"/>
        </w:rPr>
        <w:t xml:space="preserve">, A. (2009). “The panel-of-countries approach to explaining income inequality: an interdisciplinary research agenda”, in Morgan, S.L., </w:t>
      </w:r>
      <w:proofErr w:type="spellStart"/>
      <w:r w:rsidRPr="006B63CF">
        <w:rPr>
          <w:rFonts w:ascii="Times New Roman" w:hAnsi="Times New Roman" w:cs="Times New Roman"/>
          <w:sz w:val="20"/>
          <w:szCs w:val="20"/>
          <w:lang w:val="en-US"/>
        </w:rPr>
        <w:t>Grusky</w:t>
      </w:r>
      <w:proofErr w:type="spellEnd"/>
      <w:r w:rsidRPr="006B63CF">
        <w:rPr>
          <w:rFonts w:ascii="Times New Roman" w:hAnsi="Times New Roman" w:cs="Times New Roman"/>
          <w:sz w:val="20"/>
          <w:szCs w:val="20"/>
          <w:lang w:val="en-US"/>
        </w:rPr>
        <w:t>, D.B., Fields, G.S. (eds) “</w:t>
      </w:r>
      <w:r w:rsidRPr="006B63CF">
        <w:rPr>
          <w:rFonts w:ascii="Times New Roman" w:hAnsi="Times New Roman" w:cs="Times New Roman"/>
          <w:i/>
          <w:iCs/>
          <w:sz w:val="20"/>
          <w:szCs w:val="20"/>
          <w:lang w:val="en-US"/>
        </w:rPr>
        <w:t>Mobility and inequality: frontiers of research in sociology and economics”</w:t>
      </w:r>
      <w:r w:rsidRPr="006B63CF">
        <w:rPr>
          <w:rFonts w:ascii="Times New Roman" w:hAnsi="Times New Roman" w:cs="Times New Roman"/>
          <w:sz w:val="20"/>
          <w:szCs w:val="20"/>
          <w:lang w:val="en-US"/>
        </w:rPr>
        <w:t>. Stanford University Press, Stanford, pp. 400-448.</w:t>
      </w:r>
    </w:p>
    <w:p w14:paraId="3332A5FC"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Ayala, L., Martín‐Román, J., and Vicente, J. (2019). “The contribution of the spatial dimension to inequality: A counterfactual analysis for OECD countries”, </w:t>
      </w:r>
      <w:r w:rsidRPr="006B63CF">
        <w:rPr>
          <w:rFonts w:ascii="Times New Roman" w:hAnsi="Times New Roman" w:cs="Times New Roman"/>
          <w:i/>
          <w:sz w:val="20"/>
          <w:szCs w:val="20"/>
          <w:lang w:val="en-US"/>
        </w:rPr>
        <w:t>Papers in Regional Science</w:t>
      </w:r>
      <w:r w:rsidRPr="006B63CF">
        <w:rPr>
          <w:rFonts w:ascii="Times New Roman" w:hAnsi="Times New Roman" w:cs="Times New Roman"/>
          <w:sz w:val="20"/>
          <w:szCs w:val="20"/>
          <w:lang w:val="en-US"/>
        </w:rPr>
        <w:t>, online first. DOI:</w:t>
      </w:r>
      <w:r w:rsidRPr="006B63CF">
        <w:rPr>
          <w:lang w:val="en-US"/>
        </w:rPr>
        <w:t xml:space="preserve"> </w:t>
      </w:r>
      <w:r w:rsidRPr="006B63CF">
        <w:rPr>
          <w:rFonts w:ascii="Times New Roman" w:hAnsi="Times New Roman" w:cs="Times New Roman"/>
          <w:sz w:val="20"/>
          <w:szCs w:val="20"/>
          <w:lang w:val="en-US"/>
        </w:rPr>
        <w:t>10.1111/pirs.12503.</w:t>
      </w:r>
    </w:p>
    <w:p w14:paraId="39168A57"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Batty, M., </w:t>
      </w:r>
      <w:proofErr w:type="spellStart"/>
      <w:r w:rsidRPr="006B63CF">
        <w:rPr>
          <w:rFonts w:ascii="Times New Roman" w:hAnsi="Times New Roman" w:cs="Times New Roman"/>
          <w:sz w:val="20"/>
          <w:szCs w:val="20"/>
          <w:lang w:val="en-US"/>
        </w:rPr>
        <w:t>Axhausen</w:t>
      </w:r>
      <w:proofErr w:type="spellEnd"/>
      <w:r w:rsidRPr="006B63CF">
        <w:rPr>
          <w:rFonts w:ascii="Times New Roman" w:hAnsi="Times New Roman" w:cs="Times New Roman"/>
          <w:sz w:val="20"/>
          <w:szCs w:val="20"/>
          <w:lang w:val="en-US"/>
        </w:rPr>
        <w:t xml:space="preserve">, K. W., Giannotti, F., </w:t>
      </w:r>
      <w:proofErr w:type="spellStart"/>
      <w:r w:rsidRPr="006B63CF">
        <w:rPr>
          <w:rFonts w:ascii="Times New Roman" w:hAnsi="Times New Roman" w:cs="Times New Roman"/>
          <w:sz w:val="20"/>
          <w:szCs w:val="20"/>
          <w:lang w:val="en-US"/>
        </w:rPr>
        <w:t>Pozdnoukhov</w:t>
      </w:r>
      <w:proofErr w:type="spellEnd"/>
      <w:r w:rsidRPr="006B63CF">
        <w:rPr>
          <w:rFonts w:ascii="Times New Roman" w:hAnsi="Times New Roman" w:cs="Times New Roman"/>
          <w:sz w:val="20"/>
          <w:szCs w:val="20"/>
          <w:lang w:val="en-US"/>
        </w:rPr>
        <w:t xml:space="preserve">, A., Bazzani, A., </w:t>
      </w:r>
      <w:proofErr w:type="spellStart"/>
      <w:r w:rsidRPr="006B63CF">
        <w:rPr>
          <w:rFonts w:ascii="Times New Roman" w:hAnsi="Times New Roman" w:cs="Times New Roman"/>
          <w:sz w:val="20"/>
          <w:szCs w:val="20"/>
          <w:lang w:val="en-US"/>
        </w:rPr>
        <w:t>Wachowicz</w:t>
      </w:r>
      <w:proofErr w:type="spellEnd"/>
      <w:r w:rsidRPr="006B63CF">
        <w:rPr>
          <w:rFonts w:ascii="Times New Roman" w:hAnsi="Times New Roman" w:cs="Times New Roman"/>
          <w:sz w:val="20"/>
          <w:szCs w:val="20"/>
          <w:lang w:val="en-US"/>
        </w:rPr>
        <w:t xml:space="preserve">, M., ... &amp; </w:t>
      </w:r>
      <w:proofErr w:type="spellStart"/>
      <w:r w:rsidRPr="006B63CF">
        <w:rPr>
          <w:rFonts w:ascii="Times New Roman" w:hAnsi="Times New Roman" w:cs="Times New Roman"/>
          <w:sz w:val="20"/>
          <w:szCs w:val="20"/>
          <w:lang w:val="en-US"/>
        </w:rPr>
        <w:t>Portugali</w:t>
      </w:r>
      <w:proofErr w:type="spellEnd"/>
      <w:r w:rsidRPr="006B63CF">
        <w:rPr>
          <w:rFonts w:ascii="Times New Roman" w:hAnsi="Times New Roman" w:cs="Times New Roman"/>
          <w:sz w:val="20"/>
          <w:szCs w:val="20"/>
          <w:lang w:val="en-US"/>
        </w:rPr>
        <w:t>, Y. (2012). Smart cities of the future. The European Physical Journal Special Topics, 214(1), 481-518.</w:t>
      </w:r>
    </w:p>
    <w:p w14:paraId="30C6049F"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lastRenderedPageBreak/>
        <w:t xml:space="preserve">Beall, J., </w:t>
      </w:r>
      <w:proofErr w:type="spellStart"/>
      <w:r w:rsidRPr="006B63CF">
        <w:rPr>
          <w:rFonts w:ascii="Times New Roman" w:hAnsi="Times New Roman" w:cs="Times New Roman"/>
          <w:sz w:val="20"/>
          <w:szCs w:val="20"/>
          <w:lang w:val="en-US"/>
        </w:rPr>
        <w:t>Crankshaw</w:t>
      </w:r>
      <w:proofErr w:type="spellEnd"/>
      <w:r w:rsidRPr="006B63CF">
        <w:rPr>
          <w:rFonts w:ascii="Times New Roman" w:hAnsi="Times New Roman" w:cs="Times New Roman"/>
          <w:sz w:val="20"/>
          <w:szCs w:val="20"/>
          <w:lang w:val="en-US"/>
        </w:rPr>
        <w:t xml:space="preserve">, O., and Parnell, S. (2000). “Local government, poverty reduction and inequality in Johannesburg”, </w:t>
      </w:r>
      <w:r w:rsidRPr="006B63CF">
        <w:rPr>
          <w:rFonts w:ascii="Times New Roman" w:hAnsi="Times New Roman" w:cs="Times New Roman"/>
          <w:i/>
          <w:iCs/>
          <w:sz w:val="20"/>
          <w:szCs w:val="20"/>
          <w:lang w:val="en-US"/>
        </w:rPr>
        <w:t>Environment and Urbanization</w:t>
      </w:r>
      <w:r w:rsidRPr="006B63CF">
        <w:rPr>
          <w:rFonts w:ascii="Times New Roman" w:hAnsi="Times New Roman" w:cs="Times New Roman"/>
          <w:sz w:val="20"/>
          <w:szCs w:val="20"/>
          <w:lang w:val="en-US"/>
        </w:rPr>
        <w:t>, 12 (1): 107–122.</w:t>
      </w:r>
    </w:p>
    <w:p w14:paraId="2EFAF499"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Bibri</w:t>
      </w:r>
      <w:proofErr w:type="spellEnd"/>
      <w:r w:rsidRPr="006B63CF">
        <w:rPr>
          <w:rFonts w:ascii="Times New Roman" w:hAnsi="Times New Roman" w:cs="Times New Roman"/>
          <w:sz w:val="20"/>
          <w:szCs w:val="20"/>
          <w:lang w:val="en-US"/>
        </w:rPr>
        <w:t xml:space="preserve">, S. E., </w:t>
      </w:r>
      <w:proofErr w:type="spellStart"/>
      <w:r w:rsidRPr="006B63CF">
        <w:rPr>
          <w:rFonts w:ascii="Times New Roman" w:hAnsi="Times New Roman" w:cs="Times New Roman"/>
          <w:sz w:val="20"/>
          <w:szCs w:val="20"/>
          <w:lang w:val="en-US"/>
        </w:rPr>
        <w:t>Krogstie</w:t>
      </w:r>
      <w:proofErr w:type="spellEnd"/>
      <w:r w:rsidRPr="006B63CF">
        <w:rPr>
          <w:rFonts w:ascii="Times New Roman" w:hAnsi="Times New Roman" w:cs="Times New Roman"/>
          <w:sz w:val="20"/>
          <w:szCs w:val="20"/>
          <w:lang w:val="en-US"/>
        </w:rPr>
        <w:t xml:space="preserve">, J., &amp; </w:t>
      </w:r>
      <w:proofErr w:type="spellStart"/>
      <w:r w:rsidRPr="006B63CF">
        <w:rPr>
          <w:rFonts w:ascii="Times New Roman" w:hAnsi="Times New Roman" w:cs="Times New Roman"/>
          <w:sz w:val="20"/>
          <w:szCs w:val="20"/>
          <w:lang w:val="en-US"/>
        </w:rPr>
        <w:t>Kärrholm</w:t>
      </w:r>
      <w:proofErr w:type="spellEnd"/>
      <w:r w:rsidRPr="006B63CF">
        <w:rPr>
          <w:rFonts w:ascii="Times New Roman" w:hAnsi="Times New Roman" w:cs="Times New Roman"/>
          <w:sz w:val="20"/>
          <w:szCs w:val="20"/>
          <w:lang w:val="en-US"/>
        </w:rPr>
        <w:t xml:space="preserve">, M. (2020). Compact city planning and development: Emerging practices and strategies for achieving the goals of sustainability. Developments in the Built Environment, 4, 100021.Borck, R. (2007). “Voting, inequality and redistribution”, </w:t>
      </w:r>
      <w:r w:rsidRPr="006B63CF">
        <w:rPr>
          <w:rFonts w:ascii="Times New Roman" w:hAnsi="Times New Roman" w:cs="Times New Roman"/>
          <w:i/>
          <w:sz w:val="20"/>
          <w:szCs w:val="20"/>
          <w:lang w:val="en-US"/>
        </w:rPr>
        <w:t>Journal of Economic Surveys</w:t>
      </w:r>
      <w:r w:rsidRPr="006B63CF">
        <w:rPr>
          <w:rFonts w:ascii="Times New Roman" w:hAnsi="Times New Roman" w:cs="Times New Roman"/>
          <w:sz w:val="20"/>
          <w:szCs w:val="20"/>
          <w:lang w:val="en-US"/>
        </w:rPr>
        <w:t>. 21 (1): 90–109.</w:t>
      </w:r>
    </w:p>
    <w:p w14:paraId="6C865DB5"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Breau</w:t>
      </w:r>
      <w:proofErr w:type="spellEnd"/>
      <w:r w:rsidRPr="006B63CF">
        <w:rPr>
          <w:rFonts w:ascii="Times New Roman" w:hAnsi="Times New Roman" w:cs="Times New Roman"/>
          <w:sz w:val="20"/>
          <w:szCs w:val="20"/>
          <w:lang w:val="en-US"/>
        </w:rPr>
        <w:t xml:space="preserve">, S., </w:t>
      </w:r>
      <w:proofErr w:type="spellStart"/>
      <w:r w:rsidRPr="006B63CF">
        <w:rPr>
          <w:rFonts w:ascii="Times New Roman" w:hAnsi="Times New Roman" w:cs="Times New Roman"/>
          <w:sz w:val="20"/>
          <w:szCs w:val="20"/>
          <w:lang w:val="en-US"/>
        </w:rPr>
        <w:t>Kogler</w:t>
      </w:r>
      <w:proofErr w:type="spellEnd"/>
      <w:r w:rsidRPr="006B63CF">
        <w:rPr>
          <w:rFonts w:ascii="Times New Roman" w:hAnsi="Times New Roman" w:cs="Times New Roman"/>
          <w:sz w:val="20"/>
          <w:szCs w:val="20"/>
          <w:lang w:val="en-US"/>
        </w:rPr>
        <w:t xml:space="preserve">, D. F., and Bolton, K. C. (2014). “On the relationship between innovation and wage inequality: new evidence from Canadian cities”, </w:t>
      </w:r>
      <w:r w:rsidRPr="006B63CF">
        <w:rPr>
          <w:rFonts w:ascii="Times New Roman" w:hAnsi="Times New Roman" w:cs="Times New Roman"/>
          <w:i/>
          <w:sz w:val="20"/>
          <w:szCs w:val="20"/>
          <w:lang w:val="en-US"/>
        </w:rPr>
        <w:t>Economic Geography</w:t>
      </w:r>
      <w:r w:rsidRPr="006B63CF">
        <w:rPr>
          <w:rFonts w:ascii="Times New Roman" w:hAnsi="Times New Roman" w:cs="Times New Roman"/>
          <w:sz w:val="20"/>
          <w:szCs w:val="20"/>
          <w:lang w:val="en-US"/>
        </w:rPr>
        <w:t>, 90 (4): 351–373.</w:t>
      </w:r>
    </w:p>
    <w:p w14:paraId="37333F8D" w14:textId="77777777" w:rsidR="00327E2C" w:rsidRPr="006B63CF" w:rsidRDefault="00327E2C" w:rsidP="00302FB0">
      <w:pPr>
        <w:spacing w:after="120"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Burton, E. (2000). “Burton, E. (2000). “The potential of the compact city for promoting social equity”, in Williams, K., Burton, E., and Jenks, M. (eds), “</w:t>
      </w:r>
      <w:r w:rsidRPr="006B63CF">
        <w:rPr>
          <w:rFonts w:ascii="Times New Roman" w:hAnsi="Times New Roman" w:cs="Times New Roman"/>
          <w:i/>
          <w:sz w:val="20"/>
          <w:szCs w:val="20"/>
          <w:lang w:val="en-US"/>
        </w:rPr>
        <w:t>Achieving sustainable urban form</w:t>
      </w:r>
      <w:r w:rsidRPr="006B63CF">
        <w:rPr>
          <w:rFonts w:ascii="Times New Roman" w:hAnsi="Times New Roman" w:cs="Times New Roman"/>
          <w:sz w:val="20"/>
          <w:szCs w:val="20"/>
          <w:lang w:val="en-US"/>
        </w:rPr>
        <w:t>”,</w:t>
      </w:r>
      <w:r w:rsidRPr="006B63CF">
        <w:rPr>
          <w:lang w:val="en-US"/>
        </w:rPr>
        <w:t xml:space="preserve"> </w:t>
      </w:r>
      <w:r w:rsidRPr="006B63CF">
        <w:rPr>
          <w:rFonts w:ascii="Times New Roman" w:hAnsi="Times New Roman" w:cs="Times New Roman"/>
          <w:sz w:val="20"/>
          <w:szCs w:val="20"/>
          <w:lang w:val="en-US"/>
        </w:rPr>
        <w:t>London (UK): E &amp; FN Spon, pp.19–29.</w:t>
      </w:r>
    </w:p>
    <w:p w14:paraId="2C919E35" w14:textId="77777777" w:rsidR="00327E2C" w:rsidRPr="006B63CF" w:rsidRDefault="00327E2C" w:rsidP="00302FB0">
      <w:pPr>
        <w:spacing w:after="120"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rPr>
        <w:t>Camagni</w:t>
      </w:r>
      <w:proofErr w:type="spellEnd"/>
      <w:r w:rsidRPr="006B63CF">
        <w:rPr>
          <w:rFonts w:ascii="Times New Roman" w:hAnsi="Times New Roman" w:cs="Times New Roman"/>
          <w:sz w:val="20"/>
          <w:szCs w:val="20"/>
        </w:rPr>
        <w:t xml:space="preserve">, R., Capello, R., and Caragliu, A. (2013). </w:t>
      </w:r>
      <w:r w:rsidRPr="006B63CF">
        <w:rPr>
          <w:rFonts w:ascii="Times New Roman" w:hAnsi="Times New Roman" w:cs="Times New Roman"/>
          <w:sz w:val="20"/>
          <w:szCs w:val="20"/>
          <w:lang w:val="en-US"/>
        </w:rPr>
        <w:t xml:space="preserve">“One or infinite optimal city sizes? In search of an equilibrium size for cities”, </w:t>
      </w:r>
      <w:r w:rsidRPr="006B63CF">
        <w:rPr>
          <w:rFonts w:ascii="Times New Roman" w:hAnsi="Times New Roman" w:cs="Times New Roman"/>
          <w:i/>
          <w:sz w:val="20"/>
          <w:szCs w:val="20"/>
          <w:lang w:val="en-US"/>
        </w:rPr>
        <w:t>The Annals of Regional Science</w:t>
      </w:r>
      <w:r w:rsidRPr="006B63CF">
        <w:rPr>
          <w:rFonts w:ascii="Times New Roman" w:hAnsi="Times New Roman" w:cs="Times New Roman"/>
          <w:sz w:val="20"/>
          <w:szCs w:val="20"/>
          <w:lang w:val="en-US"/>
        </w:rPr>
        <w:t>, 51 (2): 309–341.</w:t>
      </w:r>
    </w:p>
    <w:p w14:paraId="64EFCE9C"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Caragliu A., Del Bo C. (2015), Smart specialization Strategies and Smart Cities: An Evidence-Based Assessment of EU Policies. In: </w:t>
      </w:r>
      <w:proofErr w:type="spellStart"/>
      <w:r w:rsidRPr="006B63CF">
        <w:rPr>
          <w:rFonts w:ascii="Times New Roman" w:hAnsi="Times New Roman" w:cs="Times New Roman"/>
          <w:sz w:val="20"/>
          <w:szCs w:val="20"/>
          <w:lang w:val="en-US"/>
        </w:rPr>
        <w:t>Kourtit</w:t>
      </w:r>
      <w:proofErr w:type="spellEnd"/>
      <w:r w:rsidRPr="006B63CF">
        <w:rPr>
          <w:rFonts w:ascii="Times New Roman" w:hAnsi="Times New Roman" w:cs="Times New Roman"/>
          <w:sz w:val="20"/>
          <w:szCs w:val="20"/>
          <w:lang w:val="en-US"/>
        </w:rPr>
        <w:t xml:space="preserve"> K., Nijkamp P., </w:t>
      </w:r>
      <w:proofErr w:type="spellStart"/>
      <w:r w:rsidRPr="006B63CF">
        <w:rPr>
          <w:rFonts w:ascii="Times New Roman" w:hAnsi="Times New Roman" w:cs="Times New Roman"/>
          <w:sz w:val="20"/>
          <w:szCs w:val="20"/>
          <w:lang w:val="en-US"/>
        </w:rPr>
        <w:t>Stough</w:t>
      </w:r>
      <w:proofErr w:type="spellEnd"/>
      <w:r w:rsidRPr="006B63CF">
        <w:rPr>
          <w:rFonts w:ascii="Times New Roman" w:hAnsi="Times New Roman" w:cs="Times New Roman"/>
          <w:sz w:val="20"/>
          <w:szCs w:val="20"/>
          <w:lang w:val="en-US"/>
        </w:rPr>
        <w:t xml:space="preserve"> R. (eds.), “</w:t>
      </w:r>
      <w:r w:rsidRPr="006B63CF">
        <w:rPr>
          <w:rFonts w:ascii="Times New Roman" w:hAnsi="Times New Roman" w:cs="Times New Roman"/>
          <w:i/>
          <w:sz w:val="20"/>
          <w:szCs w:val="20"/>
          <w:lang w:val="en-US"/>
        </w:rPr>
        <w:t>The Rise of the City</w:t>
      </w:r>
      <w:r w:rsidRPr="006B63CF">
        <w:rPr>
          <w:rFonts w:ascii="Times New Roman" w:hAnsi="Times New Roman" w:cs="Times New Roman"/>
          <w:sz w:val="20"/>
          <w:szCs w:val="20"/>
          <w:lang w:val="en-US"/>
        </w:rPr>
        <w:t>”. Cheltenham (UK): Edward Elgar, 55-82. DOI: 10.4337/9781783475360.</w:t>
      </w:r>
    </w:p>
    <w:p w14:paraId="5A322A7D"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rPr>
        <w:t xml:space="preserve">Caragliu, A., and Del Bo, C. (2012). </w:t>
      </w:r>
      <w:r w:rsidRPr="006B63CF">
        <w:rPr>
          <w:rFonts w:ascii="Times New Roman" w:hAnsi="Times New Roman" w:cs="Times New Roman"/>
          <w:sz w:val="20"/>
          <w:szCs w:val="20"/>
          <w:lang w:val="en-US"/>
        </w:rPr>
        <w:t xml:space="preserve">“Smartness and European urban performance: assessing the local impacts of smart urban attributes”, </w:t>
      </w:r>
      <w:r w:rsidRPr="006B63CF">
        <w:rPr>
          <w:rFonts w:ascii="Times New Roman" w:hAnsi="Times New Roman" w:cs="Times New Roman"/>
          <w:i/>
          <w:sz w:val="20"/>
          <w:szCs w:val="20"/>
          <w:lang w:val="en-US"/>
        </w:rPr>
        <w:t>Innovation: The European Journal of Social Science Research</w:t>
      </w:r>
      <w:r w:rsidRPr="006B63CF">
        <w:rPr>
          <w:rFonts w:ascii="Times New Roman" w:hAnsi="Times New Roman" w:cs="Times New Roman"/>
          <w:sz w:val="20"/>
          <w:szCs w:val="20"/>
          <w:lang w:val="en-US"/>
        </w:rPr>
        <w:t>, 25 (2): 97–113.</w:t>
      </w:r>
    </w:p>
    <w:p w14:paraId="5194D0BB"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Caragliu, A., and Del Bo, C. (2018). “The economics of Smart City policies”, </w:t>
      </w:r>
      <w:proofErr w:type="spellStart"/>
      <w:r w:rsidRPr="006B63CF">
        <w:rPr>
          <w:rFonts w:ascii="Times New Roman" w:hAnsi="Times New Roman" w:cs="Times New Roman"/>
          <w:i/>
          <w:sz w:val="20"/>
          <w:szCs w:val="20"/>
          <w:lang w:val="en-US"/>
        </w:rPr>
        <w:t>Scienze</w:t>
      </w:r>
      <w:proofErr w:type="spellEnd"/>
      <w:r w:rsidRPr="006B63CF">
        <w:rPr>
          <w:rFonts w:ascii="Times New Roman" w:hAnsi="Times New Roman" w:cs="Times New Roman"/>
          <w:i/>
          <w:sz w:val="20"/>
          <w:szCs w:val="20"/>
          <w:lang w:val="en-US"/>
        </w:rPr>
        <w:t xml:space="preserve"> </w:t>
      </w:r>
      <w:proofErr w:type="spellStart"/>
      <w:r w:rsidRPr="006B63CF">
        <w:rPr>
          <w:rFonts w:ascii="Times New Roman" w:hAnsi="Times New Roman" w:cs="Times New Roman"/>
          <w:i/>
          <w:sz w:val="20"/>
          <w:szCs w:val="20"/>
          <w:lang w:val="en-US"/>
        </w:rPr>
        <w:t>Regionali</w:t>
      </w:r>
      <w:proofErr w:type="spellEnd"/>
      <w:r w:rsidRPr="006B63CF">
        <w:rPr>
          <w:rFonts w:ascii="Times New Roman" w:hAnsi="Times New Roman" w:cs="Times New Roman"/>
          <w:i/>
          <w:sz w:val="20"/>
          <w:szCs w:val="20"/>
          <w:lang w:val="en-US"/>
        </w:rPr>
        <w:t>- The Italian Journal of Regional Science</w:t>
      </w:r>
      <w:r w:rsidRPr="006B63CF">
        <w:rPr>
          <w:rFonts w:ascii="Times New Roman" w:hAnsi="Times New Roman" w:cs="Times New Roman"/>
          <w:sz w:val="20"/>
          <w:szCs w:val="20"/>
          <w:lang w:val="en-US"/>
        </w:rPr>
        <w:t>, 17 (1): 81–104.</w:t>
      </w:r>
    </w:p>
    <w:p w14:paraId="55186F2C"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rPr>
        <w:t xml:space="preserve">Caragliu, A., and Del Bo, C. (2019). </w:t>
      </w:r>
      <w:r w:rsidRPr="006B63CF">
        <w:rPr>
          <w:rFonts w:ascii="Times New Roman" w:hAnsi="Times New Roman" w:cs="Times New Roman"/>
          <w:sz w:val="20"/>
          <w:szCs w:val="20"/>
          <w:lang w:val="en-US"/>
        </w:rPr>
        <w:t xml:space="preserve">“Smart innovative cities: The impact of Smart City policies on urban innovation”, </w:t>
      </w:r>
      <w:r w:rsidRPr="006B63CF">
        <w:rPr>
          <w:rFonts w:ascii="Times New Roman" w:hAnsi="Times New Roman" w:cs="Times New Roman"/>
          <w:i/>
          <w:sz w:val="20"/>
          <w:szCs w:val="20"/>
          <w:lang w:val="en-US"/>
        </w:rPr>
        <w:t>Technological Forecasting and Social Change</w:t>
      </w:r>
      <w:r w:rsidRPr="006B63CF">
        <w:rPr>
          <w:rFonts w:ascii="Times New Roman" w:hAnsi="Times New Roman" w:cs="Times New Roman"/>
          <w:sz w:val="20"/>
          <w:szCs w:val="20"/>
          <w:lang w:val="en-US"/>
        </w:rPr>
        <w:t>, 142: 373–383.</w:t>
      </w:r>
    </w:p>
    <w:p w14:paraId="256DD1A3"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rPr>
        <w:t xml:space="preserve">Caragliu, A., and Del Bo, C. (2020). </w:t>
      </w:r>
      <w:r w:rsidRPr="006B63CF">
        <w:rPr>
          <w:rFonts w:ascii="Times New Roman" w:hAnsi="Times New Roman" w:cs="Times New Roman"/>
          <w:sz w:val="20"/>
          <w:szCs w:val="20"/>
          <w:lang w:val="en-US"/>
        </w:rPr>
        <w:t xml:space="preserve">“Do Smart City Policies Work?”, In </w:t>
      </w:r>
      <w:proofErr w:type="spellStart"/>
      <w:r w:rsidRPr="006B63CF">
        <w:rPr>
          <w:rFonts w:ascii="Times New Roman" w:hAnsi="Times New Roman" w:cs="Times New Roman"/>
          <w:sz w:val="20"/>
          <w:szCs w:val="20"/>
          <w:lang w:val="en-US"/>
        </w:rPr>
        <w:t>Daniotti</w:t>
      </w:r>
      <w:proofErr w:type="spellEnd"/>
      <w:r w:rsidRPr="006B63CF">
        <w:rPr>
          <w:rFonts w:ascii="Times New Roman" w:hAnsi="Times New Roman" w:cs="Times New Roman"/>
          <w:sz w:val="20"/>
          <w:szCs w:val="20"/>
          <w:lang w:val="en-US"/>
        </w:rPr>
        <w:t xml:space="preserve">, B., </w:t>
      </w:r>
      <w:proofErr w:type="spellStart"/>
      <w:r w:rsidRPr="006B63CF">
        <w:rPr>
          <w:rFonts w:ascii="Times New Roman" w:hAnsi="Times New Roman" w:cs="Times New Roman"/>
          <w:sz w:val="20"/>
          <w:szCs w:val="20"/>
          <w:lang w:val="en-US"/>
        </w:rPr>
        <w:t>Gianinetto</w:t>
      </w:r>
      <w:proofErr w:type="spellEnd"/>
      <w:r w:rsidRPr="006B63CF">
        <w:rPr>
          <w:rFonts w:ascii="Times New Roman" w:hAnsi="Times New Roman" w:cs="Times New Roman"/>
          <w:sz w:val="20"/>
          <w:szCs w:val="20"/>
          <w:lang w:val="en-US"/>
        </w:rPr>
        <w:t xml:space="preserve">, M., and Della Torre, S. (eds), </w:t>
      </w:r>
      <w:r w:rsidRPr="006B63CF">
        <w:rPr>
          <w:rFonts w:ascii="Times New Roman" w:hAnsi="Times New Roman" w:cs="Times New Roman"/>
          <w:i/>
          <w:iCs/>
          <w:sz w:val="20"/>
          <w:szCs w:val="20"/>
          <w:lang w:val="en-US"/>
        </w:rPr>
        <w:t>Digital Transformation of the Design, Construction and Management Processes of the Built Environment</w:t>
      </w:r>
      <w:r w:rsidRPr="006B63CF">
        <w:rPr>
          <w:rFonts w:ascii="Times New Roman" w:hAnsi="Times New Roman" w:cs="Times New Roman"/>
          <w:sz w:val="20"/>
          <w:szCs w:val="20"/>
          <w:lang w:val="en-US"/>
        </w:rPr>
        <w:t>. Springer, Cham, pp. 149-159.</w:t>
      </w:r>
    </w:p>
    <w:p w14:paraId="01102E37"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rPr>
        <w:t xml:space="preserve">Caragliu, A., Del Bo, C., and </w:t>
      </w:r>
      <w:proofErr w:type="spellStart"/>
      <w:r w:rsidRPr="006B63CF">
        <w:rPr>
          <w:rFonts w:ascii="Times New Roman" w:hAnsi="Times New Roman" w:cs="Times New Roman"/>
          <w:sz w:val="20"/>
          <w:szCs w:val="20"/>
        </w:rPr>
        <w:t>Nijkamp</w:t>
      </w:r>
      <w:proofErr w:type="spellEnd"/>
      <w:r w:rsidRPr="006B63CF">
        <w:rPr>
          <w:rFonts w:ascii="Times New Roman" w:hAnsi="Times New Roman" w:cs="Times New Roman"/>
          <w:sz w:val="20"/>
          <w:szCs w:val="20"/>
        </w:rPr>
        <w:t xml:space="preserve">, P. (2011). </w:t>
      </w:r>
      <w:r w:rsidRPr="006B63CF">
        <w:rPr>
          <w:rFonts w:ascii="Times New Roman" w:hAnsi="Times New Roman" w:cs="Times New Roman"/>
          <w:sz w:val="20"/>
          <w:szCs w:val="20"/>
          <w:lang w:val="en-US"/>
        </w:rPr>
        <w:t xml:space="preserve">“Smart cities in Europe”, </w:t>
      </w:r>
      <w:r w:rsidRPr="006B63CF">
        <w:rPr>
          <w:rFonts w:ascii="Times New Roman" w:hAnsi="Times New Roman" w:cs="Times New Roman"/>
          <w:i/>
          <w:sz w:val="20"/>
          <w:szCs w:val="20"/>
          <w:lang w:val="en-US"/>
        </w:rPr>
        <w:t>Journal of Urban Technology</w:t>
      </w:r>
      <w:r w:rsidRPr="006B63CF">
        <w:rPr>
          <w:rFonts w:ascii="Times New Roman" w:hAnsi="Times New Roman" w:cs="Times New Roman"/>
          <w:sz w:val="20"/>
          <w:szCs w:val="20"/>
          <w:lang w:val="en-US"/>
        </w:rPr>
        <w:t>, 18 (2): 65–82.</w:t>
      </w:r>
    </w:p>
    <w:p w14:paraId="64C998D8" w14:textId="77777777" w:rsidR="00327E2C" w:rsidRPr="006B63CF" w:rsidRDefault="00327E2C" w:rsidP="00302FB0">
      <w:pPr>
        <w:spacing w:after="120"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Carlino</w:t>
      </w:r>
      <w:proofErr w:type="spellEnd"/>
      <w:r w:rsidRPr="006B63CF">
        <w:rPr>
          <w:rFonts w:ascii="Times New Roman" w:hAnsi="Times New Roman" w:cs="Times New Roman"/>
          <w:sz w:val="20"/>
          <w:szCs w:val="20"/>
          <w:lang w:val="en-US"/>
        </w:rPr>
        <w:t xml:space="preserve">, G.A, Chatterjee, S., and Hunt, R.M. (2007). “Urban density and the rate of invention”, </w:t>
      </w:r>
      <w:r w:rsidRPr="006B63CF">
        <w:rPr>
          <w:rFonts w:ascii="Times New Roman" w:hAnsi="Times New Roman" w:cs="Times New Roman"/>
          <w:i/>
          <w:sz w:val="20"/>
          <w:szCs w:val="20"/>
          <w:lang w:val="en-US"/>
        </w:rPr>
        <w:t>Journal of Urban Economics</w:t>
      </w:r>
      <w:r w:rsidRPr="006B63CF">
        <w:rPr>
          <w:rFonts w:ascii="Times New Roman" w:hAnsi="Times New Roman" w:cs="Times New Roman"/>
          <w:sz w:val="20"/>
          <w:szCs w:val="20"/>
          <w:lang w:val="en-US"/>
        </w:rPr>
        <w:t>, 61 (3): 389–419.</w:t>
      </w:r>
    </w:p>
    <w:p w14:paraId="1272CB86" w14:textId="77777777" w:rsidR="00327E2C" w:rsidRPr="006B63CF" w:rsidRDefault="00327E2C" w:rsidP="00302FB0">
      <w:pPr>
        <w:autoSpaceDE w:val="0"/>
        <w:autoSpaceDN w:val="0"/>
        <w:adjustRightInd w:val="0"/>
        <w:spacing w:after="120" w:line="480" w:lineRule="auto"/>
        <w:ind w:left="397" w:hanging="397"/>
        <w:jc w:val="both"/>
        <w:rPr>
          <w:rFonts w:ascii="Times New Roman" w:eastAsia="Times New Roman" w:hAnsi="Times New Roman"/>
          <w:sz w:val="20"/>
          <w:szCs w:val="20"/>
          <w:lang w:val="en"/>
        </w:rPr>
      </w:pPr>
      <w:r w:rsidRPr="006B63CF">
        <w:rPr>
          <w:rFonts w:ascii="Times New Roman" w:eastAsia="Times New Roman" w:hAnsi="Times New Roman"/>
          <w:sz w:val="20"/>
          <w:szCs w:val="20"/>
          <w:lang w:val="en"/>
        </w:rPr>
        <w:lastRenderedPageBreak/>
        <w:t xml:space="preserve">Charron, N., Dijkstra, L., and </w:t>
      </w:r>
      <w:proofErr w:type="spellStart"/>
      <w:r w:rsidRPr="006B63CF">
        <w:rPr>
          <w:rFonts w:ascii="Times New Roman" w:eastAsia="Times New Roman" w:hAnsi="Times New Roman"/>
          <w:sz w:val="20"/>
          <w:szCs w:val="20"/>
          <w:lang w:val="en"/>
        </w:rPr>
        <w:t>Lapuente</w:t>
      </w:r>
      <w:proofErr w:type="spellEnd"/>
      <w:r w:rsidRPr="006B63CF">
        <w:rPr>
          <w:rFonts w:ascii="Times New Roman" w:eastAsia="Times New Roman" w:hAnsi="Times New Roman"/>
          <w:sz w:val="20"/>
          <w:szCs w:val="20"/>
          <w:lang w:val="en"/>
        </w:rPr>
        <w:t xml:space="preserve">, V. (2014). “Regional governance matters: quality of government within European Union member states”, </w:t>
      </w:r>
      <w:r w:rsidRPr="006B63CF">
        <w:rPr>
          <w:rFonts w:ascii="Times New Roman" w:eastAsia="Times New Roman" w:hAnsi="Times New Roman"/>
          <w:i/>
          <w:sz w:val="20"/>
          <w:szCs w:val="20"/>
          <w:lang w:val="en"/>
        </w:rPr>
        <w:t>Regional Studies</w:t>
      </w:r>
      <w:r w:rsidRPr="006B63CF">
        <w:rPr>
          <w:rFonts w:ascii="Times New Roman" w:eastAsia="Times New Roman" w:hAnsi="Times New Roman"/>
          <w:sz w:val="20"/>
          <w:szCs w:val="20"/>
          <w:lang w:val="en"/>
        </w:rPr>
        <w:t>, 48(1): 68</w:t>
      </w:r>
      <w:r w:rsidRPr="006B63CF">
        <w:rPr>
          <w:rFonts w:ascii="Times New Roman" w:eastAsia="Times New Roman" w:hAnsi="Times New Roman" w:cs="Times New Roman"/>
          <w:sz w:val="20"/>
          <w:szCs w:val="20"/>
          <w:lang w:val="en"/>
        </w:rPr>
        <w:t>−</w:t>
      </w:r>
      <w:r w:rsidRPr="006B63CF">
        <w:rPr>
          <w:rFonts w:ascii="Times New Roman" w:eastAsia="Times New Roman" w:hAnsi="Times New Roman"/>
          <w:sz w:val="20"/>
          <w:szCs w:val="20"/>
          <w:lang w:val="en"/>
        </w:rPr>
        <w:t>90.</w:t>
      </w:r>
    </w:p>
    <w:p w14:paraId="58F69D8F" w14:textId="77777777" w:rsidR="00327E2C" w:rsidRPr="006B63CF" w:rsidRDefault="00327E2C" w:rsidP="00302FB0">
      <w:pPr>
        <w:autoSpaceDE w:val="0"/>
        <w:autoSpaceDN w:val="0"/>
        <w:adjustRightInd w:val="0"/>
        <w:spacing w:after="120" w:line="480" w:lineRule="auto"/>
        <w:ind w:left="397" w:hanging="397"/>
        <w:jc w:val="both"/>
        <w:rPr>
          <w:rFonts w:ascii="Times New Roman" w:eastAsia="Times New Roman" w:hAnsi="Times New Roman"/>
          <w:sz w:val="20"/>
          <w:szCs w:val="20"/>
          <w:lang w:val="en"/>
        </w:rPr>
      </w:pPr>
      <w:r w:rsidRPr="006B63CF">
        <w:rPr>
          <w:rFonts w:ascii="Times New Roman" w:eastAsia="Times New Roman" w:hAnsi="Times New Roman"/>
          <w:sz w:val="20"/>
          <w:szCs w:val="20"/>
          <w:lang w:val="en-US"/>
        </w:rPr>
        <w:t xml:space="preserve">Chen, W. H., </w:t>
      </w:r>
      <w:proofErr w:type="spellStart"/>
      <w:r w:rsidRPr="006B63CF">
        <w:rPr>
          <w:rFonts w:ascii="Times New Roman" w:eastAsia="Times New Roman" w:hAnsi="Times New Roman"/>
          <w:sz w:val="20"/>
          <w:szCs w:val="20"/>
          <w:lang w:val="en-US"/>
        </w:rPr>
        <w:t>Förster</w:t>
      </w:r>
      <w:proofErr w:type="spellEnd"/>
      <w:r w:rsidRPr="006B63CF">
        <w:rPr>
          <w:rFonts w:ascii="Times New Roman" w:eastAsia="Times New Roman" w:hAnsi="Times New Roman"/>
          <w:sz w:val="20"/>
          <w:szCs w:val="20"/>
          <w:lang w:val="en-US"/>
        </w:rPr>
        <w:t xml:space="preserve">, M., </w:t>
      </w:r>
      <w:proofErr w:type="gramStart"/>
      <w:r w:rsidRPr="006B63CF">
        <w:rPr>
          <w:rFonts w:ascii="Times New Roman" w:eastAsia="Times New Roman" w:hAnsi="Times New Roman"/>
          <w:sz w:val="20"/>
          <w:szCs w:val="20"/>
          <w:lang w:val="en-US"/>
        </w:rPr>
        <w:t xml:space="preserve">and  </w:t>
      </w:r>
      <w:proofErr w:type="spellStart"/>
      <w:r w:rsidRPr="006B63CF">
        <w:rPr>
          <w:rFonts w:ascii="Times New Roman" w:eastAsia="Times New Roman" w:hAnsi="Times New Roman"/>
          <w:sz w:val="20"/>
          <w:szCs w:val="20"/>
          <w:lang w:val="en-US"/>
        </w:rPr>
        <w:t>Llena</w:t>
      </w:r>
      <w:proofErr w:type="gramEnd"/>
      <w:r w:rsidRPr="006B63CF">
        <w:rPr>
          <w:rFonts w:ascii="Times New Roman" w:eastAsia="Times New Roman" w:hAnsi="Times New Roman"/>
          <w:sz w:val="20"/>
          <w:szCs w:val="20"/>
          <w:lang w:val="en-US"/>
        </w:rPr>
        <w:t>-Nozal</w:t>
      </w:r>
      <w:proofErr w:type="spellEnd"/>
      <w:r w:rsidRPr="006B63CF">
        <w:rPr>
          <w:rFonts w:ascii="Times New Roman" w:eastAsia="Times New Roman" w:hAnsi="Times New Roman"/>
          <w:sz w:val="20"/>
          <w:szCs w:val="20"/>
          <w:lang w:val="en-US"/>
        </w:rPr>
        <w:t>, A. (2013). “</w:t>
      </w:r>
      <w:proofErr w:type="spellStart"/>
      <w:r w:rsidRPr="006B63CF">
        <w:rPr>
          <w:rFonts w:ascii="Times New Roman" w:eastAsia="Times New Roman" w:hAnsi="Times New Roman"/>
          <w:sz w:val="20"/>
          <w:szCs w:val="20"/>
          <w:lang w:val="en"/>
        </w:rPr>
        <w:t>Globalisation</w:t>
      </w:r>
      <w:proofErr w:type="spellEnd"/>
      <w:r w:rsidRPr="006B63CF">
        <w:rPr>
          <w:rFonts w:ascii="Times New Roman" w:eastAsia="Times New Roman" w:hAnsi="Times New Roman"/>
          <w:sz w:val="20"/>
          <w:szCs w:val="20"/>
          <w:lang w:val="en"/>
        </w:rPr>
        <w:t>, technological progress and changes in regulations and institutions: Which impact on the rise of earnings inequality in OECD countries?” (No. 597). LIS Working Paper Series.</w:t>
      </w:r>
    </w:p>
    <w:p w14:paraId="4CAECC02" w14:textId="77777777" w:rsidR="00327E2C" w:rsidRPr="006B63CF" w:rsidRDefault="00327E2C" w:rsidP="00302FB0">
      <w:pPr>
        <w:autoSpaceDE w:val="0"/>
        <w:autoSpaceDN w:val="0"/>
        <w:adjustRightInd w:val="0"/>
        <w:spacing w:after="120" w:line="480" w:lineRule="auto"/>
        <w:ind w:left="397" w:hanging="397"/>
        <w:jc w:val="both"/>
        <w:rPr>
          <w:rFonts w:ascii="Times New Roman" w:eastAsia="Times New Roman" w:hAnsi="Times New Roman"/>
          <w:sz w:val="20"/>
          <w:szCs w:val="20"/>
          <w:lang w:val="en"/>
        </w:rPr>
      </w:pPr>
      <w:proofErr w:type="spellStart"/>
      <w:r w:rsidRPr="006B63CF">
        <w:rPr>
          <w:rFonts w:ascii="Times New Roman" w:eastAsia="Times New Roman" w:hAnsi="Times New Roman"/>
          <w:sz w:val="20"/>
          <w:szCs w:val="20"/>
          <w:lang w:val="en"/>
        </w:rPr>
        <w:t>Corrado</w:t>
      </w:r>
      <w:proofErr w:type="spellEnd"/>
      <w:r w:rsidRPr="006B63CF">
        <w:rPr>
          <w:rFonts w:ascii="Times New Roman" w:eastAsia="Times New Roman" w:hAnsi="Times New Roman"/>
          <w:sz w:val="20"/>
          <w:szCs w:val="20"/>
          <w:lang w:val="en"/>
        </w:rPr>
        <w:t xml:space="preserve">, L., and </w:t>
      </w:r>
      <w:proofErr w:type="spellStart"/>
      <w:r w:rsidRPr="006B63CF">
        <w:rPr>
          <w:rFonts w:ascii="Times New Roman" w:eastAsia="Times New Roman" w:hAnsi="Times New Roman"/>
          <w:sz w:val="20"/>
          <w:szCs w:val="20"/>
          <w:lang w:val="en"/>
        </w:rPr>
        <w:t>Fingleton</w:t>
      </w:r>
      <w:proofErr w:type="spellEnd"/>
      <w:r w:rsidRPr="006B63CF">
        <w:rPr>
          <w:rFonts w:ascii="Times New Roman" w:eastAsia="Times New Roman" w:hAnsi="Times New Roman"/>
          <w:sz w:val="20"/>
          <w:szCs w:val="20"/>
          <w:lang w:val="en"/>
        </w:rPr>
        <w:t xml:space="preserve">, B. (2012). “Where is the economics in spatial econometrics?”, </w:t>
      </w:r>
      <w:r w:rsidRPr="006B63CF">
        <w:rPr>
          <w:rFonts w:ascii="Times New Roman" w:eastAsia="Times New Roman" w:hAnsi="Times New Roman"/>
          <w:i/>
          <w:iCs/>
          <w:sz w:val="20"/>
          <w:szCs w:val="20"/>
          <w:lang w:val="en"/>
        </w:rPr>
        <w:t>Journal of Regional Science</w:t>
      </w:r>
      <w:r w:rsidRPr="006B63CF">
        <w:rPr>
          <w:rFonts w:ascii="Times New Roman" w:eastAsia="Times New Roman" w:hAnsi="Times New Roman"/>
          <w:sz w:val="20"/>
          <w:szCs w:val="20"/>
          <w:lang w:val="en"/>
        </w:rPr>
        <w:t>, 52 (2): 210</w:t>
      </w:r>
      <w:r w:rsidRPr="006B63CF">
        <w:rPr>
          <w:rFonts w:ascii="Times New Roman" w:eastAsia="Times New Roman" w:hAnsi="Times New Roman" w:cs="Times New Roman"/>
          <w:sz w:val="20"/>
          <w:szCs w:val="20"/>
          <w:lang w:val="en"/>
        </w:rPr>
        <w:t>–</w:t>
      </w:r>
      <w:r w:rsidRPr="006B63CF">
        <w:rPr>
          <w:rFonts w:ascii="Times New Roman" w:eastAsia="Times New Roman" w:hAnsi="Times New Roman"/>
          <w:sz w:val="20"/>
          <w:szCs w:val="20"/>
          <w:lang w:val="en"/>
        </w:rPr>
        <w:t>239.</w:t>
      </w:r>
    </w:p>
    <w:p w14:paraId="68D549AE" w14:textId="77777777" w:rsidR="00327E2C" w:rsidRPr="006B63CF" w:rsidRDefault="00327E2C" w:rsidP="00302FB0">
      <w:pPr>
        <w:autoSpaceDE w:val="0"/>
        <w:autoSpaceDN w:val="0"/>
        <w:adjustRightInd w:val="0"/>
        <w:spacing w:after="120" w:line="480" w:lineRule="auto"/>
        <w:ind w:left="397" w:hanging="397"/>
        <w:jc w:val="both"/>
        <w:rPr>
          <w:rFonts w:ascii="Times New Roman" w:eastAsia="Times New Roman" w:hAnsi="Times New Roman"/>
          <w:sz w:val="20"/>
          <w:szCs w:val="20"/>
          <w:lang w:val="en"/>
        </w:rPr>
      </w:pPr>
      <w:r w:rsidRPr="006B63CF">
        <w:rPr>
          <w:rFonts w:ascii="Times New Roman" w:eastAsia="Times New Roman" w:hAnsi="Times New Roman"/>
          <w:sz w:val="20"/>
          <w:szCs w:val="20"/>
          <w:lang w:val="en"/>
        </w:rPr>
        <w:t xml:space="preserve">Cowell, F. A. (2000). Measurement of inequality. </w:t>
      </w:r>
      <w:r w:rsidRPr="006B63CF">
        <w:rPr>
          <w:rFonts w:ascii="Times New Roman" w:eastAsia="Times New Roman" w:hAnsi="Times New Roman"/>
          <w:i/>
          <w:iCs/>
          <w:sz w:val="20"/>
          <w:szCs w:val="20"/>
          <w:lang w:val="en"/>
        </w:rPr>
        <w:t>Handbook of income distribution</w:t>
      </w:r>
      <w:r w:rsidRPr="006B63CF">
        <w:rPr>
          <w:rFonts w:ascii="Times New Roman" w:eastAsia="Times New Roman" w:hAnsi="Times New Roman"/>
          <w:sz w:val="20"/>
          <w:szCs w:val="20"/>
          <w:lang w:val="en"/>
        </w:rPr>
        <w:t>, 1, 87-166.</w:t>
      </w:r>
    </w:p>
    <w:p w14:paraId="59789A0F" w14:textId="77777777" w:rsidR="00327E2C" w:rsidRPr="006B63CF" w:rsidRDefault="00327E2C" w:rsidP="00302FB0">
      <w:pPr>
        <w:autoSpaceDE w:val="0"/>
        <w:autoSpaceDN w:val="0"/>
        <w:adjustRightInd w:val="0"/>
        <w:spacing w:after="120" w:line="480" w:lineRule="auto"/>
        <w:ind w:left="397" w:hanging="397"/>
        <w:jc w:val="both"/>
        <w:rPr>
          <w:rFonts w:ascii="Times New Roman" w:eastAsia="Times New Roman" w:hAnsi="Times New Roman"/>
          <w:sz w:val="20"/>
          <w:szCs w:val="20"/>
          <w:lang w:val="en"/>
        </w:rPr>
      </w:pPr>
      <w:r w:rsidRPr="006B63CF">
        <w:rPr>
          <w:rFonts w:ascii="Times New Roman" w:eastAsia="Times New Roman" w:hAnsi="Times New Roman"/>
          <w:sz w:val="20"/>
          <w:szCs w:val="20"/>
          <w:lang w:val="en"/>
        </w:rPr>
        <w:t xml:space="preserve">Deakin, M., &amp; Al </w:t>
      </w:r>
      <w:proofErr w:type="spellStart"/>
      <w:r w:rsidRPr="006B63CF">
        <w:rPr>
          <w:rFonts w:ascii="Times New Roman" w:eastAsia="Times New Roman" w:hAnsi="Times New Roman"/>
          <w:sz w:val="20"/>
          <w:szCs w:val="20"/>
          <w:lang w:val="en"/>
        </w:rPr>
        <w:t>Waer</w:t>
      </w:r>
      <w:proofErr w:type="spellEnd"/>
      <w:r w:rsidRPr="006B63CF">
        <w:rPr>
          <w:rFonts w:ascii="Times New Roman" w:eastAsia="Times New Roman" w:hAnsi="Times New Roman"/>
          <w:sz w:val="20"/>
          <w:szCs w:val="20"/>
          <w:lang w:val="en"/>
        </w:rPr>
        <w:t>, H. (2011). From intelligent to smart cities. Intelligent Buildings International, 3(3), 140-152.</w:t>
      </w:r>
    </w:p>
    <w:p w14:paraId="31B5B3A9" w14:textId="77777777" w:rsidR="00327E2C" w:rsidRPr="006B63CF" w:rsidRDefault="00327E2C" w:rsidP="00327E2C">
      <w:pPr>
        <w:autoSpaceDE w:val="0"/>
        <w:autoSpaceDN w:val="0"/>
        <w:adjustRightInd w:val="0"/>
        <w:spacing w:after="120" w:line="480" w:lineRule="auto"/>
        <w:ind w:left="397" w:hanging="397"/>
        <w:jc w:val="both"/>
        <w:rPr>
          <w:rFonts w:ascii="Times New Roman" w:eastAsia="Times New Roman" w:hAnsi="Times New Roman"/>
          <w:sz w:val="20"/>
          <w:szCs w:val="20"/>
          <w:lang w:val="en"/>
        </w:rPr>
      </w:pPr>
      <w:r w:rsidRPr="006B63CF">
        <w:rPr>
          <w:rFonts w:ascii="Times New Roman" w:eastAsia="Times New Roman" w:hAnsi="Times New Roman"/>
          <w:sz w:val="20"/>
          <w:szCs w:val="20"/>
          <w:lang w:val="en"/>
        </w:rPr>
        <w:t>Dieleman, F., &amp; Wegener, M. (2004). Compact city and urban sprawl. Built Environment, 30(4), 308-323.</w:t>
      </w:r>
    </w:p>
    <w:p w14:paraId="2C87EA23" w14:textId="5D306AEF" w:rsidR="00327E2C" w:rsidRPr="006B63CF" w:rsidRDefault="00327E2C" w:rsidP="00327E2C">
      <w:pPr>
        <w:autoSpaceDE w:val="0"/>
        <w:autoSpaceDN w:val="0"/>
        <w:adjustRightInd w:val="0"/>
        <w:spacing w:after="120" w:line="480" w:lineRule="auto"/>
        <w:ind w:left="397" w:hanging="397"/>
        <w:jc w:val="both"/>
        <w:rPr>
          <w:rFonts w:ascii="Times New Roman" w:eastAsia="Times New Roman" w:hAnsi="Times New Roman"/>
          <w:sz w:val="20"/>
          <w:szCs w:val="20"/>
          <w:lang w:val="en"/>
        </w:rPr>
      </w:pPr>
      <w:r w:rsidRPr="006B63CF">
        <w:rPr>
          <w:rFonts w:ascii="Times New Roman" w:hAnsi="Times New Roman" w:cs="Times New Roman"/>
          <w:color w:val="222222"/>
          <w:sz w:val="20"/>
          <w:szCs w:val="20"/>
          <w:shd w:val="clear" w:color="auto" w:fill="FFFFFF"/>
          <w:lang w:val="en-US"/>
        </w:rPr>
        <w:t>Dutton, W. H., Rogers, E. M., &amp; Jun, S. H. (1987). Diffusion and social impacts of personal computers. Communication Research, 14(2), 219-250.</w:t>
      </w:r>
    </w:p>
    <w:p w14:paraId="752DFC5B" w14:textId="77777777" w:rsidR="00327E2C" w:rsidRPr="006B63CF" w:rsidRDefault="00327E2C" w:rsidP="0050693E">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eu</w:t>
      </w:r>
      <w:proofErr w:type="spellEnd"/>
      <w:r w:rsidRPr="006B63CF">
        <w:rPr>
          <w:rFonts w:ascii="Times New Roman" w:hAnsi="Times New Roman" w:cs="Times New Roman"/>
          <w:sz w:val="20"/>
          <w:szCs w:val="20"/>
          <w:lang w:val="en-US"/>
        </w:rPr>
        <w:t>. Accessed 21 Dec 2014</w:t>
      </w:r>
    </w:p>
    <w:p w14:paraId="00371F61" w14:textId="77777777" w:rsidR="00327E2C" w:rsidRPr="006B63CF" w:rsidRDefault="00327E2C" w:rsidP="00302FB0">
      <w:pPr>
        <w:spacing w:after="120" w:line="480" w:lineRule="auto"/>
        <w:ind w:left="397" w:hanging="397"/>
        <w:jc w:val="both"/>
        <w:rPr>
          <w:rFonts w:ascii="Times New Roman" w:eastAsia="Times New Roman" w:hAnsi="Times New Roman"/>
          <w:sz w:val="20"/>
          <w:szCs w:val="20"/>
          <w:lang w:val="en"/>
        </w:rPr>
      </w:pPr>
      <w:r w:rsidRPr="006B63CF">
        <w:rPr>
          <w:rFonts w:ascii="Times New Roman" w:eastAsia="Times New Roman" w:hAnsi="Times New Roman"/>
          <w:sz w:val="20"/>
          <w:szCs w:val="20"/>
          <w:lang w:val="en"/>
        </w:rPr>
        <w:t>European Values Study (2020). “</w:t>
      </w:r>
      <w:r w:rsidRPr="006B63CF">
        <w:rPr>
          <w:rFonts w:ascii="Times New Roman" w:eastAsia="Times New Roman" w:hAnsi="Times New Roman"/>
          <w:i/>
          <w:iCs/>
          <w:sz w:val="20"/>
          <w:szCs w:val="20"/>
          <w:lang w:val="en"/>
        </w:rPr>
        <w:t>About EVS</w:t>
      </w:r>
      <w:r w:rsidRPr="006B63CF">
        <w:rPr>
          <w:rFonts w:ascii="Times New Roman" w:eastAsia="Times New Roman" w:hAnsi="Times New Roman"/>
          <w:sz w:val="20"/>
          <w:szCs w:val="20"/>
          <w:lang w:val="en"/>
        </w:rPr>
        <w:t xml:space="preserve">”, retrieved online on March 8, 2020 at the URL </w:t>
      </w:r>
      <w:hyperlink r:id="rId10">
        <w:r w:rsidRPr="006B63CF">
          <w:rPr>
            <w:rStyle w:val="Collegamentoipertestuale"/>
            <w:rFonts w:ascii="Times New Roman" w:eastAsia="Times New Roman" w:hAnsi="Times New Roman" w:cs="Times New Roman"/>
            <w:sz w:val="20"/>
            <w:szCs w:val="20"/>
            <w:lang w:val="en"/>
          </w:rPr>
          <w:t>https://europeanvaluesstudy.eu/</w:t>
        </w:r>
      </w:hyperlink>
      <w:r w:rsidRPr="006B63CF">
        <w:rPr>
          <w:rFonts w:ascii="Times New Roman" w:eastAsia="Times New Roman" w:hAnsi="Times New Roman" w:cs="Times New Roman"/>
          <w:sz w:val="20"/>
          <w:szCs w:val="20"/>
          <w:lang w:val="en"/>
        </w:rPr>
        <w:t>.</w:t>
      </w:r>
    </w:p>
    <w:p w14:paraId="12FD7A83" w14:textId="77777777" w:rsidR="00327E2C" w:rsidRPr="006B63CF" w:rsidRDefault="00327E2C" w:rsidP="00327E2C">
      <w:pPr>
        <w:spacing w:line="480" w:lineRule="auto"/>
        <w:ind w:left="397" w:hanging="397"/>
        <w:jc w:val="both"/>
        <w:rPr>
          <w:rStyle w:val="Collegamentoipertestuale"/>
          <w:rFonts w:ascii="Times New Roman" w:hAnsi="Times New Roman" w:cs="Times New Roman"/>
          <w:sz w:val="20"/>
          <w:szCs w:val="20"/>
          <w:lang w:val="en-US"/>
        </w:rPr>
      </w:pPr>
      <w:r w:rsidRPr="006B63CF">
        <w:rPr>
          <w:rFonts w:ascii="Times New Roman" w:hAnsi="Times New Roman" w:cs="Times New Roman"/>
          <w:sz w:val="20"/>
          <w:szCs w:val="20"/>
          <w:lang w:val="en-US"/>
        </w:rPr>
        <w:t>EUROSTAT (2020). “</w:t>
      </w:r>
      <w:r w:rsidRPr="006B63CF">
        <w:rPr>
          <w:rFonts w:ascii="Times New Roman" w:hAnsi="Times New Roman" w:cs="Times New Roman"/>
          <w:i/>
          <w:iCs/>
          <w:sz w:val="20"/>
          <w:szCs w:val="20"/>
          <w:lang w:val="en-US"/>
        </w:rPr>
        <w:t>Glossary: Functional urban area</w:t>
      </w:r>
      <w:r w:rsidRPr="006B63CF">
        <w:rPr>
          <w:rFonts w:ascii="Times New Roman" w:hAnsi="Times New Roman" w:cs="Times New Roman"/>
          <w:sz w:val="20"/>
          <w:szCs w:val="20"/>
          <w:lang w:val="en-US"/>
        </w:rPr>
        <w:t xml:space="preserve">”, retrieved online on March 17, 2020 at the URL </w:t>
      </w:r>
      <w:hyperlink r:id="rId11" w:history="1">
        <w:r w:rsidRPr="006B63CF">
          <w:rPr>
            <w:rStyle w:val="Collegamentoipertestuale"/>
            <w:rFonts w:ascii="Times New Roman" w:hAnsi="Times New Roman" w:cs="Times New Roman"/>
            <w:sz w:val="20"/>
            <w:szCs w:val="20"/>
            <w:lang w:val="en-US"/>
          </w:rPr>
          <w:t>https://ec.europa.eu/eurostat/statistics-explained/index.php/Glossary:Functional_urban_area</w:t>
        </w:r>
      </w:hyperlink>
    </w:p>
    <w:p w14:paraId="3F7A8D33" w14:textId="3EB7246F" w:rsidR="00327E2C" w:rsidRPr="006B63CF" w:rsidRDefault="00327E2C" w:rsidP="00327E2C">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Florida, R., &amp; </w:t>
      </w:r>
      <w:proofErr w:type="spellStart"/>
      <w:r w:rsidRPr="006B63CF">
        <w:rPr>
          <w:rFonts w:ascii="Times New Roman" w:hAnsi="Times New Roman" w:cs="Times New Roman"/>
          <w:sz w:val="20"/>
          <w:szCs w:val="20"/>
          <w:lang w:val="en-US"/>
        </w:rPr>
        <w:t>Mellander</w:t>
      </w:r>
      <w:proofErr w:type="spellEnd"/>
      <w:r w:rsidRPr="006B63CF">
        <w:rPr>
          <w:rFonts w:ascii="Times New Roman" w:hAnsi="Times New Roman" w:cs="Times New Roman"/>
          <w:sz w:val="20"/>
          <w:szCs w:val="20"/>
          <w:lang w:val="en-US"/>
        </w:rPr>
        <w:t>, C. (2016). The geography of inequality: Difference and determinants of wage and income inequality across US metros. Regional Studies, 50(1), 79-92.</w:t>
      </w:r>
    </w:p>
    <w:p w14:paraId="0075A41E"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Ganong</w:t>
      </w:r>
      <w:proofErr w:type="spellEnd"/>
      <w:r w:rsidRPr="006B63CF">
        <w:rPr>
          <w:rFonts w:ascii="Times New Roman" w:hAnsi="Times New Roman" w:cs="Times New Roman"/>
          <w:sz w:val="20"/>
          <w:szCs w:val="20"/>
          <w:lang w:val="en-US"/>
        </w:rPr>
        <w:t xml:space="preserve">, P., and </w:t>
      </w:r>
      <w:proofErr w:type="spellStart"/>
      <w:r w:rsidRPr="006B63CF">
        <w:rPr>
          <w:rFonts w:ascii="Times New Roman" w:hAnsi="Times New Roman" w:cs="Times New Roman"/>
          <w:sz w:val="20"/>
          <w:szCs w:val="20"/>
          <w:lang w:val="en-US"/>
        </w:rPr>
        <w:t>Shoag</w:t>
      </w:r>
      <w:proofErr w:type="spellEnd"/>
      <w:r w:rsidRPr="006B63CF">
        <w:rPr>
          <w:rFonts w:ascii="Times New Roman" w:hAnsi="Times New Roman" w:cs="Times New Roman"/>
          <w:sz w:val="20"/>
          <w:szCs w:val="20"/>
          <w:lang w:val="en-US"/>
        </w:rPr>
        <w:t xml:space="preserve">, D. (2017). “Why has regional income convergence in the US declined?”, </w:t>
      </w:r>
      <w:r w:rsidRPr="006B63CF">
        <w:rPr>
          <w:rFonts w:ascii="Times New Roman" w:hAnsi="Times New Roman" w:cs="Times New Roman"/>
          <w:i/>
          <w:iCs/>
          <w:sz w:val="20"/>
          <w:szCs w:val="20"/>
          <w:lang w:val="en-US"/>
        </w:rPr>
        <w:t>Journal of Urban Economics</w:t>
      </w:r>
      <w:r w:rsidRPr="006B63CF">
        <w:rPr>
          <w:rFonts w:ascii="Times New Roman" w:hAnsi="Times New Roman" w:cs="Times New Roman"/>
          <w:sz w:val="20"/>
          <w:szCs w:val="20"/>
          <w:lang w:val="en-US"/>
        </w:rPr>
        <w:t>, 102: 76–90.</w:t>
      </w:r>
    </w:p>
    <w:p w14:paraId="3C25C8C6" w14:textId="77777777" w:rsidR="00327E2C" w:rsidRPr="006B63CF" w:rsidRDefault="00327E2C" w:rsidP="0050693E">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rPr>
        <w:t>Giffinger</w:t>
      </w:r>
      <w:proofErr w:type="spellEnd"/>
      <w:r w:rsidRPr="006B63CF">
        <w:rPr>
          <w:rFonts w:ascii="Times New Roman" w:hAnsi="Times New Roman" w:cs="Times New Roman"/>
          <w:sz w:val="20"/>
          <w:szCs w:val="20"/>
        </w:rPr>
        <w:t xml:space="preserve"> R, </w:t>
      </w:r>
      <w:proofErr w:type="spellStart"/>
      <w:r w:rsidRPr="006B63CF">
        <w:rPr>
          <w:rFonts w:ascii="Times New Roman" w:hAnsi="Times New Roman" w:cs="Times New Roman"/>
          <w:sz w:val="20"/>
          <w:szCs w:val="20"/>
        </w:rPr>
        <w:t>Fertner</w:t>
      </w:r>
      <w:proofErr w:type="spellEnd"/>
      <w:r w:rsidRPr="006B63CF">
        <w:rPr>
          <w:rFonts w:ascii="Times New Roman" w:hAnsi="Times New Roman" w:cs="Times New Roman"/>
          <w:sz w:val="20"/>
          <w:szCs w:val="20"/>
        </w:rPr>
        <w:t xml:space="preserve"> C, </w:t>
      </w:r>
      <w:proofErr w:type="spellStart"/>
      <w:r w:rsidRPr="006B63CF">
        <w:rPr>
          <w:rFonts w:ascii="Times New Roman" w:hAnsi="Times New Roman" w:cs="Times New Roman"/>
          <w:sz w:val="20"/>
          <w:szCs w:val="20"/>
        </w:rPr>
        <w:t>Kramar</w:t>
      </w:r>
      <w:proofErr w:type="spellEnd"/>
      <w:r w:rsidRPr="006B63CF">
        <w:rPr>
          <w:rFonts w:ascii="Times New Roman" w:hAnsi="Times New Roman" w:cs="Times New Roman"/>
          <w:sz w:val="20"/>
          <w:szCs w:val="20"/>
        </w:rPr>
        <w:t xml:space="preserve"> H, </w:t>
      </w:r>
      <w:proofErr w:type="spellStart"/>
      <w:r w:rsidRPr="006B63CF">
        <w:rPr>
          <w:rFonts w:ascii="Times New Roman" w:hAnsi="Times New Roman" w:cs="Times New Roman"/>
          <w:sz w:val="20"/>
          <w:szCs w:val="20"/>
        </w:rPr>
        <w:t>Kalasek</w:t>
      </w:r>
      <w:proofErr w:type="spellEnd"/>
      <w:r w:rsidRPr="006B63CF">
        <w:rPr>
          <w:rFonts w:ascii="Times New Roman" w:hAnsi="Times New Roman" w:cs="Times New Roman"/>
          <w:sz w:val="20"/>
          <w:szCs w:val="20"/>
        </w:rPr>
        <w:t xml:space="preserve"> R, </w:t>
      </w:r>
      <w:proofErr w:type="spellStart"/>
      <w:r w:rsidRPr="006B63CF">
        <w:rPr>
          <w:rFonts w:ascii="Times New Roman" w:hAnsi="Times New Roman" w:cs="Times New Roman"/>
          <w:sz w:val="20"/>
          <w:szCs w:val="20"/>
        </w:rPr>
        <w:t>Pichler-Milanovi´c</w:t>
      </w:r>
      <w:proofErr w:type="spellEnd"/>
      <w:r w:rsidRPr="006B63CF">
        <w:rPr>
          <w:rFonts w:ascii="Times New Roman" w:hAnsi="Times New Roman" w:cs="Times New Roman"/>
          <w:sz w:val="20"/>
          <w:szCs w:val="20"/>
        </w:rPr>
        <w:t xml:space="preserve"> N, </w:t>
      </w:r>
      <w:proofErr w:type="spellStart"/>
      <w:r w:rsidRPr="006B63CF">
        <w:rPr>
          <w:rFonts w:ascii="Times New Roman" w:hAnsi="Times New Roman" w:cs="Times New Roman"/>
          <w:sz w:val="20"/>
          <w:szCs w:val="20"/>
        </w:rPr>
        <w:t>Meijers</w:t>
      </w:r>
      <w:proofErr w:type="spellEnd"/>
      <w:r w:rsidRPr="006B63CF">
        <w:rPr>
          <w:rFonts w:ascii="Times New Roman" w:hAnsi="Times New Roman" w:cs="Times New Roman"/>
          <w:sz w:val="20"/>
          <w:szCs w:val="20"/>
        </w:rPr>
        <w:t xml:space="preserve"> E (2007). </w:t>
      </w:r>
      <w:r w:rsidRPr="006B63CF">
        <w:rPr>
          <w:rFonts w:ascii="Times New Roman" w:hAnsi="Times New Roman" w:cs="Times New Roman"/>
          <w:sz w:val="20"/>
          <w:szCs w:val="20"/>
          <w:lang w:val="en-US"/>
        </w:rPr>
        <w:t>“</w:t>
      </w:r>
      <w:r w:rsidRPr="006B63CF">
        <w:rPr>
          <w:rFonts w:ascii="Times New Roman" w:hAnsi="Times New Roman" w:cs="Times New Roman"/>
          <w:i/>
          <w:iCs/>
          <w:sz w:val="20"/>
          <w:szCs w:val="20"/>
          <w:lang w:val="en-US"/>
        </w:rPr>
        <w:t>Smart cities. Ranking of European medium-sized cities</w:t>
      </w:r>
      <w:r w:rsidRPr="006B63CF">
        <w:rPr>
          <w:rFonts w:ascii="Times New Roman" w:hAnsi="Times New Roman" w:cs="Times New Roman"/>
          <w:sz w:val="20"/>
          <w:szCs w:val="20"/>
          <w:lang w:val="en-US"/>
        </w:rPr>
        <w:t>”. Centre of Regional Science of Vienna. www.smartcities.</w:t>
      </w:r>
    </w:p>
    <w:p w14:paraId="10941E6A"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Glaeser</w:t>
      </w:r>
      <w:proofErr w:type="spellEnd"/>
      <w:r w:rsidRPr="006B63CF">
        <w:rPr>
          <w:rFonts w:ascii="Times New Roman" w:hAnsi="Times New Roman" w:cs="Times New Roman"/>
          <w:sz w:val="20"/>
          <w:szCs w:val="20"/>
          <w:lang w:val="en-US"/>
        </w:rPr>
        <w:t xml:space="preserve">, E. L., and Berry, C. R. (2006). “Why are smart places getting smarter”, </w:t>
      </w:r>
      <w:r w:rsidRPr="006B63CF">
        <w:rPr>
          <w:rFonts w:ascii="Times New Roman" w:hAnsi="Times New Roman" w:cs="Times New Roman"/>
          <w:i/>
          <w:sz w:val="20"/>
          <w:szCs w:val="20"/>
          <w:lang w:val="en-US"/>
        </w:rPr>
        <w:t>Rappaport Institute/Taubman Center Policy Brief, 2</w:t>
      </w:r>
      <w:r w:rsidRPr="006B63CF">
        <w:rPr>
          <w:rFonts w:ascii="Times New Roman" w:hAnsi="Times New Roman" w:cs="Times New Roman"/>
          <w:sz w:val="20"/>
          <w:szCs w:val="20"/>
          <w:lang w:val="en-US"/>
        </w:rPr>
        <w:t xml:space="preserve">. Retrieved online on Oct. 30 at the URL </w:t>
      </w:r>
      <w:hyperlink r:id="rId12" w:history="1">
        <w:r w:rsidRPr="006B63CF">
          <w:rPr>
            <w:rStyle w:val="Collegamentoipertestuale"/>
            <w:rFonts w:ascii="Times New Roman" w:hAnsi="Times New Roman" w:cs="Times New Roman"/>
            <w:sz w:val="20"/>
            <w:szCs w:val="20"/>
            <w:lang w:val="en-US"/>
          </w:rPr>
          <w:t>https://www.hks.harvard.edu/sites/default/files/centers/taubman/files/brief_divergence.pdf</w:t>
        </w:r>
      </w:hyperlink>
    </w:p>
    <w:p w14:paraId="1D5F7637"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lastRenderedPageBreak/>
        <w:t>Glaeser</w:t>
      </w:r>
      <w:proofErr w:type="spellEnd"/>
      <w:r w:rsidRPr="006B63CF">
        <w:rPr>
          <w:rFonts w:ascii="Times New Roman" w:hAnsi="Times New Roman" w:cs="Times New Roman"/>
          <w:sz w:val="20"/>
          <w:szCs w:val="20"/>
          <w:lang w:val="en-US"/>
        </w:rPr>
        <w:t xml:space="preserve">, E. L., and Kahn, M. E. (2004). “Sprawl and urban growth”, in Henderson, V., and </w:t>
      </w:r>
      <w:proofErr w:type="spellStart"/>
      <w:r w:rsidRPr="006B63CF">
        <w:rPr>
          <w:rFonts w:ascii="Times New Roman" w:hAnsi="Times New Roman" w:cs="Times New Roman"/>
          <w:sz w:val="20"/>
          <w:szCs w:val="20"/>
          <w:lang w:val="en-US"/>
        </w:rPr>
        <w:t>Thisse</w:t>
      </w:r>
      <w:proofErr w:type="spellEnd"/>
      <w:r w:rsidRPr="006B63CF">
        <w:rPr>
          <w:rFonts w:ascii="Times New Roman" w:hAnsi="Times New Roman" w:cs="Times New Roman"/>
          <w:sz w:val="20"/>
          <w:szCs w:val="20"/>
          <w:lang w:val="en-US"/>
        </w:rPr>
        <w:t>, J.F. (eds), “Handbook of regional and urban economics”, Vol. 4. Amsterdam, North-Holland: Elsevier, pp. 2481–2527).</w:t>
      </w:r>
    </w:p>
    <w:p w14:paraId="7246EE2D" w14:textId="77777777" w:rsidR="00327E2C" w:rsidRPr="006B63CF" w:rsidRDefault="00327E2C" w:rsidP="008E1A79">
      <w:pPr>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Glaeser</w:t>
      </w:r>
      <w:proofErr w:type="spellEnd"/>
      <w:r w:rsidRPr="006B63CF">
        <w:rPr>
          <w:rFonts w:ascii="Times New Roman" w:hAnsi="Times New Roman" w:cs="Times New Roman"/>
          <w:sz w:val="20"/>
          <w:szCs w:val="20"/>
          <w:lang w:val="en-US"/>
        </w:rPr>
        <w:t xml:space="preserve">, E. L., </w:t>
      </w:r>
      <w:proofErr w:type="spellStart"/>
      <w:r w:rsidRPr="006B63CF">
        <w:rPr>
          <w:rFonts w:ascii="Times New Roman" w:hAnsi="Times New Roman" w:cs="Times New Roman"/>
          <w:sz w:val="20"/>
          <w:szCs w:val="20"/>
          <w:lang w:val="en-US"/>
        </w:rPr>
        <w:t>Resseger</w:t>
      </w:r>
      <w:proofErr w:type="spellEnd"/>
      <w:r w:rsidRPr="006B63CF">
        <w:rPr>
          <w:rFonts w:ascii="Times New Roman" w:hAnsi="Times New Roman" w:cs="Times New Roman"/>
          <w:sz w:val="20"/>
          <w:szCs w:val="20"/>
          <w:lang w:val="en-US"/>
        </w:rPr>
        <w:t xml:space="preserve">, M., &amp; </w:t>
      </w:r>
      <w:proofErr w:type="spellStart"/>
      <w:r w:rsidRPr="006B63CF">
        <w:rPr>
          <w:rFonts w:ascii="Times New Roman" w:hAnsi="Times New Roman" w:cs="Times New Roman"/>
          <w:sz w:val="20"/>
          <w:szCs w:val="20"/>
          <w:lang w:val="en-US"/>
        </w:rPr>
        <w:t>Tobio</w:t>
      </w:r>
      <w:proofErr w:type="spellEnd"/>
      <w:r w:rsidRPr="006B63CF">
        <w:rPr>
          <w:rFonts w:ascii="Times New Roman" w:hAnsi="Times New Roman" w:cs="Times New Roman"/>
          <w:sz w:val="20"/>
          <w:szCs w:val="20"/>
          <w:lang w:val="en-US"/>
        </w:rPr>
        <w:t>, K. (2009). Inequality in cities. Journal of Regional Science, 49(4), 617-646.</w:t>
      </w:r>
    </w:p>
    <w:p w14:paraId="262C1827"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Greenfield, A. (2013). “</w:t>
      </w:r>
      <w:r w:rsidRPr="006B63CF">
        <w:rPr>
          <w:rFonts w:ascii="Times New Roman" w:hAnsi="Times New Roman" w:cs="Times New Roman"/>
          <w:i/>
          <w:sz w:val="20"/>
          <w:szCs w:val="20"/>
          <w:lang w:val="en-US"/>
        </w:rPr>
        <w:t>Against the Smart City</w:t>
      </w:r>
      <w:r w:rsidRPr="006B63CF">
        <w:rPr>
          <w:rFonts w:ascii="Times New Roman" w:hAnsi="Times New Roman" w:cs="Times New Roman"/>
          <w:sz w:val="20"/>
          <w:szCs w:val="20"/>
          <w:lang w:val="en-US"/>
        </w:rPr>
        <w:t>”, London (UK): Verso.</w:t>
      </w:r>
    </w:p>
    <w:p w14:paraId="254A2405" w14:textId="77777777" w:rsidR="00327E2C" w:rsidRPr="006B63CF" w:rsidRDefault="00327E2C" w:rsidP="00302FB0">
      <w:pPr>
        <w:spacing w:after="120"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Hamidi, S., and </w:t>
      </w:r>
      <w:proofErr w:type="spellStart"/>
      <w:r w:rsidRPr="006B63CF">
        <w:rPr>
          <w:rFonts w:ascii="Times New Roman" w:hAnsi="Times New Roman" w:cs="Times New Roman"/>
          <w:sz w:val="20"/>
          <w:szCs w:val="20"/>
          <w:lang w:val="en-US"/>
        </w:rPr>
        <w:t>Zandiatashbar</w:t>
      </w:r>
      <w:proofErr w:type="spellEnd"/>
      <w:r w:rsidRPr="006B63CF">
        <w:rPr>
          <w:rFonts w:ascii="Times New Roman" w:hAnsi="Times New Roman" w:cs="Times New Roman"/>
          <w:sz w:val="20"/>
          <w:szCs w:val="20"/>
          <w:lang w:val="en-US"/>
        </w:rPr>
        <w:t xml:space="preserve">, A. (2019). “Does urban form matter for innovation productivity? A national multi-level study of the association between </w:t>
      </w:r>
      <w:proofErr w:type="spellStart"/>
      <w:r w:rsidRPr="006B63CF">
        <w:rPr>
          <w:rFonts w:ascii="Times New Roman" w:hAnsi="Times New Roman" w:cs="Times New Roman"/>
          <w:sz w:val="20"/>
          <w:szCs w:val="20"/>
          <w:lang w:val="en-US"/>
        </w:rPr>
        <w:t>neighbourhood</w:t>
      </w:r>
      <w:proofErr w:type="spellEnd"/>
      <w:r w:rsidRPr="006B63CF">
        <w:rPr>
          <w:rFonts w:ascii="Times New Roman" w:hAnsi="Times New Roman" w:cs="Times New Roman"/>
          <w:sz w:val="20"/>
          <w:szCs w:val="20"/>
          <w:lang w:val="en-US"/>
        </w:rPr>
        <w:t xml:space="preserve"> innovation capacity and urban sprawl”, </w:t>
      </w:r>
      <w:r w:rsidRPr="006B63CF">
        <w:rPr>
          <w:rFonts w:ascii="Times New Roman" w:hAnsi="Times New Roman" w:cs="Times New Roman"/>
          <w:i/>
          <w:sz w:val="20"/>
          <w:szCs w:val="20"/>
          <w:lang w:val="en-US"/>
        </w:rPr>
        <w:t>Urban Studies</w:t>
      </w:r>
      <w:r w:rsidRPr="006B63CF">
        <w:rPr>
          <w:rFonts w:ascii="Times New Roman" w:hAnsi="Times New Roman" w:cs="Times New Roman"/>
          <w:sz w:val="20"/>
          <w:szCs w:val="20"/>
          <w:lang w:val="en-US"/>
        </w:rPr>
        <w:t>, 56 (8): 1576–1594.</w:t>
      </w:r>
    </w:p>
    <w:p w14:paraId="2854AD82" w14:textId="77777777" w:rsidR="00327E2C" w:rsidRPr="006B63CF" w:rsidRDefault="00327E2C" w:rsidP="00302FB0">
      <w:pPr>
        <w:spacing w:after="120"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Haughton, G., and Hunter, C. (2004). “</w:t>
      </w:r>
      <w:r w:rsidRPr="006B63CF">
        <w:rPr>
          <w:rFonts w:ascii="Times New Roman" w:hAnsi="Times New Roman" w:cs="Times New Roman"/>
          <w:i/>
          <w:iCs/>
          <w:sz w:val="20"/>
          <w:szCs w:val="20"/>
          <w:lang w:val="en-US"/>
        </w:rPr>
        <w:t>Sustainable cities</w:t>
      </w:r>
      <w:r w:rsidRPr="006B63CF">
        <w:rPr>
          <w:rFonts w:ascii="Times New Roman" w:hAnsi="Times New Roman" w:cs="Times New Roman"/>
          <w:sz w:val="20"/>
          <w:szCs w:val="20"/>
          <w:lang w:val="en-US"/>
        </w:rPr>
        <w:t>”, London (UK): Routledge.</w:t>
      </w:r>
    </w:p>
    <w:p w14:paraId="539117F6" w14:textId="77777777" w:rsidR="00327E2C" w:rsidRPr="006B63CF" w:rsidRDefault="00327E2C" w:rsidP="00302FB0">
      <w:pPr>
        <w:spacing w:after="120"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Hollands, R. G. (2008). “Will the real smart city please stand up? City: Analysis of urban trends, culture, theory, policy, action”, 12 (3): 303–320.</w:t>
      </w:r>
    </w:p>
    <w:p w14:paraId="00511A01" w14:textId="77777777" w:rsidR="00327E2C" w:rsidRPr="006B63CF" w:rsidRDefault="00327E2C" w:rsidP="00302FB0">
      <w:pPr>
        <w:spacing w:after="120"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Hollands, R. G. (2015). Critical interventions into the corporate smart city. </w:t>
      </w:r>
      <w:r w:rsidRPr="006B63CF">
        <w:rPr>
          <w:rFonts w:ascii="Times New Roman" w:hAnsi="Times New Roman" w:cs="Times New Roman"/>
          <w:i/>
          <w:iCs/>
          <w:sz w:val="20"/>
          <w:szCs w:val="20"/>
          <w:lang w:val="en-US"/>
        </w:rPr>
        <w:t>Cambridge Journal of Regions, Economy and Society</w:t>
      </w:r>
      <w:r w:rsidRPr="006B63CF">
        <w:rPr>
          <w:rFonts w:ascii="Times New Roman" w:hAnsi="Times New Roman" w:cs="Times New Roman"/>
          <w:sz w:val="20"/>
          <w:szCs w:val="20"/>
          <w:lang w:val="en-US"/>
        </w:rPr>
        <w:t>, 8(1), 61-77.</w:t>
      </w:r>
    </w:p>
    <w:p w14:paraId="425F3F7A" w14:textId="77777777" w:rsidR="00327E2C" w:rsidRPr="006B63CF" w:rsidRDefault="00327E2C" w:rsidP="008B55A8">
      <w:pPr>
        <w:spacing w:line="480" w:lineRule="auto"/>
        <w:ind w:left="397" w:hanging="397"/>
        <w:jc w:val="both"/>
        <w:rPr>
          <w:rStyle w:val="Collegamentoipertestuale"/>
          <w:rFonts w:ascii="Times New Roman" w:hAnsi="Times New Roman" w:cs="Times New Roman"/>
          <w:sz w:val="20"/>
          <w:szCs w:val="20"/>
          <w:lang w:val="en-US"/>
        </w:rPr>
      </w:pPr>
      <w:r w:rsidRPr="006B63CF">
        <w:rPr>
          <w:rFonts w:ascii="Times New Roman" w:hAnsi="Times New Roman" w:cs="Times New Roman"/>
          <w:sz w:val="20"/>
          <w:szCs w:val="20"/>
          <w:lang w:val="en-US"/>
        </w:rPr>
        <w:t>IESE – The University of Navarra’s Business School (2019. “</w:t>
      </w:r>
      <w:r w:rsidRPr="006B63CF">
        <w:rPr>
          <w:rFonts w:ascii="Times New Roman" w:hAnsi="Times New Roman" w:cs="Times New Roman"/>
          <w:i/>
          <w:iCs/>
          <w:sz w:val="20"/>
          <w:szCs w:val="20"/>
          <w:lang w:val="en-US"/>
        </w:rPr>
        <w:t>IESE Cities in Motion Index 2019</w:t>
      </w:r>
      <w:r w:rsidRPr="006B63CF">
        <w:rPr>
          <w:rFonts w:ascii="Times New Roman" w:hAnsi="Times New Roman" w:cs="Times New Roman"/>
          <w:sz w:val="20"/>
          <w:szCs w:val="20"/>
          <w:lang w:val="en-US"/>
        </w:rPr>
        <w:t xml:space="preserve">”, retrieved online on Cot. 1, 2020 at the URL </w:t>
      </w:r>
      <w:hyperlink r:id="rId13" w:history="1">
        <w:r w:rsidRPr="006B63CF">
          <w:rPr>
            <w:rStyle w:val="Collegamentoipertestuale"/>
            <w:rFonts w:ascii="Times New Roman" w:hAnsi="Times New Roman" w:cs="Times New Roman"/>
            <w:sz w:val="20"/>
            <w:szCs w:val="20"/>
            <w:lang w:val="en-US"/>
          </w:rPr>
          <w:t>https://blog.iese.edu/cities-challenges-and-management/2019/05/10/iese-cities-in-motion-index-2019/</w:t>
        </w:r>
      </w:hyperlink>
    </w:p>
    <w:p w14:paraId="5B12FE1E" w14:textId="77777777" w:rsidR="00327E2C" w:rsidRPr="006B63CF" w:rsidRDefault="00327E2C" w:rsidP="008B55A8">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Jindra</w:t>
      </w:r>
      <w:proofErr w:type="spellEnd"/>
      <w:r w:rsidRPr="006B63CF">
        <w:rPr>
          <w:rFonts w:ascii="Times New Roman" w:hAnsi="Times New Roman" w:cs="Times New Roman"/>
          <w:sz w:val="20"/>
          <w:szCs w:val="20"/>
          <w:lang w:val="en-US"/>
        </w:rPr>
        <w:t xml:space="preserve">, C., and </w:t>
      </w:r>
      <w:proofErr w:type="spellStart"/>
      <w:r w:rsidRPr="006B63CF">
        <w:rPr>
          <w:rFonts w:ascii="Times New Roman" w:hAnsi="Times New Roman" w:cs="Times New Roman"/>
          <w:sz w:val="20"/>
          <w:szCs w:val="20"/>
          <w:lang w:val="en-US"/>
        </w:rPr>
        <w:t>Vaz</w:t>
      </w:r>
      <w:proofErr w:type="spellEnd"/>
      <w:r w:rsidRPr="006B63CF">
        <w:rPr>
          <w:rFonts w:ascii="Times New Roman" w:hAnsi="Times New Roman" w:cs="Times New Roman"/>
          <w:sz w:val="20"/>
          <w:szCs w:val="20"/>
          <w:lang w:val="en-US"/>
        </w:rPr>
        <w:t xml:space="preserve">, A. (2019). Good governance and multidimensional poverty: A comparative analysis of 71 countries. </w:t>
      </w:r>
      <w:r w:rsidRPr="006B63CF">
        <w:rPr>
          <w:rFonts w:ascii="Times New Roman" w:hAnsi="Times New Roman" w:cs="Times New Roman"/>
          <w:i/>
          <w:iCs/>
          <w:sz w:val="20"/>
          <w:szCs w:val="20"/>
          <w:lang w:val="en-US"/>
        </w:rPr>
        <w:t>Governance</w:t>
      </w:r>
      <w:r w:rsidRPr="006B63CF">
        <w:rPr>
          <w:rFonts w:ascii="Times New Roman" w:hAnsi="Times New Roman" w:cs="Times New Roman"/>
          <w:sz w:val="20"/>
          <w:szCs w:val="20"/>
          <w:lang w:val="en-US"/>
        </w:rPr>
        <w:t>, 32(4), 657-675.</w:t>
      </w:r>
    </w:p>
    <w:p w14:paraId="02ABA21D"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Kharas</w:t>
      </w:r>
      <w:proofErr w:type="spellEnd"/>
      <w:r w:rsidRPr="006B63CF">
        <w:rPr>
          <w:rFonts w:ascii="Times New Roman" w:hAnsi="Times New Roman" w:cs="Times New Roman"/>
          <w:sz w:val="20"/>
          <w:szCs w:val="20"/>
          <w:lang w:val="en-US"/>
        </w:rPr>
        <w:t xml:space="preserve">, H. and </w:t>
      </w:r>
      <w:proofErr w:type="spellStart"/>
      <w:r w:rsidRPr="006B63CF">
        <w:rPr>
          <w:rFonts w:ascii="Times New Roman" w:hAnsi="Times New Roman" w:cs="Times New Roman"/>
          <w:sz w:val="20"/>
          <w:szCs w:val="20"/>
          <w:lang w:val="en-US"/>
        </w:rPr>
        <w:t>Remes</w:t>
      </w:r>
      <w:proofErr w:type="spellEnd"/>
      <w:r w:rsidRPr="006B63CF">
        <w:rPr>
          <w:rFonts w:ascii="Times New Roman" w:hAnsi="Times New Roman" w:cs="Times New Roman"/>
          <w:sz w:val="20"/>
          <w:szCs w:val="20"/>
          <w:lang w:val="en-US"/>
        </w:rPr>
        <w:t xml:space="preserve">, J. (2018). “Can smart cities be equitable?”, Brookings Institution Op-Ed, June 11, 2018. Retrieved online on March 5, 2020 at the URL </w:t>
      </w:r>
      <w:hyperlink r:id="rId14" w:history="1">
        <w:r w:rsidRPr="006B63CF">
          <w:rPr>
            <w:rStyle w:val="Collegamentoipertestuale"/>
            <w:rFonts w:ascii="Times New Roman" w:hAnsi="Times New Roman" w:cs="Times New Roman"/>
            <w:sz w:val="20"/>
            <w:szCs w:val="20"/>
            <w:lang w:val="en-US"/>
          </w:rPr>
          <w:t>https://www.brookings.edu/opinions/can-smart-cities-be-equitable/</w:t>
        </w:r>
      </w:hyperlink>
    </w:p>
    <w:p w14:paraId="0D76E484"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Kitchin</w:t>
      </w:r>
      <w:proofErr w:type="spellEnd"/>
      <w:r w:rsidRPr="006B63CF">
        <w:rPr>
          <w:rFonts w:ascii="Times New Roman" w:hAnsi="Times New Roman" w:cs="Times New Roman"/>
          <w:sz w:val="20"/>
          <w:szCs w:val="20"/>
          <w:lang w:val="en-US"/>
        </w:rPr>
        <w:t xml:space="preserve">, R. (2015). Making sense of smart cities: addressing present shortcomings. </w:t>
      </w:r>
      <w:r w:rsidRPr="006B63CF">
        <w:rPr>
          <w:rFonts w:ascii="Times New Roman" w:hAnsi="Times New Roman" w:cs="Times New Roman"/>
          <w:i/>
          <w:sz w:val="20"/>
          <w:szCs w:val="20"/>
          <w:lang w:val="en-US"/>
        </w:rPr>
        <w:t>Cambridge Journal of Regions, Economy and Society</w:t>
      </w:r>
      <w:r w:rsidRPr="006B63CF">
        <w:rPr>
          <w:rFonts w:ascii="Times New Roman" w:hAnsi="Times New Roman" w:cs="Times New Roman"/>
          <w:sz w:val="20"/>
          <w:szCs w:val="20"/>
          <w:lang w:val="en-US"/>
        </w:rPr>
        <w:t>, 8(1), 131-136.</w:t>
      </w:r>
    </w:p>
    <w:p w14:paraId="2529555A"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Kitchin</w:t>
      </w:r>
      <w:proofErr w:type="spellEnd"/>
      <w:r w:rsidRPr="006B63CF">
        <w:rPr>
          <w:rFonts w:ascii="Times New Roman" w:hAnsi="Times New Roman" w:cs="Times New Roman"/>
          <w:sz w:val="20"/>
          <w:szCs w:val="20"/>
          <w:lang w:val="en-US"/>
        </w:rPr>
        <w:t xml:space="preserve">, R., </w:t>
      </w:r>
      <w:proofErr w:type="spellStart"/>
      <w:r w:rsidRPr="006B63CF">
        <w:rPr>
          <w:rFonts w:ascii="Times New Roman" w:hAnsi="Times New Roman" w:cs="Times New Roman"/>
          <w:sz w:val="20"/>
          <w:szCs w:val="20"/>
          <w:lang w:val="en-US"/>
        </w:rPr>
        <w:t>Cardullo</w:t>
      </w:r>
      <w:proofErr w:type="spellEnd"/>
      <w:r w:rsidRPr="006B63CF">
        <w:rPr>
          <w:rFonts w:ascii="Times New Roman" w:hAnsi="Times New Roman" w:cs="Times New Roman"/>
          <w:sz w:val="20"/>
          <w:szCs w:val="20"/>
          <w:lang w:val="en-US"/>
        </w:rPr>
        <w:t xml:space="preserve">, P. and </w:t>
      </w:r>
      <w:proofErr w:type="spellStart"/>
      <w:r w:rsidRPr="006B63CF">
        <w:rPr>
          <w:rFonts w:ascii="Times New Roman" w:hAnsi="Times New Roman" w:cs="Times New Roman"/>
          <w:sz w:val="20"/>
          <w:szCs w:val="20"/>
          <w:lang w:val="en-US"/>
        </w:rPr>
        <w:t>Feliciantionio</w:t>
      </w:r>
      <w:proofErr w:type="spellEnd"/>
      <w:r w:rsidRPr="006B63CF">
        <w:rPr>
          <w:rFonts w:ascii="Times New Roman" w:hAnsi="Times New Roman" w:cs="Times New Roman"/>
          <w:sz w:val="20"/>
          <w:szCs w:val="20"/>
          <w:lang w:val="en-US"/>
        </w:rPr>
        <w:t xml:space="preserve">, C. 2019. “Citizenship, justice and the right to the smart city.” In The Right to the Smart City, P. </w:t>
      </w:r>
      <w:proofErr w:type="spellStart"/>
      <w:r w:rsidRPr="006B63CF">
        <w:rPr>
          <w:rFonts w:ascii="Times New Roman" w:hAnsi="Times New Roman" w:cs="Times New Roman"/>
          <w:sz w:val="20"/>
          <w:szCs w:val="20"/>
          <w:lang w:val="en-US"/>
        </w:rPr>
        <w:t>Cardullo</w:t>
      </w:r>
      <w:proofErr w:type="spellEnd"/>
      <w:r w:rsidRPr="006B63CF">
        <w:rPr>
          <w:rFonts w:ascii="Times New Roman" w:hAnsi="Times New Roman" w:cs="Times New Roman"/>
          <w:sz w:val="20"/>
          <w:szCs w:val="20"/>
          <w:lang w:val="en-US"/>
        </w:rPr>
        <w:t xml:space="preserve">, C. </w:t>
      </w:r>
      <w:proofErr w:type="spellStart"/>
      <w:r w:rsidRPr="006B63CF">
        <w:rPr>
          <w:rFonts w:ascii="Times New Roman" w:hAnsi="Times New Roman" w:cs="Times New Roman"/>
          <w:sz w:val="20"/>
          <w:szCs w:val="20"/>
          <w:lang w:val="en-US"/>
        </w:rPr>
        <w:t>Feliciantionio</w:t>
      </w:r>
      <w:proofErr w:type="spellEnd"/>
      <w:r w:rsidRPr="006B63CF">
        <w:rPr>
          <w:rFonts w:ascii="Times New Roman" w:hAnsi="Times New Roman" w:cs="Times New Roman"/>
          <w:sz w:val="20"/>
          <w:szCs w:val="20"/>
          <w:lang w:val="en-US"/>
        </w:rPr>
        <w:t xml:space="preserve">, and R. </w:t>
      </w:r>
      <w:proofErr w:type="spellStart"/>
      <w:r w:rsidRPr="006B63CF">
        <w:rPr>
          <w:rFonts w:ascii="Times New Roman" w:hAnsi="Times New Roman" w:cs="Times New Roman"/>
          <w:sz w:val="20"/>
          <w:szCs w:val="20"/>
          <w:lang w:val="en-US"/>
        </w:rPr>
        <w:t>Kitchin</w:t>
      </w:r>
      <w:proofErr w:type="spellEnd"/>
      <w:r w:rsidRPr="006B63CF">
        <w:rPr>
          <w:rFonts w:ascii="Times New Roman" w:hAnsi="Times New Roman" w:cs="Times New Roman"/>
          <w:sz w:val="20"/>
          <w:szCs w:val="20"/>
          <w:lang w:val="en-US"/>
        </w:rPr>
        <w:t xml:space="preserve"> (eds.). Bingley, UK: Emerald Publishing.</w:t>
      </w:r>
    </w:p>
    <w:p w14:paraId="3DBC2D6B"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Klasen</w:t>
      </w:r>
      <w:proofErr w:type="spellEnd"/>
      <w:r w:rsidRPr="006B63CF">
        <w:rPr>
          <w:rFonts w:ascii="Times New Roman" w:hAnsi="Times New Roman" w:cs="Times New Roman"/>
          <w:sz w:val="20"/>
          <w:szCs w:val="20"/>
          <w:lang w:val="en-US"/>
        </w:rPr>
        <w:t xml:space="preserve">, S., and </w:t>
      </w:r>
      <w:proofErr w:type="spellStart"/>
      <w:r w:rsidRPr="006B63CF">
        <w:rPr>
          <w:rFonts w:ascii="Times New Roman" w:hAnsi="Times New Roman" w:cs="Times New Roman"/>
          <w:sz w:val="20"/>
          <w:szCs w:val="20"/>
          <w:lang w:val="en-US"/>
        </w:rPr>
        <w:t>Nestmann</w:t>
      </w:r>
      <w:proofErr w:type="spellEnd"/>
      <w:r w:rsidRPr="006B63CF">
        <w:rPr>
          <w:rFonts w:ascii="Times New Roman" w:hAnsi="Times New Roman" w:cs="Times New Roman"/>
          <w:sz w:val="20"/>
          <w:szCs w:val="20"/>
          <w:lang w:val="en-US"/>
        </w:rPr>
        <w:t xml:space="preserve">, T. (2006). “Population, population density and technological change”, </w:t>
      </w:r>
      <w:r w:rsidRPr="006B63CF">
        <w:rPr>
          <w:rFonts w:ascii="Times New Roman" w:hAnsi="Times New Roman" w:cs="Times New Roman"/>
          <w:i/>
          <w:sz w:val="20"/>
          <w:szCs w:val="20"/>
          <w:lang w:val="en-US"/>
        </w:rPr>
        <w:t>Journal of Population Economics</w:t>
      </w:r>
      <w:r w:rsidRPr="006B63CF">
        <w:rPr>
          <w:rFonts w:ascii="Times New Roman" w:hAnsi="Times New Roman" w:cs="Times New Roman"/>
          <w:sz w:val="20"/>
          <w:szCs w:val="20"/>
          <w:lang w:val="en-US"/>
        </w:rPr>
        <w:t>, 19 (3): 611–626.</w:t>
      </w:r>
    </w:p>
    <w:p w14:paraId="772745E6" w14:textId="77777777" w:rsidR="00327E2C" w:rsidRPr="006B63CF" w:rsidRDefault="00327E2C" w:rsidP="00BE42A6">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Komninos</w:t>
      </w:r>
      <w:proofErr w:type="spellEnd"/>
      <w:r w:rsidRPr="006B63CF">
        <w:rPr>
          <w:rFonts w:ascii="Times New Roman" w:hAnsi="Times New Roman" w:cs="Times New Roman"/>
          <w:sz w:val="20"/>
          <w:szCs w:val="20"/>
          <w:lang w:val="en-US"/>
        </w:rPr>
        <w:t>, N. (2002). Intelligent cities: innovation, knowledge systems and digital spaces. London: Routledge.</w:t>
      </w:r>
    </w:p>
    <w:p w14:paraId="38B17534" w14:textId="77777777" w:rsidR="00327E2C" w:rsidRPr="006B63CF" w:rsidRDefault="00327E2C" w:rsidP="00BE42A6">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lastRenderedPageBreak/>
        <w:t>Komninos</w:t>
      </w:r>
      <w:proofErr w:type="spellEnd"/>
      <w:r w:rsidRPr="006B63CF">
        <w:rPr>
          <w:rFonts w:ascii="Times New Roman" w:hAnsi="Times New Roman" w:cs="Times New Roman"/>
          <w:sz w:val="20"/>
          <w:szCs w:val="20"/>
          <w:lang w:val="en-US"/>
        </w:rPr>
        <w:t xml:space="preserve">, N. (2006). The architecture of intelligent </w:t>
      </w:r>
      <w:proofErr w:type="spellStart"/>
      <w:r w:rsidRPr="006B63CF">
        <w:rPr>
          <w:rFonts w:ascii="Times New Roman" w:hAnsi="Times New Roman" w:cs="Times New Roman"/>
          <w:sz w:val="20"/>
          <w:szCs w:val="20"/>
          <w:lang w:val="en-US"/>
        </w:rPr>
        <w:t>clities</w:t>
      </w:r>
      <w:proofErr w:type="spellEnd"/>
      <w:r w:rsidRPr="006B63CF">
        <w:rPr>
          <w:rFonts w:ascii="Times New Roman" w:hAnsi="Times New Roman" w:cs="Times New Roman"/>
          <w:sz w:val="20"/>
          <w:szCs w:val="20"/>
          <w:lang w:val="en-US"/>
        </w:rPr>
        <w:t>: Integrating human, collective and artificial intelligence to enhance knowledge and innovation. In 2006 2nd IET International Conference on Intelligent Environments-IE 06 (Vol. 1, pp. 13-20). IET.</w:t>
      </w:r>
    </w:p>
    <w:p w14:paraId="0AEA0E0E"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Komninos</w:t>
      </w:r>
      <w:proofErr w:type="spellEnd"/>
      <w:r w:rsidRPr="006B63CF">
        <w:rPr>
          <w:rFonts w:ascii="Times New Roman" w:hAnsi="Times New Roman" w:cs="Times New Roman"/>
          <w:sz w:val="20"/>
          <w:szCs w:val="20"/>
          <w:lang w:val="en-US"/>
        </w:rPr>
        <w:t>, N. (2009). Intelligent cities: towards interactive and global innovation environments. International Journal of Innovation and Regional Development, 1(4), 337-355.</w:t>
      </w:r>
    </w:p>
    <w:p w14:paraId="5029F179"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Komninos</w:t>
      </w:r>
      <w:proofErr w:type="spellEnd"/>
      <w:r w:rsidRPr="006B63CF">
        <w:rPr>
          <w:rFonts w:ascii="Times New Roman" w:hAnsi="Times New Roman" w:cs="Times New Roman"/>
          <w:sz w:val="20"/>
          <w:szCs w:val="20"/>
          <w:lang w:val="en-US"/>
        </w:rPr>
        <w:t xml:space="preserve">, N., &amp; Mora, L. (2018). “Exploring the big picture of smart city research”, </w:t>
      </w:r>
      <w:proofErr w:type="spellStart"/>
      <w:r w:rsidRPr="006B63CF">
        <w:rPr>
          <w:rFonts w:ascii="Times New Roman" w:hAnsi="Times New Roman" w:cs="Times New Roman"/>
          <w:i/>
          <w:iCs/>
          <w:sz w:val="20"/>
          <w:szCs w:val="20"/>
          <w:lang w:val="en-US"/>
        </w:rPr>
        <w:t>Scienze</w:t>
      </w:r>
      <w:proofErr w:type="spellEnd"/>
      <w:r w:rsidRPr="006B63CF">
        <w:rPr>
          <w:rFonts w:ascii="Times New Roman" w:hAnsi="Times New Roman" w:cs="Times New Roman"/>
          <w:i/>
          <w:iCs/>
          <w:sz w:val="20"/>
          <w:szCs w:val="20"/>
          <w:lang w:val="en-US"/>
        </w:rPr>
        <w:t xml:space="preserve"> </w:t>
      </w:r>
      <w:proofErr w:type="spellStart"/>
      <w:r w:rsidRPr="006B63CF">
        <w:rPr>
          <w:rFonts w:ascii="Times New Roman" w:hAnsi="Times New Roman" w:cs="Times New Roman"/>
          <w:i/>
          <w:iCs/>
          <w:sz w:val="20"/>
          <w:szCs w:val="20"/>
          <w:lang w:val="en-US"/>
        </w:rPr>
        <w:t>Regionali</w:t>
      </w:r>
      <w:proofErr w:type="spellEnd"/>
      <w:r w:rsidRPr="006B63CF">
        <w:rPr>
          <w:rFonts w:ascii="Times New Roman" w:hAnsi="Times New Roman" w:cs="Times New Roman"/>
          <w:sz w:val="20"/>
          <w:szCs w:val="20"/>
          <w:lang w:val="en-US"/>
        </w:rPr>
        <w:t>, 17(1), 15-38.</w:t>
      </w:r>
    </w:p>
    <w:p w14:paraId="16077CD1" w14:textId="77777777" w:rsidR="00327E2C" w:rsidRPr="006B63CF" w:rsidRDefault="00327E2C" w:rsidP="00327E2C">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Korpi</w:t>
      </w:r>
      <w:proofErr w:type="spellEnd"/>
      <w:r w:rsidRPr="006B63CF">
        <w:rPr>
          <w:rFonts w:ascii="Times New Roman" w:hAnsi="Times New Roman" w:cs="Times New Roman"/>
          <w:sz w:val="20"/>
          <w:szCs w:val="20"/>
          <w:lang w:val="en-US"/>
        </w:rPr>
        <w:t xml:space="preserve">, M. (2008). Does size of local </w:t>
      </w:r>
      <w:proofErr w:type="spellStart"/>
      <w:r w:rsidRPr="006B63CF">
        <w:rPr>
          <w:rFonts w:ascii="Times New Roman" w:hAnsi="Times New Roman" w:cs="Times New Roman"/>
          <w:sz w:val="20"/>
          <w:szCs w:val="20"/>
          <w:lang w:val="en-US"/>
        </w:rPr>
        <w:t>labour</w:t>
      </w:r>
      <w:proofErr w:type="spellEnd"/>
      <w:r w:rsidRPr="006B63CF">
        <w:rPr>
          <w:rFonts w:ascii="Times New Roman" w:hAnsi="Times New Roman" w:cs="Times New Roman"/>
          <w:sz w:val="20"/>
          <w:szCs w:val="20"/>
          <w:lang w:val="en-US"/>
        </w:rPr>
        <w:t xml:space="preserve"> markets affect wage inequality? A rank-size rule of income distribution. </w:t>
      </w:r>
      <w:r w:rsidRPr="006B63CF">
        <w:rPr>
          <w:rFonts w:ascii="Times New Roman" w:hAnsi="Times New Roman" w:cs="Times New Roman"/>
          <w:i/>
          <w:iCs/>
          <w:sz w:val="20"/>
          <w:szCs w:val="20"/>
          <w:lang w:val="en-US"/>
        </w:rPr>
        <w:t>Journal of Economic Geography</w:t>
      </w:r>
      <w:r w:rsidRPr="006B63CF">
        <w:rPr>
          <w:rFonts w:ascii="Times New Roman" w:hAnsi="Times New Roman" w:cs="Times New Roman"/>
          <w:sz w:val="20"/>
          <w:szCs w:val="20"/>
          <w:lang w:val="en-US"/>
        </w:rPr>
        <w:t>, 8(2), 211-237.</w:t>
      </w:r>
    </w:p>
    <w:p w14:paraId="4528102E" w14:textId="3D5F8F41" w:rsidR="00327E2C" w:rsidRPr="006B63CF" w:rsidRDefault="00327E2C" w:rsidP="00327E2C">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Kristian Behrens, Frédéric Robert‐</w:t>
      </w:r>
      <w:proofErr w:type="spellStart"/>
      <w:r w:rsidRPr="006B63CF">
        <w:rPr>
          <w:rFonts w:ascii="Times New Roman" w:hAnsi="Times New Roman" w:cs="Times New Roman"/>
          <w:sz w:val="20"/>
          <w:szCs w:val="20"/>
          <w:lang w:val="en-US"/>
        </w:rPr>
        <w:t>Nicoud</w:t>
      </w:r>
      <w:proofErr w:type="spellEnd"/>
      <w:r w:rsidRPr="006B63CF">
        <w:rPr>
          <w:rFonts w:ascii="Times New Roman" w:hAnsi="Times New Roman" w:cs="Times New Roman"/>
          <w:sz w:val="20"/>
          <w:szCs w:val="20"/>
          <w:lang w:val="en-US"/>
        </w:rPr>
        <w:t xml:space="preserve">, Survival of the Fittest in Cities: </w:t>
      </w:r>
      <w:proofErr w:type="spellStart"/>
      <w:r w:rsidRPr="006B63CF">
        <w:rPr>
          <w:rFonts w:ascii="Times New Roman" w:hAnsi="Times New Roman" w:cs="Times New Roman"/>
          <w:sz w:val="20"/>
          <w:szCs w:val="20"/>
          <w:lang w:val="en-US"/>
        </w:rPr>
        <w:t>Urbanisation</w:t>
      </w:r>
      <w:proofErr w:type="spellEnd"/>
      <w:r w:rsidRPr="006B63CF">
        <w:rPr>
          <w:rFonts w:ascii="Times New Roman" w:hAnsi="Times New Roman" w:cs="Times New Roman"/>
          <w:sz w:val="20"/>
          <w:szCs w:val="20"/>
          <w:lang w:val="en-US"/>
        </w:rPr>
        <w:t xml:space="preserve"> and Inequality, </w:t>
      </w:r>
      <w:r w:rsidRPr="006B63CF">
        <w:rPr>
          <w:rFonts w:ascii="Times New Roman" w:hAnsi="Times New Roman" w:cs="Times New Roman"/>
          <w:i/>
          <w:iCs/>
          <w:sz w:val="20"/>
          <w:szCs w:val="20"/>
          <w:lang w:val="en-US"/>
        </w:rPr>
        <w:t>The Economic Journal</w:t>
      </w:r>
      <w:r w:rsidRPr="006B63CF">
        <w:rPr>
          <w:rFonts w:ascii="Times New Roman" w:hAnsi="Times New Roman" w:cs="Times New Roman"/>
          <w:sz w:val="20"/>
          <w:szCs w:val="20"/>
          <w:lang w:val="en-US"/>
        </w:rPr>
        <w:t>, Volume 124, Issue 581, 1 December 2014, Pages 1371–1400</w:t>
      </w:r>
    </w:p>
    <w:p w14:paraId="2D0180C4"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Kummitha</w:t>
      </w:r>
      <w:proofErr w:type="spellEnd"/>
      <w:r w:rsidRPr="006B63CF">
        <w:rPr>
          <w:rFonts w:ascii="Times New Roman" w:hAnsi="Times New Roman" w:cs="Times New Roman"/>
          <w:sz w:val="20"/>
          <w:szCs w:val="20"/>
          <w:lang w:val="en-US"/>
        </w:rPr>
        <w:t xml:space="preserve">, R. K. R., and </w:t>
      </w:r>
      <w:proofErr w:type="spellStart"/>
      <w:r w:rsidRPr="006B63CF">
        <w:rPr>
          <w:rFonts w:ascii="Times New Roman" w:hAnsi="Times New Roman" w:cs="Times New Roman"/>
          <w:sz w:val="20"/>
          <w:szCs w:val="20"/>
          <w:lang w:val="en-US"/>
        </w:rPr>
        <w:t>Crutzen</w:t>
      </w:r>
      <w:proofErr w:type="spellEnd"/>
      <w:r w:rsidRPr="006B63CF">
        <w:rPr>
          <w:rFonts w:ascii="Times New Roman" w:hAnsi="Times New Roman" w:cs="Times New Roman"/>
          <w:sz w:val="20"/>
          <w:szCs w:val="20"/>
          <w:lang w:val="en-US"/>
        </w:rPr>
        <w:t xml:space="preserve">, N. (2017). “How do we understand smart cities? An evolutionary perspective”, </w:t>
      </w:r>
      <w:r w:rsidRPr="006B63CF">
        <w:rPr>
          <w:rFonts w:ascii="Times New Roman" w:hAnsi="Times New Roman" w:cs="Times New Roman"/>
          <w:i/>
          <w:iCs/>
          <w:sz w:val="20"/>
          <w:szCs w:val="20"/>
          <w:lang w:val="en-US"/>
        </w:rPr>
        <w:t>Cities</w:t>
      </w:r>
      <w:r w:rsidRPr="006B63CF">
        <w:rPr>
          <w:rFonts w:ascii="Times New Roman" w:hAnsi="Times New Roman" w:cs="Times New Roman"/>
          <w:sz w:val="20"/>
          <w:szCs w:val="20"/>
          <w:lang w:val="en-US"/>
        </w:rPr>
        <w:t>, 67: 43–52.</w:t>
      </w:r>
    </w:p>
    <w:p w14:paraId="29F0870C" w14:textId="77777777" w:rsidR="00327E2C" w:rsidRPr="006B63CF" w:rsidRDefault="00327E2C" w:rsidP="00302FB0">
      <w:pPr>
        <w:spacing w:line="480" w:lineRule="auto"/>
        <w:ind w:left="397" w:hanging="397"/>
        <w:jc w:val="both"/>
        <w:rPr>
          <w:rFonts w:ascii="Times New Roman" w:eastAsia="Times New Roman" w:hAnsi="Times New Roman" w:cs="Times New Roman"/>
          <w:sz w:val="20"/>
          <w:szCs w:val="20"/>
          <w:lang w:val="en-US"/>
        </w:rPr>
      </w:pPr>
      <w:r w:rsidRPr="006B63CF">
        <w:rPr>
          <w:rFonts w:ascii="Times New Roman" w:eastAsia="Times New Roman" w:hAnsi="Times New Roman" w:cs="Times New Roman"/>
          <w:sz w:val="20"/>
          <w:szCs w:val="20"/>
          <w:lang w:val="en-US"/>
        </w:rPr>
        <w:t xml:space="preserve">Lam, P. T., and Ma, R. (2018). “Potential pitfalls in the development of smart cities and mitigation measures: An exploratory study”. </w:t>
      </w:r>
      <w:r w:rsidRPr="006B63CF">
        <w:rPr>
          <w:rFonts w:ascii="Times New Roman" w:eastAsia="Times New Roman" w:hAnsi="Times New Roman" w:cs="Times New Roman"/>
          <w:i/>
          <w:sz w:val="20"/>
          <w:szCs w:val="20"/>
          <w:lang w:val="en-US"/>
        </w:rPr>
        <w:t>Cities</w:t>
      </w:r>
      <w:r w:rsidRPr="006B63CF">
        <w:rPr>
          <w:rFonts w:ascii="Times New Roman" w:eastAsia="Times New Roman" w:hAnsi="Times New Roman" w:cs="Times New Roman"/>
          <w:sz w:val="20"/>
          <w:szCs w:val="20"/>
          <w:lang w:val="en-US"/>
        </w:rPr>
        <w:t>. 91, 146-156.</w:t>
      </w:r>
    </w:p>
    <w:p w14:paraId="0B799EEB" w14:textId="77777777" w:rsidR="00327E2C" w:rsidRPr="006B63CF" w:rsidRDefault="00327E2C" w:rsidP="00302FB0">
      <w:pPr>
        <w:spacing w:line="480" w:lineRule="auto"/>
        <w:ind w:left="397" w:hanging="397"/>
        <w:jc w:val="both"/>
        <w:rPr>
          <w:rFonts w:ascii="Times New Roman" w:eastAsia="Times New Roman" w:hAnsi="Times New Roman" w:cs="Times New Roman"/>
          <w:sz w:val="20"/>
          <w:szCs w:val="20"/>
          <w:lang w:val="en-US"/>
        </w:rPr>
      </w:pPr>
      <w:r w:rsidRPr="006B63CF">
        <w:rPr>
          <w:rFonts w:ascii="Times New Roman" w:eastAsia="Times New Roman" w:hAnsi="Times New Roman" w:cs="Times New Roman"/>
          <w:sz w:val="20"/>
          <w:szCs w:val="20"/>
          <w:lang w:val="en-US"/>
        </w:rPr>
        <w:t>Lee, J. Y., Woods, O., &amp; Kong, L. (2020). Towards more inclusive smart cities: Reconciling the divergent realities of data and discourse at the margins. Geography Compass, 14(9), e12504.</w:t>
      </w:r>
    </w:p>
    <w:p w14:paraId="293FA061" w14:textId="77777777" w:rsidR="00327E2C" w:rsidRPr="006B63CF" w:rsidRDefault="00327E2C" w:rsidP="00327E2C">
      <w:pPr>
        <w:spacing w:line="480" w:lineRule="auto"/>
        <w:ind w:left="397" w:hanging="397"/>
        <w:jc w:val="both"/>
        <w:rPr>
          <w:rFonts w:ascii="Times New Roman" w:eastAsia="Times New Roman" w:hAnsi="Times New Roman" w:cs="Times New Roman"/>
          <w:sz w:val="20"/>
          <w:szCs w:val="20"/>
          <w:lang w:val="en-US"/>
        </w:rPr>
      </w:pPr>
      <w:r w:rsidRPr="006B63CF">
        <w:rPr>
          <w:rFonts w:ascii="Times New Roman" w:eastAsia="Times New Roman" w:hAnsi="Times New Roman" w:cs="Times New Roman"/>
          <w:sz w:val="20"/>
          <w:szCs w:val="20"/>
          <w:lang w:val="en-US"/>
        </w:rPr>
        <w:t xml:space="preserve">Lee, N., &amp; Rodríguez-Pose, A. (2013). Innovation and spatial inequality in Europe and USA. </w:t>
      </w:r>
      <w:r w:rsidRPr="006B63CF">
        <w:rPr>
          <w:rFonts w:ascii="Times New Roman" w:eastAsia="Times New Roman" w:hAnsi="Times New Roman" w:cs="Times New Roman"/>
          <w:i/>
          <w:iCs/>
          <w:sz w:val="20"/>
          <w:szCs w:val="20"/>
          <w:lang w:val="en-US"/>
        </w:rPr>
        <w:t>Journal of economic geography</w:t>
      </w:r>
      <w:r w:rsidRPr="006B63CF">
        <w:rPr>
          <w:rFonts w:ascii="Times New Roman" w:eastAsia="Times New Roman" w:hAnsi="Times New Roman" w:cs="Times New Roman"/>
          <w:sz w:val="20"/>
          <w:szCs w:val="20"/>
          <w:lang w:val="en-US"/>
        </w:rPr>
        <w:t>, 13(1), 1-22.</w:t>
      </w:r>
    </w:p>
    <w:p w14:paraId="49236798" w14:textId="60549E09" w:rsidR="00327E2C" w:rsidRPr="006B63CF" w:rsidRDefault="00327E2C" w:rsidP="00327E2C">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Lee, N., </w:t>
      </w:r>
      <w:proofErr w:type="spellStart"/>
      <w:r w:rsidRPr="006B63CF">
        <w:rPr>
          <w:rFonts w:ascii="Times New Roman" w:hAnsi="Times New Roman" w:cs="Times New Roman"/>
          <w:sz w:val="20"/>
          <w:szCs w:val="20"/>
          <w:lang w:val="en-US"/>
        </w:rPr>
        <w:t>Sissons</w:t>
      </w:r>
      <w:proofErr w:type="spellEnd"/>
      <w:r w:rsidRPr="006B63CF">
        <w:rPr>
          <w:rFonts w:ascii="Times New Roman" w:hAnsi="Times New Roman" w:cs="Times New Roman"/>
          <w:sz w:val="20"/>
          <w:szCs w:val="20"/>
          <w:lang w:val="en-US"/>
        </w:rPr>
        <w:t>, P., &amp; Jones, K. (2016). The geography of wage inequality in British cities. Regional Studies, 50(10), 1714-1727.</w:t>
      </w:r>
    </w:p>
    <w:p w14:paraId="6E4A181E" w14:textId="77777777" w:rsidR="00327E2C" w:rsidRPr="006B63CF" w:rsidRDefault="00327E2C" w:rsidP="00302FB0">
      <w:pPr>
        <w:spacing w:line="480" w:lineRule="auto"/>
        <w:ind w:left="397" w:hanging="397"/>
        <w:jc w:val="both"/>
        <w:rPr>
          <w:rFonts w:ascii="Times New Roman" w:eastAsia="Times New Roman" w:hAnsi="Times New Roman" w:cs="Times New Roman"/>
          <w:sz w:val="20"/>
          <w:szCs w:val="20"/>
          <w:lang w:val="en-US"/>
        </w:rPr>
      </w:pPr>
      <w:proofErr w:type="spellStart"/>
      <w:r w:rsidRPr="006B63CF">
        <w:rPr>
          <w:rFonts w:ascii="Times New Roman" w:eastAsia="Times New Roman" w:hAnsi="Times New Roman" w:cs="Times New Roman"/>
          <w:sz w:val="20"/>
          <w:szCs w:val="20"/>
          <w:lang w:val="en-US"/>
        </w:rPr>
        <w:t>Lenzi</w:t>
      </w:r>
      <w:proofErr w:type="spellEnd"/>
      <w:r w:rsidRPr="006B63CF">
        <w:rPr>
          <w:rFonts w:ascii="Times New Roman" w:eastAsia="Times New Roman" w:hAnsi="Times New Roman" w:cs="Times New Roman"/>
          <w:sz w:val="20"/>
          <w:szCs w:val="20"/>
          <w:lang w:val="en-US"/>
        </w:rPr>
        <w:t xml:space="preserve">, C., and </w:t>
      </w:r>
      <w:proofErr w:type="spellStart"/>
      <w:r w:rsidRPr="006B63CF">
        <w:rPr>
          <w:rFonts w:ascii="Times New Roman" w:eastAsia="Times New Roman" w:hAnsi="Times New Roman" w:cs="Times New Roman"/>
          <w:sz w:val="20"/>
          <w:szCs w:val="20"/>
          <w:lang w:val="en-US"/>
        </w:rPr>
        <w:t>Perucca</w:t>
      </w:r>
      <w:proofErr w:type="spellEnd"/>
      <w:r w:rsidRPr="006B63CF">
        <w:rPr>
          <w:rFonts w:ascii="Times New Roman" w:eastAsia="Times New Roman" w:hAnsi="Times New Roman" w:cs="Times New Roman"/>
          <w:sz w:val="20"/>
          <w:szCs w:val="20"/>
          <w:lang w:val="en-US"/>
        </w:rPr>
        <w:t xml:space="preserve">, G. (2020). The nexus between innovation and wellbeing across the EU space: What role for </w:t>
      </w:r>
      <w:proofErr w:type="spellStart"/>
      <w:proofErr w:type="gramStart"/>
      <w:r w:rsidRPr="006B63CF">
        <w:rPr>
          <w:rFonts w:ascii="Times New Roman" w:eastAsia="Times New Roman" w:hAnsi="Times New Roman" w:cs="Times New Roman"/>
          <w:sz w:val="20"/>
          <w:szCs w:val="20"/>
          <w:lang w:val="en-US"/>
        </w:rPr>
        <w:t>urbanisation</w:t>
      </w:r>
      <w:proofErr w:type="spellEnd"/>
      <w:r w:rsidRPr="006B63CF">
        <w:rPr>
          <w:rFonts w:ascii="Times New Roman" w:eastAsia="Times New Roman" w:hAnsi="Times New Roman" w:cs="Times New Roman"/>
          <w:sz w:val="20"/>
          <w:szCs w:val="20"/>
          <w:lang w:val="en-US"/>
        </w:rPr>
        <w:t>?.</w:t>
      </w:r>
      <w:proofErr w:type="gramEnd"/>
      <w:r w:rsidRPr="006B63CF">
        <w:rPr>
          <w:rFonts w:ascii="Times New Roman" w:eastAsia="Times New Roman" w:hAnsi="Times New Roman" w:cs="Times New Roman"/>
          <w:sz w:val="20"/>
          <w:szCs w:val="20"/>
          <w:lang w:val="en-US"/>
        </w:rPr>
        <w:t xml:space="preserve"> </w:t>
      </w:r>
      <w:r w:rsidRPr="006B63CF">
        <w:rPr>
          <w:rFonts w:ascii="Times New Roman" w:eastAsia="Times New Roman" w:hAnsi="Times New Roman" w:cs="Times New Roman"/>
          <w:i/>
          <w:iCs/>
          <w:sz w:val="20"/>
          <w:szCs w:val="20"/>
          <w:lang w:val="en-US"/>
        </w:rPr>
        <w:t>Urban Studies</w:t>
      </w:r>
      <w:r w:rsidRPr="006B63CF">
        <w:rPr>
          <w:rFonts w:ascii="Times New Roman" w:eastAsia="Times New Roman" w:hAnsi="Times New Roman" w:cs="Times New Roman"/>
          <w:sz w:val="20"/>
          <w:szCs w:val="20"/>
          <w:lang w:val="en-US"/>
        </w:rPr>
        <w:t>, 57(2), 323-349.</w:t>
      </w:r>
    </w:p>
    <w:p w14:paraId="2B8C384D" w14:textId="77777777" w:rsidR="00327E2C" w:rsidRPr="006B63CF" w:rsidRDefault="00327E2C" w:rsidP="00302FB0">
      <w:pPr>
        <w:spacing w:line="480" w:lineRule="auto"/>
        <w:ind w:left="397" w:hanging="397"/>
        <w:jc w:val="both"/>
        <w:rPr>
          <w:rFonts w:ascii="Times New Roman" w:eastAsia="Times New Roman" w:hAnsi="Times New Roman" w:cs="Times New Roman"/>
          <w:sz w:val="20"/>
          <w:szCs w:val="20"/>
          <w:lang w:val="en-US"/>
        </w:rPr>
      </w:pPr>
      <w:r w:rsidRPr="006B63CF">
        <w:rPr>
          <w:rFonts w:ascii="Times New Roman" w:eastAsia="Times New Roman" w:hAnsi="Times New Roman" w:cs="Times New Roman"/>
          <w:sz w:val="20"/>
          <w:szCs w:val="20"/>
          <w:lang w:val="en-US"/>
        </w:rPr>
        <w:t xml:space="preserve">Mac Gregor, T., Smith, B. and Wills, S. (2019). Measuring inequality. </w:t>
      </w:r>
      <w:r w:rsidRPr="006B63CF">
        <w:rPr>
          <w:rFonts w:ascii="Times New Roman" w:eastAsia="Times New Roman" w:hAnsi="Times New Roman" w:cs="Times New Roman"/>
          <w:i/>
          <w:sz w:val="20"/>
          <w:szCs w:val="20"/>
          <w:lang w:val="en-US"/>
        </w:rPr>
        <w:t xml:space="preserve">Oxford Review of Economic </w:t>
      </w:r>
      <w:proofErr w:type="gramStart"/>
      <w:r w:rsidRPr="006B63CF">
        <w:rPr>
          <w:rFonts w:ascii="Times New Roman" w:eastAsia="Times New Roman" w:hAnsi="Times New Roman" w:cs="Times New Roman"/>
          <w:i/>
          <w:sz w:val="20"/>
          <w:szCs w:val="20"/>
          <w:lang w:val="en-US"/>
        </w:rPr>
        <w:t>Policy</w:t>
      </w:r>
      <w:r w:rsidRPr="006B63CF">
        <w:rPr>
          <w:rFonts w:ascii="Times New Roman" w:eastAsia="Times New Roman" w:hAnsi="Times New Roman" w:cs="Times New Roman"/>
          <w:sz w:val="20"/>
          <w:szCs w:val="20"/>
          <w:lang w:val="en-US"/>
        </w:rPr>
        <w:t>,  35</w:t>
      </w:r>
      <w:proofErr w:type="gramEnd"/>
      <w:r w:rsidRPr="006B63CF">
        <w:rPr>
          <w:rFonts w:ascii="Times New Roman" w:eastAsia="Times New Roman" w:hAnsi="Times New Roman" w:cs="Times New Roman"/>
          <w:sz w:val="20"/>
          <w:szCs w:val="20"/>
          <w:lang w:val="en-US"/>
        </w:rPr>
        <w:t xml:space="preserve"> (3): 368-395</w:t>
      </w:r>
    </w:p>
    <w:p w14:paraId="0E69806A"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Marchand, Y., </w:t>
      </w:r>
      <w:proofErr w:type="spellStart"/>
      <w:r w:rsidRPr="006B63CF">
        <w:rPr>
          <w:rFonts w:ascii="Times New Roman" w:hAnsi="Times New Roman" w:cs="Times New Roman"/>
          <w:sz w:val="20"/>
          <w:szCs w:val="20"/>
          <w:lang w:val="en-US"/>
        </w:rPr>
        <w:t>Dubé</w:t>
      </w:r>
      <w:proofErr w:type="spellEnd"/>
      <w:r w:rsidRPr="006B63CF">
        <w:rPr>
          <w:rFonts w:ascii="Times New Roman" w:hAnsi="Times New Roman" w:cs="Times New Roman"/>
          <w:sz w:val="20"/>
          <w:szCs w:val="20"/>
          <w:lang w:val="en-US"/>
        </w:rPr>
        <w:t xml:space="preserve">, J., and </w:t>
      </w:r>
      <w:proofErr w:type="spellStart"/>
      <w:r w:rsidRPr="006B63CF">
        <w:rPr>
          <w:rFonts w:ascii="Times New Roman" w:hAnsi="Times New Roman" w:cs="Times New Roman"/>
          <w:sz w:val="20"/>
          <w:szCs w:val="20"/>
          <w:lang w:val="en-US"/>
        </w:rPr>
        <w:t>Breau</w:t>
      </w:r>
      <w:proofErr w:type="spellEnd"/>
      <w:r w:rsidRPr="006B63CF">
        <w:rPr>
          <w:rFonts w:ascii="Times New Roman" w:hAnsi="Times New Roman" w:cs="Times New Roman"/>
          <w:sz w:val="20"/>
          <w:szCs w:val="20"/>
          <w:lang w:val="en-US"/>
        </w:rPr>
        <w:t xml:space="preserve">, S. (2020). “Exploring the Causes and Consequences of Regional Income Inequality in Canada”, </w:t>
      </w:r>
      <w:r w:rsidRPr="006B63CF">
        <w:rPr>
          <w:rFonts w:ascii="Times New Roman" w:hAnsi="Times New Roman" w:cs="Times New Roman"/>
          <w:i/>
          <w:sz w:val="20"/>
          <w:szCs w:val="20"/>
          <w:lang w:val="en-US"/>
        </w:rPr>
        <w:t>Economic Geography</w:t>
      </w:r>
      <w:r w:rsidRPr="006B63CF">
        <w:rPr>
          <w:rFonts w:ascii="Times New Roman" w:hAnsi="Times New Roman" w:cs="Times New Roman"/>
          <w:sz w:val="20"/>
          <w:szCs w:val="20"/>
          <w:lang w:val="en-US"/>
        </w:rPr>
        <w:t>, 1-25.</w:t>
      </w:r>
    </w:p>
    <w:p w14:paraId="415315F3"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rPr>
        <w:lastRenderedPageBreak/>
        <w:t>Neirotti</w:t>
      </w:r>
      <w:proofErr w:type="spellEnd"/>
      <w:r w:rsidRPr="006B63CF">
        <w:rPr>
          <w:rFonts w:ascii="Times New Roman" w:hAnsi="Times New Roman" w:cs="Times New Roman"/>
          <w:sz w:val="20"/>
          <w:szCs w:val="20"/>
        </w:rPr>
        <w:t xml:space="preserve">, P., De Marco, A., Cagliano, A. C., Mangano, G., &amp; Scorrano, F. (2014). </w:t>
      </w:r>
      <w:r w:rsidRPr="006B63CF">
        <w:rPr>
          <w:rFonts w:ascii="Times New Roman" w:hAnsi="Times New Roman" w:cs="Times New Roman"/>
          <w:sz w:val="20"/>
          <w:szCs w:val="20"/>
          <w:lang w:val="en-US"/>
        </w:rPr>
        <w:t xml:space="preserve">Current trends in Smart City initiatives: Some </w:t>
      </w:r>
      <w:proofErr w:type="spellStart"/>
      <w:r w:rsidRPr="006B63CF">
        <w:rPr>
          <w:rFonts w:ascii="Times New Roman" w:hAnsi="Times New Roman" w:cs="Times New Roman"/>
          <w:sz w:val="20"/>
          <w:szCs w:val="20"/>
          <w:lang w:val="en-US"/>
        </w:rPr>
        <w:t>stylised</w:t>
      </w:r>
      <w:proofErr w:type="spellEnd"/>
      <w:r w:rsidRPr="006B63CF">
        <w:rPr>
          <w:rFonts w:ascii="Times New Roman" w:hAnsi="Times New Roman" w:cs="Times New Roman"/>
          <w:sz w:val="20"/>
          <w:szCs w:val="20"/>
          <w:lang w:val="en-US"/>
        </w:rPr>
        <w:t xml:space="preserve"> facts. </w:t>
      </w:r>
      <w:r w:rsidRPr="006B63CF">
        <w:rPr>
          <w:rFonts w:ascii="Times New Roman" w:hAnsi="Times New Roman" w:cs="Times New Roman"/>
          <w:i/>
          <w:sz w:val="20"/>
          <w:szCs w:val="20"/>
          <w:lang w:val="en-US"/>
        </w:rPr>
        <w:t>Cities</w:t>
      </w:r>
      <w:r w:rsidRPr="006B63CF">
        <w:rPr>
          <w:rFonts w:ascii="Times New Roman" w:hAnsi="Times New Roman" w:cs="Times New Roman"/>
          <w:sz w:val="20"/>
          <w:szCs w:val="20"/>
          <w:lang w:val="en-US"/>
        </w:rPr>
        <w:t>, 38, 25-36.</w:t>
      </w:r>
    </w:p>
    <w:p w14:paraId="2B7DDAA1" w14:textId="77777777" w:rsidR="00327E2C" w:rsidRPr="006B63CF" w:rsidRDefault="00327E2C" w:rsidP="00302FB0">
      <w:pPr>
        <w:spacing w:line="480" w:lineRule="auto"/>
        <w:ind w:left="397" w:hanging="397"/>
        <w:jc w:val="both"/>
        <w:rPr>
          <w:rFonts w:ascii="Times New Roman" w:hAnsi="Times New Roman" w:cs="Times New Roman"/>
          <w:sz w:val="20"/>
          <w:szCs w:val="20"/>
        </w:rPr>
      </w:pPr>
      <w:r w:rsidRPr="006B63CF">
        <w:rPr>
          <w:rFonts w:ascii="Times New Roman" w:hAnsi="Times New Roman" w:cs="Times New Roman"/>
          <w:sz w:val="20"/>
          <w:szCs w:val="20"/>
        </w:rPr>
        <w:t xml:space="preserve">Newman, P., </w:t>
      </w:r>
      <w:proofErr w:type="spellStart"/>
      <w:r w:rsidRPr="006B63CF">
        <w:rPr>
          <w:rFonts w:ascii="Times New Roman" w:hAnsi="Times New Roman" w:cs="Times New Roman"/>
          <w:sz w:val="20"/>
          <w:szCs w:val="20"/>
        </w:rPr>
        <w:t>Beatley</w:t>
      </w:r>
      <w:proofErr w:type="spellEnd"/>
      <w:r w:rsidRPr="006B63CF">
        <w:rPr>
          <w:rFonts w:ascii="Times New Roman" w:hAnsi="Times New Roman" w:cs="Times New Roman"/>
          <w:sz w:val="20"/>
          <w:szCs w:val="20"/>
        </w:rPr>
        <w:t xml:space="preserve">, T., &amp; </w:t>
      </w:r>
      <w:proofErr w:type="spellStart"/>
      <w:r w:rsidRPr="006B63CF">
        <w:rPr>
          <w:rFonts w:ascii="Times New Roman" w:hAnsi="Times New Roman" w:cs="Times New Roman"/>
          <w:sz w:val="20"/>
          <w:szCs w:val="20"/>
        </w:rPr>
        <w:t>Boyer</w:t>
      </w:r>
      <w:proofErr w:type="spellEnd"/>
      <w:r w:rsidRPr="006B63CF">
        <w:rPr>
          <w:rFonts w:ascii="Times New Roman" w:hAnsi="Times New Roman" w:cs="Times New Roman"/>
          <w:sz w:val="20"/>
          <w:szCs w:val="20"/>
        </w:rPr>
        <w:t>, H. (2009). </w:t>
      </w:r>
      <w:proofErr w:type="spellStart"/>
      <w:r w:rsidRPr="006B63CF">
        <w:rPr>
          <w:rFonts w:ascii="Times New Roman" w:hAnsi="Times New Roman" w:cs="Times New Roman"/>
          <w:sz w:val="20"/>
          <w:szCs w:val="20"/>
        </w:rPr>
        <w:t>Resilient</w:t>
      </w:r>
      <w:proofErr w:type="spellEnd"/>
      <w:r w:rsidRPr="006B63CF">
        <w:rPr>
          <w:rFonts w:ascii="Times New Roman" w:hAnsi="Times New Roman" w:cs="Times New Roman"/>
          <w:sz w:val="20"/>
          <w:szCs w:val="20"/>
        </w:rPr>
        <w:t xml:space="preserve"> cities: </w:t>
      </w:r>
      <w:proofErr w:type="spellStart"/>
      <w:r w:rsidRPr="006B63CF">
        <w:rPr>
          <w:rFonts w:ascii="Times New Roman" w:hAnsi="Times New Roman" w:cs="Times New Roman"/>
          <w:sz w:val="20"/>
          <w:szCs w:val="20"/>
        </w:rPr>
        <w:t>responding</w:t>
      </w:r>
      <w:proofErr w:type="spellEnd"/>
      <w:r w:rsidRPr="006B63CF">
        <w:rPr>
          <w:rFonts w:ascii="Times New Roman" w:hAnsi="Times New Roman" w:cs="Times New Roman"/>
          <w:sz w:val="20"/>
          <w:szCs w:val="20"/>
        </w:rPr>
        <w:t xml:space="preserve"> to </w:t>
      </w:r>
      <w:proofErr w:type="spellStart"/>
      <w:r w:rsidRPr="006B63CF">
        <w:rPr>
          <w:rFonts w:ascii="Times New Roman" w:hAnsi="Times New Roman" w:cs="Times New Roman"/>
          <w:sz w:val="20"/>
          <w:szCs w:val="20"/>
        </w:rPr>
        <w:t>peak</w:t>
      </w:r>
      <w:proofErr w:type="spellEnd"/>
      <w:r w:rsidRPr="006B63CF">
        <w:rPr>
          <w:rFonts w:ascii="Times New Roman" w:hAnsi="Times New Roman" w:cs="Times New Roman"/>
          <w:sz w:val="20"/>
          <w:szCs w:val="20"/>
        </w:rPr>
        <w:t xml:space="preserve"> </w:t>
      </w:r>
      <w:proofErr w:type="spellStart"/>
      <w:r w:rsidRPr="006B63CF">
        <w:rPr>
          <w:rFonts w:ascii="Times New Roman" w:hAnsi="Times New Roman" w:cs="Times New Roman"/>
          <w:sz w:val="20"/>
          <w:szCs w:val="20"/>
        </w:rPr>
        <w:t>oil</w:t>
      </w:r>
      <w:proofErr w:type="spellEnd"/>
      <w:r w:rsidRPr="006B63CF">
        <w:rPr>
          <w:rFonts w:ascii="Times New Roman" w:hAnsi="Times New Roman" w:cs="Times New Roman"/>
          <w:sz w:val="20"/>
          <w:szCs w:val="20"/>
        </w:rPr>
        <w:t xml:space="preserve"> and </w:t>
      </w:r>
      <w:proofErr w:type="spellStart"/>
      <w:r w:rsidRPr="006B63CF">
        <w:rPr>
          <w:rFonts w:ascii="Times New Roman" w:hAnsi="Times New Roman" w:cs="Times New Roman"/>
          <w:sz w:val="20"/>
          <w:szCs w:val="20"/>
        </w:rPr>
        <w:t>climate</w:t>
      </w:r>
      <w:proofErr w:type="spellEnd"/>
      <w:r w:rsidRPr="006B63CF">
        <w:rPr>
          <w:rFonts w:ascii="Times New Roman" w:hAnsi="Times New Roman" w:cs="Times New Roman"/>
          <w:sz w:val="20"/>
          <w:szCs w:val="20"/>
        </w:rPr>
        <w:t xml:space="preserve"> change. Island Press.</w:t>
      </w:r>
    </w:p>
    <w:p w14:paraId="163913AE"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rPr>
        <w:t xml:space="preserve">Nolan, B., </w:t>
      </w:r>
      <w:proofErr w:type="spellStart"/>
      <w:r w:rsidRPr="006B63CF">
        <w:rPr>
          <w:rFonts w:ascii="Times New Roman" w:hAnsi="Times New Roman" w:cs="Times New Roman"/>
          <w:sz w:val="20"/>
          <w:szCs w:val="20"/>
        </w:rPr>
        <w:t>Richiardi</w:t>
      </w:r>
      <w:proofErr w:type="spellEnd"/>
      <w:r w:rsidRPr="006B63CF">
        <w:rPr>
          <w:rFonts w:ascii="Times New Roman" w:hAnsi="Times New Roman" w:cs="Times New Roman"/>
          <w:sz w:val="20"/>
          <w:szCs w:val="20"/>
        </w:rPr>
        <w:t xml:space="preserve">, M. G., &amp; </w:t>
      </w:r>
      <w:proofErr w:type="spellStart"/>
      <w:r w:rsidRPr="006B63CF">
        <w:rPr>
          <w:rFonts w:ascii="Times New Roman" w:hAnsi="Times New Roman" w:cs="Times New Roman"/>
          <w:sz w:val="20"/>
          <w:szCs w:val="20"/>
        </w:rPr>
        <w:t>Valenzuela</w:t>
      </w:r>
      <w:proofErr w:type="spellEnd"/>
      <w:r w:rsidRPr="006B63CF">
        <w:rPr>
          <w:rFonts w:ascii="Times New Roman" w:hAnsi="Times New Roman" w:cs="Times New Roman"/>
          <w:sz w:val="20"/>
          <w:szCs w:val="20"/>
        </w:rPr>
        <w:t xml:space="preserve">, L. (2019). </w:t>
      </w:r>
      <w:r w:rsidRPr="006B63CF">
        <w:rPr>
          <w:rFonts w:ascii="Times New Roman" w:hAnsi="Times New Roman" w:cs="Times New Roman"/>
          <w:sz w:val="20"/>
          <w:szCs w:val="20"/>
          <w:lang w:val="en-US"/>
        </w:rPr>
        <w:t xml:space="preserve">The drivers of income inequality in rich countries. </w:t>
      </w:r>
      <w:r w:rsidRPr="006B63CF">
        <w:rPr>
          <w:rFonts w:ascii="Times New Roman" w:hAnsi="Times New Roman" w:cs="Times New Roman"/>
          <w:i/>
          <w:sz w:val="20"/>
          <w:szCs w:val="20"/>
          <w:lang w:val="en-US"/>
        </w:rPr>
        <w:t>Journal of Economic Surveys</w:t>
      </w:r>
      <w:r w:rsidRPr="006B63CF">
        <w:rPr>
          <w:rFonts w:ascii="Times New Roman" w:hAnsi="Times New Roman" w:cs="Times New Roman"/>
          <w:sz w:val="20"/>
          <w:szCs w:val="20"/>
          <w:lang w:val="en-US"/>
        </w:rPr>
        <w:t>.</w:t>
      </w:r>
    </w:p>
    <w:p w14:paraId="26B4AEBD" w14:textId="77777777" w:rsidR="00327E2C" w:rsidRPr="006B63CF" w:rsidRDefault="00327E2C" w:rsidP="00302FB0">
      <w:pPr>
        <w:spacing w:line="480" w:lineRule="auto"/>
        <w:ind w:left="397" w:hanging="397"/>
        <w:jc w:val="both"/>
        <w:rPr>
          <w:rStyle w:val="Collegamentoipertestuale"/>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Núñez Ferrer, J., Olivero, S., </w:t>
      </w:r>
      <w:proofErr w:type="spellStart"/>
      <w:r w:rsidRPr="006B63CF">
        <w:rPr>
          <w:rFonts w:ascii="Times New Roman" w:hAnsi="Times New Roman" w:cs="Times New Roman"/>
          <w:sz w:val="20"/>
          <w:szCs w:val="20"/>
          <w:lang w:val="en-US"/>
        </w:rPr>
        <w:t>Medarova-Bergstorm</w:t>
      </w:r>
      <w:proofErr w:type="spellEnd"/>
      <w:r w:rsidRPr="006B63CF">
        <w:rPr>
          <w:rFonts w:ascii="Times New Roman" w:hAnsi="Times New Roman" w:cs="Times New Roman"/>
          <w:sz w:val="20"/>
          <w:szCs w:val="20"/>
          <w:lang w:val="en-US"/>
        </w:rPr>
        <w:t xml:space="preserve">, K., and </w:t>
      </w:r>
      <w:proofErr w:type="spellStart"/>
      <w:r w:rsidRPr="006B63CF">
        <w:rPr>
          <w:rFonts w:ascii="Times New Roman" w:hAnsi="Times New Roman" w:cs="Times New Roman"/>
          <w:sz w:val="20"/>
          <w:szCs w:val="20"/>
          <w:lang w:val="en-US"/>
        </w:rPr>
        <w:t>Rizos</w:t>
      </w:r>
      <w:proofErr w:type="spellEnd"/>
      <w:r w:rsidRPr="006B63CF">
        <w:rPr>
          <w:rFonts w:ascii="Times New Roman" w:hAnsi="Times New Roman" w:cs="Times New Roman"/>
          <w:sz w:val="20"/>
          <w:szCs w:val="20"/>
          <w:lang w:val="en-US"/>
        </w:rPr>
        <w:t>, V. (2013). “</w:t>
      </w:r>
      <w:r w:rsidRPr="006B63CF">
        <w:rPr>
          <w:rFonts w:ascii="Times New Roman" w:hAnsi="Times New Roman" w:cs="Times New Roman"/>
          <w:i/>
          <w:iCs/>
          <w:sz w:val="20"/>
          <w:szCs w:val="20"/>
          <w:lang w:val="en-US"/>
        </w:rPr>
        <w:t>Financing models for Smart Cities</w:t>
      </w:r>
      <w:r w:rsidRPr="006B63CF">
        <w:rPr>
          <w:rFonts w:ascii="Times New Roman" w:hAnsi="Times New Roman" w:cs="Times New Roman"/>
          <w:sz w:val="20"/>
          <w:szCs w:val="20"/>
          <w:lang w:val="en-US"/>
        </w:rPr>
        <w:t xml:space="preserve">”, retrieved online on March 26, 2020 at the URL </w:t>
      </w:r>
      <w:hyperlink r:id="rId15" w:history="1">
        <w:r w:rsidRPr="006B63CF">
          <w:rPr>
            <w:rStyle w:val="Collegamentoipertestuale"/>
            <w:rFonts w:ascii="Times New Roman" w:hAnsi="Times New Roman" w:cs="Times New Roman"/>
            <w:sz w:val="20"/>
            <w:szCs w:val="20"/>
            <w:lang w:val="en-US"/>
          </w:rPr>
          <w:t>http://citeseerx.ist.psu.edu/viewdoc/download?doi=10.1.1.685.260&amp;rep=rep1&amp;type=pdf</w:t>
        </w:r>
      </w:hyperlink>
    </w:p>
    <w:p w14:paraId="2C15A688"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Osborne, C. D. (2017). “</w:t>
      </w:r>
      <w:r w:rsidRPr="006B63CF">
        <w:rPr>
          <w:rFonts w:ascii="Times New Roman" w:hAnsi="Times New Roman" w:cs="Times New Roman"/>
          <w:i/>
          <w:iCs/>
          <w:sz w:val="20"/>
          <w:szCs w:val="20"/>
          <w:lang w:val="en-US"/>
        </w:rPr>
        <w:t>From smart kiosks to mechanical trees sucking up CO2, this list of smart cities projects sets a standard that all would-be smart cities should aspire to</w:t>
      </w:r>
      <w:r w:rsidRPr="006B63CF">
        <w:rPr>
          <w:rFonts w:ascii="Times New Roman" w:hAnsi="Times New Roman" w:cs="Times New Roman"/>
          <w:sz w:val="20"/>
          <w:szCs w:val="20"/>
          <w:lang w:val="en-US"/>
        </w:rPr>
        <w:t xml:space="preserve">”, retrieved online on March 27, 2020 at the URL </w:t>
      </w:r>
      <w:hyperlink r:id="rId16" w:history="1">
        <w:r w:rsidRPr="006B63CF">
          <w:rPr>
            <w:rStyle w:val="Collegamentoipertestuale"/>
            <w:rFonts w:ascii="Times New Roman" w:hAnsi="Times New Roman" w:cs="Times New Roman"/>
            <w:sz w:val="20"/>
            <w:szCs w:val="20"/>
            <w:lang w:val="en-US"/>
          </w:rPr>
          <w:t>https://www.iotworldtoday.com/2017/09/28/definitive-list-smart-cities-projects-taking-world-storm/</w:t>
        </w:r>
      </w:hyperlink>
    </w:p>
    <w:p w14:paraId="55A282F3"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Partridge, H. (2004). “Developing a human perspective to the digital divide in the smart city”. In </w:t>
      </w:r>
      <w:r w:rsidRPr="006B63CF">
        <w:rPr>
          <w:rFonts w:ascii="Times New Roman" w:hAnsi="Times New Roman" w:cs="Times New Roman"/>
          <w:i/>
          <w:sz w:val="20"/>
          <w:szCs w:val="20"/>
          <w:lang w:val="en-US"/>
        </w:rPr>
        <w:t>Proceedings of the Biennial Conference of Australian Library and Information Association</w:t>
      </w:r>
      <w:r w:rsidRPr="006B63CF">
        <w:rPr>
          <w:rFonts w:ascii="Times New Roman" w:hAnsi="Times New Roman" w:cs="Times New Roman"/>
          <w:sz w:val="20"/>
          <w:szCs w:val="20"/>
          <w:lang w:val="en-US"/>
        </w:rPr>
        <w:t xml:space="preserve"> (Queensland, Australia, Sep 21-24). Retrieved online on March 6, 2020 at the URL </w:t>
      </w:r>
      <w:hyperlink r:id="rId17" w:history="1">
        <w:r w:rsidRPr="006B63CF">
          <w:rPr>
            <w:rStyle w:val="Collegamentoipertestuale"/>
            <w:rFonts w:ascii="Times New Roman" w:hAnsi="Times New Roman" w:cs="Times New Roman"/>
            <w:sz w:val="20"/>
            <w:szCs w:val="20"/>
            <w:lang w:val="en-US"/>
          </w:rPr>
          <w:t>http://eprints.qut.edu.au/1299/1/partridge.h.2.paper.pdf</w:t>
        </w:r>
      </w:hyperlink>
      <w:r w:rsidRPr="006B63CF">
        <w:rPr>
          <w:rFonts w:ascii="Times New Roman" w:hAnsi="Times New Roman" w:cs="Times New Roman"/>
          <w:sz w:val="20"/>
          <w:szCs w:val="20"/>
          <w:lang w:val="en-US"/>
        </w:rPr>
        <w:t>.</w:t>
      </w:r>
    </w:p>
    <w:p w14:paraId="03AC1387"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Poole, S. (2014). “</w:t>
      </w:r>
      <w:r w:rsidRPr="006B63CF">
        <w:rPr>
          <w:rFonts w:ascii="Times New Roman" w:hAnsi="Times New Roman" w:cs="Times New Roman"/>
          <w:i/>
          <w:sz w:val="20"/>
          <w:szCs w:val="20"/>
          <w:lang w:val="en-US"/>
        </w:rPr>
        <w:t>The truth about smart cities: ‘In the end, they will destroy democracy’</w:t>
      </w:r>
      <w:r w:rsidRPr="006B63CF">
        <w:rPr>
          <w:rFonts w:ascii="Times New Roman" w:hAnsi="Times New Roman" w:cs="Times New Roman"/>
          <w:sz w:val="20"/>
          <w:szCs w:val="20"/>
          <w:lang w:val="en-US"/>
        </w:rPr>
        <w:t xml:space="preserve">”, The Guardian, Dec. 17, 2014. Retrieved online on March 5, 2020 at the URL </w:t>
      </w:r>
      <w:hyperlink r:id="rId18" w:history="1">
        <w:r w:rsidRPr="006B63CF">
          <w:rPr>
            <w:rStyle w:val="Collegamentoipertestuale"/>
            <w:rFonts w:ascii="Times New Roman" w:hAnsi="Times New Roman" w:cs="Times New Roman"/>
            <w:sz w:val="20"/>
            <w:szCs w:val="20"/>
            <w:lang w:val="en-US"/>
          </w:rPr>
          <w:t>https://www.theguardian.com/cities/2014/dec/17/truth-smart-city-destroy-democracy-urban-thinkers-buzzphrase</w:t>
        </w:r>
      </w:hyperlink>
    </w:p>
    <w:p w14:paraId="0C446CCC"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rPr>
        <w:t xml:space="preserve">Ribeiro, F. L., </w:t>
      </w:r>
      <w:proofErr w:type="spellStart"/>
      <w:r w:rsidRPr="006B63CF">
        <w:rPr>
          <w:rFonts w:ascii="Times New Roman" w:hAnsi="Times New Roman" w:cs="Times New Roman"/>
          <w:sz w:val="20"/>
          <w:szCs w:val="20"/>
        </w:rPr>
        <w:t>Meirelles</w:t>
      </w:r>
      <w:proofErr w:type="spellEnd"/>
      <w:r w:rsidRPr="006B63CF">
        <w:rPr>
          <w:rFonts w:ascii="Times New Roman" w:hAnsi="Times New Roman" w:cs="Times New Roman"/>
          <w:sz w:val="20"/>
          <w:szCs w:val="20"/>
        </w:rPr>
        <w:t xml:space="preserve">, J., Netto, V. M., Neto, C. R., &amp; Baronchelli, A. (2020). </w:t>
      </w:r>
      <w:r w:rsidRPr="006B63CF">
        <w:rPr>
          <w:rFonts w:ascii="Times New Roman" w:hAnsi="Times New Roman" w:cs="Times New Roman"/>
          <w:sz w:val="20"/>
          <w:szCs w:val="20"/>
          <w:lang w:val="en-US"/>
        </w:rPr>
        <w:t xml:space="preserve">On the relation between transversal and longitudinal scaling in cities. </w:t>
      </w:r>
      <w:r w:rsidRPr="006B63CF">
        <w:rPr>
          <w:rFonts w:ascii="Times New Roman" w:hAnsi="Times New Roman" w:cs="Times New Roman"/>
          <w:i/>
          <w:iCs/>
          <w:sz w:val="20"/>
          <w:szCs w:val="20"/>
          <w:lang w:val="en-US"/>
        </w:rPr>
        <w:t>PloS ONE</w:t>
      </w:r>
      <w:r w:rsidRPr="006B63CF">
        <w:rPr>
          <w:rFonts w:ascii="Times New Roman" w:hAnsi="Times New Roman" w:cs="Times New Roman"/>
          <w:sz w:val="20"/>
          <w:szCs w:val="20"/>
          <w:lang w:val="en-US"/>
        </w:rPr>
        <w:t>, 15(5), e0233003.</w:t>
      </w:r>
    </w:p>
    <w:p w14:paraId="380E901F"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Richmond, K., and Triplett, R. E. (2018). “ICT and income inequality: a cross-national perspective”, </w:t>
      </w:r>
      <w:r w:rsidRPr="006B63CF">
        <w:rPr>
          <w:rFonts w:ascii="Times New Roman" w:hAnsi="Times New Roman" w:cs="Times New Roman"/>
          <w:i/>
          <w:iCs/>
          <w:sz w:val="20"/>
          <w:szCs w:val="20"/>
          <w:lang w:val="en-US"/>
        </w:rPr>
        <w:t>International Review of Applied Economics</w:t>
      </w:r>
      <w:r w:rsidRPr="006B63CF">
        <w:rPr>
          <w:rFonts w:ascii="Times New Roman" w:hAnsi="Times New Roman" w:cs="Times New Roman"/>
          <w:sz w:val="20"/>
          <w:szCs w:val="20"/>
          <w:lang w:val="en-US"/>
        </w:rPr>
        <w:t>, 32 (2): 195–214.</w:t>
      </w:r>
    </w:p>
    <w:p w14:paraId="1A29BADF"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Rodríguez‐Pose, A., and Tselios, V. (2009). “Education and income inequality in the regions of the European Union”, </w:t>
      </w:r>
      <w:r w:rsidRPr="006B63CF">
        <w:rPr>
          <w:rFonts w:ascii="Times New Roman" w:hAnsi="Times New Roman" w:cs="Times New Roman"/>
          <w:i/>
          <w:iCs/>
          <w:sz w:val="20"/>
          <w:szCs w:val="20"/>
          <w:lang w:val="en-US"/>
        </w:rPr>
        <w:t>Journal of Regional Science</w:t>
      </w:r>
      <w:r w:rsidRPr="006B63CF">
        <w:rPr>
          <w:rFonts w:ascii="Times New Roman" w:hAnsi="Times New Roman" w:cs="Times New Roman"/>
          <w:sz w:val="20"/>
          <w:szCs w:val="20"/>
          <w:lang w:val="en-US"/>
        </w:rPr>
        <w:t>, 49 (3): 411–437.</w:t>
      </w:r>
    </w:p>
    <w:p w14:paraId="7166C8B8"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Satterthwaite, D. (1997). “Sustainable cities or cities that contribute to sustainable development?”, </w:t>
      </w:r>
      <w:r w:rsidRPr="006B63CF">
        <w:rPr>
          <w:rFonts w:ascii="Times New Roman" w:hAnsi="Times New Roman" w:cs="Times New Roman"/>
          <w:i/>
          <w:iCs/>
          <w:sz w:val="20"/>
          <w:szCs w:val="20"/>
          <w:lang w:val="en-US"/>
        </w:rPr>
        <w:t>Urban Studies</w:t>
      </w:r>
      <w:r w:rsidRPr="006B63CF">
        <w:rPr>
          <w:rFonts w:ascii="Times New Roman" w:hAnsi="Times New Roman" w:cs="Times New Roman"/>
          <w:sz w:val="20"/>
          <w:szCs w:val="20"/>
          <w:lang w:val="en-US"/>
        </w:rPr>
        <w:t>, 34 (10): 1667-1691.</w:t>
      </w:r>
    </w:p>
    <w:p w14:paraId="1FFF23DF"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lastRenderedPageBreak/>
        <w:t xml:space="preserve">Sharma, A. K. (2019). “Greenfield Smart Cities shaping the future of India”, retrieved online on March 27, 2020 at the URL </w:t>
      </w:r>
      <w:hyperlink r:id="rId19" w:history="1">
        <w:r w:rsidRPr="006B63CF">
          <w:rPr>
            <w:rStyle w:val="Collegamentoipertestuale"/>
            <w:rFonts w:ascii="Times New Roman" w:hAnsi="Times New Roman" w:cs="Times New Roman"/>
            <w:sz w:val="20"/>
            <w:szCs w:val="20"/>
            <w:lang w:val="en-US"/>
          </w:rPr>
          <w:t>https://newcities.org/the-big-picture-greenfield-smart-cities-shaping-future-india/</w:t>
        </w:r>
      </w:hyperlink>
    </w:p>
    <w:p w14:paraId="1A0FD86A"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Shelton, T., Zook, M., and Wiig, A. (2015). “The ‘actually existing smart city’”, </w:t>
      </w:r>
      <w:r w:rsidRPr="006B63CF">
        <w:rPr>
          <w:rFonts w:ascii="Times New Roman" w:hAnsi="Times New Roman" w:cs="Times New Roman"/>
          <w:i/>
          <w:sz w:val="20"/>
          <w:szCs w:val="20"/>
          <w:lang w:val="en-US"/>
        </w:rPr>
        <w:t>Cambridge Journal of Regions, Economy and Society</w:t>
      </w:r>
      <w:r w:rsidRPr="006B63CF">
        <w:rPr>
          <w:rFonts w:ascii="Times New Roman" w:hAnsi="Times New Roman" w:cs="Times New Roman"/>
          <w:sz w:val="20"/>
          <w:szCs w:val="20"/>
          <w:lang w:val="en-US"/>
        </w:rPr>
        <w:t>, 8 (1): 13–25.</w:t>
      </w:r>
    </w:p>
    <w:p w14:paraId="6CEE0909"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Silva, J. A., and </w:t>
      </w:r>
      <w:proofErr w:type="spellStart"/>
      <w:r w:rsidRPr="006B63CF">
        <w:rPr>
          <w:rFonts w:ascii="Times New Roman" w:hAnsi="Times New Roman" w:cs="Times New Roman"/>
          <w:sz w:val="20"/>
          <w:szCs w:val="20"/>
          <w:lang w:val="en-US"/>
        </w:rPr>
        <w:t>Leichenko</w:t>
      </w:r>
      <w:proofErr w:type="spellEnd"/>
      <w:r w:rsidRPr="006B63CF">
        <w:rPr>
          <w:rFonts w:ascii="Times New Roman" w:hAnsi="Times New Roman" w:cs="Times New Roman"/>
          <w:sz w:val="20"/>
          <w:szCs w:val="20"/>
          <w:lang w:val="en-US"/>
        </w:rPr>
        <w:t xml:space="preserve">, R. M. (2004). “Regional income inequality and international trade”, </w:t>
      </w:r>
      <w:r w:rsidRPr="006B63CF">
        <w:rPr>
          <w:rFonts w:ascii="Times New Roman" w:hAnsi="Times New Roman" w:cs="Times New Roman"/>
          <w:i/>
          <w:sz w:val="20"/>
          <w:szCs w:val="20"/>
          <w:lang w:val="en-US"/>
        </w:rPr>
        <w:t>Economic Geography</w:t>
      </w:r>
      <w:r w:rsidRPr="006B63CF">
        <w:rPr>
          <w:rFonts w:ascii="Times New Roman" w:hAnsi="Times New Roman" w:cs="Times New Roman"/>
          <w:sz w:val="20"/>
          <w:szCs w:val="20"/>
          <w:lang w:val="en-US"/>
        </w:rPr>
        <w:t>, 80 (3): 261–286.</w:t>
      </w:r>
    </w:p>
    <w:p w14:paraId="6EC7B424" w14:textId="77777777" w:rsidR="00327E2C" w:rsidRPr="006B63CF" w:rsidRDefault="00327E2C" w:rsidP="004F3549">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Tammaru</w:t>
      </w:r>
      <w:proofErr w:type="spellEnd"/>
      <w:r w:rsidRPr="006B63CF">
        <w:rPr>
          <w:rFonts w:ascii="Times New Roman" w:hAnsi="Times New Roman" w:cs="Times New Roman"/>
          <w:sz w:val="20"/>
          <w:szCs w:val="20"/>
          <w:lang w:val="en-US"/>
        </w:rPr>
        <w:t xml:space="preserve">, T., </w:t>
      </w:r>
      <w:proofErr w:type="spellStart"/>
      <w:r w:rsidRPr="006B63CF">
        <w:rPr>
          <w:rFonts w:ascii="Times New Roman" w:hAnsi="Times New Roman" w:cs="Times New Roman"/>
          <w:sz w:val="20"/>
          <w:szCs w:val="20"/>
          <w:lang w:val="en-US"/>
        </w:rPr>
        <w:t>Marcin´czak</w:t>
      </w:r>
      <w:proofErr w:type="spellEnd"/>
      <w:r w:rsidRPr="006B63CF">
        <w:rPr>
          <w:rFonts w:ascii="Times New Roman" w:hAnsi="Times New Roman" w:cs="Times New Roman"/>
          <w:sz w:val="20"/>
          <w:szCs w:val="20"/>
          <w:lang w:val="en-US"/>
        </w:rPr>
        <w:t xml:space="preserve">, S., </w:t>
      </w:r>
      <w:proofErr w:type="spellStart"/>
      <w:r w:rsidRPr="006B63CF">
        <w:rPr>
          <w:rFonts w:ascii="Times New Roman" w:hAnsi="Times New Roman" w:cs="Times New Roman"/>
          <w:sz w:val="20"/>
          <w:szCs w:val="20"/>
          <w:lang w:val="en-US"/>
        </w:rPr>
        <w:t>Aunap</w:t>
      </w:r>
      <w:proofErr w:type="spellEnd"/>
      <w:r w:rsidRPr="006B63CF">
        <w:rPr>
          <w:rFonts w:ascii="Times New Roman" w:hAnsi="Times New Roman" w:cs="Times New Roman"/>
          <w:sz w:val="20"/>
          <w:szCs w:val="20"/>
          <w:lang w:val="en-US"/>
        </w:rPr>
        <w:t xml:space="preserve">, R., van Ham, M., and Janssen, H. (2020). “Relationship between income inequality and residential segregation of socioeconomic groups”, </w:t>
      </w:r>
      <w:r w:rsidRPr="006B63CF">
        <w:rPr>
          <w:rFonts w:ascii="Times New Roman" w:hAnsi="Times New Roman" w:cs="Times New Roman"/>
          <w:i/>
          <w:iCs/>
          <w:sz w:val="20"/>
          <w:szCs w:val="20"/>
          <w:lang w:val="en-US"/>
        </w:rPr>
        <w:t>Regional Studies</w:t>
      </w:r>
      <w:r w:rsidRPr="006B63CF">
        <w:rPr>
          <w:rFonts w:ascii="Times New Roman" w:hAnsi="Times New Roman" w:cs="Times New Roman"/>
          <w:sz w:val="20"/>
          <w:szCs w:val="20"/>
          <w:lang w:val="en-US"/>
        </w:rPr>
        <w:t>, 54 (4): 450-461.</w:t>
      </w:r>
    </w:p>
    <w:p w14:paraId="5E60D3E9"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Vallianatos</w:t>
      </w:r>
      <w:proofErr w:type="spellEnd"/>
      <w:r w:rsidRPr="006B63CF">
        <w:rPr>
          <w:rFonts w:ascii="Times New Roman" w:hAnsi="Times New Roman" w:cs="Times New Roman"/>
          <w:sz w:val="20"/>
          <w:szCs w:val="20"/>
          <w:lang w:val="en-US"/>
        </w:rPr>
        <w:t xml:space="preserve">, M. (2015). Uncovering the Early History of ‘big </w:t>
      </w:r>
      <w:proofErr w:type="spellStart"/>
      <w:r w:rsidRPr="006B63CF">
        <w:rPr>
          <w:rFonts w:ascii="Times New Roman" w:hAnsi="Times New Roman" w:cs="Times New Roman"/>
          <w:sz w:val="20"/>
          <w:szCs w:val="20"/>
          <w:lang w:val="en-US"/>
        </w:rPr>
        <w:t>data’and</w:t>
      </w:r>
      <w:proofErr w:type="spellEnd"/>
      <w:r w:rsidRPr="006B63CF">
        <w:rPr>
          <w:rFonts w:ascii="Times New Roman" w:hAnsi="Times New Roman" w:cs="Times New Roman"/>
          <w:sz w:val="20"/>
          <w:szCs w:val="20"/>
          <w:lang w:val="en-US"/>
        </w:rPr>
        <w:t xml:space="preserve"> ‘Smart </w:t>
      </w:r>
      <w:proofErr w:type="spellStart"/>
      <w:r w:rsidRPr="006B63CF">
        <w:rPr>
          <w:rFonts w:ascii="Times New Roman" w:hAnsi="Times New Roman" w:cs="Times New Roman"/>
          <w:sz w:val="20"/>
          <w:szCs w:val="20"/>
          <w:lang w:val="en-US"/>
        </w:rPr>
        <w:t>city’in</w:t>
      </w:r>
      <w:proofErr w:type="spellEnd"/>
      <w:r w:rsidRPr="006B63CF">
        <w:rPr>
          <w:rFonts w:ascii="Times New Roman" w:hAnsi="Times New Roman" w:cs="Times New Roman"/>
          <w:sz w:val="20"/>
          <w:szCs w:val="20"/>
          <w:lang w:val="en-US"/>
        </w:rPr>
        <w:t xml:space="preserve"> Los Angeles. </w:t>
      </w:r>
      <w:r w:rsidRPr="006B63CF">
        <w:rPr>
          <w:rFonts w:ascii="Times New Roman" w:hAnsi="Times New Roman" w:cs="Times New Roman"/>
          <w:i/>
          <w:iCs/>
          <w:sz w:val="20"/>
          <w:szCs w:val="20"/>
          <w:lang w:val="en-US"/>
        </w:rPr>
        <w:t>Boom California</w:t>
      </w:r>
      <w:r w:rsidRPr="006B63CF">
        <w:rPr>
          <w:rFonts w:ascii="Times New Roman" w:hAnsi="Times New Roman" w:cs="Times New Roman"/>
          <w:sz w:val="20"/>
          <w:szCs w:val="20"/>
          <w:lang w:val="en-US"/>
        </w:rPr>
        <w:t>, 18-39.</w:t>
      </w:r>
    </w:p>
    <w:p w14:paraId="43AE76B9"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proofErr w:type="spellStart"/>
      <w:r w:rsidRPr="006B63CF">
        <w:rPr>
          <w:rFonts w:ascii="Times New Roman" w:hAnsi="Times New Roman" w:cs="Times New Roman"/>
          <w:sz w:val="20"/>
          <w:szCs w:val="20"/>
          <w:lang w:val="en-US"/>
        </w:rPr>
        <w:t>Vanolo</w:t>
      </w:r>
      <w:proofErr w:type="spellEnd"/>
      <w:r w:rsidRPr="006B63CF">
        <w:rPr>
          <w:rFonts w:ascii="Times New Roman" w:hAnsi="Times New Roman" w:cs="Times New Roman"/>
          <w:sz w:val="20"/>
          <w:szCs w:val="20"/>
          <w:lang w:val="en-US"/>
        </w:rPr>
        <w:t xml:space="preserve">, A. (2014). </w:t>
      </w:r>
      <w:proofErr w:type="spellStart"/>
      <w:r w:rsidRPr="006B63CF">
        <w:rPr>
          <w:rFonts w:ascii="Times New Roman" w:hAnsi="Times New Roman" w:cs="Times New Roman"/>
          <w:sz w:val="20"/>
          <w:szCs w:val="20"/>
          <w:lang w:val="en-US"/>
        </w:rPr>
        <w:t>Smartmentality</w:t>
      </w:r>
      <w:proofErr w:type="spellEnd"/>
      <w:r w:rsidRPr="006B63CF">
        <w:rPr>
          <w:rFonts w:ascii="Times New Roman" w:hAnsi="Times New Roman" w:cs="Times New Roman"/>
          <w:sz w:val="20"/>
          <w:szCs w:val="20"/>
          <w:lang w:val="en-US"/>
        </w:rPr>
        <w:t xml:space="preserve">: The smart city as disciplinary strategy. </w:t>
      </w:r>
      <w:r w:rsidRPr="006B63CF">
        <w:rPr>
          <w:rFonts w:ascii="Times New Roman" w:hAnsi="Times New Roman" w:cs="Times New Roman"/>
          <w:i/>
          <w:iCs/>
          <w:sz w:val="20"/>
          <w:szCs w:val="20"/>
          <w:lang w:val="en-US"/>
        </w:rPr>
        <w:t>Urban studies</w:t>
      </w:r>
      <w:r w:rsidRPr="006B63CF">
        <w:rPr>
          <w:rFonts w:ascii="Times New Roman" w:hAnsi="Times New Roman" w:cs="Times New Roman"/>
          <w:sz w:val="20"/>
          <w:szCs w:val="20"/>
          <w:lang w:val="en-US"/>
        </w:rPr>
        <w:t xml:space="preserve">, </w:t>
      </w:r>
      <w:r w:rsidRPr="006B63CF">
        <w:rPr>
          <w:rFonts w:ascii="Times New Roman" w:hAnsi="Times New Roman" w:cs="Times New Roman"/>
          <w:i/>
          <w:iCs/>
          <w:sz w:val="20"/>
          <w:szCs w:val="20"/>
          <w:lang w:val="en-US"/>
        </w:rPr>
        <w:t>51</w:t>
      </w:r>
      <w:r w:rsidRPr="006B63CF">
        <w:rPr>
          <w:rFonts w:ascii="Times New Roman" w:hAnsi="Times New Roman" w:cs="Times New Roman"/>
          <w:sz w:val="20"/>
          <w:szCs w:val="20"/>
          <w:lang w:val="en-US"/>
        </w:rPr>
        <w:t>(5), 883-898.</w:t>
      </w:r>
    </w:p>
    <w:p w14:paraId="170D7253" w14:textId="77777777" w:rsidR="00327E2C" w:rsidRPr="006B63CF" w:rsidRDefault="00327E2C" w:rsidP="00302FB0">
      <w:pPr>
        <w:spacing w:line="480" w:lineRule="auto"/>
        <w:ind w:left="397" w:hanging="397"/>
        <w:jc w:val="both"/>
        <w:rPr>
          <w:rFonts w:ascii="Times New Roman" w:hAnsi="Times New Roman" w:cs="Times New Roman"/>
          <w:sz w:val="20"/>
          <w:szCs w:val="20"/>
          <w:lang w:val="en-US"/>
        </w:rPr>
      </w:pPr>
      <w:r w:rsidRPr="006B63CF">
        <w:rPr>
          <w:rFonts w:ascii="Times New Roman" w:hAnsi="Times New Roman" w:cs="Times New Roman"/>
          <w:sz w:val="20"/>
          <w:szCs w:val="20"/>
          <w:lang w:val="en-US"/>
        </w:rPr>
        <w:t xml:space="preserve">Wheeler, C. (2004). “On the distributional aspects of urban growth”, </w:t>
      </w:r>
      <w:r w:rsidRPr="006B63CF">
        <w:rPr>
          <w:rFonts w:ascii="Times New Roman" w:hAnsi="Times New Roman" w:cs="Times New Roman"/>
          <w:i/>
          <w:iCs/>
          <w:sz w:val="20"/>
          <w:szCs w:val="20"/>
          <w:lang w:val="en-US"/>
        </w:rPr>
        <w:t>Journal of Urban Economics</w:t>
      </w:r>
      <w:r w:rsidRPr="006B63CF">
        <w:rPr>
          <w:rFonts w:ascii="Times New Roman" w:hAnsi="Times New Roman" w:cs="Times New Roman"/>
          <w:sz w:val="20"/>
          <w:szCs w:val="20"/>
          <w:lang w:val="en-US"/>
        </w:rPr>
        <w:t>, 55 (2): 371-397.</w:t>
      </w:r>
    </w:p>
    <w:sectPr w:rsidR="00327E2C" w:rsidRPr="006B63CF" w:rsidSect="008D31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BAE4" w14:textId="77777777" w:rsidR="005166FE" w:rsidRDefault="005166FE" w:rsidP="00271ED3">
      <w:pPr>
        <w:spacing w:after="0" w:line="240" w:lineRule="auto"/>
      </w:pPr>
      <w:r>
        <w:separator/>
      </w:r>
    </w:p>
  </w:endnote>
  <w:endnote w:type="continuationSeparator" w:id="0">
    <w:p w14:paraId="2EC3EA9F" w14:textId="77777777" w:rsidR="005166FE" w:rsidRDefault="005166FE" w:rsidP="00271ED3">
      <w:pPr>
        <w:spacing w:after="0" w:line="240" w:lineRule="auto"/>
      </w:pPr>
      <w:r>
        <w:continuationSeparator/>
      </w:r>
    </w:p>
  </w:endnote>
  <w:endnote w:id="1">
    <w:p w14:paraId="179A1F60" w14:textId="6F381033"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For a more detailed and comprehensive systematization of the general literature on Smart Cities see e.g. Komninos and Mora (2018).</w:t>
      </w:r>
    </w:p>
  </w:endnote>
  <w:endnote w:id="2">
    <w:p w14:paraId="0372CD25" w14:textId="0F1AD895"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Because the choice of this geography is non-trivial, more details on the motivations for this choice are presented in the Technical Appendix.</w:t>
      </w:r>
    </w:p>
  </w:endnote>
  <w:endnote w:id="3">
    <w:p w14:paraId="5215E36B" w14:textId="7D34EDA1"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Due to space limitations, the description and the empirical analysis in the main text refers only to the Gini index. The General Entropy Index and the Atkinson Index are discussed and analyzed in the Technical Appendix, along with the results of the corresponding regression analyses.</w:t>
      </w:r>
    </w:p>
  </w:endnote>
  <w:endnote w:id="4">
    <w:p w14:paraId="5575B37C" w14:textId="3CAFE177" w:rsidR="00F8504A" w:rsidRPr="006B63CF" w:rsidRDefault="00F8504A" w:rsidP="006B63CF">
      <w:pPr>
        <w:pStyle w:val="Testonotadichiusura"/>
        <w:spacing w:line="480" w:lineRule="auto"/>
        <w:jc w:val="both"/>
        <w:rPr>
          <w:rFonts w:ascii="Times New Roman" w:eastAsia="Times New Roman" w:hAnsi="Times New Roman" w:cs="Times New Roman"/>
          <w:color w:val="111111"/>
        </w:rPr>
      </w:pPr>
      <w:r w:rsidRPr="006B63CF">
        <w:rPr>
          <w:rStyle w:val="Rimandonotadichiusura"/>
          <w:rFonts w:ascii="Times New Roman" w:eastAsia="Times New Roman" w:hAnsi="Times New Roman" w:cs="Times New Roman"/>
        </w:rPr>
        <w:endnoteRef/>
      </w:r>
      <w:r w:rsidRPr="006B63CF">
        <w:rPr>
          <w:rFonts w:ascii="Times New Roman" w:eastAsia="Times New Roman" w:hAnsi="Times New Roman" w:cs="Times New Roman"/>
        </w:rPr>
        <w:t xml:space="preserve"> T</w:t>
      </w:r>
      <w:r w:rsidRPr="006B63CF">
        <w:rPr>
          <w:rFonts w:ascii="Times New Roman" w:eastAsia="Times New Roman" w:hAnsi="Times New Roman" w:cs="Times New Roman"/>
          <w:color w:val="111111"/>
        </w:rPr>
        <w:t>he European Values Study (EVS) is "</w:t>
      </w:r>
      <w:r w:rsidRPr="006B63CF">
        <w:rPr>
          <w:rFonts w:ascii="Times New Roman" w:eastAsia="Times New Roman" w:hAnsi="Times New Roman" w:cs="Times New Roman"/>
          <w:i/>
          <w:iCs/>
          <w:color w:val="111111"/>
        </w:rPr>
        <w:t>a large-scale, cross-national, repeated cross-sectional survey research programme on basic human values</w:t>
      </w:r>
      <w:r w:rsidRPr="006B63CF">
        <w:rPr>
          <w:rFonts w:ascii="Times New Roman" w:eastAsia="Times New Roman" w:hAnsi="Times New Roman" w:cs="Times New Roman"/>
          <w:color w:val="111111"/>
        </w:rPr>
        <w:t>", providing quantitative assessments of "</w:t>
      </w:r>
      <w:r w:rsidRPr="006B63CF">
        <w:rPr>
          <w:rFonts w:ascii="Times New Roman" w:eastAsia="Times New Roman" w:hAnsi="Times New Roman" w:cs="Times New Roman"/>
          <w:i/>
          <w:iCs/>
          <w:color w:val="111111"/>
        </w:rPr>
        <w:t>ideas, beliefs, preferences, attitudes, values and opinions of citizens all over Europe</w:t>
      </w:r>
      <w:r w:rsidRPr="006B63CF">
        <w:rPr>
          <w:rFonts w:ascii="Times New Roman" w:eastAsia="Times New Roman" w:hAnsi="Times New Roman" w:cs="Times New Roman"/>
          <w:color w:val="111111"/>
        </w:rPr>
        <w:t>” (EVS, 2020).</w:t>
      </w:r>
    </w:p>
  </w:endnote>
  <w:endnote w:id="5">
    <w:p w14:paraId="0A0BC628" w14:textId="0E5E6810" w:rsidR="00F8504A" w:rsidRPr="006B63CF" w:rsidRDefault="00F8504A" w:rsidP="006B63CF">
      <w:pPr>
        <w:pStyle w:val="Testonotadichiusura"/>
        <w:spacing w:line="480" w:lineRule="auto"/>
        <w:jc w:val="both"/>
        <w:rPr>
          <w:rFonts w:ascii="Times New Roman" w:hAnsi="Times New Roman" w:cs="Times New Roman"/>
        </w:rPr>
      </w:pPr>
      <w:r w:rsidRPr="006B63CF">
        <w:rPr>
          <w:rFonts w:ascii="Times New Roman" w:eastAsia="Times New Roman" w:hAnsi="Times New Roman" w:cs="Times New Roman"/>
          <w:color w:val="111111"/>
        </w:rPr>
        <w:endnoteRef/>
      </w:r>
      <w:r w:rsidRPr="006B63CF">
        <w:rPr>
          <w:rFonts w:ascii="Times New Roman" w:eastAsia="Times New Roman" w:hAnsi="Times New Roman" w:cs="Times New Roman"/>
          <w:color w:val="111111"/>
        </w:rPr>
        <w:t xml:space="preserve"> A more detailed account of this approach, along with the results of the first stage regressions, can be found in the Technical Appendix.</w:t>
      </w:r>
    </w:p>
  </w:endnote>
  <w:endnote w:id="6">
    <w:p w14:paraId="2D24A29E" w14:textId="592DBD39"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We would like to thank the Handling Editor for suggesting the controls presented in Table 4, Column 7 and 8.</w:t>
      </w:r>
    </w:p>
  </w:endnote>
  <w:endnote w:id="7">
    <w:p w14:paraId="717F43A3" w14:textId="0146B92F" w:rsidR="00F8504A" w:rsidRPr="006B63CF" w:rsidRDefault="00F8504A" w:rsidP="006B63CF">
      <w:pPr>
        <w:pStyle w:val="Testonotadichiusura"/>
        <w:spacing w:line="480" w:lineRule="auto"/>
        <w:jc w:val="both"/>
        <w:rPr>
          <w:rFonts w:ascii="Times New Roman" w:hAnsi="Times New Roman" w:cs="Times New Roman"/>
        </w:rPr>
      </w:pPr>
      <w:r w:rsidRPr="006B63CF">
        <w:rPr>
          <w:rFonts w:ascii="Times New Roman" w:hAnsi="Times New Roman" w:cs="Times New Roman"/>
          <w:vertAlign w:val="superscript"/>
        </w:rPr>
        <w:endnoteRef/>
      </w:r>
      <w:r w:rsidRPr="006B63CF">
        <w:rPr>
          <w:rFonts w:ascii="Times New Roman" w:hAnsi="Times New Roman" w:cs="Times New Roman"/>
        </w:rPr>
        <w:t xml:space="preserve"> This information was collected for different years to maximize data availability in the sample and we have considered average values over the years. Poverty exposure data refers to the years 2016-19; environmental exposure data to the years 2009-2013; energy exposure 2010-2019.</w:t>
      </w:r>
    </w:p>
  </w:endnote>
  <w:endnote w:id="8">
    <w:p w14:paraId="166FCC74" w14:textId="7A6BF49F"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Details on the first-stage Mincerian wage regressions and on additional robustness checks are provided for space limitations in the Technical Appendix.</w:t>
      </w:r>
    </w:p>
  </w:endnote>
  <w:endnote w:id="9">
    <w:p w14:paraId="0720C350" w14:textId="2E3037EE"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As multicollinearity may potentially represent an issue in these estimates, as implicitly suggested in the works about urban scaling laws (see e.g. Bettencourt et al. 2007, and Ribeiro et al. (2020), we also verify the extent to which this affects our estimates by means of the standard Variance Inflation Factor (VIF). Results suggest that in none of our baseline model specifications multicollinearity represents an issue (as demonstrated by the largest VIF recorded in the models shown in Table 2, equal to 2.47). The largest VIF for each specification is reported in the penultimate line of Table 2.</w:t>
      </w:r>
    </w:p>
  </w:endnote>
  <w:endnote w:id="10">
    <w:p w14:paraId="1A936088" w14:textId="4340FEC5"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In the form of capitalized incomes, i.e. wealth.</w:t>
      </w:r>
    </w:p>
  </w:endnote>
  <w:endnote w:id="11">
    <w:p w14:paraId="55E00F8D" w14:textId="0E08B5EF"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In fact, our main results suffer from a minor loss of significance (p-value= .106).</w:t>
      </w:r>
    </w:p>
  </w:endnote>
  <w:endnote w:id="12">
    <w:p w14:paraId="495D91A9" w14:textId="338612ED"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For space limitations, results of this ancillary regression are shown in the Technical Appendix.</w:t>
      </w:r>
    </w:p>
  </w:endnote>
  <w:endnote w:id="13">
    <w:p w14:paraId="0DBFCCC9" w14:textId="2766B331" w:rsidR="00F8504A" w:rsidRPr="006B63CF" w:rsidRDefault="00F8504A" w:rsidP="006B63CF">
      <w:pPr>
        <w:pStyle w:val="Testonotadichiusura"/>
        <w:spacing w:line="480" w:lineRule="auto"/>
        <w:jc w:val="both"/>
        <w:rPr>
          <w:rFonts w:ascii="Times New Roman" w:hAnsi="Times New Roman" w:cs="Times New Roman"/>
        </w:rPr>
      </w:pPr>
      <w:r w:rsidRPr="006B63CF">
        <w:rPr>
          <w:rStyle w:val="Rimandonotadichiusura"/>
          <w:rFonts w:ascii="Times New Roman" w:hAnsi="Times New Roman" w:cs="Times New Roman"/>
        </w:rPr>
        <w:endnoteRef/>
      </w:r>
      <w:r w:rsidRPr="006B63CF">
        <w:rPr>
          <w:rFonts w:ascii="Times New Roman" w:hAnsi="Times New Roman" w:cs="Times New Roman"/>
        </w:rPr>
        <w:t xml:space="preserve"> The spatial distribution of optic fiber in Europe for 2005 is shown in the Technical Appendix.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78280"/>
      <w:docPartObj>
        <w:docPartGallery w:val="Page Numbers (Bottom of Page)"/>
        <w:docPartUnique/>
      </w:docPartObj>
    </w:sdtPr>
    <w:sdtEndPr>
      <w:rPr>
        <w:rFonts w:ascii="Times New Roman" w:hAnsi="Times New Roman" w:cs="Times New Roman"/>
        <w:sz w:val="20"/>
        <w:szCs w:val="20"/>
      </w:rPr>
    </w:sdtEndPr>
    <w:sdtContent>
      <w:p w14:paraId="6E410FDC" w14:textId="43D41DB6" w:rsidR="00E6213C" w:rsidRPr="00EE788E" w:rsidRDefault="00E6213C" w:rsidP="00EE788E">
        <w:pPr>
          <w:pStyle w:val="Pidipagina"/>
          <w:jc w:val="center"/>
          <w:rPr>
            <w:rFonts w:ascii="Times New Roman" w:hAnsi="Times New Roman" w:cs="Times New Roman"/>
            <w:sz w:val="20"/>
            <w:szCs w:val="20"/>
          </w:rPr>
        </w:pPr>
        <w:r w:rsidRPr="00EE788E">
          <w:rPr>
            <w:rFonts w:ascii="Times New Roman" w:hAnsi="Times New Roman" w:cs="Times New Roman"/>
            <w:sz w:val="20"/>
            <w:szCs w:val="20"/>
          </w:rPr>
          <w:fldChar w:fldCharType="begin"/>
        </w:r>
        <w:r w:rsidRPr="00EE788E">
          <w:rPr>
            <w:rFonts w:ascii="Times New Roman" w:hAnsi="Times New Roman" w:cs="Times New Roman"/>
            <w:sz w:val="20"/>
            <w:szCs w:val="20"/>
          </w:rPr>
          <w:instrText>PAGE   \* MERGEFORMAT</w:instrText>
        </w:r>
        <w:r w:rsidRPr="00EE788E">
          <w:rPr>
            <w:rFonts w:ascii="Times New Roman" w:hAnsi="Times New Roman" w:cs="Times New Roman"/>
            <w:sz w:val="20"/>
            <w:szCs w:val="20"/>
          </w:rPr>
          <w:fldChar w:fldCharType="separate"/>
        </w:r>
        <w:r w:rsidR="006E1051">
          <w:rPr>
            <w:rFonts w:ascii="Times New Roman" w:hAnsi="Times New Roman" w:cs="Times New Roman"/>
            <w:noProof/>
            <w:sz w:val="20"/>
            <w:szCs w:val="20"/>
          </w:rPr>
          <w:t>1</w:t>
        </w:r>
        <w:r w:rsidRPr="00EE788E">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548870"/>
      <w:docPartObj>
        <w:docPartGallery w:val="Page Numbers (Bottom of Page)"/>
        <w:docPartUnique/>
      </w:docPartObj>
    </w:sdtPr>
    <w:sdtEndPr>
      <w:rPr>
        <w:rFonts w:ascii="Times New Roman" w:hAnsi="Times New Roman" w:cs="Times New Roman"/>
        <w:sz w:val="20"/>
        <w:szCs w:val="20"/>
      </w:rPr>
    </w:sdtEndPr>
    <w:sdtContent>
      <w:p w14:paraId="314C8E41" w14:textId="28F26DE5" w:rsidR="00E6213C" w:rsidRPr="00EE788E" w:rsidRDefault="00AC3D3C" w:rsidP="00EE788E">
        <w:pPr>
          <w:pStyle w:val="Pidipagina"/>
          <w:jc w:val="center"/>
          <w:rPr>
            <w:rFonts w:ascii="Times New Roman" w:hAnsi="Times New Roman" w:cs="Times New Roman"/>
            <w:sz w:val="20"/>
            <w:szCs w:val="20"/>
          </w:rPr>
        </w:pPr>
        <w:r w:rsidRPr="00EE788E">
          <w:rPr>
            <w:rFonts w:ascii="Times New Roman" w:hAnsi="Times New Roman" w:cs="Times New Roman"/>
            <w:sz w:val="20"/>
            <w:szCs w:val="20"/>
          </w:rPr>
          <w:fldChar w:fldCharType="begin"/>
        </w:r>
        <w:r w:rsidRPr="00EE788E">
          <w:rPr>
            <w:rFonts w:ascii="Times New Roman" w:hAnsi="Times New Roman" w:cs="Times New Roman"/>
            <w:sz w:val="20"/>
            <w:szCs w:val="20"/>
          </w:rPr>
          <w:instrText>PAGE   \* MERGEFORMAT</w:instrText>
        </w:r>
        <w:r w:rsidRPr="00EE788E">
          <w:rPr>
            <w:rFonts w:ascii="Times New Roman" w:hAnsi="Times New Roman" w:cs="Times New Roman"/>
            <w:sz w:val="20"/>
            <w:szCs w:val="20"/>
          </w:rPr>
          <w:fldChar w:fldCharType="separate"/>
        </w:r>
        <w:r w:rsidR="00D921C0">
          <w:rPr>
            <w:rFonts w:ascii="Times New Roman" w:hAnsi="Times New Roman" w:cs="Times New Roman"/>
            <w:noProof/>
            <w:sz w:val="20"/>
            <w:szCs w:val="20"/>
          </w:rPr>
          <w:t>29</w:t>
        </w:r>
        <w:r w:rsidRPr="00EE788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DAD29" w14:textId="77777777" w:rsidR="005166FE" w:rsidRDefault="005166FE" w:rsidP="00271ED3">
      <w:pPr>
        <w:spacing w:after="0" w:line="240" w:lineRule="auto"/>
      </w:pPr>
      <w:r>
        <w:separator/>
      </w:r>
    </w:p>
  </w:footnote>
  <w:footnote w:type="continuationSeparator" w:id="0">
    <w:p w14:paraId="450430F4" w14:textId="77777777" w:rsidR="005166FE" w:rsidRDefault="005166FE" w:rsidP="00271ED3">
      <w:pPr>
        <w:spacing w:after="0" w:line="240" w:lineRule="auto"/>
      </w:pPr>
      <w:r>
        <w:continuationSeparator/>
      </w:r>
    </w:p>
  </w:footnote>
  <w:footnote w:id="1">
    <w:p w14:paraId="498C7064" w14:textId="7BD29771" w:rsidR="000641D5" w:rsidRPr="000641D5" w:rsidRDefault="000641D5" w:rsidP="000641D5">
      <w:pPr>
        <w:pStyle w:val="Testonotaapidipagina"/>
        <w:jc w:val="both"/>
        <w:rPr>
          <w:rFonts w:ascii="Times New Roman" w:hAnsi="Times New Roman" w:cs="Times New Roman"/>
          <w:lang w:val="it-IT"/>
        </w:rPr>
      </w:pPr>
      <w:r w:rsidRPr="000641D5">
        <w:rPr>
          <w:rStyle w:val="Rimandonotaapidipagina"/>
          <w:rFonts w:ascii="Times New Roman" w:hAnsi="Times New Roman" w:cs="Times New Roman"/>
        </w:rPr>
        <w:footnoteRef/>
      </w:r>
      <w:r w:rsidRPr="000641D5">
        <w:rPr>
          <w:rFonts w:ascii="Times New Roman" w:hAnsi="Times New Roman" w:cs="Times New Roman"/>
        </w:rPr>
        <w:t xml:space="preserve"> </w:t>
      </w:r>
      <w:r w:rsidRPr="000641D5">
        <w:rPr>
          <w:rFonts w:ascii="Times New Roman" w:hAnsi="Times New Roman" w:cs="Times New Roman"/>
          <w:lang w:val="it-IT"/>
        </w:rPr>
        <w:t xml:space="preserve">Paper </w:t>
      </w:r>
      <w:proofErr w:type="spellStart"/>
      <w:r w:rsidRPr="000641D5">
        <w:rPr>
          <w:rFonts w:ascii="Times New Roman" w:hAnsi="Times New Roman" w:cs="Times New Roman"/>
          <w:lang w:val="it-IT"/>
        </w:rPr>
        <w:t>accepted</w:t>
      </w:r>
      <w:proofErr w:type="spellEnd"/>
      <w:r w:rsidRPr="000641D5">
        <w:rPr>
          <w:rFonts w:ascii="Times New Roman" w:hAnsi="Times New Roman" w:cs="Times New Roman"/>
          <w:lang w:val="it-IT"/>
        </w:rPr>
        <w:t xml:space="preserve"> for publication on </w:t>
      </w:r>
      <w:proofErr w:type="spellStart"/>
      <w:r w:rsidRPr="000641D5">
        <w:rPr>
          <w:rFonts w:ascii="Times New Roman" w:hAnsi="Times New Roman" w:cs="Times New Roman"/>
          <w:i/>
          <w:lang w:val="it-IT"/>
        </w:rPr>
        <w:t>Regional</w:t>
      </w:r>
      <w:proofErr w:type="spellEnd"/>
      <w:r w:rsidRPr="000641D5">
        <w:rPr>
          <w:rFonts w:ascii="Times New Roman" w:hAnsi="Times New Roman" w:cs="Times New Roman"/>
          <w:i/>
          <w:lang w:val="it-IT"/>
        </w:rPr>
        <w:t xml:space="preserve"> Studies</w:t>
      </w:r>
      <w:r w:rsidRPr="000641D5">
        <w:rPr>
          <w:rFonts w:ascii="Times New Roman" w:hAnsi="Times New Roman" w:cs="Times New Roman"/>
          <w:lang w:val="it-IT"/>
        </w:rPr>
        <w:t>.</w:t>
      </w:r>
      <w:r>
        <w:rPr>
          <w:rFonts w:ascii="Times New Roman" w:hAnsi="Times New Roman" w:cs="Times New Roman"/>
          <w:lang w:val="it-IT"/>
        </w:rPr>
        <w:t xml:space="preserve"> Published </w:t>
      </w:r>
      <w:proofErr w:type="spellStart"/>
      <w:r>
        <w:rPr>
          <w:rFonts w:ascii="Times New Roman" w:hAnsi="Times New Roman" w:cs="Times New Roman"/>
          <w:lang w:val="it-IT"/>
        </w:rPr>
        <w:t>version</w:t>
      </w:r>
      <w:proofErr w:type="spellEnd"/>
      <w:r>
        <w:rPr>
          <w:rFonts w:ascii="Times New Roman" w:hAnsi="Times New Roman" w:cs="Times New Roman"/>
          <w:lang w:val="it-IT"/>
        </w:rPr>
        <w:t xml:space="preserve"> available </w:t>
      </w:r>
      <w:proofErr w:type="spellStart"/>
      <w:r>
        <w:rPr>
          <w:rFonts w:ascii="Times New Roman" w:hAnsi="Times New Roman" w:cs="Times New Roman"/>
          <w:lang w:val="it-IT"/>
        </w:rPr>
        <w:t>at</w:t>
      </w:r>
      <w:proofErr w:type="spellEnd"/>
      <w:r>
        <w:rPr>
          <w:rFonts w:ascii="Times New Roman" w:hAnsi="Times New Roman" w:cs="Times New Roman"/>
          <w:lang w:val="it-IT"/>
        </w:rPr>
        <w:t xml:space="preserve"> the URL </w:t>
      </w:r>
      <w:hyperlink r:id="rId1" w:history="1">
        <w:r w:rsidRPr="00A63567">
          <w:rPr>
            <w:rStyle w:val="Collegamentoipertestuale"/>
            <w:rFonts w:ascii="Times New Roman" w:hAnsi="Times New Roman" w:cs="Times New Roman"/>
            <w:lang w:val="it-IT"/>
          </w:rPr>
          <w:t>https://www.tandfonline.com/doi/pdf/10.1080/00343404.2021.1984421</w:t>
        </w:r>
      </w:hyperlink>
      <w:bookmarkStart w:id="0" w:name="_GoBack"/>
      <w:bookmarkEnd w:id="0"/>
    </w:p>
  </w:footnote>
  <w:footnote w:id="2">
    <w:p w14:paraId="5CE6F0E1" w14:textId="77777777" w:rsidR="00402FBF" w:rsidRPr="006B63CF" w:rsidRDefault="00402FBF" w:rsidP="006B63CF">
      <w:pPr>
        <w:pStyle w:val="Testonotaapidipagina"/>
        <w:spacing w:line="480" w:lineRule="auto"/>
        <w:jc w:val="both"/>
        <w:rPr>
          <w:rFonts w:ascii="Times New Roman" w:hAnsi="Times New Roman" w:cs="Times New Roman"/>
        </w:rPr>
      </w:pPr>
      <w:r w:rsidRPr="006B63CF">
        <w:rPr>
          <w:rStyle w:val="Rimandonotaapidipagina"/>
          <w:rFonts w:ascii="Times New Roman" w:hAnsi="Times New Roman" w:cs="Times New Roman"/>
        </w:rPr>
        <w:footnoteRef/>
      </w:r>
      <w:r w:rsidRPr="006B63CF">
        <w:rPr>
          <w:rFonts w:ascii="Times New Roman" w:hAnsi="Times New Roman" w:cs="Times New Roman"/>
        </w:rPr>
        <w:t xml:space="preserve"> </w:t>
      </w:r>
      <w:proofErr w:type="spellStart"/>
      <w:r w:rsidRPr="006B63CF">
        <w:rPr>
          <w:rFonts w:ascii="Times New Roman" w:hAnsi="Times New Roman" w:cs="Times New Roman"/>
        </w:rPr>
        <w:t>Politecnico</w:t>
      </w:r>
      <w:proofErr w:type="spellEnd"/>
      <w:r w:rsidRPr="006B63CF">
        <w:rPr>
          <w:rFonts w:ascii="Times New Roman" w:hAnsi="Times New Roman" w:cs="Times New Roman"/>
        </w:rPr>
        <w:t xml:space="preserve"> di Milano, ABC Department, Piazza Leonardo da Vinci, 32, 20133 Milan (MI), Italy. Email address: </w:t>
      </w:r>
      <w:hyperlink r:id="rId2" w:history="1">
        <w:r w:rsidRPr="006B63CF">
          <w:rPr>
            <w:rStyle w:val="Collegamentoipertestuale"/>
            <w:rFonts w:ascii="Times New Roman" w:hAnsi="Times New Roman" w:cs="Times New Roman"/>
          </w:rPr>
          <w:t>andrea.caragliu@polimi.it</w:t>
        </w:r>
      </w:hyperlink>
    </w:p>
  </w:footnote>
  <w:footnote w:id="3">
    <w:p w14:paraId="22B3CED7" w14:textId="77777777" w:rsidR="00402FBF" w:rsidRPr="006B63CF" w:rsidRDefault="00402FBF" w:rsidP="006B63CF">
      <w:pPr>
        <w:pStyle w:val="Testonotaapidipagina"/>
        <w:spacing w:line="480" w:lineRule="auto"/>
        <w:jc w:val="both"/>
        <w:rPr>
          <w:rFonts w:ascii="Times New Roman" w:hAnsi="Times New Roman" w:cs="Times New Roman"/>
        </w:rPr>
      </w:pPr>
      <w:r w:rsidRPr="006B63CF">
        <w:rPr>
          <w:rStyle w:val="Rimandonotaapidipagina"/>
          <w:rFonts w:ascii="Times New Roman" w:hAnsi="Times New Roman" w:cs="Times New Roman"/>
        </w:rPr>
        <w:footnoteRef/>
      </w:r>
      <w:r w:rsidRPr="006B63CF">
        <w:rPr>
          <w:rFonts w:ascii="Times New Roman" w:hAnsi="Times New Roman" w:cs="Times New Roman"/>
          <w:lang w:val="it-IT"/>
        </w:rPr>
        <w:t xml:space="preserve"> Università degli Studi di Milano, DEMM Department, Via Conservatorio, 7, 20122 Milan (MI), </w:t>
      </w:r>
      <w:proofErr w:type="spellStart"/>
      <w:r w:rsidRPr="006B63CF">
        <w:rPr>
          <w:rFonts w:ascii="Times New Roman" w:hAnsi="Times New Roman" w:cs="Times New Roman"/>
          <w:lang w:val="it-IT"/>
        </w:rPr>
        <w:t>Italy</w:t>
      </w:r>
      <w:proofErr w:type="spellEnd"/>
      <w:r w:rsidRPr="006B63CF">
        <w:rPr>
          <w:rFonts w:ascii="Times New Roman" w:hAnsi="Times New Roman" w:cs="Times New Roman"/>
          <w:lang w:val="it-IT"/>
        </w:rPr>
        <w:t xml:space="preserve">. </w:t>
      </w:r>
      <w:r w:rsidRPr="006B63CF">
        <w:rPr>
          <w:rFonts w:ascii="Times New Roman" w:hAnsi="Times New Roman" w:cs="Times New Roman"/>
        </w:rPr>
        <w:t xml:space="preserve">Email address: </w:t>
      </w:r>
      <w:hyperlink r:id="rId3" w:history="1">
        <w:r w:rsidRPr="006B63CF">
          <w:rPr>
            <w:rStyle w:val="Collegamentoipertestuale"/>
            <w:rFonts w:ascii="Times New Roman" w:hAnsi="Times New Roman" w:cs="Times New Roman"/>
          </w:rPr>
          <w:t>chiara.delbo@unimi.it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5A5"/>
    <w:multiLevelType w:val="multilevel"/>
    <w:tmpl w:val="045A6FCC"/>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F154B70"/>
    <w:multiLevelType w:val="hybridMultilevel"/>
    <w:tmpl w:val="B6F8FF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E6F61"/>
    <w:multiLevelType w:val="hybridMultilevel"/>
    <w:tmpl w:val="70B2C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427B8E"/>
    <w:multiLevelType w:val="hybridMultilevel"/>
    <w:tmpl w:val="44DE44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E508A2"/>
    <w:multiLevelType w:val="hybridMultilevel"/>
    <w:tmpl w:val="B26686FC"/>
    <w:lvl w:ilvl="0" w:tplc="6286449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9065FE"/>
    <w:multiLevelType w:val="multilevel"/>
    <w:tmpl w:val="171271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FE1DA9"/>
    <w:multiLevelType w:val="hybridMultilevel"/>
    <w:tmpl w:val="44749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194F32"/>
    <w:multiLevelType w:val="hybridMultilevel"/>
    <w:tmpl w:val="07B064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095127"/>
    <w:multiLevelType w:val="multilevel"/>
    <w:tmpl w:val="17127126"/>
    <w:lvl w:ilvl="0">
      <w:start w:val="1"/>
      <w:numFmt w:val="decimal"/>
      <w:lvlText w:val="%1."/>
      <w:lvlJc w:val="left"/>
      <w:pPr>
        <w:ind w:left="720" w:hanging="360"/>
      </w:pPr>
      <w:rPr>
        <w:rFonts w:hint="default"/>
      </w:rPr>
    </w:lvl>
    <w:lvl w:ilvl="1">
      <w:start w:val="1"/>
      <w:numFmt w:val="decimal"/>
      <w:lvlText w:val="%1.%2"/>
      <w:lvlJc w:val="left"/>
      <w:pPr>
        <w:ind w:left="765" w:hanging="405"/>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6CB7106"/>
    <w:multiLevelType w:val="hybridMultilevel"/>
    <w:tmpl w:val="6A002202"/>
    <w:lvl w:ilvl="0" w:tplc="68D299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5D2D95"/>
    <w:multiLevelType w:val="multilevel"/>
    <w:tmpl w:val="171271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5739D2"/>
    <w:multiLevelType w:val="hybridMultilevel"/>
    <w:tmpl w:val="F60CD4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07F8F"/>
    <w:multiLevelType w:val="multilevel"/>
    <w:tmpl w:val="171271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FB31224"/>
    <w:multiLevelType w:val="multilevel"/>
    <w:tmpl w:val="17127126"/>
    <w:lvl w:ilvl="0">
      <w:start w:val="1"/>
      <w:numFmt w:val="decimal"/>
      <w:lvlText w:val="%1."/>
      <w:lvlJc w:val="left"/>
      <w:pPr>
        <w:ind w:left="720" w:hanging="360"/>
      </w:pPr>
      <w:rPr>
        <w:rFonts w:hint="default"/>
      </w:rPr>
    </w:lvl>
    <w:lvl w:ilvl="1">
      <w:start w:val="1"/>
      <w:numFmt w:val="decimal"/>
      <w:lvlText w:val="%1.%2"/>
      <w:lvlJc w:val="left"/>
      <w:pPr>
        <w:ind w:left="765" w:hanging="405"/>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07F30CA"/>
    <w:multiLevelType w:val="hybridMultilevel"/>
    <w:tmpl w:val="F124B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1905C5"/>
    <w:multiLevelType w:val="hybridMultilevel"/>
    <w:tmpl w:val="1B3C4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3C4917"/>
    <w:multiLevelType w:val="hybridMultilevel"/>
    <w:tmpl w:val="5AEEE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15"/>
  </w:num>
  <w:num w:numId="6">
    <w:abstractNumId w:val="13"/>
  </w:num>
  <w:num w:numId="7">
    <w:abstractNumId w:val="3"/>
  </w:num>
  <w:num w:numId="8">
    <w:abstractNumId w:val="11"/>
  </w:num>
  <w:num w:numId="9">
    <w:abstractNumId w:val="10"/>
  </w:num>
  <w:num w:numId="10">
    <w:abstractNumId w:val="0"/>
  </w:num>
  <w:num w:numId="11">
    <w:abstractNumId w:val="4"/>
  </w:num>
  <w:num w:numId="12">
    <w:abstractNumId w:val="12"/>
  </w:num>
  <w:num w:numId="13">
    <w:abstractNumId w:val="5"/>
  </w:num>
  <w:num w:numId="14">
    <w:abstractNumId w:val="6"/>
  </w:num>
  <w:num w:numId="15">
    <w:abstractNumId w:val="1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77"/>
    <w:rsid w:val="00000530"/>
    <w:rsid w:val="00002156"/>
    <w:rsid w:val="000022D8"/>
    <w:rsid w:val="00002BFC"/>
    <w:rsid w:val="000041AC"/>
    <w:rsid w:val="00006AD2"/>
    <w:rsid w:val="00011DB0"/>
    <w:rsid w:val="000125C2"/>
    <w:rsid w:val="00013B39"/>
    <w:rsid w:val="000145D8"/>
    <w:rsid w:val="000171F1"/>
    <w:rsid w:val="00023AEC"/>
    <w:rsid w:val="0002582A"/>
    <w:rsid w:val="000272B9"/>
    <w:rsid w:val="0003305A"/>
    <w:rsid w:val="00034857"/>
    <w:rsid w:val="00037F7B"/>
    <w:rsid w:val="00043604"/>
    <w:rsid w:val="00044D85"/>
    <w:rsid w:val="000529C9"/>
    <w:rsid w:val="00056A44"/>
    <w:rsid w:val="000641D5"/>
    <w:rsid w:val="00064B61"/>
    <w:rsid w:val="000652FE"/>
    <w:rsid w:val="00066223"/>
    <w:rsid w:val="000668FE"/>
    <w:rsid w:val="00067EBC"/>
    <w:rsid w:val="000707E4"/>
    <w:rsid w:val="00074CFA"/>
    <w:rsid w:val="00082C73"/>
    <w:rsid w:val="00086529"/>
    <w:rsid w:val="00094E66"/>
    <w:rsid w:val="000955DF"/>
    <w:rsid w:val="000A0B39"/>
    <w:rsid w:val="000B21B1"/>
    <w:rsid w:val="000B348B"/>
    <w:rsid w:val="000C5387"/>
    <w:rsid w:val="000C7357"/>
    <w:rsid w:val="000D2464"/>
    <w:rsid w:val="000D2F5C"/>
    <w:rsid w:val="000D6EE3"/>
    <w:rsid w:val="000E23D5"/>
    <w:rsid w:val="000E25A2"/>
    <w:rsid w:val="000E38F0"/>
    <w:rsid w:val="000E61DE"/>
    <w:rsid w:val="000E6D48"/>
    <w:rsid w:val="000F3C06"/>
    <w:rsid w:val="0010172F"/>
    <w:rsid w:val="00106B5D"/>
    <w:rsid w:val="001079F1"/>
    <w:rsid w:val="00111CC6"/>
    <w:rsid w:val="001226C4"/>
    <w:rsid w:val="00123443"/>
    <w:rsid w:val="00123DE4"/>
    <w:rsid w:val="00123F48"/>
    <w:rsid w:val="00124EEA"/>
    <w:rsid w:val="00135820"/>
    <w:rsid w:val="00140A40"/>
    <w:rsid w:val="001430CC"/>
    <w:rsid w:val="00161C30"/>
    <w:rsid w:val="00170BA7"/>
    <w:rsid w:val="001738A0"/>
    <w:rsid w:val="00177369"/>
    <w:rsid w:val="00180607"/>
    <w:rsid w:val="00184394"/>
    <w:rsid w:val="00193DE6"/>
    <w:rsid w:val="0019428E"/>
    <w:rsid w:val="001A2503"/>
    <w:rsid w:val="001A55BD"/>
    <w:rsid w:val="001A719D"/>
    <w:rsid w:val="001B1AA8"/>
    <w:rsid w:val="001B37A4"/>
    <w:rsid w:val="001B3A0A"/>
    <w:rsid w:val="001B41A0"/>
    <w:rsid w:val="001B42E5"/>
    <w:rsid w:val="001C20D2"/>
    <w:rsid w:val="001D01D4"/>
    <w:rsid w:val="001D0621"/>
    <w:rsid w:val="001D0C36"/>
    <w:rsid w:val="001D4A44"/>
    <w:rsid w:val="001E2581"/>
    <w:rsid w:val="001E71C4"/>
    <w:rsid w:val="001F08E3"/>
    <w:rsid w:val="001F10E1"/>
    <w:rsid w:val="001F222E"/>
    <w:rsid w:val="001F6771"/>
    <w:rsid w:val="002001DF"/>
    <w:rsid w:val="00200DF5"/>
    <w:rsid w:val="0020404B"/>
    <w:rsid w:val="00206603"/>
    <w:rsid w:val="0021049A"/>
    <w:rsid w:val="0021118D"/>
    <w:rsid w:val="002157F4"/>
    <w:rsid w:val="00224AFD"/>
    <w:rsid w:val="00227D9A"/>
    <w:rsid w:val="002445C2"/>
    <w:rsid w:val="00245247"/>
    <w:rsid w:val="0024617F"/>
    <w:rsid w:val="002461F6"/>
    <w:rsid w:val="002510D0"/>
    <w:rsid w:val="00252FE1"/>
    <w:rsid w:val="0025455D"/>
    <w:rsid w:val="0025793E"/>
    <w:rsid w:val="0026162A"/>
    <w:rsid w:val="00266829"/>
    <w:rsid w:val="00267F90"/>
    <w:rsid w:val="00271ED3"/>
    <w:rsid w:val="00275090"/>
    <w:rsid w:val="00275717"/>
    <w:rsid w:val="00275C3C"/>
    <w:rsid w:val="00281983"/>
    <w:rsid w:val="00285510"/>
    <w:rsid w:val="00291D68"/>
    <w:rsid w:val="00294F50"/>
    <w:rsid w:val="002962F2"/>
    <w:rsid w:val="002968E0"/>
    <w:rsid w:val="00296939"/>
    <w:rsid w:val="002A41B6"/>
    <w:rsid w:val="002A46E0"/>
    <w:rsid w:val="002A63C9"/>
    <w:rsid w:val="002D562E"/>
    <w:rsid w:val="002D7B36"/>
    <w:rsid w:val="002E7253"/>
    <w:rsid w:val="002F1C87"/>
    <w:rsid w:val="002F2DA1"/>
    <w:rsid w:val="002F3B01"/>
    <w:rsid w:val="0030048E"/>
    <w:rsid w:val="003015C9"/>
    <w:rsid w:val="00302FB0"/>
    <w:rsid w:val="00306C61"/>
    <w:rsid w:val="00311394"/>
    <w:rsid w:val="00314387"/>
    <w:rsid w:val="0031593B"/>
    <w:rsid w:val="00321351"/>
    <w:rsid w:val="003224E0"/>
    <w:rsid w:val="0032709F"/>
    <w:rsid w:val="00327E2C"/>
    <w:rsid w:val="003350B7"/>
    <w:rsid w:val="00341023"/>
    <w:rsid w:val="00344441"/>
    <w:rsid w:val="0034498F"/>
    <w:rsid w:val="00353E37"/>
    <w:rsid w:val="003558AF"/>
    <w:rsid w:val="00360EF8"/>
    <w:rsid w:val="0036133E"/>
    <w:rsid w:val="0036239D"/>
    <w:rsid w:val="00365FEF"/>
    <w:rsid w:val="00367534"/>
    <w:rsid w:val="003701F6"/>
    <w:rsid w:val="00370B24"/>
    <w:rsid w:val="00374AE2"/>
    <w:rsid w:val="00384231"/>
    <w:rsid w:val="003847FA"/>
    <w:rsid w:val="003906BC"/>
    <w:rsid w:val="00395B19"/>
    <w:rsid w:val="003A11B5"/>
    <w:rsid w:val="003A7930"/>
    <w:rsid w:val="003B200D"/>
    <w:rsid w:val="003B519B"/>
    <w:rsid w:val="003B72EF"/>
    <w:rsid w:val="003B731D"/>
    <w:rsid w:val="003C178E"/>
    <w:rsid w:val="003C2C62"/>
    <w:rsid w:val="003C5CF5"/>
    <w:rsid w:val="003D0F84"/>
    <w:rsid w:val="003D104E"/>
    <w:rsid w:val="003D33D1"/>
    <w:rsid w:val="003E257A"/>
    <w:rsid w:val="003E57DF"/>
    <w:rsid w:val="004002F9"/>
    <w:rsid w:val="00401E8D"/>
    <w:rsid w:val="00401E94"/>
    <w:rsid w:val="00402FBF"/>
    <w:rsid w:val="00403D96"/>
    <w:rsid w:val="00414D3E"/>
    <w:rsid w:val="004244A0"/>
    <w:rsid w:val="0042686E"/>
    <w:rsid w:val="004274B3"/>
    <w:rsid w:val="004277E7"/>
    <w:rsid w:val="00435EB7"/>
    <w:rsid w:val="00436791"/>
    <w:rsid w:val="00443463"/>
    <w:rsid w:val="00444AC2"/>
    <w:rsid w:val="004453A8"/>
    <w:rsid w:val="00446341"/>
    <w:rsid w:val="00454AF4"/>
    <w:rsid w:val="00455F40"/>
    <w:rsid w:val="004619F2"/>
    <w:rsid w:val="004664A4"/>
    <w:rsid w:val="00472503"/>
    <w:rsid w:val="00475263"/>
    <w:rsid w:val="00481D76"/>
    <w:rsid w:val="0048202B"/>
    <w:rsid w:val="00482D1D"/>
    <w:rsid w:val="00484728"/>
    <w:rsid w:val="00491083"/>
    <w:rsid w:val="00491D0F"/>
    <w:rsid w:val="00491E65"/>
    <w:rsid w:val="0049228A"/>
    <w:rsid w:val="004961F0"/>
    <w:rsid w:val="004A1407"/>
    <w:rsid w:val="004B0720"/>
    <w:rsid w:val="004B4332"/>
    <w:rsid w:val="004C62FB"/>
    <w:rsid w:val="004C66D1"/>
    <w:rsid w:val="004D18FB"/>
    <w:rsid w:val="004D3600"/>
    <w:rsid w:val="004E00CF"/>
    <w:rsid w:val="004E670A"/>
    <w:rsid w:val="004E7D4B"/>
    <w:rsid w:val="004F067A"/>
    <w:rsid w:val="004F07B9"/>
    <w:rsid w:val="004F0F39"/>
    <w:rsid w:val="004F3549"/>
    <w:rsid w:val="00500800"/>
    <w:rsid w:val="0050693E"/>
    <w:rsid w:val="005139AE"/>
    <w:rsid w:val="005166FE"/>
    <w:rsid w:val="00523D00"/>
    <w:rsid w:val="00523F19"/>
    <w:rsid w:val="00523F5C"/>
    <w:rsid w:val="0052570C"/>
    <w:rsid w:val="00526B4B"/>
    <w:rsid w:val="00532B7F"/>
    <w:rsid w:val="00536EBB"/>
    <w:rsid w:val="005378B5"/>
    <w:rsid w:val="0054092C"/>
    <w:rsid w:val="00545FCC"/>
    <w:rsid w:val="00546E63"/>
    <w:rsid w:val="005575F2"/>
    <w:rsid w:val="00560C16"/>
    <w:rsid w:val="00561A8B"/>
    <w:rsid w:val="005648B2"/>
    <w:rsid w:val="005650B8"/>
    <w:rsid w:val="00571F43"/>
    <w:rsid w:val="00572F4C"/>
    <w:rsid w:val="00574BF1"/>
    <w:rsid w:val="005758FD"/>
    <w:rsid w:val="00580F42"/>
    <w:rsid w:val="00583F4A"/>
    <w:rsid w:val="0059050C"/>
    <w:rsid w:val="00590F67"/>
    <w:rsid w:val="00591CEE"/>
    <w:rsid w:val="00593610"/>
    <w:rsid w:val="005A247D"/>
    <w:rsid w:val="005A4453"/>
    <w:rsid w:val="005A4E11"/>
    <w:rsid w:val="005B0286"/>
    <w:rsid w:val="005B2CA5"/>
    <w:rsid w:val="005B56B8"/>
    <w:rsid w:val="005B593F"/>
    <w:rsid w:val="005B6308"/>
    <w:rsid w:val="005B72C2"/>
    <w:rsid w:val="005C3D13"/>
    <w:rsid w:val="005C3F79"/>
    <w:rsid w:val="005D0358"/>
    <w:rsid w:val="005D13C7"/>
    <w:rsid w:val="005D2C18"/>
    <w:rsid w:val="005E1B52"/>
    <w:rsid w:val="005E510A"/>
    <w:rsid w:val="005F2A68"/>
    <w:rsid w:val="005F53C3"/>
    <w:rsid w:val="005F709A"/>
    <w:rsid w:val="005F7A48"/>
    <w:rsid w:val="00601D3B"/>
    <w:rsid w:val="006032E0"/>
    <w:rsid w:val="0060632D"/>
    <w:rsid w:val="00606840"/>
    <w:rsid w:val="00614DF8"/>
    <w:rsid w:val="00615C58"/>
    <w:rsid w:val="00620DB2"/>
    <w:rsid w:val="006241F8"/>
    <w:rsid w:val="00625ADB"/>
    <w:rsid w:val="00625EFD"/>
    <w:rsid w:val="00630044"/>
    <w:rsid w:val="006334E6"/>
    <w:rsid w:val="00634E16"/>
    <w:rsid w:val="00636410"/>
    <w:rsid w:val="00641729"/>
    <w:rsid w:val="006429F0"/>
    <w:rsid w:val="00643FD1"/>
    <w:rsid w:val="0065186F"/>
    <w:rsid w:val="00651CCC"/>
    <w:rsid w:val="00652A42"/>
    <w:rsid w:val="0065300A"/>
    <w:rsid w:val="00654CBB"/>
    <w:rsid w:val="0065630E"/>
    <w:rsid w:val="006620B4"/>
    <w:rsid w:val="00671A6D"/>
    <w:rsid w:val="006733F9"/>
    <w:rsid w:val="00683F74"/>
    <w:rsid w:val="006841DC"/>
    <w:rsid w:val="00687D87"/>
    <w:rsid w:val="006A4B8E"/>
    <w:rsid w:val="006A6454"/>
    <w:rsid w:val="006B35EC"/>
    <w:rsid w:val="006B63CF"/>
    <w:rsid w:val="006C1544"/>
    <w:rsid w:val="006C482F"/>
    <w:rsid w:val="006C57D4"/>
    <w:rsid w:val="006E1051"/>
    <w:rsid w:val="006E2562"/>
    <w:rsid w:val="006E2CF4"/>
    <w:rsid w:val="006E3951"/>
    <w:rsid w:val="006E460E"/>
    <w:rsid w:val="006E70CF"/>
    <w:rsid w:val="006F0BDB"/>
    <w:rsid w:val="006F0C6F"/>
    <w:rsid w:val="006F1CC4"/>
    <w:rsid w:val="006F5642"/>
    <w:rsid w:val="006F7BB8"/>
    <w:rsid w:val="0070380C"/>
    <w:rsid w:val="007060E0"/>
    <w:rsid w:val="00715CA5"/>
    <w:rsid w:val="00716366"/>
    <w:rsid w:val="00716CD4"/>
    <w:rsid w:val="007214CF"/>
    <w:rsid w:val="00724FDB"/>
    <w:rsid w:val="00730E7E"/>
    <w:rsid w:val="007311D4"/>
    <w:rsid w:val="00733F07"/>
    <w:rsid w:val="007450AF"/>
    <w:rsid w:val="00751110"/>
    <w:rsid w:val="007528A1"/>
    <w:rsid w:val="0075355B"/>
    <w:rsid w:val="007538C3"/>
    <w:rsid w:val="0076293D"/>
    <w:rsid w:val="00764085"/>
    <w:rsid w:val="007728B7"/>
    <w:rsid w:val="00775131"/>
    <w:rsid w:val="007804BD"/>
    <w:rsid w:val="00781735"/>
    <w:rsid w:val="00783493"/>
    <w:rsid w:val="007837BF"/>
    <w:rsid w:val="0079035E"/>
    <w:rsid w:val="0079267A"/>
    <w:rsid w:val="007A0AE7"/>
    <w:rsid w:val="007A1B6C"/>
    <w:rsid w:val="007A6332"/>
    <w:rsid w:val="007A644A"/>
    <w:rsid w:val="007B049B"/>
    <w:rsid w:val="007B1D0B"/>
    <w:rsid w:val="007B5A4E"/>
    <w:rsid w:val="007C598F"/>
    <w:rsid w:val="007C5AB6"/>
    <w:rsid w:val="007C7640"/>
    <w:rsid w:val="007D0853"/>
    <w:rsid w:val="007D28B8"/>
    <w:rsid w:val="007D464F"/>
    <w:rsid w:val="007D60EF"/>
    <w:rsid w:val="007D6ACC"/>
    <w:rsid w:val="007D7843"/>
    <w:rsid w:val="007D7C33"/>
    <w:rsid w:val="007E139A"/>
    <w:rsid w:val="007E502E"/>
    <w:rsid w:val="007E75C6"/>
    <w:rsid w:val="007E79D7"/>
    <w:rsid w:val="008029F1"/>
    <w:rsid w:val="0080342D"/>
    <w:rsid w:val="008041DF"/>
    <w:rsid w:val="008119AB"/>
    <w:rsid w:val="00811EB7"/>
    <w:rsid w:val="00817FDB"/>
    <w:rsid w:val="008211FF"/>
    <w:rsid w:val="0082166A"/>
    <w:rsid w:val="00821A84"/>
    <w:rsid w:val="00823E4E"/>
    <w:rsid w:val="00825CBD"/>
    <w:rsid w:val="0082673C"/>
    <w:rsid w:val="0083375C"/>
    <w:rsid w:val="008376F1"/>
    <w:rsid w:val="00843798"/>
    <w:rsid w:val="00850CAF"/>
    <w:rsid w:val="00853717"/>
    <w:rsid w:val="00855D6D"/>
    <w:rsid w:val="008574C2"/>
    <w:rsid w:val="008575FB"/>
    <w:rsid w:val="0086287C"/>
    <w:rsid w:val="00864090"/>
    <w:rsid w:val="0086644E"/>
    <w:rsid w:val="0086722F"/>
    <w:rsid w:val="00871C53"/>
    <w:rsid w:val="00874E80"/>
    <w:rsid w:val="0088207D"/>
    <w:rsid w:val="00882ADD"/>
    <w:rsid w:val="00885D58"/>
    <w:rsid w:val="00886BB7"/>
    <w:rsid w:val="00891626"/>
    <w:rsid w:val="00896BAA"/>
    <w:rsid w:val="008A1A84"/>
    <w:rsid w:val="008A4AC4"/>
    <w:rsid w:val="008A4FD3"/>
    <w:rsid w:val="008B1600"/>
    <w:rsid w:val="008B55A8"/>
    <w:rsid w:val="008B63D1"/>
    <w:rsid w:val="008B744F"/>
    <w:rsid w:val="008C0440"/>
    <w:rsid w:val="008C0777"/>
    <w:rsid w:val="008C586C"/>
    <w:rsid w:val="008C5EF7"/>
    <w:rsid w:val="008D0002"/>
    <w:rsid w:val="008D039A"/>
    <w:rsid w:val="008D31D6"/>
    <w:rsid w:val="008D7BBE"/>
    <w:rsid w:val="008D7F3C"/>
    <w:rsid w:val="008E1A79"/>
    <w:rsid w:val="008E47F1"/>
    <w:rsid w:val="008F0EC5"/>
    <w:rsid w:val="008F5FBE"/>
    <w:rsid w:val="008F69AE"/>
    <w:rsid w:val="009065CB"/>
    <w:rsid w:val="00913643"/>
    <w:rsid w:val="009161A8"/>
    <w:rsid w:val="00921455"/>
    <w:rsid w:val="00927B4B"/>
    <w:rsid w:val="00927D7C"/>
    <w:rsid w:val="0093503A"/>
    <w:rsid w:val="0093581F"/>
    <w:rsid w:val="00935844"/>
    <w:rsid w:val="00935AFE"/>
    <w:rsid w:val="00935BDF"/>
    <w:rsid w:val="00941BEB"/>
    <w:rsid w:val="009440DB"/>
    <w:rsid w:val="00953121"/>
    <w:rsid w:val="00954468"/>
    <w:rsid w:val="00956301"/>
    <w:rsid w:val="00960DA2"/>
    <w:rsid w:val="00966544"/>
    <w:rsid w:val="009727C8"/>
    <w:rsid w:val="00975833"/>
    <w:rsid w:val="009764C4"/>
    <w:rsid w:val="00977156"/>
    <w:rsid w:val="00977E0A"/>
    <w:rsid w:val="00981F63"/>
    <w:rsid w:val="00983AE5"/>
    <w:rsid w:val="00983DA9"/>
    <w:rsid w:val="00986890"/>
    <w:rsid w:val="00987072"/>
    <w:rsid w:val="00993AE2"/>
    <w:rsid w:val="0099578A"/>
    <w:rsid w:val="00995B24"/>
    <w:rsid w:val="009A0382"/>
    <w:rsid w:val="009A5590"/>
    <w:rsid w:val="009A62DA"/>
    <w:rsid w:val="009B1822"/>
    <w:rsid w:val="009B1D2A"/>
    <w:rsid w:val="009B24CB"/>
    <w:rsid w:val="009B5F5F"/>
    <w:rsid w:val="009B667F"/>
    <w:rsid w:val="009B7A3B"/>
    <w:rsid w:val="009D7ABC"/>
    <w:rsid w:val="009E0E83"/>
    <w:rsid w:val="009E1EC8"/>
    <w:rsid w:val="009E29DE"/>
    <w:rsid w:val="009E2A36"/>
    <w:rsid w:val="009E50BA"/>
    <w:rsid w:val="009E7408"/>
    <w:rsid w:val="009F0A71"/>
    <w:rsid w:val="009F1001"/>
    <w:rsid w:val="009F2248"/>
    <w:rsid w:val="009F35F9"/>
    <w:rsid w:val="009F4CED"/>
    <w:rsid w:val="00A00725"/>
    <w:rsid w:val="00A02BA0"/>
    <w:rsid w:val="00A041D2"/>
    <w:rsid w:val="00A10EFE"/>
    <w:rsid w:val="00A119F3"/>
    <w:rsid w:val="00A13372"/>
    <w:rsid w:val="00A14D6A"/>
    <w:rsid w:val="00A16569"/>
    <w:rsid w:val="00A2045A"/>
    <w:rsid w:val="00A271DF"/>
    <w:rsid w:val="00A31DA1"/>
    <w:rsid w:val="00A32AE1"/>
    <w:rsid w:val="00A412D1"/>
    <w:rsid w:val="00A43EDD"/>
    <w:rsid w:val="00A45FCF"/>
    <w:rsid w:val="00A50252"/>
    <w:rsid w:val="00A51B03"/>
    <w:rsid w:val="00A52A62"/>
    <w:rsid w:val="00A55987"/>
    <w:rsid w:val="00A57635"/>
    <w:rsid w:val="00A6130B"/>
    <w:rsid w:val="00A61EB2"/>
    <w:rsid w:val="00A63D54"/>
    <w:rsid w:val="00A65E9A"/>
    <w:rsid w:val="00A66A26"/>
    <w:rsid w:val="00A670A4"/>
    <w:rsid w:val="00A71F29"/>
    <w:rsid w:val="00A72942"/>
    <w:rsid w:val="00A76900"/>
    <w:rsid w:val="00A845D0"/>
    <w:rsid w:val="00A8637E"/>
    <w:rsid w:val="00A92711"/>
    <w:rsid w:val="00A93872"/>
    <w:rsid w:val="00A97DA3"/>
    <w:rsid w:val="00AA78CB"/>
    <w:rsid w:val="00AB0C90"/>
    <w:rsid w:val="00AB4EA3"/>
    <w:rsid w:val="00AB5BF8"/>
    <w:rsid w:val="00AC2275"/>
    <w:rsid w:val="00AC3D3C"/>
    <w:rsid w:val="00AC525E"/>
    <w:rsid w:val="00AD039F"/>
    <w:rsid w:val="00AD07C2"/>
    <w:rsid w:val="00AD0D25"/>
    <w:rsid w:val="00AD0E0A"/>
    <w:rsid w:val="00AD4ED5"/>
    <w:rsid w:val="00AD505B"/>
    <w:rsid w:val="00AD5920"/>
    <w:rsid w:val="00AD69E7"/>
    <w:rsid w:val="00AE5B87"/>
    <w:rsid w:val="00AF1271"/>
    <w:rsid w:val="00AF2845"/>
    <w:rsid w:val="00AF6820"/>
    <w:rsid w:val="00AF6977"/>
    <w:rsid w:val="00AF6B37"/>
    <w:rsid w:val="00B02F65"/>
    <w:rsid w:val="00B03F83"/>
    <w:rsid w:val="00B069B2"/>
    <w:rsid w:val="00B1351B"/>
    <w:rsid w:val="00B15412"/>
    <w:rsid w:val="00B21404"/>
    <w:rsid w:val="00B22466"/>
    <w:rsid w:val="00B232CB"/>
    <w:rsid w:val="00B255ED"/>
    <w:rsid w:val="00B35981"/>
    <w:rsid w:val="00B35B6A"/>
    <w:rsid w:val="00B4651C"/>
    <w:rsid w:val="00B475A0"/>
    <w:rsid w:val="00B53D90"/>
    <w:rsid w:val="00B602FD"/>
    <w:rsid w:val="00B624F7"/>
    <w:rsid w:val="00B663EB"/>
    <w:rsid w:val="00B67138"/>
    <w:rsid w:val="00B67413"/>
    <w:rsid w:val="00B71767"/>
    <w:rsid w:val="00B7306B"/>
    <w:rsid w:val="00B739DB"/>
    <w:rsid w:val="00B8578E"/>
    <w:rsid w:val="00B87CF8"/>
    <w:rsid w:val="00B910B6"/>
    <w:rsid w:val="00B948DA"/>
    <w:rsid w:val="00B968B1"/>
    <w:rsid w:val="00B96A76"/>
    <w:rsid w:val="00BA0E8D"/>
    <w:rsid w:val="00BA20DD"/>
    <w:rsid w:val="00BA6856"/>
    <w:rsid w:val="00BC1C4E"/>
    <w:rsid w:val="00BC358F"/>
    <w:rsid w:val="00BD3C20"/>
    <w:rsid w:val="00BD592F"/>
    <w:rsid w:val="00BD5F36"/>
    <w:rsid w:val="00BE0328"/>
    <w:rsid w:val="00BE18F0"/>
    <w:rsid w:val="00BE29CB"/>
    <w:rsid w:val="00BE2C07"/>
    <w:rsid w:val="00BE42A6"/>
    <w:rsid w:val="00BE575A"/>
    <w:rsid w:val="00BE6FCE"/>
    <w:rsid w:val="00BF0182"/>
    <w:rsid w:val="00BF0377"/>
    <w:rsid w:val="00BF196B"/>
    <w:rsid w:val="00BF5E84"/>
    <w:rsid w:val="00C00317"/>
    <w:rsid w:val="00C10FBA"/>
    <w:rsid w:val="00C17BFA"/>
    <w:rsid w:val="00C25D37"/>
    <w:rsid w:val="00C27410"/>
    <w:rsid w:val="00C31559"/>
    <w:rsid w:val="00C34F0C"/>
    <w:rsid w:val="00C5111D"/>
    <w:rsid w:val="00C5674E"/>
    <w:rsid w:val="00C57B38"/>
    <w:rsid w:val="00C66B6B"/>
    <w:rsid w:val="00C67A11"/>
    <w:rsid w:val="00C72B1D"/>
    <w:rsid w:val="00C75938"/>
    <w:rsid w:val="00C80FFB"/>
    <w:rsid w:val="00C81306"/>
    <w:rsid w:val="00C81C5D"/>
    <w:rsid w:val="00C82B71"/>
    <w:rsid w:val="00C849DA"/>
    <w:rsid w:val="00C86611"/>
    <w:rsid w:val="00C91A1C"/>
    <w:rsid w:val="00C97742"/>
    <w:rsid w:val="00CA29B3"/>
    <w:rsid w:val="00CA4006"/>
    <w:rsid w:val="00CA6AE7"/>
    <w:rsid w:val="00CA70B3"/>
    <w:rsid w:val="00CB01AF"/>
    <w:rsid w:val="00CB1E5C"/>
    <w:rsid w:val="00CB26E7"/>
    <w:rsid w:val="00CB2C0F"/>
    <w:rsid w:val="00CB67AB"/>
    <w:rsid w:val="00CC1D8F"/>
    <w:rsid w:val="00CC6197"/>
    <w:rsid w:val="00CD1B6E"/>
    <w:rsid w:val="00CD241C"/>
    <w:rsid w:val="00CD24EF"/>
    <w:rsid w:val="00CD2CA4"/>
    <w:rsid w:val="00CE02AF"/>
    <w:rsid w:val="00CF4061"/>
    <w:rsid w:val="00CF5CDA"/>
    <w:rsid w:val="00CF7604"/>
    <w:rsid w:val="00CF78B6"/>
    <w:rsid w:val="00D0667F"/>
    <w:rsid w:val="00D14489"/>
    <w:rsid w:val="00D153E8"/>
    <w:rsid w:val="00D272C3"/>
    <w:rsid w:val="00D30C38"/>
    <w:rsid w:val="00D370D7"/>
    <w:rsid w:val="00D372FA"/>
    <w:rsid w:val="00D37DCA"/>
    <w:rsid w:val="00D422A7"/>
    <w:rsid w:val="00D54DD3"/>
    <w:rsid w:val="00D56876"/>
    <w:rsid w:val="00D62363"/>
    <w:rsid w:val="00D62EE9"/>
    <w:rsid w:val="00D62F56"/>
    <w:rsid w:val="00D64F8C"/>
    <w:rsid w:val="00D66BA3"/>
    <w:rsid w:val="00D66F13"/>
    <w:rsid w:val="00D715CD"/>
    <w:rsid w:val="00D71813"/>
    <w:rsid w:val="00D71A21"/>
    <w:rsid w:val="00D7458A"/>
    <w:rsid w:val="00D75D3B"/>
    <w:rsid w:val="00D80BF7"/>
    <w:rsid w:val="00D840DD"/>
    <w:rsid w:val="00D85071"/>
    <w:rsid w:val="00D8526A"/>
    <w:rsid w:val="00D921C0"/>
    <w:rsid w:val="00D92632"/>
    <w:rsid w:val="00D94EC1"/>
    <w:rsid w:val="00DA0FDA"/>
    <w:rsid w:val="00DA4315"/>
    <w:rsid w:val="00DA63D9"/>
    <w:rsid w:val="00DC0126"/>
    <w:rsid w:val="00DC0BB5"/>
    <w:rsid w:val="00DC33FB"/>
    <w:rsid w:val="00DC585C"/>
    <w:rsid w:val="00DD4F78"/>
    <w:rsid w:val="00DD518D"/>
    <w:rsid w:val="00DE31A0"/>
    <w:rsid w:val="00DE6F0D"/>
    <w:rsid w:val="00DF379B"/>
    <w:rsid w:val="00E00C71"/>
    <w:rsid w:val="00E07B72"/>
    <w:rsid w:val="00E13C09"/>
    <w:rsid w:val="00E153EE"/>
    <w:rsid w:val="00E22ED6"/>
    <w:rsid w:val="00E24843"/>
    <w:rsid w:val="00E309ED"/>
    <w:rsid w:val="00E41E53"/>
    <w:rsid w:val="00E4339B"/>
    <w:rsid w:val="00E448EB"/>
    <w:rsid w:val="00E52B5B"/>
    <w:rsid w:val="00E56ABC"/>
    <w:rsid w:val="00E6213C"/>
    <w:rsid w:val="00E71F71"/>
    <w:rsid w:val="00E7430E"/>
    <w:rsid w:val="00E77449"/>
    <w:rsid w:val="00E77EC1"/>
    <w:rsid w:val="00E8353D"/>
    <w:rsid w:val="00E86D8C"/>
    <w:rsid w:val="00E9016C"/>
    <w:rsid w:val="00E90B77"/>
    <w:rsid w:val="00E916EC"/>
    <w:rsid w:val="00E93F57"/>
    <w:rsid w:val="00E97A62"/>
    <w:rsid w:val="00EA1A47"/>
    <w:rsid w:val="00EB2A04"/>
    <w:rsid w:val="00EC2D58"/>
    <w:rsid w:val="00EC57DB"/>
    <w:rsid w:val="00EC5C8F"/>
    <w:rsid w:val="00ED4924"/>
    <w:rsid w:val="00ED6F58"/>
    <w:rsid w:val="00EE0E6D"/>
    <w:rsid w:val="00EE532D"/>
    <w:rsid w:val="00EE5963"/>
    <w:rsid w:val="00EE788E"/>
    <w:rsid w:val="00EF2B98"/>
    <w:rsid w:val="00EF2F19"/>
    <w:rsid w:val="00EF6F36"/>
    <w:rsid w:val="00F12196"/>
    <w:rsid w:val="00F16C6C"/>
    <w:rsid w:val="00F20614"/>
    <w:rsid w:val="00F234F4"/>
    <w:rsid w:val="00F3053F"/>
    <w:rsid w:val="00F363A5"/>
    <w:rsid w:val="00F522F8"/>
    <w:rsid w:val="00F52B8A"/>
    <w:rsid w:val="00F5473E"/>
    <w:rsid w:val="00F558DB"/>
    <w:rsid w:val="00F6145F"/>
    <w:rsid w:val="00F62E95"/>
    <w:rsid w:val="00F64ECF"/>
    <w:rsid w:val="00F72024"/>
    <w:rsid w:val="00F72AC6"/>
    <w:rsid w:val="00F73AFB"/>
    <w:rsid w:val="00F74261"/>
    <w:rsid w:val="00F742F9"/>
    <w:rsid w:val="00F77189"/>
    <w:rsid w:val="00F83348"/>
    <w:rsid w:val="00F8504A"/>
    <w:rsid w:val="00F90A59"/>
    <w:rsid w:val="00F93DF3"/>
    <w:rsid w:val="00F95B6B"/>
    <w:rsid w:val="00F96160"/>
    <w:rsid w:val="00F97E45"/>
    <w:rsid w:val="00FA5F84"/>
    <w:rsid w:val="00FB0773"/>
    <w:rsid w:val="00FB754A"/>
    <w:rsid w:val="00FB75FC"/>
    <w:rsid w:val="00FC25C9"/>
    <w:rsid w:val="00FC4315"/>
    <w:rsid w:val="00FC4EBA"/>
    <w:rsid w:val="00FD044B"/>
    <w:rsid w:val="00FD089E"/>
    <w:rsid w:val="00FD0A73"/>
    <w:rsid w:val="00FD188B"/>
    <w:rsid w:val="00FD3742"/>
    <w:rsid w:val="00FD3F09"/>
    <w:rsid w:val="00FD4203"/>
    <w:rsid w:val="00FE1CB2"/>
    <w:rsid w:val="00FE4575"/>
    <w:rsid w:val="00FE57A7"/>
    <w:rsid w:val="00FE6C2B"/>
    <w:rsid w:val="00FF3E2A"/>
    <w:rsid w:val="00FF7B32"/>
    <w:rsid w:val="04620A2A"/>
    <w:rsid w:val="060AB4AC"/>
    <w:rsid w:val="07C5797E"/>
    <w:rsid w:val="0CEBC4A6"/>
    <w:rsid w:val="0FD5C358"/>
    <w:rsid w:val="109FAC84"/>
    <w:rsid w:val="11C43B69"/>
    <w:rsid w:val="164DA327"/>
    <w:rsid w:val="191A973F"/>
    <w:rsid w:val="1F1F4131"/>
    <w:rsid w:val="2212B872"/>
    <w:rsid w:val="29DD7E8A"/>
    <w:rsid w:val="2A949989"/>
    <w:rsid w:val="2B0EE027"/>
    <w:rsid w:val="2E472D39"/>
    <w:rsid w:val="3331A45D"/>
    <w:rsid w:val="33CC55B1"/>
    <w:rsid w:val="342883F4"/>
    <w:rsid w:val="34D6A2D3"/>
    <w:rsid w:val="360598FE"/>
    <w:rsid w:val="37ABB431"/>
    <w:rsid w:val="39C5F1B1"/>
    <w:rsid w:val="3C0DDE98"/>
    <w:rsid w:val="3E78041A"/>
    <w:rsid w:val="3E9036D3"/>
    <w:rsid w:val="42CB989F"/>
    <w:rsid w:val="431C93D1"/>
    <w:rsid w:val="45208466"/>
    <w:rsid w:val="4592D1EB"/>
    <w:rsid w:val="4600C2B1"/>
    <w:rsid w:val="4791192B"/>
    <w:rsid w:val="47F0C069"/>
    <w:rsid w:val="4DB6C5EB"/>
    <w:rsid w:val="50F215A3"/>
    <w:rsid w:val="524DF697"/>
    <w:rsid w:val="53BC99E6"/>
    <w:rsid w:val="54CD9106"/>
    <w:rsid w:val="564B937C"/>
    <w:rsid w:val="5A05C335"/>
    <w:rsid w:val="5AD18237"/>
    <w:rsid w:val="5ED6711E"/>
    <w:rsid w:val="5EE906F3"/>
    <w:rsid w:val="5FAD92A0"/>
    <w:rsid w:val="61126573"/>
    <w:rsid w:val="61171675"/>
    <w:rsid w:val="64A144F5"/>
    <w:rsid w:val="67241CC5"/>
    <w:rsid w:val="67CEC6BD"/>
    <w:rsid w:val="6B91C492"/>
    <w:rsid w:val="6BC2F8F1"/>
    <w:rsid w:val="6D5FA32C"/>
    <w:rsid w:val="6E383CFE"/>
    <w:rsid w:val="716EE0D6"/>
    <w:rsid w:val="72030B4A"/>
    <w:rsid w:val="72567A31"/>
    <w:rsid w:val="735B18C4"/>
    <w:rsid w:val="7424ECDA"/>
    <w:rsid w:val="75D2F17F"/>
    <w:rsid w:val="7778821D"/>
    <w:rsid w:val="779CF077"/>
    <w:rsid w:val="7AD52D11"/>
    <w:rsid w:val="7B0309EE"/>
    <w:rsid w:val="7B610A16"/>
    <w:rsid w:val="7C053688"/>
    <w:rsid w:val="7E8CF3A7"/>
    <w:rsid w:val="7EB2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1419"/>
  <w15:docId w15:val="{FDA611CA-7C68-4BB0-BDB0-03EDB927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37DCA"/>
  </w:style>
  <w:style w:type="paragraph" w:styleId="Titolo1">
    <w:name w:val="heading 1"/>
    <w:basedOn w:val="Normale"/>
    <w:next w:val="Normale"/>
    <w:link w:val="Titolo1Carattere"/>
    <w:uiPriority w:val="9"/>
    <w:qFormat/>
    <w:rsid w:val="00271ED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Titolo2">
    <w:name w:val="heading 2"/>
    <w:basedOn w:val="Normale"/>
    <w:next w:val="Normale"/>
    <w:link w:val="Titolo2Carattere"/>
    <w:uiPriority w:val="9"/>
    <w:unhideWhenUsed/>
    <w:qFormat/>
    <w:rsid w:val="00E77E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6977"/>
    <w:rPr>
      <w:color w:val="0000FF" w:themeColor="hyperlink"/>
      <w:u w:val="single"/>
    </w:rPr>
  </w:style>
  <w:style w:type="paragraph" w:styleId="Paragrafoelenco">
    <w:name w:val="List Paragraph"/>
    <w:basedOn w:val="Normale"/>
    <w:uiPriority w:val="34"/>
    <w:qFormat/>
    <w:rsid w:val="001738A0"/>
    <w:pPr>
      <w:ind w:left="720"/>
      <w:contextualSpacing/>
    </w:pPr>
  </w:style>
  <w:style w:type="character" w:customStyle="1" w:styleId="Titolo1Carattere">
    <w:name w:val="Titolo 1 Carattere"/>
    <w:basedOn w:val="Carpredefinitoparagrafo"/>
    <w:link w:val="Titolo1"/>
    <w:uiPriority w:val="9"/>
    <w:rsid w:val="00271ED3"/>
    <w:rPr>
      <w:rFonts w:asciiTheme="majorHAnsi" w:eastAsiaTheme="majorEastAsia" w:hAnsiTheme="majorHAnsi" w:cstheme="majorBidi"/>
      <w:color w:val="365F91" w:themeColor="accent1" w:themeShade="BF"/>
      <w:sz w:val="32"/>
      <w:szCs w:val="32"/>
      <w:lang w:val="en-US" w:eastAsia="en-US"/>
    </w:rPr>
  </w:style>
  <w:style w:type="paragraph" w:styleId="Testonotaapidipagina">
    <w:name w:val="footnote text"/>
    <w:basedOn w:val="Normale"/>
    <w:link w:val="TestonotaapidipaginaCarattere"/>
    <w:uiPriority w:val="99"/>
    <w:unhideWhenUsed/>
    <w:rsid w:val="00271ED3"/>
    <w:pPr>
      <w:spacing w:after="0" w:line="240" w:lineRule="auto"/>
    </w:pPr>
    <w:rPr>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271ED3"/>
    <w:rPr>
      <w:sz w:val="20"/>
      <w:szCs w:val="20"/>
      <w:lang w:val="en-US" w:eastAsia="en-US"/>
    </w:rPr>
  </w:style>
  <w:style w:type="character" w:styleId="Rimandonotaapidipagina">
    <w:name w:val="footnote reference"/>
    <w:basedOn w:val="Carpredefinitoparagrafo"/>
    <w:uiPriority w:val="99"/>
    <w:semiHidden/>
    <w:unhideWhenUsed/>
    <w:rsid w:val="00271ED3"/>
    <w:rPr>
      <w:vertAlign w:val="superscript"/>
    </w:rPr>
  </w:style>
  <w:style w:type="paragraph" w:styleId="Intestazione">
    <w:name w:val="header"/>
    <w:basedOn w:val="Normale"/>
    <w:link w:val="IntestazioneCarattere"/>
    <w:uiPriority w:val="99"/>
    <w:unhideWhenUsed/>
    <w:rsid w:val="00EE78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788E"/>
  </w:style>
  <w:style w:type="paragraph" w:styleId="Pidipagina">
    <w:name w:val="footer"/>
    <w:basedOn w:val="Normale"/>
    <w:link w:val="PidipaginaCarattere"/>
    <w:uiPriority w:val="99"/>
    <w:unhideWhenUsed/>
    <w:rsid w:val="00EE78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788E"/>
  </w:style>
  <w:style w:type="paragraph" w:styleId="Testofumetto">
    <w:name w:val="Balloon Text"/>
    <w:basedOn w:val="Normale"/>
    <w:link w:val="TestofumettoCarattere"/>
    <w:uiPriority w:val="99"/>
    <w:semiHidden/>
    <w:unhideWhenUsed/>
    <w:rsid w:val="007804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04BD"/>
    <w:rPr>
      <w:rFonts w:ascii="Tahoma" w:hAnsi="Tahoma" w:cs="Tahoma"/>
      <w:sz w:val="16"/>
      <w:szCs w:val="16"/>
    </w:rPr>
  </w:style>
  <w:style w:type="paragraph" w:styleId="Didascalia">
    <w:name w:val="caption"/>
    <w:basedOn w:val="Normale"/>
    <w:next w:val="Normale"/>
    <w:uiPriority w:val="35"/>
    <w:unhideWhenUsed/>
    <w:qFormat/>
    <w:rsid w:val="00E77EC1"/>
    <w:pPr>
      <w:spacing w:line="240" w:lineRule="auto"/>
    </w:pPr>
    <w:rPr>
      <w:i/>
      <w:iCs/>
      <w:color w:val="1F497D" w:themeColor="text2"/>
      <w:sz w:val="18"/>
      <w:szCs w:val="18"/>
    </w:rPr>
  </w:style>
  <w:style w:type="character" w:customStyle="1" w:styleId="Titolo2Carattere">
    <w:name w:val="Titolo 2 Carattere"/>
    <w:basedOn w:val="Carpredefinitoparagrafo"/>
    <w:link w:val="Titolo2"/>
    <w:uiPriority w:val="9"/>
    <w:rsid w:val="00E77EC1"/>
    <w:rPr>
      <w:rFonts w:asciiTheme="majorHAnsi" w:eastAsiaTheme="majorEastAsia" w:hAnsiTheme="majorHAnsi" w:cstheme="majorBidi"/>
      <w:color w:val="365F91" w:themeColor="accent1" w:themeShade="BF"/>
      <w:sz w:val="26"/>
      <w:szCs w:val="26"/>
    </w:rPr>
  </w:style>
  <w:style w:type="character" w:styleId="Testosegnaposto">
    <w:name w:val="Placeholder Text"/>
    <w:basedOn w:val="Carpredefinitoparagrafo"/>
    <w:uiPriority w:val="99"/>
    <w:semiHidden/>
    <w:rsid w:val="003224E0"/>
    <w:rPr>
      <w:color w:val="808080"/>
    </w:rPr>
  </w:style>
  <w:style w:type="table" w:styleId="Grigliatabella">
    <w:name w:val="Table Grid"/>
    <w:basedOn w:val="Tabellanormale"/>
    <w:uiPriority w:val="59"/>
    <w:rsid w:val="009B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F196B"/>
    <w:rPr>
      <w:sz w:val="16"/>
      <w:szCs w:val="16"/>
    </w:rPr>
  </w:style>
  <w:style w:type="paragraph" w:styleId="Testocommento">
    <w:name w:val="annotation text"/>
    <w:basedOn w:val="Normale"/>
    <w:link w:val="TestocommentoCarattere"/>
    <w:uiPriority w:val="99"/>
    <w:semiHidden/>
    <w:unhideWhenUsed/>
    <w:rsid w:val="00BF196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196B"/>
    <w:rPr>
      <w:sz w:val="20"/>
      <w:szCs w:val="20"/>
    </w:rPr>
  </w:style>
  <w:style w:type="paragraph" w:styleId="Soggettocommento">
    <w:name w:val="annotation subject"/>
    <w:basedOn w:val="Testocommento"/>
    <w:next w:val="Testocommento"/>
    <w:link w:val="SoggettocommentoCarattere"/>
    <w:uiPriority w:val="99"/>
    <w:semiHidden/>
    <w:unhideWhenUsed/>
    <w:rsid w:val="00935BDF"/>
    <w:rPr>
      <w:b/>
      <w:bCs/>
    </w:rPr>
  </w:style>
  <w:style w:type="character" w:customStyle="1" w:styleId="SoggettocommentoCarattere">
    <w:name w:val="Soggetto commento Carattere"/>
    <w:basedOn w:val="TestocommentoCarattere"/>
    <w:link w:val="Soggettocommento"/>
    <w:uiPriority w:val="99"/>
    <w:semiHidden/>
    <w:rsid w:val="00935BDF"/>
    <w:rPr>
      <w:b/>
      <w:bCs/>
      <w:sz w:val="20"/>
      <w:szCs w:val="20"/>
    </w:rPr>
  </w:style>
  <w:style w:type="character" w:customStyle="1" w:styleId="Menzionenonrisolta1">
    <w:name w:val="Menzione non risolta1"/>
    <w:basedOn w:val="Carpredefinitoparagrafo"/>
    <w:uiPriority w:val="99"/>
    <w:semiHidden/>
    <w:unhideWhenUsed/>
    <w:rsid w:val="00193DE6"/>
    <w:rPr>
      <w:color w:val="605E5C"/>
      <w:shd w:val="clear" w:color="auto" w:fill="E1DFDD"/>
    </w:rPr>
  </w:style>
  <w:style w:type="character" w:styleId="Enfasicorsivo">
    <w:name w:val="Emphasis"/>
    <w:basedOn w:val="Carpredefinitoparagrafo"/>
    <w:uiPriority w:val="20"/>
    <w:qFormat/>
    <w:rsid w:val="008E1A79"/>
    <w:rPr>
      <w:i/>
      <w:iCs/>
    </w:rPr>
  </w:style>
  <w:style w:type="paragraph" w:styleId="Testonotadichiusura">
    <w:name w:val="endnote text"/>
    <w:basedOn w:val="Normale"/>
    <w:link w:val="TestonotadichiusuraCarattere"/>
    <w:uiPriority w:val="99"/>
    <w:semiHidden/>
    <w:unhideWhenUsed/>
    <w:rsid w:val="00F8504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8504A"/>
    <w:rPr>
      <w:sz w:val="20"/>
      <w:szCs w:val="20"/>
    </w:rPr>
  </w:style>
  <w:style w:type="character" w:styleId="Rimandonotadichiusura">
    <w:name w:val="endnote reference"/>
    <w:basedOn w:val="Carpredefinitoparagrafo"/>
    <w:uiPriority w:val="99"/>
    <w:semiHidden/>
    <w:unhideWhenUsed/>
    <w:rsid w:val="00F8504A"/>
    <w:rPr>
      <w:vertAlign w:val="superscript"/>
    </w:rPr>
  </w:style>
  <w:style w:type="character" w:styleId="Menzionenonrisolta">
    <w:name w:val="Unresolved Mention"/>
    <w:basedOn w:val="Carpredefinitoparagrafo"/>
    <w:uiPriority w:val="99"/>
    <w:semiHidden/>
    <w:unhideWhenUsed/>
    <w:rsid w:val="0006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786">
      <w:bodyDiv w:val="1"/>
      <w:marLeft w:val="0"/>
      <w:marRight w:val="0"/>
      <w:marTop w:val="0"/>
      <w:marBottom w:val="0"/>
      <w:divBdr>
        <w:top w:val="none" w:sz="0" w:space="0" w:color="auto"/>
        <w:left w:val="none" w:sz="0" w:space="0" w:color="auto"/>
        <w:bottom w:val="none" w:sz="0" w:space="0" w:color="auto"/>
        <w:right w:val="none" w:sz="0" w:space="0" w:color="auto"/>
      </w:divBdr>
      <w:divsChild>
        <w:div w:id="1248274058">
          <w:marLeft w:val="0"/>
          <w:marRight w:val="0"/>
          <w:marTop w:val="0"/>
          <w:marBottom w:val="0"/>
          <w:divBdr>
            <w:top w:val="none" w:sz="0" w:space="0" w:color="auto"/>
            <w:left w:val="none" w:sz="0" w:space="0" w:color="auto"/>
            <w:bottom w:val="none" w:sz="0" w:space="0" w:color="auto"/>
            <w:right w:val="none" w:sz="0" w:space="0" w:color="auto"/>
          </w:divBdr>
          <w:divsChild>
            <w:div w:id="1556358782">
              <w:marLeft w:val="0"/>
              <w:marRight w:val="0"/>
              <w:marTop w:val="0"/>
              <w:marBottom w:val="0"/>
              <w:divBdr>
                <w:top w:val="none" w:sz="0" w:space="0" w:color="auto"/>
                <w:left w:val="none" w:sz="0" w:space="0" w:color="auto"/>
                <w:bottom w:val="none" w:sz="0" w:space="0" w:color="auto"/>
                <w:right w:val="none" w:sz="0" w:space="0" w:color="auto"/>
              </w:divBdr>
              <w:divsChild>
                <w:div w:id="2008631287">
                  <w:marLeft w:val="0"/>
                  <w:marRight w:val="0"/>
                  <w:marTop w:val="0"/>
                  <w:marBottom w:val="0"/>
                  <w:divBdr>
                    <w:top w:val="single" w:sz="6" w:space="0" w:color="CCCCCC"/>
                    <w:left w:val="single" w:sz="6" w:space="0" w:color="CCCCCC"/>
                    <w:bottom w:val="single" w:sz="6" w:space="0" w:color="CCCCCC"/>
                    <w:right w:val="single" w:sz="6" w:space="0" w:color="CCCCCC"/>
                  </w:divBdr>
                  <w:divsChild>
                    <w:div w:id="167209387">
                      <w:marLeft w:val="0"/>
                      <w:marRight w:val="0"/>
                      <w:marTop w:val="0"/>
                      <w:marBottom w:val="0"/>
                      <w:divBdr>
                        <w:top w:val="none" w:sz="0" w:space="0" w:color="auto"/>
                        <w:left w:val="none" w:sz="0" w:space="0" w:color="auto"/>
                        <w:bottom w:val="none" w:sz="0" w:space="0" w:color="auto"/>
                        <w:right w:val="none" w:sz="0" w:space="0" w:color="auto"/>
                      </w:divBdr>
                      <w:divsChild>
                        <w:div w:id="62528034">
                          <w:marLeft w:val="0"/>
                          <w:marRight w:val="0"/>
                          <w:marTop w:val="0"/>
                          <w:marBottom w:val="0"/>
                          <w:divBdr>
                            <w:top w:val="none" w:sz="0" w:space="0" w:color="auto"/>
                            <w:left w:val="none" w:sz="0" w:space="0" w:color="auto"/>
                            <w:bottom w:val="none" w:sz="0" w:space="0" w:color="auto"/>
                            <w:right w:val="none" w:sz="0" w:space="0" w:color="auto"/>
                          </w:divBdr>
                          <w:divsChild>
                            <w:div w:id="734014227">
                              <w:marLeft w:val="0"/>
                              <w:marRight w:val="0"/>
                              <w:marTop w:val="0"/>
                              <w:marBottom w:val="0"/>
                              <w:divBdr>
                                <w:top w:val="none" w:sz="0" w:space="0" w:color="auto"/>
                                <w:left w:val="none" w:sz="0" w:space="0" w:color="auto"/>
                                <w:bottom w:val="none" w:sz="0" w:space="0" w:color="auto"/>
                                <w:right w:val="none" w:sz="0" w:space="0" w:color="auto"/>
                              </w:divBdr>
                              <w:divsChild>
                                <w:div w:id="3604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234">
      <w:bodyDiv w:val="1"/>
      <w:marLeft w:val="0"/>
      <w:marRight w:val="0"/>
      <w:marTop w:val="0"/>
      <w:marBottom w:val="0"/>
      <w:divBdr>
        <w:top w:val="none" w:sz="0" w:space="0" w:color="auto"/>
        <w:left w:val="none" w:sz="0" w:space="0" w:color="auto"/>
        <w:bottom w:val="none" w:sz="0" w:space="0" w:color="auto"/>
        <w:right w:val="none" w:sz="0" w:space="0" w:color="auto"/>
      </w:divBdr>
      <w:divsChild>
        <w:div w:id="1348289287">
          <w:marLeft w:val="0"/>
          <w:marRight w:val="0"/>
          <w:marTop w:val="0"/>
          <w:marBottom w:val="0"/>
          <w:divBdr>
            <w:top w:val="none" w:sz="0" w:space="0" w:color="auto"/>
            <w:left w:val="none" w:sz="0" w:space="0" w:color="auto"/>
            <w:bottom w:val="none" w:sz="0" w:space="0" w:color="auto"/>
            <w:right w:val="none" w:sz="0" w:space="0" w:color="auto"/>
          </w:divBdr>
          <w:divsChild>
            <w:div w:id="2114937381">
              <w:marLeft w:val="0"/>
              <w:marRight w:val="0"/>
              <w:marTop w:val="0"/>
              <w:marBottom w:val="0"/>
              <w:divBdr>
                <w:top w:val="none" w:sz="0" w:space="0" w:color="auto"/>
                <w:left w:val="none" w:sz="0" w:space="0" w:color="auto"/>
                <w:bottom w:val="none" w:sz="0" w:space="0" w:color="auto"/>
                <w:right w:val="none" w:sz="0" w:space="0" w:color="auto"/>
              </w:divBdr>
              <w:divsChild>
                <w:div w:id="2124184951">
                  <w:marLeft w:val="0"/>
                  <w:marRight w:val="0"/>
                  <w:marTop w:val="0"/>
                  <w:marBottom w:val="0"/>
                  <w:divBdr>
                    <w:top w:val="single" w:sz="6" w:space="0" w:color="CCCCCC"/>
                    <w:left w:val="single" w:sz="6" w:space="0" w:color="CCCCCC"/>
                    <w:bottom w:val="single" w:sz="6" w:space="0" w:color="CCCCCC"/>
                    <w:right w:val="single" w:sz="6" w:space="0" w:color="CCCCCC"/>
                  </w:divBdr>
                  <w:divsChild>
                    <w:div w:id="598610842">
                      <w:marLeft w:val="0"/>
                      <w:marRight w:val="0"/>
                      <w:marTop w:val="0"/>
                      <w:marBottom w:val="0"/>
                      <w:divBdr>
                        <w:top w:val="none" w:sz="0" w:space="0" w:color="auto"/>
                        <w:left w:val="none" w:sz="0" w:space="0" w:color="auto"/>
                        <w:bottom w:val="none" w:sz="0" w:space="0" w:color="auto"/>
                        <w:right w:val="none" w:sz="0" w:space="0" w:color="auto"/>
                      </w:divBdr>
                      <w:divsChild>
                        <w:div w:id="1819036648">
                          <w:marLeft w:val="0"/>
                          <w:marRight w:val="0"/>
                          <w:marTop w:val="0"/>
                          <w:marBottom w:val="0"/>
                          <w:divBdr>
                            <w:top w:val="none" w:sz="0" w:space="0" w:color="auto"/>
                            <w:left w:val="none" w:sz="0" w:space="0" w:color="auto"/>
                            <w:bottom w:val="none" w:sz="0" w:space="0" w:color="auto"/>
                            <w:right w:val="none" w:sz="0" w:space="0" w:color="auto"/>
                          </w:divBdr>
                          <w:divsChild>
                            <w:div w:id="406416378">
                              <w:marLeft w:val="0"/>
                              <w:marRight w:val="0"/>
                              <w:marTop w:val="0"/>
                              <w:marBottom w:val="0"/>
                              <w:divBdr>
                                <w:top w:val="none" w:sz="0" w:space="0" w:color="auto"/>
                                <w:left w:val="none" w:sz="0" w:space="0" w:color="auto"/>
                                <w:bottom w:val="none" w:sz="0" w:space="0" w:color="auto"/>
                                <w:right w:val="none" w:sz="0" w:space="0" w:color="auto"/>
                              </w:divBdr>
                              <w:divsChild>
                                <w:div w:id="19714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9704">
      <w:bodyDiv w:val="1"/>
      <w:marLeft w:val="0"/>
      <w:marRight w:val="0"/>
      <w:marTop w:val="0"/>
      <w:marBottom w:val="0"/>
      <w:divBdr>
        <w:top w:val="none" w:sz="0" w:space="0" w:color="auto"/>
        <w:left w:val="none" w:sz="0" w:space="0" w:color="auto"/>
        <w:bottom w:val="none" w:sz="0" w:space="0" w:color="auto"/>
        <w:right w:val="none" w:sz="0" w:space="0" w:color="auto"/>
      </w:divBdr>
      <w:divsChild>
        <w:div w:id="1149399752">
          <w:marLeft w:val="0"/>
          <w:marRight w:val="0"/>
          <w:marTop w:val="0"/>
          <w:marBottom w:val="0"/>
          <w:divBdr>
            <w:top w:val="none" w:sz="0" w:space="0" w:color="auto"/>
            <w:left w:val="none" w:sz="0" w:space="0" w:color="auto"/>
            <w:bottom w:val="none" w:sz="0" w:space="0" w:color="auto"/>
            <w:right w:val="none" w:sz="0" w:space="0" w:color="auto"/>
          </w:divBdr>
          <w:divsChild>
            <w:div w:id="1771585419">
              <w:marLeft w:val="0"/>
              <w:marRight w:val="0"/>
              <w:marTop w:val="0"/>
              <w:marBottom w:val="0"/>
              <w:divBdr>
                <w:top w:val="none" w:sz="0" w:space="0" w:color="auto"/>
                <w:left w:val="none" w:sz="0" w:space="0" w:color="auto"/>
                <w:bottom w:val="none" w:sz="0" w:space="0" w:color="auto"/>
                <w:right w:val="none" w:sz="0" w:space="0" w:color="auto"/>
              </w:divBdr>
              <w:divsChild>
                <w:div w:id="228224677">
                  <w:marLeft w:val="0"/>
                  <w:marRight w:val="0"/>
                  <w:marTop w:val="0"/>
                  <w:marBottom w:val="0"/>
                  <w:divBdr>
                    <w:top w:val="single" w:sz="6" w:space="0" w:color="CCCCCC"/>
                    <w:left w:val="single" w:sz="6" w:space="0" w:color="CCCCCC"/>
                    <w:bottom w:val="single" w:sz="6" w:space="0" w:color="CCCCCC"/>
                    <w:right w:val="single" w:sz="6" w:space="0" w:color="CCCCCC"/>
                  </w:divBdr>
                  <w:divsChild>
                    <w:div w:id="1967195483">
                      <w:marLeft w:val="0"/>
                      <w:marRight w:val="0"/>
                      <w:marTop w:val="0"/>
                      <w:marBottom w:val="0"/>
                      <w:divBdr>
                        <w:top w:val="none" w:sz="0" w:space="0" w:color="auto"/>
                        <w:left w:val="none" w:sz="0" w:space="0" w:color="auto"/>
                        <w:bottom w:val="none" w:sz="0" w:space="0" w:color="auto"/>
                        <w:right w:val="none" w:sz="0" w:space="0" w:color="auto"/>
                      </w:divBdr>
                      <w:divsChild>
                        <w:div w:id="1054739426">
                          <w:marLeft w:val="0"/>
                          <w:marRight w:val="0"/>
                          <w:marTop w:val="0"/>
                          <w:marBottom w:val="0"/>
                          <w:divBdr>
                            <w:top w:val="none" w:sz="0" w:space="0" w:color="auto"/>
                            <w:left w:val="none" w:sz="0" w:space="0" w:color="auto"/>
                            <w:bottom w:val="none" w:sz="0" w:space="0" w:color="auto"/>
                            <w:right w:val="none" w:sz="0" w:space="0" w:color="auto"/>
                          </w:divBdr>
                          <w:divsChild>
                            <w:div w:id="1108624807">
                              <w:marLeft w:val="0"/>
                              <w:marRight w:val="0"/>
                              <w:marTop w:val="0"/>
                              <w:marBottom w:val="0"/>
                              <w:divBdr>
                                <w:top w:val="none" w:sz="0" w:space="0" w:color="auto"/>
                                <w:left w:val="none" w:sz="0" w:space="0" w:color="auto"/>
                                <w:bottom w:val="none" w:sz="0" w:space="0" w:color="auto"/>
                                <w:right w:val="none" w:sz="0" w:space="0" w:color="auto"/>
                              </w:divBdr>
                              <w:divsChild>
                                <w:div w:id="368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2625">
      <w:bodyDiv w:val="1"/>
      <w:marLeft w:val="0"/>
      <w:marRight w:val="0"/>
      <w:marTop w:val="0"/>
      <w:marBottom w:val="0"/>
      <w:divBdr>
        <w:top w:val="none" w:sz="0" w:space="0" w:color="auto"/>
        <w:left w:val="none" w:sz="0" w:space="0" w:color="auto"/>
        <w:bottom w:val="none" w:sz="0" w:space="0" w:color="auto"/>
        <w:right w:val="none" w:sz="0" w:space="0" w:color="auto"/>
      </w:divBdr>
      <w:divsChild>
        <w:div w:id="541865588">
          <w:marLeft w:val="0"/>
          <w:marRight w:val="0"/>
          <w:marTop w:val="0"/>
          <w:marBottom w:val="0"/>
          <w:divBdr>
            <w:top w:val="none" w:sz="0" w:space="0" w:color="auto"/>
            <w:left w:val="none" w:sz="0" w:space="0" w:color="auto"/>
            <w:bottom w:val="none" w:sz="0" w:space="0" w:color="auto"/>
            <w:right w:val="none" w:sz="0" w:space="0" w:color="auto"/>
          </w:divBdr>
          <w:divsChild>
            <w:div w:id="1649045286">
              <w:marLeft w:val="0"/>
              <w:marRight w:val="0"/>
              <w:marTop w:val="0"/>
              <w:marBottom w:val="0"/>
              <w:divBdr>
                <w:top w:val="none" w:sz="0" w:space="0" w:color="auto"/>
                <w:left w:val="none" w:sz="0" w:space="0" w:color="auto"/>
                <w:bottom w:val="none" w:sz="0" w:space="0" w:color="auto"/>
                <w:right w:val="none" w:sz="0" w:space="0" w:color="auto"/>
              </w:divBdr>
              <w:divsChild>
                <w:div w:id="916674896">
                  <w:marLeft w:val="0"/>
                  <w:marRight w:val="0"/>
                  <w:marTop w:val="0"/>
                  <w:marBottom w:val="0"/>
                  <w:divBdr>
                    <w:top w:val="single" w:sz="6" w:space="0" w:color="CCCCCC"/>
                    <w:left w:val="single" w:sz="6" w:space="0" w:color="CCCCCC"/>
                    <w:bottom w:val="single" w:sz="6" w:space="0" w:color="CCCCCC"/>
                    <w:right w:val="single" w:sz="6" w:space="0" w:color="CCCCCC"/>
                  </w:divBdr>
                  <w:divsChild>
                    <w:div w:id="1971284487">
                      <w:marLeft w:val="0"/>
                      <w:marRight w:val="0"/>
                      <w:marTop w:val="0"/>
                      <w:marBottom w:val="0"/>
                      <w:divBdr>
                        <w:top w:val="none" w:sz="0" w:space="0" w:color="auto"/>
                        <w:left w:val="none" w:sz="0" w:space="0" w:color="auto"/>
                        <w:bottom w:val="none" w:sz="0" w:space="0" w:color="auto"/>
                        <w:right w:val="none" w:sz="0" w:space="0" w:color="auto"/>
                      </w:divBdr>
                      <w:divsChild>
                        <w:div w:id="1907496100">
                          <w:marLeft w:val="0"/>
                          <w:marRight w:val="0"/>
                          <w:marTop w:val="0"/>
                          <w:marBottom w:val="0"/>
                          <w:divBdr>
                            <w:top w:val="none" w:sz="0" w:space="0" w:color="auto"/>
                            <w:left w:val="none" w:sz="0" w:space="0" w:color="auto"/>
                            <w:bottom w:val="none" w:sz="0" w:space="0" w:color="auto"/>
                            <w:right w:val="none" w:sz="0" w:space="0" w:color="auto"/>
                          </w:divBdr>
                          <w:divsChild>
                            <w:div w:id="507906228">
                              <w:marLeft w:val="0"/>
                              <w:marRight w:val="0"/>
                              <w:marTop w:val="0"/>
                              <w:marBottom w:val="0"/>
                              <w:divBdr>
                                <w:top w:val="none" w:sz="0" w:space="0" w:color="auto"/>
                                <w:left w:val="none" w:sz="0" w:space="0" w:color="auto"/>
                                <w:bottom w:val="none" w:sz="0" w:space="0" w:color="auto"/>
                                <w:right w:val="none" w:sz="0" w:space="0" w:color="auto"/>
                              </w:divBdr>
                              <w:divsChild>
                                <w:div w:id="137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7764">
      <w:bodyDiv w:val="1"/>
      <w:marLeft w:val="0"/>
      <w:marRight w:val="0"/>
      <w:marTop w:val="0"/>
      <w:marBottom w:val="0"/>
      <w:divBdr>
        <w:top w:val="none" w:sz="0" w:space="0" w:color="auto"/>
        <w:left w:val="none" w:sz="0" w:space="0" w:color="auto"/>
        <w:bottom w:val="none" w:sz="0" w:space="0" w:color="auto"/>
        <w:right w:val="none" w:sz="0" w:space="0" w:color="auto"/>
      </w:divBdr>
      <w:divsChild>
        <w:div w:id="1166432336">
          <w:marLeft w:val="0"/>
          <w:marRight w:val="0"/>
          <w:marTop w:val="0"/>
          <w:marBottom w:val="0"/>
          <w:divBdr>
            <w:top w:val="none" w:sz="0" w:space="0" w:color="auto"/>
            <w:left w:val="none" w:sz="0" w:space="0" w:color="auto"/>
            <w:bottom w:val="none" w:sz="0" w:space="0" w:color="auto"/>
            <w:right w:val="none" w:sz="0" w:space="0" w:color="auto"/>
          </w:divBdr>
          <w:divsChild>
            <w:div w:id="581531705">
              <w:marLeft w:val="0"/>
              <w:marRight w:val="0"/>
              <w:marTop w:val="0"/>
              <w:marBottom w:val="0"/>
              <w:divBdr>
                <w:top w:val="none" w:sz="0" w:space="0" w:color="auto"/>
                <w:left w:val="none" w:sz="0" w:space="0" w:color="auto"/>
                <w:bottom w:val="none" w:sz="0" w:space="0" w:color="auto"/>
                <w:right w:val="none" w:sz="0" w:space="0" w:color="auto"/>
              </w:divBdr>
              <w:divsChild>
                <w:div w:id="1642226893">
                  <w:marLeft w:val="0"/>
                  <w:marRight w:val="0"/>
                  <w:marTop w:val="0"/>
                  <w:marBottom w:val="0"/>
                  <w:divBdr>
                    <w:top w:val="single" w:sz="6" w:space="0" w:color="CCCCCC"/>
                    <w:left w:val="single" w:sz="6" w:space="0" w:color="CCCCCC"/>
                    <w:bottom w:val="single" w:sz="6" w:space="0" w:color="CCCCCC"/>
                    <w:right w:val="single" w:sz="6" w:space="0" w:color="CCCCCC"/>
                  </w:divBdr>
                  <w:divsChild>
                    <w:div w:id="45109740">
                      <w:marLeft w:val="0"/>
                      <w:marRight w:val="0"/>
                      <w:marTop w:val="0"/>
                      <w:marBottom w:val="0"/>
                      <w:divBdr>
                        <w:top w:val="none" w:sz="0" w:space="0" w:color="auto"/>
                        <w:left w:val="none" w:sz="0" w:space="0" w:color="auto"/>
                        <w:bottom w:val="none" w:sz="0" w:space="0" w:color="auto"/>
                        <w:right w:val="none" w:sz="0" w:space="0" w:color="auto"/>
                      </w:divBdr>
                      <w:divsChild>
                        <w:div w:id="908534459">
                          <w:marLeft w:val="0"/>
                          <w:marRight w:val="0"/>
                          <w:marTop w:val="0"/>
                          <w:marBottom w:val="0"/>
                          <w:divBdr>
                            <w:top w:val="none" w:sz="0" w:space="0" w:color="auto"/>
                            <w:left w:val="none" w:sz="0" w:space="0" w:color="auto"/>
                            <w:bottom w:val="none" w:sz="0" w:space="0" w:color="auto"/>
                            <w:right w:val="none" w:sz="0" w:space="0" w:color="auto"/>
                          </w:divBdr>
                          <w:divsChild>
                            <w:div w:id="24528719">
                              <w:marLeft w:val="0"/>
                              <w:marRight w:val="0"/>
                              <w:marTop w:val="0"/>
                              <w:marBottom w:val="0"/>
                              <w:divBdr>
                                <w:top w:val="none" w:sz="0" w:space="0" w:color="auto"/>
                                <w:left w:val="none" w:sz="0" w:space="0" w:color="auto"/>
                                <w:bottom w:val="none" w:sz="0" w:space="0" w:color="auto"/>
                                <w:right w:val="none" w:sz="0" w:space="0" w:color="auto"/>
                              </w:divBdr>
                              <w:divsChild>
                                <w:div w:id="12143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99947">
      <w:bodyDiv w:val="1"/>
      <w:marLeft w:val="0"/>
      <w:marRight w:val="0"/>
      <w:marTop w:val="0"/>
      <w:marBottom w:val="0"/>
      <w:divBdr>
        <w:top w:val="none" w:sz="0" w:space="0" w:color="auto"/>
        <w:left w:val="none" w:sz="0" w:space="0" w:color="auto"/>
        <w:bottom w:val="none" w:sz="0" w:space="0" w:color="auto"/>
        <w:right w:val="none" w:sz="0" w:space="0" w:color="auto"/>
      </w:divBdr>
      <w:divsChild>
        <w:div w:id="1411269627">
          <w:marLeft w:val="0"/>
          <w:marRight w:val="0"/>
          <w:marTop w:val="0"/>
          <w:marBottom w:val="0"/>
          <w:divBdr>
            <w:top w:val="none" w:sz="0" w:space="0" w:color="auto"/>
            <w:left w:val="none" w:sz="0" w:space="0" w:color="auto"/>
            <w:bottom w:val="none" w:sz="0" w:space="0" w:color="auto"/>
            <w:right w:val="none" w:sz="0" w:space="0" w:color="auto"/>
          </w:divBdr>
          <w:divsChild>
            <w:div w:id="1352997158">
              <w:marLeft w:val="0"/>
              <w:marRight w:val="0"/>
              <w:marTop w:val="0"/>
              <w:marBottom w:val="0"/>
              <w:divBdr>
                <w:top w:val="none" w:sz="0" w:space="0" w:color="auto"/>
                <w:left w:val="none" w:sz="0" w:space="0" w:color="auto"/>
                <w:bottom w:val="none" w:sz="0" w:space="0" w:color="auto"/>
                <w:right w:val="none" w:sz="0" w:space="0" w:color="auto"/>
              </w:divBdr>
              <w:divsChild>
                <w:div w:id="1355615125">
                  <w:marLeft w:val="0"/>
                  <w:marRight w:val="0"/>
                  <w:marTop w:val="0"/>
                  <w:marBottom w:val="0"/>
                  <w:divBdr>
                    <w:top w:val="single" w:sz="6" w:space="0" w:color="CCCCCC"/>
                    <w:left w:val="single" w:sz="6" w:space="0" w:color="CCCCCC"/>
                    <w:bottom w:val="single" w:sz="6" w:space="0" w:color="CCCCCC"/>
                    <w:right w:val="single" w:sz="6" w:space="0" w:color="CCCCCC"/>
                  </w:divBdr>
                  <w:divsChild>
                    <w:div w:id="1206868480">
                      <w:marLeft w:val="0"/>
                      <w:marRight w:val="0"/>
                      <w:marTop w:val="0"/>
                      <w:marBottom w:val="0"/>
                      <w:divBdr>
                        <w:top w:val="none" w:sz="0" w:space="0" w:color="auto"/>
                        <w:left w:val="none" w:sz="0" w:space="0" w:color="auto"/>
                        <w:bottom w:val="none" w:sz="0" w:space="0" w:color="auto"/>
                        <w:right w:val="none" w:sz="0" w:space="0" w:color="auto"/>
                      </w:divBdr>
                      <w:divsChild>
                        <w:div w:id="160967234">
                          <w:marLeft w:val="0"/>
                          <w:marRight w:val="0"/>
                          <w:marTop w:val="0"/>
                          <w:marBottom w:val="0"/>
                          <w:divBdr>
                            <w:top w:val="none" w:sz="0" w:space="0" w:color="auto"/>
                            <w:left w:val="none" w:sz="0" w:space="0" w:color="auto"/>
                            <w:bottom w:val="none" w:sz="0" w:space="0" w:color="auto"/>
                            <w:right w:val="none" w:sz="0" w:space="0" w:color="auto"/>
                          </w:divBdr>
                          <w:divsChild>
                            <w:div w:id="810514244">
                              <w:marLeft w:val="0"/>
                              <w:marRight w:val="0"/>
                              <w:marTop w:val="0"/>
                              <w:marBottom w:val="0"/>
                              <w:divBdr>
                                <w:top w:val="none" w:sz="0" w:space="0" w:color="auto"/>
                                <w:left w:val="none" w:sz="0" w:space="0" w:color="auto"/>
                                <w:bottom w:val="none" w:sz="0" w:space="0" w:color="auto"/>
                                <w:right w:val="none" w:sz="0" w:space="0" w:color="auto"/>
                              </w:divBdr>
                              <w:divsChild>
                                <w:div w:id="1952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411597">
      <w:bodyDiv w:val="1"/>
      <w:marLeft w:val="0"/>
      <w:marRight w:val="0"/>
      <w:marTop w:val="0"/>
      <w:marBottom w:val="0"/>
      <w:divBdr>
        <w:top w:val="none" w:sz="0" w:space="0" w:color="auto"/>
        <w:left w:val="none" w:sz="0" w:space="0" w:color="auto"/>
        <w:bottom w:val="none" w:sz="0" w:space="0" w:color="auto"/>
        <w:right w:val="none" w:sz="0" w:space="0" w:color="auto"/>
      </w:divBdr>
      <w:divsChild>
        <w:div w:id="206795060">
          <w:marLeft w:val="0"/>
          <w:marRight w:val="0"/>
          <w:marTop w:val="0"/>
          <w:marBottom w:val="0"/>
          <w:divBdr>
            <w:top w:val="none" w:sz="0" w:space="0" w:color="auto"/>
            <w:left w:val="none" w:sz="0" w:space="0" w:color="auto"/>
            <w:bottom w:val="none" w:sz="0" w:space="0" w:color="auto"/>
            <w:right w:val="none" w:sz="0" w:space="0" w:color="auto"/>
          </w:divBdr>
          <w:divsChild>
            <w:div w:id="1791701826">
              <w:marLeft w:val="0"/>
              <w:marRight w:val="0"/>
              <w:marTop w:val="0"/>
              <w:marBottom w:val="0"/>
              <w:divBdr>
                <w:top w:val="none" w:sz="0" w:space="0" w:color="auto"/>
                <w:left w:val="none" w:sz="0" w:space="0" w:color="auto"/>
                <w:bottom w:val="none" w:sz="0" w:space="0" w:color="auto"/>
                <w:right w:val="none" w:sz="0" w:space="0" w:color="auto"/>
              </w:divBdr>
              <w:divsChild>
                <w:div w:id="965962519">
                  <w:marLeft w:val="0"/>
                  <w:marRight w:val="0"/>
                  <w:marTop w:val="0"/>
                  <w:marBottom w:val="0"/>
                  <w:divBdr>
                    <w:top w:val="single" w:sz="6" w:space="0" w:color="CCCCCC"/>
                    <w:left w:val="single" w:sz="6" w:space="0" w:color="CCCCCC"/>
                    <w:bottom w:val="single" w:sz="6" w:space="0" w:color="CCCCCC"/>
                    <w:right w:val="single" w:sz="6" w:space="0" w:color="CCCCCC"/>
                  </w:divBdr>
                  <w:divsChild>
                    <w:div w:id="866023707">
                      <w:marLeft w:val="0"/>
                      <w:marRight w:val="0"/>
                      <w:marTop w:val="0"/>
                      <w:marBottom w:val="0"/>
                      <w:divBdr>
                        <w:top w:val="none" w:sz="0" w:space="0" w:color="auto"/>
                        <w:left w:val="none" w:sz="0" w:space="0" w:color="auto"/>
                        <w:bottom w:val="none" w:sz="0" w:space="0" w:color="auto"/>
                        <w:right w:val="none" w:sz="0" w:space="0" w:color="auto"/>
                      </w:divBdr>
                      <w:divsChild>
                        <w:div w:id="1370177905">
                          <w:marLeft w:val="0"/>
                          <w:marRight w:val="0"/>
                          <w:marTop w:val="0"/>
                          <w:marBottom w:val="0"/>
                          <w:divBdr>
                            <w:top w:val="none" w:sz="0" w:space="0" w:color="auto"/>
                            <w:left w:val="none" w:sz="0" w:space="0" w:color="auto"/>
                            <w:bottom w:val="none" w:sz="0" w:space="0" w:color="auto"/>
                            <w:right w:val="none" w:sz="0" w:space="0" w:color="auto"/>
                          </w:divBdr>
                          <w:divsChild>
                            <w:div w:id="950893182">
                              <w:marLeft w:val="0"/>
                              <w:marRight w:val="0"/>
                              <w:marTop w:val="0"/>
                              <w:marBottom w:val="0"/>
                              <w:divBdr>
                                <w:top w:val="none" w:sz="0" w:space="0" w:color="auto"/>
                                <w:left w:val="none" w:sz="0" w:space="0" w:color="auto"/>
                                <w:bottom w:val="none" w:sz="0" w:space="0" w:color="auto"/>
                                <w:right w:val="none" w:sz="0" w:space="0" w:color="auto"/>
                              </w:divBdr>
                              <w:divsChild>
                                <w:div w:id="1368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3594">
      <w:bodyDiv w:val="1"/>
      <w:marLeft w:val="0"/>
      <w:marRight w:val="0"/>
      <w:marTop w:val="0"/>
      <w:marBottom w:val="0"/>
      <w:divBdr>
        <w:top w:val="none" w:sz="0" w:space="0" w:color="auto"/>
        <w:left w:val="none" w:sz="0" w:space="0" w:color="auto"/>
        <w:bottom w:val="none" w:sz="0" w:space="0" w:color="auto"/>
        <w:right w:val="none" w:sz="0" w:space="0" w:color="auto"/>
      </w:divBdr>
      <w:divsChild>
        <w:div w:id="455564018">
          <w:marLeft w:val="0"/>
          <w:marRight w:val="0"/>
          <w:marTop w:val="0"/>
          <w:marBottom w:val="0"/>
          <w:divBdr>
            <w:top w:val="none" w:sz="0" w:space="0" w:color="auto"/>
            <w:left w:val="none" w:sz="0" w:space="0" w:color="auto"/>
            <w:bottom w:val="none" w:sz="0" w:space="0" w:color="auto"/>
            <w:right w:val="none" w:sz="0" w:space="0" w:color="auto"/>
          </w:divBdr>
          <w:divsChild>
            <w:div w:id="2079935861">
              <w:marLeft w:val="0"/>
              <w:marRight w:val="0"/>
              <w:marTop w:val="0"/>
              <w:marBottom w:val="0"/>
              <w:divBdr>
                <w:top w:val="none" w:sz="0" w:space="0" w:color="auto"/>
                <w:left w:val="none" w:sz="0" w:space="0" w:color="auto"/>
                <w:bottom w:val="none" w:sz="0" w:space="0" w:color="auto"/>
                <w:right w:val="none" w:sz="0" w:space="0" w:color="auto"/>
              </w:divBdr>
              <w:divsChild>
                <w:div w:id="158810887">
                  <w:marLeft w:val="0"/>
                  <w:marRight w:val="0"/>
                  <w:marTop w:val="0"/>
                  <w:marBottom w:val="0"/>
                  <w:divBdr>
                    <w:top w:val="single" w:sz="6" w:space="0" w:color="CCCCCC"/>
                    <w:left w:val="single" w:sz="6" w:space="0" w:color="CCCCCC"/>
                    <w:bottom w:val="single" w:sz="6" w:space="0" w:color="CCCCCC"/>
                    <w:right w:val="single" w:sz="6" w:space="0" w:color="CCCCCC"/>
                  </w:divBdr>
                  <w:divsChild>
                    <w:div w:id="956252882">
                      <w:marLeft w:val="0"/>
                      <w:marRight w:val="0"/>
                      <w:marTop w:val="0"/>
                      <w:marBottom w:val="0"/>
                      <w:divBdr>
                        <w:top w:val="none" w:sz="0" w:space="0" w:color="auto"/>
                        <w:left w:val="none" w:sz="0" w:space="0" w:color="auto"/>
                        <w:bottom w:val="none" w:sz="0" w:space="0" w:color="auto"/>
                        <w:right w:val="none" w:sz="0" w:space="0" w:color="auto"/>
                      </w:divBdr>
                      <w:divsChild>
                        <w:div w:id="155801708">
                          <w:marLeft w:val="0"/>
                          <w:marRight w:val="0"/>
                          <w:marTop w:val="0"/>
                          <w:marBottom w:val="0"/>
                          <w:divBdr>
                            <w:top w:val="none" w:sz="0" w:space="0" w:color="auto"/>
                            <w:left w:val="none" w:sz="0" w:space="0" w:color="auto"/>
                            <w:bottom w:val="none" w:sz="0" w:space="0" w:color="auto"/>
                            <w:right w:val="none" w:sz="0" w:space="0" w:color="auto"/>
                          </w:divBdr>
                          <w:divsChild>
                            <w:div w:id="28385439">
                              <w:marLeft w:val="0"/>
                              <w:marRight w:val="0"/>
                              <w:marTop w:val="0"/>
                              <w:marBottom w:val="0"/>
                              <w:divBdr>
                                <w:top w:val="none" w:sz="0" w:space="0" w:color="auto"/>
                                <w:left w:val="none" w:sz="0" w:space="0" w:color="auto"/>
                                <w:bottom w:val="none" w:sz="0" w:space="0" w:color="auto"/>
                                <w:right w:val="none" w:sz="0" w:space="0" w:color="auto"/>
                              </w:divBdr>
                              <w:divsChild>
                                <w:div w:id="10919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23242">
      <w:bodyDiv w:val="1"/>
      <w:marLeft w:val="0"/>
      <w:marRight w:val="0"/>
      <w:marTop w:val="0"/>
      <w:marBottom w:val="0"/>
      <w:divBdr>
        <w:top w:val="none" w:sz="0" w:space="0" w:color="auto"/>
        <w:left w:val="none" w:sz="0" w:space="0" w:color="auto"/>
        <w:bottom w:val="none" w:sz="0" w:space="0" w:color="auto"/>
        <w:right w:val="none" w:sz="0" w:space="0" w:color="auto"/>
      </w:divBdr>
      <w:divsChild>
        <w:div w:id="1508443337">
          <w:marLeft w:val="0"/>
          <w:marRight w:val="0"/>
          <w:marTop w:val="0"/>
          <w:marBottom w:val="0"/>
          <w:divBdr>
            <w:top w:val="none" w:sz="0" w:space="0" w:color="auto"/>
            <w:left w:val="none" w:sz="0" w:space="0" w:color="auto"/>
            <w:bottom w:val="none" w:sz="0" w:space="0" w:color="auto"/>
            <w:right w:val="none" w:sz="0" w:space="0" w:color="auto"/>
          </w:divBdr>
          <w:divsChild>
            <w:div w:id="809635853">
              <w:marLeft w:val="0"/>
              <w:marRight w:val="0"/>
              <w:marTop w:val="0"/>
              <w:marBottom w:val="0"/>
              <w:divBdr>
                <w:top w:val="none" w:sz="0" w:space="0" w:color="auto"/>
                <w:left w:val="none" w:sz="0" w:space="0" w:color="auto"/>
                <w:bottom w:val="none" w:sz="0" w:space="0" w:color="auto"/>
                <w:right w:val="none" w:sz="0" w:space="0" w:color="auto"/>
              </w:divBdr>
              <w:divsChild>
                <w:div w:id="1170486484">
                  <w:marLeft w:val="0"/>
                  <w:marRight w:val="0"/>
                  <w:marTop w:val="0"/>
                  <w:marBottom w:val="0"/>
                  <w:divBdr>
                    <w:top w:val="single" w:sz="6" w:space="0" w:color="CCCCCC"/>
                    <w:left w:val="single" w:sz="6" w:space="0" w:color="CCCCCC"/>
                    <w:bottom w:val="single" w:sz="6" w:space="0" w:color="CCCCCC"/>
                    <w:right w:val="single" w:sz="6" w:space="0" w:color="CCCCCC"/>
                  </w:divBdr>
                  <w:divsChild>
                    <w:div w:id="1428116347">
                      <w:marLeft w:val="0"/>
                      <w:marRight w:val="0"/>
                      <w:marTop w:val="0"/>
                      <w:marBottom w:val="0"/>
                      <w:divBdr>
                        <w:top w:val="none" w:sz="0" w:space="0" w:color="auto"/>
                        <w:left w:val="none" w:sz="0" w:space="0" w:color="auto"/>
                        <w:bottom w:val="none" w:sz="0" w:space="0" w:color="auto"/>
                        <w:right w:val="none" w:sz="0" w:space="0" w:color="auto"/>
                      </w:divBdr>
                      <w:divsChild>
                        <w:div w:id="1304845731">
                          <w:marLeft w:val="0"/>
                          <w:marRight w:val="0"/>
                          <w:marTop w:val="0"/>
                          <w:marBottom w:val="0"/>
                          <w:divBdr>
                            <w:top w:val="none" w:sz="0" w:space="0" w:color="auto"/>
                            <w:left w:val="none" w:sz="0" w:space="0" w:color="auto"/>
                            <w:bottom w:val="none" w:sz="0" w:space="0" w:color="auto"/>
                            <w:right w:val="none" w:sz="0" w:space="0" w:color="auto"/>
                          </w:divBdr>
                          <w:divsChild>
                            <w:div w:id="508714453">
                              <w:marLeft w:val="0"/>
                              <w:marRight w:val="0"/>
                              <w:marTop w:val="0"/>
                              <w:marBottom w:val="0"/>
                              <w:divBdr>
                                <w:top w:val="none" w:sz="0" w:space="0" w:color="auto"/>
                                <w:left w:val="none" w:sz="0" w:space="0" w:color="auto"/>
                                <w:bottom w:val="none" w:sz="0" w:space="0" w:color="auto"/>
                                <w:right w:val="none" w:sz="0" w:space="0" w:color="auto"/>
                              </w:divBdr>
                              <w:divsChild>
                                <w:div w:id="21454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30205">
      <w:bodyDiv w:val="1"/>
      <w:marLeft w:val="0"/>
      <w:marRight w:val="0"/>
      <w:marTop w:val="0"/>
      <w:marBottom w:val="0"/>
      <w:divBdr>
        <w:top w:val="none" w:sz="0" w:space="0" w:color="auto"/>
        <w:left w:val="none" w:sz="0" w:space="0" w:color="auto"/>
        <w:bottom w:val="none" w:sz="0" w:space="0" w:color="auto"/>
        <w:right w:val="none" w:sz="0" w:space="0" w:color="auto"/>
      </w:divBdr>
    </w:div>
    <w:div w:id="692417640">
      <w:bodyDiv w:val="1"/>
      <w:marLeft w:val="0"/>
      <w:marRight w:val="0"/>
      <w:marTop w:val="0"/>
      <w:marBottom w:val="0"/>
      <w:divBdr>
        <w:top w:val="none" w:sz="0" w:space="0" w:color="auto"/>
        <w:left w:val="none" w:sz="0" w:space="0" w:color="auto"/>
        <w:bottom w:val="none" w:sz="0" w:space="0" w:color="auto"/>
        <w:right w:val="none" w:sz="0" w:space="0" w:color="auto"/>
      </w:divBdr>
      <w:divsChild>
        <w:div w:id="242421455">
          <w:marLeft w:val="0"/>
          <w:marRight w:val="0"/>
          <w:marTop w:val="0"/>
          <w:marBottom w:val="0"/>
          <w:divBdr>
            <w:top w:val="none" w:sz="0" w:space="0" w:color="auto"/>
            <w:left w:val="none" w:sz="0" w:space="0" w:color="auto"/>
            <w:bottom w:val="none" w:sz="0" w:space="0" w:color="auto"/>
            <w:right w:val="none" w:sz="0" w:space="0" w:color="auto"/>
          </w:divBdr>
          <w:divsChild>
            <w:div w:id="387804772">
              <w:marLeft w:val="0"/>
              <w:marRight w:val="0"/>
              <w:marTop w:val="0"/>
              <w:marBottom w:val="0"/>
              <w:divBdr>
                <w:top w:val="none" w:sz="0" w:space="0" w:color="auto"/>
                <w:left w:val="none" w:sz="0" w:space="0" w:color="auto"/>
                <w:bottom w:val="none" w:sz="0" w:space="0" w:color="auto"/>
                <w:right w:val="none" w:sz="0" w:space="0" w:color="auto"/>
              </w:divBdr>
              <w:divsChild>
                <w:div w:id="5250501">
                  <w:marLeft w:val="0"/>
                  <w:marRight w:val="0"/>
                  <w:marTop w:val="0"/>
                  <w:marBottom w:val="0"/>
                  <w:divBdr>
                    <w:top w:val="single" w:sz="6" w:space="0" w:color="CCCCCC"/>
                    <w:left w:val="single" w:sz="6" w:space="0" w:color="CCCCCC"/>
                    <w:bottom w:val="single" w:sz="6" w:space="0" w:color="CCCCCC"/>
                    <w:right w:val="single" w:sz="6" w:space="0" w:color="CCCCCC"/>
                  </w:divBdr>
                  <w:divsChild>
                    <w:div w:id="1636762721">
                      <w:marLeft w:val="0"/>
                      <w:marRight w:val="0"/>
                      <w:marTop w:val="0"/>
                      <w:marBottom w:val="0"/>
                      <w:divBdr>
                        <w:top w:val="none" w:sz="0" w:space="0" w:color="auto"/>
                        <w:left w:val="none" w:sz="0" w:space="0" w:color="auto"/>
                        <w:bottom w:val="none" w:sz="0" w:space="0" w:color="auto"/>
                        <w:right w:val="none" w:sz="0" w:space="0" w:color="auto"/>
                      </w:divBdr>
                      <w:divsChild>
                        <w:div w:id="1662004283">
                          <w:marLeft w:val="0"/>
                          <w:marRight w:val="0"/>
                          <w:marTop w:val="0"/>
                          <w:marBottom w:val="0"/>
                          <w:divBdr>
                            <w:top w:val="none" w:sz="0" w:space="0" w:color="auto"/>
                            <w:left w:val="none" w:sz="0" w:space="0" w:color="auto"/>
                            <w:bottom w:val="none" w:sz="0" w:space="0" w:color="auto"/>
                            <w:right w:val="none" w:sz="0" w:space="0" w:color="auto"/>
                          </w:divBdr>
                          <w:divsChild>
                            <w:div w:id="1611740263">
                              <w:marLeft w:val="0"/>
                              <w:marRight w:val="0"/>
                              <w:marTop w:val="0"/>
                              <w:marBottom w:val="0"/>
                              <w:divBdr>
                                <w:top w:val="none" w:sz="0" w:space="0" w:color="auto"/>
                                <w:left w:val="none" w:sz="0" w:space="0" w:color="auto"/>
                                <w:bottom w:val="none" w:sz="0" w:space="0" w:color="auto"/>
                                <w:right w:val="none" w:sz="0" w:space="0" w:color="auto"/>
                              </w:divBdr>
                              <w:divsChild>
                                <w:div w:id="5212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847777">
      <w:bodyDiv w:val="1"/>
      <w:marLeft w:val="0"/>
      <w:marRight w:val="0"/>
      <w:marTop w:val="0"/>
      <w:marBottom w:val="0"/>
      <w:divBdr>
        <w:top w:val="none" w:sz="0" w:space="0" w:color="auto"/>
        <w:left w:val="none" w:sz="0" w:space="0" w:color="auto"/>
        <w:bottom w:val="none" w:sz="0" w:space="0" w:color="auto"/>
        <w:right w:val="none" w:sz="0" w:space="0" w:color="auto"/>
      </w:divBdr>
      <w:divsChild>
        <w:div w:id="575824657">
          <w:marLeft w:val="0"/>
          <w:marRight w:val="0"/>
          <w:marTop w:val="0"/>
          <w:marBottom w:val="0"/>
          <w:divBdr>
            <w:top w:val="none" w:sz="0" w:space="0" w:color="auto"/>
            <w:left w:val="none" w:sz="0" w:space="0" w:color="auto"/>
            <w:bottom w:val="none" w:sz="0" w:space="0" w:color="auto"/>
            <w:right w:val="none" w:sz="0" w:space="0" w:color="auto"/>
          </w:divBdr>
          <w:divsChild>
            <w:div w:id="1213080663">
              <w:marLeft w:val="0"/>
              <w:marRight w:val="0"/>
              <w:marTop w:val="0"/>
              <w:marBottom w:val="0"/>
              <w:divBdr>
                <w:top w:val="none" w:sz="0" w:space="0" w:color="auto"/>
                <w:left w:val="none" w:sz="0" w:space="0" w:color="auto"/>
                <w:bottom w:val="none" w:sz="0" w:space="0" w:color="auto"/>
                <w:right w:val="none" w:sz="0" w:space="0" w:color="auto"/>
              </w:divBdr>
              <w:divsChild>
                <w:div w:id="1183278703">
                  <w:marLeft w:val="0"/>
                  <w:marRight w:val="0"/>
                  <w:marTop w:val="0"/>
                  <w:marBottom w:val="0"/>
                  <w:divBdr>
                    <w:top w:val="single" w:sz="6" w:space="0" w:color="CCCCCC"/>
                    <w:left w:val="single" w:sz="6" w:space="0" w:color="CCCCCC"/>
                    <w:bottom w:val="single" w:sz="6" w:space="0" w:color="CCCCCC"/>
                    <w:right w:val="single" w:sz="6" w:space="0" w:color="CCCCCC"/>
                  </w:divBdr>
                  <w:divsChild>
                    <w:div w:id="1660377183">
                      <w:marLeft w:val="0"/>
                      <w:marRight w:val="0"/>
                      <w:marTop w:val="0"/>
                      <w:marBottom w:val="0"/>
                      <w:divBdr>
                        <w:top w:val="none" w:sz="0" w:space="0" w:color="auto"/>
                        <w:left w:val="none" w:sz="0" w:space="0" w:color="auto"/>
                        <w:bottom w:val="none" w:sz="0" w:space="0" w:color="auto"/>
                        <w:right w:val="none" w:sz="0" w:space="0" w:color="auto"/>
                      </w:divBdr>
                      <w:divsChild>
                        <w:div w:id="334309922">
                          <w:marLeft w:val="0"/>
                          <w:marRight w:val="0"/>
                          <w:marTop w:val="0"/>
                          <w:marBottom w:val="0"/>
                          <w:divBdr>
                            <w:top w:val="none" w:sz="0" w:space="0" w:color="auto"/>
                            <w:left w:val="none" w:sz="0" w:space="0" w:color="auto"/>
                            <w:bottom w:val="none" w:sz="0" w:space="0" w:color="auto"/>
                            <w:right w:val="none" w:sz="0" w:space="0" w:color="auto"/>
                          </w:divBdr>
                          <w:divsChild>
                            <w:div w:id="144585655">
                              <w:marLeft w:val="0"/>
                              <w:marRight w:val="0"/>
                              <w:marTop w:val="0"/>
                              <w:marBottom w:val="0"/>
                              <w:divBdr>
                                <w:top w:val="none" w:sz="0" w:space="0" w:color="auto"/>
                                <w:left w:val="none" w:sz="0" w:space="0" w:color="auto"/>
                                <w:bottom w:val="none" w:sz="0" w:space="0" w:color="auto"/>
                                <w:right w:val="none" w:sz="0" w:space="0" w:color="auto"/>
                              </w:divBdr>
                              <w:divsChild>
                                <w:div w:id="11324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913680">
      <w:bodyDiv w:val="1"/>
      <w:marLeft w:val="0"/>
      <w:marRight w:val="0"/>
      <w:marTop w:val="0"/>
      <w:marBottom w:val="0"/>
      <w:divBdr>
        <w:top w:val="none" w:sz="0" w:space="0" w:color="auto"/>
        <w:left w:val="none" w:sz="0" w:space="0" w:color="auto"/>
        <w:bottom w:val="none" w:sz="0" w:space="0" w:color="auto"/>
        <w:right w:val="none" w:sz="0" w:space="0" w:color="auto"/>
      </w:divBdr>
      <w:divsChild>
        <w:div w:id="807355715">
          <w:marLeft w:val="0"/>
          <w:marRight w:val="0"/>
          <w:marTop w:val="0"/>
          <w:marBottom w:val="0"/>
          <w:divBdr>
            <w:top w:val="none" w:sz="0" w:space="0" w:color="auto"/>
            <w:left w:val="none" w:sz="0" w:space="0" w:color="auto"/>
            <w:bottom w:val="none" w:sz="0" w:space="0" w:color="auto"/>
            <w:right w:val="none" w:sz="0" w:space="0" w:color="auto"/>
          </w:divBdr>
          <w:divsChild>
            <w:div w:id="1064985588">
              <w:marLeft w:val="0"/>
              <w:marRight w:val="0"/>
              <w:marTop w:val="0"/>
              <w:marBottom w:val="0"/>
              <w:divBdr>
                <w:top w:val="none" w:sz="0" w:space="0" w:color="auto"/>
                <w:left w:val="none" w:sz="0" w:space="0" w:color="auto"/>
                <w:bottom w:val="none" w:sz="0" w:space="0" w:color="auto"/>
                <w:right w:val="none" w:sz="0" w:space="0" w:color="auto"/>
              </w:divBdr>
              <w:divsChild>
                <w:div w:id="331445885">
                  <w:marLeft w:val="0"/>
                  <w:marRight w:val="0"/>
                  <w:marTop w:val="0"/>
                  <w:marBottom w:val="0"/>
                  <w:divBdr>
                    <w:top w:val="single" w:sz="6" w:space="0" w:color="CCCCCC"/>
                    <w:left w:val="single" w:sz="6" w:space="0" w:color="CCCCCC"/>
                    <w:bottom w:val="single" w:sz="6" w:space="0" w:color="CCCCCC"/>
                    <w:right w:val="single" w:sz="6" w:space="0" w:color="CCCCCC"/>
                  </w:divBdr>
                  <w:divsChild>
                    <w:div w:id="266236589">
                      <w:marLeft w:val="0"/>
                      <w:marRight w:val="0"/>
                      <w:marTop w:val="0"/>
                      <w:marBottom w:val="0"/>
                      <w:divBdr>
                        <w:top w:val="none" w:sz="0" w:space="0" w:color="auto"/>
                        <w:left w:val="none" w:sz="0" w:space="0" w:color="auto"/>
                        <w:bottom w:val="none" w:sz="0" w:space="0" w:color="auto"/>
                        <w:right w:val="none" w:sz="0" w:space="0" w:color="auto"/>
                      </w:divBdr>
                      <w:divsChild>
                        <w:div w:id="1168401479">
                          <w:marLeft w:val="0"/>
                          <w:marRight w:val="0"/>
                          <w:marTop w:val="0"/>
                          <w:marBottom w:val="0"/>
                          <w:divBdr>
                            <w:top w:val="none" w:sz="0" w:space="0" w:color="auto"/>
                            <w:left w:val="none" w:sz="0" w:space="0" w:color="auto"/>
                            <w:bottom w:val="none" w:sz="0" w:space="0" w:color="auto"/>
                            <w:right w:val="none" w:sz="0" w:space="0" w:color="auto"/>
                          </w:divBdr>
                          <w:divsChild>
                            <w:div w:id="1209294599">
                              <w:marLeft w:val="0"/>
                              <w:marRight w:val="0"/>
                              <w:marTop w:val="0"/>
                              <w:marBottom w:val="0"/>
                              <w:divBdr>
                                <w:top w:val="none" w:sz="0" w:space="0" w:color="auto"/>
                                <w:left w:val="none" w:sz="0" w:space="0" w:color="auto"/>
                                <w:bottom w:val="none" w:sz="0" w:space="0" w:color="auto"/>
                                <w:right w:val="none" w:sz="0" w:space="0" w:color="auto"/>
                              </w:divBdr>
                              <w:divsChild>
                                <w:div w:id="21116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24262">
      <w:bodyDiv w:val="1"/>
      <w:marLeft w:val="0"/>
      <w:marRight w:val="0"/>
      <w:marTop w:val="0"/>
      <w:marBottom w:val="0"/>
      <w:divBdr>
        <w:top w:val="none" w:sz="0" w:space="0" w:color="auto"/>
        <w:left w:val="none" w:sz="0" w:space="0" w:color="auto"/>
        <w:bottom w:val="none" w:sz="0" w:space="0" w:color="auto"/>
        <w:right w:val="none" w:sz="0" w:space="0" w:color="auto"/>
      </w:divBdr>
      <w:divsChild>
        <w:div w:id="903951812">
          <w:marLeft w:val="0"/>
          <w:marRight w:val="0"/>
          <w:marTop w:val="0"/>
          <w:marBottom w:val="0"/>
          <w:divBdr>
            <w:top w:val="none" w:sz="0" w:space="0" w:color="auto"/>
            <w:left w:val="none" w:sz="0" w:space="0" w:color="auto"/>
            <w:bottom w:val="none" w:sz="0" w:space="0" w:color="auto"/>
            <w:right w:val="none" w:sz="0" w:space="0" w:color="auto"/>
          </w:divBdr>
          <w:divsChild>
            <w:div w:id="1149328585">
              <w:marLeft w:val="0"/>
              <w:marRight w:val="0"/>
              <w:marTop w:val="0"/>
              <w:marBottom w:val="0"/>
              <w:divBdr>
                <w:top w:val="none" w:sz="0" w:space="0" w:color="auto"/>
                <w:left w:val="none" w:sz="0" w:space="0" w:color="auto"/>
                <w:bottom w:val="none" w:sz="0" w:space="0" w:color="auto"/>
                <w:right w:val="none" w:sz="0" w:space="0" w:color="auto"/>
              </w:divBdr>
              <w:divsChild>
                <w:div w:id="1781217055">
                  <w:marLeft w:val="0"/>
                  <w:marRight w:val="0"/>
                  <w:marTop w:val="0"/>
                  <w:marBottom w:val="0"/>
                  <w:divBdr>
                    <w:top w:val="single" w:sz="6" w:space="0" w:color="CCCCCC"/>
                    <w:left w:val="single" w:sz="6" w:space="0" w:color="CCCCCC"/>
                    <w:bottom w:val="single" w:sz="6" w:space="0" w:color="CCCCCC"/>
                    <w:right w:val="single" w:sz="6" w:space="0" w:color="CCCCCC"/>
                  </w:divBdr>
                  <w:divsChild>
                    <w:div w:id="577372690">
                      <w:marLeft w:val="0"/>
                      <w:marRight w:val="0"/>
                      <w:marTop w:val="0"/>
                      <w:marBottom w:val="0"/>
                      <w:divBdr>
                        <w:top w:val="none" w:sz="0" w:space="0" w:color="auto"/>
                        <w:left w:val="none" w:sz="0" w:space="0" w:color="auto"/>
                        <w:bottom w:val="none" w:sz="0" w:space="0" w:color="auto"/>
                        <w:right w:val="none" w:sz="0" w:space="0" w:color="auto"/>
                      </w:divBdr>
                      <w:divsChild>
                        <w:div w:id="1837575225">
                          <w:marLeft w:val="0"/>
                          <w:marRight w:val="0"/>
                          <w:marTop w:val="0"/>
                          <w:marBottom w:val="0"/>
                          <w:divBdr>
                            <w:top w:val="none" w:sz="0" w:space="0" w:color="auto"/>
                            <w:left w:val="none" w:sz="0" w:space="0" w:color="auto"/>
                            <w:bottom w:val="none" w:sz="0" w:space="0" w:color="auto"/>
                            <w:right w:val="none" w:sz="0" w:space="0" w:color="auto"/>
                          </w:divBdr>
                          <w:divsChild>
                            <w:div w:id="1682318815">
                              <w:marLeft w:val="0"/>
                              <w:marRight w:val="0"/>
                              <w:marTop w:val="0"/>
                              <w:marBottom w:val="0"/>
                              <w:divBdr>
                                <w:top w:val="none" w:sz="0" w:space="0" w:color="auto"/>
                                <w:left w:val="none" w:sz="0" w:space="0" w:color="auto"/>
                                <w:bottom w:val="none" w:sz="0" w:space="0" w:color="auto"/>
                                <w:right w:val="none" w:sz="0" w:space="0" w:color="auto"/>
                              </w:divBdr>
                              <w:divsChild>
                                <w:div w:id="8863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993899">
      <w:bodyDiv w:val="1"/>
      <w:marLeft w:val="0"/>
      <w:marRight w:val="0"/>
      <w:marTop w:val="0"/>
      <w:marBottom w:val="0"/>
      <w:divBdr>
        <w:top w:val="none" w:sz="0" w:space="0" w:color="auto"/>
        <w:left w:val="none" w:sz="0" w:space="0" w:color="auto"/>
        <w:bottom w:val="none" w:sz="0" w:space="0" w:color="auto"/>
        <w:right w:val="none" w:sz="0" w:space="0" w:color="auto"/>
      </w:divBdr>
      <w:divsChild>
        <w:div w:id="1177232258">
          <w:marLeft w:val="0"/>
          <w:marRight w:val="0"/>
          <w:marTop w:val="0"/>
          <w:marBottom w:val="0"/>
          <w:divBdr>
            <w:top w:val="none" w:sz="0" w:space="0" w:color="auto"/>
            <w:left w:val="none" w:sz="0" w:space="0" w:color="auto"/>
            <w:bottom w:val="none" w:sz="0" w:space="0" w:color="auto"/>
            <w:right w:val="none" w:sz="0" w:space="0" w:color="auto"/>
          </w:divBdr>
          <w:divsChild>
            <w:div w:id="496773832">
              <w:marLeft w:val="0"/>
              <w:marRight w:val="0"/>
              <w:marTop w:val="0"/>
              <w:marBottom w:val="0"/>
              <w:divBdr>
                <w:top w:val="none" w:sz="0" w:space="0" w:color="auto"/>
                <w:left w:val="none" w:sz="0" w:space="0" w:color="auto"/>
                <w:bottom w:val="none" w:sz="0" w:space="0" w:color="auto"/>
                <w:right w:val="none" w:sz="0" w:space="0" w:color="auto"/>
              </w:divBdr>
              <w:divsChild>
                <w:div w:id="1820343304">
                  <w:marLeft w:val="0"/>
                  <w:marRight w:val="0"/>
                  <w:marTop w:val="0"/>
                  <w:marBottom w:val="0"/>
                  <w:divBdr>
                    <w:top w:val="single" w:sz="6" w:space="0" w:color="CCCCCC"/>
                    <w:left w:val="single" w:sz="6" w:space="0" w:color="CCCCCC"/>
                    <w:bottom w:val="single" w:sz="6" w:space="0" w:color="CCCCCC"/>
                    <w:right w:val="single" w:sz="6" w:space="0" w:color="CCCCCC"/>
                  </w:divBdr>
                  <w:divsChild>
                    <w:div w:id="895511162">
                      <w:marLeft w:val="0"/>
                      <w:marRight w:val="0"/>
                      <w:marTop w:val="0"/>
                      <w:marBottom w:val="0"/>
                      <w:divBdr>
                        <w:top w:val="none" w:sz="0" w:space="0" w:color="auto"/>
                        <w:left w:val="none" w:sz="0" w:space="0" w:color="auto"/>
                        <w:bottom w:val="none" w:sz="0" w:space="0" w:color="auto"/>
                        <w:right w:val="none" w:sz="0" w:space="0" w:color="auto"/>
                      </w:divBdr>
                      <w:divsChild>
                        <w:div w:id="366221215">
                          <w:marLeft w:val="0"/>
                          <w:marRight w:val="0"/>
                          <w:marTop w:val="0"/>
                          <w:marBottom w:val="0"/>
                          <w:divBdr>
                            <w:top w:val="none" w:sz="0" w:space="0" w:color="auto"/>
                            <w:left w:val="none" w:sz="0" w:space="0" w:color="auto"/>
                            <w:bottom w:val="none" w:sz="0" w:space="0" w:color="auto"/>
                            <w:right w:val="none" w:sz="0" w:space="0" w:color="auto"/>
                          </w:divBdr>
                          <w:divsChild>
                            <w:div w:id="583955491">
                              <w:marLeft w:val="0"/>
                              <w:marRight w:val="0"/>
                              <w:marTop w:val="0"/>
                              <w:marBottom w:val="0"/>
                              <w:divBdr>
                                <w:top w:val="none" w:sz="0" w:space="0" w:color="auto"/>
                                <w:left w:val="none" w:sz="0" w:space="0" w:color="auto"/>
                                <w:bottom w:val="none" w:sz="0" w:space="0" w:color="auto"/>
                                <w:right w:val="none" w:sz="0" w:space="0" w:color="auto"/>
                              </w:divBdr>
                              <w:divsChild>
                                <w:div w:id="5813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08365">
      <w:bodyDiv w:val="1"/>
      <w:marLeft w:val="0"/>
      <w:marRight w:val="0"/>
      <w:marTop w:val="0"/>
      <w:marBottom w:val="0"/>
      <w:divBdr>
        <w:top w:val="none" w:sz="0" w:space="0" w:color="auto"/>
        <w:left w:val="none" w:sz="0" w:space="0" w:color="auto"/>
        <w:bottom w:val="none" w:sz="0" w:space="0" w:color="auto"/>
        <w:right w:val="none" w:sz="0" w:space="0" w:color="auto"/>
      </w:divBdr>
      <w:divsChild>
        <w:div w:id="29768453">
          <w:marLeft w:val="0"/>
          <w:marRight w:val="0"/>
          <w:marTop w:val="0"/>
          <w:marBottom w:val="0"/>
          <w:divBdr>
            <w:top w:val="none" w:sz="0" w:space="0" w:color="auto"/>
            <w:left w:val="none" w:sz="0" w:space="0" w:color="auto"/>
            <w:bottom w:val="none" w:sz="0" w:space="0" w:color="auto"/>
            <w:right w:val="none" w:sz="0" w:space="0" w:color="auto"/>
          </w:divBdr>
          <w:divsChild>
            <w:div w:id="1391922727">
              <w:marLeft w:val="0"/>
              <w:marRight w:val="0"/>
              <w:marTop w:val="0"/>
              <w:marBottom w:val="0"/>
              <w:divBdr>
                <w:top w:val="none" w:sz="0" w:space="0" w:color="auto"/>
                <w:left w:val="none" w:sz="0" w:space="0" w:color="auto"/>
                <w:bottom w:val="none" w:sz="0" w:space="0" w:color="auto"/>
                <w:right w:val="none" w:sz="0" w:space="0" w:color="auto"/>
              </w:divBdr>
              <w:divsChild>
                <w:div w:id="1664315118">
                  <w:marLeft w:val="0"/>
                  <w:marRight w:val="0"/>
                  <w:marTop w:val="0"/>
                  <w:marBottom w:val="0"/>
                  <w:divBdr>
                    <w:top w:val="single" w:sz="6" w:space="0" w:color="CCCCCC"/>
                    <w:left w:val="single" w:sz="6" w:space="0" w:color="CCCCCC"/>
                    <w:bottom w:val="single" w:sz="6" w:space="0" w:color="CCCCCC"/>
                    <w:right w:val="single" w:sz="6" w:space="0" w:color="CCCCCC"/>
                  </w:divBdr>
                  <w:divsChild>
                    <w:div w:id="192505138">
                      <w:marLeft w:val="0"/>
                      <w:marRight w:val="0"/>
                      <w:marTop w:val="0"/>
                      <w:marBottom w:val="0"/>
                      <w:divBdr>
                        <w:top w:val="none" w:sz="0" w:space="0" w:color="auto"/>
                        <w:left w:val="none" w:sz="0" w:space="0" w:color="auto"/>
                        <w:bottom w:val="none" w:sz="0" w:space="0" w:color="auto"/>
                        <w:right w:val="none" w:sz="0" w:space="0" w:color="auto"/>
                      </w:divBdr>
                      <w:divsChild>
                        <w:div w:id="333649665">
                          <w:marLeft w:val="0"/>
                          <w:marRight w:val="0"/>
                          <w:marTop w:val="0"/>
                          <w:marBottom w:val="0"/>
                          <w:divBdr>
                            <w:top w:val="none" w:sz="0" w:space="0" w:color="auto"/>
                            <w:left w:val="none" w:sz="0" w:space="0" w:color="auto"/>
                            <w:bottom w:val="none" w:sz="0" w:space="0" w:color="auto"/>
                            <w:right w:val="none" w:sz="0" w:space="0" w:color="auto"/>
                          </w:divBdr>
                          <w:divsChild>
                            <w:div w:id="371148312">
                              <w:marLeft w:val="0"/>
                              <w:marRight w:val="0"/>
                              <w:marTop w:val="0"/>
                              <w:marBottom w:val="0"/>
                              <w:divBdr>
                                <w:top w:val="none" w:sz="0" w:space="0" w:color="auto"/>
                                <w:left w:val="none" w:sz="0" w:space="0" w:color="auto"/>
                                <w:bottom w:val="none" w:sz="0" w:space="0" w:color="auto"/>
                                <w:right w:val="none" w:sz="0" w:space="0" w:color="auto"/>
                              </w:divBdr>
                              <w:divsChild>
                                <w:div w:id="7987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21165">
      <w:bodyDiv w:val="1"/>
      <w:marLeft w:val="0"/>
      <w:marRight w:val="0"/>
      <w:marTop w:val="0"/>
      <w:marBottom w:val="0"/>
      <w:divBdr>
        <w:top w:val="none" w:sz="0" w:space="0" w:color="auto"/>
        <w:left w:val="none" w:sz="0" w:space="0" w:color="auto"/>
        <w:bottom w:val="none" w:sz="0" w:space="0" w:color="auto"/>
        <w:right w:val="none" w:sz="0" w:space="0" w:color="auto"/>
      </w:divBdr>
      <w:divsChild>
        <w:div w:id="1921668675">
          <w:marLeft w:val="0"/>
          <w:marRight w:val="0"/>
          <w:marTop w:val="0"/>
          <w:marBottom w:val="0"/>
          <w:divBdr>
            <w:top w:val="none" w:sz="0" w:space="0" w:color="auto"/>
            <w:left w:val="none" w:sz="0" w:space="0" w:color="auto"/>
            <w:bottom w:val="none" w:sz="0" w:space="0" w:color="auto"/>
            <w:right w:val="none" w:sz="0" w:space="0" w:color="auto"/>
          </w:divBdr>
          <w:divsChild>
            <w:div w:id="1820462267">
              <w:marLeft w:val="0"/>
              <w:marRight w:val="0"/>
              <w:marTop w:val="0"/>
              <w:marBottom w:val="0"/>
              <w:divBdr>
                <w:top w:val="none" w:sz="0" w:space="0" w:color="auto"/>
                <w:left w:val="none" w:sz="0" w:space="0" w:color="auto"/>
                <w:bottom w:val="none" w:sz="0" w:space="0" w:color="auto"/>
                <w:right w:val="none" w:sz="0" w:space="0" w:color="auto"/>
              </w:divBdr>
              <w:divsChild>
                <w:div w:id="657466363">
                  <w:marLeft w:val="0"/>
                  <w:marRight w:val="0"/>
                  <w:marTop w:val="0"/>
                  <w:marBottom w:val="0"/>
                  <w:divBdr>
                    <w:top w:val="single" w:sz="6" w:space="0" w:color="CCCCCC"/>
                    <w:left w:val="single" w:sz="6" w:space="0" w:color="CCCCCC"/>
                    <w:bottom w:val="single" w:sz="6" w:space="0" w:color="CCCCCC"/>
                    <w:right w:val="single" w:sz="6" w:space="0" w:color="CCCCCC"/>
                  </w:divBdr>
                  <w:divsChild>
                    <w:div w:id="497502404">
                      <w:marLeft w:val="0"/>
                      <w:marRight w:val="0"/>
                      <w:marTop w:val="0"/>
                      <w:marBottom w:val="0"/>
                      <w:divBdr>
                        <w:top w:val="none" w:sz="0" w:space="0" w:color="auto"/>
                        <w:left w:val="none" w:sz="0" w:space="0" w:color="auto"/>
                        <w:bottom w:val="none" w:sz="0" w:space="0" w:color="auto"/>
                        <w:right w:val="none" w:sz="0" w:space="0" w:color="auto"/>
                      </w:divBdr>
                      <w:divsChild>
                        <w:div w:id="282081264">
                          <w:marLeft w:val="0"/>
                          <w:marRight w:val="0"/>
                          <w:marTop w:val="0"/>
                          <w:marBottom w:val="0"/>
                          <w:divBdr>
                            <w:top w:val="none" w:sz="0" w:space="0" w:color="auto"/>
                            <w:left w:val="none" w:sz="0" w:space="0" w:color="auto"/>
                            <w:bottom w:val="none" w:sz="0" w:space="0" w:color="auto"/>
                            <w:right w:val="none" w:sz="0" w:space="0" w:color="auto"/>
                          </w:divBdr>
                          <w:divsChild>
                            <w:div w:id="272716636">
                              <w:marLeft w:val="0"/>
                              <w:marRight w:val="0"/>
                              <w:marTop w:val="0"/>
                              <w:marBottom w:val="0"/>
                              <w:divBdr>
                                <w:top w:val="none" w:sz="0" w:space="0" w:color="auto"/>
                                <w:left w:val="none" w:sz="0" w:space="0" w:color="auto"/>
                                <w:bottom w:val="none" w:sz="0" w:space="0" w:color="auto"/>
                                <w:right w:val="none" w:sz="0" w:space="0" w:color="auto"/>
                              </w:divBdr>
                              <w:divsChild>
                                <w:div w:id="341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603203">
      <w:bodyDiv w:val="1"/>
      <w:marLeft w:val="0"/>
      <w:marRight w:val="0"/>
      <w:marTop w:val="0"/>
      <w:marBottom w:val="0"/>
      <w:divBdr>
        <w:top w:val="none" w:sz="0" w:space="0" w:color="auto"/>
        <w:left w:val="none" w:sz="0" w:space="0" w:color="auto"/>
        <w:bottom w:val="none" w:sz="0" w:space="0" w:color="auto"/>
        <w:right w:val="none" w:sz="0" w:space="0" w:color="auto"/>
      </w:divBdr>
    </w:div>
    <w:div w:id="1777367449">
      <w:bodyDiv w:val="1"/>
      <w:marLeft w:val="0"/>
      <w:marRight w:val="0"/>
      <w:marTop w:val="0"/>
      <w:marBottom w:val="0"/>
      <w:divBdr>
        <w:top w:val="none" w:sz="0" w:space="0" w:color="auto"/>
        <w:left w:val="none" w:sz="0" w:space="0" w:color="auto"/>
        <w:bottom w:val="none" w:sz="0" w:space="0" w:color="auto"/>
        <w:right w:val="none" w:sz="0" w:space="0" w:color="auto"/>
      </w:divBdr>
      <w:divsChild>
        <w:div w:id="1386373990">
          <w:marLeft w:val="0"/>
          <w:marRight w:val="0"/>
          <w:marTop w:val="0"/>
          <w:marBottom w:val="0"/>
          <w:divBdr>
            <w:top w:val="none" w:sz="0" w:space="0" w:color="auto"/>
            <w:left w:val="none" w:sz="0" w:space="0" w:color="auto"/>
            <w:bottom w:val="none" w:sz="0" w:space="0" w:color="auto"/>
            <w:right w:val="none" w:sz="0" w:space="0" w:color="auto"/>
          </w:divBdr>
          <w:divsChild>
            <w:div w:id="199786237">
              <w:marLeft w:val="0"/>
              <w:marRight w:val="0"/>
              <w:marTop w:val="0"/>
              <w:marBottom w:val="0"/>
              <w:divBdr>
                <w:top w:val="none" w:sz="0" w:space="0" w:color="auto"/>
                <w:left w:val="none" w:sz="0" w:space="0" w:color="auto"/>
                <w:bottom w:val="none" w:sz="0" w:space="0" w:color="auto"/>
                <w:right w:val="none" w:sz="0" w:space="0" w:color="auto"/>
              </w:divBdr>
              <w:divsChild>
                <w:div w:id="1522936185">
                  <w:marLeft w:val="0"/>
                  <w:marRight w:val="0"/>
                  <w:marTop w:val="0"/>
                  <w:marBottom w:val="0"/>
                  <w:divBdr>
                    <w:top w:val="single" w:sz="6" w:space="0" w:color="CCCCCC"/>
                    <w:left w:val="single" w:sz="6" w:space="0" w:color="CCCCCC"/>
                    <w:bottom w:val="single" w:sz="6" w:space="0" w:color="CCCCCC"/>
                    <w:right w:val="single" w:sz="6" w:space="0" w:color="CCCCCC"/>
                  </w:divBdr>
                  <w:divsChild>
                    <w:div w:id="235480609">
                      <w:marLeft w:val="0"/>
                      <w:marRight w:val="0"/>
                      <w:marTop w:val="0"/>
                      <w:marBottom w:val="0"/>
                      <w:divBdr>
                        <w:top w:val="none" w:sz="0" w:space="0" w:color="auto"/>
                        <w:left w:val="none" w:sz="0" w:space="0" w:color="auto"/>
                        <w:bottom w:val="none" w:sz="0" w:space="0" w:color="auto"/>
                        <w:right w:val="none" w:sz="0" w:space="0" w:color="auto"/>
                      </w:divBdr>
                      <w:divsChild>
                        <w:div w:id="224032209">
                          <w:marLeft w:val="0"/>
                          <w:marRight w:val="0"/>
                          <w:marTop w:val="0"/>
                          <w:marBottom w:val="0"/>
                          <w:divBdr>
                            <w:top w:val="none" w:sz="0" w:space="0" w:color="auto"/>
                            <w:left w:val="none" w:sz="0" w:space="0" w:color="auto"/>
                            <w:bottom w:val="none" w:sz="0" w:space="0" w:color="auto"/>
                            <w:right w:val="none" w:sz="0" w:space="0" w:color="auto"/>
                          </w:divBdr>
                          <w:divsChild>
                            <w:div w:id="922841673">
                              <w:marLeft w:val="0"/>
                              <w:marRight w:val="0"/>
                              <w:marTop w:val="0"/>
                              <w:marBottom w:val="0"/>
                              <w:divBdr>
                                <w:top w:val="none" w:sz="0" w:space="0" w:color="auto"/>
                                <w:left w:val="none" w:sz="0" w:space="0" w:color="auto"/>
                                <w:bottom w:val="none" w:sz="0" w:space="0" w:color="auto"/>
                                <w:right w:val="none" w:sz="0" w:space="0" w:color="auto"/>
                              </w:divBdr>
                              <w:divsChild>
                                <w:div w:id="9043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11404">
      <w:bodyDiv w:val="1"/>
      <w:marLeft w:val="0"/>
      <w:marRight w:val="0"/>
      <w:marTop w:val="0"/>
      <w:marBottom w:val="0"/>
      <w:divBdr>
        <w:top w:val="none" w:sz="0" w:space="0" w:color="auto"/>
        <w:left w:val="none" w:sz="0" w:space="0" w:color="auto"/>
        <w:bottom w:val="none" w:sz="0" w:space="0" w:color="auto"/>
        <w:right w:val="none" w:sz="0" w:space="0" w:color="auto"/>
      </w:divBdr>
      <w:divsChild>
        <w:div w:id="1832526062">
          <w:marLeft w:val="0"/>
          <w:marRight w:val="0"/>
          <w:marTop w:val="0"/>
          <w:marBottom w:val="0"/>
          <w:divBdr>
            <w:top w:val="none" w:sz="0" w:space="0" w:color="auto"/>
            <w:left w:val="none" w:sz="0" w:space="0" w:color="auto"/>
            <w:bottom w:val="none" w:sz="0" w:space="0" w:color="auto"/>
            <w:right w:val="none" w:sz="0" w:space="0" w:color="auto"/>
          </w:divBdr>
          <w:divsChild>
            <w:div w:id="559173740">
              <w:marLeft w:val="0"/>
              <w:marRight w:val="0"/>
              <w:marTop w:val="0"/>
              <w:marBottom w:val="0"/>
              <w:divBdr>
                <w:top w:val="none" w:sz="0" w:space="0" w:color="auto"/>
                <w:left w:val="none" w:sz="0" w:space="0" w:color="auto"/>
                <w:bottom w:val="none" w:sz="0" w:space="0" w:color="auto"/>
                <w:right w:val="none" w:sz="0" w:space="0" w:color="auto"/>
              </w:divBdr>
              <w:divsChild>
                <w:div w:id="85348782">
                  <w:marLeft w:val="0"/>
                  <w:marRight w:val="0"/>
                  <w:marTop w:val="0"/>
                  <w:marBottom w:val="0"/>
                  <w:divBdr>
                    <w:top w:val="single" w:sz="6" w:space="0" w:color="CCCCCC"/>
                    <w:left w:val="single" w:sz="6" w:space="0" w:color="CCCCCC"/>
                    <w:bottom w:val="single" w:sz="6" w:space="0" w:color="CCCCCC"/>
                    <w:right w:val="single" w:sz="6" w:space="0" w:color="CCCCCC"/>
                  </w:divBdr>
                  <w:divsChild>
                    <w:div w:id="383604565">
                      <w:marLeft w:val="0"/>
                      <w:marRight w:val="0"/>
                      <w:marTop w:val="0"/>
                      <w:marBottom w:val="0"/>
                      <w:divBdr>
                        <w:top w:val="none" w:sz="0" w:space="0" w:color="auto"/>
                        <w:left w:val="none" w:sz="0" w:space="0" w:color="auto"/>
                        <w:bottom w:val="none" w:sz="0" w:space="0" w:color="auto"/>
                        <w:right w:val="none" w:sz="0" w:space="0" w:color="auto"/>
                      </w:divBdr>
                      <w:divsChild>
                        <w:div w:id="1122921397">
                          <w:marLeft w:val="0"/>
                          <w:marRight w:val="0"/>
                          <w:marTop w:val="0"/>
                          <w:marBottom w:val="0"/>
                          <w:divBdr>
                            <w:top w:val="none" w:sz="0" w:space="0" w:color="auto"/>
                            <w:left w:val="none" w:sz="0" w:space="0" w:color="auto"/>
                            <w:bottom w:val="none" w:sz="0" w:space="0" w:color="auto"/>
                            <w:right w:val="none" w:sz="0" w:space="0" w:color="auto"/>
                          </w:divBdr>
                          <w:divsChild>
                            <w:div w:id="1087727715">
                              <w:marLeft w:val="0"/>
                              <w:marRight w:val="0"/>
                              <w:marTop w:val="0"/>
                              <w:marBottom w:val="0"/>
                              <w:divBdr>
                                <w:top w:val="none" w:sz="0" w:space="0" w:color="auto"/>
                                <w:left w:val="none" w:sz="0" w:space="0" w:color="auto"/>
                                <w:bottom w:val="none" w:sz="0" w:space="0" w:color="auto"/>
                                <w:right w:val="none" w:sz="0" w:space="0" w:color="auto"/>
                              </w:divBdr>
                              <w:divsChild>
                                <w:div w:id="21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56050">
      <w:bodyDiv w:val="1"/>
      <w:marLeft w:val="0"/>
      <w:marRight w:val="0"/>
      <w:marTop w:val="0"/>
      <w:marBottom w:val="0"/>
      <w:divBdr>
        <w:top w:val="none" w:sz="0" w:space="0" w:color="auto"/>
        <w:left w:val="none" w:sz="0" w:space="0" w:color="auto"/>
        <w:bottom w:val="none" w:sz="0" w:space="0" w:color="auto"/>
        <w:right w:val="none" w:sz="0" w:space="0" w:color="auto"/>
      </w:divBdr>
      <w:divsChild>
        <w:div w:id="652106084">
          <w:marLeft w:val="0"/>
          <w:marRight w:val="0"/>
          <w:marTop w:val="0"/>
          <w:marBottom w:val="0"/>
          <w:divBdr>
            <w:top w:val="none" w:sz="0" w:space="0" w:color="auto"/>
            <w:left w:val="none" w:sz="0" w:space="0" w:color="auto"/>
            <w:bottom w:val="none" w:sz="0" w:space="0" w:color="auto"/>
            <w:right w:val="none" w:sz="0" w:space="0" w:color="auto"/>
          </w:divBdr>
          <w:divsChild>
            <w:div w:id="1276252472">
              <w:marLeft w:val="0"/>
              <w:marRight w:val="0"/>
              <w:marTop w:val="0"/>
              <w:marBottom w:val="0"/>
              <w:divBdr>
                <w:top w:val="none" w:sz="0" w:space="0" w:color="auto"/>
                <w:left w:val="none" w:sz="0" w:space="0" w:color="auto"/>
                <w:bottom w:val="none" w:sz="0" w:space="0" w:color="auto"/>
                <w:right w:val="none" w:sz="0" w:space="0" w:color="auto"/>
              </w:divBdr>
              <w:divsChild>
                <w:div w:id="677540504">
                  <w:marLeft w:val="0"/>
                  <w:marRight w:val="0"/>
                  <w:marTop w:val="0"/>
                  <w:marBottom w:val="0"/>
                  <w:divBdr>
                    <w:top w:val="single" w:sz="6" w:space="0" w:color="CCCCCC"/>
                    <w:left w:val="single" w:sz="6" w:space="0" w:color="CCCCCC"/>
                    <w:bottom w:val="single" w:sz="6" w:space="0" w:color="CCCCCC"/>
                    <w:right w:val="single" w:sz="6" w:space="0" w:color="CCCCCC"/>
                  </w:divBdr>
                  <w:divsChild>
                    <w:div w:id="721096196">
                      <w:marLeft w:val="0"/>
                      <w:marRight w:val="0"/>
                      <w:marTop w:val="0"/>
                      <w:marBottom w:val="0"/>
                      <w:divBdr>
                        <w:top w:val="none" w:sz="0" w:space="0" w:color="auto"/>
                        <w:left w:val="none" w:sz="0" w:space="0" w:color="auto"/>
                        <w:bottom w:val="none" w:sz="0" w:space="0" w:color="auto"/>
                        <w:right w:val="none" w:sz="0" w:space="0" w:color="auto"/>
                      </w:divBdr>
                      <w:divsChild>
                        <w:div w:id="1898853140">
                          <w:marLeft w:val="0"/>
                          <w:marRight w:val="0"/>
                          <w:marTop w:val="0"/>
                          <w:marBottom w:val="0"/>
                          <w:divBdr>
                            <w:top w:val="none" w:sz="0" w:space="0" w:color="auto"/>
                            <w:left w:val="none" w:sz="0" w:space="0" w:color="auto"/>
                            <w:bottom w:val="none" w:sz="0" w:space="0" w:color="auto"/>
                            <w:right w:val="none" w:sz="0" w:space="0" w:color="auto"/>
                          </w:divBdr>
                          <w:divsChild>
                            <w:div w:id="982930431">
                              <w:marLeft w:val="0"/>
                              <w:marRight w:val="0"/>
                              <w:marTop w:val="0"/>
                              <w:marBottom w:val="0"/>
                              <w:divBdr>
                                <w:top w:val="none" w:sz="0" w:space="0" w:color="auto"/>
                                <w:left w:val="none" w:sz="0" w:space="0" w:color="auto"/>
                                <w:bottom w:val="none" w:sz="0" w:space="0" w:color="auto"/>
                                <w:right w:val="none" w:sz="0" w:space="0" w:color="auto"/>
                              </w:divBdr>
                              <w:divsChild>
                                <w:div w:id="11546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046139">
      <w:bodyDiv w:val="1"/>
      <w:marLeft w:val="0"/>
      <w:marRight w:val="0"/>
      <w:marTop w:val="0"/>
      <w:marBottom w:val="0"/>
      <w:divBdr>
        <w:top w:val="none" w:sz="0" w:space="0" w:color="auto"/>
        <w:left w:val="none" w:sz="0" w:space="0" w:color="auto"/>
        <w:bottom w:val="none" w:sz="0" w:space="0" w:color="auto"/>
        <w:right w:val="none" w:sz="0" w:space="0" w:color="auto"/>
      </w:divBdr>
      <w:divsChild>
        <w:div w:id="1684699698">
          <w:marLeft w:val="0"/>
          <w:marRight w:val="0"/>
          <w:marTop w:val="0"/>
          <w:marBottom w:val="0"/>
          <w:divBdr>
            <w:top w:val="none" w:sz="0" w:space="0" w:color="auto"/>
            <w:left w:val="none" w:sz="0" w:space="0" w:color="auto"/>
            <w:bottom w:val="none" w:sz="0" w:space="0" w:color="auto"/>
            <w:right w:val="none" w:sz="0" w:space="0" w:color="auto"/>
          </w:divBdr>
        </w:div>
      </w:divsChild>
    </w:div>
    <w:div w:id="2137327426">
      <w:bodyDiv w:val="1"/>
      <w:marLeft w:val="0"/>
      <w:marRight w:val="0"/>
      <w:marTop w:val="0"/>
      <w:marBottom w:val="0"/>
      <w:divBdr>
        <w:top w:val="none" w:sz="0" w:space="0" w:color="auto"/>
        <w:left w:val="none" w:sz="0" w:space="0" w:color="auto"/>
        <w:bottom w:val="none" w:sz="0" w:space="0" w:color="auto"/>
        <w:right w:val="none" w:sz="0" w:space="0" w:color="auto"/>
      </w:divBdr>
      <w:divsChild>
        <w:div w:id="2035425446">
          <w:marLeft w:val="0"/>
          <w:marRight w:val="0"/>
          <w:marTop w:val="0"/>
          <w:marBottom w:val="0"/>
          <w:divBdr>
            <w:top w:val="none" w:sz="0" w:space="0" w:color="auto"/>
            <w:left w:val="none" w:sz="0" w:space="0" w:color="auto"/>
            <w:bottom w:val="none" w:sz="0" w:space="0" w:color="auto"/>
            <w:right w:val="none" w:sz="0" w:space="0" w:color="auto"/>
          </w:divBdr>
          <w:divsChild>
            <w:div w:id="297804649">
              <w:marLeft w:val="0"/>
              <w:marRight w:val="0"/>
              <w:marTop w:val="0"/>
              <w:marBottom w:val="0"/>
              <w:divBdr>
                <w:top w:val="none" w:sz="0" w:space="0" w:color="auto"/>
                <w:left w:val="none" w:sz="0" w:space="0" w:color="auto"/>
                <w:bottom w:val="none" w:sz="0" w:space="0" w:color="auto"/>
                <w:right w:val="none" w:sz="0" w:space="0" w:color="auto"/>
              </w:divBdr>
              <w:divsChild>
                <w:div w:id="339282481">
                  <w:marLeft w:val="0"/>
                  <w:marRight w:val="0"/>
                  <w:marTop w:val="0"/>
                  <w:marBottom w:val="0"/>
                  <w:divBdr>
                    <w:top w:val="single" w:sz="6" w:space="0" w:color="CCCCCC"/>
                    <w:left w:val="single" w:sz="6" w:space="0" w:color="CCCCCC"/>
                    <w:bottom w:val="single" w:sz="6" w:space="0" w:color="CCCCCC"/>
                    <w:right w:val="single" w:sz="6" w:space="0" w:color="CCCCCC"/>
                  </w:divBdr>
                  <w:divsChild>
                    <w:div w:id="997269240">
                      <w:marLeft w:val="0"/>
                      <w:marRight w:val="0"/>
                      <w:marTop w:val="0"/>
                      <w:marBottom w:val="0"/>
                      <w:divBdr>
                        <w:top w:val="none" w:sz="0" w:space="0" w:color="auto"/>
                        <w:left w:val="none" w:sz="0" w:space="0" w:color="auto"/>
                        <w:bottom w:val="none" w:sz="0" w:space="0" w:color="auto"/>
                        <w:right w:val="none" w:sz="0" w:space="0" w:color="auto"/>
                      </w:divBdr>
                      <w:divsChild>
                        <w:div w:id="240723295">
                          <w:marLeft w:val="0"/>
                          <w:marRight w:val="0"/>
                          <w:marTop w:val="0"/>
                          <w:marBottom w:val="0"/>
                          <w:divBdr>
                            <w:top w:val="none" w:sz="0" w:space="0" w:color="auto"/>
                            <w:left w:val="none" w:sz="0" w:space="0" w:color="auto"/>
                            <w:bottom w:val="none" w:sz="0" w:space="0" w:color="auto"/>
                            <w:right w:val="none" w:sz="0" w:space="0" w:color="auto"/>
                          </w:divBdr>
                          <w:divsChild>
                            <w:div w:id="1242520983">
                              <w:marLeft w:val="0"/>
                              <w:marRight w:val="0"/>
                              <w:marTop w:val="0"/>
                              <w:marBottom w:val="0"/>
                              <w:divBdr>
                                <w:top w:val="none" w:sz="0" w:space="0" w:color="auto"/>
                                <w:left w:val="none" w:sz="0" w:space="0" w:color="auto"/>
                                <w:bottom w:val="none" w:sz="0" w:space="0" w:color="auto"/>
                                <w:right w:val="none" w:sz="0" w:space="0" w:color="auto"/>
                              </w:divBdr>
                              <w:divsChild>
                                <w:div w:id="401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log.iese.edu/cities-challenges-and-management/2019/05/10/iese-cities-in-motion-index-2019/" TargetMode="External"/><Relationship Id="rId18" Type="http://schemas.openxmlformats.org/officeDocument/2006/relationships/hyperlink" Target="https://www.theguardian.com/cities/2014/dec/17/truth-smart-city-destroy-democracy-urban-thinkers-buzzphr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ks.harvard.edu/sites/default/files/centers/taubman/files/brief_divergence.pdf" TargetMode="External"/><Relationship Id="rId17" Type="http://schemas.openxmlformats.org/officeDocument/2006/relationships/hyperlink" Target="http://eprints.qut.edu.au/1299/1/partridge.h.2.paper.pdf" TargetMode="External"/><Relationship Id="rId2" Type="http://schemas.openxmlformats.org/officeDocument/2006/relationships/numbering" Target="numbering.xml"/><Relationship Id="rId16" Type="http://schemas.openxmlformats.org/officeDocument/2006/relationships/hyperlink" Target="https://www.iotworldtoday.com/2017/09/28/definitive-list-smart-cities-projects-taking-world-st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statistics-explained/index.php/Glossary:Functional_urban_area" TargetMode="External"/><Relationship Id="rId5" Type="http://schemas.openxmlformats.org/officeDocument/2006/relationships/webSettings" Target="webSettings.xml"/><Relationship Id="rId15" Type="http://schemas.openxmlformats.org/officeDocument/2006/relationships/hyperlink" Target="http://citeseerx.ist.psu.edu/viewdoc/download?doi=10.1.1.685.260&amp;rep=rep1&amp;type=pdf" TargetMode="External"/><Relationship Id="rId10" Type="http://schemas.openxmlformats.org/officeDocument/2006/relationships/hyperlink" Target="https://europeanvaluesstudy.eu/" TargetMode="External"/><Relationship Id="rId19" Type="http://schemas.openxmlformats.org/officeDocument/2006/relationships/hyperlink" Target="https://newcities.org/the-big-picture-greenfield-smart-cities-shaping-future-indi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rookings.edu/opinions/can-smart-cities-be-equitab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hiara.delbo@unimi.it" TargetMode="External"/><Relationship Id="rId2" Type="http://schemas.openxmlformats.org/officeDocument/2006/relationships/hyperlink" Target="mailto:andrea.caragliu@polimi.it" TargetMode="External"/><Relationship Id="rId1" Type="http://schemas.openxmlformats.org/officeDocument/2006/relationships/hyperlink" Target="https://www.tandfonline.com/doi/pdf/10.1080/00343404.2021.19844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222C-16DC-4BED-8F4F-11B10614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10496</Words>
  <Characters>59832</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Andrea Antonio Caragliu</cp:lastModifiedBy>
  <cp:revision>5</cp:revision>
  <cp:lastPrinted>2019-11-04T10:22:00Z</cp:lastPrinted>
  <dcterms:created xsi:type="dcterms:W3CDTF">2021-10-21T13:12:00Z</dcterms:created>
  <dcterms:modified xsi:type="dcterms:W3CDTF">2021-10-21T13:18:00Z</dcterms:modified>
</cp:coreProperties>
</file>