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0B965A" w14:textId="60A53980" w:rsidR="007351C5" w:rsidRPr="002945D7" w:rsidRDefault="00247F65" w:rsidP="00950B57">
      <w:pPr>
        <w:pStyle w:val="Titolo"/>
        <w:framePr w:wrap="notBeside"/>
        <w:rPr>
          <w:lang w:val="en-GB"/>
        </w:rPr>
      </w:pPr>
      <w:r w:rsidRPr="002945D7">
        <w:rPr>
          <w:lang w:val="en-GB"/>
        </w:rPr>
        <w:t>Flow Focusing Microfluidic Device for Pancreatic Islets Conformal Coating in a PEG-based Hydrogel</w:t>
      </w:r>
    </w:p>
    <w:p w14:paraId="5393B789" w14:textId="284DDE3F" w:rsidR="007351C5" w:rsidRPr="00247F65" w:rsidRDefault="00247F65" w:rsidP="002945D7">
      <w:pPr>
        <w:pStyle w:val="Authors"/>
        <w:framePr w:wrap="notBeside" w:x="1418" w:y="2236"/>
        <w:rPr>
          <w:sz w:val="20"/>
          <w:szCs w:val="20"/>
          <w:vertAlign w:val="superscript"/>
          <w:lang w:val="it-IT"/>
        </w:rPr>
      </w:pPr>
      <w:r w:rsidRPr="00247F65">
        <w:rPr>
          <w:sz w:val="20"/>
          <w:szCs w:val="20"/>
          <w:lang w:val="it-IT"/>
        </w:rPr>
        <w:t>F</w:t>
      </w:r>
      <w:r w:rsidR="007351C5" w:rsidRPr="00247F65">
        <w:rPr>
          <w:sz w:val="20"/>
          <w:szCs w:val="20"/>
          <w:lang w:val="it-IT"/>
        </w:rPr>
        <w:t xml:space="preserve">. </w:t>
      </w:r>
      <w:r w:rsidRPr="00247F65">
        <w:rPr>
          <w:sz w:val="20"/>
          <w:szCs w:val="20"/>
          <w:lang w:val="it-IT"/>
        </w:rPr>
        <w:t>Vicinanza</w:t>
      </w:r>
      <w:r w:rsidR="007351C5" w:rsidRPr="00247F65">
        <w:rPr>
          <w:sz w:val="20"/>
          <w:szCs w:val="20"/>
          <w:vertAlign w:val="superscript"/>
          <w:lang w:val="it-IT"/>
        </w:rPr>
        <w:t>1</w:t>
      </w:r>
      <w:r w:rsidR="007351C5" w:rsidRPr="00247F65">
        <w:rPr>
          <w:sz w:val="20"/>
          <w:szCs w:val="20"/>
          <w:lang w:val="it-IT"/>
        </w:rPr>
        <w:t xml:space="preserve">, </w:t>
      </w:r>
      <w:r w:rsidRPr="00247F65">
        <w:rPr>
          <w:sz w:val="20"/>
          <w:szCs w:val="20"/>
          <w:lang w:val="it-IT"/>
        </w:rPr>
        <w:t>T</w:t>
      </w:r>
      <w:r w:rsidR="007351C5" w:rsidRPr="00247F65">
        <w:rPr>
          <w:sz w:val="20"/>
          <w:szCs w:val="20"/>
          <w:lang w:val="it-IT"/>
        </w:rPr>
        <w:t xml:space="preserve">. </w:t>
      </w:r>
      <w:r w:rsidRPr="00247F65">
        <w:rPr>
          <w:sz w:val="20"/>
          <w:szCs w:val="20"/>
          <w:lang w:val="it-IT"/>
        </w:rPr>
        <w:t>Mencarini</w:t>
      </w:r>
      <w:r w:rsidR="007351C5" w:rsidRPr="00247F65">
        <w:rPr>
          <w:sz w:val="20"/>
          <w:szCs w:val="20"/>
          <w:vertAlign w:val="superscript"/>
          <w:lang w:val="it-IT"/>
        </w:rPr>
        <w:t>1</w:t>
      </w:r>
      <w:r w:rsidR="007351C5" w:rsidRPr="00247F65">
        <w:rPr>
          <w:sz w:val="20"/>
          <w:szCs w:val="20"/>
          <w:lang w:val="it-IT"/>
        </w:rPr>
        <w:t xml:space="preserve">, </w:t>
      </w:r>
      <w:r w:rsidR="00EF21C0">
        <w:rPr>
          <w:sz w:val="20"/>
          <w:szCs w:val="20"/>
          <w:lang w:val="it-IT"/>
        </w:rPr>
        <w:t>F. Verderio</w:t>
      </w:r>
      <w:r w:rsidR="00EF21C0" w:rsidRPr="00247F65">
        <w:rPr>
          <w:sz w:val="20"/>
          <w:szCs w:val="20"/>
          <w:vertAlign w:val="superscript"/>
          <w:lang w:val="it-IT"/>
        </w:rPr>
        <w:t>1</w:t>
      </w:r>
      <w:r w:rsidR="00EF21C0">
        <w:rPr>
          <w:sz w:val="20"/>
          <w:szCs w:val="20"/>
          <w:lang w:val="it-IT"/>
        </w:rPr>
        <w:t>, A. Tomei</w:t>
      </w:r>
      <w:r w:rsidR="00EF21C0">
        <w:rPr>
          <w:sz w:val="20"/>
          <w:szCs w:val="20"/>
          <w:vertAlign w:val="superscript"/>
          <w:lang w:val="it-IT"/>
        </w:rPr>
        <w:t>2</w:t>
      </w:r>
      <w:r w:rsidR="00EF21C0">
        <w:rPr>
          <w:sz w:val="20"/>
          <w:szCs w:val="20"/>
          <w:lang w:val="it-IT"/>
        </w:rPr>
        <w:t xml:space="preserve"> and</w:t>
      </w:r>
      <w:r w:rsidR="007351C5" w:rsidRPr="00247F65">
        <w:rPr>
          <w:sz w:val="20"/>
          <w:szCs w:val="20"/>
          <w:lang w:val="it-IT"/>
        </w:rPr>
        <w:t xml:space="preserve"> </w:t>
      </w:r>
      <w:r>
        <w:rPr>
          <w:sz w:val="20"/>
          <w:szCs w:val="20"/>
          <w:lang w:val="it-IT"/>
        </w:rPr>
        <w:t>A</w:t>
      </w:r>
      <w:r w:rsidR="00B3231A" w:rsidRPr="00247F65">
        <w:rPr>
          <w:sz w:val="20"/>
          <w:szCs w:val="20"/>
          <w:lang w:val="it-IT"/>
        </w:rPr>
        <w:t>.</w:t>
      </w:r>
      <w:r w:rsidR="007351C5" w:rsidRPr="00247F65">
        <w:rPr>
          <w:sz w:val="20"/>
          <w:szCs w:val="20"/>
          <w:lang w:val="it-IT"/>
        </w:rPr>
        <w:t xml:space="preserve"> </w:t>
      </w:r>
      <w:r>
        <w:rPr>
          <w:sz w:val="20"/>
          <w:szCs w:val="20"/>
          <w:lang w:val="it-IT"/>
        </w:rPr>
        <w:t>Redaelli</w:t>
      </w:r>
      <w:r>
        <w:rPr>
          <w:sz w:val="20"/>
          <w:szCs w:val="20"/>
          <w:vertAlign w:val="superscript"/>
          <w:lang w:val="it-IT"/>
        </w:rPr>
        <w:t>1</w:t>
      </w:r>
    </w:p>
    <w:p w14:paraId="23947DC1" w14:textId="4DB8C375" w:rsidR="007351C5" w:rsidRDefault="007351C5" w:rsidP="002945D7">
      <w:pPr>
        <w:pStyle w:val="Affiliations"/>
        <w:framePr w:wrap="notBeside" w:x="1418" w:y="2236"/>
      </w:pPr>
      <w:r w:rsidRPr="00E00D68">
        <w:rPr>
          <w:vertAlign w:val="superscript"/>
          <w:lang w:val="en-GB"/>
        </w:rPr>
        <w:t>1</w:t>
      </w:r>
      <w:r w:rsidRPr="00E00D68">
        <w:rPr>
          <w:lang w:val="en-GB"/>
        </w:rPr>
        <w:tab/>
      </w:r>
      <w:r w:rsidR="00247F65" w:rsidRPr="00247F65">
        <w:t>Department of Electronics, Information and Bioengineering, Politecnico di Milano, Milan, Italy</w:t>
      </w:r>
    </w:p>
    <w:p w14:paraId="64AA97B3" w14:textId="48DCE07E" w:rsidR="00EF21C0" w:rsidRDefault="00EF21C0" w:rsidP="002945D7">
      <w:pPr>
        <w:pStyle w:val="Affiliations"/>
        <w:framePr w:wrap="notBeside" w:x="1418" w:y="2236"/>
      </w:pPr>
      <w:r>
        <w:rPr>
          <w:vertAlign w:val="superscript"/>
          <w:lang w:val="en-GB"/>
        </w:rPr>
        <w:t>2</w:t>
      </w:r>
      <w:r w:rsidRPr="00E00D68">
        <w:rPr>
          <w:lang w:val="en-GB"/>
        </w:rPr>
        <w:tab/>
      </w:r>
      <w:r w:rsidR="00233F83" w:rsidRPr="00233F83">
        <w:t>Diabetes Research Institute, University of Miami Miller School of Medicine, Miami, FL, USA.</w:t>
      </w:r>
    </w:p>
    <w:p w14:paraId="0574DF2D" w14:textId="77777777" w:rsidR="00EF21C0" w:rsidRPr="00247F65" w:rsidRDefault="00EF21C0" w:rsidP="002945D7">
      <w:pPr>
        <w:pStyle w:val="Affiliations"/>
        <w:framePr w:wrap="notBeside" w:x="1418" w:y="2236"/>
        <w:rPr>
          <w:strike/>
          <w:lang w:val="en-GB"/>
        </w:rPr>
      </w:pPr>
    </w:p>
    <w:p w14:paraId="12A92BCF" w14:textId="66D4D342" w:rsidR="007351C5" w:rsidRDefault="007351C5" w:rsidP="00B32A68">
      <w:pPr>
        <w:pStyle w:val="Abstract"/>
        <w:rPr>
          <w:lang w:val="en-GB"/>
        </w:rPr>
      </w:pPr>
      <w:r w:rsidRPr="00E00D68">
        <w:rPr>
          <w:i/>
          <w:iCs/>
          <w:lang w:val="en-GB"/>
        </w:rPr>
        <w:t>Abstract</w:t>
      </w:r>
      <w:r w:rsidRPr="00E00D68">
        <w:rPr>
          <w:lang w:val="en-GB"/>
        </w:rPr>
        <w:t>—</w:t>
      </w:r>
      <w:r w:rsidR="00247395" w:rsidRPr="00247395">
        <w:rPr>
          <w:b w:val="0"/>
          <w:bCs w:val="0"/>
          <w:sz w:val="20"/>
          <w:szCs w:val="20"/>
        </w:rPr>
        <w:t xml:space="preserve"> </w:t>
      </w:r>
      <w:r w:rsidR="00247395" w:rsidRPr="00247395">
        <w:t>Conventional therapies for Type 1 Diabetes (T1D) aim to maintain glucose homeostasis and prevent long-term complications by administering exogenous insulin.</w:t>
      </w:r>
      <w:r w:rsidR="00247395">
        <w:t xml:space="preserve"> </w:t>
      </w:r>
      <w:r w:rsidR="00247F65" w:rsidRPr="00247F65">
        <w:rPr>
          <w:lang w:val="en-GB"/>
        </w:rPr>
        <w:t xml:space="preserve">A more promising strategy is to treat T1D with cell therapies: for this kind of treatment, islet transplantation is minimally invasive and safer than whole pancreas transplantation. However, the need of an immunosuppressive therapy severely limits its applicability. Conformal coating (CC) allows the encapsulation of single pancreatic islets in a polymeric membrane that conforms to the shape and size of the islets, resulting in a thin and uniform coating. The membrane allows exchange of small molecules, </w:t>
      </w:r>
      <w:bookmarkStart w:id="0" w:name="_Hlk131085594"/>
      <w:r w:rsidR="00247F65" w:rsidRPr="00247F65">
        <w:rPr>
          <w:lang w:val="en-GB"/>
        </w:rPr>
        <w:t xml:space="preserve">providing an </w:t>
      </w:r>
      <w:proofErr w:type="spellStart"/>
      <w:r w:rsidR="00247F65" w:rsidRPr="00247F65">
        <w:rPr>
          <w:lang w:val="en-GB"/>
        </w:rPr>
        <w:t>immunoprotective</w:t>
      </w:r>
      <w:proofErr w:type="spellEnd"/>
      <w:r w:rsidR="00247F65" w:rsidRPr="00247F65">
        <w:rPr>
          <w:lang w:val="en-GB"/>
        </w:rPr>
        <w:t xml:space="preserve"> and cell-supportive microenvironment</w:t>
      </w:r>
      <w:bookmarkEnd w:id="0"/>
      <w:r w:rsidR="00247F65" w:rsidRPr="00247F65">
        <w:rPr>
          <w:lang w:val="en-GB"/>
        </w:rPr>
        <w:t xml:space="preserve">. The present work shows how a soft lithographic microfluidic device can be </w:t>
      </w:r>
      <w:r w:rsidR="004D07F1" w:rsidRPr="004D07F1">
        <w:t>utilized</w:t>
      </w:r>
      <w:r w:rsidR="004D07F1">
        <w:t xml:space="preserve"> </w:t>
      </w:r>
      <w:r w:rsidR="00247F65" w:rsidRPr="00247F65">
        <w:rPr>
          <w:lang w:val="en-GB"/>
        </w:rPr>
        <w:t>to obtain CC islets in a polyethylene glycol (PEG)-based hydrogel</w:t>
      </w:r>
      <w:r w:rsidR="00884C16">
        <w:rPr>
          <w:lang w:val="en-GB"/>
        </w:rPr>
        <w:t xml:space="preserve"> </w:t>
      </w:r>
      <w:r w:rsidR="00884C16" w:rsidRPr="00884C16">
        <w:t>by coaxial injection of coating material and cells in an immiscible external oil phase through a built-in nozzle</w:t>
      </w:r>
      <w:r w:rsidR="00247F65" w:rsidRPr="00247F65">
        <w:rPr>
          <w:lang w:val="en-GB"/>
        </w:rPr>
        <w:t>. The device was designed and tested</w:t>
      </w:r>
      <w:r w:rsidR="00884C16">
        <w:rPr>
          <w:lang w:val="en-GB"/>
        </w:rPr>
        <w:t xml:space="preserve"> </w:t>
      </w:r>
      <w:r w:rsidR="00884C16" w:rsidRPr="00884C16">
        <w:rPr>
          <w:lang w:val="en-GB"/>
        </w:rPr>
        <w:t>to maximize coating conformality on NIT1 insulinoma cell clusters</w:t>
      </w:r>
      <w:r w:rsidR="00884C16">
        <w:rPr>
          <w:lang w:val="en-GB"/>
        </w:rPr>
        <w:t>. L</w:t>
      </w:r>
      <w:proofErr w:type="spellStart"/>
      <w:r w:rsidR="00884C16" w:rsidRPr="00884C16">
        <w:t>ive</w:t>
      </w:r>
      <w:proofErr w:type="spellEnd"/>
      <w:r w:rsidR="00884C16" w:rsidRPr="00884C16">
        <w:t xml:space="preserve">/dead staining and confocal microscopy and glucose-stimulated insulin secretion </w:t>
      </w:r>
      <w:r w:rsidR="00247F65" w:rsidRPr="00247F65">
        <w:rPr>
          <w:lang w:val="en-GB"/>
        </w:rPr>
        <w:t xml:space="preserve">were performed to assess the viability and functionality of the obtained CC clusters. In vitro results demonstrated how to obtain fully polymerized conformal capsules, having a coating thickness that allows passive diffusion of molecules that are critical for </w:t>
      </w:r>
      <w:r w:rsidR="00884C16">
        <w:rPr>
          <w:lang w:val="en-GB"/>
        </w:rPr>
        <w:t xml:space="preserve">cell </w:t>
      </w:r>
      <w:r w:rsidR="00884C16" w:rsidRPr="00247F65">
        <w:rPr>
          <w:lang w:val="en-GB"/>
        </w:rPr>
        <w:t xml:space="preserve">clusters </w:t>
      </w:r>
      <w:r w:rsidR="00247F65" w:rsidRPr="00247F65">
        <w:rPr>
          <w:lang w:val="en-GB"/>
        </w:rPr>
        <w:t>survival and function, including oxygen, nutrients, and insulin without compromising the vitality and functionality of the encapsulated clusters</w:t>
      </w:r>
      <w:r w:rsidR="00451E88">
        <w:rPr>
          <w:lang w:val="en-GB"/>
        </w:rPr>
        <w:t>.</w:t>
      </w:r>
    </w:p>
    <w:p w14:paraId="7F025DBE" w14:textId="1D163738" w:rsidR="00B32A68" w:rsidRPr="00E00D68" w:rsidRDefault="00B32A68" w:rsidP="00B32A68">
      <w:pPr>
        <w:pStyle w:val="Keywords"/>
        <w:rPr>
          <w:lang w:val="en-GB"/>
        </w:rPr>
      </w:pPr>
      <w:r w:rsidRPr="00E00D68">
        <w:rPr>
          <w:i/>
          <w:lang w:val="en-GB"/>
        </w:rPr>
        <w:t>Keywords</w:t>
      </w:r>
      <w:r w:rsidRPr="00E00D68">
        <w:rPr>
          <w:lang w:val="en-GB"/>
        </w:rPr>
        <w:t>—</w:t>
      </w:r>
      <w:r w:rsidR="00247F65">
        <w:rPr>
          <w:lang w:val="en-GB"/>
        </w:rPr>
        <w:t xml:space="preserve"> </w:t>
      </w:r>
      <w:r w:rsidR="00247F65" w:rsidRPr="00247F65">
        <w:rPr>
          <w:lang w:val="en-GB"/>
        </w:rPr>
        <w:t>Microfluidics, Conformal coating, Pancreatic islets transplantation, Type 1 diabetes</w:t>
      </w:r>
      <w:r w:rsidRPr="00E00D68">
        <w:rPr>
          <w:lang w:val="en-GB"/>
        </w:rPr>
        <w:t>.</w:t>
      </w:r>
    </w:p>
    <w:p w14:paraId="18D32F0C" w14:textId="099C6039" w:rsidR="007351C5" w:rsidRDefault="0089239E">
      <w:pPr>
        <w:pStyle w:val="Titolo1"/>
        <w:rPr>
          <w:lang w:val="en-GB"/>
        </w:rPr>
      </w:pPr>
      <w:r w:rsidRPr="00E00D68">
        <w:rPr>
          <w:lang w:val="en-GB"/>
        </w:rPr>
        <w:t>Introduction</w:t>
      </w:r>
    </w:p>
    <w:p w14:paraId="56E6AB02" w14:textId="77777777" w:rsidR="00626706" w:rsidRDefault="00626706" w:rsidP="001F13CE">
      <w:pPr>
        <w:tabs>
          <w:tab w:val="left" w:pos="340"/>
          <w:tab w:val="right" w:pos="8959"/>
        </w:tabs>
        <w:jc w:val="both"/>
        <w:rPr>
          <w:szCs w:val="24"/>
          <w:lang w:val="en-GB"/>
        </w:rPr>
      </w:pPr>
    </w:p>
    <w:p w14:paraId="003CB62E" w14:textId="13203D91" w:rsidR="00247F65" w:rsidRDefault="00247F65" w:rsidP="001F13CE">
      <w:pPr>
        <w:tabs>
          <w:tab w:val="left" w:pos="340"/>
          <w:tab w:val="right" w:pos="8959"/>
        </w:tabs>
        <w:jc w:val="both"/>
        <w:rPr>
          <w:szCs w:val="24"/>
          <w:lang w:val="en-GB"/>
        </w:rPr>
      </w:pPr>
      <w:r>
        <w:rPr>
          <w:szCs w:val="24"/>
          <w:lang w:val="en-GB"/>
        </w:rPr>
        <w:t xml:space="preserve">With exogenous insulin replacement, Type 1 Diabetes (T1D) is not cured, but managed. It could be cured with allogeneic islet transplantation; however, the need for intensive immunosuppression limits the applicability of this procedure </w:t>
      </w:r>
      <w:r>
        <w:rPr>
          <w:szCs w:val="24"/>
          <w:lang w:val="en-GB"/>
        </w:rPr>
        <w:fldChar w:fldCharType="begin" w:fldLock="1"/>
      </w:r>
      <w:r>
        <w:rPr>
          <w:szCs w:val="24"/>
          <w:lang w:val="en-GB"/>
        </w:rPr>
        <w:instrText>ADDIN CSL_CITATION {"citationItems":[{"id":"ITEM-1","itemData":{"DOI":"10.1038/nrendo.2016.178","ISSN":"17595037","PMID":"27834384","abstract":"Clinical pancreatic islet transplantation can be considered one of the safest and least invasive transplant procedures. Remarkable progress has occurred in both the technical aspects of islet cell processing and the outcomes of clinical islet transplantation. With &gt;1,500 patients treated since 2000, this therapeutic strategy has moved from a curiosity to a realistic treatment option for selected patients with type 1 diabetes mellitus (that is, those with hypoglycaemia unawareness, severe hypoglycaemic episodes and glycaemic lability). This Review outlines the techniques required for human islet isolation, in vitro culture before the transplant and clinical islet transplantation, and discusses indications, optimization of recipient immunosuppression and management of adjunctive immunomodulatory and anti-inflammatory strategies. The potential risks, long-term outcomes and advances in treatment after the transplant are also discussed to further move this treatment towards becoming a more widely available option for patients with type 1 diabetes mellitus and eventually a potential cure.","author":[{"dropping-particle":"","family":"Shapiro","given":"A. M.James","non-dropping-particle":"","parse-names":false,"suffix":""},{"dropping-particle":"","family":"Pokrywczynska","given":"Marta","non-dropping-particle":"","parse-names":false,"suffix":""},{"dropping-particle":"","family":"Ricordi","given":"Camillo","non-dropping-particle":"","parse-names":false,"suffix":""}],"container-title":"Nature Reviews Endocrinology","id":"ITEM-1","issue":"5","issued":{"date-parts":[["2017"]]},"page":"268-277","publisher":"Nature Publishing Group","title":"Clinical pancreatic islet transplantation","type":"article-journal","volume":"13"},"uris":["http://www.mendeley.com/documents/?uuid=cfdb11af-844c-4adc-a7e3-88ae0b0224c7"]}],"mendeley":{"formattedCitation":"[1]","plainTextFormattedCitation":"[1]","previouslyFormattedCitation":"[1]"},"properties":{"noteIndex":0},"schema":"https://github.com/citation-style-language/schema/raw/master/csl-citation.json"}</w:instrText>
      </w:r>
      <w:r>
        <w:rPr>
          <w:szCs w:val="24"/>
          <w:lang w:val="en-GB"/>
        </w:rPr>
        <w:fldChar w:fldCharType="separate"/>
      </w:r>
      <w:r>
        <w:rPr>
          <w:noProof/>
          <w:szCs w:val="24"/>
          <w:lang w:val="en-GB"/>
        </w:rPr>
        <w:t>[1]</w:t>
      </w:r>
      <w:r>
        <w:rPr>
          <w:szCs w:val="24"/>
          <w:lang w:val="en-GB"/>
        </w:rPr>
        <w:fldChar w:fldCharType="end"/>
      </w:r>
      <w:r>
        <w:rPr>
          <w:szCs w:val="24"/>
          <w:lang w:val="en-GB"/>
        </w:rPr>
        <w:t xml:space="preserve">. A promising strategy to avoid immunosuppressive therapy is based on immunoisolation by encapsulation in a selectively permeable membrane. Conformal coating (CC) adapts to the size and shape of pancreatic islets, resulting in 10-20 μm thick capsules </w:t>
      </w:r>
      <w:r>
        <w:rPr>
          <w:szCs w:val="24"/>
          <w:lang w:val="en-GB"/>
        </w:rPr>
        <w:fldChar w:fldCharType="begin" w:fldLock="1"/>
      </w:r>
      <w:r>
        <w:rPr>
          <w:szCs w:val="24"/>
          <w:lang w:val="en-GB"/>
        </w:rPr>
        <w:instrText>ADDIN CSL_CITATION {"citationItems":[{"id":"ITEM-1","itemData":{"DOI":"10.3389/fbioe.2022.886483","ISSN":"22964185","abstract":"Pancreatic islet transplantation improves metabolic control and prevents complications in patients with brittle type 1 diabetes (T1D). However, chronic immunosuppression is required to prevent allograft rejection and recurrence of autoimmunity. Islet encapsulation may eliminate the need for immunosuppression. Here, we analyzed in parallel two microencapsulation platforms that provided long-term diabetes reversal in preclinical T1D models, alginate single and double capsules versus polyethylene glycol conformal coating, to identify benefits and weaknesses that could inform the design of future clinical trials with microencapsulated islets. We performed in vitro and in vivo functionality assays with human islets and analyzed the explanted grafts by immunofluorescence. We quantified the size of islets and capsules, measured capsule permeability, and used these data for in silico simulations of islet functionality in COMSOL Multiphysics. We demonstrated that insulin response to glucose stimulation is dependent on capsule size, and the presence of permselective materials augments delays in insulin secretion. Non-coated and conformally coated islets could be transplanted into the fat pad of diabetic mice, resulting in comparable functionality and metabolic control. Mac-2+ cells were found in conformally coated grafts, indicating possible host reactivity. Due to their larger volume, alginate capsules were transplanted in the peritoneal cavity. Despite achieving diabetes reversal, changes in islet composition were found in retrieved capsules, and recipient mice experienced hypoglycemia indicative of hyperinsulinemia induced by glucose retention in large capsules as the in silico model predicted. We concluded that minimal capsule size is critical for physiological insulin secretion, and anti-inflammatory modulation may be beneficial for small conformal capsules.","author":[{"dropping-particle":"","family":"Toni","given":"Teresa","non-dropping-particle":"De","parse-names":false,"suffix":""},{"dropping-particle":"","family":"Stock","given":"Aaron A.","non-dropping-particle":"","parse-names":false,"suffix":""},{"dropping-particle":"","family":"Devaux","given":"Floriane","non-dropping-particle":"","parse-names":false,"suffix":""},{"dropping-particle":"","family":"Gonzalez","given":"Grisell C.","non-dropping-particle":"","parse-names":false,"suffix":""},{"dropping-particle":"","family":"Nunez","given":"Kailyn","non-dropping-particle":"","parse-names":false,"suffix":""},{"dropping-particle":"","family":"Rubanich","given":"Jessica C.","non-dropping-particle":"","parse-names":false,"suffix":""},{"dropping-particle":"","family":"Safley","given":"Susan A.","non-dropping-particle":"","parse-names":false,"suffix":""},{"dropping-particle":"","family":"Weber","given":"Collin J.","non-dropping-particle":"","parse-names":false,"suffix":""},{"dropping-particle":"","family":"Ziebarth","given":"Noel M.","non-dropping-particle":"","parse-names":false,"suffix":""},{"dropping-particle":"","family":"Buchwald","given":"Peter","non-dropping-particle":"","parse-names":false,"suffix":""},{"dropping-particle":"","family":"Tomei","given":"Alice A.","non-dropping-particle":"","parse-names":false,"suffix":""}],"container-title":"Frontiers in Bioengineering and Biotechnology","id":"ITEM-1","issue":"May","issued":{"date-parts":[["2022"]]},"page":"1-16","title":"Parallel Evaluation of Polyethylene Glycol Conformal Coating and Alginate Microencapsulation as Immunoisolation Strategies for Pancreatic Islet Transplantation","type":"article-journal","volume":"10"},"uris":["http://www.mendeley.com/documents/?uuid=793fbf9c-9134-486b-8a83-e52560736346"]}],"mendeley":{"formattedCitation":"[2]","plainTextFormattedCitation":"[2]","previouslyFormattedCitation":"[2]"},"properties":{"noteIndex":0},"schema":"https://github.com/citation-style-language/schema/raw/master/csl-citation.json"}</w:instrText>
      </w:r>
      <w:r>
        <w:rPr>
          <w:szCs w:val="24"/>
          <w:lang w:val="en-GB"/>
        </w:rPr>
        <w:fldChar w:fldCharType="separate"/>
      </w:r>
      <w:r>
        <w:rPr>
          <w:noProof/>
          <w:szCs w:val="24"/>
          <w:lang w:val="en-GB"/>
        </w:rPr>
        <w:t>[2]</w:t>
      </w:r>
      <w:r>
        <w:rPr>
          <w:szCs w:val="24"/>
          <w:lang w:val="en-GB"/>
        </w:rPr>
        <w:fldChar w:fldCharType="end"/>
      </w:r>
      <w:r>
        <w:rPr>
          <w:szCs w:val="24"/>
          <w:lang w:val="en-GB"/>
        </w:rPr>
        <w:t>. It allows a better glucose-insulin diffusion kinetics and a reduction in the total graft volume (permitting grafting at more vascularized sites</w:t>
      </w:r>
      <w:r w:rsidR="00884C16">
        <w:rPr>
          <w:szCs w:val="24"/>
          <w:lang w:val="en-GB"/>
        </w:rPr>
        <w:t xml:space="preserve"> such as the </w:t>
      </w:r>
      <w:proofErr w:type="spellStart"/>
      <w:r w:rsidR="00884C16">
        <w:rPr>
          <w:szCs w:val="24"/>
          <w:lang w:val="en-GB"/>
        </w:rPr>
        <w:t>omentum</w:t>
      </w:r>
      <w:proofErr w:type="spellEnd"/>
      <w:r>
        <w:rPr>
          <w:szCs w:val="24"/>
          <w:lang w:val="en-GB"/>
        </w:rPr>
        <w:t xml:space="preserve">) compared to conventional microencapsulation method, which instead generates capsules of fixed diameter, larger than the maximum distance small molecules can travel by passive diffusion (~ 150 µm), regardless the size of the islets </w:t>
      </w:r>
      <w:r>
        <w:rPr>
          <w:szCs w:val="24"/>
          <w:lang w:val="en-GB"/>
        </w:rPr>
        <w:fldChar w:fldCharType="begin" w:fldLock="1"/>
      </w:r>
      <w:r>
        <w:rPr>
          <w:szCs w:val="24"/>
          <w:lang w:val="en-GB"/>
        </w:rPr>
        <w:instrText>ADDIN CSL_CITATION {"citationItems":[{"id":"ITEM-1","itemData":{"DOI":"10.1016/B978-0-12-814831-0.00021-X","ISBN":"9780128148310","abstract":"Encapsulation of islets of Langerhans is a promising strategy to enable immunosuppression-free islet transplantation to cure autoimmune diabetes. Traditional encapsulation platforms based on the electrostatic droplet generation of hydrogel-based microcapsules have demonstrated safety of islet encapsulation but have not yielded clinical success yet despite over 30 years of research. Failure of microencapsulated islet grafts is likely due to the large barrier to diffusion presented by the ~ 1 mm in diameter capsules, there resulting sizeable graft volumes, and the instability of commonly employed hydrogel platforms. A new conformal coating technology was developed to address these limitations of conventional microencapsulation. Conformal coating is the encapsulation of islets in a thin (few tens of microns) layer of hydrogel, where the coating thickness is not a function of islet diameter. So, islets of 50-500 µm diameter are coated with hydrogels of constant thickness of few tens of microns. Conformal coatings are achieved by flow focusing and subsequent jet breakup of the islet/pregel polymer slurry, as defined by the Plateau-Rayleigh instability. The conformal coating technology facilitates a vast reduction in graft volumes, which in turn permits transplantation of encapsulated islets in confined and well-vascularized sites such as the omentum. Further, hydrogels used in conformal coating employ covalent cross-linking methods which result in biostable and bioinert hydrogel coatings. Conformal coating has been shown to be applicable to differently sourced islets, including human islets and to protect transplanted allogeneic islets from immune recognition resulting in long-term diabetes reversal in an immunocompetent mouse model.","author":[{"dropping-particle":"","family":"Stock","given":"Aaron A.","non-dropping-particle":"","parse-names":false,"suffix":""},{"dropping-particle":"","family":"Tomei","given":"Alice A.","non-dropping-particle":"","parse-names":false,"suffix":""}],"container-title":"Transplantation, Bioengineering, and Regeneration of the Endocrine Pancreas: Volume 2","id":"ITEM-1","issued":{"date-parts":[["2019"]]},"page":"291-306","title":"Conformal coating","type":"article-journal","volume":"2"},"uris":["http://www.mendeley.com/documents/?uuid=a87bde6d-e112-44af-b187-35beec1e05a3"]}],"mendeley":{"formattedCitation":"[3]","plainTextFormattedCitation":"[3]","previouslyFormattedCitation":"[3]"},"properties":{"noteIndex":0},"schema":"https://github.com/citation-style-language/schema/raw/master/csl-citation.json"}</w:instrText>
      </w:r>
      <w:r>
        <w:rPr>
          <w:szCs w:val="24"/>
          <w:lang w:val="en-GB"/>
        </w:rPr>
        <w:fldChar w:fldCharType="separate"/>
      </w:r>
      <w:r>
        <w:rPr>
          <w:noProof/>
          <w:szCs w:val="24"/>
          <w:lang w:val="en-GB"/>
        </w:rPr>
        <w:t>[3]</w:t>
      </w:r>
      <w:r>
        <w:rPr>
          <w:szCs w:val="24"/>
          <w:lang w:val="en-GB"/>
        </w:rPr>
        <w:fldChar w:fldCharType="end"/>
      </w:r>
      <w:r>
        <w:rPr>
          <w:szCs w:val="24"/>
          <w:lang w:val="en-GB"/>
        </w:rPr>
        <w:t>.</w:t>
      </w:r>
    </w:p>
    <w:p w14:paraId="3425AF12" w14:textId="544914A2" w:rsidR="00247F65" w:rsidRDefault="00247F65" w:rsidP="001F13CE">
      <w:pPr>
        <w:tabs>
          <w:tab w:val="left" w:pos="340"/>
          <w:tab w:val="right" w:pos="8959"/>
        </w:tabs>
        <w:jc w:val="both"/>
        <w:rPr>
          <w:iCs/>
          <w:szCs w:val="24"/>
          <w:lang w:val="en-GB"/>
        </w:rPr>
      </w:pPr>
      <w:r>
        <w:rPr>
          <w:iCs/>
          <w:szCs w:val="24"/>
          <w:lang w:val="en-GB"/>
        </w:rPr>
        <w:t xml:space="preserve">The purpose of the present work is to present a microfluidic soft lithographic device, having a flow focusing geometry, able to generate polyethylene glycol (PEG)-based conformal coatings, without affecting cell function and viability. The method relies on the flow of two immiscible phases, known as continuous (oil) and disperse (water) phase that meet at a junction and flow coaxially. Conformal coating is achieved through a combination of two phenomena: dripping-jetting transition of the water phase, by focusing the flow through physical constraints of reducing diameter, and Plateau-Rayleigh instability, that leads to the breakup of the jet into droplets of liquid polymer. The </w:t>
      </w:r>
      <w:r w:rsidR="00ED6161">
        <w:rPr>
          <w:iCs/>
          <w:szCs w:val="24"/>
          <w:lang w:val="en-GB"/>
        </w:rPr>
        <w:t>cell clusters</w:t>
      </w:r>
      <w:r>
        <w:rPr>
          <w:iCs/>
          <w:szCs w:val="24"/>
          <w:lang w:val="en-GB"/>
        </w:rPr>
        <w:t>, loaded in the water phase, are kept separate, therefore encapsulated singularly, by an elongational component of the flow. Liquid polymer capsules are finally gelled by flowing in contact with a gelling emulsion</w:t>
      </w:r>
      <w:r>
        <w:rPr>
          <w:lang w:val="en-GB"/>
        </w:rPr>
        <w:t>.</w:t>
      </w:r>
      <w:r w:rsidR="00C1251C">
        <w:rPr>
          <w:lang w:val="en-GB"/>
        </w:rPr>
        <w:t xml:space="preserve"> </w:t>
      </w:r>
      <w:r w:rsidR="00C1251C" w:rsidRPr="00ED6161">
        <w:rPr>
          <w:color w:val="000000" w:themeColor="text1"/>
        </w:rPr>
        <w:t>Nit-1 cell clusters were used in the present work as they represent a suitable alternative to human</w:t>
      </w:r>
      <w:r w:rsidR="00ED6161" w:rsidRPr="00ED6161">
        <w:rPr>
          <w:color w:val="000000" w:themeColor="text1"/>
        </w:rPr>
        <w:t xml:space="preserve"> </w:t>
      </w:r>
      <w:r w:rsidR="00C1251C" w:rsidRPr="00ED6161">
        <w:rPr>
          <w:color w:val="000000" w:themeColor="text1"/>
        </w:rPr>
        <w:t>pancreatic islets. Nit-1 is a pancreatic</w:t>
      </w:r>
      <w:r w:rsidR="00ED6161" w:rsidRPr="00ED6161">
        <w:rPr>
          <w:color w:val="000000" w:themeColor="text1"/>
        </w:rPr>
        <w:t xml:space="preserve"> </w:t>
      </w:r>
      <w:r w:rsidR="00C1251C" w:rsidRPr="00ED6161">
        <w:rPr>
          <w:color w:val="000000" w:themeColor="text1"/>
        </w:rPr>
        <w:t>β</w:t>
      </w:r>
      <w:r w:rsidR="00ED6161" w:rsidRPr="00ED6161">
        <w:rPr>
          <w:color w:val="000000" w:themeColor="text1"/>
        </w:rPr>
        <w:t>-</w:t>
      </w:r>
      <w:r w:rsidR="00C1251C" w:rsidRPr="00ED6161">
        <w:rPr>
          <w:color w:val="000000" w:themeColor="text1"/>
        </w:rPr>
        <w:t>cell line derived from transgenic mouse insulinoma</w:t>
      </w:r>
      <w:r w:rsidR="00ED6161" w:rsidRPr="00ED6161">
        <w:rPr>
          <w:color w:val="000000" w:themeColor="text1"/>
        </w:rPr>
        <w:t xml:space="preserve"> </w:t>
      </w:r>
      <w:r w:rsidR="00C1251C" w:rsidRPr="00B079A6">
        <w:t>[</w:t>
      </w:r>
      <w:r w:rsidR="00B079A6" w:rsidRPr="00B079A6">
        <w:t>4</w:t>
      </w:r>
      <w:r w:rsidR="00C1251C" w:rsidRPr="00B079A6">
        <w:t>].</w:t>
      </w:r>
      <w:r w:rsidR="00C1251C" w:rsidRPr="00ED6161">
        <w:rPr>
          <w:color w:val="FF0000"/>
        </w:rPr>
        <w:t xml:space="preserve"> </w:t>
      </w:r>
      <w:r w:rsidR="00C1251C" w:rsidRPr="00ED6161">
        <w:rPr>
          <w:color w:val="000000" w:themeColor="text1"/>
        </w:rPr>
        <w:t>This</w:t>
      </w:r>
      <w:r w:rsidR="00ED6161" w:rsidRPr="00ED6161">
        <w:rPr>
          <w:color w:val="000000" w:themeColor="text1"/>
        </w:rPr>
        <w:t xml:space="preserve"> </w:t>
      </w:r>
      <w:r w:rsidR="00C1251C" w:rsidRPr="00ED6161">
        <w:rPr>
          <w:color w:val="000000" w:themeColor="text1"/>
        </w:rPr>
        <w:t>type of cells can aggregate and form clusters with a</w:t>
      </w:r>
      <w:r w:rsidR="00ED6161">
        <w:rPr>
          <w:color w:val="000000" w:themeColor="text1"/>
        </w:rPr>
        <w:t xml:space="preserve"> </w:t>
      </w:r>
      <w:r w:rsidR="00C1251C" w:rsidRPr="00ED6161">
        <w:rPr>
          <w:color w:val="000000" w:themeColor="text1"/>
        </w:rPr>
        <w:t>diameter comparable to the</w:t>
      </w:r>
      <w:r w:rsidR="00ED6161" w:rsidRPr="00ED6161">
        <w:rPr>
          <w:color w:val="000000" w:themeColor="text1"/>
        </w:rPr>
        <w:t xml:space="preserve"> </w:t>
      </w:r>
      <w:r w:rsidR="00C1251C" w:rsidRPr="00ED6161">
        <w:rPr>
          <w:color w:val="000000" w:themeColor="text1"/>
        </w:rPr>
        <w:t>average</w:t>
      </w:r>
      <w:r w:rsidR="00ED6161" w:rsidRPr="00ED6161">
        <w:rPr>
          <w:color w:val="000000" w:themeColor="text1"/>
        </w:rPr>
        <w:t xml:space="preserve"> </w:t>
      </w:r>
      <w:r w:rsidR="00C1251C" w:rsidRPr="00ED6161">
        <w:rPr>
          <w:color w:val="000000" w:themeColor="text1"/>
        </w:rPr>
        <w:t>diameter of the human pancreatic islets</w:t>
      </w:r>
      <w:r w:rsidR="00ED6161" w:rsidRPr="00ED6161">
        <w:rPr>
          <w:color w:val="000000" w:themeColor="text1"/>
        </w:rPr>
        <w:t>.</w:t>
      </w:r>
    </w:p>
    <w:p w14:paraId="3DFCA0C3" w14:textId="77777777" w:rsidR="00247F65" w:rsidRPr="00247F65" w:rsidRDefault="00247F65" w:rsidP="00247F65">
      <w:pPr>
        <w:rPr>
          <w:lang w:val="en-GB"/>
        </w:rPr>
      </w:pPr>
    </w:p>
    <w:p w14:paraId="59DBA3CD" w14:textId="3FD6843E" w:rsidR="00247F65" w:rsidRPr="008259DB" w:rsidRDefault="00247F65" w:rsidP="008259DB">
      <w:pPr>
        <w:pStyle w:val="Titolo1"/>
        <w:rPr>
          <w:lang w:val="en-GB"/>
        </w:rPr>
      </w:pPr>
      <w:r>
        <w:rPr>
          <w:lang w:val="en-GB"/>
        </w:rPr>
        <w:t>Material and Methods</w:t>
      </w:r>
    </w:p>
    <w:p w14:paraId="7E75A284" w14:textId="01E8AD19" w:rsidR="00626706" w:rsidRDefault="00626706" w:rsidP="00187709">
      <w:pPr>
        <w:jc w:val="both"/>
        <w:rPr>
          <w:rFonts w:eastAsia="Calibri"/>
          <w:szCs w:val="24"/>
          <w:lang w:val="en-GB"/>
          <w14:ligatures w14:val="standardContextual"/>
        </w:rPr>
      </w:pPr>
    </w:p>
    <w:p w14:paraId="707895AD" w14:textId="15F15114" w:rsidR="00750244" w:rsidRPr="00DA323B" w:rsidRDefault="00247F65" w:rsidP="00187709">
      <w:pPr>
        <w:jc w:val="both"/>
        <w:rPr>
          <w:rFonts w:eastAsia="Calibri"/>
          <w:szCs w:val="24"/>
          <w:lang w:val="en-GB"/>
          <w14:ligatures w14:val="standardContextual"/>
        </w:rPr>
      </w:pPr>
      <w:r>
        <w:rPr>
          <w:rFonts w:eastAsia="Calibri"/>
          <w:szCs w:val="24"/>
          <w:lang w:val="en-GB"/>
          <w14:ligatures w14:val="standardContextual"/>
        </w:rPr>
        <w:t xml:space="preserve">  </w:t>
      </w:r>
      <w:r w:rsidR="00AC639D" w:rsidRPr="00AC639D">
        <w:rPr>
          <w:rFonts w:eastAsia="Calibri"/>
          <w:szCs w:val="24"/>
          <w14:ligatures w14:val="standardContextual"/>
        </w:rPr>
        <w:t xml:space="preserve">The microfluidic chip was designed using Solidworks. The desired features were milled using a CNC machine (Roland MDX-540, Roland DGA Corp, CA, USA) onto an optically transparent acrylic sheet (3.15 mm thick acrylic sheet from </w:t>
      </w:r>
      <w:proofErr w:type="spellStart"/>
      <w:r w:rsidR="00AC639D" w:rsidRPr="00AC639D">
        <w:rPr>
          <w:rFonts w:eastAsia="Calibri"/>
          <w:szCs w:val="24"/>
          <w14:ligatures w14:val="standardContextual"/>
        </w:rPr>
        <w:t>McMaster&amp;Carr</w:t>
      </w:r>
      <w:proofErr w:type="spellEnd"/>
      <w:r w:rsidR="00AC639D" w:rsidRPr="00AC639D">
        <w:rPr>
          <w:rFonts w:eastAsia="Calibri"/>
          <w:szCs w:val="24"/>
          <w14:ligatures w14:val="standardContextual"/>
        </w:rPr>
        <w:t>, Elmhurst, IL, USA)</w:t>
      </w:r>
      <w:r w:rsidR="00CC6AB3">
        <w:rPr>
          <w:rFonts w:eastAsia="Calibri"/>
          <w:szCs w:val="24"/>
          <w14:ligatures w14:val="standardContextual"/>
        </w:rPr>
        <w:t xml:space="preserve">. </w:t>
      </w:r>
      <w:r w:rsidR="00CC6AB3" w:rsidRPr="005506FA">
        <w:rPr>
          <w:rFonts w:eastAsia="Calibri"/>
          <w:szCs w:val="24"/>
          <w14:ligatures w14:val="standardContextual"/>
        </w:rPr>
        <w:t xml:space="preserve">The characteristic dimensions of the CAD model are shown in </w:t>
      </w:r>
      <w:r w:rsidR="00CC6AB3" w:rsidRPr="005506FA">
        <w:rPr>
          <w:rFonts w:eastAsia="Calibri"/>
          <w:szCs w:val="24"/>
          <w14:ligatures w14:val="standardContextual"/>
        </w:rPr>
        <w:fldChar w:fldCharType="begin"/>
      </w:r>
      <w:r w:rsidR="00CC6AB3" w:rsidRPr="005506FA">
        <w:rPr>
          <w:rFonts w:eastAsia="Calibri"/>
          <w:szCs w:val="24"/>
          <w14:ligatures w14:val="standardContextual"/>
        </w:rPr>
        <w:instrText xml:space="preserve"> REF _Ref195181869 \h  \* MERGEFORMAT </w:instrText>
      </w:r>
      <w:r w:rsidR="00CC6AB3" w:rsidRPr="005506FA">
        <w:rPr>
          <w:rFonts w:eastAsia="Calibri"/>
          <w:szCs w:val="24"/>
          <w14:ligatures w14:val="standardContextual"/>
        </w:rPr>
      </w:r>
      <w:r w:rsidR="00CC6AB3" w:rsidRPr="005506FA">
        <w:rPr>
          <w:rFonts w:eastAsia="Calibri"/>
          <w:szCs w:val="24"/>
          <w14:ligatures w14:val="standardContextual"/>
        </w:rPr>
        <w:fldChar w:fldCharType="separate"/>
      </w:r>
      <w:r w:rsidR="006A3339" w:rsidRPr="005506FA">
        <w:t xml:space="preserve">Figure </w:t>
      </w:r>
      <w:r w:rsidR="006A3339" w:rsidRPr="005506FA">
        <w:rPr>
          <w:noProof/>
        </w:rPr>
        <w:t>1</w:t>
      </w:r>
      <w:r w:rsidR="00CC6AB3" w:rsidRPr="005506FA">
        <w:rPr>
          <w:rFonts w:eastAsia="Calibri"/>
          <w:szCs w:val="24"/>
          <w14:ligatures w14:val="standardContextual"/>
        </w:rPr>
        <w:fldChar w:fldCharType="end"/>
      </w:r>
      <w:r w:rsidR="00CC6AB3" w:rsidRPr="005506FA">
        <w:rPr>
          <w:rFonts w:eastAsia="Calibri"/>
          <w:szCs w:val="24"/>
          <w14:ligatures w14:val="standardContextual"/>
        </w:rPr>
        <w:t>C</w:t>
      </w:r>
      <w:r w:rsidR="00AC639D" w:rsidRPr="005506FA">
        <w:rPr>
          <w:rFonts w:eastAsia="Calibri"/>
          <w:szCs w:val="24"/>
          <w14:ligatures w14:val="standardContextual"/>
        </w:rPr>
        <w:t>.</w:t>
      </w:r>
      <w:r w:rsidR="00AC639D">
        <w:rPr>
          <w:rFonts w:eastAsia="Calibri"/>
          <w:szCs w:val="24"/>
          <w14:ligatures w14:val="standardContextual"/>
        </w:rPr>
        <w:t xml:space="preserve"> </w:t>
      </w:r>
      <w:r>
        <w:rPr>
          <w:rFonts w:eastAsia="Calibri"/>
          <w:szCs w:val="24"/>
          <w:lang w:val="en-GB"/>
          <w14:ligatures w14:val="standardContextual"/>
        </w:rPr>
        <w:t>Polydimethylsiloxane (PDMS) at a 1</w:t>
      </w:r>
      <w:r w:rsidR="008259DB">
        <w:rPr>
          <w:rFonts w:eastAsia="Calibri"/>
          <w:szCs w:val="24"/>
          <w:lang w:val="en-GB"/>
          <w14:ligatures w14:val="standardContextual"/>
        </w:rPr>
        <w:t>0</w:t>
      </w:r>
      <w:r>
        <w:rPr>
          <w:rFonts w:eastAsia="Calibri"/>
          <w:szCs w:val="24"/>
          <w:lang w:val="en-GB"/>
          <w14:ligatures w14:val="standardContextual"/>
        </w:rPr>
        <w:t>:1 w/w (pre-polymer to curing agent) ratio was used to produce two identical layers f</w:t>
      </w:r>
      <w:r w:rsidR="00174011">
        <w:rPr>
          <w:rFonts w:eastAsia="Calibri"/>
          <w:szCs w:val="24"/>
          <w:lang w:val="en-GB"/>
          <w14:ligatures w14:val="standardContextual"/>
        </w:rPr>
        <w:t>rom</w:t>
      </w:r>
      <w:r>
        <w:rPr>
          <w:rFonts w:eastAsia="Calibri"/>
          <w:szCs w:val="24"/>
          <w:lang w:val="en-GB"/>
          <w14:ligatures w14:val="standardContextual"/>
        </w:rPr>
        <w:t xml:space="preserve"> </w:t>
      </w:r>
      <w:r w:rsidR="00F31978">
        <w:rPr>
          <w:rFonts w:eastAsia="Calibri"/>
          <w:szCs w:val="24"/>
          <w:lang w:val="en-GB"/>
          <w14:ligatures w14:val="standardContextual"/>
        </w:rPr>
        <w:t>the</w:t>
      </w:r>
      <w:r>
        <w:rPr>
          <w:rFonts w:eastAsia="Calibri"/>
          <w:szCs w:val="24"/>
          <w:lang w:val="en-GB"/>
          <w14:ligatures w14:val="standardContextual"/>
        </w:rPr>
        <w:t xml:space="preserve"> acrylic master mo</w:t>
      </w:r>
      <w:r w:rsidR="006C1701">
        <w:rPr>
          <w:rFonts w:eastAsia="Calibri"/>
          <w:szCs w:val="24"/>
          <w:lang w:val="en-GB"/>
          <w14:ligatures w14:val="standardContextual"/>
        </w:rPr>
        <w:t>u</w:t>
      </w:r>
      <w:r>
        <w:rPr>
          <w:rFonts w:eastAsia="Calibri"/>
          <w:szCs w:val="24"/>
          <w:lang w:val="en-GB"/>
          <w14:ligatures w14:val="standardContextual"/>
        </w:rPr>
        <w:t xml:space="preserve">ld, aligned and bonded together, after a 50 sec oxygen plasma treatment. </w:t>
      </w:r>
      <w:r w:rsidR="008B6A7F" w:rsidRPr="008B6A7F">
        <w:rPr>
          <w:rFonts w:eastAsia="Calibri"/>
          <w:szCs w:val="24"/>
          <w:lang w:val="en-GB"/>
          <w14:ligatures w14:val="standardContextual"/>
        </w:rPr>
        <w:t>The fabrication accuracy is 7.90 ± 2,32 µm calculated as the absolute difference between the CAD model measurements and those of the silicone half-</w:t>
      </w:r>
      <w:proofErr w:type="spellStart"/>
      <w:r w:rsidR="008B6A7F" w:rsidRPr="008B6A7F">
        <w:rPr>
          <w:rFonts w:eastAsia="Calibri"/>
          <w:szCs w:val="24"/>
          <w:lang w:val="en-GB"/>
          <w14:ligatures w14:val="standardContextual"/>
        </w:rPr>
        <w:t>mold</w:t>
      </w:r>
      <w:proofErr w:type="spellEnd"/>
      <w:r w:rsidR="008B6A7F" w:rsidRPr="008B6A7F">
        <w:rPr>
          <w:rFonts w:eastAsia="Calibri"/>
          <w:szCs w:val="24"/>
          <w:lang w:val="en-GB"/>
          <w14:ligatures w14:val="standardContextual"/>
        </w:rPr>
        <w:t xml:space="preserve">, across three different sections (on both thickness and width) and with N = 4 samples (mean relative error: 3.45%). </w:t>
      </w:r>
      <w:r>
        <w:rPr>
          <w:rFonts w:eastAsia="Calibri"/>
          <w:szCs w:val="24"/>
          <w:lang w:val="en-GB"/>
          <w14:ligatures w14:val="standardContextual"/>
        </w:rPr>
        <w:t xml:space="preserve">Three Tygon tubes were </w:t>
      </w:r>
      <w:r w:rsidR="00174011">
        <w:rPr>
          <w:rFonts w:eastAsia="Calibri"/>
          <w:szCs w:val="24"/>
          <w:lang w:val="en-GB"/>
          <w14:ligatures w14:val="standardContextual"/>
        </w:rPr>
        <w:t>inserted</w:t>
      </w:r>
      <w:r>
        <w:rPr>
          <w:rFonts w:eastAsia="Calibri"/>
          <w:szCs w:val="24"/>
          <w:lang w:val="en-GB"/>
          <w14:ligatures w14:val="standardContextual"/>
        </w:rPr>
        <w:t xml:space="preserve"> into</w:t>
      </w:r>
      <w:r w:rsidR="00174011">
        <w:rPr>
          <w:rFonts w:eastAsia="Calibri"/>
          <w:szCs w:val="24"/>
          <w:lang w:val="en-GB"/>
          <w14:ligatures w14:val="standardContextual"/>
        </w:rPr>
        <w:t xml:space="preserve"> 1.5 mm</w:t>
      </w:r>
      <w:r>
        <w:rPr>
          <w:rFonts w:eastAsia="Calibri"/>
          <w:szCs w:val="24"/>
          <w:lang w:val="en-GB"/>
          <w14:ligatures w14:val="standardContextual"/>
        </w:rPr>
        <w:t xml:space="preserve"> inlet ports and connected, via hypodermic needles, to three syringes loaded with the solutions (one glass Hamilton syringe for the water phase and two 3 mL disposable syringes for the oil phases) and controlled by three syringe pumps. </w:t>
      </w:r>
      <w:r w:rsidR="00884C16" w:rsidRPr="00884C16">
        <w:rPr>
          <w:rFonts w:eastAsia="Calibri"/>
          <w:szCs w:val="24"/>
          <w14:ligatures w14:val="standardContextual"/>
        </w:rPr>
        <w:t xml:space="preserve">The CC particulates were then collected in a glass </w:t>
      </w:r>
      <w:r w:rsidR="00D078E5">
        <w:rPr>
          <w:rFonts w:eastAsia="Calibri"/>
          <w:szCs w:val="24"/>
          <w14:ligatures w14:val="standardContextual"/>
        </w:rPr>
        <w:t>P</w:t>
      </w:r>
      <w:r w:rsidR="00884C16" w:rsidRPr="00884C16">
        <w:rPr>
          <w:rFonts w:eastAsia="Calibri"/>
          <w:szCs w:val="24"/>
          <w14:ligatures w14:val="standardContextual"/>
        </w:rPr>
        <w:t>etri dish, pre-filled with gelling emulsion</w:t>
      </w:r>
      <w:r w:rsidR="00D078E5">
        <w:rPr>
          <w:rFonts w:eastAsia="Calibri"/>
          <w:szCs w:val="24"/>
          <w14:ligatures w14:val="standardContextual"/>
        </w:rPr>
        <w:t>,</w:t>
      </w:r>
      <w:r w:rsidR="00884C16" w:rsidRPr="00884C16">
        <w:rPr>
          <w:rFonts w:eastAsia="Calibri"/>
          <w:szCs w:val="24"/>
          <w14:ligatures w14:val="standardContextual"/>
        </w:rPr>
        <w:t xml:space="preserve"> </w:t>
      </w:r>
      <w:r w:rsidR="00A76DF5" w:rsidRPr="00A76DF5">
        <w:rPr>
          <w:rFonts w:eastAsia="Calibri"/>
          <w:szCs w:val="24"/>
          <w14:ligatures w14:val="standardContextual"/>
        </w:rPr>
        <w:t>through a Tygon tube placed in a 4 mm outlet port on the top PDMS layer.</w:t>
      </w:r>
      <w:r w:rsidR="00750244">
        <w:rPr>
          <w:rFonts w:eastAsia="Calibri"/>
          <w:szCs w:val="24"/>
          <w14:ligatures w14:val="standardContextual"/>
        </w:rPr>
        <w:t xml:space="preserve"> </w:t>
      </w:r>
    </w:p>
    <w:p w14:paraId="07189EF0" w14:textId="122135F5" w:rsidR="00DD24C8" w:rsidRPr="009E3523" w:rsidRDefault="00247F65" w:rsidP="00A76DF5">
      <w:pPr>
        <w:jc w:val="both"/>
        <w:rPr>
          <w:rFonts w:eastAsia="Calibri"/>
          <w:color w:val="000000" w:themeColor="text1"/>
          <w:szCs w:val="24"/>
          <w:lang w:val="en-GB"/>
          <w14:ligatures w14:val="standardContextual"/>
        </w:rPr>
      </w:pPr>
      <w:r>
        <w:rPr>
          <w:rFonts w:eastAsia="Calibri"/>
          <w:szCs w:val="24"/>
          <w:lang w:val="en-GB"/>
          <w14:ligatures w14:val="standardContextual"/>
        </w:rPr>
        <w:t>Three reagents were used: as the water phase a minimally crosslinked 8-arm</w:t>
      </w:r>
      <w:r w:rsidR="00174011">
        <w:rPr>
          <w:rFonts w:eastAsia="Calibri"/>
          <w:szCs w:val="24"/>
          <w:lang w:val="en-GB"/>
          <w14:ligatures w14:val="standardContextual"/>
        </w:rPr>
        <w:t>,</w:t>
      </w:r>
      <w:r>
        <w:rPr>
          <w:rFonts w:eastAsia="Calibri"/>
          <w:szCs w:val="24"/>
          <w:lang w:val="en-GB"/>
          <w14:ligatures w14:val="standardContextual"/>
        </w:rPr>
        <w:t xml:space="preserve"> 10 kDa</w:t>
      </w:r>
      <w:r w:rsidR="00174011">
        <w:rPr>
          <w:rFonts w:eastAsia="Calibri"/>
          <w:szCs w:val="24"/>
          <w:lang w:val="en-GB"/>
          <w14:ligatures w14:val="standardContextual"/>
        </w:rPr>
        <w:t>,</w:t>
      </w:r>
      <w:r>
        <w:rPr>
          <w:rFonts w:eastAsia="Calibri"/>
          <w:szCs w:val="24"/>
          <w:lang w:val="en-GB"/>
          <w14:ligatures w14:val="standardContextual"/>
        </w:rPr>
        <w:t xml:space="preserve"> 75% functionalized PEG-MAL was used</w:t>
      </w:r>
      <w:r w:rsidR="00174011">
        <w:rPr>
          <w:rFonts w:eastAsia="Calibri"/>
          <w:szCs w:val="24"/>
          <w:lang w:val="en-GB"/>
          <w14:ligatures w14:val="standardContextual"/>
        </w:rPr>
        <w:t>;</w:t>
      </w:r>
      <w:r>
        <w:rPr>
          <w:rFonts w:eastAsia="Calibri"/>
          <w:szCs w:val="24"/>
          <w:lang w:val="en-GB"/>
          <w14:ligatures w14:val="standardContextual"/>
        </w:rPr>
        <w:t xml:space="preserve"> the oil phase was composed </w:t>
      </w:r>
      <w:r w:rsidR="00174011">
        <w:rPr>
          <w:rFonts w:eastAsia="Calibri"/>
          <w:szCs w:val="24"/>
          <w:lang w:val="en-GB"/>
          <w14:ligatures w14:val="standardContextual"/>
        </w:rPr>
        <w:t>of</w:t>
      </w:r>
      <w:r>
        <w:rPr>
          <w:rFonts w:eastAsia="Calibri"/>
          <w:szCs w:val="24"/>
          <w:lang w:val="en-GB"/>
          <w14:ligatures w14:val="standardContextual"/>
        </w:rPr>
        <w:t xml:space="preserve"> PPG and 10% </w:t>
      </w:r>
      <w:r>
        <w:rPr>
          <w:rFonts w:eastAsia="Calibri"/>
          <w:szCs w:val="24"/>
          <w:lang w:val="en-GB"/>
          <w14:ligatures w14:val="standardContextual"/>
        </w:rPr>
        <w:lastRenderedPageBreak/>
        <w:t>Span80 surfactant</w:t>
      </w:r>
      <w:r w:rsidR="00174011">
        <w:rPr>
          <w:rFonts w:eastAsia="Calibri"/>
          <w:szCs w:val="24"/>
          <w:lang w:val="en-GB"/>
          <w14:ligatures w14:val="standardContextual"/>
        </w:rPr>
        <w:t>;</w:t>
      </w:r>
      <w:r>
        <w:rPr>
          <w:rFonts w:eastAsia="Calibri"/>
          <w:szCs w:val="24"/>
          <w:lang w:val="en-GB"/>
          <w14:ligatures w14:val="standardContextual"/>
        </w:rPr>
        <w:t xml:space="preserve"> and an emulsion between the oil phase and 6% crosslinker DTT was used to </w:t>
      </w:r>
      <w:r w:rsidR="00174011">
        <w:rPr>
          <w:rFonts w:eastAsia="Calibri"/>
          <w:szCs w:val="24"/>
          <w:lang w:val="en-GB"/>
          <w14:ligatures w14:val="standardContextual"/>
        </w:rPr>
        <w:t>induce</w:t>
      </w:r>
      <w:r>
        <w:rPr>
          <w:rFonts w:eastAsia="Calibri"/>
          <w:szCs w:val="24"/>
          <w:lang w:val="en-GB"/>
          <w14:ligatures w14:val="standardContextual"/>
        </w:rPr>
        <w:t xml:space="preserve"> gelation of the microcapsules. </w:t>
      </w:r>
      <w:r w:rsidR="00A76DF5" w:rsidRPr="00A76DF5">
        <w:rPr>
          <w:rFonts w:eastAsia="Calibri"/>
          <w:color w:val="000000" w:themeColor="text1"/>
          <w:szCs w:val="24"/>
          <w:lang w:val="en-GB"/>
          <w14:ligatures w14:val="standardContextual"/>
        </w:rPr>
        <w:t>The encapsulation parameters were set as follows: the aqueous phase flow rate was 3 µL/min, the oil phase flow rate was 180 µL/mi</w:t>
      </w:r>
      <w:r w:rsidR="00A76DF5">
        <w:rPr>
          <w:rFonts w:eastAsia="Calibri"/>
          <w:color w:val="000000" w:themeColor="text1"/>
          <w:szCs w:val="24"/>
          <w:lang w:val="en-GB"/>
          <w14:ligatures w14:val="standardContextual"/>
        </w:rPr>
        <w:t>n</w:t>
      </w:r>
      <w:r w:rsidR="00A76DF5" w:rsidRPr="00A76DF5">
        <w:rPr>
          <w:rFonts w:eastAsia="Calibri"/>
          <w:color w:val="000000" w:themeColor="text1"/>
          <w:szCs w:val="24"/>
          <w:lang w:val="en-GB"/>
          <w14:ligatures w14:val="standardContextual"/>
        </w:rPr>
        <w:t xml:space="preserve">, as the one of the gelling </w:t>
      </w:r>
      <w:proofErr w:type="gramStart"/>
      <w:r w:rsidR="00A76DF5" w:rsidRPr="00A76DF5">
        <w:rPr>
          <w:rFonts w:eastAsia="Calibri"/>
          <w:color w:val="000000" w:themeColor="text1"/>
          <w:szCs w:val="24"/>
          <w:lang w:val="en-GB"/>
          <w14:ligatures w14:val="standardContextual"/>
        </w:rPr>
        <w:t>emulsion</w:t>
      </w:r>
      <w:proofErr w:type="gramEnd"/>
      <w:r w:rsidR="00A76DF5">
        <w:rPr>
          <w:rFonts w:eastAsia="Calibri"/>
          <w:color w:val="000000" w:themeColor="text1"/>
          <w:szCs w:val="24"/>
          <w:lang w:val="en-GB"/>
          <w14:ligatures w14:val="standardContextual"/>
        </w:rPr>
        <w:t>.</w:t>
      </w:r>
      <w:r w:rsidR="00A76DF5" w:rsidRPr="00A76DF5">
        <w:rPr>
          <w:rFonts w:eastAsia="Calibri"/>
          <w:color w:val="000000" w:themeColor="text1"/>
          <w:szCs w:val="24"/>
          <w:lang w:val="en-GB"/>
          <w14:ligatures w14:val="standardContextual"/>
        </w:rPr>
        <w:t xml:space="preserve"> </w:t>
      </w:r>
    </w:p>
    <w:p w14:paraId="6AB1C37A" w14:textId="77777777" w:rsidR="00A76DF5" w:rsidRDefault="00A76DF5" w:rsidP="00DD24C8">
      <w:pPr>
        <w:pStyle w:val="Text"/>
        <w:jc w:val="center"/>
        <w:rPr>
          <w:b/>
          <w:bCs/>
          <w:sz w:val="16"/>
          <w:lang w:val="en-GB"/>
        </w:rPr>
      </w:pPr>
    </w:p>
    <w:p w14:paraId="7E5983D8" w14:textId="77777777" w:rsidR="000B171D" w:rsidRDefault="009E3523" w:rsidP="000B171D">
      <w:pPr>
        <w:pStyle w:val="Text"/>
        <w:keepNext/>
        <w:jc w:val="left"/>
      </w:pPr>
      <w:r>
        <w:rPr>
          <w:b/>
          <w:bCs/>
          <w:noProof/>
          <w:sz w:val="16"/>
          <w:lang w:val="en-GB"/>
        </w:rPr>
        <w:drawing>
          <wp:inline distT="0" distB="0" distL="0" distR="0" wp14:anchorId="2DC9372E" wp14:editId="72D3FBCE">
            <wp:extent cx="2705100" cy="2956088"/>
            <wp:effectExtent l="0" t="0" r="0" b="0"/>
            <wp:docPr id="641816368" name="Immagine 1" descr="Immagine che contiene testo, diagramma, schermata,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816368" name="Immagine 1" descr="Immagine che contiene testo, diagramma, schermata, design&#10;&#10;Il contenuto generato dall'IA potrebbe non essere corretto."/>
                    <pic:cNvPicPr/>
                  </pic:nvPicPr>
                  <pic:blipFill rotWithShape="1">
                    <a:blip r:embed="rId7"/>
                    <a:srcRect t="5639"/>
                    <a:stretch/>
                  </pic:blipFill>
                  <pic:spPr bwMode="auto">
                    <a:xfrm>
                      <a:off x="0" y="0"/>
                      <a:ext cx="2717712" cy="2969870"/>
                    </a:xfrm>
                    <a:prstGeom prst="rect">
                      <a:avLst/>
                    </a:prstGeom>
                    <a:ln>
                      <a:noFill/>
                    </a:ln>
                    <a:extLst>
                      <a:ext uri="{53640926-AAD7-44D8-BBD7-CCE9431645EC}">
                        <a14:shadowObscured xmlns:a14="http://schemas.microsoft.com/office/drawing/2010/main"/>
                      </a:ext>
                    </a:extLst>
                  </pic:spPr>
                </pic:pic>
              </a:graphicData>
            </a:graphic>
          </wp:inline>
        </w:drawing>
      </w:r>
    </w:p>
    <w:p w14:paraId="782B5D26" w14:textId="77777777" w:rsidR="000B171D" w:rsidRDefault="000B171D" w:rsidP="00CC6AB3">
      <w:pPr>
        <w:pStyle w:val="Text"/>
        <w:keepNext/>
      </w:pPr>
    </w:p>
    <w:p w14:paraId="41911721" w14:textId="09FEF4C5" w:rsidR="00DD24C8" w:rsidRPr="00922686" w:rsidRDefault="000B171D" w:rsidP="00CC6AB3">
      <w:pPr>
        <w:pStyle w:val="Didascalia"/>
        <w:jc w:val="both"/>
        <w:rPr>
          <w:b/>
          <w:bCs/>
          <w:color w:val="000000" w:themeColor="text1"/>
          <w:lang w:val="en-GB"/>
        </w:rPr>
      </w:pPr>
      <w:bookmarkStart w:id="1" w:name="_Ref195181869"/>
      <w:r w:rsidRPr="00922686">
        <w:rPr>
          <w:color w:val="000000" w:themeColor="text1"/>
        </w:rPr>
        <w:t xml:space="preserve">Figure </w:t>
      </w:r>
      <w:r w:rsidRPr="00922686">
        <w:rPr>
          <w:color w:val="000000" w:themeColor="text1"/>
        </w:rPr>
        <w:fldChar w:fldCharType="begin"/>
      </w:r>
      <w:r w:rsidRPr="00922686">
        <w:rPr>
          <w:color w:val="000000" w:themeColor="text1"/>
        </w:rPr>
        <w:instrText xml:space="preserve"> SEQ Figure \* ARABIC </w:instrText>
      </w:r>
      <w:r w:rsidRPr="00922686">
        <w:rPr>
          <w:color w:val="000000" w:themeColor="text1"/>
        </w:rPr>
        <w:fldChar w:fldCharType="separate"/>
      </w:r>
      <w:r w:rsidR="006A3339" w:rsidRPr="00922686">
        <w:rPr>
          <w:noProof/>
          <w:color w:val="000000" w:themeColor="text1"/>
        </w:rPr>
        <w:t>1</w:t>
      </w:r>
      <w:r w:rsidRPr="00922686">
        <w:rPr>
          <w:noProof/>
          <w:color w:val="000000" w:themeColor="text1"/>
        </w:rPr>
        <w:fldChar w:fldCharType="end"/>
      </w:r>
      <w:bookmarkEnd w:id="1"/>
      <w:r w:rsidRPr="00922686">
        <w:rPr>
          <w:color w:val="000000" w:themeColor="text1"/>
          <w:lang w:val="en-GB"/>
        </w:rPr>
        <w:t xml:space="preserve"> </w:t>
      </w:r>
      <w:r w:rsidRPr="00922686">
        <w:rPr>
          <w:b/>
          <w:bCs/>
          <w:color w:val="000000" w:themeColor="text1"/>
          <w:lang w:val="en-GB"/>
        </w:rPr>
        <w:t>(A)</w:t>
      </w:r>
      <w:r w:rsidRPr="00922686">
        <w:rPr>
          <w:color w:val="000000" w:themeColor="text1"/>
          <w:lang w:val="en-GB"/>
        </w:rPr>
        <w:t xml:space="preserve"> </w:t>
      </w:r>
      <w:r w:rsidRPr="00922686">
        <w:rPr>
          <w:color w:val="000000" w:themeColor="text1"/>
        </w:rPr>
        <w:t xml:space="preserve">Image of the microfluidic device, showing its structured channels </w:t>
      </w:r>
      <w:r w:rsidRPr="00922686">
        <w:rPr>
          <w:b/>
          <w:bCs/>
          <w:color w:val="000000" w:themeColor="text1"/>
        </w:rPr>
        <w:t>(B)</w:t>
      </w:r>
      <w:r w:rsidRPr="00922686">
        <w:rPr>
          <w:color w:val="000000" w:themeColor="text1"/>
        </w:rPr>
        <w:t xml:space="preserve"> </w:t>
      </w:r>
      <w:r w:rsidRPr="00922686">
        <w:rPr>
          <w:color w:val="000000" w:themeColor="text1"/>
          <w:lang w:val="en-GB"/>
        </w:rPr>
        <w:t xml:space="preserve">Representation of the chip geometry and its features; in blue the water phase, in yellow the oil phase and in pink the gelling emulsion </w:t>
      </w:r>
      <w:r w:rsidRPr="00922686">
        <w:rPr>
          <w:b/>
          <w:bCs/>
          <w:color w:val="000000" w:themeColor="text1"/>
          <w:lang w:val="en-GB"/>
        </w:rPr>
        <w:t xml:space="preserve">(C) </w:t>
      </w:r>
      <w:r w:rsidRPr="00922686">
        <w:rPr>
          <w:color w:val="000000" w:themeColor="text1"/>
          <w:lang w:val="en-GB"/>
        </w:rPr>
        <w:t>Detailed design of the microfluidic junction, with channel dimensions.</w:t>
      </w:r>
    </w:p>
    <w:p w14:paraId="31AF3677" w14:textId="4C6BEEFB" w:rsidR="002E3B75" w:rsidRDefault="002E3B75" w:rsidP="00247F65">
      <w:pPr>
        <w:rPr>
          <w:sz w:val="24"/>
          <w:lang w:eastAsia="en-GB"/>
        </w:rPr>
      </w:pPr>
    </w:p>
    <w:p w14:paraId="64EC1DD4" w14:textId="0A37116D" w:rsidR="00C1251C" w:rsidRDefault="00C1251C" w:rsidP="00051678">
      <w:pPr>
        <w:jc w:val="both"/>
        <w:rPr>
          <w:color w:val="000000" w:themeColor="text1"/>
        </w:rPr>
      </w:pPr>
      <w:r w:rsidRPr="00C1251C">
        <w:rPr>
          <w:color w:val="000000" w:themeColor="text1"/>
        </w:rPr>
        <w:t xml:space="preserve">Nit-1 spheroids were </w:t>
      </w:r>
      <w:r w:rsidR="00A76DF5">
        <w:rPr>
          <w:color w:val="000000" w:themeColor="text1"/>
        </w:rPr>
        <w:t>cultured</w:t>
      </w:r>
      <w:r w:rsidRPr="00C1251C">
        <w:rPr>
          <w:color w:val="000000" w:themeColor="text1"/>
        </w:rPr>
        <w:t xml:space="preserve"> </w:t>
      </w:r>
      <w:r w:rsidR="00A76DF5">
        <w:rPr>
          <w:color w:val="000000" w:themeColor="text1"/>
        </w:rPr>
        <w:t>in</w:t>
      </w:r>
      <w:r w:rsidRPr="00C1251C">
        <w:rPr>
          <w:color w:val="000000" w:themeColor="text1"/>
        </w:rPr>
        <w:t xml:space="preserve"> a rotating spinner flask. </w:t>
      </w:r>
      <w:r w:rsidR="00A76DF5">
        <w:rPr>
          <w:color w:val="000000" w:themeColor="text1"/>
        </w:rPr>
        <w:t>C</w:t>
      </w:r>
      <w:r w:rsidRPr="00C1251C">
        <w:rPr>
          <w:color w:val="000000" w:themeColor="text1"/>
        </w:rPr>
        <w:t xml:space="preserve">ells were seeded at a density of 1 </w:t>
      </w:r>
      <w:proofErr w:type="gramStart"/>
      <w:r w:rsidR="006C1701" w:rsidRPr="00C1251C">
        <w:rPr>
          <w:color w:val="000000" w:themeColor="text1"/>
        </w:rPr>
        <w:t xml:space="preserve">million </w:t>
      </w:r>
      <w:r w:rsidR="006C1701">
        <w:rPr>
          <w:color w:val="000000" w:themeColor="text1"/>
        </w:rPr>
        <w:t>cells/</w:t>
      </w:r>
      <w:proofErr w:type="gramEnd"/>
      <w:r w:rsidRPr="00C1251C">
        <w:rPr>
          <w:color w:val="000000" w:themeColor="text1"/>
        </w:rPr>
        <w:t>mL in a 30 mL bioreactor (</w:t>
      </w:r>
      <w:proofErr w:type="spellStart"/>
      <w:r w:rsidRPr="00C1251C">
        <w:rPr>
          <w:color w:val="000000" w:themeColor="text1"/>
        </w:rPr>
        <w:t>ReproCELL</w:t>
      </w:r>
      <w:proofErr w:type="spellEnd"/>
      <w:r w:rsidRPr="00C1251C">
        <w:rPr>
          <w:color w:val="000000" w:themeColor="text1"/>
        </w:rPr>
        <w:t xml:space="preserve">, Beltsville, MD), </w:t>
      </w:r>
      <w:r w:rsidR="00A76DF5" w:rsidRPr="00A76DF5">
        <w:rPr>
          <w:color w:val="000000" w:themeColor="text1"/>
        </w:rPr>
        <w:t>maintained at 37 °C in a cell culture incubator, and stirred at 70 rpm on a magnetic stirrer plate. Nit-1 clusters were suspended in the aqueous phase at a density of 160 IEQ/mL.</w:t>
      </w:r>
    </w:p>
    <w:p w14:paraId="21B25D72" w14:textId="77777777" w:rsidR="00A76DF5" w:rsidRPr="00A76DF5" w:rsidRDefault="00A76DF5" w:rsidP="00051678">
      <w:pPr>
        <w:jc w:val="both"/>
        <w:rPr>
          <w:color w:val="FF0000"/>
          <w:lang w:val="en-GB"/>
        </w:rPr>
      </w:pPr>
    </w:p>
    <w:p w14:paraId="103E1F80" w14:textId="77777777" w:rsidR="00AB5BE0" w:rsidRDefault="00051678" w:rsidP="00051678">
      <w:pPr>
        <w:jc w:val="both"/>
      </w:pPr>
      <w:r w:rsidRPr="00051678">
        <w:t xml:space="preserve">ImageJ was </w:t>
      </w:r>
      <w:r>
        <w:t>used</w:t>
      </w:r>
      <w:r w:rsidRPr="00051678">
        <w:t xml:space="preserve"> for quantitative analysis, measuring </w:t>
      </w:r>
      <w:proofErr w:type="gramStart"/>
      <w:r w:rsidRPr="00051678">
        <w:t>particle</w:t>
      </w:r>
      <w:proofErr w:type="gramEnd"/>
      <w:r w:rsidRPr="00051678">
        <w:t xml:space="preserve"> and capsule diameters, </w:t>
      </w:r>
      <w:r>
        <w:t xml:space="preserve">and </w:t>
      </w:r>
      <w:r w:rsidRPr="00051678">
        <w:t>capsule thickness</w:t>
      </w:r>
      <w:r w:rsidR="00C1251C" w:rsidRPr="00C1251C">
        <w:t xml:space="preserve"> on three different axes</w:t>
      </w:r>
      <w:r w:rsidR="00C1251C">
        <w:t xml:space="preserve"> for each capsule</w:t>
      </w:r>
      <w:r w:rsidRPr="00051678">
        <w:t xml:space="preserve">. Data </w:t>
      </w:r>
      <w:proofErr w:type="gramStart"/>
      <w:r w:rsidR="00C1251C">
        <w:t>were</w:t>
      </w:r>
      <w:proofErr w:type="gramEnd"/>
      <w:r w:rsidR="00C1251C">
        <w:t xml:space="preserve"> elaborated</w:t>
      </w:r>
      <w:r w:rsidRPr="00051678">
        <w:t xml:space="preserve"> </w:t>
      </w:r>
      <w:r w:rsidR="00C1251C" w:rsidRPr="00051678">
        <w:t>using</w:t>
      </w:r>
      <w:r w:rsidRPr="00051678">
        <w:t xml:space="preserve"> Excel, and statistical analysis (linear regression) was performed in GraphPad Prism. </w:t>
      </w:r>
      <w:r w:rsidR="00801EE4">
        <w:t>S</w:t>
      </w:r>
      <w:r w:rsidRPr="00051678">
        <w:t xml:space="preserve">ignificance </w:t>
      </w:r>
      <w:r w:rsidR="00801EE4">
        <w:t xml:space="preserve">was </w:t>
      </w:r>
      <w:r w:rsidRPr="00051678">
        <w:t xml:space="preserve">set at p &lt; 0.05. </w:t>
      </w:r>
    </w:p>
    <w:p w14:paraId="70DBF0B9" w14:textId="77777777" w:rsidR="00AB5BE0" w:rsidRDefault="00AB5BE0" w:rsidP="00051678">
      <w:pPr>
        <w:jc w:val="both"/>
      </w:pPr>
    </w:p>
    <w:p w14:paraId="050ED7A5" w14:textId="3A4B2BCB" w:rsidR="00E30DAD" w:rsidRDefault="00E30DAD" w:rsidP="00051678">
      <w:pPr>
        <w:jc w:val="both"/>
      </w:pPr>
      <w:r w:rsidRPr="00E30DAD">
        <w:t>Glucose-stimulated insulin release (GSIR) was assessed in both coated and uncoated particles to evaluate insulin secretion in response to glucose challenges. After a one-hour pre-incubation in low glucose (2 mM), clusters were sequentially transferred through different conditions: (L1) low glucose (2 mM), (H) high glucose (16.7 mM), (L2) low glucose (2 mM), and (</w:t>
      </w:r>
      <w:proofErr w:type="spellStart"/>
      <w:r w:rsidRPr="00E30DAD">
        <w:t>KCl</w:t>
      </w:r>
      <w:proofErr w:type="spellEnd"/>
      <w:r w:rsidRPr="00E30DAD">
        <w:t xml:space="preserve">) </w:t>
      </w:r>
      <w:proofErr w:type="spellStart"/>
      <w:r w:rsidRPr="00E30DAD">
        <w:t>KCl</w:t>
      </w:r>
      <w:proofErr w:type="spellEnd"/>
      <w:r w:rsidRPr="00E30DAD">
        <w:t xml:space="preserve"> solution (30 mM), each for one hour. Eluted samples</w:t>
      </w:r>
      <w:r>
        <w:t xml:space="preserve"> </w:t>
      </w:r>
      <w:proofErr w:type="spellStart"/>
      <w:r w:rsidRPr="00E30DAD">
        <w:t>analysed</w:t>
      </w:r>
      <w:proofErr w:type="spellEnd"/>
      <w:r w:rsidRPr="00E30DAD">
        <w:t xml:space="preserve"> by ELISA assay (</w:t>
      </w:r>
      <w:proofErr w:type="spellStart"/>
      <w:r w:rsidRPr="00E30DAD">
        <w:t>Mercodia</w:t>
      </w:r>
      <w:proofErr w:type="spellEnd"/>
      <w:r w:rsidRPr="00E30DAD">
        <w:t>, Uppsala, Sweden)</w:t>
      </w:r>
    </w:p>
    <w:p w14:paraId="0CB6C6F0" w14:textId="77777777" w:rsidR="00AB5BE0" w:rsidRDefault="00AB5BE0" w:rsidP="00051678">
      <w:pPr>
        <w:jc w:val="both"/>
      </w:pPr>
    </w:p>
    <w:p w14:paraId="453ED2C3" w14:textId="40AECB37" w:rsidR="00247F65" w:rsidRDefault="00051678" w:rsidP="00051678">
      <w:pPr>
        <w:jc w:val="both"/>
      </w:pPr>
      <w:r w:rsidRPr="00051678">
        <w:t>Anti-peg staining and live (</w:t>
      </w:r>
      <w:proofErr w:type="spellStart"/>
      <w:r w:rsidRPr="00051678">
        <w:t>Calcein</w:t>
      </w:r>
      <w:proofErr w:type="spellEnd"/>
      <w:r w:rsidRPr="00051678">
        <w:t xml:space="preserve"> AM)/dead (ethidium) were performed on the capsules.</w:t>
      </w:r>
    </w:p>
    <w:p w14:paraId="3D25BCBE" w14:textId="77777777" w:rsidR="00181DE7" w:rsidRDefault="00181DE7" w:rsidP="00051678">
      <w:pPr>
        <w:jc w:val="both"/>
      </w:pPr>
    </w:p>
    <w:p w14:paraId="3EE8C906" w14:textId="27FA26BA" w:rsidR="00181DE7" w:rsidRDefault="00181DE7" w:rsidP="00181DE7">
      <w:pPr>
        <w:pStyle w:val="Titolo1"/>
      </w:pPr>
      <w:r>
        <w:t>Results and Discussion</w:t>
      </w:r>
    </w:p>
    <w:p w14:paraId="2784222F" w14:textId="77777777" w:rsidR="00626706" w:rsidRPr="00626706" w:rsidRDefault="00626706" w:rsidP="00626706"/>
    <w:p w14:paraId="23C52FF1" w14:textId="0DB97B73" w:rsidR="00BE7521" w:rsidRDefault="002D2F42" w:rsidP="00E67154">
      <w:pPr>
        <w:jc w:val="both"/>
      </w:pPr>
      <w:r w:rsidRPr="002D2F42">
        <w:t xml:space="preserve">The conformal encapsulation of Nit-1 clusters in size-controlled PEG-based microcapsules was successfully achieved with the </w:t>
      </w:r>
      <w:r>
        <w:t>present microfluidic device</w:t>
      </w:r>
      <w:r w:rsidRPr="002D2F42">
        <w:t>.</w:t>
      </w:r>
      <w:r>
        <w:t xml:space="preserve"> </w:t>
      </w:r>
    </w:p>
    <w:p w14:paraId="1C5F0546" w14:textId="346C2E53" w:rsidR="004352C6" w:rsidRDefault="00CC6AB3" w:rsidP="00E67154">
      <w:pPr>
        <w:jc w:val="both"/>
      </w:pPr>
      <w:r>
        <w:fldChar w:fldCharType="begin"/>
      </w:r>
      <w:r>
        <w:instrText xml:space="preserve"> REF _Ref195181980 \h </w:instrText>
      </w:r>
      <w:r w:rsidR="00922686">
        <w:instrText xml:space="preserve"> \* MERGEFORMAT </w:instrText>
      </w:r>
      <w:r>
        <w:fldChar w:fldCharType="separate"/>
      </w:r>
      <w:r w:rsidR="006A3339" w:rsidRPr="00922686">
        <w:t>Figure 2</w:t>
      </w:r>
      <w:r>
        <w:fldChar w:fldCharType="end"/>
      </w:r>
      <w:r>
        <w:t xml:space="preserve"> </w:t>
      </w:r>
      <w:r w:rsidR="002D2F42" w:rsidRPr="002D2F42">
        <w:t>illustrates the morphology and size distribution of encapsulated Nit-1 clusters</w:t>
      </w:r>
      <w:r w:rsidR="002E5A5F">
        <w:t>,</w:t>
      </w:r>
      <w:r w:rsidR="002E5A5F" w:rsidRPr="002E5A5F">
        <w:t xml:space="preserve"> </w:t>
      </w:r>
      <w:r w:rsidR="002E5A5F">
        <w:t>r</w:t>
      </w:r>
      <w:r w:rsidR="002E5A5F" w:rsidRPr="002E5A5F">
        <w:t>evealing a consistent and uniform coating with no evident structural irregularities. The polymeric membrane effectively adapted to the natural variability in cluster size and shape, demonstrating the capability of the system to generate highly reproducible microcapsules. The absence of defects or discontinuities in the coating suggests that the encapsulation process did not compromise the structural stability of the clusters.</w:t>
      </w:r>
    </w:p>
    <w:p w14:paraId="43A984A8" w14:textId="701EA101" w:rsidR="008235CE" w:rsidRDefault="008235CE" w:rsidP="00E67154">
      <w:pPr>
        <w:jc w:val="both"/>
      </w:pPr>
      <w:r w:rsidRPr="008235CE">
        <w:t xml:space="preserve">The mean diameter of Nit-1 clusters was measured at 141.9 µm, closely resembling the average size of human pancreatic islets, reinforcing their suitability as an in vitro model </w:t>
      </w:r>
      <w:r w:rsidR="009B6CD4" w:rsidRPr="009B6CD4">
        <w:t>[5]</w:t>
      </w:r>
      <w:r w:rsidRPr="008235CE">
        <w:t xml:space="preserve">. </w:t>
      </w:r>
      <w:r w:rsidR="004C2559" w:rsidRPr="004C2559">
        <w:t>The encapsulating membrane had a median thickness of 13.76 µm (IQR 10.48–19.19 µm), well below the critical diffusion threshold of 150 µm</w:t>
      </w:r>
      <w:r w:rsidRPr="008235CE">
        <w:t>. This thin yet robust coating allows efficient passive diffusion of oxygen and essential nutrients to the encapsulated cells while facilitating the exchange of metabolic byproducts, thereby supporting long-term viability and function.</w:t>
      </w:r>
    </w:p>
    <w:p w14:paraId="5B6F5A2E" w14:textId="77777777" w:rsidR="008235CE" w:rsidRDefault="008235CE" w:rsidP="008235CE"/>
    <w:p w14:paraId="177D9749" w14:textId="77777777" w:rsidR="00CC6AB3" w:rsidRDefault="00451EA0" w:rsidP="00CC6AB3">
      <w:pPr>
        <w:keepNext/>
      </w:pPr>
      <w:r>
        <w:rPr>
          <w:noProof/>
        </w:rPr>
        <w:drawing>
          <wp:inline distT="0" distB="0" distL="0" distR="0" wp14:anchorId="13713913" wp14:editId="405A4BB7">
            <wp:extent cx="3204182" cy="4076700"/>
            <wp:effectExtent l="0" t="0" r="0" b="0"/>
            <wp:docPr id="194827922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279225" name="Immagine 4"/>
                    <pic:cNvPicPr/>
                  </pic:nvPicPr>
                  <pic:blipFill rotWithShape="1">
                    <a:blip r:embed="rId8"/>
                    <a:srcRect l="9804" t="7919" b="12633"/>
                    <a:stretch/>
                  </pic:blipFill>
                  <pic:spPr bwMode="auto">
                    <a:xfrm>
                      <a:off x="0" y="0"/>
                      <a:ext cx="3204242" cy="4076776"/>
                    </a:xfrm>
                    <a:prstGeom prst="rect">
                      <a:avLst/>
                    </a:prstGeom>
                    <a:ln>
                      <a:noFill/>
                    </a:ln>
                    <a:extLst>
                      <a:ext uri="{53640926-AAD7-44D8-BBD7-CCE9431645EC}">
                        <a14:shadowObscured xmlns:a14="http://schemas.microsoft.com/office/drawing/2010/main"/>
                      </a:ext>
                    </a:extLst>
                  </pic:spPr>
                </pic:pic>
              </a:graphicData>
            </a:graphic>
          </wp:inline>
        </w:drawing>
      </w:r>
    </w:p>
    <w:p w14:paraId="36DBC244" w14:textId="77777777" w:rsidR="00CC6AB3" w:rsidRDefault="00CC6AB3" w:rsidP="00CC6AB3">
      <w:pPr>
        <w:pStyle w:val="Didascalia"/>
      </w:pPr>
    </w:p>
    <w:p w14:paraId="6E01EDC4" w14:textId="6A993D2B" w:rsidR="00181DE7" w:rsidRPr="00922686" w:rsidRDefault="00CC6AB3" w:rsidP="00CC6AB3">
      <w:pPr>
        <w:pStyle w:val="Didascalia"/>
        <w:jc w:val="both"/>
        <w:rPr>
          <w:color w:val="000000" w:themeColor="text1"/>
        </w:rPr>
      </w:pPr>
      <w:bookmarkStart w:id="2" w:name="_Ref195181980"/>
      <w:r w:rsidRPr="00922686">
        <w:rPr>
          <w:color w:val="000000" w:themeColor="text1"/>
        </w:rPr>
        <w:t xml:space="preserve">Figure </w:t>
      </w:r>
      <w:r w:rsidRPr="00922686">
        <w:rPr>
          <w:color w:val="000000" w:themeColor="text1"/>
        </w:rPr>
        <w:fldChar w:fldCharType="begin"/>
      </w:r>
      <w:r w:rsidRPr="00922686">
        <w:rPr>
          <w:color w:val="000000" w:themeColor="text1"/>
        </w:rPr>
        <w:instrText xml:space="preserve"> SEQ Figure \* ARABIC </w:instrText>
      </w:r>
      <w:r w:rsidRPr="00922686">
        <w:rPr>
          <w:color w:val="000000" w:themeColor="text1"/>
        </w:rPr>
        <w:fldChar w:fldCharType="separate"/>
      </w:r>
      <w:r w:rsidR="006A3339" w:rsidRPr="00922686">
        <w:rPr>
          <w:noProof/>
          <w:color w:val="000000" w:themeColor="text1"/>
        </w:rPr>
        <w:t>2</w:t>
      </w:r>
      <w:r w:rsidRPr="00922686">
        <w:rPr>
          <w:color w:val="000000" w:themeColor="text1"/>
        </w:rPr>
        <w:fldChar w:fldCharType="end"/>
      </w:r>
      <w:bookmarkEnd w:id="2"/>
      <w:r w:rsidRPr="00922686">
        <w:rPr>
          <w:color w:val="000000" w:themeColor="text1"/>
        </w:rPr>
        <w:t xml:space="preserve"> </w:t>
      </w:r>
      <w:r w:rsidRPr="00922686">
        <w:rPr>
          <w:b/>
          <w:bCs/>
          <w:color w:val="000000" w:themeColor="text1"/>
        </w:rPr>
        <w:t>(A)</w:t>
      </w:r>
      <w:r w:rsidRPr="00922686">
        <w:rPr>
          <w:color w:val="000000" w:themeColor="text1"/>
        </w:rPr>
        <w:t xml:space="preserve"> Phase-contrast images of the coated Nit-1 clusters (scalebar: 150 μm) </w:t>
      </w:r>
      <w:r w:rsidRPr="00922686">
        <w:rPr>
          <w:b/>
          <w:bCs/>
          <w:color w:val="000000" w:themeColor="text1"/>
        </w:rPr>
        <w:t>(B)</w:t>
      </w:r>
      <w:r w:rsidRPr="00922686">
        <w:rPr>
          <w:color w:val="000000" w:themeColor="text1"/>
        </w:rPr>
        <w:t xml:space="preserve"> Cluster diameter (dark gray) and capsule diameter (light gray). N = 16, with a total of n = 1135 clusters evaluated. Mean ± SD are reported on the graph </w:t>
      </w:r>
      <w:r w:rsidRPr="00922686">
        <w:rPr>
          <w:b/>
          <w:bCs/>
          <w:color w:val="000000" w:themeColor="text1"/>
        </w:rPr>
        <w:t>(C)</w:t>
      </w:r>
      <w:r w:rsidRPr="00922686">
        <w:rPr>
          <w:color w:val="000000" w:themeColor="text1"/>
        </w:rPr>
        <w:t xml:space="preserve"> </w:t>
      </w:r>
      <w:r w:rsidR="00D76DDF" w:rsidRPr="00922686">
        <w:rPr>
          <w:color w:val="000000" w:themeColor="text1"/>
        </w:rPr>
        <w:t xml:space="preserve">Coating thickness measured from the NIT-1 cluster surface to the coating exterior. Each value represents the average of three measurements taken along three different axes. N = 16, with a total of n = 1135 </w:t>
      </w:r>
      <w:r w:rsidR="00D76DDF" w:rsidRPr="00922686">
        <w:rPr>
          <w:color w:val="000000" w:themeColor="text1"/>
        </w:rPr>
        <w:lastRenderedPageBreak/>
        <w:t>clusters evaluated. Data are reported as the median (13.76 µm) with the interquartile range.</w:t>
      </w:r>
    </w:p>
    <w:p w14:paraId="41ED3EF8" w14:textId="40D540FC" w:rsidR="008235CE" w:rsidRPr="00922686" w:rsidRDefault="008235CE" w:rsidP="00922686">
      <w:pPr>
        <w:pStyle w:val="Didascalia"/>
        <w:jc w:val="both"/>
        <w:rPr>
          <w:i w:val="0"/>
          <w:iCs w:val="0"/>
          <w:color w:val="auto"/>
          <w:sz w:val="20"/>
          <w:szCs w:val="20"/>
        </w:rPr>
      </w:pPr>
      <w:r w:rsidRPr="00922686">
        <w:rPr>
          <w:i w:val="0"/>
          <w:iCs w:val="0"/>
          <w:color w:val="auto"/>
          <w:sz w:val="20"/>
          <w:szCs w:val="20"/>
        </w:rPr>
        <w:t xml:space="preserve">Furthermore, the CC microfluidic device enabled the formation of a consistent coating thickness across all encapsulated clusters, independent of their size. In contrast, the overall capsule diameter exhibited a linear decrease as the cluster diameter decreased, as illustrated in </w:t>
      </w:r>
      <w:r w:rsidR="00922686">
        <w:rPr>
          <w:i w:val="0"/>
          <w:iCs w:val="0"/>
          <w:color w:val="auto"/>
          <w:sz w:val="20"/>
          <w:szCs w:val="20"/>
        </w:rPr>
        <w:fldChar w:fldCharType="begin"/>
      </w:r>
      <w:r w:rsidR="00922686">
        <w:rPr>
          <w:i w:val="0"/>
          <w:iCs w:val="0"/>
          <w:color w:val="auto"/>
          <w:sz w:val="20"/>
          <w:szCs w:val="20"/>
        </w:rPr>
        <w:instrText xml:space="preserve"> REF _Ref195201991 \h </w:instrText>
      </w:r>
      <w:r w:rsidR="00922686">
        <w:rPr>
          <w:i w:val="0"/>
          <w:iCs w:val="0"/>
          <w:color w:val="auto"/>
          <w:sz w:val="20"/>
          <w:szCs w:val="20"/>
        </w:rPr>
      </w:r>
      <w:r w:rsidR="00922686">
        <w:rPr>
          <w:i w:val="0"/>
          <w:iCs w:val="0"/>
          <w:color w:val="auto"/>
          <w:sz w:val="20"/>
          <w:szCs w:val="20"/>
        </w:rPr>
        <w:instrText xml:space="preserve"> \* MERGEFORMAT </w:instrText>
      </w:r>
      <w:r w:rsidR="00922686">
        <w:rPr>
          <w:i w:val="0"/>
          <w:iCs w:val="0"/>
          <w:color w:val="auto"/>
          <w:sz w:val="20"/>
          <w:szCs w:val="20"/>
        </w:rPr>
        <w:fldChar w:fldCharType="separate"/>
      </w:r>
      <w:r w:rsidR="00922686" w:rsidRPr="00922686">
        <w:rPr>
          <w:i w:val="0"/>
          <w:iCs w:val="0"/>
          <w:color w:val="auto"/>
          <w:sz w:val="20"/>
          <w:szCs w:val="20"/>
        </w:rPr>
        <w:t>Figure 3</w:t>
      </w:r>
      <w:r w:rsidR="00922686">
        <w:rPr>
          <w:i w:val="0"/>
          <w:iCs w:val="0"/>
          <w:color w:val="auto"/>
          <w:sz w:val="20"/>
          <w:szCs w:val="20"/>
        </w:rPr>
        <w:fldChar w:fldCharType="end"/>
      </w:r>
      <w:r w:rsidR="00FB41D0" w:rsidRPr="00922686">
        <w:rPr>
          <w:i w:val="0"/>
          <w:iCs w:val="0"/>
          <w:color w:val="auto"/>
          <w:sz w:val="20"/>
          <w:szCs w:val="20"/>
        </w:rPr>
        <w:fldChar w:fldCharType="begin"/>
      </w:r>
      <w:r w:rsidR="00FB41D0" w:rsidRPr="00922686">
        <w:rPr>
          <w:i w:val="0"/>
          <w:iCs w:val="0"/>
          <w:color w:val="auto"/>
          <w:sz w:val="20"/>
          <w:szCs w:val="20"/>
        </w:rPr>
        <w:instrText xml:space="preserve"> REF _Ref195182125 \h </w:instrText>
      </w:r>
      <w:r w:rsidR="00FB41D0" w:rsidRPr="00922686">
        <w:rPr>
          <w:i w:val="0"/>
          <w:iCs w:val="0"/>
          <w:color w:val="auto"/>
          <w:sz w:val="20"/>
          <w:szCs w:val="20"/>
        </w:rPr>
      </w:r>
      <w:r w:rsidR="00922686">
        <w:rPr>
          <w:i w:val="0"/>
          <w:iCs w:val="0"/>
          <w:color w:val="auto"/>
          <w:sz w:val="20"/>
          <w:szCs w:val="20"/>
        </w:rPr>
        <w:instrText xml:space="preserve"> \* MERGEFORMAT </w:instrText>
      </w:r>
      <w:r w:rsidR="00FB41D0" w:rsidRPr="00922686">
        <w:rPr>
          <w:i w:val="0"/>
          <w:iCs w:val="0"/>
          <w:color w:val="auto"/>
          <w:sz w:val="20"/>
          <w:szCs w:val="20"/>
        </w:rPr>
        <w:fldChar w:fldCharType="separate"/>
      </w:r>
      <w:r w:rsidR="00FB41D0" w:rsidRPr="00922686">
        <w:rPr>
          <w:i w:val="0"/>
          <w:iCs w:val="0"/>
          <w:color w:val="auto"/>
          <w:sz w:val="20"/>
          <w:szCs w:val="20"/>
        </w:rPr>
        <w:fldChar w:fldCharType="end"/>
      </w:r>
      <w:r w:rsidRPr="00922686">
        <w:rPr>
          <w:i w:val="0"/>
          <w:iCs w:val="0"/>
          <w:color w:val="auto"/>
          <w:sz w:val="20"/>
          <w:szCs w:val="20"/>
        </w:rPr>
        <w:t>.</w:t>
      </w:r>
      <w:r w:rsidR="00922686">
        <w:rPr>
          <w:i w:val="0"/>
          <w:iCs w:val="0"/>
          <w:color w:val="auto"/>
          <w:sz w:val="20"/>
          <w:szCs w:val="20"/>
        </w:rPr>
        <w:t xml:space="preserve"> </w:t>
      </w:r>
      <w:r w:rsidRPr="00922686">
        <w:rPr>
          <w:i w:val="0"/>
          <w:iCs w:val="0"/>
          <w:color w:val="auto"/>
          <w:sz w:val="20"/>
          <w:szCs w:val="20"/>
        </w:rPr>
        <w:t>Maintaining a thin and uniform encapsulation layer is advantageous, as it minimizes diffusion distance, thereby facilitating the rapid exchange of small molecules such as insulin and glucose. This enhanced permeability is critical for ensuring a timely physiological response and maintaining the metabolic functionality of the encapsulated cells. Additionally, the reduction in capsule diameter translates into a lower total graft volume, which is particularly beneficial for transplantation procedures, as it allows for a higher islet density within vascularized implantation sites.</w:t>
      </w:r>
    </w:p>
    <w:p w14:paraId="49A0E295" w14:textId="77777777" w:rsidR="008235CE" w:rsidRDefault="008235CE" w:rsidP="008235CE">
      <w:r>
        <w:t>These findings highlight the importance of preserving a fixed coating thickness rather than a constant capsule diameter to optimize diffusion kinetics while minimizing graft volume. Furthermore, anti-PEG staining confirmed that the polymeric capsules surrounding the clusters were fully cross-linked and structurally intact, ensuring the stability of the encapsulation system (data not shown).</w:t>
      </w:r>
    </w:p>
    <w:p w14:paraId="62E151A1" w14:textId="77777777" w:rsidR="008235CE" w:rsidRDefault="008235CE" w:rsidP="008235CE"/>
    <w:p w14:paraId="75DA8B8E" w14:textId="77777777" w:rsidR="00CC6AB3" w:rsidRDefault="00BE7521" w:rsidP="00CC6AB3">
      <w:pPr>
        <w:keepNext/>
      </w:pPr>
      <w:r>
        <w:rPr>
          <w:noProof/>
        </w:rPr>
        <w:drawing>
          <wp:inline distT="0" distB="0" distL="0" distR="0" wp14:anchorId="16BEFBC6" wp14:editId="32FD3629">
            <wp:extent cx="2717800" cy="3829685"/>
            <wp:effectExtent l="0" t="0" r="6350" b="0"/>
            <wp:docPr id="118403277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032770" name="Immagine 5"/>
                    <pic:cNvPicPr/>
                  </pic:nvPicPr>
                  <pic:blipFill rotWithShape="1">
                    <a:blip r:embed="rId9"/>
                    <a:srcRect l="10219" t="6779" r="4761" b="10281"/>
                    <a:stretch/>
                  </pic:blipFill>
                  <pic:spPr bwMode="auto">
                    <a:xfrm>
                      <a:off x="0" y="0"/>
                      <a:ext cx="2721680" cy="3835153"/>
                    </a:xfrm>
                    <a:prstGeom prst="rect">
                      <a:avLst/>
                    </a:prstGeom>
                    <a:ln>
                      <a:noFill/>
                    </a:ln>
                    <a:extLst>
                      <a:ext uri="{53640926-AAD7-44D8-BBD7-CCE9431645EC}">
                        <a14:shadowObscured xmlns:a14="http://schemas.microsoft.com/office/drawing/2010/main"/>
                      </a:ext>
                    </a:extLst>
                  </pic:spPr>
                </pic:pic>
              </a:graphicData>
            </a:graphic>
          </wp:inline>
        </w:drawing>
      </w:r>
    </w:p>
    <w:p w14:paraId="23276812" w14:textId="77777777" w:rsidR="005A79C4" w:rsidRDefault="005A79C4" w:rsidP="00CC6AB3">
      <w:pPr>
        <w:pStyle w:val="Didascalia"/>
        <w:jc w:val="both"/>
        <w:rPr>
          <w:color w:val="000000" w:themeColor="text1"/>
        </w:rPr>
      </w:pPr>
      <w:bookmarkStart w:id="3" w:name="_Ref195182125"/>
    </w:p>
    <w:p w14:paraId="4993072C" w14:textId="5762D096" w:rsidR="001B3F4D" w:rsidRPr="00922686" w:rsidRDefault="00CC6AB3" w:rsidP="00CC6AB3">
      <w:pPr>
        <w:pStyle w:val="Didascalia"/>
        <w:jc w:val="both"/>
        <w:rPr>
          <w:color w:val="000000" w:themeColor="text1"/>
          <w:lang w:val="en-GB"/>
        </w:rPr>
      </w:pPr>
      <w:bookmarkStart w:id="4" w:name="_Ref195201991"/>
      <w:r w:rsidRPr="00922686">
        <w:rPr>
          <w:color w:val="000000" w:themeColor="text1"/>
        </w:rPr>
        <w:t xml:space="preserve">Figure </w:t>
      </w:r>
      <w:r w:rsidRPr="00922686">
        <w:rPr>
          <w:color w:val="000000" w:themeColor="text1"/>
        </w:rPr>
        <w:fldChar w:fldCharType="begin"/>
      </w:r>
      <w:r w:rsidRPr="00922686">
        <w:rPr>
          <w:color w:val="000000" w:themeColor="text1"/>
        </w:rPr>
        <w:instrText xml:space="preserve"> SEQ Figure \* ARABIC </w:instrText>
      </w:r>
      <w:r w:rsidRPr="00922686">
        <w:rPr>
          <w:color w:val="000000" w:themeColor="text1"/>
        </w:rPr>
        <w:fldChar w:fldCharType="separate"/>
      </w:r>
      <w:r w:rsidR="006A3339" w:rsidRPr="00922686">
        <w:rPr>
          <w:noProof/>
          <w:color w:val="000000" w:themeColor="text1"/>
        </w:rPr>
        <w:t>3</w:t>
      </w:r>
      <w:r w:rsidRPr="00922686">
        <w:rPr>
          <w:color w:val="000000" w:themeColor="text1"/>
        </w:rPr>
        <w:fldChar w:fldCharType="end"/>
      </w:r>
      <w:bookmarkEnd w:id="3"/>
      <w:bookmarkEnd w:id="4"/>
      <w:r w:rsidRPr="00922686">
        <w:rPr>
          <w:color w:val="000000" w:themeColor="text1"/>
        </w:rPr>
        <w:t xml:space="preserve"> </w:t>
      </w:r>
      <w:r w:rsidRPr="00922686">
        <w:rPr>
          <w:b/>
          <w:bCs/>
          <w:color w:val="000000" w:themeColor="text1"/>
        </w:rPr>
        <w:t xml:space="preserve">(A) </w:t>
      </w:r>
      <w:r w:rsidRPr="00922686">
        <w:rPr>
          <w:color w:val="000000" w:themeColor="text1"/>
        </w:rPr>
        <w:t xml:space="preserve">Correlation between cluster diameter and capsule diameter. Pearson correlation coefficient: r = 0.86. Statistical significance: P &lt; 0.0001. N = 16, with a total of n = 1135 clusters evaluated. </w:t>
      </w:r>
      <w:r w:rsidRPr="00922686">
        <w:rPr>
          <w:b/>
          <w:bCs/>
          <w:color w:val="000000" w:themeColor="text1"/>
        </w:rPr>
        <w:t>(B)</w:t>
      </w:r>
      <w:r w:rsidRPr="00922686">
        <w:rPr>
          <w:color w:val="000000" w:themeColor="text1"/>
        </w:rPr>
        <w:t xml:space="preserve"> Correlation between cluster diameter and coating thickness. Spearman correlation coefficient: r = 0.05. Statistical significance: P &lt; 0.05. N = 16, with a total of n = 1135 clusters evaluated.</w:t>
      </w:r>
    </w:p>
    <w:p w14:paraId="725C232D" w14:textId="4ADDBA9F" w:rsidR="00E75B56" w:rsidRPr="00922686" w:rsidRDefault="00E75B56" w:rsidP="00922686">
      <w:pPr>
        <w:pStyle w:val="Didascalia"/>
        <w:jc w:val="both"/>
        <w:rPr>
          <w:i w:val="0"/>
          <w:iCs w:val="0"/>
          <w:color w:val="auto"/>
          <w:sz w:val="20"/>
          <w:szCs w:val="20"/>
        </w:rPr>
      </w:pPr>
      <w:r w:rsidRPr="00922686">
        <w:rPr>
          <w:i w:val="0"/>
          <w:iCs w:val="0"/>
          <w:color w:val="auto"/>
          <w:sz w:val="20"/>
          <w:szCs w:val="20"/>
        </w:rPr>
        <w:t>C</w:t>
      </w:r>
      <w:r w:rsidR="007A2D98" w:rsidRPr="00922686">
        <w:rPr>
          <w:i w:val="0"/>
          <w:iCs w:val="0"/>
          <w:color w:val="auto"/>
          <w:sz w:val="20"/>
          <w:szCs w:val="20"/>
        </w:rPr>
        <w:t>ell viability was evaluated using live/dead staining. The staining results confirmed a high viability of the encapsulated cells, with dead cells primarily observed as isolated single cells. This suggests that the encapsulation process, including the shear forces experienced by the clusters during microfluidic coating, did not have a detrimental impact on cell integrity or survival (</w:t>
      </w:r>
      <w:r w:rsidR="00FB41D0" w:rsidRPr="00922686">
        <w:rPr>
          <w:i w:val="0"/>
          <w:iCs w:val="0"/>
          <w:color w:val="auto"/>
          <w:sz w:val="20"/>
          <w:szCs w:val="20"/>
        </w:rPr>
        <w:fldChar w:fldCharType="begin"/>
      </w:r>
      <w:r w:rsidR="00FB41D0" w:rsidRPr="00922686">
        <w:rPr>
          <w:i w:val="0"/>
          <w:iCs w:val="0"/>
          <w:color w:val="auto"/>
          <w:sz w:val="20"/>
          <w:szCs w:val="20"/>
        </w:rPr>
        <w:instrText xml:space="preserve"> REF _Ref195182141 \h </w:instrText>
      </w:r>
      <w:r w:rsidR="00FB41D0" w:rsidRPr="00922686">
        <w:rPr>
          <w:i w:val="0"/>
          <w:iCs w:val="0"/>
          <w:color w:val="auto"/>
          <w:sz w:val="20"/>
          <w:szCs w:val="20"/>
        </w:rPr>
      </w:r>
      <w:r w:rsidR="00922686">
        <w:rPr>
          <w:i w:val="0"/>
          <w:iCs w:val="0"/>
          <w:color w:val="auto"/>
          <w:sz w:val="20"/>
          <w:szCs w:val="20"/>
        </w:rPr>
        <w:instrText xml:space="preserve"> \* MERGEFORMAT </w:instrText>
      </w:r>
      <w:r w:rsidR="00FB41D0" w:rsidRPr="00922686">
        <w:rPr>
          <w:i w:val="0"/>
          <w:iCs w:val="0"/>
          <w:color w:val="auto"/>
          <w:sz w:val="20"/>
          <w:szCs w:val="20"/>
        </w:rPr>
        <w:fldChar w:fldCharType="separate"/>
      </w:r>
      <w:r w:rsidR="006A3339" w:rsidRPr="00922686">
        <w:rPr>
          <w:color w:val="auto"/>
          <w:sz w:val="20"/>
          <w:szCs w:val="20"/>
        </w:rPr>
        <w:t>Figure 4</w:t>
      </w:r>
      <w:r w:rsidR="00FB41D0">
        <w:fldChar w:fldCharType="end"/>
      </w:r>
      <w:r w:rsidR="007A2D98" w:rsidRPr="00922686">
        <w:rPr>
          <w:i w:val="0"/>
          <w:iCs w:val="0"/>
          <w:color w:val="auto"/>
          <w:sz w:val="20"/>
          <w:szCs w:val="20"/>
        </w:rPr>
        <w:t>).</w:t>
      </w:r>
      <w:r w:rsidRPr="00922686">
        <w:rPr>
          <w:i w:val="0"/>
          <w:iCs w:val="0"/>
          <w:color w:val="auto"/>
          <w:sz w:val="20"/>
          <w:szCs w:val="20"/>
        </w:rPr>
        <w:t xml:space="preserve"> The functionality of Nit-1 clusters was assessed through glucose-stimulated insulin release</w:t>
      </w:r>
      <w:r w:rsidR="00F544B6" w:rsidRPr="00922686">
        <w:rPr>
          <w:i w:val="0"/>
          <w:iCs w:val="0"/>
          <w:color w:val="auto"/>
          <w:sz w:val="20"/>
          <w:szCs w:val="20"/>
        </w:rPr>
        <w:t>. CC cluster exhibited a typical GSIR profile</w:t>
      </w:r>
      <w:r w:rsidR="00B861C4" w:rsidRPr="00922686">
        <w:rPr>
          <w:i w:val="0"/>
          <w:iCs w:val="0"/>
          <w:color w:val="auto"/>
          <w:sz w:val="20"/>
          <w:szCs w:val="20"/>
        </w:rPr>
        <w:t>, with a mean stimulation index</w:t>
      </w:r>
      <w:r w:rsidR="00D83CED" w:rsidRPr="00922686">
        <w:rPr>
          <w:i w:val="0"/>
          <w:iCs w:val="0"/>
          <w:color w:val="auto"/>
          <w:sz w:val="20"/>
          <w:szCs w:val="20"/>
        </w:rPr>
        <w:t>, defined as the ration between the H step and the first low glucose (H/L1) in term of insulin release,</w:t>
      </w:r>
      <w:r w:rsidR="00B861C4" w:rsidRPr="00922686">
        <w:rPr>
          <w:i w:val="0"/>
          <w:iCs w:val="0"/>
          <w:color w:val="auto"/>
          <w:sz w:val="20"/>
          <w:szCs w:val="20"/>
        </w:rPr>
        <w:t xml:space="preserve"> of </w:t>
      </w:r>
      <w:r w:rsidR="00D83CED" w:rsidRPr="00922686">
        <w:rPr>
          <w:i w:val="0"/>
          <w:iCs w:val="0"/>
          <w:color w:val="auto"/>
          <w:sz w:val="20"/>
          <w:szCs w:val="20"/>
        </w:rPr>
        <w:t>1.98</w:t>
      </w:r>
    </w:p>
    <w:p w14:paraId="4AADEB0B" w14:textId="77777777" w:rsidR="00E75B56" w:rsidRDefault="00E75B56" w:rsidP="00E75B56">
      <w:pPr>
        <w:jc w:val="both"/>
      </w:pPr>
    </w:p>
    <w:p w14:paraId="3EE4B946" w14:textId="77777777" w:rsidR="00CC6AB3" w:rsidRDefault="00B33FB5" w:rsidP="00CC6AB3">
      <w:pPr>
        <w:keepNext/>
        <w:jc w:val="both"/>
      </w:pPr>
      <w:r>
        <w:rPr>
          <w:noProof/>
        </w:rPr>
        <w:drawing>
          <wp:inline distT="0" distB="0" distL="0" distR="0" wp14:anchorId="049ED79D" wp14:editId="4E5A6665">
            <wp:extent cx="3148965" cy="1504950"/>
            <wp:effectExtent l="0" t="0" r="0" b="0"/>
            <wp:docPr id="890261110" name="Immagine 6" descr="Immagine che contiene diagramma, schermata, disegno, verd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261110" name="Immagine 6" descr="Immagine che contiene diagramma, schermata, disegno, verde&#10;&#10;Descrizione generata automaticamente"/>
                    <pic:cNvPicPr/>
                  </pic:nvPicPr>
                  <pic:blipFill rotWithShape="1">
                    <a:blip r:embed="rId10"/>
                    <a:srcRect t="3770" b="63144"/>
                    <a:stretch/>
                  </pic:blipFill>
                  <pic:spPr bwMode="auto">
                    <a:xfrm>
                      <a:off x="0" y="0"/>
                      <a:ext cx="3148965" cy="1504950"/>
                    </a:xfrm>
                    <a:prstGeom prst="rect">
                      <a:avLst/>
                    </a:prstGeom>
                    <a:ln>
                      <a:noFill/>
                    </a:ln>
                    <a:extLst>
                      <a:ext uri="{53640926-AAD7-44D8-BBD7-CCE9431645EC}">
                        <a14:shadowObscured xmlns:a14="http://schemas.microsoft.com/office/drawing/2010/main"/>
                      </a:ext>
                    </a:extLst>
                  </pic:spPr>
                </pic:pic>
              </a:graphicData>
            </a:graphic>
          </wp:inline>
        </w:drawing>
      </w:r>
    </w:p>
    <w:p w14:paraId="2B17D19A" w14:textId="77777777" w:rsidR="005A79C4" w:rsidRPr="00922686" w:rsidRDefault="005A79C4" w:rsidP="00CC6AB3">
      <w:pPr>
        <w:pStyle w:val="Didascalia"/>
        <w:jc w:val="both"/>
        <w:rPr>
          <w:color w:val="000000" w:themeColor="text1"/>
          <w:sz w:val="20"/>
          <w:szCs w:val="20"/>
        </w:rPr>
      </w:pPr>
      <w:bookmarkStart w:id="5" w:name="_Ref195182141"/>
    </w:p>
    <w:p w14:paraId="60A61968" w14:textId="724F0D6B" w:rsidR="001B3F4D" w:rsidRPr="00922686" w:rsidRDefault="00CC6AB3" w:rsidP="00CC6AB3">
      <w:pPr>
        <w:pStyle w:val="Didascalia"/>
        <w:jc w:val="both"/>
        <w:rPr>
          <w:color w:val="000000" w:themeColor="text1"/>
        </w:rPr>
      </w:pPr>
      <w:r w:rsidRPr="00922686">
        <w:rPr>
          <w:color w:val="000000" w:themeColor="text1"/>
        </w:rPr>
        <w:t xml:space="preserve">Figure </w:t>
      </w:r>
      <w:r w:rsidRPr="00922686">
        <w:rPr>
          <w:color w:val="000000" w:themeColor="text1"/>
        </w:rPr>
        <w:fldChar w:fldCharType="begin"/>
      </w:r>
      <w:r w:rsidRPr="00922686">
        <w:rPr>
          <w:color w:val="000000" w:themeColor="text1"/>
        </w:rPr>
        <w:instrText xml:space="preserve"> SEQ Figure \* ARABIC </w:instrText>
      </w:r>
      <w:r w:rsidRPr="00922686">
        <w:rPr>
          <w:color w:val="000000" w:themeColor="text1"/>
        </w:rPr>
        <w:fldChar w:fldCharType="separate"/>
      </w:r>
      <w:r w:rsidR="006A3339" w:rsidRPr="00922686">
        <w:rPr>
          <w:noProof/>
          <w:color w:val="000000" w:themeColor="text1"/>
        </w:rPr>
        <w:t>4</w:t>
      </w:r>
      <w:r w:rsidRPr="00922686">
        <w:rPr>
          <w:color w:val="000000" w:themeColor="text1"/>
        </w:rPr>
        <w:fldChar w:fldCharType="end"/>
      </w:r>
      <w:bookmarkEnd w:id="5"/>
      <w:r w:rsidRPr="00922686">
        <w:rPr>
          <w:color w:val="000000" w:themeColor="text1"/>
        </w:rPr>
        <w:t xml:space="preserve"> </w:t>
      </w:r>
      <w:r w:rsidRPr="00922686">
        <w:rPr>
          <w:b/>
          <w:bCs/>
          <w:color w:val="000000" w:themeColor="text1"/>
        </w:rPr>
        <w:t>(A)</w:t>
      </w:r>
      <w:r w:rsidRPr="00922686">
        <w:rPr>
          <w:color w:val="000000" w:themeColor="text1"/>
        </w:rPr>
        <w:t xml:space="preserve"> Orthogonal projection of confocal images after live (green)/dead (red) staining of conformally coated Nit-1 clusters. </w:t>
      </w:r>
      <w:r w:rsidRPr="00922686">
        <w:rPr>
          <w:b/>
          <w:bCs/>
          <w:color w:val="000000" w:themeColor="text1"/>
        </w:rPr>
        <w:t>(B)</w:t>
      </w:r>
      <w:r w:rsidRPr="00922686">
        <w:rPr>
          <w:color w:val="000000" w:themeColor="text1"/>
        </w:rPr>
        <w:t xml:space="preserve"> Histogram showing GSIR, performed on CC Nit-1 cell clusters. N=2, n=3.</w:t>
      </w:r>
    </w:p>
    <w:p w14:paraId="3701C594" w14:textId="77777777" w:rsidR="008C6A34" w:rsidRDefault="008C6A34" w:rsidP="002D2F42">
      <w:pPr>
        <w:rPr>
          <w:sz w:val="16"/>
        </w:rPr>
      </w:pPr>
    </w:p>
    <w:p w14:paraId="612D69BD" w14:textId="64E2C6C9" w:rsidR="002C170C" w:rsidRDefault="008C6A34" w:rsidP="002C170C">
      <w:pPr>
        <w:pStyle w:val="Titolo1"/>
      </w:pPr>
      <w:r>
        <w:t>Conclusions</w:t>
      </w:r>
    </w:p>
    <w:p w14:paraId="3917EB72" w14:textId="77777777" w:rsidR="00D20068" w:rsidRDefault="00D20068" w:rsidP="002C170C">
      <w:pPr>
        <w:jc w:val="both"/>
      </w:pPr>
    </w:p>
    <w:p w14:paraId="0215DA6B" w14:textId="0E3084E3" w:rsidR="00D20068" w:rsidRPr="00D20068" w:rsidRDefault="00D20068" w:rsidP="00D20068">
      <w:pPr>
        <w:jc w:val="both"/>
        <w:rPr>
          <w:lang w:val="en-GB"/>
        </w:rPr>
      </w:pPr>
      <w:r w:rsidRPr="00D20068">
        <w:rPr>
          <w:lang w:val="en-GB"/>
        </w:rPr>
        <w:t xml:space="preserve">This study demonstrates the successful development of a microfluidic flow-focusing device for the conformal encapsulation of </w:t>
      </w:r>
      <w:proofErr w:type="spellStart"/>
      <w:r w:rsidRPr="00D20068">
        <w:rPr>
          <w:lang w:val="en-GB"/>
        </w:rPr>
        <w:t>pseudoislets</w:t>
      </w:r>
      <w:proofErr w:type="spellEnd"/>
      <w:r w:rsidRPr="00D20068">
        <w:rPr>
          <w:lang w:val="en-GB"/>
        </w:rPr>
        <w:t xml:space="preserve"> in a PEG-based hydrogel. The microfluidic system achieved precise control over the formation of thin, size-controlled coatings that adapted to the natural variability in cluster dimensions. </w:t>
      </w:r>
    </w:p>
    <w:p w14:paraId="4EEA9E98" w14:textId="4F4FA14B" w:rsidR="00265890" w:rsidRPr="00D20068" w:rsidRDefault="00D20068" w:rsidP="00D20068">
      <w:pPr>
        <w:jc w:val="both"/>
        <w:rPr>
          <w:lang w:val="en-GB"/>
        </w:rPr>
      </w:pPr>
      <w:r w:rsidRPr="00D20068">
        <w:rPr>
          <w:lang w:val="en-GB"/>
        </w:rPr>
        <w:t>One of the key advantages of this approach is the use of a microfluidic device, which offers significant benefits over traditional macrodevice</w:t>
      </w:r>
      <w:r>
        <w:rPr>
          <w:lang w:val="en-GB"/>
        </w:rPr>
        <w:t xml:space="preserve"> [6]</w:t>
      </w:r>
      <w:r w:rsidRPr="00D20068">
        <w:rPr>
          <w:lang w:val="en-GB"/>
        </w:rPr>
        <w:t>. The microfluidic platform allows for a much higher level of precision in controlling capsule size</w:t>
      </w:r>
      <w:r>
        <w:rPr>
          <w:lang w:val="en-GB"/>
        </w:rPr>
        <w:t xml:space="preserve"> </w:t>
      </w:r>
      <w:r w:rsidR="00265890" w:rsidRPr="00265890">
        <w:rPr>
          <w:lang w:val="en-GB"/>
        </w:rPr>
        <w:t>while also reducing reagent consumption, overall costs, and processing time.</w:t>
      </w:r>
      <w:r>
        <w:rPr>
          <w:lang w:val="en-GB"/>
        </w:rPr>
        <w:t xml:space="preserve"> </w:t>
      </w:r>
    </w:p>
    <w:p w14:paraId="566C748F" w14:textId="0A200DA3" w:rsidR="00D20068" w:rsidRPr="00D20068" w:rsidRDefault="00D20068" w:rsidP="00D20068">
      <w:pPr>
        <w:jc w:val="both"/>
        <w:rPr>
          <w:lang w:val="en-GB"/>
        </w:rPr>
      </w:pPr>
      <w:r w:rsidRPr="00D20068">
        <w:rPr>
          <w:lang w:val="en-GB"/>
        </w:rPr>
        <w:t xml:space="preserve">Furthermore, </w:t>
      </w:r>
      <w:r w:rsidR="00265890">
        <w:rPr>
          <w:lang w:val="en-GB"/>
        </w:rPr>
        <w:t>t</w:t>
      </w:r>
      <w:r w:rsidRPr="00D20068">
        <w:rPr>
          <w:lang w:val="en-GB"/>
        </w:rPr>
        <w:t>he encapsulation process did not compromise cell viability, as confirmed by live/dead staining, and glucose-stimulated insulin release (GSIR) assays showed that encapsulated Nit-1 clusters retained their functional response to glucose variations. These results suggest that the microfluidic device not only improves encapsulation precision but also preserves the functionality of the encapsulated cells.</w:t>
      </w:r>
    </w:p>
    <w:p w14:paraId="63DA6A41" w14:textId="5E0CAA3F" w:rsidR="002C170C" w:rsidRDefault="00D20068" w:rsidP="002C170C">
      <w:pPr>
        <w:jc w:val="both"/>
      </w:pPr>
      <w:r w:rsidRPr="00D20068">
        <w:rPr>
          <w:lang w:val="en-GB"/>
        </w:rPr>
        <w:t xml:space="preserve">Overall, </w:t>
      </w:r>
      <w:proofErr w:type="gramStart"/>
      <w:r w:rsidR="00775267" w:rsidRPr="00775267">
        <w:t>The</w:t>
      </w:r>
      <w:proofErr w:type="gramEnd"/>
      <w:r w:rsidR="00775267" w:rsidRPr="00775267">
        <w:t xml:space="preserve"> findings highlight the potential of this platform as a promising tool for immunoisolation strategies in Type 1 Diabetes therapy, warranting further investigation into its applicability to primary pancreatic islets and in vivo models.</w:t>
      </w:r>
    </w:p>
    <w:p w14:paraId="099627A7" w14:textId="77777777" w:rsidR="002C170C" w:rsidRPr="00A61E5C" w:rsidRDefault="002C170C" w:rsidP="002C170C">
      <w:pPr>
        <w:jc w:val="both"/>
      </w:pPr>
    </w:p>
    <w:p w14:paraId="4F6F395A" w14:textId="614D7D81" w:rsidR="007E3DEF" w:rsidRPr="00E00D68" w:rsidRDefault="007351C5" w:rsidP="007E3DEF">
      <w:pPr>
        <w:pStyle w:val="ReferenceHead"/>
        <w:rPr>
          <w:lang w:val="en-GB"/>
        </w:rPr>
      </w:pPr>
      <w:r w:rsidRPr="00E00D68">
        <w:rPr>
          <w:lang w:val="en-GB"/>
        </w:rPr>
        <w:t>Acknowledg</w:t>
      </w:r>
      <w:r w:rsidR="00502CC7" w:rsidRPr="00E00D68">
        <w:rPr>
          <w:lang w:val="en-GB"/>
        </w:rPr>
        <w:t>e</w:t>
      </w:r>
      <w:r w:rsidRPr="00E00D68">
        <w:rPr>
          <w:lang w:val="en-GB"/>
        </w:rPr>
        <w:t>ment</w:t>
      </w:r>
      <w:r w:rsidR="00E00D68">
        <w:rPr>
          <w:lang w:val="en-GB"/>
        </w:rPr>
        <w:t xml:space="preserve"> </w:t>
      </w:r>
    </w:p>
    <w:p w14:paraId="26B0E83B" w14:textId="7108E93B" w:rsidR="006F46CC" w:rsidRPr="00E00D68" w:rsidRDefault="006F46CC">
      <w:pPr>
        <w:pStyle w:val="Text"/>
        <w:rPr>
          <w:lang w:val="en-GB"/>
        </w:rPr>
      </w:pPr>
      <w:r w:rsidRPr="006F46CC">
        <w:rPr>
          <w:lang w:val="en-GB"/>
        </w:rPr>
        <w:t xml:space="preserve">This work was funded by the National Plan for NRRP </w:t>
      </w:r>
      <w:r w:rsidRPr="006F46CC">
        <w:rPr>
          <w:lang w:val="en-GB"/>
        </w:rPr>
        <w:lastRenderedPageBreak/>
        <w:t xml:space="preserve">Complementary Investments (PNC, established with the decree-law 6 May 2021, n. 59, converted by law n. 101 of 2021) in the call for the funding of research initiatives for technologies and innovative trajectories in the health and care sectors (Directorial Decree n. 931 of 06-06-2022) - project n. PNC0000003 - </w:t>
      </w:r>
      <w:proofErr w:type="spellStart"/>
      <w:r w:rsidRPr="006F46CC">
        <w:rPr>
          <w:lang w:val="en-GB"/>
        </w:rPr>
        <w:t>AdvaNced</w:t>
      </w:r>
      <w:proofErr w:type="spellEnd"/>
      <w:r w:rsidRPr="006F46CC">
        <w:rPr>
          <w:lang w:val="en-GB"/>
        </w:rPr>
        <w:t xml:space="preserve"> Technologies for </w:t>
      </w:r>
      <w:proofErr w:type="spellStart"/>
      <w:r w:rsidRPr="006F46CC">
        <w:rPr>
          <w:lang w:val="en-GB"/>
        </w:rPr>
        <w:t>Human-centrEd</w:t>
      </w:r>
      <w:proofErr w:type="spellEnd"/>
      <w:r w:rsidRPr="006F46CC">
        <w:rPr>
          <w:lang w:val="en-GB"/>
        </w:rPr>
        <w:t xml:space="preserve"> Medicine  (project acronym: ANTHEM). This work reflects only the authors’ views and opinions, neither the Ministry for University and Research nor the European Commission can be considered responsible for them.</w:t>
      </w:r>
    </w:p>
    <w:p w14:paraId="3F143AB3" w14:textId="77777777" w:rsidR="007351C5" w:rsidRPr="00E00D68" w:rsidRDefault="007351C5">
      <w:pPr>
        <w:pStyle w:val="ReferenceHead"/>
        <w:rPr>
          <w:lang w:val="en-GB"/>
        </w:rPr>
      </w:pPr>
      <w:r w:rsidRPr="00E00D68">
        <w:rPr>
          <w:lang w:val="en-GB"/>
        </w:rPr>
        <w:t>References</w:t>
      </w:r>
    </w:p>
    <w:p w14:paraId="1E32CF44" w14:textId="548E23BA" w:rsidR="001C1CF8" w:rsidRPr="001C1CF8" w:rsidRDefault="00307B82" w:rsidP="001C1CF8">
      <w:pPr>
        <w:numPr>
          <w:ilvl w:val="0"/>
          <w:numId w:val="19"/>
        </w:numPr>
        <w:rPr>
          <w:sz w:val="16"/>
          <w:szCs w:val="16"/>
          <w:lang w:val="en-GB"/>
        </w:rPr>
      </w:pPr>
      <w:r w:rsidRPr="00307B82">
        <w:rPr>
          <w:sz w:val="16"/>
          <w:szCs w:val="16"/>
          <w:lang w:val="en-GB"/>
        </w:rPr>
        <w:t xml:space="preserve">M. J. Shapiro, M. </w:t>
      </w:r>
      <w:proofErr w:type="spellStart"/>
      <w:r w:rsidRPr="00307B82">
        <w:rPr>
          <w:sz w:val="16"/>
          <w:szCs w:val="16"/>
          <w:lang w:val="en-GB"/>
        </w:rPr>
        <w:t>Pokrywczynska</w:t>
      </w:r>
      <w:proofErr w:type="spellEnd"/>
      <w:r w:rsidRPr="00307B82">
        <w:rPr>
          <w:sz w:val="16"/>
          <w:szCs w:val="16"/>
          <w:lang w:val="en-GB"/>
        </w:rPr>
        <w:t xml:space="preserve">, and C. </w:t>
      </w:r>
      <w:proofErr w:type="spellStart"/>
      <w:r w:rsidRPr="00307B82">
        <w:rPr>
          <w:sz w:val="16"/>
          <w:szCs w:val="16"/>
          <w:lang w:val="en-GB"/>
        </w:rPr>
        <w:t>Ricordi</w:t>
      </w:r>
      <w:proofErr w:type="spellEnd"/>
      <w:r w:rsidRPr="00307B82">
        <w:rPr>
          <w:sz w:val="16"/>
          <w:szCs w:val="16"/>
          <w:lang w:val="en-GB"/>
        </w:rPr>
        <w:t>, ‘Clinical pancreatic islet transplantation’, Nat. Rev. Endocrinol., vol. 13, no. 5, pp. 268–277, 2017.</w:t>
      </w:r>
      <w:r w:rsidR="007351C5" w:rsidRPr="00E00D68">
        <w:rPr>
          <w:sz w:val="16"/>
          <w:szCs w:val="16"/>
          <w:lang w:val="en-GB"/>
        </w:rPr>
        <w:t xml:space="preserve">W.-K. Chen, </w:t>
      </w:r>
      <w:r w:rsidR="007351C5" w:rsidRPr="00E00D68">
        <w:rPr>
          <w:i/>
          <w:iCs/>
          <w:sz w:val="16"/>
          <w:szCs w:val="16"/>
          <w:lang w:val="en-GB"/>
        </w:rPr>
        <w:t>Linear Networks and Systems</w:t>
      </w:r>
      <w:r w:rsidR="007351C5" w:rsidRPr="00E00D68">
        <w:rPr>
          <w:sz w:val="16"/>
          <w:szCs w:val="16"/>
          <w:lang w:val="en-GB"/>
        </w:rPr>
        <w:t xml:space="preserve"> (Book style)</w:t>
      </w:r>
      <w:r w:rsidR="007351C5" w:rsidRPr="00E00D68">
        <w:rPr>
          <w:i/>
          <w:iCs/>
          <w:sz w:val="16"/>
          <w:szCs w:val="16"/>
          <w:lang w:val="en-GB"/>
        </w:rPr>
        <w:t>.</w:t>
      </w:r>
      <w:r w:rsidR="007351C5" w:rsidRPr="00E00D68">
        <w:rPr>
          <w:sz w:val="16"/>
          <w:szCs w:val="16"/>
          <w:lang w:val="en-GB"/>
        </w:rPr>
        <w:tab/>
        <w:t>Belmont, CA: Wadsworth, 1993, pp. 123–135.</w:t>
      </w:r>
    </w:p>
    <w:p w14:paraId="6FCA76C4" w14:textId="13EBD663" w:rsidR="007351C5" w:rsidRPr="00E00D68" w:rsidRDefault="007351C5">
      <w:pPr>
        <w:numPr>
          <w:ilvl w:val="0"/>
          <w:numId w:val="19"/>
        </w:numPr>
        <w:rPr>
          <w:sz w:val="16"/>
          <w:szCs w:val="16"/>
          <w:lang w:val="en-GB"/>
        </w:rPr>
      </w:pPr>
      <w:r w:rsidRPr="00E00D68">
        <w:rPr>
          <w:sz w:val="16"/>
          <w:szCs w:val="16"/>
          <w:lang w:val="en-GB"/>
        </w:rPr>
        <w:tab/>
      </w:r>
      <w:r w:rsidR="00307B82" w:rsidRPr="00307B82">
        <w:rPr>
          <w:sz w:val="16"/>
          <w:szCs w:val="16"/>
          <w:lang w:val="en-GB"/>
        </w:rPr>
        <w:t xml:space="preserve">T. De Toni et al., ‘Parallel Evaluation of Polyethylene Glycol Conformal Coating and Alginate Microencapsulation as Immunoisolation Strategies for Pancreatic Islet Transplantation’, Front. </w:t>
      </w:r>
      <w:proofErr w:type="spellStart"/>
      <w:r w:rsidR="00307B82" w:rsidRPr="00307B82">
        <w:rPr>
          <w:sz w:val="16"/>
          <w:szCs w:val="16"/>
          <w:lang w:val="en-GB"/>
        </w:rPr>
        <w:t>Bioeng</w:t>
      </w:r>
      <w:proofErr w:type="spellEnd"/>
      <w:r w:rsidR="00307B82" w:rsidRPr="00307B82">
        <w:rPr>
          <w:sz w:val="16"/>
          <w:szCs w:val="16"/>
          <w:lang w:val="en-GB"/>
        </w:rPr>
        <w:t xml:space="preserve">. </w:t>
      </w:r>
      <w:proofErr w:type="spellStart"/>
      <w:r w:rsidR="00307B82" w:rsidRPr="00307B82">
        <w:rPr>
          <w:sz w:val="16"/>
          <w:szCs w:val="16"/>
          <w:lang w:val="en-GB"/>
        </w:rPr>
        <w:t>Biotechnol</w:t>
      </w:r>
      <w:proofErr w:type="spellEnd"/>
      <w:r w:rsidR="00307B82" w:rsidRPr="00307B82">
        <w:rPr>
          <w:sz w:val="16"/>
          <w:szCs w:val="16"/>
          <w:lang w:val="en-GB"/>
        </w:rPr>
        <w:t>., vol. 10, no. May, pp. 1–16, 2022.</w:t>
      </w:r>
    </w:p>
    <w:p w14:paraId="290E261F" w14:textId="77777777" w:rsidR="00307B82" w:rsidRDefault="00307B82">
      <w:pPr>
        <w:pStyle w:val="References"/>
        <w:numPr>
          <w:ilvl w:val="0"/>
          <w:numId w:val="19"/>
        </w:numPr>
        <w:rPr>
          <w:lang w:val="en-GB"/>
        </w:rPr>
      </w:pPr>
      <w:r w:rsidRPr="00307B82">
        <w:rPr>
          <w:lang w:val="en-GB"/>
        </w:rPr>
        <w:t xml:space="preserve">A. A. Stock and A. A. Tomei, ‘Conformal coating’, Transplantation, </w:t>
      </w:r>
      <w:proofErr w:type="spellStart"/>
      <w:r w:rsidRPr="00307B82">
        <w:rPr>
          <w:lang w:val="en-GB"/>
        </w:rPr>
        <w:t>Bioeng</w:t>
      </w:r>
      <w:proofErr w:type="spellEnd"/>
      <w:r w:rsidRPr="00307B82">
        <w:rPr>
          <w:lang w:val="en-GB"/>
        </w:rPr>
        <w:t xml:space="preserve">. Regen. </w:t>
      </w:r>
      <w:proofErr w:type="spellStart"/>
      <w:r w:rsidRPr="00307B82">
        <w:rPr>
          <w:lang w:val="en-GB"/>
        </w:rPr>
        <w:t>Endocr</w:t>
      </w:r>
      <w:proofErr w:type="spellEnd"/>
      <w:r w:rsidRPr="00307B82">
        <w:rPr>
          <w:lang w:val="en-GB"/>
        </w:rPr>
        <w:t>. Pancreas Vol. 2, vol. 2, pp. 291–306, 2019.</w:t>
      </w:r>
    </w:p>
    <w:p w14:paraId="0B24E80F" w14:textId="77777777" w:rsidR="009B6CD4" w:rsidRDefault="00FE1BBE" w:rsidP="009B6CD4">
      <w:pPr>
        <w:pStyle w:val="References"/>
        <w:numPr>
          <w:ilvl w:val="0"/>
          <w:numId w:val="19"/>
        </w:numPr>
        <w:rPr>
          <w:lang w:val="en-GB"/>
        </w:rPr>
      </w:pPr>
      <w:r w:rsidRPr="00FE1BBE">
        <w:rPr>
          <w:lang w:val="en-GB"/>
        </w:rPr>
        <w:t xml:space="preserve">K. Hamaguchi, H. R. Gaskins, and E. H. Leiter, “NIT-1, a pancreatic beta-cell line established from a transgenic NOD/Lt mouse.,” Diabetes, vol. 40, no. 7, pp. 842–9, Jul. 1991, </w:t>
      </w:r>
      <w:proofErr w:type="spellStart"/>
      <w:r w:rsidRPr="00FE1BBE">
        <w:rPr>
          <w:lang w:val="en-GB"/>
        </w:rPr>
        <w:t>doi</w:t>
      </w:r>
      <w:proofErr w:type="spellEnd"/>
      <w:r w:rsidRPr="00FE1BBE">
        <w:rPr>
          <w:lang w:val="en-GB"/>
        </w:rPr>
        <w:t>: 10.2337/diab.40.7.842.</w:t>
      </w:r>
    </w:p>
    <w:p w14:paraId="61FD494C" w14:textId="7BEB40E1" w:rsidR="00B32A68" w:rsidRDefault="009B6CD4" w:rsidP="009B6CD4">
      <w:pPr>
        <w:pStyle w:val="References"/>
        <w:numPr>
          <w:ilvl w:val="0"/>
          <w:numId w:val="19"/>
        </w:numPr>
        <w:rPr>
          <w:lang w:val="en-GB"/>
        </w:rPr>
      </w:pPr>
      <w:r w:rsidRPr="009B6CD4">
        <w:rPr>
          <w:lang w:val="it-IT"/>
        </w:rPr>
        <w:t xml:space="preserve">Gonzalez, G. C., Li, C. M., Pasolini, I., Pete, S. I., Verheyen, C., Vignolo, S. M., De Toni, T., Stock, A. A., &amp; Tomei, A. A. (2025). </w:t>
      </w:r>
      <w:r w:rsidRPr="009B6CD4">
        <w:rPr>
          <w:lang w:val="en-GB"/>
        </w:rPr>
        <w:t xml:space="preserve">High-Yield Generation of Glucose-Responsive </w:t>
      </w:r>
      <w:proofErr w:type="spellStart"/>
      <w:r w:rsidRPr="009B6CD4">
        <w:rPr>
          <w:lang w:val="en-GB"/>
        </w:rPr>
        <w:t>Pseudoislets</w:t>
      </w:r>
      <w:proofErr w:type="spellEnd"/>
      <w:r w:rsidRPr="009B6CD4">
        <w:rPr>
          <w:lang w:val="en-GB"/>
        </w:rPr>
        <w:t xml:space="preserve"> </w:t>
      </w:r>
      <w:proofErr w:type="gramStart"/>
      <w:r w:rsidRPr="009B6CD4">
        <w:rPr>
          <w:lang w:val="en-GB"/>
        </w:rPr>
        <w:t>From</w:t>
      </w:r>
      <w:proofErr w:type="gramEnd"/>
      <w:r w:rsidRPr="009B6CD4">
        <w:rPr>
          <w:lang w:val="en-GB"/>
        </w:rPr>
        <w:t xml:space="preserve"> Murine Insulinoma Cells for In Vitro Studies and Longitudinal Monitoring of Graft Survival In Vivo. Cell transplantation, 34.</w:t>
      </w:r>
    </w:p>
    <w:p w14:paraId="3D92EF45" w14:textId="079D0140" w:rsidR="002C170C" w:rsidRPr="009B6CD4" w:rsidRDefault="002C170C" w:rsidP="002C170C">
      <w:pPr>
        <w:pStyle w:val="References"/>
        <w:numPr>
          <w:ilvl w:val="0"/>
          <w:numId w:val="19"/>
        </w:numPr>
        <w:rPr>
          <w:lang w:val="en-GB"/>
        </w:rPr>
      </w:pPr>
      <w:r w:rsidRPr="002C170C">
        <w:t>A. A. Tomei et al., ‘Device design and materials optimization of conformal coating for islets of Langerhans’, Proc. Natl. Acad. Sci. U. S. A., vol. 111, no. 29, pp. 10514–10519, 2014.</w:t>
      </w:r>
    </w:p>
    <w:sectPr w:rsidR="002C170C" w:rsidRPr="009B6CD4" w:rsidSect="00015303">
      <w:headerReference w:type="default" r:id="rId11"/>
      <w:pgSz w:w="11909" w:h="16834" w:code="9"/>
      <w:pgMar w:top="851" w:right="851" w:bottom="1701" w:left="851" w:header="431" w:footer="431" w:gutter="0"/>
      <w:cols w:num="2" w:space="28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900F5" w14:textId="77777777" w:rsidR="00CB79AD" w:rsidRDefault="00CB79AD">
      <w:r>
        <w:separator/>
      </w:r>
    </w:p>
  </w:endnote>
  <w:endnote w:type="continuationSeparator" w:id="0">
    <w:p w14:paraId="1F523041" w14:textId="77777777" w:rsidR="00CB79AD" w:rsidRDefault="00CB79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C44A7B" w14:textId="77777777" w:rsidR="00CB79AD" w:rsidRDefault="00CB79AD"/>
  </w:footnote>
  <w:footnote w:type="continuationSeparator" w:id="0">
    <w:p w14:paraId="386D50B4" w14:textId="77777777" w:rsidR="00CB79AD" w:rsidRDefault="00CB79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85CFA" w14:textId="77777777" w:rsidR="00D60719" w:rsidRPr="00F33203" w:rsidRDefault="00F33203">
    <w:pPr>
      <w:framePr w:wrap="auto" w:vAnchor="text" w:hAnchor="margin" w:xAlign="right" w:y="1"/>
      <w:rPr>
        <w:sz w:val="16"/>
        <w:szCs w:val="16"/>
      </w:rPr>
    </w:pPr>
    <w:r w:rsidRPr="00F33203">
      <w:rPr>
        <w:sz w:val="16"/>
        <w:szCs w:val="16"/>
      </w:rPr>
      <w:fldChar w:fldCharType="begin"/>
    </w:r>
    <w:r w:rsidRPr="00F33203">
      <w:rPr>
        <w:sz w:val="16"/>
        <w:szCs w:val="16"/>
      </w:rPr>
      <w:instrText xml:space="preserve"> PAGE  \* MERGEFORMAT </w:instrText>
    </w:r>
    <w:r w:rsidRPr="00F33203">
      <w:rPr>
        <w:sz w:val="16"/>
        <w:szCs w:val="16"/>
      </w:rPr>
      <w:fldChar w:fldCharType="separate"/>
    </w:r>
    <w:r w:rsidR="00EE0664">
      <w:rPr>
        <w:noProof/>
        <w:sz w:val="16"/>
        <w:szCs w:val="16"/>
      </w:rPr>
      <w:t>1</w:t>
    </w:r>
    <w:r w:rsidRPr="00F33203">
      <w:rPr>
        <w:sz w:val="16"/>
        <w:szCs w:val="16"/>
      </w:rPr>
      <w:fldChar w:fldCharType="end"/>
    </w:r>
  </w:p>
  <w:p w14:paraId="5C73B5B1" w14:textId="5BCBC4A6" w:rsidR="00D60719" w:rsidRPr="009B68D7" w:rsidRDefault="00F33203">
    <w:pPr>
      <w:ind w:right="360"/>
      <w:rPr>
        <w:rFonts w:ascii="Times" w:hAnsi="Times" w:cs="Times"/>
        <w:sz w:val="16"/>
        <w:szCs w:val="16"/>
      </w:rPr>
    </w:pPr>
    <w:r w:rsidRPr="00F33203">
      <w:rPr>
        <w:rFonts w:ascii="Times" w:hAnsi="Times" w:cs="Times"/>
        <w:sz w:val="16"/>
        <w:szCs w:val="16"/>
      </w:rPr>
      <w:t>GNB20</w:t>
    </w:r>
    <w:r w:rsidR="002E33AD">
      <w:rPr>
        <w:rFonts w:ascii="Times" w:hAnsi="Times" w:cs="Times"/>
        <w:sz w:val="16"/>
        <w:szCs w:val="16"/>
      </w:rPr>
      <w:t>2</w:t>
    </w:r>
    <w:r w:rsidR="00FD1512">
      <w:rPr>
        <w:rFonts w:ascii="Times" w:hAnsi="Times" w:cs="Times"/>
        <w:sz w:val="16"/>
        <w:szCs w:val="16"/>
      </w:rPr>
      <w:t>5</w:t>
    </w:r>
    <w:r w:rsidRPr="00F33203">
      <w:rPr>
        <w:rFonts w:ascii="Times" w:hAnsi="Times" w:cs="Times"/>
        <w:sz w:val="16"/>
        <w:szCs w:val="16"/>
      </w:rPr>
      <w:t xml:space="preserve">, June </w:t>
    </w:r>
    <w:r w:rsidR="00FD1512">
      <w:rPr>
        <w:rFonts w:ascii="Times" w:hAnsi="Times" w:cs="Times"/>
        <w:sz w:val="16"/>
        <w:szCs w:val="16"/>
      </w:rPr>
      <w:t>16th</w:t>
    </w:r>
    <w:r w:rsidRPr="00F33203">
      <w:rPr>
        <w:rFonts w:ascii="Times" w:hAnsi="Times" w:cs="Times"/>
        <w:sz w:val="16"/>
        <w:szCs w:val="16"/>
      </w:rPr>
      <w:t>-</w:t>
    </w:r>
    <w:r w:rsidR="00FD1512">
      <w:rPr>
        <w:rFonts w:ascii="Times" w:hAnsi="Times" w:cs="Times"/>
        <w:sz w:val="16"/>
        <w:szCs w:val="16"/>
      </w:rPr>
      <w:t>18th</w:t>
    </w:r>
    <w:r w:rsidRPr="00F33203">
      <w:rPr>
        <w:rFonts w:ascii="Times" w:hAnsi="Times" w:cs="Times"/>
        <w:sz w:val="16"/>
        <w:szCs w:val="16"/>
      </w:rPr>
      <w:t xml:space="preserve"> 20</w:t>
    </w:r>
    <w:r w:rsidR="00A7627C">
      <w:rPr>
        <w:rFonts w:ascii="Times" w:hAnsi="Times" w:cs="Times"/>
        <w:sz w:val="16"/>
        <w:szCs w:val="16"/>
      </w:rPr>
      <w:t>2</w:t>
    </w:r>
    <w:r w:rsidR="00FD1512">
      <w:rPr>
        <w:rFonts w:ascii="Times" w:hAnsi="Times" w:cs="Times"/>
        <w:sz w:val="16"/>
        <w:szCs w:val="16"/>
      </w:rPr>
      <w:t>5</w:t>
    </w:r>
    <w:r w:rsidRPr="00F33203">
      <w:rPr>
        <w:rFonts w:ascii="Times" w:hAnsi="Times" w:cs="Times"/>
        <w:sz w:val="16"/>
        <w:szCs w:val="16"/>
      </w:rPr>
      <w:t xml:space="preserve">, </w:t>
    </w:r>
    <w:r w:rsidR="00FD1512">
      <w:rPr>
        <w:rFonts w:ascii="Times" w:hAnsi="Times" w:cs="Times"/>
        <w:sz w:val="16"/>
        <w:szCs w:val="16"/>
      </w:rPr>
      <w:t>Palermo</w:t>
    </w:r>
    <w:r w:rsidRPr="00F33203">
      <w:rPr>
        <w:rFonts w:ascii="Times" w:hAnsi="Times" w:cs="Times"/>
        <w:sz w:val="16"/>
        <w:szCs w:val="16"/>
      </w:rPr>
      <w:t>, Italy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FFFFFFFB"/>
    <w:multiLevelType w:val="multilevel"/>
    <w:tmpl w:val="2E085744"/>
    <w:lvl w:ilvl="0">
      <w:start w:val="1"/>
      <w:numFmt w:val="upperRoman"/>
      <w:pStyle w:val="Titolo1"/>
      <w:lvlText w:val="%1."/>
      <w:legacy w:legacy="1" w:legacySpace="144" w:legacyIndent="144"/>
      <w:lvlJc w:val="left"/>
    </w:lvl>
    <w:lvl w:ilvl="1">
      <w:start w:val="1"/>
      <w:numFmt w:val="upperLetter"/>
      <w:pStyle w:val="Titolo2"/>
      <w:lvlText w:val="%2."/>
      <w:legacy w:legacy="1" w:legacySpace="144" w:legacyIndent="144"/>
      <w:lvlJc w:val="left"/>
    </w:lvl>
    <w:lvl w:ilvl="2">
      <w:start w:val="1"/>
      <w:numFmt w:val="decimal"/>
      <w:pStyle w:val="Titolo3"/>
      <w:lvlText w:val="%3)"/>
      <w:legacy w:legacy="1" w:legacySpace="144" w:legacyIndent="144"/>
      <w:lvlJc w:val="left"/>
    </w:lvl>
    <w:lvl w:ilvl="3">
      <w:start w:val="1"/>
      <w:numFmt w:val="lowerLetter"/>
      <w:pStyle w:val="Titolo4"/>
      <w:lvlText w:val="%4)"/>
      <w:legacy w:legacy="1" w:legacySpace="0" w:legacyIndent="720"/>
      <w:lvlJc w:val="left"/>
      <w:pPr>
        <w:ind w:left="1152" w:hanging="720"/>
      </w:pPr>
    </w:lvl>
    <w:lvl w:ilvl="4">
      <w:start w:val="1"/>
      <w:numFmt w:val="decimal"/>
      <w:pStyle w:val="Titolo5"/>
      <w:lvlText w:val="(%5)"/>
      <w:legacy w:legacy="1" w:legacySpace="0" w:legacyIndent="720"/>
      <w:lvlJc w:val="left"/>
      <w:pPr>
        <w:ind w:left="1872" w:hanging="720"/>
      </w:pPr>
    </w:lvl>
    <w:lvl w:ilvl="5">
      <w:start w:val="1"/>
      <w:numFmt w:val="lowerLetter"/>
      <w:pStyle w:val="Titolo6"/>
      <w:lvlText w:val="(%6)"/>
      <w:legacy w:legacy="1" w:legacySpace="0" w:legacyIndent="720"/>
      <w:lvlJc w:val="left"/>
      <w:pPr>
        <w:ind w:left="2592" w:hanging="720"/>
      </w:pPr>
    </w:lvl>
    <w:lvl w:ilvl="6">
      <w:start w:val="1"/>
      <w:numFmt w:val="lowerRoman"/>
      <w:pStyle w:val="Titolo7"/>
      <w:lvlText w:val="(%7)"/>
      <w:legacy w:legacy="1" w:legacySpace="0" w:legacyIndent="720"/>
      <w:lvlJc w:val="left"/>
      <w:pPr>
        <w:ind w:left="3312" w:hanging="720"/>
      </w:pPr>
    </w:lvl>
    <w:lvl w:ilvl="7">
      <w:start w:val="1"/>
      <w:numFmt w:val="lowerLetter"/>
      <w:pStyle w:val="Titolo8"/>
      <w:lvlText w:val="(%8)"/>
      <w:legacy w:legacy="1" w:legacySpace="0" w:legacyIndent="720"/>
      <w:lvlJc w:val="left"/>
      <w:pPr>
        <w:ind w:left="4032" w:hanging="720"/>
      </w:pPr>
    </w:lvl>
    <w:lvl w:ilvl="8">
      <w:start w:val="1"/>
      <w:numFmt w:val="lowerRoman"/>
      <w:pStyle w:val="Titolo9"/>
      <w:lvlText w:val="(%9)"/>
      <w:legacy w:legacy="1" w:legacySpace="0" w:legacyIndent="720"/>
      <w:lvlJc w:val="left"/>
      <w:pPr>
        <w:ind w:left="4752" w:hanging="720"/>
      </w:pPr>
    </w:lvl>
  </w:abstractNum>
  <w:abstractNum w:abstractNumId="1"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2"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3"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5"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6"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7"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8"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9"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10" w15:restartNumberingAfterBreak="0">
    <w:nsid w:val="6DC3293B"/>
    <w:multiLevelType w:val="singleLevel"/>
    <w:tmpl w:val="3A8EC28E"/>
    <w:lvl w:ilvl="0">
      <w:start w:val="1"/>
      <w:numFmt w:val="decimal"/>
      <w:lvlText w:val="[%1]"/>
      <w:lvlJc w:val="left"/>
      <w:pPr>
        <w:tabs>
          <w:tab w:val="num" w:pos="360"/>
        </w:tabs>
        <w:ind w:left="360" w:hanging="360"/>
      </w:pPr>
    </w:lvl>
  </w:abstractNum>
  <w:abstractNum w:abstractNumId="11" w15:restartNumberingAfterBreak="0">
    <w:nsid w:val="77E315E9"/>
    <w:multiLevelType w:val="singleLevel"/>
    <w:tmpl w:val="0BEC9FB0"/>
    <w:lvl w:ilvl="0">
      <w:start w:val="1"/>
      <w:numFmt w:val="none"/>
      <w:lvlText w:val=""/>
      <w:legacy w:legacy="1" w:legacySpace="0" w:legacyIndent="0"/>
      <w:lvlJc w:val="left"/>
      <w:pPr>
        <w:ind w:left="288"/>
      </w:pPr>
    </w:lvl>
  </w:abstractNum>
  <w:num w:numId="1" w16cid:durableId="325204811">
    <w:abstractNumId w:val="0"/>
  </w:num>
  <w:num w:numId="2" w16cid:durableId="1649937327">
    <w:abstractNumId w:val="4"/>
  </w:num>
  <w:num w:numId="3" w16cid:durableId="1663854803">
    <w:abstractNumId w:val="4"/>
    <w:lvlOverride w:ilvl="0">
      <w:lvl w:ilvl="0">
        <w:start w:val="1"/>
        <w:numFmt w:val="decimal"/>
        <w:lvlText w:val="%1."/>
        <w:legacy w:legacy="1" w:legacySpace="0" w:legacyIndent="360"/>
        <w:lvlJc w:val="left"/>
        <w:pPr>
          <w:ind w:left="360" w:hanging="360"/>
        </w:pPr>
      </w:lvl>
    </w:lvlOverride>
  </w:num>
  <w:num w:numId="4" w16cid:durableId="742878314">
    <w:abstractNumId w:val="4"/>
    <w:lvlOverride w:ilvl="0">
      <w:lvl w:ilvl="0">
        <w:start w:val="1"/>
        <w:numFmt w:val="decimal"/>
        <w:lvlText w:val="%1."/>
        <w:legacy w:legacy="1" w:legacySpace="0" w:legacyIndent="360"/>
        <w:lvlJc w:val="left"/>
        <w:pPr>
          <w:ind w:left="360" w:hanging="360"/>
        </w:pPr>
      </w:lvl>
    </w:lvlOverride>
  </w:num>
  <w:num w:numId="5" w16cid:durableId="227114070">
    <w:abstractNumId w:val="4"/>
    <w:lvlOverride w:ilvl="0">
      <w:lvl w:ilvl="0">
        <w:start w:val="1"/>
        <w:numFmt w:val="decimal"/>
        <w:lvlText w:val="%1."/>
        <w:legacy w:legacy="1" w:legacySpace="0" w:legacyIndent="360"/>
        <w:lvlJc w:val="left"/>
        <w:pPr>
          <w:ind w:left="360" w:hanging="360"/>
        </w:pPr>
      </w:lvl>
    </w:lvlOverride>
  </w:num>
  <w:num w:numId="6" w16cid:durableId="79523085">
    <w:abstractNumId w:val="7"/>
  </w:num>
  <w:num w:numId="7" w16cid:durableId="352149623">
    <w:abstractNumId w:val="7"/>
    <w:lvlOverride w:ilvl="0">
      <w:lvl w:ilvl="0">
        <w:start w:val="1"/>
        <w:numFmt w:val="decimal"/>
        <w:lvlText w:val="%1."/>
        <w:legacy w:legacy="1" w:legacySpace="0" w:legacyIndent="360"/>
        <w:lvlJc w:val="left"/>
        <w:pPr>
          <w:ind w:left="360" w:hanging="360"/>
        </w:pPr>
      </w:lvl>
    </w:lvlOverride>
  </w:num>
  <w:num w:numId="8" w16cid:durableId="321353094">
    <w:abstractNumId w:val="7"/>
    <w:lvlOverride w:ilvl="0">
      <w:lvl w:ilvl="0">
        <w:start w:val="1"/>
        <w:numFmt w:val="decimal"/>
        <w:lvlText w:val="%1."/>
        <w:legacy w:legacy="1" w:legacySpace="0" w:legacyIndent="360"/>
        <w:lvlJc w:val="left"/>
        <w:pPr>
          <w:ind w:left="360" w:hanging="360"/>
        </w:pPr>
      </w:lvl>
    </w:lvlOverride>
  </w:num>
  <w:num w:numId="9" w16cid:durableId="1757942265">
    <w:abstractNumId w:val="7"/>
    <w:lvlOverride w:ilvl="0">
      <w:lvl w:ilvl="0">
        <w:start w:val="1"/>
        <w:numFmt w:val="decimal"/>
        <w:lvlText w:val="%1."/>
        <w:legacy w:legacy="1" w:legacySpace="0" w:legacyIndent="360"/>
        <w:lvlJc w:val="left"/>
        <w:pPr>
          <w:ind w:left="360" w:hanging="360"/>
        </w:pPr>
      </w:lvl>
    </w:lvlOverride>
  </w:num>
  <w:num w:numId="10" w16cid:durableId="128210314">
    <w:abstractNumId w:val="7"/>
    <w:lvlOverride w:ilvl="0">
      <w:lvl w:ilvl="0">
        <w:start w:val="1"/>
        <w:numFmt w:val="decimal"/>
        <w:lvlText w:val="%1."/>
        <w:legacy w:legacy="1" w:legacySpace="0" w:legacyIndent="360"/>
        <w:lvlJc w:val="left"/>
        <w:pPr>
          <w:ind w:left="360" w:hanging="360"/>
        </w:pPr>
      </w:lvl>
    </w:lvlOverride>
  </w:num>
  <w:num w:numId="11" w16cid:durableId="342557666">
    <w:abstractNumId w:val="7"/>
    <w:lvlOverride w:ilvl="0">
      <w:lvl w:ilvl="0">
        <w:start w:val="1"/>
        <w:numFmt w:val="decimal"/>
        <w:lvlText w:val="%1."/>
        <w:legacy w:legacy="1" w:legacySpace="0" w:legacyIndent="360"/>
        <w:lvlJc w:val="left"/>
        <w:pPr>
          <w:ind w:left="360" w:hanging="360"/>
        </w:pPr>
      </w:lvl>
    </w:lvlOverride>
  </w:num>
  <w:num w:numId="12" w16cid:durableId="224607681">
    <w:abstractNumId w:val="5"/>
  </w:num>
  <w:num w:numId="13" w16cid:durableId="1797064531">
    <w:abstractNumId w:val="1"/>
  </w:num>
  <w:num w:numId="14" w16cid:durableId="7417014">
    <w:abstractNumId w:val="9"/>
  </w:num>
  <w:num w:numId="15" w16cid:durableId="284384811">
    <w:abstractNumId w:val="8"/>
  </w:num>
  <w:num w:numId="16" w16cid:durableId="1664353819">
    <w:abstractNumId w:val="11"/>
  </w:num>
  <w:num w:numId="17" w16cid:durableId="1699232894">
    <w:abstractNumId w:val="3"/>
  </w:num>
  <w:num w:numId="18" w16cid:durableId="403989895">
    <w:abstractNumId w:val="2"/>
  </w:num>
  <w:num w:numId="19" w16cid:durableId="993416724">
    <w:abstractNumId w:val="10"/>
  </w:num>
  <w:num w:numId="20" w16cid:durableId="205145515">
    <w:abstractNumId w:val="6"/>
  </w:num>
  <w:num w:numId="21" w16cid:durableId="259723306">
    <w:abstractNumId w:val="0"/>
  </w:num>
  <w:num w:numId="22" w16cid:durableId="347678006">
    <w:abstractNumId w:val="0"/>
  </w:num>
  <w:num w:numId="23" w16cid:durableId="1565799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204"/>
  <w:hyphenationZone w:val="283"/>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664"/>
    <w:rsid w:val="00002A3F"/>
    <w:rsid w:val="00011352"/>
    <w:rsid w:val="00015303"/>
    <w:rsid w:val="00026208"/>
    <w:rsid w:val="00051678"/>
    <w:rsid w:val="00091073"/>
    <w:rsid w:val="000B171D"/>
    <w:rsid w:val="000B3633"/>
    <w:rsid w:val="000E43B7"/>
    <w:rsid w:val="000F09C9"/>
    <w:rsid w:val="00142C16"/>
    <w:rsid w:val="00165EFD"/>
    <w:rsid w:val="00174011"/>
    <w:rsid w:val="00176EA4"/>
    <w:rsid w:val="00181DE7"/>
    <w:rsid w:val="0018212A"/>
    <w:rsid w:val="00187709"/>
    <w:rsid w:val="00190D10"/>
    <w:rsid w:val="00192E31"/>
    <w:rsid w:val="001A4BD7"/>
    <w:rsid w:val="001B3F4D"/>
    <w:rsid w:val="001C1CF8"/>
    <w:rsid w:val="001E2F88"/>
    <w:rsid w:val="001F13CE"/>
    <w:rsid w:val="00233F83"/>
    <w:rsid w:val="002448AD"/>
    <w:rsid w:val="00247395"/>
    <w:rsid w:val="00247F65"/>
    <w:rsid w:val="00254B1A"/>
    <w:rsid w:val="00265890"/>
    <w:rsid w:val="0027741F"/>
    <w:rsid w:val="00287F68"/>
    <w:rsid w:val="00291EE9"/>
    <w:rsid w:val="002945D7"/>
    <w:rsid w:val="002A66AE"/>
    <w:rsid w:val="002C058E"/>
    <w:rsid w:val="002C170C"/>
    <w:rsid w:val="002D2F42"/>
    <w:rsid w:val="002E33AD"/>
    <w:rsid w:val="002E3B75"/>
    <w:rsid w:val="002E3BE5"/>
    <w:rsid w:val="002E5A5F"/>
    <w:rsid w:val="00307B82"/>
    <w:rsid w:val="00320949"/>
    <w:rsid w:val="00354EEF"/>
    <w:rsid w:val="003774C2"/>
    <w:rsid w:val="00393F56"/>
    <w:rsid w:val="003A278E"/>
    <w:rsid w:val="003B33D3"/>
    <w:rsid w:val="003E7A79"/>
    <w:rsid w:val="00401A30"/>
    <w:rsid w:val="00401B0F"/>
    <w:rsid w:val="00411800"/>
    <w:rsid w:val="004169CF"/>
    <w:rsid w:val="004352C6"/>
    <w:rsid w:val="00435AA1"/>
    <w:rsid w:val="004362FC"/>
    <w:rsid w:val="00451E88"/>
    <w:rsid w:val="00451EA0"/>
    <w:rsid w:val="004702C4"/>
    <w:rsid w:val="0047661A"/>
    <w:rsid w:val="00481C46"/>
    <w:rsid w:val="004A7877"/>
    <w:rsid w:val="004B1F8D"/>
    <w:rsid w:val="004C2559"/>
    <w:rsid w:val="004D07F1"/>
    <w:rsid w:val="00502CC7"/>
    <w:rsid w:val="00512322"/>
    <w:rsid w:val="0052643E"/>
    <w:rsid w:val="00527A47"/>
    <w:rsid w:val="005506FA"/>
    <w:rsid w:val="005568FB"/>
    <w:rsid w:val="00560E2C"/>
    <w:rsid w:val="00566E8E"/>
    <w:rsid w:val="00583748"/>
    <w:rsid w:val="00586E15"/>
    <w:rsid w:val="00591F1C"/>
    <w:rsid w:val="005A638B"/>
    <w:rsid w:val="005A79C4"/>
    <w:rsid w:val="005B7EFB"/>
    <w:rsid w:val="005D1F66"/>
    <w:rsid w:val="005E69F1"/>
    <w:rsid w:val="006002AD"/>
    <w:rsid w:val="006040F6"/>
    <w:rsid w:val="006100A8"/>
    <w:rsid w:val="00623015"/>
    <w:rsid w:val="00625D87"/>
    <w:rsid w:val="00626706"/>
    <w:rsid w:val="006277A6"/>
    <w:rsid w:val="00631A09"/>
    <w:rsid w:val="00632A86"/>
    <w:rsid w:val="00640EE5"/>
    <w:rsid w:val="00673E6B"/>
    <w:rsid w:val="0068734F"/>
    <w:rsid w:val="006A3339"/>
    <w:rsid w:val="006A505F"/>
    <w:rsid w:val="006C1701"/>
    <w:rsid w:val="006F46CC"/>
    <w:rsid w:val="00724E63"/>
    <w:rsid w:val="007348FA"/>
    <w:rsid w:val="007351C5"/>
    <w:rsid w:val="00750244"/>
    <w:rsid w:val="00760FBA"/>
    <w:rsid w:val="00775267"/>
    <w:rsid w:val="007934FE"/>
    <w:rsid w:val="007A2D98"/>
    <w:rsid w:val="007A517E"/>
    <w:rsid w:val="007B1980"/>
    <w:rsid w:val="007C3135"/>
    <w:rsid w:val="007E148C"/>
    <w:rsid w:val="007E3DEF"/>
    <w:rsid w:val="007E452A"/>
    <w:rsid w:val="00801EE4"/>
    <w:rsid w:val="00810896"/>
    <w:rsid w:val="008235CE"/>
    <w:rsid w:val="008259DB"/>
    <w:rsid w:val="008329A3"/>
    <w:rsid w:val="00845E58"/>
    <w:rsid w:val="00847E15"/>
    <w:rsid w:val="00867C37"/>
    <w:rsid w:val="00884C16"/>
    <w:rsid w:val="0089239E"/>
    <w:rsid w:val="008A669E"/>
    <w:rsid w:val="008B031E"/>
    <w:rsid w:val="008B6A7F"/>
    <w:rsid w:val="008C6A34"/>
    <w:rsid w:val="009145E5"/>
    <w:rsid w:val="009218AB"/>
    <w:rsid w:val="00922686"/>
    <w:rsid w:val="00950B57"/>
    <w:rsid w:val="009A0BEE"/>
    <w:rsid w:val="009B631D"/>
    <w:rsid w:val="009B68D7"/>
    <w:rsid w:val="009B6CD4"/>
    <w:rsid w:val="009E3523"/>
    <w:rsid w:val="00A144BA"/>
    <w:rsid w:val="00A212A1"/>
    <w:rsid w:val="00A408F5"/>
    <w:rsid w:val="00A51B67"/>
    <w:rsid w:val="00A53B9E"/>
    <w:rsid w:val="00A61E5C"/>
    <w:rsid w:val="00A7627C"/>
    <w:rsid w:val="00A76BEF"/>
    <w:rsid w:val="00A76DF5"/>
    <w:rsid w:val="00A9797D"/>
    <w:rsid w:val="00AA3E27"/>
    <w:rsid w:val="00AB5BE0"/>
    <w:rsid w:val="00AB686A"/>
    <w:rsid w:val="00AC0692"/>
    <w:rsid w:val="00AC639D"/>
    <w:rsid w:val="00AF5679"/>
    <w:rsid w:val="00B079A6"/>
    <w:rsid w:val="00B3231A"/>
    <w:rsid w:val="00B32A68"/>
    <w:rsid w:val="00B33FB5"/>
    <w:rsid w:val="00B439F8"/>
    <w:rsid w:val="00B724BA"/>
    <w:rsid w:val="00B861C4"/>
    <w:rsid w:val="00BE7521"/>
    <w:rsid w:val="00BF2DCA"/>
    <w:rsid w:val="00BF4AB0"/>
    <w:rsid w:val="00C0051D"/>
    <w:rsid w:val="00C06166"/>
    <w:rsid w:val="00C1251C"/>
    <w:rsid w:val="00C307DD"/>
    <w:rsid w:val="00C36117"/>
    <w:rsid w:val="00C43606"/>
    <w:rsid w:val="00C642A8"/>
    <w:rsid w:val="00C735F1"/>
    <w:rsid w:val="00C83F5C"/>
    <w:rsid w:val="00CB1467"/>
    <w:rsid w:val="00CB79AD"/>
    <w:rsid w:val="00CC6AB3"/>
    <w:rsid w:val="00CE6453"/>
    <w:rsid w:val="00D0686F"/>
    <w:rsid w:val="00D078E5"/>
    <w:rsid w:val="00D20068"/>
    <w:rsid w:val="00D47DFA"/>
    <w:rsid w:val="00D557F4"/>
    <w:rsid w:val="00D56F48"/>
    <w:rsid w:val="00D60719"/>
    <w:rsid w:val="00D67B11"/>
    <w:rsid w:val="00D76DDF"/>
    <w:rsid w:val="00D83CED"/>
    <w:rsid w:val="00D87693"/>
    <w:rsid w:val="00DA323B"/>
    <w:rsid w:val="00DA3352"/>
    <w:rsid w:val="00DC2D73"/>
    <w:rsid w:val="00DC380B"/>
    <w:rsid w:val="00DD24C8"/>
    <w:rsid w:val="00E00D68"/>
    <w:rsid w:val="00E04018"/>
    <w:rsid w:val="00E042AA"/>
    <w:rsid w:val="00E30DAD"/>
    <w:rsid w:val="00E31A2C"/>
    <w:rsid w:val="00E45B42"/>
    <w:rsid w:val="00E5686B"/>
    <w:rsid w:val="00E67154"/>
    <w:rsid w:val="00E75B56"/>
    <w:rsid w:val="00E834F4"/>
    <w:rsid w:val="00E84FE2"/>
    <w:rsid w:val="00EB251E"/>
    <w:rsid w:val="00ED6161"/>
    <w:rsid w:val="00ED7816"/>
    <w:rsid w:val="00EE0664"/>
    <w:rsid w:val="00EE41E2"/>
    <w:rsid w:val="00EF21C0"/>
    <w:rsid w:val="00F062BD"/>
    <w:rsid w:val="00F27677"/>
    <w:rsid w:val="00F31978"/>
    <w:rsid w:val="00F33203"/>
    <w:rsid w:val="00F42E0B"/>
    <w:rsid w:val="00F42EAE"/>
    <w:rsid w:val="00F46E1C"/>
    <w:rsid w:val="00F544B6"/>
    <w:rsid w:val="00F607EE"/>
    <w:rsid w:val="00F77C5C"/>
    <w:rsid w:val="00FA4AC5"/>
    <w:rsid w:val="00FB41D0"/>
    <w:rsid w:val="00FC766E"/>
    <w:rsid w:val="00FD1512"/>
    <w:rsid w:val="00FE1B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0457B14"/>
  <w15:chartTrackingRefBased/>
  <w15:docId w15:val="{B8F501A7-CF57-44F1-AB29-ADD4EA6B3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autoSpaceDE w:val="0"/>
      <w:autoSpaceDN w:val="0"/>
    </w:pPr>
  </w:style>
  <w:style w:type="paragraph" w:styleId="Titolo1">
    <w:name w:val="heading 1"/>
    <w:basedOn w:val="Normale"/>
    <w:next w:val="Normale"/>
    <w:qFormat/>
    <w:pPr>
      <w:keepNext/>
      <w:numPr>
        <w:numId w:val="1"/>
      </w:numPr>
      <w:spacing w:before="240" w:after="80"/>
      <w:jc w:val="center"/>
      <w:outlineLvl w:val="0"/>
    </w:pPr>
    <w:rPr>
      <w:smallCaps/>
      <w:kern w:val="28"/>
    </w:rPr>
  </w:style>
  <w:style w:type="paragraph" w:styleId="Titolo2">
    <w:name w:val="heading 2"/>
    <w:basedOn w:val="Normale"/>
    <w:next w:val="Normale"/>
    <w:qFormat/>
    <w:pPr>
      <w:keepNext/>
      <w:numPr>
        <w:ilvl w:val="1"/>
        <w:numId w:val="1"/>
      </w:numPr>
      <w:spacing w:before="120" w:after="60"/>
      <w:outlineLvl w:val="1"/>
    </w:pPr>
    <w:rPr>
      <w:i/>
      <w:iCs/>
    </w:rPr>
  </w:style>
  <w:style w:type="paragraph" w:styleId="Titolo3">
    <w:name w:val="heading 3"/>
    <w:basedOn w:val="Normale"/>
    <w:next w:val="Normale"/>
    <w:qFormat/>
    <w:pPr>
      <w:keepNext/>
      <w:numPr>
        <w:ilvl w:val="2"/>
        <w:numId w:val="1"/>
      </w:numPr>
      <w:ind w:left="288"/>
      <w:outlineLvl w:val="2"/>
    </w:pPr>
    <w:rPr>
      <w:i/>
      <w:iCs/>
    </w:rPr>
  </w:style>
  <w:style w:type="paragraph" w:styleId="Titolo4">
    <w:name w:val="heading 4"/>
    <w:basedOn w:val="Normale"/>
    <w:next w:val="Normale"/>
    <w:qFormat/>
    <w:pPr>
      <w:keepNext/>
      <w:numPr>
        <w:ilvl w:val="3"/>
        <w:numId w:val="1"/>
      </w:numPr>
      <w:spacing w:before="240" w:after="60"/>
      <w:outlineLvl w:val="3"/>
    </w:pPr>
    <w:rPr>
      <w:i/>
      <w:iCs/>
      <w:sz w:val="18"/>
      <w:szCs w:val="18"/>
    </w:rPr>
  </w:style>
  <w:style w:type="paragraph" w:styleId="Titolo5">
    <w:name w:val="heading 5"/>
    <w:basedOn w:val="Normale"/>
    <w:next w:val="Normale"/>
    <w:qFormat/>
    <w:pPr>
      <w:numPr>
        <w:ilvl w:val="4"/>
        <w:numId w:val="1"/>
      </w:numPr>
      <w:spacing w:before="240" w:after="60"/>
      <w:outlineLvl w:val="4"/>
    </w:pPr>
    <w:rPr>
      <w:sz w:val="18"/>
      <w:szCs w:val="18"/>
    </w:rPr>
  </w:style>
  <w:style w:type="paragraph" w:styleId="Titolo6">
    <w:name w:val="heading 6"/>
    <w:basedOn w:val="Normale"/>
    <w:next w:val="Normale"/>
    <w:qFormat/>
    <w:pPr>
      <w:numPr>
        <w:ilvl w:val="5"/>
        <w:numId w:val="1"/>
      </w:numPr>
      <w:spacing w:before="240" w:after="60"/>
      <w:outlineLvl w:val="5"/>
    </w:pPr>
    <w:rPr>
      <w:i/>
      <w:iCs/>
      <w:sz w:val="16"/>
      <w:szCs w:val="16"/>
    </w:rPr>
  </w:style>
  <w:style w:type="paragraph" w:styleId="Titolo7">
    <w:name w:val="heading 7"/>
    <w:basedOn w:val="Normale"/>
    <w:next w:val="Normale"/>
    <w:qFormat/>
    <w:pPr>
      <w:numPr>
        <w:ilvl w:val="6"/>
        <w:numId w:val="1"/>
      </w:numPr>
      <w:spacing w:before="240" w:after="60"/>
      <w:outlineLvl w:val="6"/>
    </w:pPr>
    <w:rPr>
      <w:sz w:val="16"/>
      <w:szCs w:val="16"/>
    </w:rPr>
  </w:style>
  <w:style w:type="paragraph" w:styleId="Titolo8">
    <w:name w:val="heading 8"/>
    <w:basedOn w:val="Normale"/>
    <w:next w:val="Normale"/>
    <w:qFormat/>
    <w:pPr>
      <w:numPr>
        <w:ilvl w:val="7"/>
        <w:numId w:val="1"/>
      </w:numPr>
      <w:spacing w:before="240" w:after="60"/>
      <w:outlineLvl w:val="7"/>
    </w:pPr>
    <w:rPr>
      <w:i/>
      <w:iCs/>
      <w:sz w:val="16"/>
      <w:szCs w:val="16"/>
    </w:rPr>
  </w:style>
  <w:style w:type="paragraph" w:styleId="Titolo9">
    <w:name w:val="heading 9"/>
    <w:basedOn w:val="Normale"/>
    <w:next w:val="Normale"/>
    <w:qFormat/>
    <w:pPr>
      <w:numPr>
        <w:ilvl w:val="8"/>
        <w:numId w:val="1"/>
      </w:numPr>
      <w:spacing w:before="240" w:after="60"/>
      <w:outlineLvl w:val="8"/>
    </w:pPr>
    <w:rPr>
      <w:sz w:val="16"/>
      <w:szCs w:val="1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basedOn w:val="Normale"/>
    <w:next w:val="Keywords"/>
    <w:pPr>
      <w:spacing w:before="20"/>
      <w:ind w:firstLine="202"/>
      <w:jc w:val="both"/>
    </w:pPr>
    <w:rPr>
      <w:b/>
      <w:bCs/>
      <w:sz w:val="18"/>
      <w:szCs w:val="18"/>
    </w:rPr>
  </w:style>
  <w:style w:type="paragraph" w:customStyle="1" w:styleId="Authors">
    <w:name w:val="Authors"/>
    <w:basedOn w:val="Normale"/>
    <w:next w:val="Affiliations"/>
    <w:rsid w:val="007351C5"/>
    <w:pPr>
      <w:framePr w:w="9072" w:hSpace="187" w:vSpace="187" w:wrap="notBeside" w:vAnchor="text" w:hAnchor="page" w:xAlign="center" w:y="1"/>
      <w:jc w:val="center"/>
    </w:pPr>
    <w:rPr>
      <w:sz w:val="22"/>
      <w:szCs w:val="22"/>
    </w:rPr>
  </w:style>
  <w:style w:type="character" w:customStyle="1" w:styleId="MemberType">
    <w:name w:val="MemberType"/>
    <w:rPr>
      <w:rFonts w:ascii="Times New Roman" w:hAnsi="Times New Roman" w:cs="Times New Roman"/>
      <w:i/>
      <w:iCs/>
      <w:sz w:val="22"/>
      <w:szCs w:val="22"/>
    </w:rPr>
  </w:style>
  <w:style w:type="paragraph" w:styleId="Titolo">
    <w:name w:val="Title"/>
    <w:basedOn w:val="Normale"/>
    <w:next w:val="Normale"/>
    <w:qFormat/>
    <w:rsid w:val="00950B57"/>
    <w:pPr>
      <w:framePr w:w="9360" w:hSpace="187" w:vSpace="187" w:wrap="notBeside" w:vAnchor="text" w:hAnchor="page" w:xAlign="center" w:y="1" w:anchorLock="1"/>
      <w:spacing w:before="360"/>
      <w:jc w:val="center"/>
    </w:pPr>
    <w:rPr>
      <w:kern w:val="28"/>
      <w:sz w:val="48"/>
      <w:szCs w:val="48"/>
    </w:rPr>
  </w:style>
  <w:style w:type="paragraph" w:styleId="Testonotaapidipagina">
    <w:name w:val="footnote text"/>
    <w:basedOn w:val="Normale"/>
    <w:link w:val="TestonotaapidipaginaCarattere"/>
    <w:semiHidden/>
    <w:pPr>
      <w:ind w:firstLine="202"/>
      <w:jc w:val="both"/>
    </w:pPr>
    <w:rPr>
      <w:sz w:val="16"/>
      <w:szCs w:val="16"/>
      <w:lang w:val="x-none" w:eastAsia="x-none"/>
    </w:rPr>
  </w:style>
  <w:style w:type="paragraph" w:customStyle="1" w:styleId="References">
    <w:name w:val="References"/>
    <w:basedOn w:val="Normale"/>
    <w:pPr>
      <w:numPr>
        <w:numId w:val="12"/>
      </w:numPr>
      <w:jc w:val="both"/>
    </w:pPr>
    <w:rPr>
      <w:sz w:val="16"/>
      <w:szCs w:val="16"/>
    </w:rPr>
  </w:style>
  <w:style w:type="paragraph" w:customStyle="1" w:styleId="IndexTerms">
    <w:name w:val="IndexTerms"/>
    <w:basedOn w:val="Normale"/>
    <w:next w:val="Normale"/>
    <w:pPr>
      <w:ind w:firstLine="202"/>
      <w:jc w:val="both"/>
    </w:pPr>
    <w:rPr>
      <w:b/>
      <w:bCs/>
      <w:sz w:val="18"/>
      <w:szCs w:val="18"/>
    </w:rPr>
  </w:style>
  <w:style w:type="character" w:styleId="Rimandonotaapidipagina">
    <w:name w:val="footnote reference"/>
    <w:semiHidden/>
    <w:rPr>
      <w:vertAlign w:val="superscript"/>
    </w:rPr>
  </w:style>
  <w:style w:type="paragraph" w:styleId="Pidipagina">
    <w:name w:val="footer"/>
    <w:basedOn w:val="Normale"/>
    <w:semiHidden/>
    <w:pPr>
      <w:tabs>
        <w:tab w:val="center" w:pos="4320"/>
        <w:tab w:val="right" w:pos="8640"/>
      </w:tabs>
    </w:pPr>
  </w:style>
  <w:style w:type="paragraph" w:customStyle="1" w:styleId="Text">
    <w:name w:val="Text"/>
    <w:basedOn w:val="Normale"/>
    <w:rsid w:val="00B724BA"/>
    <w:pPr>
      <w:widowControl w:val="0"/>
      <w:spacing w:line="252" w:lineRule="auto"/>
      <w:ind w:firstLine="170"/>
      <w:jc w:val="both"/>
    </w:pPr>
  </w:style>
  <w:style w:type="paragraph" w:customStyle="1" w:styleId="FigureCaption">
    <w:name w:val="Figure Caption"/>
    <w:basedOn w:val="Normale"/>
    <w:pPr>
      <w:jc w:val="both"/>
    </w:pPr>
    <w:rPr>
      <w:sz w:val="16"/>
      <w:szCs w:val="16"/>
    </w:rPr>
  </w:style>
  <w:style w:type="paragraph" w:customStyle="1" w:styleId="TableTitle">
    <w:name w:val="Table Title"/>
    <w:basedOn w:val="Normale"/>
    <w:pPr>
      <w:jc w:val="center"/>
    </w:pPr>
    <w:rPr>
      <w:smallCaps/>
      <w:sz w:val="16"/>
      <w:szCs w:val="16"/>
    </w:rPr>
  </w:style>
  <w:style w:type="paragraph" w:customStyle="1" w:styleId="ReferenceHead">
    <w:name w:val="Reference Head"/>
    <w:basedOn w:val="Titolo1"/>
    <w:pPr>
      <w:numPr>
        <w:numId w:val="0"/>
      </w:numPr>
    </w:pPr>
  </w:style>
  <w:style w:type="paragraph" w:styleId="Intestazione">
    <w:name w:val="header"/>
    <w:basedOn w:val="Normale"/>
    <w:semiHidden/>
    <w:pPr>
      <w:tabs>
        <w:tab w:val="center" w:pos="4320"/>
        <w:tab w:val="right" w:pos="8640"/>
      </w:tabs>
    </w:pPr>
  </w:style>
  <w:style w:type="paragraph" w:customStyle="1" w:styleId="Equation">
    <w:name w:val="Equation"/>
    <w:basedOn w:val="Normale"/>
    <w:next w:val="Normale"/>
    <w:pPr>
      <w:widowControl w:val="0"/>
      <w:tabs>
        <w:tab w:val="right" w:pos="4810"/>
      </w:tabs>
      <w:spacing w:line="252" w:lineRule="auto"/>
      <w:jc w:val="both"/>
    </w:pPr>
  </w:style>
  <w:style w:type="character" w:styleId="Collegamentoipertestuale">
    <w:name w:val="Hyperlink"/>
    <w:semiHidden/>
    <w:rPr>
      <w:color w:val="0000FF"/>
      <w:u w:val="single"/>
    </w:rPr>
  </w:style>
  <w:style w:type="character" w:styleId="Collegamentovisitato">
    <w:name w:val="FollowedHyperlink"/>
    <w:semiHidden/>
    <w:rPr>
      <w:color w:val="800080"/>
      <w:u w:val="single"/>
    </w:rPr>
  </w:style>
  <w:style w:type="paragraph" w:styleId="Rientrocorpodeltesto">
    <w:name w:val="Body Text Indent"/>
    <w:basedOn w:val="Normale"/>
    <w:semiHidden/>
    <w:pPr>
      <w:ind w:left="630" w:hanging="630"/>
    </w:pPr>
    <w:rPr>
      <w:szCs w:val="24"/>
    </w:rPr>
  </w:style>
  <w:style w:type="paragraph" w:customStyle="1" w:styleId="DefaultParagraphFont1">
    <w:name w:val="Default Paragraph Font1"/>
    <w:next w:val="Normale"/>
    <w:pPr>
      <w:overflowPunct w:val="0"/>
      <w:autoSpaceDE w:val="0"/>
      <w:autoSpaceDN w:val="0"/>
      <w:adjustRightInd w:val="0"/>
      <w:textAlignment w:val="baseline"/>
    </w:pPr>
    <w:rPr>
      <w:rFonts w:ascii="Times" w:eastAsia="PMingLiU" w:hAnsi="Times"/>
      <w:lang w:eastAsia="zh-TW"/>
    </w:rPr>
  </w:style>
  <w:style w:type="paragraph" w:customStyle="1" w:styleId="abs-title">
    <w:name w:val="abs-title"/>
    <w:basedOn w:val="DefaultParagraphFont1"/>
    <w:pPr>
      <w:ind w:firstLine="14"/>
      <w:jc w:val="both"/>
    </w:pPr>
    <w:rPr>
      <w:b/>
      <w:bCs/>
      <w:i/>
      <w:iCs/>
      <w:sz w:val="18"/>
    </w:rPr>
  </w:style>
  <w:style w:type="paragraph" w:customStyle="1" w:styleId="body-text">
    <w:name w:val="body-text"/>
    <w:pPr>
      <w:ind w:firstLine="230"/>
      <w:jc w:val="both"/>
    </w:pPr>
    <w:rPr>
      <w:rFonts w:ascii="Times" w:hAnsi="Times"/>
      <w:color w:val="000000"/>
    </w:rPr>
  </w:style>
  <w:style w:type="paragraph" w:customStyle="1" w:styleId="table-figure-caption">
    <w:name w:val="table-figure-caption"/>
    <w:basedOn w:val="body-text"/>
    <w:pPr>
      <w:spacing w:before="60" w:after="120"/>
      <w:ind w:firstLine="0"/>
      <w:jc w:val="center"/>
    </w:pPr>
    <w:rPr>
      <w:sz w:val="18"/>
    </w:rPr>
  </w:style>
  <w:style w:type="paragraph" w:customStyle="1" w:styleId="footnote">
    <w:name w:val="footnote"/>
    <w:basedOn w:val="Testonotaapidipagina"/>
    <w:pPr>
      <w:overflowPunct w:val="0"/>
      <w:adjustRightInd w:val="0"/>
      <w:ind w:firstLine="346"/>
      <w:jc w:val="left"/>
      <w:textAlignment w:val="baseline"/>
    </w:pPr>
    <w:rPr>
      <w:rFonts w:ascii="Times" w:eastAsia="PMingLiU" w:hAnsi="Times"/>
      <w:szCs w:val="20"/>
      <w:lang w:val="en-AU" w:eastAsia="zh-TW"/>
    </w:rPr>
  </w:style>
  <w:style w:type="paragraph" w:customStyle="1" w:styleId="subsection-title">
    <w:name w:val="subsection-title"/>
    <w:basedOn w:val="Titolo2"/>
    <w:pPr>
      <w:numPr>
        <w:ilvl w:val="0"/>
        <w:numId w:val="0"/>
      </w:numPr>
      <w:overflowPunct w:val="0"/>
      <w:adjustRightInd w:val="0"/>
      <w:spacing w:before="60"/>
      <w:ind w:firstLine="43"/>
      <w:textAlignment w:val="baseline"/>
    </w:pPr>
    <w:rPr>
      <w:rFonts w:ascii="Times" w:eastAsia="PMingLiU" w:hAnsi="Times"/>
      <w:b/>
      <w:bCs/>
      <w:szCs w:val="24"/>
      <w:lang w:eastAsia="zh-TW"/>
    </w:rPr>
  </w:style>
  <w:style w:type="character" w:customStyle="1" w:styleId="TestonotaapidipaginaCarattere">
    <w:name w:val="Testo nota a piè di pagina Carattere"/>
    <w:link w:val="Testonotaapidipagina"/>
    <w:semiHidden/>
    <w:rsid w:val="00E84FE2"/>
    <w:rPr>
      <w:sz w:val="16"/>
      <w:szCs w:val="16"/>
    </w:rPr>
  </w:style>
  <w:style w:type="paragraph" w:customStyle="1" w:styleId="Keywords">
    <w:name w:val="Keywords"/>
    <w:basedOn w:val="Abstract"/>
    <w:qFormat/>
    <w:rsid w:val="00B32A68"/>
  </w:style>
  <w:style w:type="paragraph" w:customStyle="1" w:styleId="Affiliations">
    <w:name w:val="Affiliations"/>
    <w:basedOn w:val="Authors"/>
    <w:qFormat/>
    <w:rsid w:val="007351C5"/>
    <w:pPr>
      <w:framePr w:wrap="notBeside"/>
    </w:pPr>
    <w:rPr>
      <w:i/>
      <w:sz w:val="18"/>
    </w:rPr>
  </w:style>
  <w:style w:type="character" w:styleId="Menzionenonrisolta">
    <w:name w:val="Unresolved Mention"/>
    <w:basedOn w:val="Carpredefinitoparagrafo"/>
    <w:uiPriority w:val="99"/>
    <w:semiHidden/>
    <w:unhideWhenUsed/>
    <w:rsid w:val="00640EE5"/>
    <w:rPr>
      <w:color w:val="605E5C"/>
      <w:shd w:val="clear" w:color="auto" w:fill="E1DFDD"/>
    </w:rPr>
  </w:style>
  <w:style w:type="paragraph" w:styleId="Didascalia">
    <w:name w:val="caption"/>
    <w:basedOn w:val="Normale"/>
    <w:next w:val="Normale"/>
    <w:uiPriority w:val="35"/>
    <w:unhideWhenUsed/>
    <w:qFormat/>
    <w:rsid w:val="002E3B75"/>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242230">
      <w:bodyDiv w:val="1"/>
      <w:marLeft w:val="0"/>
      <w:marRight w:val="0"/>
      <w:marTop w:val="0"/>
      <w:marBottom w:val="0"/>
      <w:divBdr>
        <w:top w:val="none" w:sz="0" w:space="0" w:color="auto"/>
        <w:left w:val="none" w:sz="0" w:space="0" w:color="auto"/>
        <w:bottom w:val="none" w:sz="0" w:space="0" w:color="auto"/>
        <w:right w:val="none" w:sz="0" w:space="0" w:color="auto"/>
      </w:divBdr>
    </w:div>
    <w:div w:id="373389522">
      <w:bodyDiv w:val="1"/>
      <w:marLeft w:val="0"/>
      <w:marRight w:val="0"/>
      <w:marTop w:val="0"/>
      <w:marBottom w:val="0"/>
      <w:divBdr>
        <w:top w:val="none" w:sz="0" w:space="0" w:color="auto"/>
        <w:left w:val="none" w:sz="0" w:space="0" w:color="auto"/>
        <w:bottom w:val="none" w:sz="0" w:space="0" w:color="auto"/>
        <w:right w:val="none" w:sz="0" w:space="0" w:color="auto"/>
      </w:divBdr>
    </w:div>
    <w:div w:id="427310331">
      <w:bodyDiv w:val="1"/>
      <w:marLeft w:val="0"/>
      <w:marRight w:val="0"/>
      <w:marTop w:val="0"/>
      <w:marBottom w:val="0"/>
      <w:divBdr>
        <w:top w:val="none" w:sz="0" w:space="0" w:color="auto"/>
        <w:left w:val="none" w:sz="0" w:space="0" w:color="auto"/>
        <w:bottom w:val="none" w:sz="0" w:space="0" w:color="auto"/>
        <w:right w:val="none" w:sz="0" w:space="0" w:color="auto"/>
      </w:divBdr>
    </w:div>
    <w:div w:id="476999546">
      <w:bodyDiv w:val="1"/>
      <w:marLeft w:val="0"/>
      <w:marRight w:val="0"/>
      <w:marTop w:val="0"/>
      <w:marBottom w:val="0"/>
      <w:divBdr>
        <w:top w:val="none" w:sz="0" w:space="0" w:color="auto"/>
        <w:left w:val="none" w:sz="0" w:space="0" w:color="auto"/>
        <w:bottom w:val="none" w:sz="0" w:space="0" w:color="auto"/>
        <w:right w:val="none" w:sz="0" w:space="0" w:color="auto"/>
      </w:divBdr>
    </w:div>
    <w:div w:id="582642707">
      <w:bodyDiv w:val="1"/>
      <w:marLeft w:val="0"/>
      <w:marRight w:val="0"/>
      <w:marTop w:val="0"/>
      <w:marBottom w:val="0"/>
      <w:divBdr>
        <w:top w:val="none" w:sz="0" w:space="0" w:color="auto"/>
        <w:left w:val="none" w:sz="0" w:space="0" w:color="auto"/>
        <w:bottom w:val="none" w:sz="0" w:space="0" w:color="auto"/>
        <w:right w:val="none" w:sz="0" w:space="0" w:color="auto"/>
      </w:divBdr>
    </w:div>
    <w:div w:id="623002779">
      <w:bodyDiv w:val="1"/>
      <w:marLeft w:val="0"/>
      <w:marRight w:val="0"/>
      <w:marTop w:val="0"/>
      <w:marBottom w:val="0"/>
      <w:divBdr>
        <w:top w:val="none" w:sz="0" w:space="0" w:color="auto"/>
        <w:left w:val="none" w:sz="0" w:space="0" w:color="auto"/>
        <w:bottom w:val="none" w:sz="0" w:space="0" w:color="auto"/>
        <w:right w:val="none" w:sz="0" w:space="0" w:color="auto"/>
      </w:divBdr>
    </w:div>
    <w:div w:id="762216390">
      <w:bodyDiv w:val="1"/>
      <w:marLeft w:val="0"/>
      <w:marRight w:val="0"/>
      <w:marTop w:val="0"/>
      <w:marBottom w:val="0"/>
      <w:divBdr>
        <w:top w:val="none" w:sz="0" w:space="0" w:color="auto"/>
        <w:left w:val="none" w:sz="0" w:space="0" w:color="auto"/>
        <w:bottom w:val="none" w:sz="0" w:space="0" w:color="auto"/>
        <w:right w:val="none" w:sz="0" w:space="0" w:color="auto"/>
      </w:divBdr>
    </w:div>
    <w:div w:id="774012850">
      <w:bodyDiv w:val="1"/>
      <w:marLeft w:val="0"/>
      <w:marRight w:val="0"/>
      <w:marTop w:val="0"/>
      <w:marBottom w:val="0"/>
      <w:divBdr>
        <w:top w:val="none" w:sz="0" w:space="0" w:color="auto"/>
        <w:left w:val="none" w:sz="0" w:space="0" w:color="auto"/>
        <w:bottom w:val="none" w:sz="0" w:space="0" w:color="auto"/>
        <w:right w:val="none" w:sz="0" w:space="0" w:color="auto"/>
      </w:divBdr>
    </w:div>
    <w:div w:id="881484219">
      <w:bodyDiv w:val="1"/>
      <w:marLeft w:val="0"/>
      <w:marRight w:val="0"/>
      <w:marTop w:val="0"/>
      <w:marBottom w:val="0"/>
      <w:divBdr>
        <w:top w:val="none" w:sz="0" w:space="0" w:color="auto"/>
        <w:left w:val="none" w:sz="0" w:space="0" w:color="auto"/>
        <w:bottom w:val="none" w:sz="0" w:space="0" w:color="auto"/>
        <w:right w:val="none" w:sz="0" w:space="0" w:color="auto"/>
      </w:divBdr>
    </w:div>
    <w:div w:id="974985473">
      <w:bodyDiv w:val="1"/>
      <w:marLeft w:val="0"/>
      <w:marRight w:val="0"/>
      <w:marTop w:val="0"/>
      <w:marBottom w:val="0"/>
      <w:divBdr>
        <w:top w:val="none" w:sz="0" w:space="0" w:color="auto"/>
        <w:left w:val="none" w:sz="0" w:space="0" w:color="auto"/>
        <w:bottom w:val="none" w:sz="0" w:space="0" w:color="auto"/>
        <w:right w:val="none" w:sz="0" w:space="0" w:color="auto"/>
      </w:divBdr>
    </w:div>
    <w:div w:id="1496804707">
      <w:bodyDiv w:val="1"/>
      <w:marLeft w:val="0"/>
      <w:marRight w:val="0"/>
      <w:marTop w:val="0"/>
      <w:marBottom w:val="0"/>
      <w:divBdr>
        <w:top w:val="none" w:sz="0" w:space="0" w:color="auto"/>
        <w:left w:val="none" w:sz="0" w:space="0" w:color="auto"/>
        <w:bottom w:val="none" w:sz="0" w:space="0" w:color="auto"/>
        <w:right w:val="none" w:sz="0" w:space="0" w:color="auto"/>
      </w:divBdr>
    </w:div>
    <w:div w:id="1634293500">
      <w:bodyDiv w:val="1"/>
      <w:marLeft w:val="0"/>
      <w:marRight w:val="0"/>
      <w:marTop w:val="0"/>
      <w:marBottom w:val="0"/>
      <w:divBdr>
        <w:top w:val="none" w:sz="0" w:space="0" w:color="auto"/>
        <w:left w:val="none" w:sz="0" w:space="0" w:color="auto"/>
        <w:bottom w:val="none" w:sz="0" w:space="0" w:color="auto"/>
        <w:right w:val="none" w:sz="0" w:space="0" w:color="auto"/>
      </w:divBdr>
    </w:div>
    <w:div w:id="1686710440">
      <w:bodyDiv w:val="1"/>
      <w:marLeft w:val="0"/>
      <w:marRight w:val="0"/>
      <w:marTop w:val="0"/>
      <w:marBottom w:val="0"/>
      <w:divBdr>
        <w:top w:val="none" w:sz="0" w:space="0" w:color="auto"/>
        <w:left w:val="none" w:sz="0" w:space="0" w:color="auto"/>
        <w:bottom w:val="none" w:sz="0" w:space="0" w:color="auto"/>
        <w:right w:val="none" w:sz="0" w:space="0" w:color="auto"/>
      </w:divBdr>
    </w:div>
    <w:div w:id="1688603835">
      <w:bodyDiv w:val="1"/>
      <w:marLeft w:val="0"/>
      <w:marRight w:val="0"/>
      <w:marTop w:val="0"/>
      <w:marBottom w:val="0"/>
      <w:divBdr>
        <w:top w:val="none" w:sz="0" w:space="0" w:color="auto"/>
        <w:left w:val="none" w:sz="0" w:space="0" w:color="auto"/>
        <w:bottom w:val="none" w:sz="0" w:space="0" w:color="auto"/>
        <w:right w:val="none" w:sz="0" w:space="0" w:color="auto"/>
      </w:divBdr>
    </w:div>
    <w:div w:id="1691491516">
      <w:bodyDiv w:val="1"/>
      <w:marLeft w:val="0"/>
      <w:marRight w:val="0"/>
      <w:marTop w:val="0"/>
      <w:marBottom w:val="0"/>
      <w:divBdr>
        <w:top w:val="none" w:sz="0" w:space="0" w:color="auto"/>
        <w:left w:val="none" w:sz="0" w:space="0" w:color="auto"/>
        <w:bottom w:val="none" w:sz="0" w:space="0" w:color="auto"/>
        <w:right w:val="none" w:sz="0" w:space="0" w:color="auto"/>
      </w:divBdr>
    </w:div>
    <w:div w:id="1857229068">
      <w:bodyDiv w:val="1"/>
      <w:marLeft w:val="0"/>
      <w:marRight w:val="0"/>
      <w:marTop w:val="0"/>
      <w:marBottom w:val="0"/>
      <w:divBdr>
        <w:top w:val="none" w:sz="0" w:space="0" w:color="auto"/>
        <w:left w:val="none" w:sz="0" w:space="0" w:color="auto"/>
        <w:bottom w:val="none" w:sz="0" w:space="0" w:color="auto"/>
        <w:right w:val="none" w:sz="0" w:space="0" w:color="auto"/>
      </w:divBdr>
    </w:div>
    <w:div w:id="1919511968">
      <w:bodyDiv w:val="1"/>
      <w:marLeft w:val="0"/>
      <w:marRight w:val="0"/>
      <w:marTop w:val="0"/>
      <w:marBottom w:val="0"/>
      <w:divBdr>
        <w:top w:val="none" w:sz="0" w:space="0" w:color="auto"/>
        <w:left w:val="none" w:sz="0" w:space="0" w:color="auto"/>
        <w:bottom w:val="none" w:sz="0" w:space="0" w:color="auto"/>
        <w:right w:val="none" w:sz="0" w:space="0" w:color="auto"/>
      </w:divBdr>
    </w:div>
    <w:div w:id="2073969186">
      <w:bodyDiv w:val="1"/>
      <w:marLeft w:val="0"/>
      <w:marRight w:val="0"/>
      <w:marTop w:val="0"/>
      <w:marBottom w:val="0"/>
      <w:divBdr>
        <w:top w:val="none" w:sz="0" w:space="0" w:color="auto"/>
        <w:left w:val="none" w:sz="0" w:space="0" w:color="auto"/>
        <w:bottom w:val="none" w:sz="0" w:space="0" w:color="auto"/>
        <w:right w:val="none" w:sz="0" w:space="0" w:color="auto"/>
      </w:divBdr>
      <w:divsChild>
        <w:div w:id="51661287">
          <w:marLeft w:val="0"/>
          <w:marRight w:val="0"/>
          <w:marTop w:val="0"/>
          <w:marBottom w:val="0"/>
          <w:divBdr>
            <w:top w:val="none" w:sz="0" w:space="0" w:color="auto"/>
            <w:left w:val="none" w:sz="0" w:space="0" w:color="auto"/>
            <w:bottom w:val="none" w:sz="0" w:space="0" w:color="auto"/>
            <w:right w:val="none" w:sz="0" w:space="0" w:color="auto"/>
          </w:divBdr>
        </w:div>
        <w:div w:id="865755475">
          <w:marLeft w:val="0"/>
          <w:marRight w:val="0"/>
          <w:marTop w:val="0"/>
          <w:marBottom w:val="0"/>
          <w:divBdr>
            <w:top w:val="none" w:sz="0" w:space="0" w:color="auto"/>
            <w:left w:val="none" w:sz="0" w:space="0" w:color="auto"/>
            <w:bottom w:val="none" w:sz="0" w:space="0" w:color="auto"/>
            <w:right w:val="none" w:sz="0" w:space="0" w:color="auto"/>
          </w:divBdr>
        </w:div>
        <w:div w:id="1468934907">
          <w:marLeft w:val="0"/>
          <w:marRight w:val="0"/>
          <w:marTop w:val="0"/>
          <w:marBottom w:val="0"/>
          <w:divBdr>
            <w:top w:val="none" w:sz="0" w:space="0" w:color="auto"/>
            <w:left w:val="none" w:sz="0" w:space="0" w:color="auto"/>
            <w:bottom w:val="none" w:sz="0" w:space="0" w:color="auto"/>
            <w:right w:val="none" w:sz="0" w:space="0" w:color="auto"/>
          </w:divBdr>
        </w:div>
      </w:divsChild>
    </w:div>
    <w:div w:id="2121609694">
      <w:bodyDiv w:val="1"/>
      <w:marLeft w:val="0"/>
      <w:marRight w:val="0"/>
      <w:marTop w:val="0"/>
      <w:marBottom w:val="0"/>
      <w:divBdr>
        <w:top w:val="none" w:sz="0" w:space="0" w:color="auto"/>
        <w:left w:val="none" w:sz="0" w:space="0" w:color="auto"/>
        <w:bottom w:val="none" w:sz="0" w:space="0" w:color="auto"/>
        <w:right w:val="none" w:sz="0" w:space="0" w:color="auto"/>
      </w:divBdr>
    </w:div>
    <w:div w:id="2124614230">
      <w:bodyDiv w:val="1"/>
      <w:marLeft w:val="0"/>
      <w:marRight w:val="0"/>
      <w:marTop w:val="0"/>
      <w:marBottom w:val="0"/>
      <w:divBdr>
        <w:top w:val="none" w:sz="0" w:space="0" w:color="auto"/>
        <w:left w:val="none" w:sz="0" w:space="0" w:color="auto"/>
        <w:bottom w:val="none" w:sz="0" w:space="0" w:color="auto"/>
        <w:right w:val="none" w:sz="0" w:space="0" w:color="auto"/>
      </w:divBdr>
      <w:divsChild>
        <w:div w:id="2119252700">
          <w:marLeft w:val="0"/>
          <w:marRight w:val="0"/>
          <w:marTop w:val="0"/>
          <w:marBottom w:val="0"/>
          <w:divBdr>
            <w:top w:val="none" w:sz="0" w:space="0" w:color="auto"/>
            <w:left w:val="none" w:sz="0" w:space="0" w:color="auto"/>
            <w:bottom w:val="none" w:sz="0" w:space="0" w:color="auto"/>
            <w:right w:val="none" w:sz="0" w:space="0" w:color="auto"/>
          </w:divBdr>
        </w:div>
        <w:div w:id="837353896">
          <w:marLeft w:val="0"/>
          <w:marRight w:val="0"/>
          <w:marTop w:val="0"/>
          <w:marBottom w:val="0"/>
          <w:divBdr>
            <w:top w:val="none" w:sz="0" w:space="0" w:color="auto"/>
            <w:left w:val="none" w:sz="0" w:space="0" w:color="auto"/>
            <w:bottom w:val="none" w:sz="0" w:space="0" w:color="auto"/>
            <w:right w:val="none" w:sz="0" w:space="0" w:color="auto"/>
          </w:divBdr>
        </w:div>
        <w:div w:id="62445888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ocuments\abstract\GNB2016\184-Italiano-template-gnb2016_word.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184-Italiano-template-gnb2016_word</Template>
  <TotalTime>554</TotalTime>
  <Pages>4</Pages>
  <Words>3645</Words>
  <Characters>20783</Characters>
  <Application>Microsoft Office Word</Application>
  <DocSecurity>0</DocSecurity>
  <Lines>173</Lines>
  <Paragraphs>48</Paragraphs>
  <ScaleCrop>false</ScaleCrop>
  <HeadingPairs>
    <vt:vector size="6" baseType="variant">
      <vt:variant>
        <vt:lpstr>Titolo</vt:lpstr>
      </vt:variant>
      <vt:variant>
        <vt:i4>1</vt:i4>
      </vt:variant>
      <vt:variant>
        <vt:lpstr>Title</vt:lpstr>
      </vt:variant>
      <vt:variant>
        <vt:i4>1</vt:i4>
      </vt:variant>
      <vt:variant>
        <vt:lpstr>Headings</vt:lpstr>
      </vt:variant>
      <vt:variant>
        <vt:i4>15</vt:i4>
      </vt:variant>
    </vt:vector>
  </HeadingPairs>
  <TitlesOfParts>
    <vt:vector size="17" baseType="lpstr">
      <vt:lpstr>GNB_2012</vt:lpstr>
      <vt:lpstr>GNB_2012</vt:lpstr>
      <vt:lpstr>Introduction</vt:lpstr>
      <vt:lpstr>Procedure for paper submission and preparation</vt:lpstr>
      <vt:lpstr>    Review stage</vt:lpstr>
      <vt:lpstr>    Final stage</vt:lpstr>
      <vt:lpstr>    Page setup</vt:lpstr>
      <vt:lpstr>    Figures</vt:lpstr>
      <vt:lpstr>    References</vt:lpstr>
      <vt:lpstr>    Tables</vt:lpstr>
      <vt:lpstr>    Math equations</vt:lpstr>
      <vt:lpstr>Hints and recommendations</vt:lpstr>
      <vt:lpstr>    General hints</vt:lpstr>
      <vt:lpstr>Conclusion</vt:lpstr>
      <vt:lpstr>Appendix</vt:lpstr>
      <vt:lpstr>Acknowledgement </vt:lpstr>
      <vt:lpstr>References</vt:lpstr>
    </vt:vector>
  </TitlesOfParts>
  <Company/>
  <LinksUpToDate>false</LinksUpToDate>
  <CharactersWithSpaces>24380</CharactersWithSpaces>
  <SharedDoc>false</SharedDoc>
  <HyperlinkBase/>
  <HLinks>
    <vt:vector size="30" baseType="variant">
      <vt:variant>
        <vt:i4>1441798</vt:i4>
      </vt:variant>
      <vt:variant>
        <vt:i4>21</vt:i4>
      </vt:variant>
      <vt:variant>
        <vt:i4>0</vt:i4>
      </vt:variant>
      <vt:variant>
        <vt:i4>5</vt:i4>
      </vt:variant>
      <vt:variant>
        <vt:lpwstr>http://www.halcyon.com/pub/journals/</vt:lpwstr>
      </vt:variant>
      <vt:variant>
        <vt:lpwstr/>
      </vt:variant>
      <vt:variant>
        <vt:i4>6160457</vt:i4>
      </vt:variant>
      <vt:variant>
        <vt:i4>18</vt:i4>
      </vt:variant>
      <vt:variant>
        <vt:i4>0</vt:i4>
      </vt:variant>
      <vt:variant>
        <vt:i4>5</vt:i4>
      </vt:variant>
      <vt:variant>
        <vt:lpwstr>http://www.(url/</vt:lpwstr>
      </vt:variant>
      <vt:variant>
        <vt:lpwstr/>
      </vt:variant>
      <vt:variant>
        <vt:i4>2687077</vt:i4>
      </vt:variant>
      <vt:variant>
        <vt:i4>15</vt:i4>
      </vt:variant>
      <vt:variant>
        <vt:i4>0</vt:i4>
      </vt:variant>
      <vt:variant>
        <vt:i4>5</vt:i4>
      </vt:variant>
      <vt:variant>
        <vt:lpwstr>http://www.atm.com/</vt:lpwstr>
      </vt:variant>
      <vt:variant>
        <vt:lpwstr/>
      </vt:variant>
      <vt:variant>
        <vt:i4>6160457</vt:i4>
      </vt:variant>
      <vt:variant>
        <vt:i4>12</vt:i4>
      </vt:variant>
      <vt:variant>
        <vt:i4>0</vt:i4>
      </vt:variant>
      <vt:variant>
        <vt:i4>5</vt:i4>
      </vt:variant>
      <vt:variant>
        <vt:lpwstr>http://www.(url/</vt:lpwstr>
      </vt:variant>
      <vt:variant>
        <vt:lpwstr/>
      </vt:variant>
      <vt:variant>
        <vt:i4>2097249</vt:i4>
      </vt:variant>
      <vt:variant>
        <vt:i4>0</vt:i4>
      </vt:variant>
      <vt:variant>
        <vt:i4>0</vt:i4>
      </vt:variant>
      <vt:variant>
        <vt:i4>5</vt:i4>
      </vt:variant>
      <vt:variant>
        <vt:lpwstr>http://www.gnb2016.org/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GNB_2012</dc:title>
  <dc:subject>GNB2012 Template</dc:subject>
  <dc:creator>Todros</dc:creator>
  <cp:keywords/>
  <cp:lastModifiedBy>Francesca Vicinanza</cp:lastModifiedBy>
  <cp:revision>26</cp:revision>
  <cp:lastPrinted>2025-04-10T12:35:00Z</cp:lastPrinted>
  <dcterms:created xsi:type="dcterms:W3CDTF">2025-04-08T10:39:00Z</dcterms:created>
  <dcterms:modified xsi:type="dcterms:W3CDTF">2025-04-10T16:29:00Z</dcterms:modified>
</cp:coreProperties>
</file>