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7ED2DA" w14:textId="77777777" w:rsidR="00936C0F" w:rsidRPr="00584F1D" w:rsidRDefault="00936C0F" w:rsidP="00936C0F">
      <w:pPr>
        <w:jc w:val="center"/>
        <w:rPr>
          <w:rFonts w:ascii="Times New Roman" w:hAnsi="Times New Roman" w:cs="Times New Roman"/>
          <w:b/>
          <w:bCs/>
          <w:sz w:val="32"/>
          <w:szCs w:val="32"/>
          <w:lang w:val="en-US"/>
        </w:rPr>
      </w:pPr>
      <w:r w:rsidRPr="00584F1D">
        <w:rPr>
          <w:rFonts w:ascii="Times New Roman" w:hAnsi="Times New Roman" w:cs="Times New Roman"/>
          <w:b/>
          <w:bCs/>
          <w:sz w:val="32"/>
          <w:szCs w:val="32"/>
          <w:lang w:val="en-US"/>
        </w:rPr>
        <w:t>Entrepreneurial opportunities in an ‘industry vacuum’? Platforms as external enablers</w:t>
      </w:r>
    </w:p>
    <w:p w14:paraId="6A6BC8BD" w14:textId="77777777" w:rsidR="00936C0F" w:rsidRPr="00584F1D" w:rsidRDefault="00936C0F" w:rsidP="00936C0F">
      <w:pPr>
        <w:rPr>
          <w:rFonts w:ascii="Times New Roman" w:hAnsi="Times New Roman" w:cs="Times New Roman"/>
          <w:lang w:val="en-US"/>
        </w:rPr>
      </w:pPr>
    </w:p>
    <w:p w14:paraId="4400E8CE" w14:textId="77777777" w:rsidR="00936C0F" w:rsidRPr="00584F1D" w:rsidRDefault="00936C0F" w:rsidP="00936C0F">
      <w:pPr>
        <w:rPr>
          <w:rFonts w:ascii="Times New Roman" w:hAnsi="Times New Roman" w:cs="Times New Roman"/>
          <w:b/>
          <w:bCs/>
          <w:lang w:val="en-US"/>
        </w:rPr>
      </w:pPr>
    </w:p>
    <w:p w14:paraId="71F0011F" w14:textId="77777777" w:rsidR="00936C0F" w:rsidRPr="00584F1D" w:rsidRDefault="00936C0F" w:rsidP="00936C0F">
      <w:pPr>
        <w:rPr>
          <w:rFonts w:ascii="Times New Roman" w:hAnsi="Times New Roman" w:cs="Times New Roman"/>
          <w:b/>
          <w:bCs/>
          <w:lang w:val="en-US"/>
        </w:rPr>
      </w:pPr>
      <w:r w:rsidRPr="00584F1D">
        <w:rPr>
          <w:rFonts w:ascii="Times New Roman" w:hAnsi="Times New Roman" w:cs="Times New Roman"/>
          <w:b/>
          <w:bCs/>
          <w:lang w:val="en-US"/>
        </w:rPr>
        <w:t>Luigi Buzzacchi</w:t>
      </w:r>
    </w:p>
    <w:p w14:paraId="1F67FDBF" w14:textId="77777777" w:rsidR="00936C0F" w:rsidRPr="00584F1D" w:rsidRDefault="00936C0F" w:rsidP="00936C0F">
      <w:pPr>
        <w:rPr>
          <w:rFonts w:ascii="Times New Roman" w:hAnsi="Times New Roman" w:cs="Times New Roman"/>
          <w:lang w:val="en-US"/>
        </w:rPr>
      </w:pPr>
      <w:r w:rsidRPr="00584F1D">
        <w:rPr>
          <w:rFonts w:ascii="Times New Roman" w:hAnsi="Times New Roman" w:cs="Times New Roman"/>
          <w:lang w:val="en-US"/>
        </w:rPr>
        <w:t>Full Professor</w:t>
      </w:r>
    </w:p>
    <w:p w14:paraId="737E490C" w14:textId="77777777" w:rsidR="00936C0F" w:rsidRPr="00584F1D" w:rsidRDefault="00936C0F" w:rsidP="00936C0F">
      <w:pPr>
        <w:rPr>
          <w:rFonts w:ascii="Times New Roman" w:hAnsi="Times New Roman" w:cs="Times New Roman"/>
          <w:lang w:val="en-US"/>
        </w:rPr>
      </w:pPr>
      <w:r w:rsidRPr="00584F1D">
        <w:rPr>
          <w:rFonts w:ascii="Times New Roman" w:hAnsi="Times New Roman" w:cs="Times New Roman"/>
          <w:lang w:val="en-US"/>
        </w:rPr>
        <w:t xml:space="preserve">Interuniversity Department of Regional and Urban Studies and Planning (DIST) </w:t>
      </w:r>
    </w:p>
    <w:p w14:paraId="4EC54832" w14:textId="77777777" w:rsidR="00936C0F" w:rsidRPr="00584F1D" w:rsidRDefault="00936C0F" w:rsidP="00936C0F">
      <w:pPr>
        <w:rPr>
          <w:rFonts w:ascii="Times New Roman" w:hAnsi="Times New Roman" w:cs="Times New Roman"/>
          <w:lang w:val="en-US"/>
        </w:rPr>
      </w:pPr>
      <w:r w:rsidRPr="00584F1D">
        <w:rPr>
          <w:rFonts w:ascii="Times New Roman" w:hAnsi="Times New Roman" w:cs="Times New Roman"/>
          <w:lang w:val="en-US"/>
        </w:rPr>
        <w:t>The Future Urban Legacy Lab (FULL)</w:t>
      </w:r>
    </w:p>
    <w:p w14:paraId="016F834E" w14:textId="77777777" w:rsidR="00936C0F" w:rsidRPr="00584F1D" w:rsidRDefault="00936C0F" w:rsidP="00936C0F">
      <w:pPr>
        <w:rPr>
          <w:rFonts w:ascii="Times New Roman" w:hAnsi="Times New Roman" w:cs="Times New Roman"/>
        </w:rPr>
      </w:pPr>
      <w:r w:rsidRPr="00584F1D">
        <w:rPr>
          <w:rFonts w:ascii="Times New Roman" w:hAnsi="Times New Roman" w:cs="Times New Roman"/>
        </w:rPr>
        <w:t xml:space="preserve">Politecnico di Torino - Viale Mattioli, 39, 10125, Torino, Italy </w:t>
      </w:r>
    </w:p>
    <w:p w14:paraId="2E0CF259" w14:textId="77777777" w:rsidR="00936C0F" w:rsidRPr="00936C0F" w:rsidRDefault="00936C0F" w:rsidP="00936C0F">
      <w:pPr>
        <w:rPr>
          <w:rFonts w:ascii="Times New Roman" w:hAnsi="Times New Roman" w:cs="Times New Roman"/>
          <w:lang w:val="en-GB"/>
        </w:rPr>
      </w:pPr>
      <w:hyperlink r:id="rId8" w:history="1">
        <w:r w:rsidRPr="00936C0F">
          <w:rPr>
            <w:rStyle w:val="Collegamentoipertestuale"/>
            <w:rFonts w:ascii="Times New Roman" w:hAnsi="Times New Roman" w:cs="Times New Roman"/>
            <w:lang w:val="en-GB"/>
          </w:rPr>
          <w:t>luigi.buzzacchi@polito.it</w:t>
        </w:r>
      </w:hyperlink>
    </w:p>
    <w:p w14:paraId="41B9FDD9" w14:textId="77777777" w:rsidR="00936C0F" w:rsidRPr="00936C0F" w:rsidRDefault="00936C0F" w:rsidP="00936C0F">
      <w:pPr>
        <w:rPr>
          <w:rFonts w:ascii="Times New Roman" w:hAnsi="Times New Roman" w:cs="Times New Roman"/>
          <w:lang w:val="en-GB"/>
        </w:rPr>
      </w:pPr>
    </w:p>
    <w:p w14:paraId="174C580C" w14:textId="77777777" w:rsidR="00936C0F" w:rsidRPr="00936C0F" w:rsidRDefault="00936C0F" w:rsidP="00936C0F">
      <w:pPr>
        <w:rPr>
          <w:rFonts w:ascii="Times New Roman" w:hAnsi="Times New Roman" w:cs="Times New Roman"/>
          <w:b/>
          <w:bCs/>
          <w:lang w:val="en-GB"/>
        </w:rPr>
      </w:pPr>
      <w:r w:rsidRPr="00936C0F">
        <w:rPr>
          <w:rFonts w:ascii="Times New Roman" w:hAnsi="Times New Roman" w:cs="Times New Roman"/>
          <w:b/>
          <w:bCs/>
          <w:lang w:val="en-GB"/>
        </w:rPr>
        <w:t>Luca Grilli</w:t>
      </w:r>
    </w:p>
    <w:p w14:paraId="66DA76DC" w14:textId="77777777" w:rsidR="00936C0F" w:rsidRPr="00C0795B" w:rsidRDefault="00936C0F" w:rsidP="00936C0F">
      <w:pPr>
        <w:rPr>
          <w:rFonts w:ascii="Times New Roman" w:hAnsi="Times New Roman" w:cs="Times New Roman"/>
          <w:lang w:val="en-US"/>
        </w:rPr>
      </w:pPr>
      <w:r w:rsidRPr="00C0795B">
        <w:rPr>
          <w:rFonts w:ascii="Times New Roman" w:hAnsi="Times New Roman" w:cs="Times New Roman"/>
          <w:lang w:val="en-US"/>
        </w:rPr>
        <w:t>Full Professor</w:t>
      </w:r>
    </w:p>
    <w:p w14:paraId="660EC018" w14:textId="77777777" w:rsidR="00936C0F" w:rsidRPr="00C0795B" w:rsidRDefault="00936C0F" w:rsidP="00936C0F">
      <w:pPr>
        <w:rPr>
          <w:rFonts w:ascii="Times New Roman" w:hAnsi="Times New Roman" w:cs="Times New Roman"/>
          <w:lang w:val="en-US"/>
        </w:rPr>
      </w:pPr>
      <w:r w:rsidRPr="00C0795B">
        <w:rPr>
          <w:rFonts w:ascii="Times New Roman" w:hAnsi="Times New Roman" w:cs="Times New Roman"/>
          <w:lang w:val="en-US"/>
        </w:rPr>
        <w:t xml:space="preserve">Department of Management, Economics, and Industrial Engineering </w:t>
      </w:r>
    </w:p>
    <w:p w14:paraId="5EEC4151" w14:textId="77777777" w:rsidR="00936C0F" w:rsidRPr="00584F1D" w:rsidRDefault="00936C0F" w:rsidP="00936C0F">
      <w:pPr>
        <w:rPr>
          <w:rFonts w:ascii="Times New Roman" w:hAnsi="Times New Roman" w:cs="Times New Roman"/>
        </w:rPr>
      </w:pPr>
      <w:r w:rsidRPr="00584F1D">
        <w:rPr>
          <w:rFonts w:ascii="Times New Roman" w:hAnsi="Times New Roman" w:cs="Times New Roman"/>
        </w:rPr>
        <w:t xml:space="preserve">Politecnico di Milano – V. Lambruschini 4/b, 20156, Milano, Italy </w:t>
      </w:r>
    </w:p>
    <w:p w14:paraId="2892B025" w14:textId="77777777" w:rsidR="00936C0F" w:rsidRPr="00584F1D" w:rsidRDefault="00936C0F" w:rsidP="00936C0F">
      <w:pPr>
        <w:rPr>
          <w:rFonts w:ascii="Times New Roman" w:hAnsi="Times New Roman" w:cs="Times New Roman"/>
        </w:rPr>
      </w:pPr>
      <w:hyperlink r:id="rId9" w:history="1">
        <w:r w:rsidRPr="00584F1D">
          <w:rPr>
            <w:rStyle w:val="Collegamentoipertestuale"/>
            <w:rFonts w:ascii="Times New Roman" w:hAnsi="Times New Roman" w:cs="Times New Roman"/>
          </w:rPr>
          <w:t>luca.grilli@polimi.it</w:t>
        </w:r>
      </w:hyperlink>
      <w:r w:rsidRPr="00584F1D">
        <w:rPr>
          <w:rFonts w:ascii="Times New Roman" w:hAnsi="Times New Roman" w:cs="Times New Roman"/>
        </w:rPr>
        <w:t xml:space="preserve"> </w:t>
      </w:r>
    </w:p>
    <w:p w14:paraId="1E7C4E9D" w14:textId="77777777" w:rsidR="00936C0F" w:rsidRPr="00584F1D" w:rsidRDefault="00936C0F" w:rsidP="00936C0F">
      <w:pPr>
        <w:rPr>
          <w:rFonts w:ascii="Times New Roman" w:hAnsi="Times New Roman" w:cs="Times New Roman"/>
        </w:rPr>
      </w:pPr>
    </w:p>
    <w:p w14:paraId="21E0A857" w14:textId="77777777" w:rsidR="00936C0F" w:rsidRPr="00C0795B" w:rsidRDefault="00936C0F" w:rsidP="00936C0F">
      <w:pPr>
        <w:rPr>
          <w:rFonts w:ascii="Times New Roman" w:hAnsi="Times New Roman" w:cs="Times New Roman"/>
          <w:b/>
          <w:bCs/>
        </w:rPr>
      </w:pPr>
      <w:r w:rsidRPr="00C0795B">
        <w:rPr>
          <w:rFonts w:ascii="Times New Roman" w:hAnsi="Times New Roman" w:cs="Times New Roman"/>
          <w:b/>
          <w:bCs/>
        </w:rPr>
        <w:t>Francesco Luigi Milone</w:t>
      </w:r>
    </w:p>
    <w:p w14:paraId="42A6DA23" w14:textId="77777777" w:rsidR="00936C0F" w:rsidRPr="00584F1D" w:rsidRDefault="00936C0F" w:rsidP="00936C0F">
      <w:pPr>
        <w:rPr>
          <w:rFonts w:ascii="Times New Roman" w:hAnsi="Times New Roman" w:cs="Times New Roman"/>
          <w:lang w:val="en-US"/>
        </w:rPr>
      </w:pPr>
      <w:r>
        <w:rPr>
          <w:rFonts w:ascii="Times New Roman" w:hAnsi="Times New Roman" w:cs="Times New Roman"/>
          <w:lang w:val="en-US"/>
        </w:rPr>
        <w:t>Assistant Professor</w:t>
      </w:r>
    </w:p>
    <w:p w14:paraId="160B43F7" w14:textId="77777777" w:rsidR="00936C0F" w:rsidRPr="00584F1D" w:rsidRDefault="00936C0F" w:rsidP="00936C0F">
      <w:pPr>
        <w:rPr>
          <w:rFonts w:ascii="Times New Roman" w:hAnsi="Times New Roman" w:cs="Times New Roman"/>
          <w:lang w:val="en-US"/>
        </w:rPr>
      </w:pPr>
      <w:r w:rsidRPr="00584F1D">
        <w:rPr>
          <w:rFonts w:ascii="Times New Roman" w:hAnsi="Times New Roman" w:cs="Times New Roman"/>
          <w:lang w:val="en-US"/>
        </w:rPr>
        <w:t xml:space="preserve">Interuniversity Department of Regional and Urban Studies and Planning (DIST) </w:t>
      </w:r>
    </w:p>
    <w:p w14:paraId="493B06A3" w14:textId="77777777" w:rsidR="00936C0F" w:rsidRPr="00584F1D" w:rsidRDefault="00936C0F" w:rsidP="00936C0F">
      <w:pPr>
        <w:rPr>
          <w:rFonts w:ascii="Times New Roman" w:hAnsi="Times New Roman" w:cs="Times New Roman"/>
          <w:lang w:val="en-US"/>
        </w:rPr>
      </w:pPr>
      <w:r w:rsidRPr="00584F1D">
        <w:rPr>
          <w:rFonts w:ascii="Times New Roman" w:hAnsi="Times New Roman" w:cs="Times New Roman"/>
          <w:lang w:val="en-US"/>
        </w:rPr>
        <w:t>The Future Urban Legacy Lab (FULL)</w:t>
      </w:r>
    </w:p>
    <w:p w14:paraId="787A85FC" w14:textId="77777777" w:rsidR="00936C0F" w:rsidRPr="00584F1D" w:rsidRDefault="00936C0F" w:rsidP="00936C0F">
      <w:pPr>
        <w:rPr>
          <w:rFonts w:ascii="Times New Roman" w:hAnsi="Times New Roman" w:cs="Times New Roman"/>
        </w:rPr>
      </w:pPr>
      <w:r w:rsidRPr="00584F1D">
        <w:rPr>
          <w:rFonts w:ascii="Times New Roman" w:hAnsi="Times New Roman" w:cs="Times New Roman"/>
        </w:rPr>
        <w:t xml:space="preserve">Politecnico di Torino - Viale Mattioli, 39, 10125, Torino, Italy </w:t>
      </w:r>
    </w:p>
    <w:p w14:paraId="0F730E89" w14:textId="77777777" w:rsidR="00936C0F" w:rsidRPr="002F7ED3" w:rsidRDefault="00936C0F" w:rsidP="00936C0F">
      <w:pPr>
        <w:rPr>
          <w:rFonts w:ascii="Times New Roman" w:hAnsi="Times New Roman" w:cs="Times New Roman"/>
          <w:lang w:val="en-GB"/>
        </w:rPr>
      </w:pPr>
      <w:hyperlink r:id="rId10" w:history="1">
        <w:r w:rsidRPr="002F7ED3">
          <w:rPr>
            <w:rStyle w:val="Collegamentoipertestuale"/>
            <w:rFonts w:ascii="Times New Roman" w:hAnsi="Times New Roman" w:cs="Times New Roman"/>
            <w:lang w:val="en-GB"/>
          </w:rPr>
          <w:t>francesco.milone@polito.it</w:t>
        </w:r>
      </w:hyperlink>
      <w:r w:rsidRPr="002F7ED3">
        <w:rPr>
          <w:rFonts w:ascii="Times New Roman" w:hAnsi="Times New Roman" w:cs="Times New Roman"/>
          <w:lang w:val="en-GB"/>
        </w:rPr>
        <w:t xml:space="preserve"> </w:t>
      </w:r>
    </w:p>
    <w:p w14:paraId="4C014628" w14:textId="77777777" w:rsidR="00936C0F" w:rsidRPr="002F7ED3" w:rsidRDefault="00936C0F" w:rsidP="00936C0F">
      <w:pPr>
        <w:rPr>
          <w:rFonts w:ascii="Times New Roman" w:hAnsi="Times New Roman" w:cs="Times New Roman"/>
          <w:lang w:val="en-GB"/>
        </w:rPr>
      </w:pPr>
    </w:p>
    <w:p w14:paraId="67ED42B2" w14:textId="77777777" w:rsidR="00936C0F" w:rsidRPr="00584F1D" w:rsidRDefault="00936C0F" w:rsidP="00936C0F">
      <w:pPr>
        <w:rPr>
          <w:rFonts w:ascii="Times New Roman" w:hAnsi="Times New Roman" w:cs="Times New Roman"/>
          <w:b/>
          <w:bCs/>
          <w:lang w:val="en-US"/>
        </w:rPr>
      </w:pPr>
      <w:r w:rsidRPr="00584F1D">
        <w:rPr>
          <w:rFonts w:ascii="Times New Roman" w:hAnsi="Times New Roman" w:cs="Times New Roman"/>
          <w:b/>
          <w:bCs/>
          <w:lang w:val="en-US"/>
        </w:rPr>
        <w:t>Keywords</w:t>
      </w:r>
    </w:p>
    <w:p w14:paraId="1424A286" w14:textId="77777777" w:rsidR="00936C0F" w:rsidRPr="00584F1D" w:rsidRDefault="00936C0F" w:rsidP="00936C0F">
      <w:pPr>
        <w:rPr>
          <w:rFonts w:ascii="Times New Roman" w:hAnsi="Times New Roman" w:cs="Times New Roman"/>
          <w:lang w:val="en-US"/>
        </w:rPr>
      </w:pPr>
      <w:r w:rsidRPr="00584F1D">
        <w:rPr>
          <w:rFonts w:ascii="Times New Roman" w:hAnsi="Times New Roman" w:cs="Times New Roman"/>
          <w:lang w:val="en-US"/>
        </w:rPr>
        <w:t>Airbnb; hybrid-entrepreneurship; external-enabler; entry-determinants; sharing-economy.</w:t>
      </w:r>
    </w:p>
    <w:p w14:paraId="5C7BABD2" w14:textId="77777777" w:rsidR="00936C0F" w:rsidRPr="00584F1D" w:rsidRDefault="00936C0F" w:rsidP="00936C0F">
      <w:pPr>
        <w:rPr>
          <w:rFonts w:ascii="Times New Roman" w:hAnsi="Times New Roman" w:cs="Times New Roman"/>
          <w:lang w:val="en-US"/>
        </w:rPr>
      </w:pPr>
    </w:p>
    <w:p w14:paraId="0F7B7986" w14:textId="77777777" w:rsidR="00936C0F" w:rsidRPr="00584F1D" w:rsidRDefault="00936C0F" w:rsidP="00936C0F">
      <w:pPr>
        <w:rPr>
          <w:rFonts w:ascii="Times New Roman" w:hAnsi="Times New Roman" w:cs="Times New Roman"/>
          <w:b/>
          <w:bCs/>
          <w:lang w:val="en-US"/>
        </w:rPr>
      </w:pPr>
      <w:r w:rsidRPr="00584F1D">
        <w:rPr>
          <w:rFonts w:ascii="Times New Roman" w:hAnsi="Times New Roman" w:cs="Times New Roman"/>
          <w:b/>
          <w:bCs/>
          <w:lang w:val="en-US"/>
        </w:rPr>
        <w:t>Acknowledgements</w:t>
      </w:r>
    </w:p>
    <w:p w14:paraId="0EF1C22E" w14:textId="77777777" w:rsidR="00936C0F" w:rsidRPr="00936C0F" w:rsidRDefault="00936C0F" w:rsidP="00936C0F">
      <w:pPr>
        <w:jc w:val="both"/>
        <w:rPr>
          <w:rFonts w:asciiTheme="majorHAnsi" w:hAnsiTheme="majorHAnsi" w:cstheme="majorHAnsi"/>
        </w:rPr>
      </w:pPr>
      <w:r w:rsidRPr="00584F1D">
        <w:rPr>
          <w:rFonts w:ascii="Times New Roman" w:hAnsi="Times New Roman" w:cs="Times New Roman"/>
          <w:lang w:val="en-US"/>
        </w:rPr>
        <w:t xml:space="preserve">Thanks to FULL – The Future Urban Legacy Lab for its financial support. We are grateful to participants in the Research Seminar Series at </w:t>
      </w:r>
      <w:proofErr w:type="spellStart"/>
      <w:r w:rsidRPr="00584F1D">
        <w:rPr>
          <w:rFonts w:ascii="Times New Roman" w:hAnsi="Times New Roman" w:cs="Times New Roman"/>
          <w:lang w:val="en-US"/>
        </w:rPr>
        <w:t>Audencia</w:t>
      </w:r>
      <w:proofErr w:type="spellEnd"/>
      <w:r w:rsidRPr="00584F1D">
        <w:rPr>
          <w:rFonts w:ascii="Times New Roman" w:hAnsi="Times New Roman" w:cs="Times New Roman"/>
          <w:lang w:val="en-US"/>
        </w:rPr>
        <w:t xml:space="preserve"> Business School, Modul University Vienna and Banca d’Italia (Bologna’s branch) for their valuable suggestions and the attendees of the XXXII AiIG Annual Scientific Meeting in Naples</w:t>
      </w:r>
      <w:r>
        <w:rPr>
          <w:rFonts w:ascii="Times New Roman" w:hAnsi="Times New Roman" w:cs="Times New Roman"/>
          <w:lang w:val="en-US"/>
        </w:rPr>
        <w:t xml:space="preserve"> and the 43th Strategic Management Annual Conference in Toronto.</w:t>
      </w:r>
      <w:r w:rsidRPr="00584F1D">
        <w:rPr>
          <w:rFonts w:ascii="Times New Roman" w:hAnsi="Times New Roman" w:cs="Times New Roman"/>
          <w:lang w:val="en-US"/>
        </w:rPr>
        <w:t xml:space="preserve"> </w:t>
      </w:r>
      <w:proofErr w:type="spellStart"/>
      <w:r w:rsidRPr="00936C0F">
        <w:rPr>
          <w:rFonts w:ascii="Times New Roman" w:hAnsi="Times New Roman" w:cs="Times New Roman"/>
        </w:rPr>
        <w:t>Finally</w:t>
      </w:r>
      <w:proofErr w:type="spellEnd"/>
      <w:r w:rsidRPr="00936C0F">
        <w:rPr>
          <w:rFonts w:ascii="Times New Roman" w:hAnsi="Times New Roman" w:cs="Times New Roman"/>
        </w:rPr>
        <w:t xml:space="preserve">, </w:t>
      </w:r>
      <w:proofErr w:type="spellStart"/>
      <w:r w:rsidRPr="00936C0F">
        <w:rPr>
          <w:rFonts w:ascii="Times New Roman" w:hAnsi="Times New Roman" w:cs="Times New Roman"/>
        </w:rPr>
        <w:t>we</w:t>
      </w:r>
      <w:proofErr w:type="spellEnd"/>
      <w:r w:rsidRPr="00936C0F">
        <w:rPr>
          <w:rFonts w:ascii="Times New Roman" w:hAnsi="Times New Roman" w:cs="Times New Roman"/>
        </w:rPr>
        <w:t xml:space="preserve"> thank Evila Piva, Antonio Messeni Petruzzelli, Carlo Cambini, Ulrich Gunter, Marcello Pagnini, Marco Formentini and Elisa Ughetto for </w:t>
      </w:r>
      <w:proofErr w:type="spellStart"/>
      <w:r w:rsidRPr="00936C0F">
        <w:rPr>
          <w:rFonts w:ascii="Times New Roman" w:hAnsi="Times New Roman" w:cs="Times New Roman"/>
        </w:rPr>
        <w:t>their</w:t>
      </w:r>
      <w:proofErr w:type="spellEnd"/>
      <w:r w:rsidRPr="00936C0F">
        <w:rPr>
          <w:rFonts w:ascii="Times New Roman" w:hAnsi="Times New Roman" w:cs="Times New Roman"/>
        </w:rPr>
        <w:t xml:space="preserve"> insights on an </w:t>
      </w:r>
      <w:proofErr w:type="spellStart"/>
      <w:r w:rsidRPr="00936C0F">
        <w:rPr>
          <w:rFonts w:ascii="Times New Roman" w:hAnsi="Times New Roman" w:cs="Times New Roman"/>
        </w:rPr>
        <w:t>earlier</w:t>
      </w:r>
      <w:proofErr w:type="spellEnd"/>
      <w:r w:rsidRPr="00936C0F">
        <w:rPr>
          <w:rFonts w:ascii="Times New Roman" w:hAnsi="Times New Roman" w:cs="Times New Roman"/>
        </w:rPr>
        <w:t xml:space="preserve"> draft.</w:t>
      </w:r>
    </w:p>
    <w:p w14:paraId="4413755E" w14:textId="77777777" w:rsidR="00936C0F" w:rsidRDefault="00936C0F" w:rsidP="00980437">
      <w:pPr>
        <w:jc w:val="center"/>
        <w:rPr>
          <w:rFonts w:ascii="Times New Roman" w:hAnsi="Times New Roman" w:cs="Times New Roman"/>
          <w:b/>
          <w:bCs/>
          <w:sz w:val="32"/>
          <w:szCs w:val="32"/>
        </w:rPr>
      </w:pPr>
    </w:p>
    <w:p w14:paraId="7F6B08B9" w14:textId="77777777" w:rsidR="00936C0F" w:rsidRDefault="00936C0F" w:rsidP="00980437">
      <w:pPr>
        <w:jc w:val="center"/>
        <w:rPr>
          <w:rFonts w:ascii="Times New Roman" w:hAnsi="Times New Roman" w:cs="Times New Roman"/>
          <w:b/>
          <w:bCs/>
          <w:sz w:val="32"/>
          <w:szCs w:val="32"/>
        </w:rPr>
      </w:pPr>
    </w:p>
    <w:p w14:paraId="0D07029E" w14:textId="77777777" w:rsidR="00936C0F" w:rsidRDefault="00936C0F" w:rsidP="00980437">
      <w:pPr>
        <w:jc w:val="center"/>
        <w:rPr>
          <w:rFonts w:ascii="Times New Roman" w:hAnsi="Times New Roman" w:cs="Times New Roman"/>
          <w:b/>
          <w:bCs/>
          <w:sz w:val="32"/>
          <w:szCs w:val="32"/>
        </w:rPr>
      </w:pPr>
    </w:p>
    <w:p w14:paraId="4451E185" w14:textId="77777777" w:rsidR="00936C0F" w:rsidRDefault="00936C0F" w:rsidP="00980437">
      <w:pPr>
        <w:jc w:val="center"/>
        <w:rPr>
          <w:rFonts w:ascii="Times New Roman" w:hAnsi="Times New Roman" w:cs="Times New Roman"/>
          <w:b/>
          <w:bCs/>
          <w:sz w:val="32"/>
          <w:szCs w:val="32"/>
        </w:rPr>
      </w:pPr>
    </w:p>
    <w:p w14:paraId="48BC1098" w14:textId="77777777" w:rsidR="00936C0F" w:rsidRDefault="00936C0F" w:rsidP="00980437">
      <w:pPr>
        <w:jc w:val="center"/>
        <w:rPr>
          <w:rFonts w:ascii="Times New Roman" w:hAnsi="Times New Roman" w:cs="Times New Roman"/>
          <w:b/>
          <w:bCs/>
          <w:sz w:val="32"/>
          <w:szCs w:val="32"/>
        </w:rPr>
      </w:pPr>
    </w:p>
    <w:p w14:paraId="230ECD41" w14:textId="77777777" w:rsidR="00936C0F" w:rsidRDefault="00936C0F" w:rsidP="00980437">
      <w:pPr>
        <w:jc w:val="center"/>
        <w:rPr>
          <w:rFonts w:ascii="Times New Roman" w:hAnsi="Times New Roman" w:cs="Times New Roman"/>
          <w:b/>
          <w:bCs/>
          <w:sz w:val="32"/>
          <w:szCs w:val="32"/>
        </w:rPr>
      </w:pPr>
    </w:p>
    <w:p w14:paraId="312B610B" w14:textId="77777777" w:rsidR="00936C0F" w:rsidRDefault="00936C0F" w:rsidP="00980437">
      <w:pPr>
        <w:jc w:val="center"/>
        <w:rPr>
          <w:rFonts w:ascii="Times New Roman" w:hAnsi="Times New Roman" w:cs="Times New Roman"/>
          <w:b/>
          <w:bCs/>
          <w:sz w:val="32"/>
          <w:szCs w:val="32"/>
        </w:rPr>
      </w:pPr>
    </w:p>
    <w:p w14:paraId="12BE600B" w14:textId="77777777" w:rsidR="00936C0F" w:rsidRDefault="00936C0F" w:rsidP="00980437">
      <w:pPr>
        <w:jc w:val="center"/>
        <w:rPr>
          <w:rFonts w:ascii="Times New Roman" w:hAnsi="Times New Roman" w:cs="Times New Roman"/>
          <w:b/>
          <w:bCs/>
          <w:sz w:val="32"/>
          <w:szCs w:val="32"/>
        </w:rPr>
      </w:pPr>
    </w:p>
    <w:p w14:paraId="77124F89" w14:textId="77777777" w:rsidR="00936C0F" w:rsidRDefault="00936C0F" w:rsidP="00980437">
      <w:pPr>
        <w:jc w:val="center"/>
        <w:rPr>
          <w:rFonts w:ascii="Times New Roman" w:hAnsi="Times New Roman" w:cs="Times New Roman"/>
          <w:b/>
          <w:bCs/>
          <w:sz w:val="32"/>
          <w:szCs w:val="32"/>
        </w:rPr>
      </w:pPr>
    </w:p>
    <w:p w14:paraId="63F7AA60" w14:textId="77777777" w:rsidR="00936C0F" w:rsidRDefault="00936C0F" w:rsidP="00980437">
      <w:pPr>
        <w:jc w:val="center"/>
        <w:rPr>
          <w:rFonts w:ascii="Times New Roman" w:hAnsi="Times New Roman" w:cs="Times New Roman"/>
          <w:b/>
          <w:bCs/>
          <w:sz w:val="32"/>
          <w:szCs w:val="32"/>
        </w:rPr>
      </w:pPr>
    </w:p>
    <w:p w14:paraId="2AF423C4" w14:textId="77777777" w:rsidR="00936C0F" w:rsidRDefault="00936C0F" w:rsidP="00980437">
      <w:pPr>
        <w:jc w:val="center"/>
        <w:rPr>
          <w:rFonts w:ascii="Times New Roman" w:hAnsi="Times New Roman" w:cs="Times New Roman"/>
          <w:b/>
          <w:bCs/>
          <w:sz w:val="32"/>
          <w:szCs w:val="32"/>
        </w:rPr>
      </w:pPr>
    </w:p>
    <w:p w14:paraId="50761DC8" w14:textId="77777777" w:rsidR="00936C0F" w:rsidRPr="00936C0F" w:rsidRDefault="00936C0F" w:rsidP="00980437">
      <w:pPr>
        <w:jc w:val="center"/>
        <w:rPr>
          <w:rFonts w:ascii="Times New Roman" w:hAnsi="Times New Roman" w:cs="Times New Roman"/>
          <w:b/>
          <w:bCs/>
          <w:sz w:val="32"/>
          <w:szCs w:val="32"/>
        </w:rPr>
      </w:pPr>
    </w:p>
    <w:p w14:paraId="1B50801B" w14:textId="5237DC83" w:rsidR="00980437" w:rsidRPr="00980437" w:rsidRDefault="00980437" w:rsidP="00980437">
      <w:pPr>
        <w:jc w:val="center"/>
        <w:rPr>
          <w:rFonts w:ascii="Times New Roman" w:hAnsi="Times New Roman" w:cs="Times New Roman"/>
          <w:b/>
          <w:bCs/>
          <w:sz w:val="32"/>
          <w:szCs w:val="32"/>
          <w:lang w:val="en-US"/>
        </w:rPr>
      </w:pPr>
      <w:r w:rsidRPr="00584F1D">
        <w:rPr>
          <w:rFonts w:ascii="Times New Roman" w:hAnsi="Times New Roman" w:cs="Times New Roman"/>
          <w:b/>
          <w:bCs/>
          <w:sz w:val="32"/>
          <w:szCs w:val="32"/>
          <w:lang w:val="en-US"/>
        </w:rPr>
        <w:lastRenderedPageBreak/>
        <w:t>Entrepreneurial opportunities in an ‘industry vacuum’? Platforms as external enablers</w:t>
      </w:r>
    </w:p>
    <w:p w14:paraId="4D9D60CB" w14:textId="77777777" w:rsidR="00980437" w:rsidRDefault="00980437" w:rsidP="00980437">
      <w:pPr>
        <w:spacing w:before="120" w:line="480" w:lineRule="auto"/>
        <w:jc w:val="both"/>
        <w:rPr>
          <w:rFonts w:ascii="Times New Roman" w:hAnsi="Times New Roman" w:cs="Times New Roman"/>
          <w:b/>
          <w:bCs/>
          <w:lang w:val="en-US"/>
        </w:rPr>
      </w:pPr>
    </w:p>
    <w:p w14:paraId="6A9CAC9D" w14:textId="7A4F41D4" w:rsidR="00090278" w:rsidRPr="00B5549F" w:rsidRDefault="00090278" w:rsidP="00980437">
      <w:pPr>
        <w:spacing w:before="120" w:line="480" w:lineRule="auto"/>
        <w:jc w:val="both"/>
        <w:rPr>
          <w:rFonts w:ascii="Times New Roman" w:hAnsi="Times New Roman" w:cs="Times New Roman"/>
          <w:b/>
          <w:bCs/>
          <w:color w:val="000000" w:themeColor="text1"/>
          <w:lang w:val="en-US"/>
        </w:rPr>
      </w:pPr>
      <w:r w:rsidRPr="00B5549F">
        <w:rPr>
          <w:rFonts w:ascii="Times New Roman" w:hAnsi="Times New Roman" w:cs="Times New Roman"/>
          <w:b/>
          <w:bCs/>
          <w:color w:val="000000" w:themeColor="text1"/>
          <w:lang w:val="en-US"/>
        </w:rPr>
        <w:t>Abstract</w:t>
      </w:r>
    </w:p>
    <w:p w14:paraId="7C68AEF6" w14:textId="131E4C63" w:rsidR="00353776" w:rsidRPr="00B5549F" w:rsidRDefault="008F6FD8"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Sharing economy platforms are external digital enablers of entrepreneurship, in the sense that they enable the entry of new entrepreneurs at negligible costs for very different levels of investment and engagement. However, we argue that their potential for entrepreneurial opportunities is not always the same in different “market contexts”. </w:t>
      </w:r>
      <w:r w:rsidR="00353776" w:rsidRPr="00B5549F">
        <w:rPr>
          <w:rFonts w:ascii="Times New Roman" w:hAnsi="Times New Roman" w:cs="Times New Roman"/>
          <w:color w:val="000000" w:themeColor="text1"/>
          <w:lang w:val="en-US"/>
        </w:rPr>
        <w:t xml:space="preserve">This study investigates how the characteristics of a local market influence entrepreneurship enacted by a platform in that specific geographic area. We study the hospitality industry and Airbnb where entrepreneurs can endogenously decide their ‘scale of operations’. We highlight how small- and large-scale entrepreneurs are equally driven by the perceived demand and labor market conditions, still they </w:t>
      </w:r>
      <w:r w:rsidR="00EE75F2" w:rsidRPr="00B5549F">
        <w:rPr>
          <w:rFonts w:ascii="Times New Roman" w:hAnsi="Times New Roman" w:cs="Times New Roman"/>
          <w:color w:val="000000" w:themeColor="text1"/>
          <w:lang w:val="en-US"/>
        </w:rPr>
        <w:t>respond</w:t>
      </w:r>
      <w:r w:rsidR="00353776" w:rsidRPr="00B5549F">
        <w:rPr>
          <w:rFonts w:ascii="Times New Roman" w:hAnsi="Times New Roman" w:cs="Times New Roman"/>
          <w:color w:val="000000" w:themeColor="text1"/>
          <w:lang w:val="en-US"/>
        </w:rPr>
        <w:t xml:space="preserve"> differently to competition structure, demand quality and opportunity costs. Interestingly, the decision to upscale from a small to a large-scale is determined by the same economic reasoning driving entry with a large-scale at first.</w:t>
      </w:r>
    </w:p>
    <w:p w14:paraId="17588D5A" w14:textId="728F3ECA" w:rsidR="00090278" w:rsidRPr="00B5549F" w:rsidRDefault="00090278" w:rsidP="00980437">
      <w:pPr>
        <w:spacing w:before="120" w:line="480" w:lineRule="auto"/>
        <w:jc w:val="both"/>
        <w:rPr>
          <w:rFonts w:ascii="Times New Roman" w:hAnsi="Times New Roman" w:cs="Times New Roman"/>
          <w:b/>
          <w:bCs/>
          <w:color w:val="000000" w:themeColor="text1"/>
          <w:lang w:val="en-US"/>
        </w:rPr>
      </w:pPr>
      <w:r w:rsidRPr="00B5549F">
        <w:rPr>
          <w:rFonts w:ascii="Times New Roman" w:hAnsi="Times New Roman" w:cs="Times New Roman"/>
          <w:b/>
          <w:bCs/>
          <w:color w:val="000000" w:themeColor="text1"/>
          <w:lang w:val="en-US"/>
        </w:rPr>
        <w:t>Keywords</w:t>
      </w:r>
    </w:p>
    <w:p w14:paraId="381E8480" w14:textId="0A739D53" w:rsidR="00090278" w:rsidRPr="00B5549F" w:rsidRDefault="00090278"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Airbnb; hybrid-entrepreneurship; external-enabler; entry-determinants; sharing-economy.</w:t>
      </w:r>
    </w:p>
    <w:p w14:paraId="0B3F683F" w14:textId="77777777" w:rsidR="00F21607" w:rsidRPr="00B5549F" w:rsidRDefault="00F21607" w:rsidP="00980437">
      <w:pPr>
        <w:spacing w:line="480" w:lineRule="auto"/>
        <w:rPr>
          <w:rFonts w:ascii="Times New Roman" w:hAnsi="Times New Roman" w:cs="Times New Roman"/>
          <w:color w:val="000000" w:themeColor="text1"/>
          <w:lang w:val="en-US"/>
        </w:rPr>
      </w:pPr>
    </w:p>
    <w:p w14:paraId="75660A67" w14:textId="77777777" w:rsidR="00980437" w:rsidRPr="00B5549F" w:rsidRDefault="00980437" w:rsidP="00980437">
      <w:pPr>
        <w:spacing w:line="480" w:lineRule="auto"/>
        <w:rPr>
          <w:rFonts w:ascii="Times New Roman" w:hAnsi="Times New Roman" w:cs="Times New Roman"/>
          <w:color w:val="000000" w:themeColor="text1"/>
          <w:lang w:val="en-US"/>
        </w:rPr>
      </w:pPr>
    </w:p>
    <w:p w14:paraId="1AF73058" w14:textId="3848E7D7" w:rsidR="00090278" w:rsidRPr="00B5549F" w:rsidRDefault="00090278" w:rsidP="00980437">
      <w:pPr>
        <w:pStyle w:val="Paragrafoelenco"/>
        <w:numPr>
          <w:ilvl w:val="0"/>
          <w:numId w:val="7"/>
        </w:numPr>
        <w:spacing w:line="480" w:lineRule="auto"/>
        <w:rPr>
          <w:rFonts w:ascii="Times New Roman" w:hAnsi="Times New Roman" w:cs="Times New Roman"/>
          <w:color w:val="000000" w:themeColor="text1"/>
          <w:lang w:val="en-US"/>
        </w:rPr>
      </w:pPr>
      <w:r w:rsidRPr="00B5549F">
        <w:rPr>
          <w:rFonts w:ascii="Times New Roman" w:hAnsi="Times New Roman" w:cs="Times New Roman"/>
          <w:b/>
          <w:bCs/>
          <w:color w:val="000000" w:themeColor="text1"/>
          <w:lang w:val="en-US"/>
        </w:rPr>
        <w:t>INTRODUCTION</w:t>
      </w:r>
    </w:p>
    <w:p w14:paraId="20E513E6" w14:textId="7EAF977C" w:rsidR="00F158C2" w:rsidRPr="00B5549F" w:rsidRDefault="00F158C2"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The seizing of business opportunities represents the heart of entrepreneurship (Shane &amp; Venkataraman, 2000, p. 218); and accordingly, the literature has long debated (Kirzner, 1973, Schumpeter, 1911/34,) and still debates today (McBride and Wuebker, 2022; Davidsson, 2022) on the nature of entrepreneurial opportunities, i.e., whether they are discovered (e.g. Eckhardt and Shane, 2013; Klein, 2008) or endogenously created (e.g. Alvarez et al., 2013). </w:t>
      </w:r>
      <w:r w:rsidR="006D1E4E" w:rsidRPr="00B5549F">
        <w:rPr>
          <w:rFonts w:ascii="Times New Roman" w:hAnsi="Times New Roman" w:cs="Times New Roman"/>
          <w:color w:val="000000" w:themeColor="text1"/>
          <w:lang w:val="en-US"/>
        </w:rPr>
        <w:t>In this domain, a</w:t>
      </w:r>
      <w:r w:rsidR="00E248CB" w:rsidRPr="00B5549F">
        <w:rPr>
          <w:rFonts w:ascii="Times New Roman" w:hAnsi="Times New Roman" w:cs="Times New Roman"/>
          <w:color w:val="000000" w:themeColor="text1"/>
          <w:lang w:val="en-US"/>
        </w:rPr>
        <w:t xml:space="preserve"> recent </w:t>
      </w:r>
      <w:r w:rsidR="006D1E4E" w:rsidRPr="00B5549F">
        <w:rPr>
          <w:rFonts w:ascii="Times New Roman" w:hAnsi="Times New Roman" w:cs="Times New Roman"/>
          <w:color w:val="000000" w:themeColor="text1"/>
          <w:lang w:val="en-US"/>
        </w:rPr>
        <w:t>stream</w:t>
      </w:r>
      <w:r w:rsidR="00E248CB" w:rsidRPr="00B5549F">
        <w:rPr>
          <w:rFonts w:ascii="Times New Roman" w:hAnsi="Times New Roman" w:cs="Times New Roman"/>
          <w:color w:val="000000" w:themeColor="text1"/>
          <w:lang w:val="en-US"/>
        </w:rPr>
        <w:t xml:space="preserve"> in entrepreneurship studies </w:t>
      </w:r>
      <w:r w:rsidR="006D1E4E" w:rsidRPr="00B5549F">
        <w:rPr>
          <w:rFonts w:ascii="Times New Roman" w:hAnsi="Times New Roman" w:cs="Times New Roman"/>
          <w:color w:val="000000" w:themeColor="text1"/>
          <w:lang w:val="en-US"/>
        </w:rPr>
        <w:t xml:space="preserve">has </w:t>
      </w:r>
      <w:r w:rsidR="00E248CB" w:rsidRPr="00B5549F">
        <w:rPr>
          <w:rFonts w:ascii="Times New Roman" w:hAnsi="Times New Roman" w:cs="Times New Roman"/>
          <w:color w:val="000000" w:themeColor="text1"/>
          <w:lang w:val="en-US"/>
        </w:rPr>
        <w:t>highlight</w:t>
      </w:r>
      <w:r w:rsidR="006D1E4E" w:rsidRPr="00B5549F">
        <w:rPr>
          <w:rFonts w:ascii="Times New Roman" w:hAnsi="Times New Roman" w:cs="Times New Roman"/>
          <w:color w:val="000000" w:themeColor="text1"/>
          <w:lang w:val="en-US"/>
        </w:rPr>
        <w:t>ed</w:t>
      </w:r>
      <w:r w:rsidR="00E248CB" w:rsidRPr="00B5549F">
        <w:rPr>
          <w:rFonts w:ascii="Times New Roman" w:hAnsi="Times New Roman" w:cs="Times New Roman"/>
          <w:color w:val="000000" w:themeColor="text1"/>
          <w:lang w:val="en-US"/>
        </w:rPr>
        <w:t xml:space="preserve"> the role </w:t>
      </w:r>
      <w:r w:rsidR="006D1E4E" w:rsidRPr="00B5549F">
        <w:rPr>
          <w:rFonts w:ascii="Times New Roman" w:hAnsi="Times New Roman" w:cs="Times New Roman"/>
          <w:color w:val="000000" w:themeColor="text1"/>
          <w:lang w:val="en-US"/>
        </w:rPr>
        <w:t>that</w:t>
      </w:r>
      <w:r w:rsidR="00E248CB" w:rsidRPr="00B5549F">
        <w:rPr>
          <w:rFonts w:ascii="Times New Roman" w:hAnsi="Times New Roman" w:cs="Times New Roman"/>
          <w:color w:val="000000" w:themeColor="text1"/>
          <w:lang w:val="en-US"/>
        </w:rPr>
        <w:t xml:space="preserve"> “external enablers”</w:t>
      </w:r>
      <w:r w:rsidR="006D1E4E" w:rsidRPr="00B5549F">
        <w:rPr>
          <w:rFonts w:ascii="Times New Roman" w:hAnsi="Times New Roman" w:cs="Times New Roman"/>
          <w:color w:val="000000" w:themeColor="text1"/>
          <w:lang w:val="en-US"/>
        </w:rPr>
        <w:t xml:space="preserve"> </w:t>
      </w:r>
      <w:r w:rsidR="0089653E" w:rsidRPr="00B5549F">
        <w:rPr>
          <w:rFonts w:ascii="Times New Roman" w:hAnsi="Times New Roman" w:cs="Times New Roman"/>
          <w:color w:val="000000" w:themeColor="text1"/>
          <w:lang w:val="en-US"/>
        </w:rPr>
        <w:t>can</w:t>
      </w:r>
      <w:r w:rsidR="006D1E4E" w:rsidRPr="00B5549F">
        <w:rPr>
          <w:rFonts w:ascii="Times New Roman" w:hAnsi="Times New Roman" w:cs="Times New Roman"/>
          <w:color w:val="000000" w:themeColor="text1"/>
          <w:lang w:val="en-US"/>
        </w:rPr>
        <w:t xml:space="preserve"> play as </w:t>
      </w:r>
      <w:r w:rsidR="00E248CB" w:rsidRPr="00B5549F">
        <w:rPr>
          <w:rFonts w:ascii="Times New Roman" w:hAnsi="Times New Roman" w:cs="Times New Roman"/>
          <w:color w:val="000000" w:themeColor="text1"/>
          <w:lang w:val="en-US"/>
        </w:rPr>
        <w:t xml:space="preserve">significant </w:t>
      </w:r>
      <w:r w:rsidR="00E248CB" w:rsidRPr="00B5549F">
        <w:rPr>
          <w:rFonts w:ascii="Times New Roman" w:hAnsi="Times New Roman" w:cs="Times New Roman"/>
          <w:color w:val="000000" w:themeColor="text1"/>
          <w:lang w:val="en-US"/>
        </w:rPr>
        <w:lastRenderedPageBreak/>
        <w:t xml:space="preserve">catalysts of entrepreneurial </w:t>
      </w:r>
      <w:r w:rsidR="006D1E4E" w:rsidRPr="00B5549F">
        <w:rPr>
          <w:rFonts w:ascii="Times New Roman" w:hAnsi="Times New Roman" w:cs="Times New Roman"/>
          <w:color w:val="000000" w:themeColor="text1"/>
          <w:lang w:val="en-US"/>
        </w:rPr>
        <w:t>opportunities for individuals</w:t>
      </w:r>
      <w:r w:rsidR="00E248CB" w:rsidRPr="00B5549F">
        <w:rPr>
          <w:rFonts w:ascii="Times New Roman" w:hAnsi="Times New Roman" w:cs="Times New Roman"/>
          <w:color w:val="000000" w:themeColor="text1"/>
          <w:lang w:val="en-US"/>
        </w:rPr>
        <w:t xml:space="preserve">. </w:t>
      </w:r>
      <w:r w:rsidR="0089653E" w:rsidRPr="00B5549F">
        <w:rPr>
          <w:rFonts w:ascii="Times New Roman" w:hAnsi="Times New Roman" w:cs="Times New Roman"/>
          <w:color w:val="000000" w:themeColor="text1"/>
          <w:lang w:val="en-US"/>
        </w:rPr>
        <w:t>Alterations</w:t>
      </w:r>
      <w:r w:rsidR="006D1E4E" w:rsidRPr="00B5549F">
        <w:rPr>
          <w:rFonts w:ascii="Times New Roman" w:hAnsi="Times New Roman" w:cs="Times New Roman"/>
          <w:color w:val="000000" w:themeColor="text1"/>
          <w:lang w:val="en-US"/>
        </w:rPr>
        <w:t xml:space="preserve"> into “</w:t>
      </w:r>
      <w:r w:rsidRPr="00B5549F">
        <w:rPr>
          <w:rFonts w:ascii="Times New Roman" w:hAnsi="Times New Roman" w:cs="Times New Roman"/>
          <w:color w:val="000000" w:themeColor="text1"/>
          <w:lang w:val="en-US"/>
        </w:rPr>
        <w:t>external conditions such as new technologies; regulatory or demographic shifts; and changes to the sociocultural, economic, political, or natural environments” (Davidsson et al., 2020, p. 311)</w:t>
      </w:r>
      <w:r w:rsidR="006D1E4E" w:rsidRPr="00B5549F">
        <w:rPr>
          <w:rFonts w:ascii="Times New Roman" w:hAnsi="Times New Roman" w:cs="Times New Roman"/>
          <w:color w:val="000000" w:themeColor="text1"/>
          <w:lang w:val="en-US"/>
        </w:rPr>
        <w:t xml:space="preserve"> can </w:t>
      </w:r>
      <w:r w:rsidR="0089653E" w:rsidRPr="00B5549F">
        <w:rPr>
          <w:rFonts w:ascii="Times New Roman" w:hAnsi="Times New Roman" w:cs="Times New Roman"/>
          <w:color w:val="000000" w:themeColor="text1"/>
          <w:lang w:val="en-US"/>
        </w:rPr>
        <w:t>profoundly</w:t>
      </w:r>
      <w:r w:rsidR="006D1E4E" w:rsidRPr="00B5549F">
        <w:rPr>
          <w:rFonts w:ascii="Times New Roman" w:hAnsi="Times New Roman" w:cs="Times New Roman"/>
          <w:color w:val="000000" w:themeColor="text1"/>
          <w:lang w:val="en-US"/>
        </w:rPr>
        <w:t xml:space="preserve"> </w:t>
      </w:r>
      <w:r w:rsidR="0089653E" w:rsidRPr="00B5549F">
        <w:rPr>
          <w:rFonts w:ascii="Times New Roman" w:hAnsi="Times New Roman" w:cs="Times New Roman"/>
          <w:color w:val="000000" w:themeColor="text1"/>
          <w:lang w:val="en-US"/>
        </w:rPr>
        <w:t>impact</w:t>
      </w:r>
      <w:r w:rsidR="006D1E4E" w:rsidRPr="00B5549F">
        <w:rPr>
          <w:rFonts w:ascii="Times New Roman" w:hAnsi="Times New Roman" w:cs="Times New Roman"/>
          <w:color w:val="000000" w:themeColor="text1"/>
          <w:lang w:val="en-US"/>
        </w:rPr>
        <w:t xml:space="preserve"> entrepreneurship dynamics</w:t>
      </w:r>
      <w:r w:rsidRPr="00B5549F">
        <w:rPr>
          <w:rFonts w:ascii="Times New Roman" w:hAnsi="Times New Roman" w:cs="Times New Roman"/>
          <w:color w:val="000000" w:themeColor="text1"/>
          <w:lang w:val="en-US"/>
        </w:rPr>
        <w:t xml:space="preserve">. The idea is that external factors create the conditions for which individuals seize a business opportunity which would not have been possible without ‘the enabler’. </w:t>
      </w:r>
      <w:r w:rsidR="0089653E" w:rsidRPr="00B5549F">
        <w:rPr>
          <w:rFonts w:ascii="Times New Roman" w:hAnsi="Times New Roman" w:cs="Times New Roman"/>
          <w:color w:val="000000" w:themeColor="text1"/>
          <w:lang w:val="en-US"/>
        </w:rPr>
        <w:t xml:space="preserve">Within </w:t>
      </w:r>
      <w:r w:rsidR="006D1E4E" w:rsidRPr="00B5549F">
        <w:rPr>
          <w:rFonts w:ascii="Times New Roman" w:hAnsi="Times New Roman" w:cs="Times New Roman"/>
          <w:color w:val="000000" w:themeColor="text1"/>
          <w:lang w:val="en-US"/>
        </w:rPr>
        <w:t>this broad category</w:t>
      </w:r>
      <w:r w:rsidR="0089653E" w:rsidRPr="00B5549F">
        <w:rPr>
          <w:rFonts w:ascii="Times New Roman" w:hAnsi="Times New Roman" w:cs="Times New Roman"/>
          <w:color w:val="000000" w:themeColor="text1"/>
          <w:lang w:val="en-US"/>
        </w:rPr>
        <w:t xml:space="preserve"> of ‘external enablers’</w:t>
      </w:r>
      <w:r w:rsidR="006D1E4E" w:rsidRPr="00B5549F">
        <w:rPr>
          <w:rFonts w:ascii="Times New Roman" w:hAnsi="Times New Roman" w:cs="Times New Roman"/>
          <w:color w:val="000000" w:themeColor="text1"/>
          <w:lang w:val="en-US"/>
        </w:rPr>
        <w:t>, attention has</w:t>
      </w:r>
      <w:r w:rsidR="0089653E" w:rsidRPr="00B5549F">
        <w:rPr>
          <w:rFonts w:ascii="Times New Roman" w:hAnsi="Times New Roman" w:cs="Times New Roman"/>
          <w:color w:val="000000" w:themeColor="text1"/>
          <w:lang w:val="en-US"/>
        </w:rPr>
        <w:t xml:space="preserve"> frequently </w:t>
      </w:r>
      <w:r w:rsidR="006D1E4E" w:rsidRPr="00B5549F">
        <w:rPr>
          <w:rFonts w:ascii="Times New Roman" w:hAnsi="Times New Roman" w:cs="Times New Roman"/>
          <w:color w:val="000000" w:themeColor="text1"/>
          <w:lang w:val="en-US"/>
        </w:rPr>
        <w:t xml:space="preserve">been directed towards </w:t>
      </w:r>
      <w:r w:rsidRPr="00B5549F">
        <w:rPr>
          <w:rFonts w:ascii="Times New Roman" w:hAnsi="Times New Roman" w:cs="Times New Roman"/>
          <w:color w:val="000000" w:themeColor="text1"/>
          <w:lang w:val="en-US"/>
        </w:rPr>
        <w:t>peer-to-peer digital platforms</w:t>
      </w:r>
      <w:r w:rsidR="0089653E" w:rsidRPr="00B5549F">
        <w:rPr>
          <w:rFonts w:ascii="Times New Roman" w:hAnsi="Times New Roman" w:cs="Times New Roman"/>
          <w:color w:val="000000" w:themeColor="text1"/>
          <w:lang w:val="en-US"/>
        </w:rPr>
        <w:t xml:space="preserve"> (Nambisan et al., 2018;</w:t>
      </w:r>
      <w:r w:rsidR="0021009B" w:rsidRPr="00B5549F">
        <w:rPr>
          <w:rFonts w:ascii="Times New Roman" w:hAnsi="Times New Roman" w:cs="Times New Roman"/>
          <w:color w:val="000000" w:themeColor="text1"/>
          <w:lang w:val="en-US"/>
        </w:rPr>
        <w:t xml:space="preserve"> Nambisan &amp; Baron, 2021;</w:t>
      </w:r>
      <w:r w:rsidR="0089653E" w:rsidRPr="00B5549F">
        <w:rPr>
          <w:rFonts w:ascii="Times New Roman" w:hAnsi="Times New Roman" w:cs="Times New Roman"/>
          <w:color w:val="000000" w:themeColor="text1"/>
          <w:lang w:val="en-US"/>
        </w:rPr>
        <w:t xml:space="preserve"> Gerwe at al., 2022). By</w:t>
      </w:r>
      <w:r w:rsidRPr="00B5549F">
        <w:rPr>
          <w:rFonts w:ascii="Times New Roman" w:hAnsi="Times New Roman" w:cs="Times New Roman"/>
          <w:color w:val="000000" w:themeColor="text1"/>
          <w:lang w:val="en-US"/>
        </w:rPr>
        <w:t xml:space="preserve"> </w:t>
      </w:r>
      <w:r w:rsidR="0089653E" w:rsidRPr="00B5549F">
        <w:rPr>
          <w:rFonts w:ascii="Times New Roman" w:hAnsi="Times New Roman" w:cs="Times New Roman"/>
          <w:color w:val="000000" w:themeColor="text1"/>
          <w:lang w:val="en-US"/>
        </w:rPr>
        <w:t>facilitating interactions between sellers</w:t>
      </w:r>
      <w:r w:rsidRPr="00B5549F">
        <w:rPr>
          <w:rFonts w:ascii="Times New Roman" w:hAnsi="Times New Roman" w:cs="Times New Roman"/>
          <w:color w:val="000000" w:themeColor="text1"/>
          <w:lang w:val="en-US"/>
        </w:rPr>
        <w:t xml:space="preserve"> </w:t>
      </w:r>
      <w:r w:rsidR="0089653E" w:rsidRPr="00B5549F">
        <w:rPr>
          <w:rFonts w:ascii="Times New Roman" w:hAnsi="Times New Roman" w:cs="Times New Roman"/>
          <w:color w:val="000000" w:themeColor="text1"/>
          <w:lang w:val="en-US"/>
        </w:rPr>
        <w:t>and</w:t>
      </w:r>
      <w:r w:rsidRPr="00B5549F">
        <w:rPr>
          <w:rFonts w:ascii="Times New Roman" w:hAnsi="Times New Roman" w:cs="Times New Roman"/>
          <w:color w:val="000000" w:themeColor="text1"/>
          <w:lang w:val="en-US"/>
        </w:rPr>
        <w:t xml:space="preserve"> customers, </w:t>
      </w:r>
      <w:r w:rsidR="0089653E" w:rsidRPr="00B5549F">
        <w:rPr>
          <w:rFonts w:ascii="Times New Roman" w:hAnsi="Times New Roman" w:cs="Times New Roman"/>
          <w:color w:val="000000" w:themeColor="text1"/>
          <w:lang w:val="en-US"/>
        </w:rPr>
        <w:t xml:space="preserve">these digital platforms can indeed </w:t>
      </w:r>
      <w:r w:rsidRPr="00B5549F">
        <w:rPr>
          <w:rFonts w:ascii="Times New Roman" w:hAnsi="Times New Roman" w:cs="Times New Roman"/>
          <w:color w:val="000000" w:themeColor="text1"/>
          <w:lang w:val="en-US"/>
        </w:rPr>
        <w:t>act as external enabler</w:t>
      </w:r>
      <w:r w:rsidR="0089653E" w:rsidRPr="00B5549F">
        <w:rPr>
          <w:rFonts w:ascii="Times New Roman" w:hAnsi="Times New Roman" w:cs="Times New Roman"/>
          <w:color w:val="000000" w:themeColor="text1"/>
          <w:lang w:val="en-US"/>
        </w:rPr>
        <w:t>s</w:t>
      </w:r>
      <w:r w:rsidRPr="00B5549F">
        <w:rPr>
          <w:rFonts w:ascii="Times New Roman" w:hAnsi="Times New Roman" w:cs="Times New Roman"/>
          <w:color w:val="000000" w:themeColor="text1"/>
          <w:lang w:val="en-US"/>
        </w:rPr>
        <w:t xml:space="preserve"> </w:t>
      </w:r>
      <w:r w:rsidR="0089653E" w:rsidRPr="00B5549F">
        <w:rPr>
          <w:rFonts w:ascii="Times New Roman" w:hAnsi="Times New Roman" w:cs="Times New Roman"/>
          <w:color w:val="000000" w:themeColor="text1"/>
          <w:lang w:val="en-US"/>
        </w:rPr>
        <w:t>by significantly reducing entry and transaction costs for entrepreneurs, regardless of their business model.</w:t>
      </w:r>
    </w:p>
    <w:p w14:paraId="488C2524" w14:textId="77777777" w:rsidR="004840C5" w:rsidRPr="00B5549F" w:rsidRDefault="00F158C2"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The enabling potential of these external sparklers, however, can clearly be strongly contextual (Johns, 2006; Welter, 2011; Zahra et al., 2014; Burtch et al., 2018), where the extent to which (some) “entrepreneurial agents strategically or fortuitously make use of the potential provided by external enablers, and how enablers and their effects interact with contextual factors” is still an important question which Davidsson et al. (2020, p. 315) explicitly leave to future research. </w:t>
      </w:r>
    </w:p>
    <w:p w14:paraId="02226F3D" w14:textId="06DD406B" w:rsidR="004840C5" w:rsidRPr="00B5549F" w:rsidRDefault="00AA44EE" w:rsidP="00C460E8">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Grounding</w:t>
      </w:r>
      <w:r w:rsidR="00F158C2" w:rsidRPr="00B5549F">
        <w:rPr>
          <w:rFonts w:ascii="Times New Roman" w:hAnsi="Times New Roman" w:cs="Times New Roman"/>
          <w:color w:val="000000" w:themeColor="text1"/>
          <w:lang w:val="en-US"/>
        </w:rPr>
        <w:t xml:space="preserve"> </w:t>
      </w:r>
      <w:r w:rsidRPr="00B5549F">
        <w:rPr>
          <w:rFonts w:ascii="Times New Roman" w:hAnsi="Times New Roman" w:cs="Times New Roman"/>
          <w:color w:val="000000" w:themeColor="text1"/>
          <w:lang w:val="en-US"/>
        </w:rPr>
        <w:t xml:space="preserve">on </w:t>
      </w:r>
      <w:r w:rsidR="00F158C2" w:rsidRPr="00B5549F">
        <w:rPr>
          <w:rFonts w:ascii="Times New Roman" w:hAnsi="Times New Roman" w:cs="Times New Roman"/>
          <w:color w:val="000000" w:themeColor="text1"/>
          <w:lang w:val="en-US"/>
        </w:rPr>
        <w:t xml:space="preserve">this research gap, and similarly to other recent examples in literature on digital technologies (von Briel et al., 2018; Nambisan &amp; Baron, 2021), </w:t>
      </w:r>
      <w:r w:rsidR="00C460E8" w:rsidRPr="00B5549F">
        <w:rPr>
          <w:rFonts w:ascii="Times New Roman" w:hAnsi="Times New Roman" w:cs="Times New Roman"/>
          <w:color w:val="000000" w:themeColor="text1"/>
          <w:lang w:val="en-US"/>
        </w:rPr>
        <w:t>o</w:t>
      </w:r>
      <w:r w:rsidR="004840C5" w:rsidRPr="00B5549F">
        <w:rPr>
          <w:rFonts w:ascii="Times New Roman" w:hAnsi="Times New Roman" w:cs="Times New Roman"/>
          <w:color w:val="000000" w:themeColor="text1"/>
          <w:lang w:val="en-US"/>
        </w:rPr>
        <w:t xml:space="preserve">ur study investigates </w:t>
      </w:r>
      <w:r w:rsidR="00C460E8" w:rsidRPr="00B5549F">
        <w:rPr>
          <w:rFonts w:ascii="Times New Roman" w:hAnsi="Times New Roman" w:cs="Times New Roman"/>
          <w:color w:val="000000" w:themeColor="text1"/>
          <w:lang w:val="en-US"/>
        </w:rPr>
        <w:t xml:space="preserve">how individual decisions to pursue entrepreneurial opportunities, and the ways they </w:t>
      </w:r>
      <w:r w:rsidR="00A17BC9" w:rsidRPr="00B5549F">
        <w:rPr>
          <w:rFonts w:ascii="Times New Roman" w:hAnsi="Times New Roman" w:cs="Times New Roman"/>
          <w:color w:val="000000" w:themeColor="text1"/>
          <w:lang w:val="en-US"/>
        </w:rPr>
        <w:t xml:space="preserve">ultimately </w:t>
      </w:r>
      <w:r w:rsidR="00C460E8" w:rsidRPr="00B5549F">
        <w:rPr>
          <w:rFonts w:ascii="Times New Roman" w:hAnsi="Times New Roman" w:cs="Times New Roman"/>
          <w:color w:val="000000" w:themeColor="text1"/>
          <w:lang w:val="en-US"/>
        </w:rPr>
        <w:t>do it, are shaped by the specific local industry conditions of the markets in which the digital platform operates</w:t>
      </w:r>
      <w:r w:rsidR="004840C5" w:rsidRPr="00B5549F">
        <w:rPr>
          <w:rFonts w:ascii="Times New Roman" w:hAnsi="Times New Roman" w:cs="Times New Roman"/>
          <w:color w:val="000000" w:themeColor="text1"/>
          <w:lang w:val="en-US"/>
        </w:rPr>
        <w:t>. Since these enablers offer similar opportunities for very different levels of investment and engagement – i.e., at different scales of operations – our framework allows us to focus on the differential effects that environmental variables (e.g., demand, level of competition, opportunity costs) have on heterogeneous entry.</w:t>
      </w:r>
    </w:p>
    <w:p w14:paraId="2A7C453D" w14:textId="328C8979" w:rsidR="00090278" w:rsidRPr="00B5549F" w:rsidRDefault="00090278"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In fact, entrepreneurial opportunities are always subject to the proof of markets, and these markets may often have a local contextual dimension (Welter, 2011; Baker &amp; Welter, 2018). It is therefore </w:t>
      </w:r>
      <w:r w:rsidRPr="00B5549F">
        <w:rPr>
          <w:rFonts w:ascii="Times New Roman" w:hAnsi="Times New Roman" w:cs="Times New Roman"/>
          <w:color w:val="000000" w:themeColor="text1"/>
          <w:lang w:val="en-US"/>
        </w:rPr>
        <w:lastRenderedPageBreak/>
        <w:t>legitimate to expect that specific locally-bounded market conditions may incentivize or depress entrepreneurial dynamics which are enacted by the digital platform. Rather surprisingly, how typical local characteristics of a market – barriers/costs to entry, demand and its characteristics, number and nature of competitors – influence the decision to become an entrepreneur in that market have been rather insufficiently researched so far, despite the clear interest and policy relevance that this domain exhibits (see Fischer &amp; Nijkamp, 2009; Davidsson et al., 2020). In fact, entrepreneurship does not happen in a vacuum (Lerner, 2009; Stam &amp; Welter, 2020) but does happen in markets, and from markets it is clearly shaped. Thus, we extend the ‘external enablement’ framework towards the ‘contextual entrepreneurship’ view (Welter, 2011; Baker &amp; Welter, 2018), by adopting the ‘market’ lens, i.e., investigating how specific spatially-bounded market conditions may influence the extent to which potential business opportunities created by a digital platform enabler are actually exploited by individuals, who in becoming entrepreneurs, may choose different scale</w:t>
      </w:r>
      <w:r w:rsidR="00C460E8" w:rsidRPr="00B5549F">
        <w:rPr>
          <w:rFonts w:ascii="Times New Roman" w:hAnsi="Times New Roman" w:cs="Times New Roman"/>
          <w:color w:val="000000" w:themeColor="text1"/>
          <w:lang w:val="en-US"/>
        </w:rPr>
        <w:t>s</w:t>
      </w:r>
      <w:r w:rsidRPr="00B5549F">
        <w:rPr>
          <w:rFonts w:ascii="Times New Roman" w:hAnsi="Times New Roman" w:cs="Times New Roman"/>
          <w:color w:val="000000" w:themeColor="text1"/>
          <w:lang w:val="en-US"/>
        </w:rPr>
        <w:t xml:space="preserve"> of operations.</w:t>
      </w:r>
    </w:p>
    <w:p w14:paraId="7C7910CB" w14:textId="4EFC71B8" w:rsidR="00090278" w:rsidRPr="00B5549F" w:rsidRDefault="00090278"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For this aim, we focus on the entrepreneurial activity in a specific industry – tourism – that has experienced the advent of the sharing economy platform Airbnb. We take advantage of the private commercial dataset which reports all Airbnb hosts recorded in Italy between 2017 and 2019. These data have been categorized into different types of Airbnb-platform suppliers</w:t>
      </w:r>
      <w:r w:rsidR="00C460E8" w:rsidRPr="00B5549F">
        <w:rPr>
          <w:rFonts w:ascii="Times New Roman" w:hAnsi="Times New Roman" w:cs="Times New Roman"/>
          <w:color w:val="000000" w:themeColor="text1"/>
          <w:lang w:val="en-US"/>
        </w:rPr>
        <w:t xml:space="preserve"> –</w:t>
      </w:r>
      <w:r w:rsidRPr="00B5549F">
        <w:rPr>
          <w:rFonts w:ascii="Times New Roman" w:hAnsi="Times New Roman" w:cs="Times New Roman"/>
          <w:color w:val="000000" w:themeColor="text1"/>
          <w:lang w:val="en-US"/>
        </w:rPr>
        <w:t xml:space="preserve"> i.e., small-scale entrepreneurs managing one or a few dwellings and relatively large</w:t>
      </w:r>
      <w:r w:rsidR="00C22A9B" w:rsidRPr="00B5549F">
        <w:rPr>
          <w:rFonts w:ascii="Times New Roman" w:hAnsi="Times New Roman" w:cs="Times New Roman"/>
          <w:color w:val="000000" w:themeColor="text1"/>
          <w:lang w:val="en-US"/>
        </w:rPr>
        <w:t>-scale</w:t>
      </w:r>
      <w:r w:rsidRPr="00B5549F">
        <w:rPr>
          <w:rFonts w:ascii="Times New Roman" w:hAnsi="Times New Roman" w:cs="Times New Roman"/>
          <w:color w:val="000000" w:themeColor="text1"/>
          <w:lang w:val="en-US"/>
        </w:rPr>
        <w:t xml:space="preserve"> entrepreneurs managing multiple listings </w:t>
      </w:r>
      <w:r w:rsidR="00C460E8" w:rsidRPr="00B5549F">
        <w:rPr>
          <w:rFonts w:ascii="Times New Roman" w:hAnsi="Times New Roman" w:cs="Times New Roman"/>
          <w:color w:val="000000" w:themeColor="text1"/>
          <w:lang w:val="en-US"/>
        </w:rPr>
        <w:t xml:space="preserve">– </w:t>
      </w:r>
      <w:r w:rsidRPr="00B5549F">
        <w:rPr>
          <w:rFonts w:ascii="Times New Roman" w:hAnsi="Times New Roman" w:cs="Times New Roman"/>
          <w:color w:val="000000" w:themeColor="text1"/>
          <w:lang w:val="en-US"/>
        </w:rPr>
        <w:t>and linked to geographically-bounded characteristics of the local market (at NUTS3-level) on which these different types of entrepreneurs operate.</w:t>
      </w:r>
    </w:p>
    <w:p w14:paraId="05F70F51" w14:textId="5482B9E7" w:rsidR="00090278" w:rsidRPr="00B5549F" w:rsidRDefault="00090278"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The potentially gradual and modular way of seizing entrepreneurial opportunities through this digital platform enabler (Li &amp; Srinivasan, 2019; Gerwe et al., 2022) poses two additional and strictly related reflections. On one side, it challenges the idea, rooted in the industrial organization stream (Carree &amp; </w:t>
      </w:r>
      <w:proofErr w:type="spellStart"/>
      <w:r w:rsidRPr="00B5549F">
        <w:rPr>
          <w:rFonts w:ascii="Times New Roman" w:hAnsi="Times New Roman" w:cs="Times New Roman"/>
          <w:color w:val="000000" w:themeColor="text1"/>
          <w:lang w:val="en-US"/>
        </w:rPr>
        <w:t>Thurik</w:t>
      </w:r>
      <w:proofErr w:type="spellEnd"/>
      <w:r w:rsidRPr="00B5549F">
        <w:rPr>
          <w:rFonts w:ascii="Times New Roman" w:hAnsi="Times New Roman" w:cs="Times New Roman"/>
          <w:color w:val="000000" w:themeColor="text1"/>
          <w:lang w:val="en-US"/>
        </w:rPr>
        <w:t xml:space="preserve">, 1999; Haynes &amp; Thompson, 2013), of a fixed carrying capacity of an industry that uniformly governs the flow of firms’ entry in any given market. On the other, digital platform-based businesses may in principle allow prospective entrepreneurs to adopt a ‘test the waters’ approach: they may learn about their ongoing entrepreneurial acts beyond pre-entry learning only (Bennett &amp; Chatterji, 2019). The relatively low level of entry and exit costs – and also the possibility of a gradual approach – could incentivize prospective entrepreneurs to enter the arena, test how the market responds to their new offer, then selectively choose whether to continue by upscaling their (personal and financial) investment or maintain a limited commitment and </w:t>
      </w:r>
      <w:r w:rsidR="00211B83" w:rsidRPr="00B5549F">
        <w:rPr>
          <w:rFonts w:ascii="Times New Roman" w:hAnsi="Times New Roman" w:cs="Times New Roman"/>
          <w:color w:val="000000" w:themeColor="text1"/>
          <w:lang w:val="en-US"/>
        </w:rPr>
        <w:t xml:space="preserve">potentially </w:t>
      </w:r>
      <w:r w:rsidRPr="00B5549F">
        <w:rPr>
          <w:rFonts w:ascii="Times New Roman" w:hAnsi="Times New Roman" w:cs="Times New Roman"/>
          <w:color w:val="000000" w:themeColor="text1"/>
          <w:lang w:val="en-US"/>
        </w:rPr>
        <w:t xml:space="preserve">leave the market (e.g. Jovanovic, 1982). Hybrid forms of entrepreneurship (Wennberg, et al. 2006; Folta et al., 2010; </w:t>
      </w:r>
      <w:proofErr w:type="spellStart"/>
      <w:r w:rsidRPr="00B5549F">
        <w:rPr>
          <w:rFonts w:ascii="Times New Roman" w:hAnsi="Times New Roman" w:cs="Times New Roman"/>
          <w:color w:val="000000" w:themeColor="text1"/>
          <w:lang w:val="en-US"/>
        </w:rPr>
        <w:t>Raffiee</w:t>
      </w:r>
      <w:proofErr w:type="spellEnd"/>
      <w:r w:rsidRPr="00B5549F">
        <w:rPr>
          <w:rFonts w:ascii="Times New Roman" w:hAnsi="Times New Roman" w:cs="Times New Roman"/>
          <w:color w:val="000000" w:themeColor="text1"/>
          <w:lang w:val="en-US"/>
        </w:rPr>
        <w:t xml:space="preserve"> &amp; Feng, 2014; </w:t>
      </w:r>
      <w:proofErr w:type="spellStart"/>
      <w:r w:rsidRPr="00B5549F">
        <w:rPr>
          <w:rFonts w:ascii="Times New Roman" w:hAnsi="Times New Roman" w:cs="Times New Roman"/>
          <w:color w:val="000000" w:themeColor="text1"/>
          <w:lang w:val="en-US"/>
        </w:rPr>
        <w:t>Gänser</w:t>
      </w:r>
      <w:proofErr w:type="spellEnd"/>
      <w:r w:rsidRPr="00B5549F">
        <w:rPr>
          <w:rFonts w:ascii="Times New Roman" w:hAnsi="Times New Roman" w:cs="Times New Roman"/>
          <w:color w:val="000000" w:themeColor="text1"/>
          <w:lang w:val="en-US"/>
        </w:rPr>
        <w:t>-Stickler et al., 2022) are more common than usually thought and are often considered a necessary stepping</w:t>
      </w:r>
      <w:r w:rsidR="00C460E8" w:rsidRPr="00B5549F">
        <w:rPr>
          <w:rFonts w:ascii="Times New Roman" w:hAnsi="Times New Roman" w:cs="Times New Roman"/>
          <w:color w:val="000000" w:themeColor="text1"/>
          <w:lang w:val="en-US"/>
        </w:rPr>
        <w:t>-</w:t>
      </w:r>
      <w:r w:rsidRPr="00B5549F">
        <w:rPr>
          <w:rFonts w:ascii="Times New Roman" w:hAnsi="Times New Roman" w:cs="Times New Roman"/>
          <w:color w:val="000000" w:themeColor="text1"/>
          <w:lang w:val="en-US"/>
        </w:rPr>
        <w:t xml:space="preserve">stone before part-time entrepreneurs opt to migrate towards a full-time </w:t>
      </w:r>
      <w:r w:rsidRPr="00B5549F">
        <w:rPr>
          <w:rFonts w:ascii="Times New Roman" w:hAnsi="Times New Roman" w:cs="Times New Roman"/>
          <w:color w:val="000000" w:themeColor="text1"/>
          <w:lang w:val="en-US"/>
        </w:rPr>
        <w:lastRenderedPageBreak/>
        <w:t>involvement in their business. In this respect, the extent to which local market factors may influence the ‘scaling up’ of the entrepreneurial endeavor</w:t>
      </w:r>
      <w:r w:rsidR="00C22A9B" w:rsidRPr="00B5549F">
        <w:rPr>
          <w:rFonts w:ascii="Times New Roman" w:hAnsi="Times New Roman" w:cs="Times New Roman"/>
          <w:color w:val="000000" w:themeColor="text1"/>
          <w:lang w:val="en-US"/>
        </w:rPr>
        <w:t xml:space="preserve"> (from small- to large-scale) </w:t>
      </w:r>
      <w:r w:rsidRPr="00B5549F">
        <w:rPr>
          <w:rFonts w:ascii="Times New Roman" w:hAnsi="Times New Roman" w:cs="Times New Roman"/>
          <w:color w:val="000000" w:themeColor="text1"/>
          <w:lang w:val="en-US"/>
        </w:rPr>
        <w:t>through an external enabler has not been investigated yet.</w:t>
      </w:r>
    </w:p>
    <w:p w14:paraId="72133F69" w14:textId="6BBA7B1A" w:rsidR="00090278" w:rsidRPr="00B5549F" w:rsidRDefault="00090278"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On the basis of these considerations, the present study offers three important contributions. First, we explore the extent to which the seizing of entrepreneurial opportunities stemming from the digital external enablers are significantly influenced by spatially-bounded market conditions, as the contextual perspective in entrepreneurship would predict (Welter, 2011; Baker &amp; Welter, 2018). Secondly, and relatedly, we investigate whether, in this respect, there are significant differences in the strength of these local market contextual factors along the scale of operations chosen by entrepreneurs enabled by the digital platform. Finally, we explore whether a staged entry process, i.e., the transition from a small- to a large-scale of operations, responds to the same economic logic (i.e., it is driven by the same set of local market factors) that governs large-scale entry in the first place. This way, we contribute to the (still meagre) literature on hybrid entrepreneurship by shedding light on whether gradualness in the pursuit of opportunities envisaged by platform-based external enablers can represent for some entrepreneurs a safe ‘learning sandbox’, where they can progressively gain relevant knowledge on how the market works for then </w:t>
      </w:r>
      <w:r w:rsidR="00460D55" w:rsidRPr="00B5549F">
        <w:rPr>
          <w:rFonts w:ascii="Times New Roman" w:hAnsi="Times New Roman" w:cs="Times New Roman"/>
          <w:color w:val="000000" w:themeColor="text1"/>
          <w:lang w:val="en-US"/>
        </w:rPr>
        <w:t>possibly</w:t>
      </w:r>
      <w:r w:rsidRPr="00B5549F">
        <w:rPr>
          <w:rFonts w:ascii="Times New Roman" w:hAnsi="Times New Roman" w:cs="Times New Roman"/>
          <w:color w:val="000000" w:themeColor="text1"/>
          <w:lang w:val="en-US"/>
        </w:rPr>
        <w:t xml:space="preserve"> </w:t>
      </w:r>
      <w:r w:rsidR="00C22A9B" w:rsidRPr="00B5549F">
        <w:rPr>
          <w:rFonts w:ascii="Times New Roman" w:hAnsi="Times New Roman" w:cs="Times New Roman"/>
          <w:color w:val="000000" w:themeColor="text1"/>
          <w:lang w:val="en-US"/>
        </w:rPr>
        <w:t>upscale</w:t>
      </w:r>
      <w:r w:rsidRPr="00B5549F">
        <w:rPr>
          <w:rFonts w:ascii="Times New Roman" w:hAnsi="Times New Roman" w:cs="Times New Roman"/>
          <w:color w:val="000000" w:themeColor="text1"/>
          <w:lang w:val="en-US"/>
        </w:rPr>
        <w:t xml:space="preserve"> their entrepreneurial endeavor in that specific context.</w:t>
      </w:r>
    </w:p>
    <w:p w14:paraId="2011B8DC" w14:textId="380B957E" w:rsidR="00090278" w:rsidRPr="00B5549F" w:rsidRDefault="00090278" w:rsidP="00980437">
      <w:pPr>
        <w:pStyle w:val="Paragrafoelenco"/>
        <w:numPr>
          <w:ilvl w:val="0"/>
          <w:numId w:val="7"/>
        </w:numPr>
        <w:spacing w:before="120" w:line="480" w:lineRule="auto"/>
        <w:jc w:val="both"/>
        <w:rPr>
          <w:rFonts w:ascii="Times New Roman" w:hAnsi="Times New Roman" w:cs="Times New Roman"/>
          <w:b/>
          <w:bCs/>
          <w:color w:val="000000" w:themeColor="text1"/>
          <w:lang w:val="en-US"/>
        </w:rPr>
      </w:pPr>
      <w:r w:rsidRPr="00B5549F">
        <w:rPr>
          <w:rFonts w:ascii="Times New Roman" w:hAnsi="Times New Roman" w:cs="Times New Roman"/>
          <w:b/>
          <w:bCs/>
          <w:color w:val="000000" w:themeColor="text1"/>
          <w:lang w:val="en-US"/>
        </w:rPr>
        <w:t>ENTREPRENEURSHIP THROUGH A DIGITAL PLATFORM ENABLER: THE ROLE OF THE LOCAL MARKET CONTEXT</w:t>
      </w:r>
    </w:p>
    <w:p w14:paraId="62ED8EA3" w14:textId="28A963C8" w:rsidR="00090278" w:rsidRPr="00B5549F" w:rsidRDefault="007503E5" w:rsidP="00980437">
      <w:pPr>
        <w:spacing w:before="120" w:line="480" w:lineRule="auto"/>
        <w:ind w:firstLine="708"/>
        <w:jc w:val="both"/>
        <w:rPr>
          <w:rFonts w:ascii="Times New Roman" w:hAnsi="Times New Roman" w:cs="Times New Roman"/>
          <w:b/>
          <w:bCs/>
          <w:color w:val="000000" w:themeColor="text1"/>
          <w:lang w:val="en-US"/>
        </w:rPr>
      </w:pPr>
      <w:r w:rsidRPr="00B5549F">
        <w:rPr>
          <w:rFonts w:ascii="Times New Roman" w:hAnsi="Times New Roman" w:cs="Times New Roman"/>
          <w:b/>
          <w:bCs/>
          <w:color w:val="000000" w:themeColor="text1"/>
          <w:lang w:val="en-US"/>
        </w:rPr>
        <w:t xml:space="preserve">2.1. </w:t>
      </w:r>
      <w:r w:rsidR="00090278" w:rsidRPr="00B5549F">
        <w:rPr>
          <w:rFonts w:ascii="Times New Roman" w:hAnsi="Times New Roman" w:cs="Times New Roman"/>
          <w:b/>
          <w:bCs/>
          <w:color w:val="000000" w:themeColor="text1"/>
          <w:lang w:val="en-US"/>
        </w:rPr>
        <w:t>A first look at the literature on the determinants of the entrepreneurial activity</w:t>
      </w:r>
    </w:p>
    <w:p w14:paraId="57417B02" w14:textId="71E6368B" w:rsidR="00090278" w:rsidRPr="00B5549F" w:rsidRDefault="00090278"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Determinants of entrepreneurial acts have been largely investigated. </w:t>
      </w:r>
      <w:r w:rsidR="00E95A86" w:rsidRPr="00B5549F">
        <w:rPr>
          <w:rFonts w:ascii="Times New Roman" w:hAnsi="Times New Roman" w:cs="Times New Roman"/>
          <w:color w:val="000000" w:themeColor="text1"/>
          <w:lang w:val="en-US"/>
        </w:rPr>
        <w:t xml:space="preserve">It is not the intention of the present study to provide an exhaustive review of all these contributions, but with some simplification it is possible to distinguish three types of approach along with the unit of analysis adopted (for an identical classification see </w:t>
      </w:r>
      <w:proofErr w:type="spellStart"/>
      <w:r w:rsidR="00E95A86" w:rsidRPr="00B5549F">
        <w:rPr>
          <w:rFonts w:ascii="Times New Roman" w:hAnsi="Times New Roman" w:cs="Times New Roman"/>
          <w:color w:val="000000" w:themeColor="text1"/>
          <w:lang w:val="en-US"/>
        </w:rPr>
        <w:t>Dvouletý</w:t>
      </w:r>
      <w:proofErr w:type="spellEnd"/>
      <w:r w:rsidR="00E95A86" w:rsidRPr="00B5549F">
        <w:rPr>
          <w:rFonts w:ascii="Times New Roman" w:hAnsi="Times New Roman" w:cs="Times New Roman"/>
          <w:color w:val="000000" w:themeColor="text1"/>
          <w:lang w:val="en-US"/>
        </w:rPr>
        <w:t xml:space="preserve">, 2018; see also Davidsson &amp; Wiklund, 2001 for the seminal logic; the boundaries between the three categories are meant to be clearly blurred and articles may </w:t>
      </w:r>
      <w:r w:rsidR="00E95A86" w:rsidRPr="00B5549F">
        <w:rPr>
          <w:rFonts w:ascii="Times New Roman" w:hAnsi="Times New Roman" w:cs="Times New Roman"/>
          <w:color w:val="000000" w:themeColor="text1"/>
          <w:lang w:val="en-US"/>
        </w:rPr>
        <w:lastRenderedPageBreak/>
        <w:t xml:space="preserve">belong to more than one category). </w:t>
      </w:r>
      <w:r w:rsidRPr="00B5549F">
        <w:rPr>
          <w:rFonts w:ascii="Times New Roman" w:hAnsi="Times New Roman" w:cs="Times New Roman"/>
          <w:color w:val="000000" w:themeColor="text1"/>
          <w:lang w:val="en-US"/>
        </w:rPr>
        <w:t>On one hand, and quite naturally, some of this literature has focused its attention on the micro-level – the individual (or team) level. Since entrepreneurial acts are pursued by individuals or teams of individuals, many studies have concentrated their enquiries on the individual characteristics and psychological traits (Chell et al., 1991; Lee et al., 2004; McGrath et al., 1992) which, among others, may lead individuals to identify entrepreneurial opportunities and actively pursue them (</w:t>
      </w:r>
      <w:r w:rsidR="006630EE" w:rsidRPr="00B5549F">
        <w:rPr>
          <w:rFonts w:ascii="Times New Roman" w:hAnsi="Times New Roman" w:cs="Times New Roman"/>
          <w:color w:val="000000" w:themeColor="text1"/>
          <w:lang w:val="en-US"/>
        </w:rPr>
        <w:t xml:space="preserve">Fairlie, 2013; </w:t>
      </w:r>
      <w:r w:rsidRPr="00B5549F">
        <w:rPr>
          <w:rFonts w:ascii="Times New Roman" w:hAnsi="Times New Roman" w:cs="Times New Roman"/>
          <w:color w:val="000000" w:themeColor="text1"/>
          <w:lang w:val="en-US"/>
        </w:rPr>
        <w:t>de Jong &amp; Marsili, 2015;</w:t>
      </w:r>
      <w:r w:rsidR="002D59B2" w:rsidRPr="00B5549F">
        <w:rPr>
          <w:rFonts w:ascii="Times New Roman" w:hAnsi="Times New Roman" w:cs="Times New Roman"/>
          <w:color w:val="000000" w:themeColor="text1"/>
          <w:lang w:val="en-US"/>
        </w:rPr>
        <w:t xml:space="preserve"> </w:t>
      </w:r>
      <w:r w:rsidRPr="00B5549F">
        <w:rPr>
          <w:rFonts w:ascii="Times New Roman" w:hAnsi="Times New Roman" w:cs="Times New Roman"/>
          <w:color w:val="000000" w:themeColor="text1"/>
          <w:lang w:val="en-US"/>
        </w:rPr>
        <w:t>Shane, 2000).</w:t>
      </w:r>
      <w:r w:rsidR="003165C3" w:rsidRPr="00B5549F">
        <w:rPr>
          <w:rFonts w:ascii="Times New Roman" w:hAnsi="Times New Roman" w:cs="Times New Roman"/>
          <w:color w:val="000000" w:themeColor="text1"/>
          <w:lang w:val="en-US"/>
        </w:rPr>
        <w:t xml:space="preserve"> </w:t>
      </w:r>
      <w:r w:rsidRPr="00B5549F">
        <w:rPr>
          <w:rFonts w:ascii="Times New Roman" w:hAnsi="Times New Roman" w:cs="Times New Roman"/>
          <w:color w:val="000000" w:themeColor="text1"/>
          <w:lang w:val="en-US"/>
        </w:rPr>
        <w:t xml:space="preserve">On the other hand, there is an equally relevant body of research that has mostly focused on the macro-level of analysis – the country level (e.g. Arin et al., 2015; Bosma et al., 2018; Carbonara et al., 2016; Chowdhury et al., 2019; Freytag &amp; </w:t>
      </w:r>
      <w:proofErr w:type="spellStart"/>
      <w:r w:rsidRPr="00B5549F">
        <w:rPr>
          <w:rFonts w:ascii="Times New Roman" w:hAnsi="Times New Roman" w:cs="Times New Roman"/>
          <w:color w:val="000000" w:themeColor="text1"/>
          <w:lang w:val="en-US"/>
        </w:rPr>
        <w:t>Thurik</w:t>
      </w:r>
      <w:proofErr w:type="spellEnd"/>
      <w:r w:rsidRPr="00B5549F">
        <w:rPr>
          <w:rFonts w:ascii="Times New Roman" w:hAnsi="Times New Roman" w:cs="Times New Roman"/>
          <w:color w:val="000000" w:themeColor="text1"/>
          <w:lang w:val="en-US"/>
        </w:rPr>
        <w:t xml:space="preserve">, 2007; Valdez &amp; Richardson, 2013). These studies typically investigate the role that coarse-grained characteristics in terms of geographical, economic and institutional factors play at macro- level (e.g. financial stability, public sector size, inflation rates, education, cultural aspects) in </w:t>
      </w:r>
      <w:proofErr w:type="spellStart"/>
      <w:r w:rsidRPr="00B5549F">
        <w:rPr>
          <w:rFonts w:ascii="Times New Roman" w:hAnsi="Times New Roman" w:cs="Times New Roman"/>
          <w:color w:val="000000" w:themeColor="text1"/>
          <w:lang w:val="en-US"/>
        </w:rPr>
        <w:t>fuelling</w:t>
      </w:r>
      <w:proofErr w:type="spellEnd"/>
      <w:r w:rsidRPr="00B5549F">
        <w:rPr>
          <w:rFonts w:ascii="Times New Roman" w:hAnsi="Times New Roman" w:cs="Times New Roman"/>
          <w:color w:val="000000" w:themeColor="text1"/>
          <w:lang w:val="en-US"/>
        </w:rPr>
        <w:t xml:space="preserve"> total entrepreneurial activity and national entrepreneurship rates.</w:t>
      </w:r>
    </w:p>
    <w:p w14:paraId="29FFD4C9" w14:textId="52112949" w:rsidR="00090278" w:rsidRPr="00B5549F" w:rsidRDefault="00090278"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A third group, which tackled a ‘</w:t>
      </w:r>
      <w:proofErr w:type="spellStart"/>
      <w:r w:rsidRPr="00B5549F">
        <w:rPr>
          <w:rFonts w:ascii="Times New Roman" w:hAnsi="Times New Roman" w:cs="Times New Roman"/>
          <w:color w:val="000000" w:themeColor="text1"/>
          <w:lang w:val="en-US"/>
        </w:rPr>
        <w:t>meso</w:t>
      </w:r>
      <w:proofErr w:type="spellEnd"/>
      <w:r w:rsidRPr="00B5549F">
        <w:rPr>
          <w:rFonts w:ascii="Times New Roman" w:hAnsi="Times New Roman" w:cs="Times New Roman"/>
          <w:color w:val="000000" w:themeColor="text1"/>
          <w:lang w:val="en-US"/>
        </w:rPr>
        <w:t xml:space="preserve">’ level of investigation has been, until recently, less frequently explored (for an identical view see Fischer &amp; Nijkamp, 2009; Sternberg, 2009; see also early statistics provided in Davidsson &amp; Wiklund, 2001) but particularly enlivened in the last period by the entrepreneurial ecosystem concept (Stam, 2015; Stam &amp; van de Ven, 2021), aiming at </w:t>
      </w:r>
      <w:proofErr w:type="spellStart"/>
      <w:r w:rsidRPr="00B5549F">
        <w:rPr>
          <w:rFonts w:ascii="Times New Roman" w:hAnsi="Times New Roman" w:cs="Times New Roman"/>
          <w:color w:val="000000" w:themeColor="text1"/>
          <w:lang w:val="en-US"/>
        </w:rPr>
        <w:t>analysing</w:t>
      </w:r>
      <w:proofErr w:type="spellEnd"/>
      <w:r w:rsidRPr="00B5549F">
        <w:rPr>
          <w:rFonts w:ascii="Times New Roman" w:hAnsi="Times New Roman" w:cs="Times New Roman"/>
          <w:color w:val="000000" w:themeColor="text1"/>
          <w:lang w:val="en-US"/>
        </w:rPr>
        <w:t xml:space="preserve"> the local drivers behind the creation of innovative start-ups and productive entrepreneurship (e.g. Antonietti &amp; </w:t>
      </w:r>
      <w:proofErr w:type="spellStart"/>
      <w:r w:rsidRPr="00B5549F">
        <w:rPr>
          <w:rFonts w:ascii="Times New Roman" w:hAnsi="Times New Roman" w:cs="Times New Roman"/>
          <w:color w:val="000000" w:themeColor="text1"/>
          <w:lang w:val="en-US"/>
        </w:rPr>
        <w:t>Gambarotto</w:t>
      </w:r>
      <w:proofErr w:type="spellEnd"/>
      <w:r w:rsidRPr="00B5549F">
        <w:rPr>
          <w:rFonts w:ascii="Times New Roman" w:hAnsi="Times New Roman" w:cs="Times New Roman"/>
          <w:color w:val="000000" w:themeColor="text1"/>
          <w:lang w:val="en-US"/>
        </w:rPr>
        <w:t xml:space="preserve">, 2020; Fritsch &amp; </w:t>
      </w:r>
      <w:proofErr w:type="spellStart"/>
      <w:r w:rsidRPr="00B5549F">
        <w:rPr>
          <w:rFonts w:ascii="Times New Roman" w:hAnsi="Times New Roman" w:cs="Times New Roman"/>
          <w:color w:val="000000" w:themeColor="text1"/>
          <w:lang w:val="en-US"/>
        </w:rPr>
        <w:t>Aamoucke</w:t>
      </w:r>
      <w:proofErr w:type="spellEnd"/>
      <w:r w:rsidRPr="00B5549F">
        <w:rPr>
          <w:rFonts w:ascii="Times New Roman" w:hAnsi="Times New Roman" w:cs="Times New Roman"/>
          <w:color w:val="000000" w:themeColor="text1"/>
          <w:lang w:val="en-US"/>
        </w:rPr>
        <w:t xml:space="preserve">, 2013; Fritsch &amp; Wyrwich, 2018; Colombelli, 2016). </w:t>
      </w:r>
      <w:r w:rsidR="00712FA2" w:rsidRPr="00B5549F">
        <w:rPr>
          <w:rFonts w:ascii="Times New Roman" w:hAnsi="Times New Roman" w:cs="Times New Roman"/>
          <w:color w:val="000000" w:themeColor="text1"/>
          <w:lang w:val="en-US"/>
        </w:rPr>
        <w:t xml:space="preserve">With some partial exceptions, such as Fairlie (2013) documenting how local unemployment rates can have a positive impact on (all forms of) entrepreneurship (in all markets) during recessions, or Glaeser &amp; Kerr (2009) </w:t>
      </w:r>
      <w:proofErr w:type="spellStart"/>
      <w:r w:rsidR="00712FA2" w:rsidRPr="00B5549F">
        <w:rPr>
          <w:rFonts w:ascii="Times New Roman" w:hAnsi="Times New Roman" w:cs="Times New Roman"/>
          <w:color w:val="000000" w:themeColor="text1"/>
          <w:lang w:val="en-US"/>
        </w:rPr>
        <w:t>analysing</w:t>
      </w:r>
      <w:proofErr w:type="spellEnd"/>
      <w:r w:rsidR="00712FA2" w:rsidRPr="00B5549F">
        <w:rPr>
          <w:rFonts w:ascii="Times New Roman" w:hAnsi="Times New Roman" w:cs="Times New Roman"/>
          <w:color w:val="000000" w:themeColor="text1"/>
          <w:lang w:val="en-US"/>
        </w:rPr>
        <w:t xml:space="preserve"> the determinants of local manufacturing entrepreneurship rates in the U.S., this ‘meso-level’ has been rather silent on how specific characteristics of a given local market can affect the entrepreneurship rate in that specific geographically bounded market, rather than at the general level.</w:t>
      </w:r>
      <w:r w:rsidR="00BD423E" w:rsidRPr="00B5549F">
        <w:rPr>
          <w:rFonts w:ascii="Times New Roman" w:hAnsi="Times New Roman" w:cs="Times New Roman"/>
          <w:color w:val="000000" w:themeColor="text1"/>
          <w:lang w:val="en-US"/>
        </w:rPr>
        <w:t xml:space="preserve"> Furthermore, </w:t>
      </w:r>
      <w:r w:rsidRPr="00B5549F">
        <w:rPr>
          <w:rFonts w:ascii="Times New Roman" w:hAnsi="Times New Roman" w:cs="Times New Roman"/>
          <w:color w:val="000000" w:themeColor="text1"/>
          <w:lang w:val="en-US"/>
        </w:rPr>
        <w:t>it remains clearly to be explored the extent to which the enablement potential of a sharing economy platform</w:t>
      </w:r>
      <w:r w:rsidR="00E026EE" w:rsidRPr="00B5549F">
        <w:rPr>
          <w:rFonts w:ascii="Times New Roman" w:hAnsi="Times New Roman" w:cs="Times New Roman"/>
          <w:color w:val="000000" w:themeColor="text1"/>
          <w:lang w:val="en-US"/>
        </w:rPr>
        <w:t xml:space="preserve"> combines with</w:t>
      </w:r>
      <w:r w:rsidRPr="00B5549F">
        <w:rPr>
          <w:rFonts w:ascii="Times New Roman" w:hAnsi="Times New Roman" w:cs="Times New Roman"/>
          <w:color w:val="000000" w:themeColor="text1"/>
          <w:lang w:val="en-US"/>
        </w:rPr>
        <w:t xml:space="preserve"> the specific market context where prospective sellers would </w:t>
      </w:r>
      <w:r w:rsidR="00211B83" w:rsidRPr="00B5549F">
        <w:rPr>
          <w:rFonts w:ascii="Times New Roman" w:hAnsi="Times New Roman" w:cs="Times New Roman"/>
          <w:color w:val="000000" w:themeColor="text1"/>
          <w:lang w:val="en-US"/>
        </w:rPr>
        <w:t xml:space="preserve">ultimately </w:t>
      </w:r>
      <w:r w:rsidRPr="00B5549F">
        <w:rPr>
          <w:rFonts w:ascii="Times New Roman" w:hAnsi="Times New Roman" w:cs="Times New Roman"/>
          <w:color w:val="000000" w:themeColor="text1"/>
          <w:lang w:val="en-US"/>
        </w:rPr>
        <w:t>operate.</w:t>
      </w:r>
      <w:r w:rsidR="003165C3" w:rsidRPr="00B5549F">
        <w:rPr>
          <w:rFonts w:ascii="Times New Roman" w:hAnsi="Times New Roman" w:cs="Times New Roman"/>
          <w:color w:val="000000" w:themeColor="text1"/>
          <w:lang w:val="en-US"/>
        </w:rPr>
        <w:t xml:space="preserve"> </w:t>
      </w:r>
      <w:r w:rsidRPr="00B5549F">
        <w:rPr>
          <w:rFonts w:ascii="Times New Roman" w:hAnsi="Times New Roman" w:cs="Times New Roman"/>
          <w:color w:val="000000" w:themeColor="text1"/>
          <w:lang w:val="en-US"/>
        </w:rPr>
        <w:t xml:space="preserve">From this ‘market contextual’ perspective, the main </w:t>
      </w:r>
      <w:r w:rsidRPr="00B5549F">
        <w:rPr>
          <w:rFonts w:ascii="Times New Roman" w:hAnsi="Times New Roman" w:cs="Times New Roman"/>
          <w:color w:val="000000" w:themeColor="text1"/>
          <w:lang w:val="en-US"/>
        </w:rPr>
        <w:lastRenderedPageBreak/>
        <w:t>explanatory variables we are interested in are associated with different local market conditions, and in particular they are: i) the perceived demand by potential prospective entrepreneurs and the level of entry and operating costs; ii) the toughness of competition, i.e., the local level of spatial concentration.</w:t>
      </w:r>
    </w:p>
    <w:p w14:paraId="5692F690" w14:textId="02465D2B" w:rsidR="00090278" w:rsidRPr="00B5549F" w:rsidRDefault="008B21F3" w:rsidP="00980437">
      <w:pPr>
        <w:keepNext/>
        <w:spacing w:before="120" w:line="480" w:lineRule="auto"/>
        <w:ind w:firstLine="708"/>
        <w:jc w:val="both"/>
        <w:rPr>
          <w:rFonts w:ascii="Times New Roman" w:hAnsi="Times New Roman" w:cs="Times New Roman"/>
          <w:b/>
          <w:bCs/>
          <w:color w:val="000000" w:themeColor="text1"/>
          <w:lang w:val="en-US"/>
        </w:rPr>
      </w:pPr>
      <w:r w:rsidRPr="00B5549F">
        <w:rPr>
          <w:rFonts w:ascii="Times New Roman" w:hAnsi="Times New Roman" w:cs="Times New Roman"/>
          <w:b/>
          <w:bCs/>
          <w:color w:val="000000" w:themeColor="text1"/>
          <w:lang w:val="en-US"/>
        </w:rPr>
        <w:t>2.2. Local</w:t>
      </w:r>
      <w:r w:rsidR="00090278" w:rsidRPr="00B5549F">
        <w:rPr>
          <w:rFonts w:ascii="Times New Roman" w:hAnsi="Times New Roman" w:cs="Times New Roman"/>
          <w:b/>
          <w:bCs/>
          <w:color w:val="000000" w:themeColor="text1"/>
          <w:lang w:val="en-US"/>
        </w:rPr>
        <w:t xml:space="preserve"> market determinants: the role of demand and opportunity costs</w:t>
      </w:r>
    </w:p>
    <w:p w14:paraId="5F09E075" w14:textId="4E00E029" w:rsidR="00090278" w:rsidRPr="00B5549F" w:rsidRDefault="00090278"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The structural market variables that might exert an impact on the decision to enter are first determined by beliefs and convictions about expected demand and costs. The higher the demand (or the growth rate of demand), the more we can expect room for new firms in the sector (</w:t>
      </w:r>
      <w:proofErr w:type="spellStart"/>
      <w:r w:rsidRPr="00B5549F">
        <w:rPr>
          <w:rFonts w:ascii="Times New Roman" w:hAnsi="Times New Roman" w:cs="Times New Roman"/>
          <w:color w:val="000000" w:themeColor="text1"/>
          <w:lang w:val="en-US"/>
        </w:rPr>
        <w:t>Ateljevic</w:t>
      </w:r>
      <w:proofErr w:type="spellEnd"/>
      <w:r w:rsidRPr="00B5549F">
        <w:rPr>
          <w:rFonts w:ascii="Times New Roman" w:hAnsi="Times New Roman" w:cs="Times New Roman"/>
          <w:color w:val="000000" w:themeColor="text1"/>
          <w:lang w:val="en-US"/>
        </w:rPr>
        <w:t xml:space="preserve"> &amp; Page, 2009). Consequently, during periods of increasing demand, entrants are attracted by profit opportunities, also considering that the business model is such that most of the incumbents are not normally in a condition to expand their capacity in the short run. Moreover, potential entrants expect to obtain larger profit margins when their costs are lower. Entry studies (e.g. Geroski, 1995) normally control these effects, with demand and costs that should exert a positive and a negative impact, respectively, on entry dynamics</w:t>
      </w:r>
      <w:r w:rsidR="006630EE" w:rsidRPr="00B5549F">
        <w:rPr>
          <w:rFonts w:ascii="Times New Roman" w:hAnsi="Times New Roman" w:cs="Times New Roman"/>
          <w:color w:val="000000" w:themeColor="text1"/>
          <w:lang w:val="en-US"/>
        </w:rPr>
        <w:t xml:space="preserve"> (see </w:t>
      </w:r>
      <w:r w:rsidR="006630EE" w:rsidRPr="00B5549F">
        <w:rPr>
          <w:rFonts w:ascii="Times New Roman" w:hAnsi="Times New Roman" w:cs="Times New Roman"/>
          <w:color w:val="000000" w:themeColor="text1"/>
          <w:lang w:val="en-GB"/>
        </w:rPr>
        <w:t xml:space="preserve">Simons &amp; </w:t>
      </w:r>
      <w:proofErr w:type="spellStart"/>
      <w:r w:rsidR="006630EE" w:rsidRPr="00B5549F">
        <w:rPr>
          <w:rFonts w:ascii="Times New Roman" w:hAnsi="Times New Roman" w:cs="Times New Roman"/>
          <w:color w:val="000000" w:themeColor="text1"/>
          <w:lang w:val="en-GB"/>
        </w:rPr>
        <w:t>Åstebro</w:t>
      </w:r>
      <w:proofErr w:type="spellEnd"/>
      <w:r w:rsidR="006630EE" w:rsidRPr="00B5549F">
        <w:rPr>
          <w:rFonts w:ascii="Times New Roman" w:hAnsi="Times New Roman" w:cs="Times New Roman"/>
          <w:color w:val="000000" w:themeColor="text1"/>
          <w:lang w:val="en-GB"/>
        </w:rPr>
        <w:t>, 2010 and their analysis on inventors’ commercialization decisions)</w:t>
      </w:r>
      <w:r w:rsidRPr="00B5549F">
        <w:rPr>
          <w:rFonts w:ascii="Times New Roman" w:hAnsi="Times New Roman" w:cs="Times New Roman"/>
          <w:color w:val="000000" w:themeColor="text1"/>
          <w:lang w:val="en-US"/>
        </w:rPr>
        <w:t>. However, both demand and cost variables require further discussion in our framework.</w:t>
      </w:r>
    </w:p>
    <w:p w14:paraId="18F4C2CC" w14:textId="7C5228DB" w:rsidR="00090278" w:rsidRPr="00B5549F" w:rsidRDefault="00090278"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If, </w:t>
      </w:r>
      <w:r w:rsidR="0048743A" w:rsidRPr="00B5549F">
        <w:rPr>
          <w:rFonts w:ascii="Times New Roman" w:hAnsi="Times New Roman" w:cs="Times New Roman"/>
          <w:color w:val="000000" w:themeColor="text1"/>
          <w:lang w:val="en-US"/>
        </w:rPr>
        <w:t>ceteris paribus</w:t>
      </w:r>
      <w:r w:rsidRPr="00B5549F">
        <w:rPr>
          <w:rFonts w:ascii="Times New Roman" w:hAnsi="Times New Roman" w:cs="Times New Roman"/>
          <w:color w:val="000000" w:themeColor="text1"/>
          <w:lang w:val="en-US"/>
        </w:rPr>
        <w:t>, a higher demand in a local market is expected to make (whatever type of) entrepreneurs more willing to enter that market, the prevalence of specific demand segments (due to the heterogeneity of platform users on the demand side) can create more room for a specific typology of new entrant rather than another</w:t>
      </w:r>
      <w:r w:rsidR="0048743A" w:rsidRPr="00B5549F">
        <w:rPr>
          <w:rFonts w:ascii="Times New Roman" w:hAnsi="Times New Roman" w:cs="Times New Roman"/>
          <w:color w:val="000000" w:themeColor="text1"/>
          <w:lang w:val="en-US"/>
        </w:rPr>
        <w:t xml:space="preserve">: </w:t>
      </w:r>
      <w:r w:rsidR="00CF574E" w:rsidRPr="00B5549F">
        <w:rPr>
          <w:rFonts w:ascii="Times New Roman" w:hAnsi="Times New Roman" w:cs="Times New Roman"/>
          <w:color w:val="000000" w:themeColor="text1"/>
          <w:lang w:val="en-US"/>
        </w:rPr>
        <w:t>for example, demand for business travel in large cities normally requires more sophisticated year-round services, which large-scale professional entrepreneurs are more easily able to provide, while vacation travel can (also) attract the supply of small-scale entrepreneurs, who temporarily offer their second homes.</w:t>
      </w:r>
      <w:r w:rsidRPr="00B5549F">
        <w:rPr>
          <w:rFonts w:ascii="Times New Roman" w:hAnsi="Times New Roman" w:cs="Times New Roman"/>
          <w:color w:val="000000" w:themeColor="text1"/>
          <w:lang w:val="en-US"/>
        </w:rPr>
        <w:t xml:space="preserve"> Moreover, (potential) entrepreneurs may have a differentiated ability to identify and respond to the changing environment</w:t>
      </w:r>
      <w:r w:rsidR="00CF574E" w:rsidRPr="00B5549F">
        <w:rPr>
          <w:rFonts w:ascii="Times New Roman" w:hAnsi="Times New Roman" w:cs="Times New Roman"/>
          <w:color w:val="000000" w:themeColor="text1"/>
          <w:lang w:val="en-US"/>
        </w:rPr>
        <w:t>;</w:t>
      </w:r>
      <w:r w:rsidRPr="00B5549F">
        <w:rPr>
          <w:rFonts w:ascii="Times New Roman" w:hAnsi="Times New Roman" w:cs="Times New Roman"/>
          <w:color w:val="000000" w:themeColor="text1"/>
          <w:lang w:val="en-US"/>
        </w:rPr>
        <w:t xml:space="preserve"> </w:t>
      </w:r>
      <w:r w:rsidR="00CF574E" w:rsidRPr="00B5549F">
        <w:rPr>
          <w:rFonts w:ascii="Times New Roman" w:hAnsi="Times New Roman" w:cs="Times New Roman"/>
          <w:color w:val="000000" w:themeColor="text1"/>
          <w:lang w:val="en-US"/>
        </w:rPr>
        <w:t xml:space="preserve">often </w:t>
      </w:r>
      <w:r w:rsidRPr="00B5549F">
        <w:rPr>
          <w:rFonts w:ascii="Times New Roman" w:hAnsi="Times New Roman" w:cs="Times New Roman"/>
          <w:color w:val="000000" w:themeColor="text1"/>
          <w:lang w:val="en-US"/>
        </w:rPr>
        <w:t>they do not have the instruments for estimating the actual (and future) demand on the market, rather they perceive some measure of the ‘market climate’, i.e., they receive signals and clues about the level of prospective entrepreneurial opportunities at the local level.</w:t>
      </w:r>
    </w:p>
    <w:p w14:paraId="57960976" w14:textId="524F4BD7" w:rsidR="00090278" w:rsidRPr="00B5549F" w:rsidRDefault="00090278"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lastRenderedPageBreak/>
        <w:t xml:space="preserve">As for the costs (entry costs, in particular), they are endogenously determined by the scale of operations. If the opportunity costs of entry are low, entry will be more likely, but this is particularly true for small entrepreneurs, as they would not need to incur significant sunk costs (which large-scale entry is likely to entail, see below). For most small entry scales, few physical assets and some time for managing the business could be sufficient to start (Garcia-López et al., 2020), thanks also to the drastic reduction in transaction costs that the platform offers (Akbar and Tracogna, 2018). When the opportunity cost of time is low (cf. Dogru et al., 2020b; Fang et al., 2016) and the assets needed for entry would otherwise remain undervalued or </w:t>
      </w:r>
      <w:proofErr w:type="spellStart"/>
      <w:r w:rsidRPr="00B5549F">
        <w:rPr>
          <w:rFonts w:ascii="Times New Roman" w:hAnsi="Times New Roman" w:cs="Times New Roman"/>
          <w:color w:val="000000" w:themeColor="text1"/>
          <w:lang w:val="en-US"/>
        </w:rPr>
        <w:t>underutilised</w:t>
      </w:r>
      <w:proofErr w:type="spellEnd"/>
      <w:r w:rsidRPr="00B5549F">
        <w:rPr>
          <w:rFonts w:ascii="Times New Roman" w:hAnsi="Times New Roman" w:cs="Times New Roman"/>
          <w:color w:val="000000" w:themeColor="text1"/>
          <w:lang w:val="en-US"/>
        </w:rPr>
        <w:t>, small-scale entry entrepreneurs will have ‘nothing to lose’ in ‘trying’ (</w:t>
      </w:r>
      <w:proofErr w:type="spellStart"/>
      <w:r w:rsidRPr="00B5549F">
        <w:rPr>
          <w:rFonts w:ascii="Times New Roman" w:hAnsi="Times New Roman" w:cs="Times New Roman"/>
          <w:color w:val="000000" w:themeColor="text1"/>
          <w:lang w:val="en-US"/>
        </w:rPr>
        <w:t>Gänser</w:t>
      </w:r>
      <w:proofErr w:type="spellEnd"/>
      <w:r w:rsidRPr="00B5549F">
        <w:rPr>
          <w:rFonts w:ascii="Times New Roman" w:hAnsi="Times New Roman" w:cs="Times New Roman"/>
          <w:color w:val="000000" w:themeColor="text1"/>
          <w:lang w:val="en-US"/>
        </w:rPr>
        <w:t xml:space="preserve">-Stickler et al., 2022), i.e., small-scale entry should be particularly stimulated in local markets </w:t>
      </w:r>
      <w:proofErr w:type="spellStart"/>
      <w:r w:rsidRPr="00B5549F">
        <w:rPr>
          <w:rFonts w:ascii="Times New Roman" w:hAnsi="Times New Roman" w:cs="Times New Roman"/>
          <w:color w:val="000000" w:themeColor="text1"/>
          <w:lang w:val="en-US"/>
        </w:rPr>
        <w:t>characterised</w:t>
      </w:r>
      <w:proofErr w:type="spellEnd"/>
      <w:r w:rsidRPr="00B5549F">
        <w:rPr>
          <w:rFonts w:ascii="Times New Roman" w:hAnsi="Times New Roman" w:cs="Times New Roman"/>
          <w:color w:val="000000" w:themeColor="text1"/>
          <w:lang w:val="en-US"/>
        </w:rPr>
        <w:t xml:space="preserve"> by a relatively low opportunity cost in the use of inputs</w:t>
      </w:r>
      <w:r w:rsidR="002D59B2" w:rsidRPr="00B5549F">
        <w:rPr>
          <w:rFonts w:ascii="Times New Roman" w:hAnsi="Times New Roman" w:cs="Times New Roman"/>
          <w:color w:val="000000" w:themeColor="text1"/>
          <w:lang w:val="en-US"/>
        </w:rPr>
        <w:t xml:space="preserve"> (Fairlie, 2013)</w:t>
      </w:r>
      <w:r w:rsidRPr="00B5549F">
        <w:rPr>
          <w:rFonts w:ascii="Times New Roman" w:hAnsi="Times New Roman" w:cs="Times New Roman"/>
          <w:color w:val="000000" w:themeColor="text1"/>
          <w:lang w:val="en-US"/>
        </w:rPr>
        <w:t>.</w:t>
      </w:r>
      <w:r w:rsidRPr="00B5549F">
        <w:rPr>
          <w:rStyle w:val="Rimandonotaapidipagina"/>
          <w:rFonts w:ascii="Times New Roman" w:hAnsi="Times New Roman" w:cs="Times New Roman"/>
          <w:color w:val="000000" w:themeColor="text1"/>
          <w:lang w:val="en-US"/>
        </w:rPr>
        <w:footnoteReference w:id="1"/>
      </w:r>
      <w:r w:rsidRPr="00B5549F">
        <w:rPr>
          <w:rFonts w:ascii="Times New Roman" w:hAnsi="Times New Roman" w:cs="Times New Roman"/>
          <w:color w:val="000000" w:themeColor="text1"/>
          <w:lang w:val="en-US"/>
        </w:rPr>
        <w:t xml:space="preserve"> This ‘testing the waters’ attitude that is often possible through sharing economy platforms, could also lead to a phenomenon of ‘oversupply’, i.e., an incentive to enter even if profitability is below the normal profit rates.</w:t>
      </w:r>
    </w:p>
    <w:p w14:paraId="1597343F" w14:textId="6E0C2C40" w:rsidR="00090278" w:rsidRPr="00B5549F" w:rsidRDefault="00090278"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However, services and facilities designed for high-</w:t>
      </w:r>
      <w:r w:rsidR="00BF2EEF" w:rsidRPr="00B5549F">
        <w:rPr>
          <w:rFonts w:ascii="Times New Roman" w:hAnsi="Times New Roman" w:cs="Times New Roman"/>
          <w:color w:val="000000" w:themeColor="text1"/>
          <w:lang w:val="en-US"/>
        </w:rPr>
        <w:t>end</w:t>
      </w:r>
      <w:r w:rsidRPr="00B5549F">
        <w:rPr>
          <w:rFonts w:ascii="Times New Roman" w:hAnsi="Times New Roman" w:cs="Times New Roman"/>
          <w:color w:val="000000" w:themeColor="text1"/>
          <w:lang w:val="en-US"/>
        </w:rPr>
        <w:t xml:space="preserve"> consumers, who are more (less) sensitive to quality (prices), should require significantly higher amounts of investment (e.g., marketing, advertising, and back-office activities). Moreover, some portions of these investments could well exhibit non-fully re-deployable characteristics. Thus, both the size and the nature of the investments likely required make us hypothesize that large-scale entrepreneurs will be particularly sensitive to the presence of high-</w:t>
      </w:r>
      <w:r w:rsidR="00BF2EEF" w:rsidRPr="00B5549F">
        <w:rPr>
          <w:rFonts w:ascii="Times New Roman" w:hAnsi="Times New Roman" w:cs="Times New Roman"/>
          <w:color w:val="000000" w:themeColor="text1"/>
          <w:lang w:val="en-US"/>
        </w:rPr>
        <w:t>end</w:t>
      </w:r>
      <w:r w:rsidRPr="00B5549F">
        <w:rPr>
          <w:rFonts w:ascii="Times New Roman" w:hAnsi="Times New Roman" w:cs="Times New Roman"/>
          <w:color w:val="000000" w:themeColor="text1"/>
          <w:lang w:val="en-US"/>
        </w:rPr>
        <w:t xml:space="preserve"> prospective customers, who may ensure higher revenues, therefore justifying the undertaking of these large-scale investments.</w:t>
      </w:r>
      <w:r w:rsidRPr="00B5549F">
        <w:rPr>
          <w:rStyle w:val="Rimandonotaapidipagina"/>
          <w:rFonts w:ascii="Times New Roman" w:hAnsi="Times New Roman" w:cs="Times New Roman"/>
          <w:color w:val="000000" w:themeColor="text1"/>
          <w:lang w:val="en-US"/>
        </w:rPr>
        <w:footnoteReference w:id="2"/>
      </w:r>
    </w:p>
    <w:p w14:paraId="64BC1B8B" w14:textId="77777777" w:rsidR="00090278" w:rsidRPr="00B5549F" w:rsidRDefault="00090278"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lastRenderedPageBreak/>
        <w:t>On the basis of these considerations, we can formulate the following first set of hypotheses on the entrepreneurial dynamics triggered by a digital external enabler:</w:t>
      </w:r>
    </w:p>
    <w:p w14:paraId="558BCE03" w14:textId="5840E403" w:rsidR="00090278" w:rsidRPr="00B5549F" w:rsidRDefault="00090278" w:rsidP="00980437">
      <w:pPr>
        <w:spacing w:before="120" w:line="480" w:lineRule="auto"/>
        <w:jc w:val="both"/>
        <w:rPr>
          <w:rFonts w:ascii="Times New Roman" w:hAnsi="Times New Roman" w:cs="Times New Roman"/>
          <w:i/>
          <w:iCs/>
          <w:color w:val="000000" w:themeColor="text1"/>
          <w:lang w:val="en-US"/>
        </w:rPr>
      </w:pPr>
      <w:r w:rsidRPr="00B5549F">
        <w:rPr>
          <w:rFonts w:ascii="Times New Roman" w:hAnsi="Times New Roman" w:cs="Times New Roman"/>
          <w:i/>
          <w:iCs/>
          <w:color w:val="000000" w:themeColor="text1"/>
          <w:lang w:val="en-US"/>
        </w:rPr>
        <w:t>HP1: Higher perceived demand at local market level positively affects the entry (through the digital platform) of new entrepreneurs.</w:t>
      </w:r>
    </w:p>
    <w:p w14:paraId="04011084" w14:textId="77777777" w:rsidR="00090278" w:rsidRPr="00B5549F" w:rsidRDefault="00090278" w:rsidP="00980437">
      <w:pPr>
        <w:spacing w:before="120" w:line="480" w:lineRule="auto"/>
        <w:jc w:val="both"/>
        <w:rPr>
          <w:rFonts w:ascii="Times New Roman" w:hAnsi="Times New Roman" w:cs="Times New Roman"/>
          <w:i/>
          <w:iCs/>
          <w:color w:val="000000" w:themeColor="text1"/>
          <w:lang w:val="en-US"/>
        </w:rPr>
      </w:pPr>
      <w:r w:rsidRPr="00B5549F">
        <w:rPr>
          <w:rFonts w:ascii="Times New Roman" w:hAnsi="Times New Roman" w:cs="Times New Roman"/>
          <w:i/>
          <w:iCs/>
          <w:color w:val="000000" w:themeColor="text1"/>
          <w:lang w:val="en-US"/>
        </w:rPr>
        <w:t>HP2a: Lower opportunity costs to enter at local market level have a more positive effect on the entry of small entrepreneurs than large entrepreneurs.</w:t>
      </w:r>
    </w:p>
    <w:p w14:paraId="5D960255" w14:textId="28149FF1" w:rsidR="00090278" w:rsidRPr="00B5549F" w:rsidRDefault="00090278" w:rsidP="00980437">
      <w:pPr>
        <w:spacing w:before="120" w:line="480" w:lineRule="auto"/>
        <w:jc w:val="both"/>
        <w:rPr>
          <w:rFonts w:ascii="Times New Roman" w:hAnsi="Times New Roman" w:cs="Times New Roman"/>
          <w:i/>
          <w:iCs/>
          <w:color w:val="000000" w:themeColor="text1"/>
          <w:lang w:val="en-US"/>
        </w:rPr>
      </w:pPr>
      <w:r w:rsidRPr="00B5549F">
        <w:rPr>
          <w:rFonts w:ascii="Times New Roman" w:hAnsi="Times New Roman" w:cs="Times New Roman"/>
          <w:i/>
          <w:iCs/>
          <w:color w:val="000000" w:themeColor="text1"/>
          <w:lang w:val="en-US"/>
        </w:rPr>
        <w:t>HP2b: The high-</w:t>
      </w:r>
      <w:r w:rsidR="00BF2EEF" w:rsidRPr="00B5549F">
        <w:rPr>
          <w:rFonts w:ascii="Times New Roman" w:hAnsi="Times New Roman" w:cs="Times New Roman"/>
          <w:i/>
          <w:iCs/>
          <w:color w:val="000000" w:themeColor="text1"/>
          <w:lang w:val="en-US"/>
        </w:rPr>
        <w:t>end</w:t>
      </w:r>
      <w:r w:rsidRPr="00B5549F">
        <w:rPr>
          <w:rFonts w:ascii="Times New Roman" w:hAnsi="Times New Roman" w:cs="Times New Roman"/>
          <w:i/>
          <w:iCs/>
          <w:color w:val="000000" w:themeColor="text1"/>
          <w:lang w:val="en-US"/>
        </w:rPr>
        <w:t xml:space="preserve"> specialization of an industry has a more positive effect on the entry of large entrepreneurs than the entry of small entrepreneurs.</w:t>
      </w:r>
    </w:p>
    <w:p w14:paraId="4E405FFC" w14:textId="5C73FB55" w:rsidR="00090278" w:rsidRPr="00B5549F" w:rsidRDefault="008B21F3" w:rsidP="00980437">
      <w:pPr>
        <w:keepNext/>
        <w:spacing w:before="120" w:line="480" w:lineRule="auto"/>
        <w:ind w:left="708"/>
        <w:jc w:val="both"/>
        <w:rPr>
          <w:rFonts w:ascii="Times New Roman" w:hAnsi="Times New Roman" w:cs="Times New Roman"/>
          <w:b/>
          <w:bCs/>
          <w:color w:val="000000" w:themeColor="text1"/>
          <w:lang w:val="en-US"/>
        </w:rPr>
      </w:pPr>
      <w:r w:rsidRPr="00B5549F">
        <w:rPr>
          <w:rFonts w:ascii="Times New Roman" w:hAnsi="Times New Roman" w:cs="Times New Roman"/>
          <w:b/>
          <w:bCs/>
          <w:color w:val="000000" w:themeColor="text1"/>
          <w:lang w:val="en-US"/>
        </w:rPr>
        <w:t>2.3.</w:t>
      </w:r>
      <w:r w:rsidR="000A6D37" w:rsidRPr="00B5549F">
        <w:rPr>
          <w:rFonts w:ascii="Times New Roman" w:hAnsi="Times New Roman" w:cs="Times New Roman"/>
          <w:b/>
          <w:bCs/>
          <w:color w:val="000000" w:themeColor="text1"/>
          <w:lang w:val="en-US"/>
        </w:rPr>
        <w:t xml:space="preserve"> </w:t>
      </w:r>
      <w:r w:rsidR="00090278" w:rsidRPr="00B5549F">
        <w:rPr>
          <w:rFonts w:ascii="Times New Roman" w:hAnsi="Times New Roman" w:cs="Times New Roman"/>
          <w:b/>
          <w:bCs/>
          <w:color w:val="000000" w:themeColor="text1"/>
          <w:lang w:val="en-US"/>
        </w:rPr>
        <w:t>Local market determinant: the role of concentration</w:t>
      </w:r>
    </w:p>
    <w:p w14:paraId="7A9A1640" w14:textId="32746DD8" w:rsidR="00090278" w:rsidRPr="00B5549F" w:rsidRDefault="00090278"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Traditional Industrial Organization (IO) models suggest that profitability, and consequently entry rates, are expected to be higher, all else being equal, where the competition is mild (see Cabral, 2017, among others). However, spatial concentration of the local market may affect entrepreneurs’ willingness to enter in three different ways.</w:t>
      </w:r>
    </w:p>
    <w:p w14:paraId="37A6C731" w14:textId="4356E8E6" w:rsidR="00090278" w:rsidRPr="00B5549F" w:rsidRDefault="00090278" w:rsidP="00980437">
      <w:pPr>
        <w:pStyle w:val="Paragrafoelenco"/>
        <w:numPr>
          <w:ilvl w:val="0"/>
          <w:numId w:val="2"/>
        </w:num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Information effects. A necessary (albeit not sufficient) condition for seizing entrepreneurial opportunities is the availability of related information that triggers individuals’ interest in engaging in the creation of a new venture (</w:t>
      </w:r>
      <w:proofErr w:type="spellStart"/>
      <w:r w:rsidRPr="00B5549F">
        <w:rPr>
          <w:rFonts w:ascii="Times New Roman" w:hAnsi="Times New Roman" w:cs="Times New Roman"/>
          <w:color w:val="000000" w:themeColor="text1"/>
          <w:lang w:val="en-US"/>
        </w:rPr>
        <w:t>Ardichvili</w:t>
      </w:r>
      <w:proofErr w:type="spellEnd"/>
      <w:r w:rsidRPr="00B5549F">
        <w:rPr>
          <w:rFonts w:ascii="Times New Roman" w:hAnsi="Times New Roman" w:cs="Times New Roman"/>
          <w:color w:val="000000" w:themeColor="text1"/>
          <w:lang w:val="en-US"/>
        </w:rPr>
        <w:t xml:space="preserve"> et al., 2003). Such information can also be spread through unintended word-of-mouth communication, simple observation, and imitation or social influence (Kacperczyk, 2013). Bunten et al. (2015) and the literature they cite stress the crucial role of entrepreneurial marketplace information for regional endogenous growth, in particular as a determinant of entry and exit rates. In this respect, we argue that a higher density of sellers through the platform in the local market may increase the probability that potential entrants obtain a bulk of information that is sufficient to convince them to enter the market. </w:t>
      </w:r>
      <w:r w:rsidRPr="00B5549F">
        <w:rPr>
          <w:rFonts w:ascii="Times New Roman" w:hAnsi="Times New Roman" w:cs="Times New Roman"/>
          <w:color w:val="000000" w:themeColor="text1"/>
          <w:lang w:val="en-US"/>
        </w:rPr>
        <w:lastRenderedPageBreak/>
        <w:t>Conceivably, one may also expect that the marginal effect of concentration on information vanishes when a sufficient level of concentration is reached.</w:t>
      </w:r>
    </w:p>
    <w:p w14:paraId="511B32A6" w14:textId="7D771539" w:rsidR="00090278" w:rsidRPr="00B5549F" w:rsidRDefault="00734E66" w:rsidP="00980437">
      <w:pPr>
        <w:pStyle w:val="Paragrafoelenco"/>
        <w:numPr>
          <w:ilvl w:val="0"/>
          <w:numId w:val="2"/>
        </w:num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Cluster effects. The preference for clustering of firms, and small service providers in particular, is explained by two different streams of literature. The industrial economics literature suggests that service providers – when the product is differentiated and prices are dispersed – may want to locate near other competitors because together they may be more attractive to consumers, who may want to compare services and prices before making a purchase (Eaton &amp; Lipsey, 1982; Stahl, 1982; West, 1992). Leveraging different arguments, the urban economics literature </w:t>
      </w:r>
      <w:r w:rsidR="00460D55" w:rsidRPr="00B5549F">
        <w:rPr>
          <w:rFonts w:ascii="Times New Roman" w:hAnsi="Times New Roman" w:cs="Times New Roman"/>
          <w:color w:val="000000" w:themeColor="text1"/>
          <w:lang w:val="en-US"/>
        </w:rPr>
        <w:t xml:space="preserve">examines </w:t>
      </w:r>
      <w:r w:rsidRPr="00B5549F">
        <w:rPr>
          <w:rFonts w:ascii="Times New Roman" w:hAnsi="Times New Roman" w:cs="Times New Roman"/>
          <w:color w:val="000000" w:themeColor="text1"/>
          <w:lang w:val="en-US"/>
        </w:rPr>
        <w:t xml:space="preserve">spatial concentrations of related firms aimed at capturing ‘agglomeration externalities’. The benefits of agglomeration, first discussed by Marshall (1890) for manufacturing firms and later extended by </w:t>
      </w:r>
      <w:proofErr w:type="spellStart"/>
      <w:r w:rsidRPr="00B5549F">
        <w:rPr>
          <w:rFonts w:ascii="Times New Roman" w:hAnsi="Times New Roman" w:cs="Times New Roman"/>
          <w:color w:val="000000" w:themeColor="text1"/>
          <w:lang w:val="en-US"/>
        </w:rPr>
        <w:t>Christaller</w:t>
      </w:r>
      <w:r w:rsidR="008C6FD4" w:rsidRPr="00B5549F">
        <w:rPr>
          <w:rFonts w:ascii="Times New Roman" w:hAnsi="Times New Roman" w:cs="Times New Roman"/>
          <w:color w:val="000000" w:themeColor="text1"/>
          <w:lang w:val="en-US"/>
        </w:rPr>
        <w:t>’</w:t>
      </w:r>
      <w:r w:rsidRPr="00B5549F">
        <w:rPr>
          <w:rFonts w:ascii="Times New Roman" w:hAnsi="Times New Roman" w:cs="Times New Roman"/>
          <w:color w:val="000000" w:themeColor="text1"/>
          <w:lang w:val="en-US"/>
        </w:rPr>
        <w:t>s</w:t>
      </w:r>
      <w:proofErr w:type="spellEnd"/>
      <w:r w:rsidRPr="00B5549F">
        <w:rPr>
          <w:rFonts w:ascii="Times New Roman" w:hAnsi="Times New Roman" w:cs="Times New Roman"/>
          <w:color w:val="000000" w:themeColor="text1"/>
          <w:lang w:val="en-US"/>
        </w:rPr>
        <w:t xml:space="preserve"> (1933/66) work to service firms, can be attributed (Duranton &amp; Puga, 2004) to sharing mechanisms (e.g., a larger cluster of firms can sustain a wider variety of complementary service providers) and learning mechanisms (e.g., in a cluster, knowledge exchange among </w:t>
      </w:r>
      <w:r w:rsidR="0088656A" w:rsidRPr="00B5549F">
        <w:rPr>
          <w:rFonts w:ascii="Times New Roman" w:hAnsi="Times New Roman" w:cs="Times New Roman"/>
          <w:color w:val="000000" w:themeColor="text1"/>
          <w:lang w:val="en-US"/>
        </w:rPr>
        <w:t xml:space="preserve">local </w:t>
      </w:r>
      <w:r w:rsidRPr="00B5549F">
        <w:rPr>
          <w:rFonts w:ascii="Times New Roman" w:hAnsi="Times New Roman" w:cs="Times New Roman"/>
          <w:color w:val="000000" w:themeColor="text1"/>
          <w:lang w:val="en-US"/>
        </w:rPr>
        <w:t>firms can help them improve management</w:t>
      </w:r>
      <w:r w:rsidR="0088656A" w:rsidRPr="00B5549F">
        <w:rPr>
          <w:rFonts w:ascii="Times New Roman" w:hAnsi="Times New Roman" w:cs="Times New Roman"/>
          <w:color w:val="000000" w:themeColor="text1"/>
          <w:lang w:val="en-US"/>
        </w:rPr>
        <w:t xml:space="preserve"> practices</w:t>
      </w:r>
      <w:r w:rsidRPr="00B5549F">
        <w:rPr>
          <w:rFonts w:ascii="Times New Roman" w:hAnsi="Times New Roman" w:cs="Times New Roman"/>
          <w:color w:val="000000" w:themeColor="text1"/>
          <w:lang w:val="en-US"/>
        </w:rPr>
        <w:t xml:space="preserve"> and reduce costs).</w:t>
      </w:r>
      <w:r w:rsidRPr="00B5549F">
        <w:rPr>
          <w:rStyle w:val="Rimandonotaapidipagina"/>
          <w:rFonts w:ascii="Times New Roman" w:hAnsi="Times New Roman" w:cs="Times New Roman"/>
          <w:color w:val="000000" w:themeColor="text1"/>
          <w:lang w:val="en-US"/>
        </w:rPr>
        <w:footnoteReference w:id="3"/>
      </w:r>
    </w:p>
    <w:p w14:paraId="307D67D7" w14:textId="181ABB43" w:rsidR="00734E66" w:rsidRPr="00B5549F" w:rsidRDefault="00734E66" w:rsidP="00C43C1C">
      <w:pPr>
        <w:pStyle w:val="Paragrafoelenco"/>
        <w:numPr>
          <w:ilvl w:val="0"/>
          <w:numId w:val="2"/>
        </w:num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Competition effects. While the advantage of proximity to other sellers (point B) tends to incentivize spatially correlated entries, competition caused by spatial concentration could discourage entrepreneurial acts (see again Baum &amp; Haveman, 1997; Economides, 1986). Competition effects determine that the entry of new firms dilutes the profits of the incumbents. Still, classic oligopolistic models suggest that profits will not necessarily be driven to zero by entry if barriers to entry (in particular space and scale effects) are at work (Eaton &amp; Lipsey, 1978). In any case, when a suitable threshold level of concentration (i.e., profits) is reached, new entries are normally discouraged. However, the economic literature (especially the macro</w:t>
      </w:r>
      <w:r w:rsidR="0088656A" w:rsidRPr="00B5549F">
        <w:rPr>
          <w:rFonts w:ascii="Times New Roman" w:hAnsi="Times New Roman" w:cs="Times New Roman"/>
          <w:color w:val="000000" w:themeColor="text1"/>
          <w:lang w:val="en-US"/>
        </w:rPr>
        <w:t>economics</w:t>
      </w:r>
      <w:r w:rsidRPr="00B5549F">
        <w:rPr>
          <w:rFonts w:ascii="Times New Roman" w:hAnsi="Times New Roman" w:cs="Times New Roman"/>
          <w:color w:val="000000" w:themeColor="text1"/>
          <w:lang w:val="en-US"/>
        </w:rPr>
        <w:t xml:space="preserve"> </w:t>
      </w:r>
      <w:r w:rsidRPr="00B5549F">
        <w:rPr>
          <w:rFonts w:ascii="Times New Roman" w:hAnsi="Times New Roman" w:cs="Times New Roman"/>
          <w:color w:val="000000" w:themeColor="text1"/>
          <w:lang w:val="en-US"/>
        </w:rPr>
        <w:lastRenderedPageBreak/>
        <w:t xml:space="preserve">literature) does not rule out the possibility that excess capacity may emerge over the business cycle, for example due to capital stickiness (see, e.g., Gilchrist &amp; Williams, 2000). More interesting for our purposes, studies on ‘herd </w:t>
      </w:r>
      <w:proofErr w:type="spellStart"/>
      <w:r w:rsidRPr="00B5549F">
        <w:rPr>
          <w:rFonts w:ascii="Times New Roman" w:hAnsi="Times New Roman" w:cs="Times New Roman"/>
          <w:color w:val="000000" w:themeColor="text1"/>
          <w:lang w:val="en-US"/>
        </w:rPr>
        <w:t>behaviour</w:t>
      </w:r>
      <w:proofErr w:type="spellEnd"/>
      <w:r w:rsidRPr="00B5549F">
        <w:rPr>
          <w:rFonts w:ascii="Times New Roman" w:hAnsi="Times New Roman" w:cs="Times New Roman"/>
          <w:color w:val="000000" w:themeColor="text1"/>
          <w:lang w:val="en-US"/>
        </w:rPr>
        <w:t>’ show that often managers simply imitate the investment decisions of other managers, ignoring or mis-interpreting substantive information available in the market (Scharfstein &amp; Stein, 1990; Shiller, 1995). In this respect, two remarks are in order. Firs</w:t>
      </w:r>
      <w:r w:rsidR="00824BC6" w:rsidRPr="00B5549F">
        <w:rPr>
          <w:rFonts w:ascii="Times New Roman" w:hAnsi="Times New Roman" w:cs="Times New Roman"/>
          <w:color w:val="000000" w:themeColor="text1"/>
          <w:lang w:val="en-US"/>
        </w:rPr>
        <w:t>t</w:t>
      </w:r>
      <w:r w:rsidRPr="00B5549F">
        <w:rPr>
          <w:rFonts w:ascii="Times New Roman" w:hAnsi="Times New Roman" w:cs="Times New Roman"/>
          <w:color w:val="000000" w:themeColor="text1"/>
          <w:lang w:val="en-US"/>
        </w:rPr>
        <w:t>, interpreting market signals on the supply side can be costly (especially if markets are not perfectly competitive, e.g. Hayek, 1945; Jensen &amp; Meckling, 1996), and, more in general, may requ</w:t>
      </w:r>
      <w:r w:rsidR="00824BC6" w:rsidRPr="00B5549F">
        <w:rPr>
          <w:rFonts w:ascii="Times New Roman" w:hAnsi="Times New Roman" w:cs="Times New Roman"/>
          <w:color w:val="000000" w:themeColor="text1"/>
          <w:lang w:val="en-US"/>
        </w:rPr>
        <w:t>ire</w:t>
      </w:r>
      <w:r w:rsidRPr="00B5549F">
        <w:rPr>
          <w:rFonts w:ascii="Times New Roman" w:hAnsi="Times New Roman" w:cs="Times New Roman"/>
          <w:color w:val="000000" w:themeColor="text1"/>
          <w:lang w:val="en-US"/>
        </w:rPr>
        <w:t xml:space="preserve"> </w:t>
      </w:r>
      <w:r w:rsidR="00824BC6" w:rsidRPr="00B5549F">
        <w:rPr>
          <w:rFonts w:ascii="Times New Roman" w:hAnsi="Times New Roman" w:cs="Times New Roman"/>
          <w:color w:val="000000" w:themeColor="text1"/>
          <w:lang w:val="en-US"/>
        </w:rPr>
        <w:t>appropriate</w:t>
      </w:r>
      <w:r w:rsidRPr="00B5549F">
        <w:rPr>
          <w:rFonts w:ascii="Times New Roman" w:hAnsi="Times New Roman" w:cs="Times New Roman"/>
          <w:color w:val="000000" w:themeColor="text1"/>
          <w:lang w:val="en-US"/>
        </w:rPr>
        <w:t xml:space="preserve"> skills and competences (e.g. Davidsson, &amp; Honig, 2003), including managerial ones (Amaral et al., 2011).</w:t>
      </w:r>
      <w:r w:rsidRPr="00B5549F">
        <w:rPr>
          <w:rStyle w:val="Rimandonotaapidipagina"/>
          <w:rFonts w:ascii="Times New Roman" w:hAnsi="Times New Roman" w:cs="Times New Roman"/>
          <w:color w:val="000000" w:themeColor="text1"/>
          <w:lang w:val="en-US"/>
        </w:rPr>
        <w:footnoteReference w:id="4"/>
      </w:r>
      <w:r w:rsidRPr="00B5549F">
        <w:rPr>
          <w:rFonts w:ascii="Times New Roman" w:hAnsi="Times New Roman" w:cs="Times New Roman"/>
          <w:color w:val="000000" w:themeColor="text1"/>
          <w:lang w:val="en-US"/>
        </w:rPr>
        <w:t xml:space="preserve"> </w:t>
      </w:r>
      <w:r w:rsidR="0088656A" w:rsidRPr="00B5549F">
        <w:rPr>
          <w:rFonts w:ascii="Times New Roman" w:hAnsi="Times New Roman" w:cs="Times New Roman"/>
          <w:color w:val="000000" w:themeColor="text1"/>
          <w:lang w:val="en-US"/>
        </w:rPr>
        <w:t>Second</w:t>
      </w:r>
      <w:r w:rsidRPr="00B5549F">
        <w:rPr>
          <w:rFonts w:ascii="Times New Roman" w:hAnsi="Times New Roman" w:cs="Times New Roman"/>
          <w:color w:val="000000" w:themeColor="text1"/>
          <w:lang w:val="en-US"/>
        </w:rPr>
        <w:t xml:space="preserve">, the negative competition effect is subjectively perceived as more deterring for those individuals bearing higher entry costs. </w:t>
      </w:r>
      <w:r w:rsidR="00C43C1C" w:rsidRPr="00B5549F">
        <w:rPr>
          <w:rFonts w:ascii="Times New Roman" w:hAnsi="Times New Roman" w:cs="Times New Roman"/>
          <w:color w:val="000000" w:themeColor="text1"/>
          <w:lang w:val="en-US"/>
        </w:rPr>
        <w:t>For both reasons, large-scale entrepreneurs are more likely to be discouraged by high levels of competition. In short, they have more incentives (given the size and nature of their investments) and greater resources than small-scale entrepreneurs to accurately assess the level of competition in the local market. Additionally, ceteris paribus, the relatively large size and sunk nature of their investments lead to a greater reluctance to enter the market compared to small-scale entrepreneurs at any given level of perceived competition.</w:t>
      </w:r>
    </w:p>
    <w:p w14:paraId="5F6E2AA7" w14:textId="77777777" w:rsidR="00734E66" w:rsidRPr="00B5549F" w:rsidRDefault="00734E66"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The equilibrium between the pros and cons of concentration must be considered as one of the main drivers of the entry/exit process. All else being equal, for lower levels of concentration competition forces would probably have negligible effects, while new entries can further fuel new entrepreneurial phenomena for information/agglomeration reasons. Conversely, above a certain threshold of concentration, it is legitimate to expect competition effects to prevail and entry to be discouraged. Thus, the combination of these forces A, B, and C would lead to an expected bell-shaped curve describing the relationship between concentration and entry. Predictions about the effects of concentration in (different) markets are then based on the notion of an equilibrium rate of business </w:t>
      </w:r>
      <w:r w:rsidRPr="00B5549F">
        <w:rPr>
          <w:rFonts w:ascii="Times New Roman" w:hAnsi="Times New Roman" w:cs="Times New Roman"/>
          <w:color w:val="000000" w:themeColor="text1"/>
          <w:lang w:val="en-US"/>
        </w:rPr>
        <w:lastRenderedPageBreak/>
        <w:t xml:space="preserve">ownership (Audretsch &amp; Fritsch, 2002; Carree &amp; </w:t>
      </w:r>
      <w:proofErr w:type="spellStart"/>
      <w:r w:rsidRPr="00B5549F">
        <w:rPr>
          <w:rFonts w:ascii="Times New Roman" w:hAnsi="Times New Roman" w:cs="Times New Roman"/>
          <w:color w:val="000000" w:themeColor="text1"/>
          <w:lang w:val="en-US"/>
        </w:rPr>
        <w:t>Thurik</w:t>
      </w:r>
      <w:proofErr w:type="spellEnd"/>
      <w:r w:rsidRPr="00B5549F">
        <w:rPr>
          <w:rFonts w:ascii="Times New Roman" w:hAnsi="Times New Roman" w:cs="Times New Roman"/>
          <w:color w:val="000000" w:themeColor="text1"/>
          <w:lang w:val="en-US"/>
        </w:rPr>
        <w:t xml:space="preserve">, 1999; Hartog et al., 2010), a concept sometimes referred to as the ‘market’s carrying capacity’ in organization ecology literature (Hannan &amp; Freeman, 1977). If ‘excessive entry’ is observed, this leads to market overcrowding. The empirical evidence on the role of carrying capacity in deterring entry is limited (see in particular the analysis by Carree &amp; </w:t>
      </w:r>
      <w:proofErr w:type="spellStart"/>
      <w:r w:rsidRPr="00B5549F">
        <w:rPr>
          <w:rFonts w:ascii="Times New Roman" w:hAnsi="Times New Roman" w:cs="Times New Roman"/>
          <w:color w:val="000000" w:themeColor="text1"/>
          <w:lang w:val="en-US"/>
        </w:rPr>
        <w:t>Thurik</w:t>
      </w:r>
      <w:proofErr w:type="spellEnd"/>
      <w:r w:rsidRPr="00B5549F">
        <w:rPr>
          <w:rFonts w:ascii="Times New Roman" w:hAnsi="Times New Roman" w:cs="Times New Roman"/>
          <w:color w:val="000000" w:themeColor="text1"/>
          <w:lang w:val="en-US"/>
        </w:rPr>
        <w:t>, 1999, for the Dutch retailing sector), and completely absent in case of entrepreneurial entries via the digital external enablement of a sharing economy platform. In this latter case, we advance the idea that an ‘excessive entry’ cannot be excluded, and it is indeed likely, because entry costs – especially for small entrepreneurs – are low and non-sunk, as discussed in the previous section.</w:t>
      </w:r>
    </w:p>
    <w:p w14:paraId="206743ED" w14:textId="65FCFD84" w:rsidR="00734E66" w:rsidRPr="00B5549F" w:rsidRDefault="00734E66"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Thus, we expect the entry discipline governed by the concentration-related effects depicted in points A, B and C, which altogether connote firm entry based on solid economic reasoning, to be relevant only for large</w:t>
      </w:r>
      <w:r w:rsidR="00C22A9B" w:rsidRPr="00B5549F">
        <w:rPr>
          <w:rFonts w:ascii="Times New Roman" w:hAnsi="Times New Roman" w:cs="Times New Roman"/>
          <w:color w:val="000000" w:themeColor="text1"/>
          <w:lang w:val="en-US"/>
        </w:rPr>
        <w:t>-</w:t>
      </w:r>
      <w:r w:rsidRPr="00B5549F">
        <w:rPr>
          <w:rFonts w:ascii="Times New Roman" w:hAnsi="Times New Roman" w:cs="Times New Roman"/>
          <w:color w:val="000000" w:themeColor="text1"/>
          <w:lang w:val="en-US"/>
        </w:rPr>
        <w:t xml:space="preserve"> rather than small</w:t>
      </w:r>
      <w:r w:rsidR="00C22A9B" w:rsidRPr="00B5549F">
        <w:rPr>
          <w:rFonts w:ascii="Times New Roman" w:hAnsi="Times New Roman" w:cs="Times New Roman"/>
          <w:color w:val="000000" w:themeColor="text1"/>
          <w:lang w:val="en-US"/>
        </w:rPr>
        <w:t>-scale</w:t>
      </w:r>
      <w:r w:rsidRPr="00B5549F">
        <w:rPr>
          <w:rFonts w:ascii="Times New Roman" w:hAnsi="Times New Roman" w:cs="Times New Roman"/>
          <w:color w:val="000000" w:themeColor="text1"/>
          <w:lang w:val="en-US"/>
        </w:rPr>
        <w:t xml:space="preserve"> entrepreneurs using the platform. Thus, in the relationship between concentration and entry, we hypothesize that entry is governed by a bell-shaped relation for large</w:t>
      </w:r>
      <w:r w:rsidR="00C22A9B" w:rsidRPr="00B5549F">
        <w:rPr>
          <w:rFonts w:ascii="Times New Roman" w:hAnsi="Times New Roman" w:cs="Times New Roman"/>
          <w:color w:val="000000" w:themeColor="text1"/>
          <w:lang w:val="en-US"/>
        </w:rPr>
        <w:t>-scale</w:t>
      </w:r>
      <w:r w:rsidRPr="00B5549F">
        <w:rPr>
          <w:rFonts w:ascii="Times New Roman" w:hAnsi="Times New Roman" w:cs="Times New Roman"/>
          <w:color w:val="000000" w:themeColor="text1"/>
          <w:lang w:val="en-US"/>
        </w:rPr>
        <w:t xml:space="preserve"> platform-based entrepreneurs only, not small ones. We can consequently formulate the following hypotheses:</w:t>
      </w:r>
    </w:p>
    <w:p w14:paraId="34A5AD38" w14:textId="124F6F18" w:rsidR="00734E66" w:rsidRPr="00B5549F" w:rsidRDefault="00734E66" w:rsidP="00980437">
      <w:pPr>
        <w:spacing w:before="120" w:line="480" w:lineRule="auto"/>
        <w:jc w:val="both"/>
        <w:rPr>
          <w:rFonts w:ascii="Times New Roman" w:hAnsi="Times New Roman" w:cs="Times New Roman"/>
          <w:i/>
          <w:iCs/>
          <w:color w:val="000000" w:themeColor="text1"/>
          <w:lang w:val="en-US"/>
        </w:rPr>
      </w:pPr>
      <w:r w:rsidRPr="00B5549F">
        <w:rPr>
          <w:rFonts w:ascii="Times New Roman" w:hAnsi="Times New Roman" w:cs="Times New Roman"/>
          <w:i/>
          <w:iCs/>
          <w:color w:val="000000" w:themeColor="text1"/>
          <w:lang w:val="en-US"/>
        </w:rPr>
        <w:t>HP3a: Industry concentration at local market level only affects the entry of large</w:t>
      </w:r>
      <w:r w:rsidR="00C22A9B" w:rsidRPr="00B5549F">
        <w:rPr>
          <w:rFonts w:ascii="Times New Roman" w:hAnsi="Times New Roman" w:cs="Times New Roman"/>
          <w:i/>
          <w:iCs/>
          <w:color w:val="000000" w:themeColor="text1"/>
          <w:lang w:val="en-US"/>
        </w:rPr>
        <w:t>-scale</w:t>
      </w:r>
      <w:r w:rsidRPr="00B5549F">
        <w:rPr>
          <w:rFonts w:ascii="Times New Roman" w:hAnsi="Times New Roman" w:cs="Times New Roman"/>
          <w:i/>
          <w:iCs/>
          <w:color w:val="000000" w:themeColor="text1"/>
          <w:lang w:val="en-US"/>
        </w:rPr>
        <w:t xml:space="preserve"> entrepreneurs, not the one of small</w:t>
      </w:r>
      <w:r w:rsidR="00C22A9B" w:rsidRPr="00B5549F">
        <w:rPr>
          <w:rFonts w:ascii="Times New Roman" w:hAnsi="Times New Roman" w:cs="Times New Roman"/>
          <w:i/>
          <w:iCs/>
          <w:color w:val="000000" w:themeColor="text1"/>
          <w:lang w:val="en-US"/>
        </w:rPr>
        <w:t>-scale</w:t>
      </w:r>
      <w:r w:rsidRPr="00B5549F">
        <w:rPr>
          <w:rFonts w:ascii="Times New Roman" w:hAnsi="Times New Roman" w:cs="Times New Roman"/>
          <w:i/>
          <w:iCs/>
          <w:color w:val="000000" w:themeColor="text1"/>
          <w:lang w:val="en-US"/>
        </w:rPr>
        <w:t xml:space="preserve"> entrepreneurs.</w:t>
      </w:r>
    </w:p>
    <w:p w14:paraId="60E0FF67" w14:textId="751071FC" w:rsidR="00734E66" w:rsidRPr="00B5549F" w:rsidRDefault="00734E66" w:rsidP="00980437">
      <w:pPr>
        <w:spacing w:before="120" w:line="480" w:lineRule="auto"/>
        <w:jc w:val="both"/>
        <w:rPr>
          <w:rFonts w:ascii="Times New Roman" w:hAnsi="Times New Roman" w:cs="Times New Roman"/>
          <w:i/>
          <w:iCs/>
          <w:color w:val="000000" w:themeColor="text1"/>
          <w:lang w:val="en-US"/>
        </w:rPr>
      </w:pPr>
      <w:r w:rsidRPr="00B5549F">
        <w:rPr>
          <w:rFonts w:ascii="Times New Roman" w:hAnsi="Times New Roman" w:cs="Times New Roman"/>
          <w:i/>
          <w:iCs/>
          <w:color w:val="000000" w:themeColor="text1"/>
          <w:lang w:val="en-US"/>
        </w:rPr>
        <w:t>HP3b: The relationship between concentration and entry of large</w:t>
      </w:r>
      <w:r w:rsidR="00C22A9B" w:rsidRPr="00B5549F">
        <w:rPr>
          <w:rFonts w:ascii="Times New Roman" w:hAnsi="Times New Roman" w:cs="Times New Roman"/>
          <w:i/>
          <w:iCs/>
          <w:color w:val="000000" w:themeColor="text1"/>
          <w:lang w:val="en-US"/>
        </w:rPr>
        <w:t>-scale</w:t>
      </w:r>
      <w:r w:rsidRPr="00B5549F">
        <w:rPr>
          <w:rFonts w:ascii="Times New Roman" w:hAnsi="Times New Roman" w:cs="Times New Roman"/>
          <w:i/>
          <w:iCs/>
          <w:color w:val="000000" w:themeColor="text1"/>
          <w:lang w:val="en-US"/>
        </w:rPr>
        <w:t xml:space="preserve"> entrepreneurs is bell-shaped.</w:t>
      </w:r>
    </w:p>
    <w:p w14:paraId="17A399A6" w14:textId="782D38AA" w:rsidR="00734E66" w:rsidRPr="00B5549F" w:rsidRDefault="008B21F3" w:rsidP="00980437">
      <w:pPr>
        <w:spacing w:before="120" w:line="480" w:lineRule="auto"/>
        <w:ind w:left="708"/>
        <w:jc w:val="both"/>
        <w:rPr>
          <w:rFonts w:ascii="Times New Roman" w:hAnsi="Times New Roman" w:cs="Times New Roman"/>
          <w:b/>
          <w:bCs/>
          <w:color w:val="000000" w:themeColor="text1"/>
          <w:lang w:val="en-US"/>
        </w:rPr>
      </w:pPr>
      <w:r w:rsidRPr="00B5549F">
        <w:rPr>
          <w:rFonts w:ascii="Times New Roman" w:hAnsi="Times New Roman" w:cs="Times New Roman"/>
          <w:b/>
          <w:bCs/>
          <w:color w:val="000000" w:themeColor="text1"/>
          <w:lang w:val="en-US"/>
        </w:rPr>
        <w:t>2.4.</w:t>
      </w:r>
      <w:r w:rsidR="000A6D37" w:rsidRPr="00B5549F">
        <w:rPr>
          <w:rFonts w:ascii="Times New Roman" w:hAnsi="Times New Roman" w:cs="Times New Roman"/>
          <w:b/>
          <w:bCs/>
          <w:color w:val="000000" w:themeColor="text1"/>
          <w:lang w:val="en-US"/>
        </w:rPr>
        <w:t xml:space="preserve"> </w:t>
      </w:r>
      <w:r w:rsidR="00734E66" w:rsidRPr="00B5549F">
        <w:rPr>
          <w:rFonts w:ascii="Times New Roman" w:hAnsi="Times New Roman" w:cs="Times New Roman"/>
          <w:b/>
          <w:bCs/>
          <w:color w:val="000000" w:themeColor="text1"/>
          <w:lang w:val="en-US"/>
        </w:rPr>
        <w:t>Local market determinants of the staged large entry</w:t>
      </w:r>
    </w:p>
    <w:p w14:paraId="294D0E4C" w14:textId="54F3C639" w:rsidR="00734E66" w:rsidRPr="00B5549F" w:rsidRDefault="00734E66"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As said above, acquiring knowledge about the factors affecting the competition process in a given local market is costly, but it is clearly essential for (prospective) entrepreneurs to gauge the profitability of a new business initiative in that spatially-bounded context. If the entry-related costs are small and do not contemplate </w:t>
      </w:r>
      <w:r w:rsidR="00C22A9B" w:rsidRPr="00B5549F">
        <w:rPr>
          <w:rFonts w:ascii="Times New Roman" w:hAnsi="Times New Roman" w:cs="Times New Roman"/>
          <w:color w:val="000000" w:themeColor="text1"/>
          <w:lang w:val="en-US"/>
        </w:rPr>
        <w:t>high</w:t>
      </w:r>
      <w:r w:rsidRPr="00B5549F">
        <w:rPr>
          <w:rFonts w:ascii="Times New Roman" w:hAnsi="Times New Roman" w:cs="Times New Roman"/>
          <w:color w:val="000000" w:themeColor="text1"/>
          <w:lang w:val="en-US"/>
        </w:rPr>
        <w:t xml:space="preserve"> non-redeployable investments on the side of the entrant, this latter can more easily adopt an ‘entry and see’ approach. In this respect, the small</w:t>
      </w:r>
      <w:r w:rsidR="00C22A9B" w:rsidRPr="00B5549F">
        <w:rPr>
          <w:rFonts w:ascii="Times New Roman" w:hAnsi="Times New Roman" w:cs="Times New Roman"/>
          <w:color w:val="000000" w:themeColor="text1"/>
          <w:lang w:val="en-US"/>
        </w:rPr>
        <w:t>-scale</w:t>
      </w:r>
      <w:r w:rsidRPr="00B5549F">
        <w:rPr>
          <w:rFonts w:ascii="Times New Roman" w:hAnsi="Times New Roman" w:cs="Times New Roman"/>
          <w:color w:val="000000" w:themeColor="text1"/>
          <w:lang w:val="en-US"/>
        </w:rPr>
        <w:t xml:space="preserve"> entrant obtains a (real) ‘option to expand’ (Dixit et al., 1994; </w:t>
      </w:r>
      <w:proofErr w:type="spellStart"/>
      <w:r w:rsidRPr="00B5549F">
        <w:rPr>
          <w:rFonts w:ascii="Times New Roman" w:hAnsi="Times New Roman" w:cs="Times New Roman"/>
          <w:color w:val="000000" w:themeColor="text1"/>
          <w:lang w:val="en-US"/>
        </w:rPr>
        <w:t>Trigeorgis</w:t>
      </w:r>
      <w:proofErr w:type="spellEnd"/>
      <w:r w:rsidRPr="00B5549F">
        <w:rPr>
          <w:rFonts w:ascii="Times New Roman" w:hAnsi="Times New Roman" w:cs="Times New Roman"/>
          <w:color w:val="000000" w:themeColor="text1"/>
          <w:lang w:val="en-US"/>
        </w:rPr>
        <w:t>, 1996) that allows h</w:t>
      </w:r>
      <w:r w:rsidR="00150261" w:rsidRPr="00B5549F">
        <w:rPr>
          <w:rFonts w:ascii="Times New Roman" w:hAnsi="Times New Roman" w:cs="Times New Roman"/>
          <w:color w:val="000000" w:themeColor="text1"/>
          <w:lang w:val="en-US"/>
        </w:rPr>
        <w:t>er</w:t>
      </w:r>
      <w:r w:rsidRPr="00B5549F">
        <w:rPr>
          <w:rFonts w:ascii="Times New Roman" w:hAnsi="Times New Roman" w:cs="Times New Roman"/>
          <w:color w:val="000000" w:themeColor="text1"/>
          <w:lang w:val="en-US"/>
        </w:rPr>
        <w:t xml:space="preserve"> to directly </w:t>
      </w:r>
      <w:r w:rsidRPr="00B5549F">
        <w:rPr>
          <w:rFonts w:ascii="Times New Roman" w:hAnsi="Times New Roman" w:cs="Times New Roman"/>
          <w:color w:val="000000" w:themeColor="text1"/>
          <w:lang w:val="en-US"/>
        </w:rPr>
        <w:lastRenderedPageBreak/>
        <w:t>‘experiment’ the perceived opportunity in the market, incurring only limited costs, but gaining more time to obtain and interpret relevant specific information (Roberts &amp; Weitzman, 1981; Kerr et al., 2014). This safe (i.e., relatively inexpensive) ‘learning sandbox’, makes entrepreneurs even more determined to acquire this knowledge, and the concrete possibility to do so appears less distant from a cognitive point of view (see Reuber &amp; Fisher, 1993; Cope, 2005). Then, small</w:t>
      </w:r>
      <w:r w:rsidR="00C22A9B" w:rsidRPr="00B5549F">
        <w:rPr>
          <w:rFonts w:ascii="Times New Roman" w:hAnsi="Times New Roman" w:cs="Times New Roman"/>
          <w:color w:val="000000" w:themeColor="text1"/>
          <w:lang w:val="en-US"/>
        </w:rPr>
        <w:t>-scale</w:t>
      </w:r>
      <w:r w:rsidRPr="00B5549F">
        <w:rPr>
          <w:rFonts w:ascii="Times New Roman" w:hAnsi="Times New Roman" w:cs="Times New Roman"/>
          <w:color w:val="000000" w:themeColor="text1"/>
          <w:lang w:val="en-US"/>
        </w:rPr>
        <w:t xml:space="preserve"> entrepreneurs have always the possibility to keep their option in staying small (or even exiting), but some of them may choose to ‘kill’ (i.e., exercise) the option (Folta et al., 2010; </w:t>
      </w:r>
      <w:proofErr w:type="spellStart"/>
      <w:r w:rsidRPr="00B5549F">
        <w:rPr>
          <w:rFonts w:ascii="Times New Roman" w:hAnsi="Times New Roman" w:cs="Times New Roman"/>
          <w:color w:val="000000" w:themeColor="text1"/>
          <w:lang w:val="en-US"/>
        </w:rPr>
        <w:t>Raffiee</w:t>
      </w:r>
      <w:proofErr w:type="spellEnd"/>
      <w:r w:rsidRPr="00B5549F">
        <w:rPr>
          <w:rFonts w:ascii="Times New Roman" w:hAnsi="Times New Roman" w:cs="Times New Roman"/>
          <w:color w:val="000000" w:themeColor="text1"/>
          <w:lang w:val="en-US"/>
        </w:rPr>
        <w:t xml:space="preserve"> &amp; Feng, 2014; </w:t>
      </w:r>
      <w:proofErr w:type="spellStart"/>
      <w:r w:rsidRPr="00B5549F">
        <w:rPr>
          <w:rFonts w:ascii="Times New Roman" w:hAnsi="Times New Roman" w:cs="Times New Roman"/>
          <w:color w:val="000000" w:themeColor="text1"/>
          <w:lang w:val="en-US"/>
        </w:rPr>
        <w:t>Gänser</w:t>
      </w:r>
      <w:proofErr w:type="spellEnd"/>
      <w:r w:rsidRPr="00B5549F">
        <w:rPr>
          <w:rFonts w:ascii="Times New Roman" w:hAnsi="Times New Roman" w:cs="Times New Roman"/>
          <w:color w:val="000000" w:themeColor="text1"/>
          <w:lang w:val="en-US"/>
        </w:rPr>
        <w:t xml:space="preserve">-Stickler et al., 2022): decide to embrace an higher degree of irreversibility, and choose to upscale their entrepreneurial </w:t>
      </w:r>
      <w:proofErr w:type="spellStart"/>
      <w:r w:rsidRPr="00B5549F">
        <w:rPr>
          <w:rFonts w:ascii="Times New Roman" w:hAnsi="Times New Roman" w:cs="Times New Roman"/>
          <w:color w:val="000000" w:themeColor="text1"/>
          <w:lang w:val="en-US"/>
        </w:rPr>
        <w:t>endeavour</w:t>
      </w:r>
      <w:proofErr w:type="spellEnd"/>
      <w:r w:rsidRPr="00B5549F">
        <w:rPr>
          <w:rFonts w:ascii="Times New Roman" w:hAnsi="Times New Roman" w:cs="Times New Roman"/>
          <w:color w:val="000000" w:themeColor="text1"/>
          <w:lang w:val="en-US"/>
        </w:rPr>
        <w:t>, and in doing so, pursue the possibility to gain more profits (i.e., forego less profits by remaining small). In this vein, we posit that the ‘end point’ in terms of responsiveness to local market conditions for this entrepreneurial process, i.e., from small</w:t>
      </w:r>
      <w:r w:rsidR="00C22A9B" w:rsidRPr="00B5549F">
        <w:rPr>
          <w:rFonts w:ascii="Times New Roman" w:hAnsi="Times New Roman" w:cs="Times New Roman"/>
          <w:color w:val="000000" w:themeColor="text1"/>
          <w:lang w:val="en-US"/>
        </w:rPr>
        <w:t>-</w:t>
      </w:r>
      <w:r w:rsidRPr="00B5549F">
        <w:rPr>
          <w:rFonts w:ascii="Times New Roman" w:hAnsi="Times New Roman" w:cs="Times New Roman"/>
          <w:color w:val="000000" w:themeColor="text1"/>
          <w:lang w:val="en-US"/>
        </w:rPr>
        <w:t xml:space="preserve"> to large</w:t>
      </w:r>
      <w:r w:rsidR="00C22A9B" w:rsidRPr="00B5549F">
        <w:rPr>
          <w:rFonts w:ascii="Times New Roman" w:hAnsi="Times New Roman" w:cs="Times New Roman"/>
          <w:color w:val="000000" w:themeColor="text1"/>
          <w:lang w:val="en-US"/>
        </w:rPr>
        <w:t>-scale</w:t>
      </w:r>
      <w:r w:rsidRPr="00B5549F">
        <w:rPr>
          <w:rFonts w:ascii="Times New Roman" w:hAnsi="Times New Roman" w:cs="Times New Roman"/>
          <w:color w:val="000000" w:themeColor="text1"/>
          <w:lang w:val="en-US"/>
        </w:rPr>
        <w:t>, is the same as the one experienced by large</w:t>
      </w:r>
      <w:r w:rsidR="00C22A9B" w:rsidRPr="00B5549F">
        <w:rPr>
          <w:rFonts w:ascii="Times New Roman" w:hAnsi="Times New Roman" w:cs="Times New Roman"/>
          <w:color w:val="000000" w:themeColor="text1"/>
          <w:lang w:val="en-US"/>
        </w:rPr>
        <w:t>-scale</w:t>
      </w:r>
      <w:r w:rsidRPr="00B5549F">
        <w:rPr>
          <w:rFonts w:ascii="Times New Roman" w:hAnsi="Times New Roman" w:cs="Times New Roman"/>
          <w:color w:val="000000" w:themeColor="text1"/>
          <w:lang w:val="en-US"/>
        </w:rPr>
        <w:t xml:space="preserve"> entrants in the first place. In other terms, the dependence of large-scale entry </w:t>
      </w:r>
      <w:r w:rsidR="009B6650" w:rsidRPr="0082106E">
        <w:rPr>
          <w:rFonts w:ascii="Times New Roman" w:hAnsi="Times New Roman" w:cs="Times New Roman"/>
          <w:b/>
          <w:bCs/>
          <w:color w:val="4472C4" w:themeColor="accent1"/>
          <w:lang w:val="en-US"/>
        </w:rPr>
        <w:t>on</w:t>
      </w:r>
      <w:r w:rsidR="009B6650" w:rsidRPr="00B5549F">
        <w:rPr>
          <w:rFonts w:ascii="Times New Roman" w:hAnsi="Times New Roman" w:cs="Times New Roman"/>
          <w:color w:val="000000" w:themeColor="text1"/>
          <w:lang w:val="en-US"/>
        </w:rPr>
        <w:t xml:space="preserve"> </w:t>
      </w:r>
      <w:r w:rsidRPr="00B5549F">
        <w:rPr>
          <w:rFonts w:ascii="Times New Roman" w:hAnsi="Times New Roman" w:cs="Times New Roman"/>
          <w:color w:val="000000" w:themeColor="text1"/>
          <w:lang w:val="en-US"/>
        </w:rPr>
        <w:t>variables such as the different quality of the local demand segment</w:t>
      </w:r>
      <w:r w:rsidR="005837A5">
        <w:rPr>
          <w:rFonts w:ascii="Times New Roman" w:hAnsi="Times New Roman" w:cs="Times New Roman"/>
          <w:color w:val="000000" w:themeColor="text1"/>
          <w:lang w:val="en-US"/>
        </w:rPr>
        <w:t xml:space="preserve"> </w:t>
      </w:r>
      <w:r w:rsidR="005837A5" w:rsidRPr="005837A5">
        <w:rPr>
          <w:rFonts w:ascii="Times New Roman" w:hAnsi="Times New Roman" w:cs="Times New Roman"/>
          <w:b/>
          <w:bCs/>
          <w:color w:val="4472C4" w:themeColor="accent1"/>
          <w:lang w:val="en-US"/>
        </w:rPr>
        <w:t xml:space="preserve">(which is supposed to have </w:t>
      </w:r>
      <w:r w:rsidR="005837A5">
        <w:rPr>
          <w:rFonts w:ascii="Times New Roman" w:hAnsi="Times New Roman" w:cs="Times New Roman"/>
          <w:b/>
          <w:bCs/>
          <w:color w:val="4472C4" w:themeColor="accent1"/>
          <w:lang w:val="en-US"/>
        </w:rPr>
        <w:t xml:space="preserve">a more </w:t>
      </w:r>
      <w:r w:rsidR="005837A5" w:rsidRPr="005837A5">
        <w:rPr>
          <w:rFonts w:ascii="Times New Roman" w:hAnsi="Times New Roman" w:cs="Times New Roman"/>
          <w:b/>
          <w:bCs/>
          <w:color w:val="4472C4" w:themeColor="accent1"/>
          <w:lang w:val="en-US"/>
        </w:rPr>
        <w:t xml:space="preserve">positive effect on the entry of large entrepreneurs than </w:t>
      </w:r>
      <w:r w:rsidR="00887289">
        <w:rPr>
          <w:rFonts w:ascii="Times New Roman" w:hAnsi="Times New Roman" w:cs="Times New Roman"/>
          <w:b/>
          <w:bCs/>
          <w:color w:val="4472C4" w:themeColor="accent1"/>
          <w:lang w:val="en-US"/>
        </w:rPr>
        <w:t>on that</w:t>
      </w:r>
      <w:r w:rsidR="005837A5" w:rsidRPr="005837A5">
        <w:rPr>
          <w:rFonts w:ascii="Times New Roman" w:hAnsi="Times New Roman" w:cs="Times New Roman"/>
          <w:b/>
          <w:bCs/>
          <w:color w:val="4472C4" w:themeColor="accent1"/>
          <w:lang w:val="en-US"/>
        </w:rPr>
        <w:t xml:space="preserve"> of small entrepreneurs, see HP2c)</w:t>
      </w:r>
      <w:r w:rsidRPr="005837A5">
        <w:rPr>
          <w:rFonts w:ascii="Times New Roman" w:hAnsi="Times New Roman" w:cs="Times New Roman"/>
          <w:color w:val="4472C4" w:themeColor="accent1"/>
          <w:lang w:val="en-US"/>
        </w:rPr>
        <w:t xml:space="preserve"> </w:t>
      </w:r>
      <w:r w:rsidRPr="00B5549F">
        <w:rPr>
          <w:rFonts w:ascii="Times New Roman" w:hAnsi="Times New Roman" w:cs="Times New Roman"/>
          <w:color w:val="000000" w:themeColor="text1"/>
          <w:lang w:val="en-US"/>
        </w:rPr>
        <w:t>and the spatial concentration of competitors</w:t>
      </w:r>
      <w:r w:rsidR="005837A5">
        <w:rPr>
          <w:rFonts w:ascii="Times New Roman" w:hAnsi="Times New Roman" w:cs="Times New Roman"/>
          <w:color w:val="000000" w:themeColor="text1"/>
          <w:lang w:val="en-US"/>
        </w:rPr>
        <w:t xml:space="preserve"> </w:t>
      </w:r>
      <w:r w:rsidR="005837A5" w:rsidRPr="005837A5">
        <w:rPr>
          <w:rFonts w:ascii="Times New Roman" w:hAnsi="Times New Roman" w:cs="Times New Roman"/>
          <w:b/>
          <w:bCs/>
          <w:color w:val="4472C4" w:themeColor="accent1"/>
          <w:lang w:val="en-US"/>
        </w:rPr>
        <w:t xml:space="preserve">(which is </w:t>
      </w:r>
      <w:r w:rsidR="00E511CB">
        <w:rPr>
          <w:rFonts w:ascii="Times New Roman" w:hAnsi="Times New Roman" w:cs="Times New Roman"/>
          <w:b/>
          <w:bCs/>
          <w:color w:val="4472C4" w:themeColor="accent1"/>
          <w:lang w:val="en-US"/>
        </w:rPr>
        <w:t>expected</w:t>
      </w:r>
      <w:r w:rsidR="00E511CB" w:rsidRPr="005837A5">
        <w:rPr>
          <w:rFonts w:ascii="Times New Roman" w:hAnsi="Times New Roman" w:cs="Times New Roman"/>
          <w:b/>
          <w:bCs/>
          <w:color w:val="4472C4" w:themeColor="accent1"/>
          <w:lang w:val="en-US"/>
        </w:rPr>
        <w:t xml:space="preserve"> </w:t>
      </w:r>
      <w:r w:rsidR="005837A5" w:rsidRPr="005837A5">
        <w:rPr>
          <w:rFonts w:ascii="Times New Roman" w:hAnsi="Times New Roman" w:cs="Times New Roman"/>
          <w:b/>
          <w:bCs/>
          <w:color w:val="4472C4" w:themeColor="accent1"/>
          <w:lang w:val="en-US"/>
        </w:rPr>
        <w:t xml:space="preserve">to </w:t>
      </w:r>
      <w:r w:rsidR="009429FE">
        <w:rPr>
          <w:rFonts w:ascii="Times New Roman" w:hAnsi="Times New Roman" w:cs="Times New Roman"/>
          <w:b/>
          <w:bCs/>
          <w:color w:val="4472C4" w:themeColor="accent1"/>
          <w:lang w:val="en-US"/>
        </w:rPr>
        <w:t>exert a significant effect on</w:t>
      </w:r>
      <w:r w:rsidR="005837A5" w:rsidRPr="005837A5">
        <w:rPr>
          <w:rFonts w:ascii="Times New Roman" w:hAnsi="Times New Roman" w:cs="Times New Roman"/>
          <w:b/>
          <w:bCs/>
          <w:color w:val="4472C4" w:themeColor="accent1"/>
          <w:lang w:val="en-US"/>
        </w:rPr>
        <w:t xml:space="preserve"> the entry of large entrepreneurs</w:t>
      </w:r>
      <w:r w:rsidR="005837A5">
        <w:rPr>
          <w:rFonts w:ascii="Times New Roman" w:hAnsi="Times New Roman" w:cs="Times New Roman"/>
          <w:b/>
          <w:bCs/>
          <w:color w:val="4472C4" w:themeColor="accent1"/>
          <w:lang w:val="en-US"/>
        </w:rPr>
        <w:t xml:space="preserve"> only, </w:t>
      </w:r>
      <w:r w:rsidR="00E511CB">
        <w:rPr>
          <w:rFonts w:ascii="Times New Roman" w:hAnsi="Times New Roman" w:cs="Times New Roman"/>
          <w:b/>
          <w:bCs/>
          <w:color w:val="4472C4" w:themeColor="accent1"/>
          <w:lang w:val="en-US"/>
        </w:rPr>
        <w:t>following</w:t>
      </w:r>
      <w:r w:rsidR="005837A5">
        <w:rPr>
          <w:rFonts w:ascii="Times New Roman" w:hAnsi="Times New Roman" w:cs="Times New Roman"/>
          <w:b/>
          <w:bCs/>
          <w:color w:val="4472C4" w:themeColor="accent1"/>
          <w:lang w:val="en-US"/>
        </w:rPr>
        <w:t xml:space="preserve"> an inverse U-shaped</w:t>
      </w:r>
      <w:r w:rsidR="00DF6F0A">
        <w:rPr>
          <w:rFonts w:ascii="Times New Roman" w:hAnsi="Times New Roman" w:cs="Times New Roman"/>
          <w:b/>
          <w:bCs/>
          <w:color w:val="4472C4" w:themeColor="accent1"/>
          <w:lang w:val="en-US"/>
        </w:rPr>
        <w:t xml:space="preserve"> relationship</w:t>
      </w:r>
      <w:r w:rsidR="005837A5" w:rsidRPr="005837A5">
        <w:rPr>
          <w:rFonts w:ascii="Times New Roman" w:hAnsi="Times New Roman" w:cs="Times New Roman"/>
          <w:b/>
          <w:bCs/>
          <w:color w:val="4472C4" w:themeColor="accent1"/>
          <w:lang w:val="en-US"/>
        </w:rPr>
        <w:t>, see HP</w:t>
      </w:r>
      <w:r w:rsidR="005837A5">
        <w:rPr>
          <w:rFonts w:ascii="Times New Roman" w:hAnsi="Times New Roman" w:cs="Times New Roman"/>
          <w:b/>
          <w:bCs/>
          <w:color w:val="4472C4" w:themeColor="accent1"/>
          <w:lang w:val="en-US"/>
        </w:rPr>
        <w:t>3a and HP3b</w:t>
      </w:r>
      <w:r w:rsidR="005837A5" w:rsidRPr="005837A5">
        <w:rPr>
          <w:rFonts w:ascii="Times New Roman" w:hAnsi="Times New Roman" w:cs="Times New Roman"/>
          <w:b/>
          <w:bCs/>
          <w:color w:val="4472C4" w:themeColor="accent1"/>
          <w:lang w:val="en-US"/>
        </w:rPr>
        <w:t>)</w:t>
      </w:r>
      <w:r w:rsidRPr="00B5549F">
        <w:rPr>
          <w:rFonts w:ascii="Times New Roman" w:hAnsi="Times New Roman" w:cs="Times New Roman"/>
          <w:color w:val="000000" w:themeColor="text1"/>
          <w:lang w:val="en-US"/>
        </w:rPr>
        <w:t xml:space="preserve"> do not differ significantly whether </w:t>
      </w:r>
      <w:r w:rsidR="0084376B" w:rsidRPr="00B5549F">
        <w:rPr>
          <w:rFonts w:ascii="Times New Roman" w:hAnsi="Times New Roman" w:cs="Times New Roman"/>
          <w:color w:val="000000" w:themeColor="text1"/>
          <w:lang w:val="en-US"/>
        </w:rPr>
        <w:t>large-scale</w:t>
      </w:r>
      <w:r w:rsidRPr="00B5549F">
        <w:rPr>
          <w:rFonts w:ascii="Times New Roman" w:hAnsi="Times New Roman" w:cs="Times New Roman"/>
          <w:color w:val="000000" w:themeColor="text1"/>
          <w:lang w:val="en-US"/>
        </w:rPr>
        <w:t xml:space="preserve"> is chosen immediately or comes later. Potential entrepreneurs are clearly heterogeneous in their initial knowledge endowment (e.g., Colombo &amp; Grilli, 2005), in their capacity to overcome bounded-rationality limits (Simon, 1979) and they have different risk/uncertainty profiles (e.g., Barnett, 2008; </w:t>
      </w:r>
      <w:proofErr w:type="spellStart"/>
      <w:r w:rsidRPr="00B5549F">
        <w:rPr>
          <w:rFonts w:ascii="Times New Roman" w:hAnsi="Times New Roman" w:cs="Times New Roman"/>
          <w:color w:val="000000" w:themeColor="text1"/>
          <w:lang w:val="en-US"/>
        </w:rPr>
        <w:t>Raffiee</w:t>
      </w:r>
      <w:proofErr w:type="spellEnd"/>
      <w:r w:rsidRPr="00B5549F">
        <w:rPr>
          <w:rFonts w:ascii="Times New Roman" w:hAnsi="Times New Roman" w:cs="Times New Roman"/>
          <w:color w:val="000000" w:themeColor="text1"/>
          <w:lang w:val="en-US"/>
        </w:rPr>
        <w:t xml:space="preserve"> &amp; Feng, 2014; </w:t>
      </w:r>
      <w:proofErr w:type="spellStart"/>
      <w:r w:rsidRPr="00B5549F">
        <w:rPr>
          <w:rFonts w:ascii="Times New Roman" w:hAnsi="Times New Roman" w:cs="Times New Roman"/>
          <w:color w:val="000000" w:themeColor="text1"/>
          <w:lang w:val="en-US"/>
        </w:rPr>
        <w:t>Gänser</w:t>
      </w:r>
      <w:proofErr w:type="spellEnd"/>
      <w:r w:rsidRPr="00B5549F">
        <w:rPr>
          <w:rFonts w:ascii="Times New Roman" w:hAnsi="Times New Roman" w:cs="Times New Roman"/>
          <w:color w:val="000000" w:themeColor="text1"/>
          <w:lang w:val="en-US"/>
        </w:rPr>
        <w:t xml:space="preserve">-Stickler et al., 2022). All this heterogeneity will clearly be reflected into a different timing on the </w:t>
      </w:r>
      <w:r w:rsidR="00514887" w:rsidRPr="00B5549F">
        <w:rPr>
          <w:rFonts w:ascii="Times New Roman" w:hAnsi="Times New Roman" w:cs="Times New Roman"/>
          <w:color w:val="000000" w:themeColor="text1"/>
          <w:lang w:val="en-US"/>
        </w:rPr>
        <w:t xml:space="preserve">possible </w:t>
      </w:r>
      <w:r w:rsidRPr="00B5549F">
        <w:rPr>
          <w:rFonts w:ascii="Times New Roman" w:hAnsi="Times New Roman" w:cs="Times New Roman"/>
          <w:color w:val="000000" w:themeColor="text1"/>
          <w:lang w:val="en-US"/>
        </w:rPr>
        <w:t xml:space="preserve">choices of </w:t>
      </w:r>
      <w:r w:rsidR="0084376B" w:rsidRPr="00B5549F">
        <w:rPr>
          <w:rFonts w:ascii="Times New Roman" w:hAnsi="Times New Roman" w:cs="Times New Roman"/>
          <w:color w:val="000000" w:themeColor="text1"/>
          <w:lang w:val="en-US"/>
        </w:rPr>
        <w:t>being large in scale</w:t>
      </w:r>
      <w:r w:rsidRPr="00B5549F">
        <w:rPr>
          <w:rFonts w:ascii="Times New Roman" w:hAnsi="Times New Roman" w:cs="Times New Roman"/>
          <w:color w:val="000000" w:themeColor="text1"/>
          <w:lang w:val="en-US"/>
        </w:rPr>
        <w:t xml:space="preserve">. But we claim that what changes in these cases, given the ‘learning sandbox’ offered by the platform, is just the different ‘timing’, while the bulk of relevant ‘local market’ information underlying the decisions of a large-scale of operations remains the same. Thus, the scaling up of operations through the digital external enabler will be ultimately related to sound economic forces together with the information and competences </w:t>
      </w:r>
      <w:r w:rsidRPr="00B5549F">
        <w:rPr>
          <w:rFonts w:ascii="Times New Roman" w:hAnsi="Times New Roman" w:cs="Times New Roman"/>
          <w:color w:val="000000" w:themeColor="text1"/>
          <w:lang w:val="en-US"/>
        </w:rPr>
        <w:lastRenderedPageBreak/>
        <w:t>acquired during the ‘learning period’ as a small-scale entrepreneur, rather than being solely due to specific (innate) characteristics of individuals (e.g. Funder, 2001; Raffie &amp; Feng, 2014; Thorgren et al., 2016). Therefore, we should observe that:</w:t>
      </w:r>
    </w:p>
    <w:p w14:paraId="1D4D5A62" w14:textId="41BEB044" w:rsidR="00734E66" w:rsidRPr="00B5549F" w:rsidRDefault="00734E66" w:rsidP="00980437">
      <w:pPr>
        <w:spacing w:before="120" w:line="480" w:lineRule="auto"/>
        <w:jc w:val="both"/>
        <w:rPr>
          <w:rFonts w:ascii="Times New Roman" w:hAnsi="Times New Roman" w:cs="Times New Roman"/>
          <w:i/>
          <w:iCs/>
          <w:color w:val="000000" w:themeColor="text1"/>
          <w:lang w:val="en-US"/>
        </w:rPr>
      </w:pPr>
      <w:r w:rsidRPr="00B5549F">
        <w:rPr>
          <w:rFonts w:ascii="Times New Roman" w:hAnsi="Times New Roman" w:cs="Times New Roman"/>
          <w:i/>
          <w:iCs/>
          <w:color w:val="000000" w:themeColor="text1"/>
          <w:lang w:val="en-US"/>
        </w:rPr>
        <w:t>HP4: Transition from a small- to a large-scale depends on the same economic variables (i.e., high-</w:t>
      </w:r>
      <w:r w:rsidR="007B2205" w:rsidRPr="00B5549F">
        <w:rPr>
          <w:rFonts w:ascii="Times New Roman" w:hAnsi="Times New Roman" w:cs="Times New Roman"/>
          <w:i/>
          <w:iCs/>
          <w:color w:val="000000" w:themeColor="text1"/>
          <w:lang w:val="en-US"/>
        </w:rPr>
        <w:t>end</w:t>
      </w:r>
      <w:r w:rsidRPr="00B5549F">
        <w:rPr>
          <w:rFonts w:ascii="Times New Roman" w:hAnsi="Times New Roman" w:cs="Times New Roman"/>
          <w:i/>
          <w:iCs/>
          <w:color w:val="000000" w:themeColor="text1"/>
          <w:lang w:val="en-US"/>
        </w:rPr>
        <w:t xml:space="preserve"> specialization and concentration) that influence large entry in the first place.</w:t>
      </w:r>
    </w:p>
    <w:p w14:paraId="79FF7158" w14:textId="5F268823" w:rsidR="00734E66" w:rsidRPr="00B5549F" w:rsidRDefault="00734E66" w:rsidP="00980437">
      <w:pPr>
        <w:pStyle w:val="Paragrafoelenco"/>
        <w:numPr>
          <w:ilvl w:val="0"/>
          <w:numId w:val="7"/>
        </w:numPr>
        <w:spacing w:before="120" w:line="480" w:lineRule="auto"/>
        <w:jc w:val="both"/>
        <w:rPr>
          <w:rFonts w:ascii="Times New Roman" w:hAnsi="Times New Roman" w:cs="Times New Roman"/>
          <w:b/>
          <w:bCs/>
          <w:color w:val="000000" w:themeColor="text1"/>
          <w:lang w:val="en-US"/>
        </w:rPr>
      </w:pPr>
      <w:r w:rsidRPr="00B5549F">
        <w:rPr>
          <w:rFonts w:ascii="Times New Roman" w:hAnsi="Times New Roman" w:cs="Times New Roman"/>
          <w:b/>
          <w:bCs/>
          <w:color w:val="000000" w:themeColor="text1"/>
          <w:lang w:val="en-US"/>
        </w:rPr>
        <w:t>DATA AND METHODOLOGIES</w:t>
      </w:r>
    </w:p>
    <w:p w14:paraId="051B39AA" w14:textId="69339792" w:rsidR="00734E66" w:rsidRPr="00B5549F" w:rsidRDefault="000A6D37" w:rsidP="00980437">
      <w:pPr>
        <w:keepNext/>
        <w:spacing w:before="120" w:line="480" w:lineRule="auto"/>
        <w:ind w:firstLine="708"/>
        <w:jc w:val="both"/>
        <w:rPr>
          <w:rFonts w:ascii="Times New Roman" w:hAnsi="Times New Roman" w:cs="Times New Roman"/>
          <w:b/>
          <w:bCs/>
          <w:color w:val="000000" w:themeColor="text1"/>
          <w:lang w:val="en-US"/>
        </w:rPr>
      </w:pPr>
      <w:r w:rsidRPr="00B5549F">
        <w:rPr>
          <w:rFonts w:ascii="Times New Roman" w:hAnsi="Times New Roman" w:cs="Times New Roman"/>
          <w:b/>
          <w:bCs/>
          <w:color w:val="000000" w:themeColor="text1"/>
          <w:lang w:val="en-US"/>
        </w:rPr>
        <w:t xml:space="preserve">3.1. </w:t>
      </w:r>
      <w:r w:rsidR="00734E66" w:rsidRPr="00B5549F">
        <w:rPr>
          <w:rFonts w:ascii="Times New Roman" w:hAnsi="Times New Roman" w:cs="Times New Roman"/>
          <w:b/>
          <w:bCs/>
          <w:color w:val="000000" w:themeColor="text1"/>
          <w:lang w:val="en-US"/>
        </w:rPr>
        <w:t>Empirical setting: Airbnb and the short-term rentals market</w:t>
      </w:r>
    </w:p>
    <w:p w14:paraId="4559067F" w14:textId="66081EC5" w:rsidR="00734E66" w:rsidRPr="00B5549F" w:rsidRDefault="00734E66"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Our hypotheses are tested within the novel short-term rental market, focusing on the digital platform Airbnb, operating in the short-term hospitality sector. </w:t>
      </w:r>
      <w:r w:rsidR="0067514C" w:rsidRPr="00B5549F">
        <w:rPr>
          <w:rFonts w:ascii="Times New Roman" w:hAnsi="Times New Roman" w:cs="Times New Roman"/>
          <w:color w:val="000000" w:themeColor="text1"/>
          <w:lang w:val="en-US"/>
        </w:rPr>
        <w:t>Being increasingly used in the field</w:t>
      </w:r>
      <w:r w:rsidR="003F7660" w:rsidRPr="00B5549F">
        <w:rPr>
          <w:rFonts w:ascii="Times New Roman" w:hAnsi="Times New Roman" w:cs="Times New Roman"/>
          <w:color w:val="000000" w:themeColor="text1"/>
          <w:lang w:val="en-US"/>
        </w:rPr>
        <w:t>s</w:t>
      </w:r>
      <w:r w:rsidR="0067514C" w:rsidRPr="00B5549F">
        <w:rPr>
          <w:rFonts w:ascii="Times New Roman" w:hAnsi="Times New Roman" w:cs="Times New Roman"/>
          <w:color w:val="000000" w:themeColor="text1"/>
          <w:lang w:val="en-US"/>
        </w:rPr>
        <w:t xml:space="preserve"> of industrial organization (Zervas et al., 2017; Farronato &amp; Fradkin, 2018) and entrepreneurship (McBride &amp; Wuebker, 2022; Davidsson, 2022; Gerwe et al., 2022</w:t>
      </w:r>
      <w:r w:rsidR="003F7660" w:rsidRPr="00B5549F">
        <w:rPr>
          <w:rFonts w:ascii="Times New Roman" w:hAnsi="Times New Roman" w:cs="Times New Roman"/>
          <w:color w:val="000000" w:themeColor="text1"/>
          <w:lang w:val="en-US"/>
        </w:rPr>
        <w:t xml:space="preserve">; </w:t>
      </w:r>
      <w:r w:rsidR="003F7660" w:rsidRPr="0082106E">
        <w:rPr>
          <w:rFonts w:ascii="Times New Roman" w:hAnsi="Times New Roman" w:cs="Times New Roman"/>
          <w:b/>
          <w:bCs/>
          <w:color w:val="4472C4" w:themeColor="accent1"/>
          <w:lang w:val="en-US"/>
        </w:rPr>
        <w:t>Silva &amp; Gerwe, 202</w:t>
      </w:r>
      <w:r w:rsidR="00176EBB" w:rsidRPr="0082106E">
        <w:rPr>
          <w:rFonts w:ascii="Times New Roman" w:hAnsi="Times New Roman" w:cs="Times New Roman"/>
          <w:b/>
          <w:bCs/>
          <w:color w:val="4472C4" w:themeColor="accent1"/>
          <w:lang w:val="en-US"/>
        </w:rPr>
        <w:t>4</w:t>
      </w:r>
      <w:r w:rsidR="0067514C" w:rsidRPr="00B5549F">
        <w:rPr>
          <w:rFonts w:ascii="Times New Roman" w:hAnsi="Times New Roman" w:cs="Times New Roman"/>
          <w:color w:val="000000" w:themeColor="text1"/>
          <w:lang w:val="en-US"/>
        </w:rPr>
        <w:t xml:space="preserve">) </w:t>
      </w:r>
      <w:r w:rsidRPr="00B5549F">
        <w:rPr>
          <w:rFonts w:ascii="Times New Roman" w:hAnsi="Times New Roman" w:cs="Times New Roman"/>
          <w:color w:val="000000" w:themeColor="text1"/>
          <w:lang w:val="en-US"/>
        </w:rPr>
        <w:t>Airbnb and the market for short-term accommodation are a particularly suited context where to address the role of platforms as ‘external enablers’ of entrepreneurial actions. First consider that platforms like Airbnb or Uber – differently from other platforms like Amazon or eBay, that concentrate trades into single de-localized markets – help matching demand and supply into a localized area. Therefore, this type of platforms operates in a large number of well-separated different sub-markets, characterized by very different industrial, geographic, and social properties (such as different levels and compositions of entry costs, demand conditions and saturation thresholds), thus allowing our research to adopt a ‘contextual entrepreneurship’ view (Welter, 2011) and to understand how the enabling role of the platform in terms of entrepreneurial opportunities actually seized is shaped by specific external conditions.</w:t>
      </w:r>
    </w:p>
    <w:p w14:paraId="3B5C6F8A" w14:textId="1D9B8E43" w:rsidR="00734E66" w:rsidRPr="00B5549F" w:rsidRDefault="00734E66"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Moreover, Airbnb is a perfect case where to analyze entrepreneurial incentives on very different types of entrepreneurs subject to different competitive conditions: on the one hand, competition in this industry includes a differentiated presence of traditional entrepreneurs (i.e., hotels); on the other hand, Airbnb offers business opportunities to different kinds of entrepreneurs, captured by their scale, as </w:t>
      </w:r>
      <w:r w:rsidRPr="00B5549F">
        <w:rPr>
          <w:rFonts w:ascii="Times New Roman" w:hAnsi="Times New Roman" w:cs="Times New Roman"/>
          <w:color w:val="000000" w:themeColor="text1"/>
          <w:lang w:val="en-US"/>
        </w:rPr>
        <w:lastRenderedPageBreak/>
        <w:t>suggested in the literature (see, for example, Dogru et al., 2020a</w:t>
      </w:r>
      <w:r w:rsidR="000F3ACA" w:rsidRPr="00B5549F">
        <w:rPr>
          <w:rFonts w:ascii="Times New Roman" w:hAnsi="Times New Roman" w:cs="Times New Roman"/>
          <w:color w:val="000000" w:themeColor="text1"/>
          <w:lang w:val="en-US"/>
        </w:rPr>
        <w:t xml:space="preserve"> and </w:t>
      </w:r>
      <w:r w:rsidR="000F3ACA" w:rsidRPr="0082106E">
        <w:rPr>
          <w:rFonts w:ascii="Times New Roman" w:hAnsi="Times New Roman" w:cs="Times New Roman"/>
          <w:b/>
          <w:bCs/>
          <w:color w:val="4472C4" w:themeColor="accent1"/>
          <w:lang w:val="en-US"/>
        </w:rPr>
        <w:t>Silva &amp; Gerwe, 202</w:t>
      </w:r>
      <w:r w:rsidR="00176EBB" w:rsidRPr="0082106E">
        <w:rPr>
          <w:rFonts w:ascii="Times New Roman" w:hAnsi="Times New Roman" w:cs="Times New Roman"/>
          <w:b/>
          <w:bCs/>
          <w:color w:val="4472C4" w:themeColor="accent1"/>
          <w:lang w:val="en-US"/>
        </w:rPr>
        <w:t>4</w:t>
      </w:r>
      <w:r w:rsidRPr="00B5549F">
        <w:rPr>
          <w:rFonts w:ascii="Times New Roman" w:hAnsi="Times New Roman" w:cs="Times New Roman"/>
          <w:color w:val="000000" w:themeColor="text1"/>
          <w:lang w:val="en-US"/>
        </w:rPr>
        <w:t>). This offers the entrepreneurs a chance to easily adopt ‘gradual strategies’ which envisage the possibility to also observe transitions between small-scale and large-scale entrepreneurial categories.</w:t>
      </w:r>
    </w:p>
    <w:p w14:paraId="47C58358" w14:textId="1D7417C4" w:rsidR="00734E66" w:rsidRPr="00B5549F" w:rsidRDefault="000A6D37" w:rsidP="00980437">
      <w:pPr>
        <w:pStyle w:val="Paragrafoelenco"/>
        <w:numPr>
          <w:ilvl w:val="1"/>
          <w:numId w:val="7"/>
        </w:numPr>
        <w:spacing w:before="120" w:line="480" w:lineRule="auto"/>
        <w:jc w:val="both"/>
        <w:rPr>
          <w:rFonts w:ascii="Times New Roman" w:hAnsi="Times New Roman" w:cs="Times New Roman"/>
          <w:b/>
          <w:bCs/>
          <w:color w:val="000000" w:themeColor="text1"/>
          <w:lang w:val="en-US"/>
        </w:rPr>
      </w:pPr>
      <w:r w:rsidRPr="00B5549F">
        <w:rPr>
          <w:rFonts w:ascii="Times New Roman" w:hAnsi="Times New Roman" w:cs="Times New Roman"/>
          <w:b/>
          <w:bCs/>
          <w:color w:val="000000" w:themeColor="text1"/>
          <w:lang w:val="en-US"/>
        </w:rPr>
        <w:t xml:space="preserve"> </w:t>
      </w:r>
      <w:r w:rsidR="00734E66" w:rsidRPr="00B5549F">
        <w:rPr>
          <w:rFonts w:ascii="Times New Roman" w:hAnsi="Times New Roman" w:cs="Times New Roman"/>
          <w:b/>
          <w:bCs/>
          <w:color w:val="000000" w:themeColor="text1"/>
          <w:lang w:val="en-US"/>
        </w:rPr>
        <w:t>Data sources</w:t>
      </w:r>
    </w:p>
    <w:p w14:paraId="7F4C95F1" w14:textId="1B62B27B" w:rsidR="00734E66" w:rsidRPr="00B5549F" w:rsidRDefault="00734E66"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This paper primarily relies on the data provided by </w:t>
      </w:r>
      <w:r w:rsidRPr="00B5549F">
        <w:rPr>
          <w:rFonts w:ascii="Times New Roman" w:hAnsi="Times New Roman" w:cs="Times New Roman"/>
          <w:i/>
          <w:iCs/>
          <w:color w:val="000000" w:themeColor="text1"/>
          <w:lang w:val="en-US"/>
        </w:rPr>
        <w:t>AirDNA</w:t>
      </w:r>
      <w:r w:rsidRPr="00B5549F">
        <w:rPr>
          <w:rFonts w:ascii="Times New Roman" w:hAnsi="Times New Roman" w:cs="Times New Roman"/>
          <w:color w:val="000000" w:themeColor="text1"/>
          <w:lang w:val="en-US"/>
        </w:rPr>
        <w:t xml:space="preserve">, a world-leading provider of short-term rental data, which offers a wealth of information on Airbnb listings and hosts. Our dataset covers the period from January 2017 to December 2019, i.e., the period following the early phase of Airbnb diffusion in Italy, when the platform has already achieved an established role within the short-term hospitality sector. </w:t>
      </w:r>
      <w:r w:rsidR="0043699B" w:rsidRPr="00B5549F">
        <w:rPr>
          <w:rFonts w:ascii="Times New Roman" w:hAnsi="Times New Roman" w:cs="Times New Roman"/>
          <w:color w:val="000000" w:themeColor="text1"/>
          <w:lang w:val="en-US"/>
        </w:rPr>
        <w:t xml:space="preserve">Online </w:t>
      </w:r>
      <w:r w:rsidRPr="00B5549F">
        <w:rPr>
          <w:rFonts w:ascii="Times New Roman" w:hAnsi="Times New Roman" w:cs="Times New Roman"/>
          <w:color w:val="000000" w:themeColor="text1"/>
          <w:lang w:val="en-US"/>
        </w:rPr>
        <w:t xml:space="preserve">Appendix A1 provides the evolution of Airbnb properties supply since the platform’s entry into the Italian market and shows how the period under observation is still characterized by a vibrant growth. For this interval we have information on every active property on the entire Italian territory: location, daily reservation status and revenues. Moreover, each property is associated with a unique </w:t>
      </w:r>
      <w:r w:rsidRPr="00B5549F">
        <w:rPr>
          <w:rFonts w:ascii="Times New Roman" w:hAnsi="Times New Roman" w:cs="Times New Roman"/>
          <w:i/>
          <w:iCs/>
          <w:color w:val="000000" w:themeColor="text1"/>
          <w:lang w:val="en-US"/>
        </w:rPr>
        <w:t>Airbnb Host ID</w:t>
      </w:r>
      <w:r w:rsidRPr="00B5549F">
        <w:rPr>
          <w:rFonts w:ascii="Times New Roman" w:hAnsi="Times New Roman" w:cs="Times New Roman"/>
          <w:color w:val="000000" w:themeColor="text1"/>
          <w:lang w:val="en-US"/>
        </w:rPr>
        <w:t>, which allows us to identify the number of properties that each entrepreneur manages at any given time and in any given area, and consequently individual entry dates. Property and host information has then been aggregated on a monthly basis. At this frequency we have then measured the number of new entrants at provincial level (NUTS3), distinguishing by category of host, in terms of the number of active properties they own.</w:t>
      </w:r>
    </w:p>
    <w:p w14:paraId="26F2C491" w14:textId="12225CCB" w:rsidR="00734E66" w:rsidRPr="00B5549F" w:rsidRDefault="00734E66"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Besides </w:t>
      </w:r>
      <w:r w:rsidRPr="00B5549F">
        <w:rPr>
          <w:rFonts w:ascii="Times New Roman" w:hAnsi="Times New Roman" w:cs="Times New Roman"/>
          <w:i/>
          <w:iCs/>
          <w:color w:val="000000" w:themeColor="text1"/>
          <w:lang w:val="en-US"/>
        </w:rPr>
        <w:t>AirDNA</w:t>
      </w:r>
      <w:r w:rsidRPr="00B5549F">
        <w:rPr>
          <w:rFonts w:ascii="Times New Roman" w:hAnsi="Times New Roman" w:cs="Times New Roman"/>
          <w:color w:val="000000" w:themeColor="text1"/>
          <w:lang w:val="en-US"/>
        </w:rPr>
        <w:t xml:space="preserve">, our study utilizes data from two other sources. First, </w:t>
      </w:r>
      <w:r w:rsidRPr="00B5549F">
        <w:rPr>
          <w:rFonts w:ascii="Times New Roman" w:hAnsi="Times New Roman" w:cs="Times New Roman"/>
          <w:i/>
          <w:iCs/>
          <w:color w:val="000000" w:themeColor="text1"/>
          <w:lang w:val="en-US"/>
        </w:rPr>
        <w:t>ISTAT</w:t>
      </w:r>
      <w:r w:rsidRPr="00B5549F">
        <w:rPr>
          <w:rFonts w:ascii="Times New Roman" w:hAnsi="Times New Roman" w:cs="Times New Roman"/>
          <w:color w:val="000000" w:themeColor="text1"/>
          <w:lang w:val="en-US"/>
        </w:rPr>
        <w:t xml:space="preserve"> (the Italian National Institute of Statistics) provides several province-level variables</w:t>
      </w:r>
      <w:r w:rsidRPr="00B5549F">
        <w:rPr>
          <w:rStyle w:val="Rimandonotaapidipagina"/>
          <w:rFonts w:ascii="Times New Roman" w:hAnsi="Times New Roman" w:cs="Times New Roman"/>
          <w:color w:val="000000" w:themeColor="text1"/>
          <w:lang w:val="en-US"/>
        </w:rPr>
        <w:footnoteReference w:id="5"/>
      </w:r>
      <w:r w:rsidRPr="00B5549F">
        <w:rPr>
          <w:rFonts w:ascii="Times New Roman" w:hAnsi="Times New Roman" w:cs="Times New Roman"/>
          <w:color w:val="000000" w:themeColor="text1"/>
          <w:lang w:val="en-US"/>
        </w:rPr>
        <w:t xml:space="preserve"> such as i) data on the capacity of tourist accommodation, measured by the number of hotels by category (identified by the number of stars) in 2011;</w:t>
      </w:r>
      <w:r w:rsidRPr="00B5549F">
        <w:rPr>
          <w:rStyle w:val="Rimandonotaapidipagina"/>
          <w:rFonts w:ascii="Times New Roman" w:hAnsi="Times New Roman" w:cs="Times New Roman"/>
          <w:color w:val="000000" w:themeColor="text1"/>
          <w:lang w:val="en-US"/>
        </w:rPr>
        <w:footnoteReference w:id="6"/>
      </w:r>
      <w:r w:rsidRPr="00B5549F">
        <w:rPr>
          <w:rFonts w:ascii="Times New Roman" w:hAnsi="Times New Roman" w:cs="Times New Roman"/>
          <w:color w:val="000000" w:themeColor="text1"/>
          <w:lang w:val="en-US"/>
        </w:rPr>
        <w:t xml:space="preserve"> ii) data on the number of unoccupied dwellings in 2011, taken from the latest National Census; iii) data on the yearly unemployment rate; and iv) geographical time-invariant variables (average altitude and share of coastal surface). Secondly, our dataset includes data from the </w:t>
      </w:r>
      <w:proofErr w:type="spellStart"/>
      <w:r w:rsidRPr="00B5549F">
        <w:rPr>
          <w:rFonts w:ascii="Times New Roman" w:hAnsi="Times New Roman" w:cs="Times New Roman"/>
          <w:color w:val="000000" w:themeColor="text1"/>
          <w:lang w:val="en-US"/>
        </w:rPr>
        <w:lastRenderedPageBreak/>
        <w:t>Osservatorio</w:t>
      </w:r>
      <w:proofErr w:type="spellEnd"/>
      <w:r w:rsidRPr="00B5549F">
        <w:rPr>
          <w:rFonts w:ascii="Times New Roman" w:hAnsi="Times New Roman" w:cs="Times New Roman"/>
          <w:color w:val="000000" w:themeColor="text1"/>
          <w:lang w:val="en-US"/>
        </w:rPr>
        <w:t xml:space="preserve"> del Mercato </w:t>
      </w:r>
      <w:proofErr w:type="spellStart"/>
      <w:r w:rsidRPr="00B5549F">
        <w:rPr>
          <w:rFonts w:ascii="Times New Roman" w:hAnsi="Times New Roman" w:cs="Times New Roman"/>
          <w:color w:val="000000" w:themeColor="text1"/>
          <w:lang w:val="en-US"/>
        </w:rPr>
        <w:t>Immobiliare</w:t>
      </w:r>
      <w:proofErr w:type="spellEnd"/>
      <w:r w:rsidRPr="00B5549F">
        <w:rPr>
          <w:rFonts w:ascii="Times New Roman" w:hAnsi="Times New Roman" w:cs="Times New Roman"/>
          <w:color w:val="000000" w:themeColor="text1"/>
          <w:lang w:val="en-US"/>
        </w:rPr>
        <w:t xml:space="preserve"> (provided by the Italian Revenue Agency),</w:t>
      </w:r>
      <w:r w:rsidRPr="00B5549F">
        <w:rPr>
          <w:rStyle w:val="Rimandonotaapidipagina"/>
          <w:rFonts w:ascii="Times New Roman" w:hAnsi="Times New Roman" w:cs="Times New Roman"/>
          <w:color w:val="000000" w:themeColor="text1"/>
          <w:lang w:val="en-US"/>
        </w:rPr>
        <w:footnoteReference w:id="7"/>
      </w:r>
      <w:r w:rsidRPr="00B5549F">
        <w:rPr>
          <w:rFonts w:ascii="Times New Roman" w:hAnsi="Times New Roman" w:cs="Times New Roman"/>
          <w:color w:val="000000" w:themeColor="text1"/>
          <w:lang w:val="en-US"/>
        </w:rPr>
        <w:t xml:space="preserve"> with half-yearly updates on the average monthly rent per square meter in different types of housing units.</w:t>
      </w:r>
    </w:p>
    <w:p w14:paraId="31007ED0" w14:textId="449E8707" w:rsidR="00734E66" w:rsidRPr="00B5549F" w:rsidRDefault="000A6D37" w:rsidP="00980437">
      <w:pPr>
        <w:pStyle w:val="Paragrafoelenco"/>
        <w:numPr>
          <w:ilvl w:val="1"/>
          <w:numId w:val="7"/>
        </w:numPr>
        <w:spacing w:before="120" w:line="480" w:lineRule="auto"/>
        <w:jc w:val="both"/>
        <w:rPr>
          <w:rFonts w:ascii="Times New Roman" w:hAnsi="Times New Roman" w:cs="Times New Roman"/>
          <w:b/>
          <w:bCs/>
          <w:color w:val="000000" w:themeColor="text1"/>
          <w:lang w:val="en-US"/>
        </w:rPr>
      </w:pPr>
      <w:r w:rsidRPr="00B5549F">
        <w:rPr>
          <w:rFonts w:ascii="Times New Roman" w:hAnsi="Times New Roman" w:cs="Times New Roman"/>
          <w:b/>
          <w:bCs/>
          <w:color w:val="000000" w:themeColor="text1"/>
          <w:lang w:val="en-US"/>
        </w:rPr>
        <w:t xml:space="preserve"> </w:t>
      </w:r>
      <w:r w:rsidR="00734E66" w:rsidRPr="00B5549F">
        <w:rPr>
          <w:rFonts w:ascii="Times New Roman" w:hAnsi="Times New Roman" w:cs="Times New Roman"/>
          <w:b/>
          <w:bCs/>
          <w:color w:val="000000" w:themeColor="text1"/>
          <w:lang w:val="en-US"/>
        </w:rPr>
        <w:t>The dependent variable: entry rate of small- and large-scale entrepreneurs</w:t>
      </w:r>
    </w:p>
    <w:p w14:paraId="7B0DC8B3" w14:textId="29BA1F23" w:rsidR="00734E66" w:rsidRPr="00B5549F" w:rsidRDefault="00734E66"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Our analysis relies on the distinction between small- and large-scale entrepreneurs. Dogru et al. (2020a) provide a comprehensive descriptive overview of the presence of large-scale entrepreneurs on Airbnb. Economic literature normally uses the number of listings managed by a specific host in order to distinguish between small- and large-scale of activity. However, there is no consensus on a common threshold that distinguishes the two categories.</w:t>
      </w:r>
      <w:r w:rsidRPr="00B5549F">
        <w:rPr>
          <w:rStyle w:val="Rimandonotaapidipagina"/>
          <w:rFonts w:ascii="Times New Roman" w:hAnsi="Times New Roman" w:cs="Times New Roman"/>
          <w:color w:val="000000" w:themeColor="text1"/>
          <w:lang w:val="en-US"/>
        </w:rPr>
        <w:footnoteReference w:id="8"/>
      </w:r>
      <w:r w:rsidRPr="00B5549F">
        <w:rPr>
          <w:rFonts w:ascii="Times New Roman" w:hAnsi="Times New Roman" w:cs="Times New Roman"/>
          <w:color w:val="000000" w:themeColor="text1"/>
          <w:lang w:val="en-US"/>
        </w:rPr>
        <w:t xml:space="preserve"> Therefore, we first define small-scale entrepreneurs as those hosts managing one or two properties and large-scale entrepreneurs as those managing from three to ten properties; but to verify the robustness of our findings, we also always perform our analyses using different thresholds.</w:t>
      </w:r>
    </w:p>
    <w:p w14:paraId="5AD984BF" w14:textId="77777777" w:rsidR="00734E66" w:rsidRPr="00B5549F" w:rsidRDefault="00734E66" w:rsidP="00980437">
      <w:pPr>
        <w:spacing w:before="120" w:line="480" w:lineRule="auto"/>
        <w:jc w:val="center"/>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[Insert Table 1 around here]</w:t>
      </w:r>
    </w:p>
    <w:p w14:paraId="4B4E920A" w14:textId="5E770468" w:rsidR="00734E66" w:rsidRPr="00B5549F" w:rsidRDefault="00734E66"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Table 1 depicts the overall distribution of hosts and properties in Italy, according to our main definition of small-scale (one or two listings) and large-scale.</w:t>
      </w:r>
      <w:r w:rsidRPr="00B5549F">
        <w:rPr>
          <w:rStyle w:val="Rimandonotaapidipagina"/>
          <w:rFonts w:ascii="Times New Roman" w:hAnsi="Times New Roman" w:cs="Times New Roman"/>
          <w:color w:val="000000" w:themeColor="text1"/>
          <w:lang w:val="en-US"/>
        </w:rPr>
        <w:footnoteReference w:id="9"/>
      </w:r>
      <w:r w:rsidRPr="00B5549F">
        <w:rPr>
          <w:rFonts w:ascii="Times New Roman" w:hAnsi="Times New Roman" w:cs="Times New Roman"/>
          <w:color w:val="000000" w:themeColor="text1"/>
          <w:lang w:val="en-US"/>
        </w:rPr>
        <w:t xml:space="preserve"> In December 2019 more than 240,000 different hosts were active in Italy. Most of them (86.5%) were small-scale entrepreneurs with large-scale entrepreneurs accounting for just 12.6% and the number of large firms (i.e., hosts with more than ten listings) negligible (less than 1%), even if the corresponding number of listings was obviously relevant (15.5%). Table 2a and Figure 1 illustrate the entry process of (various types of) Airbnb entrepreneurs in Italy between 2017 and 2019. According to Table 2a, entries of small-scale entrepreneurs dominate; however, large-scale entries are also relevant (about 0.5% per month or 6% </w:t>
      </w:r>
      <w:r w:rsidRPr="00B5549F">
        <w:rPr>
          <w:rFonts w:ascii="Times New Roman" w:hAnsi="Times New Roman" w:cs="Times New Roman"/>
          <w:color w:val="000000" w:themeColor="text1"/>
          <w:lang w:val="en-US"/>
        </w:rPr>
        <w:lastRenderedPageBreak/>
        <w:t>per annum). The timing of entries (Figure 1) presents a strong seasonal pattern, i.e., ‘hot periods’ of entries which tend to slightly anticipate peak demand and shows the remarkable volatility of the entry of small-scale entrepreneurs compared to large-scale entrepreneurs (or large firms).</w:t>
      </w:r>
    </w:p>
    <w:p w14:paraId="1487851F" w14:textId="77777777" w:rsidR="00A04755" w:rsidRPr="00B5549F" w:rsidRDefault="00A04755"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Table 2b distinguishes, for each category, the entries of brand-new Airbnb entrepreneurs from the entries of Airbnb entrepreneurs already active in other categories (small-scale, large-scale and large firms) or in other provinces. The evidence points to local markets which are quite separated, since the share of entries for hosts already active in other provinces is negligible for both small- and large-scale entrepreneurs. About seven out of eight small-scale entrants are brand new entrepreneurs, while most of the new large-scale entrepreneurs (about 60%) are small-scale entrepreneurs who have decided to increase their commitment; only 25% of new large-scale entrepreneurs are genuinely new entrants. This large number of transitions from small- to large- scale is clearly suggestive of the important role that platforms may play as a key stepping-stone towards full- time entrepreneurship.</w:t>
      </w:r>
    </w:p>
    <w:p w14:paraId="2E0AA924" w14:textId="77777777" w:rsidR="00A04755" w:rsidRPr="00B5549F" w:rsidRDefault="00A04755"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The special character of the hosts with more than ten properties suggests we should exclude them from the following analyses because they are mostly established firms already active across multiple markets and subject to more complex multi-market incentives. Moreover, as seen, the number of hosts in this category is very small (even if the number of properties they manage is of course not).</w:t>
      </w:r>
    </w:p>
    <w:p w14:paraId="6A078A5D" w14:textId="04C4CDE9" w:rsidR="00A04755" w:rsidRPr="00B5549F" w:rsidRDefault="00A04755"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The proxy for small- vs. large-scale entrepreneurs merely based on the number of listings, as said, is typical in the Airbnb literature (Dogru et al., 2020a; Kwok &amp; Xie, 2019). To reinforce the meaning of that variable, we have analyzed the average monthly revenues associated to each category of hosts. Table 2c clearly shows that our definitions individuate as ‘small-scale’ a category of entrepreneurs whose average revenue is likely to act just as additional income, while the average revenue of large-scale entrepreneurs is of the same order of magnitude as the Italian mean income,</w:t>
      </w:r>
      <w:r w:rsidRPr="00B5549F">
        <w:rPr>
          <w:rStyle w:val="Rimandonotaapidipagina"/>
          <w:rFonts w:ascii="Times New Roman" w:hAnsi="Times New Roman" w:cs="Times New Roman"/>
          <w:color w:val="000000" w:themeColor="text1"/>
          <w:lang w:val="en-US"/>
        </w:rPr>
        <w:footnoteReference w:id="10"/>
      </w:r>
      <w:r w:rsidRPr="00B5549F">
        <w:rPr>
          <w:rFonts w:ascii="Times New Roman" w:hAnsi="Times New Roman" w:cs="Times New Roman"/>
          <w:color w:val="000000" w:themeColor="text1"/>
          <w:lang w:val="en-US"/>
        </w:rPr>
        <w:t xml:space="preserve"> suggesting that only this latter type of host can possibly be associated with a full-time involvement of the </w:t>
      </w:r>
      <w:r w:rsidRPr="00B5549F">
        <w:rPr>
          <w:rFonts w:ascii="Times New Roman" w:hAnsi="Times New Roman" w:cs="Times New Roman"/>
          <w:color w:val="000000" w:themeColor="text1"/>
          <w:lang w:val="en-US"/>
        </w:rPr>
        <w:lastRenderedPageBreak/>
        <w:t>entrepreneur. Furthermore, the average per-property revenue is systematically larger for large-scale entrepreneurs and much more for large firms, thus also further corroborating the soundness of our empirical operationalizations of the distinction between small- and large- scale entrepreneurs.</w:t>
      </w:r>
    </w:p>
    <w:p w14:paraId="16F0F049" w14:textId="673CBCD8" w:rsidR="00A04755" w:rsidRPr="00B5549F" w:rsidRDefault="00A04755" w:rsidP="00980437">
      <w:pPr>
        <w:spacing w:before="120" w:line="480" w:lineRule="auto"/>
        <w:jc w:val="center"/>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[Insert Tables 2a, 2b and 2c around here]</w:t>
      </w:r>
      <w:r w:rsidR="00820806" w:rsidRPr="00B5549F">
        <w:rPr>
          <w:rFonts w:ascii="Times New Roman" w:hAnsi="Times New Roman" w:cs="Times New Roman"/>
          <w:color w:val="000000" w:themeColor="text1"/>
          <w:lang w:val="en-US"/>
        </w:rPr>
        <w:t xml:space="preserve"> </w:t>
      </w:r>
      <w:r w:rsidRPr="00B5549F">
        <w:rPr>
          <w:rFonts w:ascii="Times New Roman" w:hAnsi="Times New Roman" w:cs="Times New Roman"/>
          <w:color w:val="000000" w:themeColor="text1"/>
          <w:lang w:val="en-US"/>
        </w:rPr>
        <w:t>[Insert Figure 1 around here]</w:t>
      </w:r>
    </w:p>
    <w:p w14:paraId="2A54E358" w14:textId="26E1793B" w:rsidR="00A04755" w:rsidRPr="00B5549F" w:rsidRDefault="00A04755"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In line with this evidence, we define the entry variable </w:t>
      </w:r>
      <w:proofErr w:type="spellStart"/>
      <w:r w:rsidRPr="00B5549F">
        <w:rPr>
          <w:rFonts w:ascii="Times New Roman" w:hAnsi="Times New Roman" w:cs="Times New Roman"/>
          <w:i/>
          <w:iCs/>
          <w:color w:val="000000" w:themeColor="text1"/>
          <w:lang w:val="en-US"/>
        </w:rPr>
        <w:t>e</w:t>
      </w:r>
      <w:r w:rsidRPr="00B5549F">
        <w:rPr>
          <w:rFonts w:ascii="Times New Roman" w:hAnsi="Times New Roman" w:cs="Times New Roman"/>
          <w:i/>
          <w:iCs/>
          <w:color w:val="000000" w:themeColor="text1"/>
          <w:vertAlign w:val="superscript"/>
          <w:lang w:val="en-US"/>
        </w:rPr>
        <w:t>n</w:t>
      </w:r>
      <w:r w:rsidRPr="00B5549F">
        <w:rPr>
          <w:rFonts w:ascii="Times New Roman" w:hAnsi="Times New Roman" w:cs="Times New Roman"/>
          <w:i/>
          <w:iCs/>
          <w:color w:val="000000" w:themeColor="text1"/>
          <w:vertAlign w:val="subscript"/>
          <w:lang w:val="en-US"/>
        </w:rPr>
        <w:t>kpt</w:t>
      </w:r>
      <w:proofErr w:type="spellEnd"/>
      <w:r w:rsidRPr="00B5549F">
        <w:rPr>
          <w:rFonts w:ascii="Times New Roman" w:hAnsi="Times New Roman" w:cs="Times New Roman"/>
          <w:color w:val="000000" w:themeColor="text1"/>
          <w:lang w:val="en-US"/>
        </w:rPr>
        <w:t xml:space="preserve">, which is the dependent variable of our models, as the number of entrepreneurs from category </w:t>
      </w:r>
      <w:r w:rsidRPr="00B5549F">
        <w:rPr>
          <w:rFonts w:ascii="Times New Roman" w:hAnsi="Times New Roman" w:cs="Times New Roman"/>
          <w:i/>
          <w:iCs/>
          <w:color w:val="000000" w:themeColor="text1"/>
          <w:lang w:val="en-US"/>
        </w:rPr>
        <w:t>k</w:t>
      </w:r>
      <w:r w:rsidRPr="00B5549F">
        <w:rPr>
          <w:rFonts w:ascii="Times New Roman" w:hAnsi="Times New Roman" w:cs="Times New Roman"/>
          <w:color w:val="000000" w:themeColor="text1"/>
          <w:lang w:val="en-US"/>
        </w:rPr>
        <w:t xml:space="preserve"> (k=SSE, LSE) entering Airbnb in province </w:t>
      </w:r>
      <w:r w:rsidRPr="00B5549F">
        <w:rPr>
          <w:rFonts w:ascii="Times New Roman" w:hAnsi="Times New Roman" w:cs="Times New Roman"/>
          <w:i/>
          <w:iCs/>
          <w:color w:val="000000" w:themeColor="text1"/>
          <w:lang w:val="en-US"/>
        </w:rPr>
        <w:t>p</w:t>
      </w:r>
      <w:r w:rsidRPr="00B5549F">
        <w:rPr>
          <w:rFonts w:ascii="Times New Roman" w:hAnsi="Times New Roman" w:cs="Times New Roman"/>
          <w:color w:val="000000" w:themeColor="text1"/>
          <w:lang w:val="en-US"/>
        </w:rPr>
        <w:t xml:space="preserve">, in the month </w:t>
      </w:r>
      <w:r w:rsidRPr="00B5549F">
        <w:rPr>
          <w:rFonts w:ascii="Times New Roman" w:hAnsi="Times New Roman" w:cs="Times New Roman"/>
          <w:i/>
          <w:iCs/>
          <w:color w:val="000000" w:themeColor="text1"/>
          <w:lang w:val="en-US"/>
        </w:rPr>
        <w:t>t</w:t>
      </w:r>
      <w:r w:rsidRPr="00B5549F">
        <w:rPr>
          <w:rFonts w:ascii="Times New Roman" w:hAnsi="Times New Roman" w:cs="Times New Roman"/>
          <w:color w:val="000000" w:themeColor="text1"/>
          <w:lang w:val="en-US"/>
        </w:rPr>
        <w:t xml:space="preserve">. The host is considered a small-scale (large-scale) entrepreneur if the number of properties he/she manages in month t in the whole of Italy is equal to or lower (greater) than </w:t>
      </w:r>
      <w:r w:rsidRPr="00B5549F">
        <w:rPr>
          <w:rFonts w:ascii="Times New Roman" w:hAnsi="Times New Roman" w:cs="Times New Roman"/>
          <w:i/>
          <w:iCs/>
          <w:color w:val="000000" w:themeColor="text1"/>
          <w:lang w:val="en-US"/>
        </w:rPr>
        <w:t>n</w:t>
      </w:r>
      <w:r w:rsidRPr="00B5549F">
        <w:rPr>
          <w:rFonts w:ascii="Times New Roman" w:hAnsi="Times New Roman" w:cs="Times New Roman"/>
          <w:color w:val="000000" w:themeColor="text1"/>
          <w:lang w:val="en-US"/>
        </w:rPr>
        <w:t>.</w:t>
      </w:r>
      <w:r w:rsidRPr="00B5549F">
        <w:rPr>
          <w:rStyle w:val="Rimandonotaapidipagina"/>
          <w:rFonts w:ascii="Times New Roman" w:hAnsi="Times New Roman" w:cs="Times New Roman"/>
          <w:color w:val="000000" w:themeColor="text1"/>
          <w:lang w:val="en-US"/>
        </w:rPr>
        <w:footnoteReference w:id="11"/>
      </w:r>
      <w:r w:rsidRPr="00B5549F">
        <w:rPr>
          <w:rFonts w:ascii="Times New Roman" w:hAnsi="Times New Roman" w:cs="Times New Roman"/>
          <w:color w:val="000000" w:themeColor="text1"/>
          <w:lang w:val="en-US"/>
        </w:rPr>
        <w:t xml:space="preserve"> Considering that the dependent variable measures new entries, two different errors could be introduced: on the one side, we could treat as brand new entrants those hosts already active, then delisted and then re-entered (potentially for seasonal reasons); on the other side, we could treat as new entrants, hosts already offering hospitality services through different channels. However, both measurement errors can be considered as negligible since: a) Airbnb allow hosts to block their calendars (i.e., they can interrupt the availability of a specific property for a – short or long – period) without delisting and with no cost (thus without losing reviews and evaluations too); and b) Airbnb in the period under exam was already well-diffused in Italy, with a (rather uniform) majority market share in every sub-market, since Airbnb already captured most of the market shares of the other platforms or alternative channels.</w:t>
      </w:r>
    </w:p>
    <w:p w14:paraId="159FCBD5" w14:textId="54F5A4AF" w:rsidR="00734E66" w:rsidRPr="00B5549F" w:rsidRDefault="00A04755"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Consistent with the definition of the main dependent variable (</w:t>
      </w:r>
      <w:proofErr w:type="spellStart"/>
      <w:r w:rsidRPr="00B5549F">
        <w:rPr>
          <w:rFonts w:ascii="Times New Roman" w:hAnsi="Times New Roman" w:cs="Times New Roman"/>
          <w:i/>
          <w:iCs/>
          <w:color w:val="000000" w:themeColor="text1"/>
          <w:lang w:val="en-US"/>
        </w:rPr>
        <w:t>e</w:t>
      </w:r>
      <w:r w:rsidRPr="00B5549F">
        <w:rPr>
          <w:rFonts w:ascii="Times New Roman" w:hAnsi="Times New Roman" w:cs="Times New Roman"/>
          <w:i/>
          <w:iCs/>
          <w:color w:val="000000" w:themeColor="text1"/>
          <w:vertAlign w:val="superscript"/>
          <w:lang w:val="en-US"/>
        </w:rPr>
        <w:t>n</w:t>
      </w:r>
      <w:r w:rsidRPr="00B5549F">
        <w:rPr>
          <w:rFonts w:ascii="Times New Roman" w:hAnsi="Times New Roman" w:cs="Times New Roman"/>
          <w:i/>
          <w:iCs/>
          <w:color w:val="000000" w:themeColor="text1"/>
          <w:vertAlign w:val="subscript"/>
          <w:lang w:val="en-US"/>
        </w:rPr>
        <w:t>kpt</w:t>
      </w:r>
      <w:proofErr w:type="spellEnd"/>
      <w:r w:rsidRPr="00B5549F">
        <w:rPr>
          <w:rFonts w:ascii="Times New Roman" w:hAnsi="Times New Roman" w:cs="Times New Roman"/>
          <w:color w:val="000000" w:themeColor="text1"/>
          <w:lang w:val="en-US"/>
        </w:rPr>
        <w:t xml:space="preserve">), we define the two additional dependent variables. On the one hand, </w:t>
      </w:r>
      <w:proofErr w:type="spellStart"/>
      <w:r w:rsidRPr="00B5549F">
        <w:rPr>
          <w:rFonts w:ascii="Times New Roman" w:hAnsi="Times New Roman" w:cs="Times New Roman"/>
          <w:i/>
          <w:iCs/>
          <w:color w:val="000000" w:themeColor="text1"/>
          <w:lang w:val="en-US"/>
        </w:rPr>
        <w:t>t</w:t>
      </w:r>
      <w:r w:rsidRPr="00B5549F">
        <w:rPr>
          <w:rFonts w:ascii="Times New Roman" w:hAnsi="Times New Roman" w:cs="Times New Roman"/>
          <w:i/>
          <w:iCs/>
          <w:color w:val="000000" w:themeColor="text1"/>
          <w:vertAlign w:val="superscript"/>
          <w:lang w:val="en-US"/>
        </w:rPr>
        <w:t>n</w:t>
      </w:r>
      <w:r w:rsidRPr="00B5549F">
        <w:rPr>
          <w:rFonts w:ascii="Times New Roman" w:hAnsi="Times New Roman" w:cs="Times New Roman"/>
          <w:i/>
          <w:iCs/>
          <w:color w:val="000000" w:themeColor="text1"/>
          <w:vertAlign w:val="subscript"/>
          <w:lang w:val="en-US"/>
        </w:rPr>
        <w:t>pt</w:t>
      </w:r>
      <w:proofErr w:type="spellEnd"/>
      <w:r w:rsidRPr="00B5549F">
        <w:rPr>
          <w:rFonts w:ascii="Times New Roman" w:hAnsi="Times New Roman" w:cs="Times New Roman"/>
          <w:color w:val="000000" w:themeColor="text1"/>
          <w:lang w:val="en-US"/>
        </w:rPr>
        <w:t xml:space="preserve"> is the number of small-scale entrepreneurs transitioning toward a large-scale entrepreneur status according to a cutoff threshold </w:t>
      </w:r>
      <w:r w:rsidRPr="00B5549F">
        <w:rPr>
          <w:rFonts w:ascii="Times New Roman" w:hAnsi="Times New Roman" w:cs="Times New Roman"/>
          <w:i/>
          <w:iCs/>
          <w:color w:val="000000" w:themeColor="text1"/>
          <w:lang w:val="en-US"/>
        </w:rPr>
        <w:t>n</w:t>
      </w:r>
      <w:r w:rsidRPr="00B5549F">
        <w:rPr>
          <w:rFonts w:ascii="Times New Roman" w:hAnsi="Times New Roman" w:cs="Times New Roman"/>
          <w:color w:val="000000" w:themeColor="text1"/>
          <w:lang w:val="en-US"/>
        </w:rPr>
        <w:t xml:space="preserve">, in province </w:t>
      </w:r>
      <w:r w:rsidRPr="00B5549F">
        <w:rPr>
          <w:rFonts w:ascii="Times New Roman" w:hAnsi="Times New Roman" w:cs="Times New Roman"/>
          <w:i/>
          <w:iCs/>
          <w:color w:val="000000" w:themeColor="text1"/>
          <w:lang w:val="en-US"/>
        </w:rPr>
        <w:t>p</w:t>
      </w:r>
      <w:r w:rsidRPr="00B5549F">
        <w:rPr>
          <w:rFonts w:ascii="Times New Roman" w:hAnsi="Times New Roman" w:cs="Times New Roman"/>
          <w:color w:val="000000" w:themeColor="text1"/>
          <w:lang w:val="en-US"/>
        </w:rPr>
        <w:t xml:space="preserve"> in the month </w:t>
      </w:r>
      <w:r w:rsidRPr="00B5549F">
        <w:rPr>
          <w:rFonts w:ascii="Times New Roman" w:hAnsi="Times New Roman" w:cs="Times New Roman"/>
          <w:i/>
          <w:iCs/>
          <w:color w:val="000000" w:themeColor="text1"/>
          <w:lang w:val="en-US"/>
        </w:rPr>
        <w:lastRenderedPageBreak/>
        <w:t>t</w:t>
      </w:r>
      <w:r w:rsidRPr="00B5549F">
        <w:rPr>
          <w:rFonts w:ascii="Times New Roman" w:hAnsi="Times New Roman" w:cs="Times New Roman"/>
          <w:color w:val="000000" w:themeColor="text1"/>
          <w:lang w:val="en-US"/>
        </w:rPr>
        <w:t xml:space="preserve">. On the other hand, </w:t>
      </w:r>
      <w:proofErr w:type="spellStart"/>
      <w:r w:rsidRPr="00B5549F">
        <w:rPr>
          <w:rFonts w:ascii="Times New Roman" w:hAnsi="Times New Roman" w:cs="Times New Roman"/>
          <w:i/>
          <w:iCs/>
          <w:color w:val="000000" w:themeColor="text1"/>
          <w:lang w:val="en-US"/>
        </w:rPr>
        <w:t>new</w:t>
      </w:r>
      <w:r w:rsidRPr="00B5549F">
        <w:rPr>
          <w:rFonts w:ascii="Times New Roman" w:hAnsi="Times New Roman" w:cs="Times New Roman"/>
          <w:i/>
          <w:iCs/>
          <w:color w:val="000000" w:themeColor="text1"/>
          <w:vertAlign w:val="superscript"/>
          <w:lang w:val="en-US"/>
        </w:rPr>
        <w:t>n</w:t>
      </w:r>
      <w:r w:rsidRPr="00B5549F">
        <w:rPr>
          <w:rFonts w:ascii="Times New Roman" w:hAnsi="Times New Roman" w:cs="Times New Roman"/>
          <w:i/>
          <w:iCs/>
          <w:color w:val="000000" w:themeColor="text1"/>
          <w:vertAlign w:val="subscript"/>
          <w:lang w:val="en-US"/>
        </w:rPr>
        <w:t>LSEpt</w:t>
      </w:r>
      <w:proofErr w:type="spellEnd"/>
      <w:r w:rsidRPr="00B5549F">
        <w:rPr>
          <w:rFonts w:ascii="Times New Roman" w:hAnsi="Times New Roman" w:cs="Times New Roman"/>
          <w:color w:val="000000" w:themeColor="text1"/>
          <w:lang w:val="en-US"/>
        </w:rPr>
        <w:t xml:space="preserve"> is defined as the number of large-scale entrepreneurs directly entering the market (province </w:t>
      </w:r>
      <w:r w:rsidRPr="00B5549F">
        <w:rPr>
          <w:rFonts w:ascii="Times New Roman" w:hAnsi="Times New Roman" w:cs="Times New Roman"/>
          <w:i/>
          <w:iCs/>
          <w:color w:val="000000" w:themeColor="text1"/>
          <w:lang w:val="en-US"/>
        </w:rPr>
        <w:t>p</w:t>
      </w:r>
      <w:r w:rsidRPr="00B5549F">
        <w:rPr>
          <w:rFonts w:ascii="Times New Roman" w:hAnsi="Times New Roman" w:cs="Times New Roman"/>
          <w:color w:val="000000" w:themeColor="text1"/>
          <w:lang w:val="en-US"/>
        </w:rPr>
        <w:t xml:space="preserve">) at month </w:t>
      </w:r>
      <w:r w:rsidRPr="00B5549F">
        <w:rPr>
          <w:rFonts w:ascii="Times New Roman" w:hAnsi="Times New Roman" w:cs="Times New Roman"/>
          <w:i/>
          <w:iCs/>
          <w:color w:val="000000" w:themeColor="text1"/>
          <w:lang w:val="en-US"/>
        </w:rPr>
        <w:t>t</w:t>
      </w:r>
      <w:r w:rsidRPr="00B5549F">
        <w:rPr>
          <w:rFonts w:ascii="Times New Roman" w:hAnsi="Times New Roman" w:cs="Times New Roman"/>
          <w:color w:val="000000" w:themeColor="text1"/>
          <w:lang w:val="en-US"/>
        </w:rPr>
        <w:t xml:space="preserve"> with a number of listings greater than </w:t>
      </w:r>
      <w:r w:rsidRPr="00B5549F">
        <w:rPr>
          <w:rFonts w:ascii="Times New Roman" w:hAnsi="Times New Roman" w:cs="Times New Roman"/>
          <w:i/>
          <w:iCs/>
          <w:color w:val="000000" w:themeColor="text1"/>
          <w:lang w:val="en-US"/>
        </w:rPr>
        <w:t>n</w:t>
      </w:r>
      <w:r w:rsidR="00514887" w:rsidRPr="00B5549F">
        <w:rPr>
          <w:rFonts w:ascii="Times New Roman" w:hAnsi="Times New Roman" w:cs="Times New Roman"/>
          <w:i/>
          <w:iCs/>
          <w:color w:val="000000" w:themeColor="text1"/>
          <w:lang w:val="en-US"/>
        </w:rPr>
        <w:t>.</w:t>
      </w:r>
      <w:r w:rsidR="00D21416" w:rsidRPr="00B5549F">
        <w:rPr>
          <w:rStyle w:val="Rimandonotaapidipagina"/>
          <w:rFonts w:ascii="Times New Roman" w:hAnsi="Times New Roman" w:cs="Times New Roman"/>
          <w:i/>
          <w:iCs/>
          <w:color w:val="000000" w:themeColor="text1"/>
          <w:lang w:val="en-US"/>
        </w:rPr>
        <w:footnoteReference w:id="12"/>
      </w:r>
    </w:p>
    <w:p w14:paraId="58DD0441" w14:textId="2970659D" w:rsidR="00A04755" w:rsidRPr="00B5549F" w:rsidRDefault="000A6D37" w:rsidP="00980437">
      <w:pPr>
        <w:pStyle w:val="Paragrafoelenco"/>
        <w:numPr>
          <w:ilvl w:val="1"/>
          <w:numId w:val="7"/>
        </w:numPr>
        <w:spacing w:before="120" w:line="480" w:lineRule="auto"/>
        <w:jc w:val="both"/>
        <w:rPr>
          <w:rFonts w:ascii="Times New Roman" w:hAnsi="Times New Roman" w:cs="Times New Roman"/>
          <w:b/>
          <w:bCs/>
          <w:color w:val="000000" w:themeColor="text1"/>
          <w:lang w:val="en-US"/>
        </w:rPr>
      </w:pPr>
      <w:r w:rsidRPr="00B5549F">
        <w:rPr>
          <w:rFonts w:ascii="Times New Roman" w:hAnsi="Times New Roman" w:cs="Times New Roman"/>
          <w:b/>
          <w:bCs/>
          <w:color w:val="000000" w:themeColor="text1"/>
          <w:lang w:val="en-US"/>
        </w:rPr>
        <w:t xml:space="preserve"> </w:t>
      </w:r>
      <w:r w:rsidR="00A04755" w:rsidRPr="00B5549F">
        <w:rPr>
          <w:rFonts w:ascii="Times New Roman" w:hAnsi="Times New Roman" w:cs="Times New Roman"/>
          <w:b/>
          <w:bCs/>
          <w:color w:val="000000" w:themeColor="text1"/>
          <w:lang w:val="en-US"/>
        </w:rPr>
        <w:t>The measures of demand, spatial concentration of supply and opportunity costs</w:t>
      </w:r>
    </w:p>
    <w:p w14:paraId="29081BDC" w14:textId="38EAB048" w:rsidR="00A04755" w:rsidRPr="00B5549F" w:rsidRDefault="00A04755"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Greater demand for accommodation in a specific region means, cœteris paribus, greater profitability and thus a greater incentive to enter (see </w:t>
      </w:r>
      <w:r w:rsidRPr="00B5549F">
        <w:rPr>
          <w:rFonts w:ascii="Times New Roman" w:hAnsi="Times New Roman" w:cs="Times New Roman"/>
          <w:i/>
          <w:iCs/>
          <w:color w:val="000000" w:themeColor="text1"/>
          <w:lang w:val="en-US"/>
        </w:rPr>
        <w:t>HP1</w:t>
      </w:r>
      <w:r w:rsidRPr="00B5549F">
        <w:rPr>
          <w:rFonts w:ascii="Times New Roman" w:hAnsi="Times New Roman" w:cs="Times New Roman"/>
          <w:color w:val="000000" w:themeColor="text1"/>
          <w:lang w:val="en-US"/>
        </w:rPr>
        <w:t xml:space="preserve">). How and when potential entrepreneurs obtain this information is not obvious. We measure the demand climate perceived by the entrepreneurs in a specific month </w:t>
      </w:r>
      <w:r w:rsidRPr="00B5549F">
        <w:rPr>
          <w:rFonts w:ascii="Times New Roman" w:hAnsi="Times New Roman" w:cs="Times New Roman"/>
          <w:i/>
          <w:iCs/>
          <w:color w:val="000000" w:themeColor="text1"/>
          <w:lang w:val="en-US"/>
        </w:rPr>
        <w:t>t</w:t>
      </w:r>
      <w:r w:rsidRPr="00B5549F">
        <w:rPr>
          <w:rFonts w:ascii="Times New Roman" w:hAnsi="Times New Roman" w:cs="Times New Roman"/>
          <w:color w:val="000000" w:themeColor="text1"/>
          <w:lang w:val="en-US"/>
        </w:rPr>
        <w:t xml:space="preserve"> as the cumulative amount of Airbnb reservations in that area in a time interval around </w:t>
      </w:r>
      <w:r w:rsidRPr="00B5549F">
        <w:rPr>
          <w:rFonts w:ascii="Times New Roman" w:hAnsi="Times New Roman" w:cs="Times New Roman"/>
          <w:i/>
          <w:iCs/>
          <w:color w:val="000000" w:themeColor="text1"/>
          <w:lang w:val="en-US"/>
        </w:rPr>
        <w:t>t</w:t>
      </w:r>
      <w:r w:rsidRPr="00B5549F">
        <w:rPr>
          <w:rFonts w:ascii="Times New Roman" w:hAnsi="Times New Roman" w:cs="Times New Roman"/>
          <w:color w:val="000000" w:themeColor="text1"/>
          <w:lang w:val="en-US"/>
        </w:rPr>
        <w:t>. This variable actually represents an equilibrium quantity rather than a proper demand variable, but it is the easiest signal of the number of business opportunities on Airbnb a prospective entrepreneur can directly observe. In this sense, it is worthwhile to note that reservations normally significantly anticipate the overnight stay, so that reservations in the near future (see below) are actually directly observed with little uncertainty.</w:t>
      </w:r>
    </w:p>
    <w:p w14:paraId="6FD7E0E6" w14:textId="553201CA" w:rsidR="00A04755" w:rsidRPr="00B5549F" w:rsidRDefault="00A04755"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We then define the variable </w:t>
      </w:r>
      <w:proofErr w:type="spellStart"/>
      <w:r w:rsidRPr="00B5549F">
        <w:rPr>
          <w:rFonts w:ascii="Times New Roman" w:hAnsi="Times New Roman" w:cs="Times New Roman"/>
          <w:i/>
          <w:iCs/>
          <w:color w:val="000000" w:themeColor="text1"/>
          <w:lang w:val="en-US"/>
        </w:rPr>
        <w:t>MarketClimate</w:t>
      </w:r>
      <w:r w:rsidRPr="00B5549F">
        <w:rPr>
          <w:rFonts w:ascii="Times New Roman" w:hAnsi="Times New Roman" w:cs="Times New Roman"/>
          <w:i/>
          <w:iCs/>
          <w:color w:val="000000" w:themeColor="text1"/>
          <w:vertAlign w:val="superscript"/>
          <w:lang w:val="en-US"/>
        </w:rPr>
        <w:t>f</w:t>
      </w:r>
      <w:r w:rsidRPr="00B5549F">
        <w:rPr>
          <w:rFonts w:ascii="Times New Roman" w:hAnsi="Times New Roman" w:cs="Times New Roman"/>
          <w:i/>
          <w:iCs/>
          <w:color w:val="000000" w:themeColor="text1"/>
          <w:vertAlign w:val="subscript"/>
          <w:lang w:val="en-US"/>
        </w:rPr>
        <w:t>pt</w:t>
      </w:r>
      <w:proofErr w:type="spellEnd"/>
      <w:r w:rsidRPr="00B5549F">
        <w:rPr>
          <w:rFonts w:ascii="Times New Roman" w:hAnsi="Times New Roman" w:cs="Times New Roman"/>
          <w:color w:val="000000" w:themeColor="text1"/>
          <w:lang w:val="en-US"/>
        </w:rPr>
        <w:t xml:space="preserve"> as follows:</w:t>
      </w:r>
    </w:p>
    <w:p w14:paraId="7A7B7F5E" w14:textId="700F352F" w:rsidR="00A04755" w:rsidRPr="00B5549F" w:rsidRDefault="000A3E2B" w:rsidP="00980437">
      <w:pPr>
        <w:spacing w:before="120" w:line="480" w:lineRule="auto"/>
        <w:jc w:val="center"/>
        <w:rPr>
          <w:rFonts w:ascii="Times New Roman" w:eastAsiaTheme="minorEastAsia" w:hAnsi="Times New Roman" w:cs="Times New Roman"/>
          <w:iCs/>
          <w:color w:val="000000" w:themeColor="text1"/>
          <w:lang w:val="en-US"/>
        </w:rPr>
      </w:pPr>
      <m:oMathPara>
        <m:oMath>
          <m:sSubSup>
            <m:sSubSupPr>
              <m:ctrlPr>
                <w:rPr>
                  <w:rFonts w:ascii="Cambria Math" w:hAnsi="Cambria Math" w:cs="Times New Roman"/>
                  <w:iCs/>
                  <w:color w:val="000000" w:themeColor="text1"/>
                  <w:lang w:val="en-US"/>
                </w:rPr>
              </m:ctrlPr>
            </m:sSubSupPr>
            <m:e>
              <m:r>
                <m:rPr>
                  <m:sty m:val="p"/>
                </m:rPr>
                <w:rPr>
                  <w:rFonts w:ascii="Cambria Math" w:hAnsi="Cambria Math" w:cs="Times New Roman"/>
                  <w:color w:val="000000" w:themeColor="text1"/>
                  <w:lang w:val="en-US"/>
                </w:rPr>
                <m:t>MarketClimate</m:t>
              </m:r>
            </m:e>
            <m:sub>
              <m:r>
                <m:rPr>
                  <m:sty m:val="p"/>
                </m:rPr>
                <w:rPr>
                  <w:rFonts w:ascii="Cambria Math" w:hAnsi="Cambria Math" w:cs="Times New Roman"/>
                  <w:color w:val="000000" w:themeColor="text1"/>
                  <w:lang w:val="en-US"/>
                </w:rPr>
                <m:t>pt</m:t>
              </m:r>
            </m:sub>
            <m:sup>
              <m:r>
                <m:rPr>
                  <m:sty m:val="p"/>
                </m:rPr>
                <w:rPr>
                  <w:rFonts w:ascii="Cambria Math" w:hAnsi="Cambria Math" w:cs="Times New Roman"/>
                  <w:color w:val="000000" w:themeColor="text1"/>
                  <w:lang w:val="en-US"/>
                </w:rPr>
                <m:t>f</m:t>
              </m:r>
            </m:sup>
          </m:sSubSup>
          <m:r>
            <m:rPr>
              <m:sty m:val="p"/>
            </m:rPr>
            <w:rPr>
              <w:rFonts w:ascii="Cambria Math" w:hAnsi="Cambria Math" w:cs="Times New Roman"/>
              <w:color w:val="000000" w:themeColor="text1"/>
              <w:lang w:val="en-US"/>
            </w:rPr>
            <m:t>=</m:t>
          </m:r>
          <m:f>
            <m:fPr>
              <m:type m:val="skw"/>
              <m:ctrlPr>
                <w:rPr>
                  <w:rFonts w:ascii="Cambria Math" w:hAnsi="Cambria Math" w:cs="Times New Roman"/>
                  <w:iCs/>
                  <w:color w:val="000000" w:themeColor="text1"/>
                  <w:lang w:val="en-US"/>
                </w:rPr>
              </m:ctrlPr>
            </m:fPr>
            <m:num>
              <m:nary>
                <m:naryPr>
                  <m:chr m:val="∑"/>
                  <m:limLoc m:val="subSup"/>
                  <m:ctrlPr>
                    <w:rPr>
                      <w:rFonts w:ascii="Cambria Math" w:hAnsi="Cambria Math" w:cs="Times New Roman"/>
                      <w:iCs/>
                      <w:color w:val="000000" w:themeColor="text1"/>
                      <w:lang w:val="en-US"/>
                    </w:rPr>
                  </m:ctrlPr>
                </m:naryPr>
                <m:sub>
                  <m:r>
                    <m:rPr>
                      <m:sty m:val="p"/>
                    </m:rPr>
                    <w:rPr>
                      <w:rFonts w:ascii="Cambria Math" w:hAnsi="Cambria Math" w:cs="Times New Roman"/>
                      <w:color w:val="000000" w:themeColor="text1"/>
                      <w:lang w:val="en-US"/>
                    </w:rPr>
                    <m:t>i=t-f</m:t>
                  </m:r>
                </m:sub>
                <m:sup>
                  <m:r>
                    <m:rPr>
                      <m:sty m:val="p"/>
                    </m:rPr>
                    <w:rPr>
                      <w:rFonts w:ascii="Cambria Math" w:hAnsi="Cambria Math" w:cs="Times New Roman"/>
                      <w:color w:val="000000" w:themeColor="text1"/>
                      <w:lang w:val="en-US"/>
                    </w:rPr>
                    <m:t>i=t+f</m:t>
                  </m:r>
                </m:sup>
                <m:e>
                  <m:sSub>
                    <m:sSubPr>
                      <m:ctrlPr>
                        <w:rPr>
                          <w:rFonts w:ascii="Cambria Math" w:hAnsi="Cambria Math" w:cs="Times New Roman"/>
                          <w:iCs/>
                          <w:color w:val="000000" w:themeColor="text1"/>
                          <w:lang w:val="en-US"/>
                        </w:rPr>
                      </m:ctrlPr>
                    </m:sSubPr>
                    <m:e>
                      <m:r>
                        <m:rPr>
                          <m:sty m:val="p"/>
                        </m:rPr>
                        <w:rPr>
                          <w:rFonts w:ascii="Cambria Math" w:hAnsi="Cambria Math" w:cs="Times New Roman"/>
                          <w:color w:val="000000" w:themeColor="text1"/>
                          <w:lang w:val="en-US"/>
                        </w:rPr>
                        <m:t>ReservedNights</m:t>
                      </m:r>
                    </m:e>
                    <m:sub>
                      <m:r>
                        <m:rPr>
                          <m:sty m:val="p"/>
                        </m:rPr>
                        <w:rPr>
                          <w:rFonts w:ascii="Cambria Math" w:hAnsi="Cambria Math" w:cs="Times New Roman"/>
                          <w:color w:val="000000" w:themeColor="text1"/>
                          <w:lang w:val="en-US"/>
                        </w:rPr>
                        <m:t>pi</m:t>
                      </m:r>
                    </m:sub>
                  </m:sSub>
                </m:e>
              </m:nary>
            </m:num>
            <m:den>
              <m:r>
                <m:rPr>
                  <m:sty m:val="p"/>
                </m:rPr>
                <w:rPr>
                  <w:rFonts w:ascii="Cambria Math" w:hAnsi="Cambria Math" w:cs="Times New Roman"/>
                  <w:color w:val="000000" w:themeColor="text1"/>
                  <w:lang w:val="en-US"/>
                </w:rPr>
                <m:t>2f+1</m:t>
              </m:r>
            </m:den>
          </m:f>
        </m:oMath>
      </m:oMathPara>
    </w:p>
    <w:p w14:paraId="12782D09" w14:textId="2C397E94" w:rsidR="00A04755" w:rsidRPr="00B5549F" w:rsidRDefault="00A04755" w:rsidP="00980437">
      <w:pPr>
        <w:spacing w:before="120" w:line="480" w:lineRule="auto"/>
        <w:jc w:val="right"/>
        <w:rPr>
          <w:rFonts w:ascii="Times New Roman" w:hAnsi="Times New Roman" w:cs="Times New Roman"/>
          <w:iCs/>
          <w:color w:val="000000" w:themeColor="text1"/>
          <w:lang w:val="en-US"/>
        </w:rPr>
      </w:pPr>
      <w:r w:rsidRPr="00B5549F">
        <w:rPr>
          <w:rFonts w:ascii="Times New Roman" w:hAnsi="Times New Roman" w:cs="Times New Roman"/>
          <w:iCs/>
          <w:color w:val="000000" w:themeColor="text1"/>
          <w:lang w:val="en-US"/>
        </w:rPr>
        <w:t>(Eq. 1)</w:t>
      </w:r>
    </w:p>
    <w:p w14:paraId="4B03CFD4" w14:textId="682B7EA1" w:rsidR="00A04755" w:rsidRPr="00B5549F" w:rsidRDefault="00A04755" w:rsidP="00980437">
      <w:pPr>
        <w:spacing w:before="120" w:line="480" w:lineRule="auto"/>
        <w:jc w:val="both"/>
        <w:rPr>
          <w:rFonts w:ascii="Times New Roman" w:hAnsi="Times New Roman" w:cs="Times New Roman"/>
          <w:iCs/>
          <w:color w:val="000000" w:themeColor="text1"/>
          <w:lang w:val="en-US"/>
        </w:rPr>
      </w:pPr>
      <w:r w:rsidRPr="00B5549F">
        <w:rPr>
          <w:rFonts w:ascii="Times New Roman" w:hAnsi="Times New Roman" w:cs="Times New Roman"/>
          <w:iCs/>
          <w:color w:val="000000" w:themeColor="text1"/>
          <w:lang w:val="en-US"/>
        </w:rPr>
        <w:t xml:space="preserve">where </w:t>
      </w:r>
      <w:r w:rsidRPr="00B5549F">
        <w:rPr>
          <w:rFonts w:ascii="Times New Roman" w:hAnsi="Times New Roman" w:cs="Times New Roman"/>
          <w:i/>
          <w:color w:val="000000" w:themeColor="text1"/>
          <w:lang w:val="en-US"/>
        </w:rPr>
        <w:t>2f+1</w:t>
      </w:r>
      <w:r w:rsidRPr="00B5549F">
        <w:rPr>
          <w:rFonts w:ascii="Times New Roman" w:hAnsi="Times New Roman" w:cs="Times New Roman"/>
          <w:iCs/>
          <w:color w:val="000000" w:themeColor="text1"/>
          <w:lang w:val="en-US"/>
        </w:rPr>
        <w:t xml:space="preserve"> is the length (in months) of the interval centered around t. </w:t>
      </w:r>
      <w:proofErr w:type="spellStart"/>
      <w:r w:rsidRPr="00B5549F">
        <w:rPr>
          <w:rFonts w:ascii="Times New Roman" w:hAnsi="Times New Roman" w:cs="Times New Roman"/>
          <w:i/>
          <w:color w:val="000000" w:themeColor="text1"/>
          <w:lang w:val="en-US"/>
        </w:rPr>
        <w:t>ReservedNights</w:t>
      </w:r>
      <w:r w:rsidRPr="00B5549F">
        <w:rPr>
          <w:rFonts w:ascii="Times New Roman" w:hAnsi="Times New Roman" w:cs="Times New Roman"/>
          <w:i/>
          <w:color w:val="000000" w:themeColor="text1"/>
          <w:vertAlign w:val="subscript"/>
          <w:lang w:val="en-US"/>
        </w:rPr>
        <w:t>pi</w:t>
      </w:r>
      <w:proofErr w:type="spellEnd"/>
      <w:r w:rsidRPr="00B5549F">
        <w:rPr>
          <w:rFonts w:ascii="Times New Roman" w:hAnsi="Times New Roman" w:cs="Times New Roman"/>
          <w:iCs/>
          <w:color w:val="000000" w:themeColor="text1"/>
          <w:lang w:val="en-US"/>
        </w:rPr>
        <w:t xml:space="preserve"> is the number of reserved nights on Airbnb in province </w:t>
      </w:r>
      <w:r w:rsidRPr="00B5549F">
        <w:rPr>
          <w:rFonts w:ascii="Times New Roman" w:hAnsi="Times New Roman" w:cs="Times New Roman"/>
          <w:i/>
          <w:color w:val="000000" w:themeColor="text1"/>
          <w:lang w:val="en-US"/>
        </w:rPr>
        <w:t>p</w:t>
      </w:r>
      <w:r w:rsidRPr="00B5549F">
        <w:rPr>
          <w:rFonts w:ascii="Times New Roman" w:hAnsi="Times New Roman" w:cs="Times New Roman"/>
          <w:iCs/>
          <w:color w:val="000000" w:themeColor="text1"/>
          <w:lang w:val="en-US"/>
        </w:rPr>
        <w:t xml:space="preserve"> and a given month </w:t>
      </w:r>
      <w:r w:rsidRPr="00B5549F">
        <w:rPr>
          <w:rFonts w:ascii="Times New Roman" w:hAnsi="Times New Roman" w:cs="Times New Roman"/>
          <w:i/>
          <w:color w:val="000000" w:themeColor="text1"/>
          <w:lang w:val="en-US"/>
        </w:rPr>
        <w:t>i</w:t>
      </w:r>
      <w:r w:rsidRPr="00B5549F">
        <w:rPr>
          <w:rFonts w:ascii="Times New Roman" w:hAnsi="Times New Roman" w:cs="Times New Roman"/>
          <w:iCs/>
          <w:color w:val="000000" w:themeColor="text1"/>
          <w:lang w:val="en-US"/>
        </w:rPr>
        <w:t xml:space="preserve"> (which is comprised in the interval between </w:t>
      </w:r>
      <w:r w:rsidRPr="00B5549F">
        <w:rPr>
          <w:rFonts w:ascii="Times New Roman" w:hAnsi="Times New Roman" w:cs="Times New Roman"/>
          <w:i/>
          <w:color w:val="000000" w:themeColor="text1"/>
          <w:lang w:val="en-US"/>
        </w:rPr>
        <w:t>t – f</w:t>
      </w:r>
      <w:r w:rsidRPr="00B5549F">
        <w:rPr>
          <w:rFonts w:ascii="Times New Roman" w:hAnsi="Times New Roman" w:cs="Times New Roman"/>
          <w:iCs/>
          <w:color w:val="000000" w:themeColor="text1"/>
          <w:lang w:val="en-US"/>
        </w:rPr>
        <w:t xml:space="preserve"> and </w:t>
      </w:r>
      <w:r w:rsidRPr="00B5549F">
        <w:rPr>
          <w:rFonts w:ascii="Times New Roman" w:hAnsi="Times New Roman" w:cs="Times New Roman"/>
          <w:i/>
          <w:color w:val="000000" w:themeColor="text1"/>
          <w:lang w:val="en-US"/>
        </w:rPr>
        <w:t>t + f</w:t>
      </w:r>
      <w:r w:rsidRPr="00B5549F">
        <w:rPr>
          <w:rFonts w:ascii="Times New Roman" w:hAnsi="Times New Roman" w:cs="Times New Roman"/>
          <w:iCs/>
          <w:color w:val="000000" w:themeColor="text1"/>
          <w:lang w:val="en-US"/>
        </w:rPr>
        <w:t xml:space="preserve">). The </w:t>
      </w:r>
      <w:proofErr w:type="spellStart"/>
      <w:r w:rsidRPr="00B5549F">
        <w:rPr>
          <w:rFonts w:ascii="Times New Roman" w:hAnsi="Times New Roman" w:cs="Times New Roman"/>
          <w:i/>
          <w:color w:val="000000" w:themeColor="text1"/>
          <w:lang w:val="en-US"/>
        </w:rPr>
        <w:t>MarketClimate</w:t>
      </w:r>
      <w:proofErr w:type="spellEnd"/>
      <w:r w:rsidRPr="00B5549F">
        <w:rPr>
          <w:rFonts w:ascii="Times New Roman" w:hAnsi="Times New Roman" w:cs="Times New Roman"/>
          <w:iCs/>
          <w:color w:val="000000" w:themeColor="text1"/>
          <w:lang w:val="en-US"/>
        </w:rPr>
        <w:t xml:space="preserve"> variable, defined as a moving average, also allows us to smooth easily predictable seasonal effects. In line with descriptive statistics on AirDNA data, we decided to fix the value of </w:t>
      </w:r>
      <w:r w:rsidRPr="00B5549F">
        <w:rPr>
          <w:rFonts w:ascii="Times New Roman" w:hAnsi="Times New Roman" w:cs="Times New Roman"/>
          <w:i/>
          <w:color w:val="000000" w:themeColor="text1"/>
          <w:lang w:val="en-US"/>
        </w:rPr>
        <w:t>f</w:t>
      </w:r>
      <w:r w:rsidRPr="00B5549F">
        <w:rPr>
          <w:rFonts w:ascii="Times New Roman" w:hAnsi="Times New Roman" w:cs="Times New Roman"/>
          <w:iCs/>
          <w:color w:val="000000" w:themeColor="text1"/>
          <w:lang w:val="en-US"/>
        </w:rPr>
        <w:t xml:space="preserve"> at 3 since 72% of reservations in our dataset have been reserved within </w:t>
      </w:r>
      <w:r w:rsidRPr="00B5549F">
        <w:rPr>
          <w:rFonts w:ascii="Times New Roman" w:hAnsi="Times New Roman" w:cs="Times New Roman"/>
          <w:iCs/>
          <w:color w:val="000000" w:themeColor="text1"/>
          <w:lang w:val="en-US"/>
        </w:rPr>
        <w:lastRenderedPageBreak/>
        <w:t>90 days of the overnight stay.</w:t>
      </w:r>
      <w:r w:rsidRPr="00B5549F">
        <w:rPr>
          <w:rStyle w:val="Rimandonotaapidipagina"/>
          <w:rFonts w:ascii="Times New Roman" w:hAnsi="Times New Roman" w:cs="Times New Roman"/>
          <w:iCs/>
          <w:color w:val="000000" w:themeColor="text1"/>
          <w:lang w:val="en-US"/>
        </w:rPr>
        <w:footnoteReference w:id="13"/>
      </w:r>
      <w:r w:rsidRPr="00B5549F">
        <w:rPr>
          <w:rFonts w:ascii="Times New Roman" w:hAnsi="Times New Roman" w:cs="Times New Roman"/>
          <w:iCs/>
          <w:color w:val="000000" w:themeColor="text1"/>
          <w:lang w:val="en-US"/>
        </w:rPr>
        <w:t xml:space="preserve"> Still, given the uncertainty which could affect the value of </w:t>
      </w:r>
      <w:r w:rsidRPr="00B5549F">
        <w:rPr>
          <w:rFonts w:ascii="Times New Roman" w:hAnsi="Times New Roman" w:cs="Times New Roman"/>
          <w:i/>
          <w:color w:val="000000" w:themeColor="text1"/>
          <w:lang w:val="en-US"/>
        </w:rPr>
        <w:t>f</w:t>
      </w:r>
      <w:r w:rsidRPr="00B5549F">
        <w:rPr>
          <w:rFonts w:ascii="Times New Roman" w:hAnsi="Times New Roman" w:cs="Times New Roman"/>
          <w:iCs/>
          <w:color w:val="000000" w:themeColor="text1"/>
          <w:lang w:val="en-US"/>
        </w:rPr>
        <w:t xml:space="preserve"> and to account for possible endogeneity into the econometric specification, a robustness check employing an alternative definition of market climate is proposed in the section dedicated to robustness checks.</w:t>
      </w:r>
    </w:p>
    <w:p w14:paraId="34B9AFEF" w14:textId="359081EF" w:rsidR="00A04755" w:rsidRPr="00B5549F" w:rsidRDefault="00A04755" w:rsidP="00980437">
      <w:pPr>
        <w:spacing w:before="120" w:line="480" w:lineRule="auto"/>
        <w:jc w:val="both"/>
        <w:rPr>
          <w:rFonts w:ascii="Times New Roman" w:hAnsi="Times New Roman" w:cs="Times New Roman"/>
          <w:iCs/>
          <w:color w:val="000000" w:themeColor="text1"/>
          <w:lang w:val="en-US"/>
        </w:rPr>
      </w:pPr>
      <w:r w:rsidRPr="00B5549F">
        <w:rPr>
          <w:rFonts w:ascii="Times New Roman" w:hAnsi="Times New Roman" w:cs="Times New Roman"/>
          <w:iCs/>
          <w:color w:val="000000" w:themeColor="text1"/>
          <w:lang w:val="en-US"/>
        </w:rPr>
        <w:t xml:space="preserve">Alongside the quantitative definition of (prospective) demand, we are also interested in its qualitative nature (see </w:t>
      </w:r>
      <w:r w:rsidRPr="00B5549F">
        <w:rPr>
          <w:rFonts w:ascii="Times New Roman" w:hAnsi="Times New Roman" w:cs="Times New Roman"/>
          <w:i/>
          <w:color w:val="000000" w:themeColor="text1"/>
          <w:lang w:val="en-US"/>
        </w:rPr>
        <w:t>HP2b</w:t>
      </w:r>
      <w:r w:rsidRPr="00B5549F">
        <w:rPr>
          <w:rFonts w:ascii="Times New Roman" w:hAnsi="Times New Roman" w:cs="Times New Roman"/>
          <w:iCs/>
          <w:color w:val="000000" w:themeColor="text1"/>
          <w:lang w:val="en-US"/>
        </w:rPr>
        <w:t xml:space="preserve">). To this end, we define the metric </w:t>
      </w:r>
      <w:proofErr w:type="spellStart"/>
      <w:r w:rsidRPr="00B5549F">
        <w:rPr>
          <w:rFonts w:ascii="Times New Roman" w:hAnsi="Times New Roman" w:cs="Times New Roman"/>
          <w:i/>
          <w:color w:val="000000" w:themeColor="text1"/>
          <w:lang w:val="en-US"/>
        </w:rPr>
        <w:t>HighQuality</w:t>
      </w:r>
      <w:r w:rsidRPr="00B5549F">
        <w:rPr>
          <w:rFonts w:ascii="Times New Roman" w:hAnsi="Times New Roman" w:cs="Times New Roman"/>
          <w:i/>
          <w:color w:val="000000" w:themeColor="text1"/>
          <w:vertAlign w:val="subscript"/>
          <w:lang w:val="en-US"/>
        </w:rPr>
        <w:t>p</w:t>
      </w:r>
      <w:proofErr w:type="spellEnd"/>
      <w:r w:rsidRPr="00B5549F">
        <w:rPr>
          <w:rFonts w:ascii="Times New Roman" w:hAnsi="Times New Roman" w:cs="Times New Roman"/>
          <w:iCs/>
          <w:color w:val="000000" w:themeColor="text1"/>
          <w:lang w:val="en-US"/>
        </w:rPr>
        <w:t xml:space="preserve"> as the percentage of higher-quality hotel beds (namely hotels with four, five, and five luxury stars) available in market </w:t>
      </w:r>
      <w:r w:rsidRPr="00B5549F">
        <w:rPr>
          <w:rFonts w:ascii="Times New Roman" w:hAnsi="Times New Roman" w:cs="Times New Roman"/>
          <w:i/>
          <w:color w:val="000000" w:themeColor="text1"/>
          <w:lang w:val="en-US"/>
        </w:rPr>
        <w:t>p</w:t>
      </w:r>
      <w:r w:rsidRPr="00B5549F">
        <w:rPr>
          <w:rFonts w:ascii="Times New Roman" w:hAnsi="Times New Roman" w:cs="Times New Roman"/>
          <w:iCs/>
          <w:color w:val="000000" w:themeColor="text1"/>
          <w:lang w:val="en-US"/>
        </w:rPr>
        <w:t xml:space="preserve">. As mentioned, this metric is calculated according to traditional hospitality distribution before the entry of Airbnb (i.e., in 2011), thus assuming that the market share of higher-quality hotels is a good proxy of the expected quality of accommodation services in province </w:t>
      </w:r>
      <w:r w:rsidRPr="00B5549F">
        <w:rPr>
          <w:rFonts w:ascii="Times New Roman" w:hAnsi="Times New Roman" w:cs="Times New Roman"/>
          <w:i/>
          <w:color w:val="000000" w:themeColor="text1"/>
          <w:lang w:val="en-US"/>
        </w:rPr>
        <w:t>p</w:t>
      </w:r>
      <w:r w:rsidRPr="00B5549F">
        <w:rPr>
          <w:rFonts w:ascii="Times New Roman" w:hAnsi="Times New Roman" w:cs="Times New Roman"/>
          <w:iCs/>
          <w:color w:val="000000" w:themeColor="text1"/>
          <w:lang w:val="en-US"/>
        </w:rPr>
        <w:t xml:space="preserve">. In order to distinguish markets according to the expected quality of their accommodation service, we define the dummy variable </w:t>
      </w:r>
      <w:proofErr w:type="spellStart"/>
      <w:r w:rsidRPr="00B5549F">
        <w:rPr>
          <w:rFonts w:ascii="Times New Roman" w:hAnsi="Times New Roman" w:cs="Times New Roman"/>
          <w:i/>
          <w:color w:val="000000" w:themeColor="text1"/>
          <w:lang w:val="en-US"/>
        </w:rPr>
        <w:t>High</w:t>
      </w:r>
      <w:r w:rsidR="00BF2EEF" w:rsidRPr="00B5549F">
        <w:rPr>
          <w:rFonts w:ascii="Times New Roman" w:hAnsi="Times New Roman" w:cs="Times New Roman"/>
          <w:i/>
          <w:color w:val="000000" w:themeColor="text1"/>
          <w:lang w:val="en-US"/>
        </w:rPr>
        <w:t>End</w:t>
      </w:r>
      <w:r w:rsidRPr="00B5549F">
        <w:rPr>
          <w:rFonts w:ascii="Times New Roman" w:hAnsi="Times New Roman" w:cs="Times New Roman"/>
          <w:i/>
          <w:color w:val="000000" w:themeColor="text1"/>
          <w:lang w:val="en-US"/>
        </w:rPr>
        <w:t>Specialized</w:t>
      </w:r>
      <w:r w:rsidRPr="00B5549F">
        <w:rPr>
          <w:rFonts w:ascii="Times New Roman" w:hAnsi="Times New Roman" w:cs="Times New Roman"/>
          <w:i/>
          <w:color w:val="000000" w:themeColor="text1"/>
          <w:vertAlign w:val="subscript"/>
          <w:lang w:val="en-US"/>
        </w:rPr>
        <w:t>p</w:t>
      </w:r>
      <w:proofErr w:type="spellEnd"/>
      <w:r w:rsidRPr="00B5549F">
        <w:rPr>
          <w:rFonts w:ascii="Times New Roman" w:hAnsi="Times New Roman" w:cs="Times New Roman"/>
          <w:iCs/>
          <w:color w:val="000000" w:themeColor="text1"/>
          <w:lang w:val="en-US"/>
        </w:rPr>
        <w:t xml:space="preserve"> which is equal to one if the metric </w:t>
      </w:r>
      <w:proofErr w:type="spellStart"/>
      <w:r w:rsidRPr="00B5549F">
        <w:rPr>
          <w:rFonts w:ascii="Times New Roman" w:hAnsi="Times New Roman" w:cs="Times New Roman"/>
          <w:i/>
          <w:color w:val="000000" w:themeColor="text1"/>
          <w:lang w:val="en-US"/>
        </w:rPr>
        <w:t>HighQuality</w:t>
      </w:r>
      <w:r w:rsidRPr="00B5549F">
        <w:rPr>
          <w:rFonts w:ascii="Times New Roman" w:hAnsi="Times New Roman" w:cs="Times New Roman"/>
          <w:i/>
          <w:color w:val="000000" w:themeColor="text1"/>
          <w:vertAlign w:val="subscript"/>
          <w:lang w:val="en-US"/>
        </w:rPr>
        <w:t>p</w:t>
      </w:r>
      <w:proofErr w:type="spellEnd"/>
      <w:r w:rsidRPr="00B5549F">
        <w:rPr>
          <w:rFonts w:ascii="Times New Roman" w:hAnsi="Times New Roman" w:cs="Times New Roman"/>
          <w:iCs/>
          <w:color w:val="000000" w:themeColor="text1"/>
          <w:lang w:val="en-US"/>
        </w:rPr>
        <w:t xml:space="preserve"> is above the sample median, zero otherwise.</w:t>
      </w:r>
    </w:p>
    <w:p w14:paraId="4F834CAC" w14:textId="02B089AE" w:rsidR="006A15E9" w:rsidRPr="00B5549F" w:rsidRDefault="006A15E9" w:rsidP="00980437">
      <w:pPr>
        <w:spacing w:before="120" w:line="480" w:lineRule="auto"/>
        <w:jc w:val="both"/>
        <w:rPr>
          <w:rFonts w:ascii="Times New Roman" w:hAnsi="Times New Roman" w:cs="Times New Roman"/>
          <w:iCs/>
          <w:color w:val="000000" w:themeColor="text1"/>
          <w:lang w:val="en-US"/>
        </w:rPr>
      </w:pPr>
      <w:r w:rsidRPr="00B5549F">
        <w:rPr>
          <w:rFonts w:ascii="Times New Roman" w:hAnsi="Times New Roman" w:cs="Times New Roman"/>
          <w:iCs/>
          <w:color w:val="000000" w:themeColor="text1"/>
          <w:lang w:val="en-US"/>
        </w:rPr>
        <w:t xml:space="preserve">Opportunity costs are proxied by i) the number of unoccupied dwellings in province </w:t>
      </w:r>
      <w:r w:rsidRPr="00B5549F">
        <w:rPr>
          <w:rFonts w:ascii="Times New Roman" w:hAnsi="Times New Roman" w:cs="Times New Roman"/>
          <w:i/>
          <w:color w:val="000000" w:themeColor="text1"/>
          <w:lang w:val="en-US"/>
        </w:rPr>
        <w:t>p</w:t>
      </w:r>
      <w:r w:rsidRPr="00B5549F">
        <w:rPr>
          <w:rFonts w:ascii="Times New Roman" w:hAnsi="Times New Roman" w:cs="Times New Roman"/>
          <w:iCs/>
          <w:color w:val="000000" w:themeColor="text1"/>
          <w:lang w:val="en-US"/>
        </w:rPr>
        <w:t xml:space="preserve">, </w:t>
      </w:r>
      <w:proofErr w:type="spellStart"/>
      <w:r w:rsidRPr="00B5549F">
        <w:rPr>
          <w:rFonts w:ascii="Times New Roman" w:hAnsi="Times New Roman" w:cs="Times New Roman"/>
          <w:i/>
          <w:color w:val="000000" w:themeColor="text1"/>
          <w:lang w:val="en-US"/>
        </w:rPr>
        <w:t>UnoccupiedDwellings</w:t>
      </w:r>
      <w:r w:rsidRPr="00B5549F">
        <w:rPr>
          <w:rFonts w:ascii="Times New Roman" w:hAnsi="Times New Roman" w:cs="Times New Roman"/>
          <w:i/>
          <w:color w:val="000000" w:themeColor="text1"/>
          <w:vertAlign w:val="subscript"/>
          <w:lang w:val="en-US"/>
        </w:rPr>
        <w:t>p</w:t>
      </w:r>
      <w:proofErr w:type="spellEnd"/>
      <w:r w:rsidRPr="00B5549F">
        <w:rPr>
          <w:rFonts w:ascii="Times New Roman" w:hAnsi="Times New Roman" w:cs="Times New Roman"/>
          <w:iCs/>
          <w:color w:val="000000" w:themeColor="text1"/>
          <w:lang w:val="en-US"/>
        </w:rPr>
        <w:t xml:space="preserve">, and ii) the unemployment rate in province </w:t>
      </w:r>
      <w:proofErr w:type="spellStart"/>
      <w:r w:rsidRPr="00B5549F">
        <w:rPr>
          <w:rFonts w:ascii="Times New Roman" w:hAnsi="Times New Roman" w:cs="Times New Roman"/>
          <w:i/>
          <w:color w:val="000000" w:themeColor="text1"/>
          <w:lang w:val="en-US"/>
        </w:rPr>
        <w:t>p</w:t>
      </w:r>
      <w:r w:rsidRPr="00B5549F">
        <w:rPr>
          <w:rFonts w:ascii="Times New Roman" w:hAnsi="Times New Roman" w:cs="Times New Roman"/>
          <w:iCs/>
          <w:color w:val="000000" w:themeColor="text1"/>
          <w:lang w:val="en-US"/>
        </w:rPr>
        <w:t xml:space="preserve"> at</w:t>
      </w:r>
      <w:proofErr w:type="spellEnd"/>
      <w:r w:rsidRPr="00B5549F">
        <w:rPr>
          <w:rFonts w:ascii="Times New Roman" w:hAnsi="Times New Roman" w:cs="Times New Roman"/>
          <w:iCs/>
          <w:color w:val="000000" w:themeColor="text1"/>
          <w:lang w:val="en-US"/>
        </w:rPr>
        <w:t xml:space="preserve"> time </w:t>
      </w:r>
      <w:r w:rsidRPr="00B5549F">
        <w:rPr>
          <w:rFonts w:ascii="Times New Roman" w:hAnsi="Times New Roman" w:cs="Times New Roman"/>
          <w:i/>
          <w:color w:val="000000" w:themeColor="text1"/>
          <w:lang w:val="en-US"/>
        </w:rPr>
        <w:t>t</w:t>
      </w:r>
      <w:r w:rsidRPr="00B5549F">
        <w:rPr>
          <w:rFonts w:ascii="Times New Roman" w:hAnsi="Times New Roman" w:cs="Times New Roman"/>
          <w:iCs/>
          <w:color w:val="000000" w:themeColor="text1"/>
          <w:lang w:val="en-US"/>
        </w:rPr>
        <w:t xml:space="preserve">, </w:t>
      </w:r>
      <w:proofErr w:type="spellStart"/>
      <w:r w:rsidRPr="00B5549F">
        <w:rPr>
          <w:rFonts w:ascii="Times New Roman" w:hAnsi="Times New Roman" w:cs="Times New Roman"/>
          <w:i/>
          <w:color w:val="000000" w:themeColor="text1"/>
          <w:lang w:val="en-US"/>
        </w:rPr>
        <w:t>UnemplRate</w:t>
      </w:r>
      <w:r w:rsidRPr="00B5549F">
        <w:rPr>
          <w:rFonts w:ascii="Times New Roman" w:hAnsi="Times New Roman" w:cs="Times New Roman"/>
          <w:i/>
          <w:color w:val="000000" w:themeColor="text1"/>
          <w:vertAlign w:val="subscript"/>
          <w:lang w:val="en-US"/>
        </w:rPr>
        <w:t>pt</w:t>
      </w:r>
      <w:proofErr w:type="spellEnd"/>
      <w:r w:rsidRPr="00B5549F">
        <w:rPr>
          <w:rFonts w:ascii="Times New Roman" w:hAnsi="Times New Roman" w:cs="Times New Roman"/>
          <w:iCs/>
          <w:color w:val="000000" w:themeColor="text1"/>
          <w:lang w:val="en-US"/>
        </w:rPr>
        <w:t xml:space="preserve">. Following Dogru et al. (2020b) and Gerwe et al. (2022), </w:t>
      </w:r>
      <w:r w:rsidRPr="00B5549F">
        <w:rPr>
          <w:rFonts w:ascii="Times New Roman" w:hAnsi="Times New Roman" w:cs="Times New Roman"/>
          <w:i/>
          <w:color w:val="000000" w:themeColor="text1"/>
          <w:lang w:val="en-US"/>
        </w:rPr>
        <w:t>HP2a</w:t>
      </w:r>
      <w:r w:rsidRPr="00B5549F">
        <w:rPr>
          <w:rFonts w:ascii="Times New Roman" w:hAnsi="Times New Roman" w:cs="Times New Roman"/>
          <w:iCs/>
          <w:color w:val="000000" w:themeColor="text1"/>
          <w:lang w:val="en-US"/>
        </w:rPr>
        <w:t xml:space="preserve"> predicts that the higher both unoccupied dwellings and unemployment, the lower the opportunity costs perceived by individuals in the local market for entering the Airbnb platform as hosts, and in turn this should positively affect the entry of small-scale entrepreneurs more than the entry of large- scale entrepreneurs.</w:t>
      </w:r>
      <w:r w:rsidRPr="00B5549F">
        <w:rPr>
          <w:rStyle w:val="Rimandonotaapidipagina"/>
          <w:rFonts w:ascii="Times New Roman" w:hAnsi="Times New Roman" w:cs="Times New Roman"/>
          <w:iCs/>
          <w:color w:val="000000" w:themeColor="text1"/>
          <w:lang w:val="en-US"/>
        </w:rPr>
        <w:footnoteReference w:id="14"/>
      </w:r>
      <w:r w:rsidRPr="00B5549F">
        <w:rPr>
          <w:rFonts w:ascii="Times New Roman" w:hAnsi="Times New Roman" w:cs="Times New Roman"/>
          <w:iCs/>
          <w:color w:val="000000" w:themeColor="text1"/>
          <w:lang w:val="en-US"/>
        </w:rPr>
        <w:t xml:space="preserve"> </w:t>
      </w:r>
    </w:p>
    <w:p w14:paraId="499E8BB0" w14:textId="070BCAA7" w:rsidR="006A15E9" w:rsidRPr="00B5549F" w:rsidRDefault="006A15E9" w:rsidP="00980437">
      <w:pPr>
        <w:spacing w:before="120" w:line="480" w:lineRule="auto"/>
        <w:jc w:val="both"/>
        <w:rPr>
          <w:rFonts w:ascii="Times New Roman" w:hAnsi="Times New Roman" w:cs="Times New Roman"/>
          <w:iCs/>
          <w:color w:val="000000" w:themeColor="text1"/>
          <w:lang w:val="en-US"/>
        </w:rPr>
      </w:pPr>
      <w:r w:rsidRPr="00B5549F">
        <w:rPr>
          <w:rFonts w:ascii="Times New Roman" w:hAnsi="Times New Roman" w:cs="Times New Roman"/>
          <w:iCs/>
          <w:color w:val="000000" w:themeColor="text1"/>
          <w:lang w:val="en-US"/>
        </w:rPr>
        <w:t xml:space="preserve">Spatial density of the supply encompasses the effects of proximity discussed in the theoretical section (i.e., A. information, B. cluster and C. competition effects). In particular, </w:t>
      </w:r>
      <w:proofErr w:type="spellStart"/>
      <w:r w:rsidRPr="00B5549F">
        <w:rPr>
          <w:rFonts w:ascii="Times New Roman" w:hAnsi="Times New Roman" w:cs="Times New Roman"/>
          <w:i/>
          <w:color w:val="000000" w:themeColor="text1"/>
          <w:lang w:val="en-US"/>
        </w:rPr>
        <w:t>ConcentrationProp</w:t>
      </w:r>
      <w:r w:rsidRPr="00B5549F">
        <w:rPr>
          <w:rFonts w:ascii="Times New Roman" w:hAnsi="Times New Roman" w:cs="Times New Roman"/>
          <w:i/>
          <w:color w:val="000000" w:themeColor="text1"/>
          <w:vertAlign w:val="subscript"/>
          <w:lang w:val="en-US"/>
        </w:rPr>
        <w:t>pt</w:t>
      </w:r>
      <w:proofErr w:type="spellEnd"/>
      <w:r w:rsidRPr="00B5549F">
        <w:rPr>
          <w:rFonts w:ascii="Times New Roman" w:hAnsi="Times New Roman" w:cs="Times New Roman"/>
          <w:iCs/>
          <w:color w:val="000000" w:themeColor="text1"/>
          <w:lang w:val="en-US"/>
        </w:rPr>
        <w:t xml:space="preserve"> is </w:t>
      </w:r>
      <w:r w:rsidRPr="00B5549F">
        <w:rPr>
          <w:rFonts w:ascii="Times New Roman" w:hAnsi="Times New Roman" w:cs="Times New Roman"/>
          <w:iCs/>
          <w:color w:val="000000" w:themeColor="text1"/>
          <w:lang w:val="en-US"/>
        </w:rPr>
        <w:lastRenderedPageBreak/>
        <w:t>defined as the number of active properties in province p during month t per surface unit.</w:t>
      </w:r>
      <w:r w:rsidRPr="00B5549F">
        <w:rPr>
          <w:rStyle w:val="Rimandonotaapidipagina"/>
          <w:rFonts w:ascii="Times New Roman" w:hAnsi="Times New Roman" w:cs="Times New Roman"/>
          <w:iCs/>
          <w:color w:val="000000" w:themeColor="text1"/>
          <w:lang w:val="en-US"/>
        </w:rPr>
        <w:footnoteReference w:id="15"/>
      </w:r>
      <w:r w:rsidRPr="00B5549F">
        <w:rPr>
          <w:rFonts w:ascii="Times New Roman" w:hAnsi="Times New Roman" w:cs="Times New Roman"/>
          <w:iCs/>
          <w:color w:val="000000" w:themeColor="text1"/>
          <w:lang w:val="en-US"/>
        </w:rPr>
        <w:t xml:space="preserve"> This variable (and its quadratic term) will be instrumental for the testing of </w:t>
      </w:r>
      <w:r w:rsidRPr="00B5549F">
        <w:rPr>
          <w:rFonts w:ascii="Times New Roman" w:hAnsi="Times New Roman" w:cs="Times New Roman"/>
          <w:i/>
          <w:color w:val="000000" w:themeColor="text1"/>
          <w:lang w:val="en-US"/>
        </w:rPr>
        <w:t>HP3a</w:t>
      </w:r>
      <w:r w:rsidRPr="00B5549F">
        <w:rPr>
          <w:rFonts w:ascii="Times New Roman" w:hAnsi="Times New Roman" w:cs="Times New Roman"/>
          <w:iCs/>
          <w:color w:val="000000" w:themeColor="text1"/>
          <w:lang w:val="en-US"/>
        </w:rPr>
        <w:t xml:space="preserve"> and </w:t>
      </w:r>
      <w:r w:rsidRPr="00B5549F">
        <w:rPr>
          <w:rFonts w:ascii="Times New Roman" w:hAnsi="Times New Roman" w:cs="Times New Roman"/>
          <w:i/>
          <w:color w:val="000000" w:themeColor="text1"/>
          <w:lang w:val="en-US"/>
        </w:rPr>
        <w:t>HP3b</w:t>
      </w:r>
      <w:r w:rsidRPr="00B5549F">
        <w:rPr>
          <w:rFonts w:ascii="Times New Roman" w:hAnsi="Times New Roman" w:cs="Times New Roman"/>
          <w:iCs/>
          <w:color w:val="000000" w:themeColor="text1"/>
          <w:lang w:val="en-US"/>
        </w:rPr>
        <w:t>.</w:t>
      </w:r>
    </w:p>
    <w:p w14:paraId="74AEF26F" w14:textId="26878997" w:rsidR="006A15E9" w:rsidRPr="00B5549F" w:rsidRDefault="000A6D37" w:rsidP="00980437">
      <w:pPr>
        <w:pStyle w:val="Paragrafoelenco"/>
        <w:numPr>
          <w:ilvl w:val="1"/>
          <w:numId w:val="7"/>
        </w:numPr>
        <w:spacing w:before="120" w:line="480" w:lineRule="auto"/>
        <w:jc w:val="both"/>
        <w:rPr>
          <w:rFonts w:ascii="Times New Roman" w:hAnsi="Times New Roman" w:cs="Times New Roman"/>
          <w:b/>
          <w:bCs/>
          <w:iCs/>
          <w:color w:val="000000" w:themeColor="text1"/>
          <w:lang w:val="en-US"/>
        </w:rPr>
      </w:pPr>
      <w:r w:rsidRPr="00B5549F">
        <w:rPr>
          <w:rFonts w:ascii="Times New Roman" w:hAnsi="Times New Roman" w:cs="Times New Roman"/>
          <w:b/>
          <w:bCs/>
          <w:iCs/>
          <w:color w:val="000000" w:themeColor="text1"/>
          <w:lang w:val="en-US"/>
        </w:rPr>
        <w:t xml:space="preserve"> </w:t>
      </w:r>
      <w:r w:rsidR="006A15E9" w:rsidRPr="00B5549F">
        <w:rPr>
          <w:rFonts w:ascii="Times New Roman" w:hAnsi="Times New Roman" w:cs="Times New Roman"/>
          <w:b/>
          <w:bCs/>
          <w:iCs/>
          <w:color w:val="000000" w:themeColor="text1"/>
          <w:lang w:val="en-US"/>
        </w:rPr>
        <w:t>Methodolog</w:t>
      </w:r>
      <w:r w:rsidR="00604E3E" w:rsidRPr="00B5549F">
        <w:rPr>
          <w:rFonts w:ascii="Times New Roman" w:hAnsi="Times New Roman" w:cs="Times New Roman"/>
          <w:b/>
          <w:bCs/>
          <w:iCs/>
          <w:color w:val="000000" w:themeColor="text1"/>
          <w:lang w:val="en-US"/>
        </w:rPr>
        <w:t>y</w:t>
      </w:r>
      <w:r w:rsidR="006A15E9" w:rsidRPr="00B5549F">
        <w:rPr>
          <w:rFonts w:ascii="Times New Roman" w:hAnsi="Times New Roman" w:cs="Times New Roman"/>
          <w:b/>
          <w:bCs/>
          <w:iCs/>
          <w:color w:val="000000" w:themeColor="text1"/>
          <w:lang w:val="en-US"/>
        </w:rPr>
        <w:t>: estimation strategy and GMM approach</w:t>
      </w:r>
    </w:p>
    <w:p w14:paraId="6A6A2150" w14:textId="2CE040D9" w:rsidR="006A15E9" w:rsidRPr="00B5549F" w:rsidRDefault="006A15E9" w:rsidP="00980437">
      <w:pPr>
        <w:spacing w:before="120" w:line="480" w:lineRule="auto"/>
        <w:jc w:val="both"/>
        <w:rPr>
          <w:rFonts w:ascii="Times New Roman" w:hAnsi="Times New Roman" w:cs="Times New Roman"/>
          <w:iCs/>
          <w:color w:val="000000" w:themeColor="text1"/>
          <w:lang w:val="en-US"/>
        </w:rPr>
      </w:pPr>
      <w:r w:rsidRPr="00B5549F">
        <w:rPr>
          <w:rFonts w:ascii="Times New Roman" w:hAnsi="Times New Roman" w:cs="Times New Roman"/>
          <w:iCs/>
          <w:color w:val="000000" w:themeColor="text1"/>
          <w:lang w:val="en-US"/>
        </w:rPr>
        <w:t>Our analysis aims to estimate the entry dynamics of both small- and large-scale entrepreneurs and investigate whether their patterns are driven by different mechanisms. For this aim, we have built a panel dataset on the number of monthly net-entries (</w:t>
      </w:r>
      <w:proofErr w:type="spellStart"/>
      <w:r w:rsidRPr="00B5549F">
        <w:rPr>
          <w:rFonts w:ascii="Times New Roman" w:hAnsi="Times New Roman" w:cs="Times New Roman"/>
          <w:i/>
          <w:color w:val="000000" w:themeColor="text1"/>
          <w:lang w:val="en-US"/>
        </w:rPr>
        <w:t>e</w:t>
      </w:r>
      <w:r w:rsidRPr="00B5549F">
        <w:rPr>
          <w:rFonts w:ascii="Times New Roman" w:hAnsi="Times New Roman" w:cs="Times New Roman"/>
          <w:i/>
          <w:color w:val="000000" w:themeColor="text1"/>
          <w:vertAlign w:val="superscript"/>
          <w:lang w:val="en-US"/>
        </w:rPr>
        <w:t>n</w:t>
      </w:r>
      <w:r w:rsidRPr="00B5549F">
        <w:rPr>
          <w:rFonts w:ascii="Times New Roman" w:hAnsi="Times New Roman" w:cs="Times New Roman"/>
          <w:i/>
          <w:color w:val="000000" w:themeColor="text1"/>
          <w:vertAlign w:val="subscript"/>
          <w:lang w:val="en-US"/>
        </w:rPr>
        <w:t>kpt</w:t>
      </w:r>
      <w:proofErr w:type="spellEnd"/>
      <w:r w:rsidRPr="00B5549F">
        <w:rPr>
          <w:rFonts w:ascii="Times New Roman" w:hAnsi="Times New Roman" w:cs="Times New Roman"/>
          <w:iCs/>
          <w:color w:val="000000" w:themeColor="text1"/>
          <w:lang w:val="en-US"/>
        </w:rPr>
        <w:t>) of both small- and large-scale entrepreneurs (as well as on the other additional dependent variables). The impact of the different locally-bounded market and geographical variables is tested by estimating the following equation type:</w:t>
      </w:r>
    </w:p>
    <w:p w14:paraId="32247E27" w14:textId="50A557E9" w:rsidR="006A15E9" w:rsidRPr="00B5549F" w:rsidRDefault="000A3E2B" w:rsidP="00980437">
      <w:pPr>
        <w:spacing w:before="120" w:line="480" w:lineRule="auto"/>
        <w:jc w:val="center"/>
        <w:rPr>
          <w:rFonts w:ascii="Times New Roman" w:eastAsiaTheme="minorEastAsia" w:hAnsi="Times New Roman" w:cs="Times New Roman"/>
          <w:iCs/>
          <w:color w:val="000000" w:themeColor="text1"/>
          <w:lang w:val="en-US"/>
        </w:rPr>
      </w:pPr>
      <m:oMathPara>
        <m:oMathParaPr>
          <m:jc m:val="center"/>
        </m:oMathParaPr>
        <m:oMath>
          <m:sSubSup>
            <m:sSubSupPr>
              <m:ctrlPr>
                <w:rPr>
                  <w:rFonts w:ascii="Cambria Math" w:hAnsi="Cambria Math" w:cs="Times New Roman"/>
                  <w:iCs/>
                  <w:color w:val="000000" w:themeColor="text1"/>
                  <w:lang w:val="en-US"/>
                </w:rPr>
              </m:ctrlPr>
            </m:sSubSupPr>
            <m:e>
              <m:r>
                <m:rPr>
                  <m:sty m:val="p"/>
                </m:rPr>
                <w:rPr>
                  <w:rFonts w:ascii="Cambria Math" w:hAnsi="Cambria Math" w:cs="Times New Roman"/>
                  <w:color w:val="000000" w:themeColor="text1"/>
                  <w:lang w:val="en-US"/>
                </w:rPr>
                <m:t>e</m:t>
              </m:r>
            </m:e>
            <m:sub>
              <m:r>
                <m:rPr>
                  <m:sty m:val="p"/>
                </m:rPr>
                <w:rPr>
                  <w:rFonts w:ascii="Cambria Math" w:hAnsi="Cambria Math" w:cs="Times New Roman"/>
                  <w:color w:val="000000" w:themeColor="text1"/>
                  <w:lang w:val="en-US"/>
                </w:rPr>
                <m:t>k,p,t</m:t>
              </m:r>
            </m:sub>
            <m:sup>
              <m:r>
                <m:rPr>
                  <m:sty m:val="p"/>
                </m:rPr>
                <w:rPr>
                  <w:rFonts w:ascii="Cambria Math" w:hAnsi="Cambria Math" w:cs="Times New Roman"/>
                  <w:color w:val="000000" w:themeColor="text1"/>
                  <w:lang w:val="en-US"/>
                </w:rPr>
                <m:t>n</m:t>
              </m:r>
            </m:sup>
          </m:sSubSup>
          <m:r>
            <m:rPr>
              <m:sty m:val="p"/>
            </m:rPr>
            <w:rPr>
              <w:rFonts w:ascii="Cambria Math" w:hAnsi="Cambria Math" w:cs="Times New Roman"/>
              <w:color w:val="000000" w:themeColor="text1"/>
              <w:lang w:val="en-US"/>
            </w:rPr>
            <m:t xml:space="preserve">= </m:t>
          </m:r>
          <m:sSub>
            <m:sSubPr>
              <m:ctrlPr>
                <w:rPr>
                  <w:rFonts w:ascii="Cambria Math" w:hAnsi="Cambria Math" w:cs="Times New Roman"/>
                  <w:iCs/>
                  <w:color w:val="000000" w:themeColor="text1"/>
                  <w:lang w:val="en-US"/>
                </w:rPr>
              </m:ctrlPr>
            </m:sSubPr>
            <m:e>
              <m:r>
                <m:rPr>
                  <m:sty m:val="p"/>
                </m:rPr>
                <w:rPr>
                  <w:rFonts w:ascii="Cambria Math" w:hAnsi="Cambria Math" w:cs="Times New Roman"/>
                  <w:color w:val="000000" w:themeColor="text1"/>
                  <w:lang w:val="en-US"/>
                </w:rPr>
                <m:t>α</m:t>
              </m:r>
            </m:e>
            <m:sub>
              <m:r>
                <m:rPr>
                  <m:sty m:val="p"/>
                </m:rPr>
                <w:rPr>
                  <w:rFonts w:ascii="Cambria Math" w:hAnsi="Cambria Math" w:cs="Times New Roman"/>
                  <w:color w:val="000000" w:themeColor="text1"/>
                  <w:lang w:val="en-US"/>
                </w:rPr>
                <m:t>0</m:t>
              </m:r>
            </m:sub>
          </m:sSub>
          <m:r>
            <m:rPr>
              <m:sty m:val="p"/>
            </m:rPr>
            <w:rPr>
              <w:rFonts w:ascii="Cambria Math" w:hAnsi="Cambria Math" w:cs="Times New Roman"/>
              <w:color w:val="000000" w:themeColor="text1"/>
              <w:lang w:val="en-US"/>
            </w:rPr>
            <m:t>+</m:t>
          </m:r>
          <m:sSub>
            <m:sSubPr>
              <m:ctrlPr>
                <w:rPr>
                  <w:rFonts w:ascii="Cambria Math" w:hAnsi="Cambria Math" w:cs="Times New Roman"/>
                  <w:iCs/>
                  <w:color w:val="000000" w:themeColor="text1"/>
                  <w:lang w:val="en-US"/>
                </w:rPr>
              </m:ctrlPr>
            </m:sSubPr>
            <m:e>
              <m:r>
                <m:rPr>
                  <m:sty m:val="p"/>
                </m:rPr>
                <w:rPr>
                  <w:rFonts w:ascii="Cambria Math" w:hAnsi="Cambria Math" w:cs="Times New Roman"/>
                  <w:color w:val="000000" w:themeColor="text1"/>
                  <w:lang w:val="en-US"/>
                </w:rPr>
                <m:t>α</m:t>
              </m:r>
            </m:e>
            <m:sub>
              <m:r>
                <m:rPr>
                  <m:sty m:val="p"/>
                </m:rPr>
                <w:rPr>
                  <w:rFonts w:ascii="Cambria Math" w:hAnsi="Cambria Math" w:cs="Times New Roman"/>
                  <w:color w:val="000000" w:themeColor="text1"/>
                  <w:lang w:val="en-US"/>
                </w:rPr>
                <m:t>1,k</m:t>
              </m:r>
            </m:sub>
          </m:sSub>
          <m:sSubSup>
            <m:sSubSupPr>
              <m:ctrlPr>
                <w:rPr>
                  <w:rFonts w:ascii="Cambria Math" w:hAnsi="Cambria Math" w:cs="Times New Roman"/>
                  <w:iCs/>
                  <w:color w:val="000000" w:themeColor="text1"/>
                  <w:lang w:val="en-US"/>
                </w:rPr>
              </m:ctrlPr>
            </m:sSubSupPr>
            <m:e>
              <m:r>
                <m:rPr>
                  <m:sty m:val="p"/>
                </m:rPr>
                <w:rPr>
                  <w:rFonts w:ascii="Cambria Math" w:hAnsi="Cambria Math" w:cs="Times New Roman"/>
                  <w:color w:val="000000" w:themeColor="text1"/>
                  <w:lang w:val="en-US"/>
                </w:rPr>
                <m:t>e</m:t>
              </m:r>
            </m:e>
            <m:sub>
              <m:r>
                <m:rPr>
                  <m:sty m:val="p"/>
                </m:rPr>
                <w:rPr>
                  <w:rFonts w:ascii="Cambria Math" w:hAnsi="Cambria Math" w:cs="Times New Roman"/>
                  <w:color w:val="000000" w:themeColor="text1"/>
                  <w:lang w:val="en-US"/>
                </w:rPr>
                <m:t>k,p,t-1</m:t>
              </m:r>
            </m:sub>
            <m:sup>
              <m:r>
                <m:rPr>
                  <m:sty m:val="p"/>
                </m:rPr>
                <w:rPr>
                  <w:rFonts w:ascii="Cambria Math" w:hAnsi="Cambria Math" w:cs="Times New Roman"/>
                  <w:color w:val="000000" w:themeColor="text1"/>
                  <w:lang w:val="en-US"/>
                </w:rPr>
                <m:t>n</m:t>
              </m:r>
            </m:sup>
          </m:sSubSup>
          <m:r>
            <m:rPr>
              <m:sty m:val="p"/>
            </m:rPr>
            <w:rPr>
              <w:rFonts w:ascii="Cambria Math" w:hAnsi="Cambria Math" w:cs="Times New Roman"/>
              <w:color w:val="000000" w:themeColor="text1"/>
              <w:lang w:val="en-US"/>
            </w:rPr>
            <m:t>+</m:t>
          </m:r>
          <m:sSub>
            <m:sSubPr>
              <m:ctrlPr>
                <w:rPr>
                  <w:rFonts w:ascii="Cambria Math" w:hAnsi="Cambria Math" w:cs="Times New Roman"/>
                  <w:iCs/>
                  <w:color w:val="000000" w:themeColor="text1"/>
                  <w:lang w:val="en-US"/>
                </w:rPr>
              </m:ctrlPr>
            </m:sSubPr>
            <m:e>
              <m:r>
                <m:rPr>
                  <m:sty m:val="p"/>
                </m:rPr>
                <w:rPr>
                  <w:rFonts w:ascii="Cambria Math" w:hAnsi="Cambria Math" w:cs="Times New Roman"/>
                  <w:color w:val="000000" w:themeColor="text1"/>
                  <w:lang w:val="en-US"/>
                </w:rPr>
                <m:t>β</m:t>
              </m:r>
            </m:e>
            <m:sub>
              <m:r>
                <m:rPr>
                  <m:sty m:val="p"/>
                </m:rPr>
                <w:rPr>
                  <w:rFonts w:ascii="Cambria Math" w:hAnsi="Cambria Math" w:cs="Times New Roman"/>
                  <w:color w:val="000000" w:themeColor="text1"/>
                  <w:lang w:val="en-US"/>
                </w:rPr>
                <m:t>k</m:t>
              </m:r>
            </m:sub>
          </m:sSub>
          <m:func>
            <m:funcPr>
              <m:ctrlPr>
                <w:rPr>
                  <w:rFonts w:ascii="Cambria Math" w:hAnsi="Cambria Math" w:cs="Times New Roman"/>
                  <w:iCs/>
                  <w:color w:val="000000" w:themeColor="text1"/>
                  <w:lang w:val="en-US"/>
                </w:rPr>
              </m:ctrlPr>
            </m:funcPr>
            <m:fName>
              <m:r>
                <m:rPr>
                  <m:sty m:val="p"/>
                </m:rPr>
                <w:rPr>
                  <w:rFonts w:ascii="Cambria Math" w:hAnsi="Cambria Math" w:cs="Times New Roman"/>
                  <w:color w:val="000000" w:themeColor="text1"/>
                  <w:lang w:val="en-US"/>
                </w:rPr>
                <m:t>ln</m:t>
              </m:r>
            </m:fName>
            <m:e>
              <m:d>
                <m:dPr>
                  <m:ctrlPr>
                    <w:rPr>
                      <w:rFonts w:ascii="Cambria Math" w:hAnsi="Cambria Math" w:cs="Times New Roman"/>
                      <w:iCs/>
                      <w:color w:val="000000" w:themeColor="text1"/>
                      <w:lang w:val="en-US"/>
                    </w:rPr>
                  </m:ctrlPr>
                </m:dPr>
                <m:e>
                  <m:sSubSup>
                    <m:sSubSupPr>
                      <m:ctrlPr>
                        <w:rPr>
                          <w:rFonts w:ascii="Cambria Math" w:hAnsi="Cambria Math" w:cs="Times New Roman"/>
                          <w:iCs/>
                          <w:color w:val="000000" w:themeColor="text1"/>
                          <w:lang w:val="en-US"/>
                        </w:rPr>
                      </m:ctrlPr>
                    </m:sSubSupPr>
                    <m:e>
                      <m:r>
                        <m:rPr>
                          <m:sty m:val="p"/>
                        </m:rPr>
                        <w:rPr>
                          <w:rFonts w:ascii="Cambria Math" w:hAnsi="Cambria Math" w:cs="Times New Roman"/>
                          <w:color w:val="000000" w:themeColor="text1"/>
                          <w:lang w:val="en-US"/>
                        </w:rPr>
                        <m:t>MarketClimate</m:t>
                      </m:r>
                    </m:e>
                    <m:sub>
                      <m:r>
                        <m:rPr>
                          <m:sty m:val="p"/>
                        </m:rPr>
                        <w:rPr>
                          <w:rFonts w:ascii="Cambria Math" w:hAnsi="Cambria Math" w:cs="Times New Roman"/>
                          <w:color w:val="000000" w:themeColor="text1"/>
                          <w:lang w:val="en-US"/>
                        </w:rPr>
                        <m:t>p,t</m:t>
                      </m:r>
                    </m:sub>
                    <m:sup>
                      <m:r>
                        <m:rPr>
                          <m:sty m:val="p"/>
                        </m:rPr>
                        <w:rPr>
                          <w:rFonts w:ascii="Cambria Math" w:hAnsi="Cambria Math" w:cs="Times New Roman"/>
                          <w:color w:val="000000" w:themeColor="text1"/>
                          <w:lang w:val="en-US"/>
                        </w:rPr>
                        <m:t>3</m:t>
                      </m:r>
                    </m:sup>
                  </m:sSubSup>
                </m:e>
              </m:d>
            </m:e>
          </m:func>
          <m:r>
            <m:rPr>
              <m:sty m:val="p"/>
            </m:rPr>
            <w:rPr>
              <w:rFonts w:ascii="Cambria Math" w:hAnsi="Cambria Math" w:cs="Times New Roman"/>
              <w:color w:val="000000" w:themeColor="text1"/>
              <w:lang w:val="en-US"/>
            </w:rPr>
            <m:t>+</m:t>
          </m:r>
          <m:sSub>
            <m:sSubPr>
              <m:ctrlPr>
                <w:rPr>
                  <w:rFonts w:ascii="Cambria Math" w:eastAsiaTheme="minorEastAsia" w:hAnsi="Cambria Math" w:cs="Times New Roman"/>
                  <w:iCs/>
                  <w:color w:val="000000" w:themeColor="text1"/>
                  <w:lang w:val="en-US"/>
                </w:rPr>
              </m:ctrlPr>
            </m:sSubPr>
            <m:e>
              <m:r>
                <m:rPr>
                  <m:sty m:val="p"/>
                </m:rPr>
                <w:rPr>
                  <w:rFonts w:ascii="Cambria Math" w:eastAsiaTheme="minorEastAsia" w:hAnsi="Cambria Math" w:cs="Times New Roman"/>
                  <w:color w:val="000000" w:themeColor="text1"/>
                  <w:lang w:val="en-US"/>
                </w:rPr>
                <m:t>δ</m:t>
              </m:r>
            </m:e>
            <m:sub>
              <m:r>
                <m:rPr>
                  <m:sty m:val="p"/>
                </m:rPr>
                <w:rPr>
                  <w:rFonts w:ascii="Cambria Math" w:eastAsiaTheme="minorEastAsia" w:hAnsi="Cambria Math" w:cs="Times New Roman"/>
                  <w:color w:val="000000" w:themeColor="text1"/>
                  <w:lang w:val="en-US"/>
                </w:rPr>
                <m:t>1,k</m:t>
              </m:r>
            </m:sub>
          </m:sSub>
          <m:sSub>
            <m:sSubPr>
              <m:ctrlPr>
                <w:rPr>
                  <w:rFonts w:ascii="Cambria Math" w:eastAsiaTheme="minorEastAsia" w:hAnsi="Cambria Math" w:cs="Times New Roman"/>
                  <w:iCs/>
                  <w:color w:val="000000" w:themeColor="text1"/>
                  <w:lang w:val="en-US"/>
                </w:rPr>
              </m:ctrlPr>
            </m:sSubPr>
            <m:e>
              <m:r>
                <m:rPr>
                  <m:sty m:val="p"/>
                </m:rPr>
                <w:rPr>
                  <w:rFonts w:ascii="Cambria Math" w:eastAsiaTheme="minorEastAsia" w:hAnsi="Cambria Math" w:cs="Times New Roman"/>
                  <w:color w:val="000000" w:themeColor="text1"/>
                  <w:lang w:val="en-US"/>
                </w:rPr>
                <m:t>UnoccupiedDwellings</m:t>
              </m:r>
            </m:e>
            <m:sub>
              <m:r>
                <m:rPr>
                  <m:sty m:val="p"/>
                </m:rPr>
                <w:rPr>
                  <w:rFonts w:ascii="Cambria Math" w:eastAsiaTheme="minorEastAsia" w:hAnsi="Cambria Math" w:cs="Times New Roman"/>
                  <w:color w:val="000000" w:themeColor="text1"/>
                  <w:lang w:val="en-US"/>
                </w:rPr>
                <m:t>p</m:t>
              </m:r>
            </m:sub>
          </m:sSub>
          <m:r>
            <m:rPr>
              <m:sty m:val="p"/>
            </m:rPr>
            <w:rPr>
              <w:rFonts w:ascii="Cambria Math" w:hAnsi="Cambria Math" w:cs="Times New Roman"/>
              <w:color w:val="000000" w:themeColor="text1"/>
              <w:lang w:val="en-US"/>
            </w:rPr>
            <m:t>+</m:t>
          </m:r>
          <m:sSub>
            <m:sSubPr>
              <m:ctrlPr>
                <w:rPr>
                  <w:rFonts w:ascii="Cambria Math" w:eastAsiaTheme="minorEastAsia" w:hAnsi="Cambria Math" w:cs="Times New Roman"/>
                  <w:iCs/>
                  <w:color w:val="000000" w:themeColor="text1"/>
                  <w:lang w:val="en-US"/>
                </w:rPr>
              </m:ctrlPr>
            </m:sSubPr>
            <m:e>
              <m:r>
                <m:rPr>
                  <m:sty m:val="p"/>
                </m:rPr>
                <w:rPr>
                  <w:rFonts w:ascii="Cambria Math" w:eastAsiaTheme="minorEastAsia" w:hAnsi="Cambria Math" w:cs="Times New Roman"/>
                  <w:color w:val="000000" w:themeColor="text1"/>
                  <w:lang w:val="en-US"/>
                </w:rPr>
                <m:t>δ</m:t>
              </m:r>
            </m:e>
            <m:sub>
              <m:r>
                <m:rPr>
                  <m:sty m:val="p"/>
                </m:rPr>
                <w:rPr>
                  <w:rFonts w:ascii="Cambria Math" w:eastAsiaTheme="minorEastAsia" w:hAnsi="Cambria Math" w:cs="Times New Roman"/>
                  <w:color w:val="000000" w:themeColor="text1"/>
                  <w:lang w:val="en-US"/>
                </w:rPr>
                <m:t>2,k</m:t>
              </m:r>
            </m:sub>
          </m:sSub>
          <m:sSub>
            <m:sSubPr>
              <m:ctrlPr>
                <w:rPr>
                  <w:rFonts w:ascii="Cambria Math" w:eastAsiaTheme="minorEastAsia" w:hAnsi="Cambria Math" w:cs="Times New Roman"/>
                  <w:iCs/>
                  <w:color w:val="000000" w:themeColor="text1"/>
                  <w:lang w:val="en-US"/>
                </w:rPr>
              </m:ctrlPr>
            </m:sSubPr>
            <m:e>
              <m:r>
                <m:rPr>
                  <m:sty m:val="p"/>
                </m:rPr>
                <w:rPr>
                  <w:rFonts w:ascii="Cambria Math" w:eastAsiaTheme="minorEastAsia" w:hAnsi="Cambria Math" w:cs="Times New Roman"/>
                  <w:color w:val="000000" w:themeColor="text1"/>
                  <w:lang w:val="en-US"/>
                </w:rPr>
                <m:t>UnemplRate</m:t>
              </m:r>
            </m:e>
            <m:sub>
              <m:r>
                <m:rPr>
                  <m:sty m:val="p"/>
                </m:rPr>
                <w:rPr>
                  <w:rFonts w:ascii="Cambria Math" w:eastAsiaTheme="minorEastAsia" w:hAnsi="Cambria Math" w:cs="Times New Roman"/>
                  <w:color w:val="000000" w:themeColor="text1"/>
                  <w:lang w:val="en-US"/>
                </w:rPr>
                <m:t>p,t</m:t>
              </m:r>
            </m:sub>
          </m:sSub>
          <m:r>
            <m:rPr>
              <m:sty m:val="p"/>
            </m:rPr>
            <w:rPr>
              <w:rFonts w:ascii="Cambria Math" w:hAnsi="Cambria Math" w:cs="Times New Roman"/>
              <w:color w:val="000000" w:themeColor="text1"/>
              <w:lang w:val="en-US"/>
            </w:rPr>
            <m:t>+</m:t>
          </m:r>
          <m:sSub>
            <m:sSubPr>
              <m:ctrlPr>
                <w:rPr>
                  <w:rFonts w:ascii="Cambria Math" w:eastAsiaTheme="minorEastAsia" w:hAnsi="Cambria Math" w:cs="Times New Roman"/>
                  <w:iCs/>
                  <w:color w:val="000000" w:themeColor="text1"/>
                  <w:lang w:val="en-US"/>
                </w:rPr>
              </m:ctrlPr>
            </m:sSubPr>
            <m:e>
              <m:r>
                <m:rPr>
                  <m:sty m:val="p"/>
                </m:rPr>
                <w:rPr>
                  <w:rFonts w:ascii="Cambria Math" w:eastAsiaTheme="minorEastAsia" w:hAnsi="Cambria Math" w:cs="Times New Roman"/>
                  <w:color w:val="000000" w:themeColor="text1"/>
                  <w:lang w:val="en-US"/>
                </w:rPr>
                <m:t>δ</m:t>
              </m:r>
            </m:e>
            <m:sub>
              <m:r>
                <m:rPr>
                  <m:sty m:val="p"/>
                </m:rPr>
                <w:rPr>
                  <w:rFonts w:ascii="Cambria Math" w:eastAsiaTheme="minorEastAsia" w:hAnsi="Cambria Math" w:cs="Times New Roman"/>
                  <w:color w:val="000000" w:themeColor="text1"/>
                  <w:lang w:val="en-US"/>
                </w:rPr>
                <m:t>3,k</m:t>
              </m:r>
            </m:sub>
          </m:sSub>
          <m:sSub>
            <m:sSubPr>
              <m:ctrlPr>
                <w:rPr>
                  <w:rFonts w:ascii="Cambria Math" w:eastAsiaTheme="minorEastAsia" w:hAnsi="Cambria Math" w:cs="Times New Roman"/>
                  <w:iCs/>
                  <w:color w:val="000000" w:themeColor="text1"/>
                  <w:lang w:val="en-US"/>
                </w:rPr>
              </m:ctrlPr>
            </m:sSubPr>
            <m:e>
              <m:r>
                <m:rPr>
                  <m:sty m:val="p"/>
                </m:rPr>
                <w:rPr>
                  <w:rFonts w:ascii="Cambria Math" w:eastAsiaTheme="minorEastAsia" w:hAnsi="Cambria Math" w:cs="Times New Roman"/>
                  <w:color w:val="000000" w:themeColor="text1"/>
                  <w:lang w:val="en-US"/>
                </w:rPr>
                <m:t>HighEndSpecialized</m:t>
              </m:r>
            </m:e>
            <m:sub>
              <m:r>
                <m:rPr>
                  <m:sty m:val="p"/>
                </m:rPr>
                <w:rPr>
                  <w:rFonts w:ascii="Cambria Math" w:eastAsiaTheme="minorEastAsia" w:hAnsi="Cambria Math" w:cs="Times New Roman"/>
                  <w:color w:val="000000" w:themeColor="text1"/>
                  <w:lang w:val="en-US"/>
                </w:rPr>
                <m:t>p</m:t>
              </m:r>
            </m:sub>
          </m:sSub>
          <m:r>
            <m:rPr>
              <m:sty m:val="p"/>
            </m:rPr>
            <w:rPr>
              <w:rFonts w:ascii="Cambria Math" w:eastAsiaTheme="minorEastAsia" w:hAnsi="Cambria Math" w:cs="Times New Roman"/>
              <w:color w:val="000000" w:themeColor="text1"/>
              <w:lang w:val="en-US"/>
            </w:rPr>
            <m:t>+</m:t>
          </m:r>
          <m:sSub>
            <m:sSubPr>
              <m:ctrlPr>
                <w:rPr>
                  <w:rFonts w:ascii="Cambria Math" w:eastAsiaTheme="minorEastAsia" w:hAnsi="Cambria Math" w:cs="Times New Roman"/>
                  <w:iCs/>
                  <w:color w:val="000000" w:themeColor="text1"/>
                  <w:lang w:val="en-US"/>
                </w:rPr>
              </m:ctrlPr>
            </m:sSubPr>
            <m:e>
              <m:r>
                <m:rPr>
                  <m:sty m:val="p"/>
                </m:rPr>
                <w:rPr>
                  <w:rFonts w:ascii="Cambria Math" w:eastAsiaTheme="minorEastAsia" w:hAnsi="Cambria Math" w:cs="Times New Roman"/>
                  <w:color w:val="000000" w:themeColor="text1"/>
                  <w:lang w:val="en-US"/>
                </w:rPr>
                <m:t>γ</m:t>
              </m:r>
            </m:e>
            <m:sub>
              <m:r>
                <m:rPr>
                  <m:sty m:val="p"/>
                </m:rPr>
                <w:rPr>
                  <w:rFonts w:ascii="Cambria Math" w:eastAsiaTheme="minorEastAsia" w:hAnsi="Cambria Math" w:cs="Times New Roman"/>
                  <w:color w:val="000000" w:themeColor="text1"/>
                  <w:lang w:val="en-US"/>
                </w:rPr>
                <m:t>1,k</m:t>
              </m:r>
            </m:sub>
          </m:sSub>
          <m:sSub>
            <m:sSubPr>
              <m:ctrlPr>
                <w:rPr>
                  <w:rFonts w:ascii="Cambria Math" w:eastAsiaTheme="minorEastAsia" w:hAnsi="Cambria Math" w:cs="Times New Roman"/>
                  <w:iCs/>
                  <w:color w:val="000000" w:themeColor="text1"/>
                  <w:lang w:val="en-US"/>
                </w:rPr>
              </m:ctrlPr>
            </m:sSubPr>
            <m:e>
              <m:r>
                <m:rPr>
                  <m:sty m:val="p"/>
                </m:rPr>
                <w:rPr>
                  <w:rFonts w:ascii="Cambria Math" w:eastAsiaTheme="minorEastAsia" w:hAnsi="Cambria Math" w:cs="Times New Roman"/>
                  <w:color w:val="000000" w:themeColor="text1"/>
                  <w:lang w:val="en-US"/>
                </w:rPr>
                <m:t>ConcentrationProp</m:t>
              </m:r>
            </m:e>
            <m:sub>
              <m:r>
                <m:rPr>
                  <m:sty m:val="p"/>
                </m:rPr>
                <w:rPr>
                  <w:rFonts w:ascii="Cambria Math" w:eastAsiaTheme="minorEastAsia" w:hAnsi="Cambria Math" w:cs="Times New Roman"/>
                  <w:color w:val="000000" w:themeColor="text1"/>
                  <w:lang w:val="en-US"/>
                </w:rPr>
                <m:t>p,t-1</m:t>
              </m:r>
            </m:sub>
          </m:sSub>
          <m:r>
            <m:rPr>
              <m:sty m:val="p"/>
            </m:rPr>
            <w:rPr>
              <w:rFonts w:ascii="Cambria Math" w:eastAsiaTheme="minorEastAsia" w:hAnsi="Cambria Math" w:cs="Times New Roman"/>
              <w:color w:val="000000" w:themeColor="text1"/>
              <w:lang w:val="en-US"/>
            </w:rPr>
            <m:t>+</m:t>
          </m:r>
          <m:sSub>
            <m:sSubPr>
              <m:ctrlPr>
                <w:rPr>
                  <w:rFonts w:ascii="Cambria Math" w:eastAsiaTheme="minorEastAsia" w:hAnsi="Cambria Math" w:cs="Times New Roman"/>
                  <w:iCs/>
                  <w:color w:val="000000" w:themeColor="text1"/>
                  <w:lang w:val="en-US"/>
                </w:rPr>
              </m:ctrlPr>
            </m:sSubPr>
            <m:e>
              <m:r>
                <m:rPr>
                  <m:sty m:val="p"/>
                </m:rPr>
                <w:rPr>
                  <w:rFonts w:ascii="Cambria Math" w:eastAsiaTheme="minorEastAsia" w:hAnsi="Cambria Math" w:cs="Times New Roman"/>
                  <w:color w:val="000000" w:themeColor="text1"/>
                  <w:lang w:val="en-US"/>
                </w:rPr>
                <m:t>γ</m:t>
              </m:r>
            </m:e>
            <m:sub>
              <m:r>
                <m:rPr>
                  <m:sty m:val="p"/>
                </m:rPr>
                <w:rPr>
                  <w:rFonts w:ascii="Cambria Math" w:eastAsiaTheme="minorEastAsia" w:hAnsi="Cambria Math" w:cs="Times New Roman"/>
                  <w:color w:val="000000" w:themeColor="text1"/>
                  <w:lang w:val="en-US"/>
                </w:rPr>
                <m:t>2,k</m:t>
              </m:r>
            </m:sub>
          </m:sSub>
          <m:sSubSup>
            <m:sSubSupPr>
              <m:ctrlPr>
                <w:rPr>
                  <w:rFonts w:ascii="Cambria Math" w:eastAsiaTheme="minorEastAsia" w:hAnsi="Cambria Math" w:cs="Times New Roman"/>
                  <w:iCs/>
                  <w:color w:val="000000" w:themeColor="text1"/>
                  <w:lang w:val="en-US"/>
                </w:rPr>
              </m:ctrlPr>
            </m:sSubSupPr>
            <m:e>
              <m:r>
                <m:rPr>
                  <m:sty m:val="p"/>
                </m:rPr>
                <w:rPr>
                  <w:rFonts w:ascii="Cambria Math" w:eastAsiaTheme="minorEastAsia" w:hAnsi="Cambria Math" w:cs="Times New Roman"/>
                  <w:color w:val="000000" w:themeColor="text1"/>
                  <w:lang w:val="en-US"/>
                </w:rPr>
                <m:t>ConcentrationProp</m:t>
              </m:r>
            </m:e>
            <m:sub>
              <m:r>
                <m:rPr>
                  <m:sty m:val="p"/>
                </m:rPr>
                <w:rPr>
                  <w:rFonts w:ascii="Cambria Math" w:eastAsiaTheme="minorEastAsia" w:hAnsi="Cambria Math" w:cs="Times New Roman"/>
                  <w:color w:val="000000" w:themeColor="text1"/>
                  <w:lang w:val="en-US"/>
                </w:rPr>
                <m:t>p,t-1</m:t>
              </m:r>
            </m:sub>
            <m:sup>
              <m:r>
                <m:rPr>
                  <m:sty m:val="p"/>
                </m:rPr>
                <w:rPr>
                  <w:rFonts w:ascii="Cambria Math" w:eastAsiaTheme="minorEastAsia" w:hAnsi="Cambria Math" w:cs="Times New Roman"/>
                  <w:color w:val="000000" w:themeColor="text1"/>
                  <w:lang w:val="en-US"/>
                </w:rPr>
                <m:t>2</m:t>
              </m:r>
            </m:sup>
          </m:sSubSup>
          <m:r>
            <m:rPr>
              <m:sty m:val="p"/>
            </m:rPr>
            <w:rPr>
              <w:rFonts w:ascii="Cambria Math" w:eastAsiaTheme="minorEastAsia" w:hAnsi="Cambria Math" w:cs="Times New Roman"/>
              <w:color w:val="000000" w:themeColor="text1"/>
              <w:lang w:val="en-US"/>
            </w:rPr>
            <m:t>+</m:t>
          </m:r>
          <m:sSub>
            <m:sSubPr>
              <m:ctrlPr>
                <w:rPr>
                  <w:rFonts w:ascii="Cambria Math" w:eastAsiaTheme="minorEastAsia" w:hAnsi="Cambria Math" w:cs="Times New Roman"/>
                  <w:iCs/>
                  <w:color w:val="000000" w:themeColor="text1"/>
                  <w:lang w:val="en-US"/>
                </w:rPr>
              </m:ctrlPr>
            </m:sSubPr>
            <m:e>
              <m:r>
                <m:rPr>
                  <m:sty m:val="p"/>
                </m:rPr>
                <w:rPr>
                  <w:rFonts w:ascii="Cambria Math" w:eastAsiaTheme="minorEastAsia" w:hAnsi="Cambria Math" w:cs="Times New Roman"/>
                  <w:color w:val="000000" w:themeColor="text1"/>
                  <w:lang w:val="en-US"/>
                </w:rPr>
                <m:t>C</m:t>
              </m:r>
            </m:e>
            <m:sub>
              <m:r>
                <m:rPr>
                  <m:sty m:val="p"/>
                </m:rPr>
                <w:rPr>
                  <w:rFonts w:ascii="Cambria Math" w:eastAsiaTheme="minorEastAsia" w:hAnsi="Cambria Math" w:cs="Times New Roman"/>
                  <w:color w:val="000000" w:themeColor="text1"/>
                  <w:lang w:val="en-US"/>
                </w:rPr>
                <m:t>p,t</m:t>
              </m:r>
            </m:sub>
          </m:sSub>
          <m:r>
            <m:rPr>
              <m:sty m:val="p"/>
            </m:rPr>
            <w:rPr>
              <w:rFonts w:ascii="Cambria Math" w:eastAsiaTheme="minorEastAsia" w:hAnsi="Cambria Math" w:cs="Times New Roman"/>
              <w:color w:val="000000" w:themeColor="text1"/>
              <w:lang w:val="en-US"/>
            </w:rPr>
            <m:t>+</m:t>
          </m:r>
          <m:sSub>
            <m:sSubPr>
              <m:ctrlPr>
                <w:rPr>
                  <w:rFonts w:ascii="Cambria Math" w:eastAsiaTheme="minorEastAsia" w:hAnsi="Cambria Math" w:cs="Times New Roman"/>
                  <w:iCs/>
                  <w:color w:val="000000" w:themeColor="text1"/>
                  <w:lang w:val="en-US"/>
                </w:rPr>
              </m:ctrlPr>
            </m:sSubPr>
            <m:e>
              <m:r>
                <m:rPr>
                  <m:sty m:val="p"/>
                </m:rPr>
                <w:rPr>
                  <w:rFonts w:ascii="Cambria Math" w:eastAsiaTheme="minorEastAsia" w:hAnsi="Cambria Math" w:cs="Times New Roman"/>
                  <w:color w:val="000000" w:themeColor="text1"/>
                  <w:lang w:val="en-US"/>
                </w:rPr>
                <m:t>M</m:t>
              </m:r>
            </m:e>
            <m:sub>
              <m:r>
                <m:rPr>
                  <m:sty m:val="p"/>
                </m:rPr>
                <w:rPr>
                  <w:rFonts w:ascii="Cambria Math" w:eastAsiaTheme="minorEastAsia" w:hAnsi="Cambria Math" w:cs="Times New Roman"/>
                  <w:color w:val="000000" w:themeColor="text1"/>
                  <w:lang w:val="en-US"/>
                </w:rPr>
                <m:t>t</m:t>
              </m:r>
            </m:sub>
          </m:sSub>
          <m:r>
            <m:rPr>
              <m:sty m:val="p"/>
            </m:rPr>
            <w:rPr>
              <w:rFonts w:ascii="Cambria Math" w:eastAsiaTheme="minorEastAsia" w:hAnsi="Cambria Math" w:cs="Times New Roman"/>
              <w:color w:val="000000" w:themeColor="text1"/>
              <w:lang w:val="en-US"/>
            </w:rPr>
            <m:t>+</m:t>
          </m:r>
          <m:sSub>
            <m:sSubPr>
              <m:ctrlPr>
                <w:rPr>
                  <w:rFonts w:ascii="Cambria Math" w:eastAsiaTheme="minorEastAsia" w:hAnsi="Cambria Math" w:cs="Times New Roman"/>
                  <w:iCs/>
                  <w:color w:val="000000" w:themeColor="text1"/>
                  <w:lang w:val="en-US"/>
                </w:rPr>
              </m:ctrlPr>
            </m:sSubPr>
            <m:e>
              <m:r>
                <m:rPr>
                  <m:sty m:val="p"/>
                </m:rPr>
                <w:rPr>
                  <w:rFonts w:ascii="Cambria Math" w:eastAsiaTheme="minorEastAsia" w:hAnsi="Cambria Math" w:cs="Times New Roman"/>
                  <w:color w:val="000000" w:themeColor="text1"/>
                  <w:lang w:val="en-US"/>
                </w:rPr>
                <m:t>T</m:t>
              </m:r>
            </m:e>
            <m:sub>
              <m:r>
                <m:rPr>
                  <m:sty m:val="p"/>
                </m:rPr>
                <w:rPr>
                  <w:rFonts w:ascii="Cambria Math" w:eastAsiaTheme="minorEastAsia" w:hAnsi="Cambria Math" w:cs="Times New Roman"/>
                  <w:color w:val="000000" w:themeColor="text1"/>
                  <w:lang w:val="en-US"/>
                </w:rPr>
                <m:t>t</m:t>
              </m:r>
            </m:sub>
          </m:sSub>
          <m:r>
            <m:rPr>
              <m:sty m:val="p"/>
            </m:rPr>
            <w:rPr>
              <w:rFonts w:ascii="Cambria Math" w:eastAsiaTheme="minorEastAsia" w:hAnsi="Cambria Math" w:cs="Times New Roman"/>
              <w:color w:val="000000" w:themeColor="text1"/>
              <w:lang w:val="en-US"/>
            </w:rPr>
            <m:t>+</m:t>
          </m:r>
          <m:sSub>
            <m:sSubPr>
              <m:ctrlPr>
                <w:rPr>
                  <w:rFonts w:ascii="Cambria Math" w:eastAsiaTheme="minorEastAsia" w:hAnsi="Cambria Math" w:cs="Times New Roman"/>
                  <w:iCs/>
                  <w:color w:val="000000" w:themeColor="text1"/>
                  <w:lang w:val="en-US"/>
                </w:rPr>
              </m:ctrlPr>
            </m:sSubPr>
            <m:e>
              <m:r>
                <m:rPr>
                  <m:sty m:val="p"/>
                </m:rPr>
                <w:rPr>
                  <w:rFonts w:ascii="Cambria Math" w:eastAsiaTheme="minorEastAsia" w:hAnsi="Cambria Math" w:cs="Times New Roman"/>
                  <w:color w:val="000000" w:themeColor="text1"/>
                  <w:lang w:val="en-US"/>
                </w:rPr>
                <m:t>μ</m:t>
              </m:r>
            </m:e>
            <m:sub>
              <m:r>
                <m:rPr>
                  <m:sty m:val="p"/>
                </m:rPr>
                <w:rPr>
                  <w:rFonts w:ascii="Cambria Math" w:eastAsiaTheme="minorEastAsia" w:hAnsi="Cambria Math" w:cs="Times New Roman"/>
                  <w:color w:val="000000" w:themeColor="text1"/>
                  <w:lang w:val="en-US"/>
                </w:rPr>
                <m:t>p</m:t>
              </m:r>
            </m:sub>
          </m:sSub>
          <m:r>
            <m:rPr>
              <m:sty m:val="p"/>
            </m:rPr>
            <w:rPr>
              <w:rFonts w:ascii="Cambria Math" w:eastAsiaTheme="minorEastAsia" w:hAnsi="Cambria Math" w:cs="Times New Roman"/>
              <w:color w:val="000000" w:themeColor="text1"/>
              <w:lang w:val="en-US"/>
            </w:rPr>
            <m:t>+</m:t>
          </m:r>
          <m:sSub>
            <m:sSubPr>
              <m:ctrlPr>
                <w:rPr>
                  <w:rFonts w:ascii="Cambria Math" w:eastAsiaTheme="minorEastAsia" w:hAnsi="Cambria Math" w:cs="Times New Roman"/>
                  <w:iCs/>
                  <w:color w:val="000000" w:themeColor="text1"/>
                  <w:lang w:val="en-US"/>
                </w:rPr>
              </m:ctrlPr>
            </m:sSubPr>
            <m:e>
              <m:r>
                <m:rPr>
                  <m:sty m:val="p"/>
                </m:rPr>
                <w:rPr>
                  <w:rFonts w:ascii="Cambria Math" w:eastAsiaTheme="minorEastAsia" w:hAnsi="Cambria Math" w:cs="Times New Roman"/>
                  <w:color w:val="000000" w:themeColor="text1"/>
                  <w:lang w:val="en-US"/>
                </w:rPr>
                <m:t>ε</m:t>
              </m:r>
            </m:e>
            <m:sub>
              <m:r>
                <m:rPr>
                  <m:sty m:val="p"/>
                </m:rPr>
                <w:rPr>
                  <w:rFonts w:ascii="Cambria Math" w:eastAsiaTheme="minorEastAsia" w:hAnsi="Cambria Math" w:cs="Times New Roman"/>
                  <w:color w:val="000000" w:themeColor="text1"/>
                  <w:lang w:val="en-US"/>
                </w:rPr>
                <m:t>p,t</m:t>
              </m:r>
            </m:sub>
          </m:sSub>
        </m:oMath>
      </m:oMathPara>
    </w:p>
    <w:p w14:paraId="431F921F" w14:textId="50BE8820" w:rsidR="00B619EE" w:rsidRPr="00B5549F" w:rsidRDefault="00B619EE" w:rsidP="00980437">
      <w:pPr>
        <w:spacing w:before="120" w:line="480" w:lineRule="auto"/>
        <w:jc w:val="right"/>
        <w:rPr>
          <w:rFonts w:ascii="Times New Roman" w:eastAsiaTheme="minorEastAsia" w:hAnsi="Times New Roman" w:cs="Times New Roman"/>
          <w:iCs/>
          <w:color w:val="000000" w:themeColor="text1"/>
          <w:lang w:val="en-US"/>
        </w:rPr>
      </w:pPr>
      <w:r w:rsidRPr="00B5549F">
        <w:rPr>
          <w:rFonts w:ascii="Times New Roman" w:eastAsiaTheme="minorEastAsia" w:hAnsi="Times New Roman" w:cs="Times New Roman"/>
          <w:iCs/>
          <w:color w:val="000000" w:themeColor="text1"/>
          <w:lang w:val="en-US"/>
        </w:rPr>
        <w:t>(Eq. 2)</w:t>
      </w:r>
    </w:p>
    <w:p w14:paraId="38790E70" w14:textId="47657453" w:rsidR="00B619EE" w:rsidRPr="00B5549F" w:rsidRDefault="00B619EE"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In the main estimates, our dependent variable is the natural logarithm of the number of net entries </w:t>
      </w:r>
      <w:proofErr w:type="spellStart"/>
      <w:r w:rsidRPr="00B5549F">
        <w:rPr>
          <w:rFonts w:ascii="Times New Roman" w:hAnsi="Times New Roman" w:cs="Times New Roman"/>
          <w:color w:val="000000" w:themeColor="text1"/>
          <w:lang w:val="en-US"/>
        </w:rPr>
        <w:t>enkpt</w:t>
      </w:r>
      <w:proofErr w:type="spellEnd"/>
      <w:r w:rsidRPr="00B5549F">
        <w:rPr>
          <w:rFonts w:ascii="Times New Roman" w:hAnsi="Times New Roman" w:cs="Times New Roman"/>
          <w:color w:val="000000" w:themeColor="text1"/>
          <w:lang w:val="en-US"/>
        </w:rPr>
        <w:t xml:space="preserve"> of small- and large-scale entrepreneurs in province p (i = 1 ... 107) and month t during the time-period 2017 to 2019,</w:t>
      </w:r>
      <w:r w:rsidRPr="00B5549F">
        <w:rPr>
          <w:rStyle w:val="Rimandonotaapidipagina"/>
          <w:rFonts w:ascii="Times New Roman" w:hAnsi="Times New Roman" w:cs="Times New Roman"/>
          <w:color w:val="000000" w:themeColor="text1"/>
          <w:lang w:val="en-US"/>
        </w:rPr>
        <w:footnoteReference w:id="16"/>
      </w:r>
      <w:r w:rsidRPr="00B5549F">
        <w:rPr>
          <w:rFonts w:ascii="Times New Roman" w:hAnsi="Times New Roman" w:cs="Times New Roman"/>
          <w:color w:val="000000" w:themeColor="text1"/>
          <w:lang w:val="en-US"/>
        </w:rPr>
        <w:t xml:space="preserve"> as previously defined. We estimate the net entries of Airbnb hosts according to a set of independent variables including:</w:t>
      </w:r>
    </w:p>
    <w:p w14:paraId="4EA0C07B" w14:textId="77777777" w:rsidR="00B619EE" w:rsidRPr="00B5549F" w:rsidRDefault="00B619EE"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i/>
          <w:iCs/>
          <w:color w:val="000000" w:themeColor="text1"/>
          <w:lang w:val="en-US"/>
        </w:rPr>
        <w:t>i)</w:t>
      </w:r>
      <w:r w:rsidRPr="00B5549F">
        <w:rPr>
          <w:rFonts w:ascii="Times New Roman" w:hAnsi="Times New Roman" w:cs="Times New Roman"/>
          <w:color w:val="000000" w:themeColor="text1"/>
          <w:lang w:val="en-US"/>
        </w:rPr>
        <w:t xml:space="preserve"> </w:t>
      </w:r>
      <w:r w:rsidRPr="00B5549F">
        <w:rPr>
          <w:rFonts w:ascii="Times New Roman" w:hAnsi="Times New Roman" w:cs="Times New Roman"/>
          <w:i/>
          <w:iCs/>
          <w:color w:val="000000" w:themeColor="text1"/>
          <w:lang w:val="en-US"/>
        </w:rPr>
        <w:t>e</w:t>
      </w:r>
      <w:r w:rsidRPr="00B5549F">
        <w:rPr>
          <w:rFonts w:ascii="Times New Roman" w:hAnsi="Times New Roman" w:cs="Times New Roman"/>
          <w:i/>
          <w:iCs/>
          <w:color w:val="000000" w:themeColor="text1"/>
          <w:vertAlign w:val="superscript"/>
          <w:lang w:val="en-US"/>
        </w:rPr>
        <w:t>n</w:t>
      </w:r>
      <w:r w:rsidRPr="00B5549F">
        <w:rPr>
          <w:rFonts w:ascii="Times New Roman" w:hAnsi="Times New Roman" w:cs="Times New Roman"/>
          <w:i/>
          <w:iCs/>
          <w:color w:val="000000" w:themeColor="text1"/>
          <w:vertAlign w:val="subscript"/>
          <w:lang w:val="en-US"/>
        </w:rPr>
        <w:t>kpt-1</w:t>
      </w:r>
      <w:r w:rsidRPr="00B5549F">
        <w:rPr>
          <w:rFonts w:ascii="Times New Roman" w:hAnsi="Times New Roman" w:cs="Times New Roman"/>
          <w:color w:val="000000" w:themeColor="text1"/>
          <w:lang w:val="en-US"/>
        </w:rPr>
        <w:t xml:space="preserve"> that is the one period lag of our dependent variable;</w:t>
      </w:r>
    </w:p>
    <w:p w14:paraId="08051065" w14:textId="4E9683D7" w:rsidR="00B619EE" w:rsidRPr="00B5549F" w:rsidRDefault="00B619EE"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i/>
          <w:iCs/>
          <w:color w:val="000000" w:themeColor="text1"/>
          <w:lang w:val="en-US"/>
        </w:rPr>
        <w:t>ii) ln(MarketClimate</w:t>
      </w:r>
      <w:r w:rsidRPr="00B5549F">
        <w:rPr>
          <w:rFonts w:ascii="Times New Roman" w:hAnsi="Times New Roman" w:cs="Times New Roman"/>
          <w:i/>
          <w:iCs/>
          <w:color w:val="000000" w:themeColor="text1"/>
          <w:vertAlign w:val="superscript"/>
          <w:lang w:val="en-US"/>
        </w:rPr>
        <w:t>3</w:t>
      </w:r>
      <w:r w:rsidRPr="00B5549F">
        <w:rPr>
          <w:rFonts w:ascii="Times New Roman" w:hAnsi="Times New Roman" w:cs="Times New Roman"/>
          <w:i/>
          <w:iCs/>
          <w:color w:val="000000" w:themeColor="text1"/>
          <w:vertAlign w:val="subscript"/>
          <w:lang w:val="en-US"/>
        </w:rPr>
        <w:t>pt</w:t>
      </w:r>
      <w:r w:rsidRPr="00B5549F">
        <w:rPr>
          <w:rFonts w:ascii="Times New Roman" w:hAnsi="Times New Roman" w:cs="Times New Roman"/>
          <w:i/>
          <w:iCs/>
          <w:color w:val="000000" w:themeColor="text1"/>
          <w:lang w:val="en-US"/>
        </w:rPr>
        <w:t>)</w:t>
      </w:r>
      <w:r w:rsidRPr="00B5549F">
        <w:rPr>
          <w:rFonts w:ascii="Times New Roman" w:hAnsi="Times New Roman" w:cs="Times New Roman"/>
          <w:color w:val="000000" w:themeColor="text1"/>
          <w:lang w:val="en-US"/>
        </w:rPr>
        <w:t>, that is the natural logarithm of the market climate;</w:t>
      </w:r>
    </w:p>
    <w:p w14:paraId="4552A0C6" w14:textId="17D9FBCE" w:rsidR="00B619EE" w:rsidRPr="00B5549F" w:rsidRDefault="00B619EE"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i/>
          <w:iCs/>
          <w:color w:val="000000" w:themeColor="text1"/>
          <w:lang w:val="en-US"/>
        </w:rPr>
        <w:t xml:space="preserve">iii) </w:t>
      </w:r>
      <w:proofErr w:type="spellStart"/>
      <w:r w:rsidRPr="00B5549F">
        <w:rPr>
          <w:rFonts w:ascii="Times New Roman" w:hAnsi="Times New Roman" w:cs="Times New Roman"/>
          <w:i/>
          <w:iCs/>
          <w:color w:val="000000" w:themeColor="text1"/>
          <w:lang w:val="en-US"/>
        </w:rPr>
        <w:t>UnoccupiedDwellings</w:t>
      </w:r>
      <w:r w:rsidRPr="00B5549F">
        <w:rPr>
          <w:rFonts w:ascii="Times New Roman" w:hAnsi="Times New Roman" w:cs="Times New Roman"/>
          <w:i/>
          <w:iCs/>
          <w:color w:val="000000" w:themeColor="text1"/>
          <w:vertAlign w:val="subscript"/>
          <w:lang w:val="en-US"/>
        </w:rPr>
        <w:t>p</w:t>
      </w:r>
      <w:proofErr w:type="spellEnd"/>
      <w:r w:rsidRPr="00B5549F">
        <w:rPr>
          <w:rFonts w:ascii="Times New Roman" w:hAnsi="Times New Roman" w:cs="Times New Roman"/>
          <w:i/>
          <w:iCs/>
          <w:color w:val="000000" w:themeColor="text1"/>
          <w:lang w:val="en-US"/>
        </w:rPr>
        <w:t xml:space="preserve">, </w:t>
      </w:r>
      <w:proofErr w:type="spellStart"/>
      <w:r w:rsidRPr="00B5549F">
        <w:rPr>
          <w:rFonts w:ascii="Times New Roman" w:hAnsi="Times New Roman" w:cs="Times New Roman"/>
          <w:i/>
          <w:iCs/>
          <w:color w:val="000000" w:themeColor="text1"/>
          <w:lang w:val="en-US"/>
        </w:rPr>
        <w:t>UnemplRate</w:t>
      </w:r>
      <w:r w:rsidRPr="00B5549F">
        <w:rPr>
          <w:rFonts w:ascii="Times New Roman" w:hAnsi="Times New Roman" w:cs="Times New Roman"/>
          <w:i/>
          <w:iCs/>
          <w:color w:val="000000" w:themeColor="text1"/>
          <w:vertAlign w:val="subscript"/>
          <w:lang w:val="en-US"/>
        </w:rPr>
        <w:t>pt</w:t>
      </w:r>
      <w:proofErr w:type="spellEnd"/>
      <w:r w:rsidRPr="00B5549F">
        <w:rPr>
          <w:rFonts w:ascii="Times New Roman" w:hAnsi="Times New Roman" w:cs="Times New Roman"/>
          <w:i/>
          <w:iCs/>
          <w:color w:val="000000" w:themeColor="text1"/>
          <w:lang w:val="en-US"/>
        </w:rPr>
        <w:t xml:space="preserve"> </w:t>
      </w:r>
      <w:r w:rsidRPr="00B5549F">
        <w:rPr>
          <w:rFonts w:ascii="Times New Roman" w:hAnsi="Times New Roman" w:cs="Times New Roman"/>
          <w:color w:val="000000" w:themeColor="text1"/>
          <w:lang w:val="en-US"/>
        </w:rPr>
        <w:t>and</w:t>
      </w:r>
      <w:r w:rsidRPr="00B5549F">
        <w:rPr>
          <w:rFonts w:ascii="Times New Roman" w:hAnsi="Times New Roman" w:cs="Times New Roman"/>
          <w:i/>
          <w:iCs/>
          <w:color w:val="000000" w:themeColor="text1"/>
          <w:lang w:val="en-US"/>
        </w:rPr>
        <w:t xml:space="preserve"> </w:t>
      </w:r>
      <w:proofErr w:type="spellStart"/>
      <w:r w:rsidRPr="00B5549F">
        <w:rPr>
          <w:rFonts w:ascii="Times New Roman" w:hAnsi="Times New Roman" w:cs="Times New Roman"/>
          <w:i/>
          <w:iCs/>
          <w:color w:val="000000" w:themeColor="text1"/>
          <w:lang w:val="en-US"/>
        </w:rPr>
        <w:t>High</w:t>
      </w:r>
      <w:r w:rsidR="00BF2EEF" w:rsidRPr="00B5549F">
        <w:rPr>
          <w:rFonts w:ascii="Times New Roman" w:hAnsi="Times New Roman" w:cs="Times New Roman"/>
          <w:i/>
          <w:iCs/>
          <w:color w:val="000000" w:themeColor="text1"/>
          <w:lang w:val="en-US"/>
        </w:rPr>
        <w:t>End</w:t>
      </w:r>
      <w:r w:rsidRPr="00B5549F">
        <w:rPr>
          <w:rFonts w:ascii="Times New Roman" w:hAnsi="Times New Roman" w:cs="Times New Roman"/>
          <w:i/>
          <w:iCs/>
          <w:color w:val="000000" w:themeColor="text1"/>
          <w:lang w:val="en-US"/>
        </w:rPr>
        <w:t>Specialized</w:t>
      </w:r>
      <w:r w:rsidRPr="00B5549F">
        <w:rPr>
          <w:rFonts w:ascii="Times New Roman" w:hAnsi="Times New Roman" w:cs="Times New Roman"/>
          <w:i/>
          <w:iCs/>
          <w:color w:val="000000" w:themeColor="text1"/>
          <w:vertAlign w:val="subscript"/>
          <w:lang w:val="en-US"/>
        </w:rPr>
        <w:t>p</w:t>
      </w:r>
      <w:proofErr w:type="spellEnd"/>
      <w:r w:rsidRPr="00B5549F">
        <w:rPr>
          <w:rFonts w:ascii="Times New Roman" w:hAnsi="Times New Roman" w:cs="Times New Roman"/>
          <w:color w:val="000000" w:themeColor="text1"/>
          <w:lang w:val="en-US"/>
        </w:rPr>
        <w:t xml:space="preserve"> are respectively the log-transformed actual number of empty dwellings, the yearly unemployment rate and the dummy variable representing a higher presence of four, five, and five luxury star hotels in province </w:t>
      </w:r>
      <w:r w:rsidRPr="00B5549F">
        <w:rPr>
          <w:rFonts w:ascii="Times New Roman" w:hAnsi="Times New Roman" w:cs="Times New Roman"/>
          <w:i/>
          <w:iCs/>
          <w:color w:val="000000" w:themeColor="text1"/>
          <w:lang w:val="en-US"/>
        </w:rPr>
        <w:t>p</w:t>
      </w:r>
      <w:r w:rsidRPr="00B5549F">
        <w:rPr>
          <w:rFonts w:ascii="Times New Roman" w:hAnsi="Times New Roman" w:cs="Times New Roman"/>
          <w:color w:val="000000" w:themeColor="text1"/>
          <w:lang w:val="en-US"/>
        </w:rPr>
        <w:t>;</w:t>
      </w:r>
    </w:p>
    <w:p w14:paraId="0DEE9A9C" w14:textId="2C9CE9C5" w:rsidR="00B619EE" w:rsidRPr="00B5549F" w:rsidRDefault="00B619EE"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i/>
          <w:iCs/>
          <w:color w:val="000000" w:themeColor="text1"/>
          <w:lang w:val="en-US"/>
        </w:rPr>
        <w:lastRenderedPageBreak/>
        <w:t>iv) ConcentrationProp</w:t>
      </w:r>
      <w:r w:rsidRPr="00B5549F">
        <w:rPr>
          <w:rFonts w:ascii="Times New Roman" w:hAnsi="Times New Roman" w:cs="Times New Roman"/>
          <w:i/>
          <w:iCs/>
          <w:color w:val="000000" w:themeColor="text1"/>
          <w:vertAlign w:val="subscript"/>
          <w:lang w:val="en-US"/>
        </w:rPr>
        <w:t>pt-1</w:t>
      </w:r>
      <w:r w:rsidRPr="00B5549F">
        <w:rPr>
          <w:rFonts w:ascii="Times New Roman" w:hAnsi="Times New Roman" w:cs="Times New Roman"/>
          <w:i/>
          <w:iCs/>
          <w:color w:val="000000" w:themeColor="text1"/>
          <w:lang w:val="en-US"/>
        </w:rPr>
        <w:t xml:space="preserve"> </w:t>
      </w:r>
      <w:r w:rsidRPr="00B5549F">
        <w:rPr>
          <w:rFonts w:ascii="Times New Roman" w:hAnsi="Times New Roman" w:cs="Times New Roman"/>
          <w:color w:val="000000" w:themeColor="text1"/>
          <w:lang w:val="en-US"/>
        </w:rPr>
        <w:t>and</w:t>
      </w:r>
      <w:r w:rsidRPr="00B5549F">
        <w:rPr>
          <w:rFonts w:ascii="Times New Roman" w:hAnsi="Times New Roman" w:cs="Times New Roman"/>
          <w:i/>
          <w:iCs/>
          <w:color w:val="000000" w:themeColor="text1"/>
          <w:lang w:val="en-US"/>
        </w:rPr>
        <w:t xml:space="preserve"> ConcentrationProp</w:t>
      </w:r>
      <w:r w:rsidRPr="00B5549F">
        <w:rPr>
          <w:rFonts w:ascii="Times New Roman" w:hAnsi="Times New Roman" w:cs="Times New Roman"/>
          <w:i/>
          <w:iCs/>
          <w:color w:val="000000" w:themeColor="text1"/>
          <w:vertAlign w:val="superscript"/>
          <w:lang w:val="en-US"/>
        </w:rPr>
        <w:t>2</w:t>
      </w:r>
      <w:r w:rsidRPr="00B5549F">
        <w:rPr>
          <w:rFonts w:ascii="Times New Roman" w:hAnsi="Times New Roman" w:cs="Times New Roman"/>
          <w:i/>
          <w:iCs/>
          <w:color w:val="000000" w:themeColor="text1"/>
          <w:vertAlign w:val="subscript"/>
          <w:lang w:val="en-US"/>
        </w:rPr>
        <w:t>pt-1</w:t>
      </w:r>
      <w:r w:rsidRPr="00B5549F">
        <w:rPr>
          <w:rFonts w:ascii="Times New Roman" w:hAnsi="Times New Roman" w:cs="Times New Roman"/>
          <w:color w:val="000000" w:themeColor="text1"/>
          <w:lang w:val="en-US"/>
        </w:rPr>
        <w:t xml:space="preserve"> are respectively the linear and the quadratic terms of concentration;</w:t>
      </w:r>
    </w:p>
    <w:p w14:paraId="1A2C6201" w14:textId="3FB49C7A" w:rsidR="00B619EE" w:rsidRPr="00B5549F" w:rsidRDefault="00B619EE"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v) </w:t>
      </w:r>
      <w:proofErr w:type="spellStart"/>
      <w:r w:rsidRPr="00B5549F">
        <w:rPr>
          <w:rFonts w:ascii="Times New Roman" w:hAnsi="Times New Roman" w:cs="Times New Roman"/>
          <w:color w:val="000000" w:themeColor="text1"/>
          <w:lang w:val="en-US"/>
        </w:rPr>
        <w:t>C</w:t>
      </w:r>
      <w:r w:rsidRPr="00B5549F">
        <w:rPr>
          <w:rFonts w:ascii="Times New Roman" w:hAnsi="Times New Roman" w:cs="Times New Roman"/>
          <w:color w:val="000000" w:themeColor="text1"/>
          <w:vertAlign w:val="subscript"/>
          <w:lang w:val="en-US"/>
        </w:rPr>
        <w:t>p,t</w:t>
      </w:r>
      <w:proofErr w:type="spellEnd"/>
      <w:r w:rsidRPr="00B5549F">
        <w:rPr>
          <w:rFonts w:ascii="Times New Roman" w:hAnsi="Times New Roman" w:cs="Times New Roman"/>
          <w:color w:val="000000" w:themeColor="text1"/>
          <w:lang w:val="en-US"/>
        </w:rPr>
        <w:t xml:space="preserve"> is a set of additional controls. Firstly, we control for housing market conditions with the average monthly rent per square meter of residential units in province p since the conditions on the real estate market are expected to influence the entry processes in Airbnb (Gerwe et al., 2022).</w:t>
      </w:r>
      <w:r w:rsidRPr="00B5549F">
        <w:rPr>
          <w:rStyle w:val="Rimandonotaapidipagina"/>
          <w:rFonts w:ascii="Times New Roman" w:hAnsi="Times New Roman" w:cs="Times New Roman"/>
          <w:color w:val="000000" w:themeColor="text1"/>
          <w:lang w:val="en-US"/>
        </w:rPr>
        <w:footnoteReference w:id="17"/>
      </w:r>
      <w:r w:rsidRPr="00B5549F">
        <w:rPr>
          <w:rFonts w:ascii="Times New Roman" w:hAnsi="Times New Roman" w:cs="Times New Roman"/>
          <w:color w:val="000000" w:themeColor="text1"/>
          <w:lang w:val="en-US"/>
        </w:rPr>
        <w:t xml:space="preserve"> Secondly, we control for the province’s geographical characteristics which can influence the attraction of market p to tourists. In particular, we include in the set of control variables the average altitude of the province and the percentage of municipalities with a coastal location.</w:t>
      </w:r>
      <w:r w:rsidRPr="00B5549F">
        <w:rPr>
          <w:rStyle w:val="Rimandonotaapidipagina"/>
          <w:rFonts w:ascii="Times New Roman" w:hAnsi="Times New Roman" w:cs="Times New Roman"/>
          <w:color w:val="000000" w:themeColor="text1"/>
          <w:lang w:val="en-US"/>
        </w:rPr>
        <w:footnoteReference w:id="18"/>
      </w:r>
      <w:r w:rsidRPr="00B5549F">
        <w:rPr>
          <w:rFonts w:ascii="Times New Roman" w:hAnsi="Times New Roman" w:cs="Times New Roman"/>
          <w:color w:val="000000" w:themeColor="text1"/>
          <w:lang w:val="en-US"/>
        </w:rPr>
        <w:t xml:space="preserve"> Finally, we control for the relevance of the traditional hospitality supply with the number of hotel beds as of 2011.</w:t>
      </w:r>
      <w:r w:rsidRPr="00B5549F">
        <w:rPr>
          <w:rStyle w:val="Rimandonotaapidipagina"/>
          <w:rFonts w:ascii="Times New Roman" w:hAnsi="Times New Roman" w:cs="Times New Roman"/>
          <w:color w:val="000000" w:themeColor="text1"/>
          <w:lang w:val="en-US"/>
        </w:rPr>
        <w:footnoteReference w:id="19"/>
      </w:r>
      <w:r w:rsidRPr="00B5549F">
        <w:rPr>
          <w:rFonts w:ascii="Times New Roman" w:hAnsi="Times New Roman" w:cs="Times New Roman"/>
          <w:color w:val="000000" w:themeColor="text1"/>
          <w:lang w:val="en-US"/>
        </w:rPr>
        <w:t xml:space="preserve"> All continuous variables (excluding ratios) are in natural logarithms. Finally, to control for potential heterogeneity over time in our data, we include month dummies (</w:t>
      </w:r>
      <w:r w:rsidRPr="00B5549F">
        <w:rPr>
          <w:rFonts w:ascii="Times New Roman" w:hAnsi="Times New Roman" w:cs="Times New Roman"/>
          <w:i/>
          <w:iCs/>
          <w:color w:val="000000" w:themeColor="text1"/>
          <w:lang w:val="en-US"/>
        </w:rPr>
        <w:t>Mt</w:t>
      </w:r>
      <w:r w:rsidRPr="00B5549F">
        <w:rPr>
          <w:rFonts w:ascii="Times New Roman" w:hAnsi="Times New Roman" w:cs="Times New Roman"/>
          <w:color w:val="000000" w:themeColor="text1"/>
          <w:lang w:val="en-US"/>
        </w:rPr>
        <w:t>) to account for seasonality, and a time-counter (</w:t>
      </w:r>
      <w:r w:rsidRPr="00B5549F">
        <w:rPr>
          <w:rFonts w:ascii="Times New Roman" w:hAnsi="Times New Roman" w:cs="Times New Roman"/>
          <w:i/>
          <w:iCs/>
          <w:color w:val="000000" w:themeColor="text1"/>
          <w:lang w:val="en-US"/>
        </w:rPr>
        <w:t>Tt</w:t>
      </w:r>
      <w:r w:rsidRPr="00B5549F">
        <w:rPr>
          <w:rFonts w:ascii="Times New Roman" w:hAnsi="Times New Roman" w:cs="Times New Roman"/>
          <w:color w:val="000000" w:themeColor="text1"/>
          <w:lang w:val="en-US"/>
        </w:rPr>
        <w:t>) to control for trends.</w:t>
      </w:r>
    </w:p>
    <w:p w14:paraId="057E1EF4" w14:textId="6C71A39C" w:rsidR="00B619EE" w:rsidRPr="00B5549F" w:rsidRDefault="00B619EE"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It is important to note that the specification of Equation 2 includes the lagged dependent variable to better account for the persistence of the dependent variable over time (see Nickell, 1981, among others); but at the same time, this type of specification introduces a potential dynamic panel bias which may lead to biased estimates. In fact, the lagged dependent variable </w:t>
      </w:r>
      <w:r w:rsidRPr="00B5549F">
        <w:rPr>
          <w:rFonts w:ascii="Times New Roman" w:hAnsi="Times New Roman" w:cs="Times New Roman"/>
          <w:i/>
          <w:iCs/>
          <w:color w:val="000000" w:themeColor="text1"/>
          <w:lang w:val="en-US"/>
        </w:rPr>
        <w:t>e</w:t>
      </w:r>
      <w:r w:rsidRPr="00B5549F">
        <w:rPr>
          <w:rFonts w:ascii="Times New Roman" w:hAnsi="Times New Roman" w:cs="Times New Roman"/>
          <w:i/>
          <w:iCs/>
          <w:color w:val="000000" w:themeColor="text1"/>
          <w:vertAlign w:val="superscript"/>
          <w:lang w:val="en-US"/>
        </w:rPr>
        <w:t>n</w:t>
      </w:r>
      <w:r w:rsidRPr="00B5549F">
        <w:rPr>
          <w:rFonts w:ascii="Times New Roman" w:hAnsi="Times New Roman" w:cs="Times New Roman"/>
          <w:i/>
          <w:iCs/>
          <w:color w:val="000000" w:themeColor="text1"/>
          <w:vertAlign w:val="subscript"/>
          <w:lang w:val="en-US"/>
        </w:rPr>
        <w:t>kpt-1</w:t>
      </w:r>
      <w:r w:rsidRPr="00B5549F">
        <w:rPr>
          <w:rFonts w:ascii="Times New Roman" w:hAnsi="Times New Roman" w:cs="Times New Roman"/>
          <w:color w:val="000000" w:themeColor="text1"/>
          <w:lang w:val="en-US"/>
        </w:rPr>
        <w:t xml:space="preserve"> is correlated with the cross-sectional part, </w:t>
      </w:r>
      <w:r w:rsidRPr="00B5549F">
        <w:rPr>
          <w:rFonts w:ascii="Times New Roman" w:hAnsi="Times New Roman" w:cs="Times New Roman"/>
          <w:color w:val="000000" w:themeColor="text1"/>
          <w:lang w:val="en-US"/>
        </w:rPr>
        <w:sym w:font="Symbol" w:char="F06D"/>
      </w:r>
      <w:r w:rsidRPr="00B5549F">
        <w:rPr>
          <w:rFonts w:ascii="Times New Roman" w:hAnsi="Times New Roman" w:cs="Times New Roman"/>
          <w:color w:val="000000" w:themeColor="text1"/>
          <w:vertAlign w:val="subscript"/>
          <w:lang w:val="en-US"/>
        </w:rPr>
        <w:t>p</w:t>
      </w:r>
      <w:r w:rsidRPr="00B5549F">
        <w:rPr>
          <w:rFonts w:ascii="Times New Roman" w:hAnsi="Times New Roman" w:cs="Times New Roman"/>
          <w:color w:val="000000" w:themeColor="text1"/>
          <w:lang w:val="en-US"/>
        </w:rPr>
        <w:t xml:space="preserve">, of the error term, and hence endogenous. As is customary, in order to tackle the problem, we adopt the GMM-SYS approach (Arellano &amp; Bond, 1991; Blundell &amp; Bond, 1998) to corroborate the random-effects estimates. The GMM approach has already been adopted in Airbnb literature: Dogru et al. (2020b) use a GMM-SYS model in order to estimate which </w:t>
      </w:r>
      <w:r w:rsidRPr="00B5549F">
        <w:rPr>
          <w:rFonts w:ascii="Times New Roman" w:hAnsi="Times New Roman" w:cs="Times New Roman"/>
          <w:color w:val="000000" w:themeColor="text1"/>
          <w:lang w:val="en-US"/>
        </w:rPr>
        <w:lastRenderedPageBreak/>
        <w:t xml:space="preserve">macroeconomic factors lead to the diffusion of the short-term rental platform; while Benitez-Aurioles &amp; </w:t>
      </w:r>
      <w:proofErr w:type="spellStart"/>
      <w:r w:rsidRPr="00B5549F">
        <w:rPr>
          <w:rFonts w:ascii="Times New Roman" w:hAnsi="Times New Roman" w:cs="Times New Roman"/>
          <w:color w:val="000000" w:themeColor="text1"/>
          <w:lang w:val="en-US"/>
        </w:rPr>
        <w:t>Tussyadiah</w:t>
      </w:r>
      <w:proofErr w:type="spellEnd"/>
      <w:r w:rsidRPr="00B5549F">
        <w:rPr>
          <w:rFonts w:ascii="Times New Roman" w:hAnsi="Times New Roman" w:cs="Times New Roman"/>
          <w:color w:val="000000" w:themeColor="text1"/>
          <w:lang w:val="en-US"/>
        </w:rPr>
        <w:t xml:space="preserve"> (2020) adopt the same econometric approach for estimating the causal relationship of Airbnb on house rentals and purchases. Our Blundell-Bond estimators (under the columns GMM-SYS in Tables 4 and 5, and Tables A3-A5 in the Online Appendix) use a curtailed instrument set, with moment conditions in the intervals [t-4; t-5] to instrument </w:t>
      </w:r>
      <w:r w:rsidRPr="00B5549F">
        <w:rPr>
          <w:rFonts w:ascii="Times New Roman" w:hAnsi="Times New Roman" w:cs="Times New Roman"/>
          <w:i/>
          <w:iCs/>
          <w:color w:val="000000" w:themeColor="text1"/>
          <w:lang w:val="en-US"/>
        </w:rPr>
        <w:t>e</w:t>
      </w:r>
      <w:r w:rsidRPr="00B5549F">
        <w:rPr>
          <w:rFonts w:ascii="Times New Roman" w:hAnsi="Times New Roman" w:cs="Times New Roman"/>
          <w:i/>
          <w:iCs/>
          <w:color w:val="000000" w:themeColor="text1"/>
          <w:vertAlign w:val="superscript"/>
          <w:lang w:val="en-US"/>
        </w:rPr>
        <w:t>n</w:t>
      </w:r>
      <w:r w:rsidRPr="00B5549F">
        <w:rPr>
          <w:rFonts w:ascii="Times New Roman" w:hAnsi="Times New Roman" w:cs="Times New Roman"/>
          <w:i/>
          <w:iCs/>
          <w:color w:val="000000" w:themeColor="text1"/>
          <w:vertAlign w:val="subscript"/>
          <w:lang w:val="en-US"/>
        </w:rPr>
        <w:t>SSEpt-1</w:t>
      </w:r>
      <w:r w:rsidRPr="00B5549F">
        <w:rPr>
          <w:rFonts w:ascii="Times New Roman" w:hAnsi="Times New Roman" w:cs="Times New Roman"/>
          <w:color w:val="000000" w:themeColor="text1"/>
          <w:lang w:val="en-US"/>
        </w:rPr>
        <w:t xml:space="preserve"> and [t-3; t-4] to instrument </w:t>
      </w:r>
      <w:r w:rsidRPr="00B5549F">
        <w:rPr>
          <w:rFonts w:ascii="Times New Roman" w:hAnsi="Times New Roman" w:cs="Times New Roman"/>
          <w:i/>
          <w:iCs/>
          <w:color w:val="000000" w:themeColor="text1"/>
          <w:lang w:val="en-US"/>
        </w:rPr>
        <w:t>e</w:t>
      </w:r>
      <w:r w:rsidRPr="00B5549F">
        <w:rPr>
          <w:rFonts w:ascii="Times New Roman" w:hAnsi="Times New Roman" w:cs="Times New Roman"/>
          <w:i/>
          <w:iCs/>
          <w:color w:val="000000" w:themeColor="text1"/>
          <w:vertAlign w:val="superscript"/>
          <w:lang w:val="en-US"/>
        </w:rPr>
        <w:t>n</w:t>
      </w:r>
      <w:r w:rsidRPr="00B5549F">
        <w:rPr>
          <w:rFonts w:ascii="Times New Roman" w:hAnsi="Times New Roman" w:cs="Times New Roman"/>
          <w:i/>
          <w:iCs/>
          <w:color w:val="000000" w:themeColor="text1"/>
          <w:vertAlign w:val="subscript"/>
          <w:lang w:val="en-US"/>
        </w:rPr>
        <w:t>LSEpt-1</w:t>
      </w:r>
      <w:r w:rsidRPr="00B5549F">
        <w:rPr>
          <w:rFonts w:ascii="Times New Roman" w:hAnsi="Times New Roman" w:cs="Times New Roman"/>
          <w:color w:val="000000" w:themeColor="text1"/>
          <w:lang w:val="en-US"/>
        </w:rPr>
        <w:t xml:space="preserve">. These moment conditions have been chosen according to the </w:t>
      </w:r>
      <w:r w:rsidRPr="00B5549F">
        <w:rPr>
          <w:rFonts w:ascii="Times New Roman" w:hAnsi="Times New Roman" w:cs="Times New Roman"/>
          <w:i/>
          <w:iCs/>
          <w:color w:val="000000" w:themeColor="text1"/>
          <w:lang w:val="en-US"/>
        </w:rPr>
        <w:t>AR(#)</w:t>
      </w:r>
      <w:r w:rsidRPr="00B5549F">
        <w:rPr>
          <w:rFonts w:ascii="Times New Roman" w:hAnsi="Times New Roman" w:cs="Times New Roman"/>
          <w:color w:val="000000" w:themeColor="text1"/>
          <w:lang w:val="en-US"/>
        </w:rPr>
        <w:t xml:space="preserve"> tests to avoid endogeneity in our instrument sets caused by serial correlation. The use of a restricted instrument set is justified by the fact that using all available past observations of </w:t>
      </w:r>
      <w:r w:rsidRPr="00B5549F">
        <w:rPr>
          <w:rFonts w:ascii="Times New Roman" w:hAnsi="Times New Roman" w:cs="Times New Roman"/>
          <w:i/>
          <w:iCs/>
          <w:color w:val="000000" w:themeColor="text1"/>
          <w:lang w:val="en-US"/>
        </w:rPr>
        <w:t>e</w:t>
      </w:r>
      <w:r w:rsidRPr="00B5549F">
        <w:rPr>
          <w:rFonts w:ascii="Times New Roman" w:hAnsi="Times New Roman" w:cs="Times New Roman"/>
          <w:i/>
          <w:iCs/>
          <w:color w:val="000000" w:themeColor="text1"/>
          <w:vertAlign w:val="superscript"/>
          <w:lang w:val="en-US"/>
        </w:rPr>
        <w:t>n</w:t>
      </w:r>
      <w:r w:rsidRPr="00B5549F">
        <w:rPr>
          <w:rFonts w:ascii="Times New Roman" w:hAnsi="Times New Roman" w:cs="Times New Roman"/>
          <w:i/>
          <w:iCs/>
          <w:color w:val="000000" w:themeColor="text1"/>
          <w:vertAlign w:val="subscript"/>
          <w:lang w:val="en-US"/>
        </w:rPr>
        <w:t>kpt-1</w:t>
      </w:r>
      <w:r w:rsidRPr="00B5549F">
        <w:rPr>
          <w:rFonts w:ascii="Times New Roman" w:hAnsi="Times New Roman" w:cs="Times New Roman"/>
          <w:color w:val="000000" w:themeColor="text1"/>
          <w:lang w:val="en-US"/>
        </w:rPr>
        <w:t xml:space="preserve"> would potentially lead to distorted estimates caused by overidentification (i.e., the instrument proliferation problem, see Roodman 2009).</w:t>
      </w:r>
      <w:r w:rsidRPr="00B5549F">
        <w:rPr>
          <w:rStyle w:val="Rimandonotaapidipagina"/>
          <w:rFonts w:ascii="Times New Roman" w:hAnsi="Times New Roman" w:cs="Times New Roman"/>
          <w:color w:val="000000" w:themeColor="text1"/>
          <w:lang w:val="en-US"/>
        </w:rPr>
        <w:footnoteReference w:id="20"/>
      </w:r>
      <w:r w:rsidRPr="00B5549F">
        <w:rPr>
          <w:rFonts w:ascii="Times New Roman" w:hAnsi="Times New Roman" w:cs="Times New Roman"/>
          <w:color w:val="000000" w:themeColor="text1"/>
          <w:lang w:val="en-US"/>
        </w:rPr>
        <w:t xml:space="preserve"> Moreover, we apply the two-step estimation and adopt the finite-sample </w:t>
      </w:r>
      <w:proofErr w:type="spellStart"/>
      <w:r w:rsidRPr="00B5549F">
        <w:rPr>
          <w:rFonts w:ascii="Times New Roman" w:hAnsi="Times New Roman" w:cs="Times New Roman"/>
          <w:color w:val="000000" w:themeColor="text1"/>
          <w:lang w:val="en-US"/>
        </w:rPr>
        <w:t>Windmeijer</w:t>
      </w:r>
      <w:proofErr w:type="spellEnd"/>
      <w:r w:rsidRPr="00B5549F">
        <w:rPr>
          <w:rFonts w:ascii="Times New Roman" w:hAnsi="Times New Roman" w:cs="Times New Roman"/>
          <w:color w:val="000000" w:themeColor="text1"/>
          <w:lang w:val="en-US"/>
        </w:rPr>
        <w:t xml:space="preserve"> (2005) correction for the covariance matrix. All estimates (both random effects and GMM-SYS) are based on robust standard errors.</w:t>
      </w:r>
    </w:p>
    <w:p w14:paraId="1C0C3D9F" w14:textId="5E264154" w:rsidR="00B619EE" w:rsidRPr="00B5549F" w:rsidRDefault="00B619EE" w:rsidP="00980437">
      <w:pPr>
        <w:spacing w:before="120" w:line="480" w:lineRule="auto"/>
        <w:jc w:val="center"/>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[Insert Table 3a around here]</w:t>
      </w:r>
      <w:r w:rsidR="00820806" w:rsidRPr="00B5549F">
        <w:rPr>
          <w:rFonts w:ascii="Times New Roman" w:hAnsi="Times New Roman" w:cs="Times New Roman"/>
          <w:color w:val="000000" w:themeColor="text1"/>
          <w:lang w:val="en-US"/>
        </w:rPr>
        <w:t xml:space="preserve"> </w:t>
      </w:r>
      <w:r w:rsidRPr="00B5549F">
        <w:rPr>
          <w:rFonts w:ascii="Times New Roman" w:hAnsi="Times New Roman" w:cs="Times New Roman"/>
          <w:color w:val="000000" w:themeColor="text1"/>
          <w:lang w:val="en-US"/>
        </w:rPr>
        <w:t>[Insert Table 3b around here]</w:t>
      </w:r>
    </w:p>
    <w:p w14:paraId="0EE3DAC0" w14:textId="1861C3B2" w:rsidR="00B619EE" w:rsidRPr="00B5549F" w:rsidRDefault="00B619EE"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Table 3a shows a brief overview of the definition of the variables in our model, while Table 3b provides descriptive statistics for the dependent, independent, and control variables. Throughout the econometric analysis presented in the next section, we provide evidence according to two different specifications of small- and large-scale entrepreneurs (namely small-scale entrepreneurs owning one to two listings or one to three listings, and large-scale entrepreneurs owning three to ten or four to ten listings). Other specifications are reported in the robustness checks section.</w:t>
      </w:r>
    </w:p>
    <w:p w14:paraId="799D3411" w14:textId="63F1A720" w:rsidR="00B619EE" w:rsidRPr="00B5549F" w:rsidRDefault="00D85199"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Ex-ante, in line with the theoretical hypotheses formulated, we expect the coefficients </w:t>
      </w:r>
      <w:r w:rsidRPr="00B5549F">
        <w:rPr>
          <w:rFonts w:ascii="Times New Roman" w:hAnsi="Times New Roman" w:cs="Times New Roman"/>
          <w:i/>
          <w:iCs/>
          <w:color w:val="000000" w:themeColor="text1"/>
          <w:lang w:val="en-US"/>
        </w:rPr>
        <w:t>β</w:t>
      </w:r>
      <w:r w:rsidRPr="00B5549F">
        <w:rPr>
          <w:rFonts w:ascii="Times New Roman" w:hAnsi="Times New Roman" w:cs="Times New Roman"/>
          <w:i/>
          <w:iCs/>
          <w:color w:val="000000" w:themeColor="text1"/>
          <w:vertAlign w:val="subscript"/>
          <w:lang w:val="en-US"/>
        </w:rPr>
        <w:t>k</w:t>
      </w:r>
      <w:r w:rsidRPr="00B5549F">
        <w:rPr>
          <w:rFonts w:ascii="Times New Roman" w:hAnsi="Times New Roman" w:cs="Times New Roman"/>
          <w:color w:val="000000" w:themeColor="text1"/>
          <w:lang w:val="en-US"/>
        </w:rPr>
        <w:t xml:space="preserve"> (</w:t>
      </w:r>
      <w:r w:rsidRPr="00B5549F">
        <w:rPr>
          <w:rFonts w:ascii="Times New Roman" w:hAnsi="Times New Roman" w:cs="Times New Roman"/>
          <w:i/>
          <w:iCs/>
          <w:color w:val="000000" w:themeColor="text1"/>
          <w:lang w:val="en-US"/>
        </w:rPr>
        <w:t>MarketClimate</w:t>
      </w:r>
      <w:r w:rsidRPr="00B5549F">
        <w:rPr>
          <w:rFonts w:ascii="Times New Roman" w:hAnsi="Times New Roman" w:cs="Times New Roman"/>
          <w:i/>
          <w:iCs/>
          <w:color w:val="000000" w:themeColor="text1"/>
          <w:vertAlign w:val="superscript"/>
          <w:lang w:val="en-US"/>
        </w:rPr>
        <w:t>3</w:t>
      </w:r>
      <w:r w:rsidRPr="00B5549F">
        <w:rPr>
          <w:rFonts w:ascii="Times New Roman" w:hAnsi="Times New Roman" w:cs="Times New Roman"/>
          <w:i/>
          <w:iCs/>
          <w:color w:val="000000" w:themeColor="text1"/>
          <w:vertAlign w:val="subscript"/>
          <w:lang w:val="en-US"/>
        </w:rPr>
        <w:t>pt</w:t>
      </w:r>
      <w:r w:rsidRPr="00B5549F">
        <w:rPr>
          <w:rFonts w:ascii="Times New Roman" w:hAnsi="Times New Roman" w:cs="Times New Roman"/>
          <w:color w:val="000000" w:themeColor="text1"/>
          <w:lang w:val="en-US"/>
        </w:rPr>
        <w:t>) to be positive and significant for both small- and large-scale entrepreneurs (</w:t>
      </w:r>
      <w:r w:rsidRPr="00B5549F">
        <w:rPr>
          <w:rFonts w:ascii="Times New Roman" w:hAnsi="Times New Roman" w:cs="Times New Roman"/>
          <w:i/>
          <w:iCs/>
          <w:color w:val="000000" w:themeColor="text1"/>
          <w:lang w:val="en-US"/>
        </w:rPr>
        <w:t>HP1</w:t>
      </w:r>
      <w:r w:rsidRPr="00B5549F">
        <w:rPr>
          <w:rFonts w:ascii="Times New Roman" w:hAnsi="Times New Roman" w:cs="Times New Roman"/>
          <w:color w:val="000000" w:themeColor="text1"/>
          <w:lang w:val="en-US"/>
        </w:rPr>
        <w:t xml:space="preserve">), the coefficients </w:t>
      </w:r>
      <w:r w:rsidRPr="00B5549F">
        <w:rPr>
          <w:rFonts w:ascii="Times New Roman" w:hAnsi="Times New Roman" w:cs="Times New Roman"/>
          <w:i/>
          <w:iCs/>
          <w:color w:val="000000" w:themeColor="text1"/>
          <w:lang w:val="en-US"/>
        </w:rPr>
        <w:t>δ</w:t>
      </w:r>
      <w:r w:rsidRPr="00B5549F">
        <w:rPr>
          <w:rFonts w:ascii="Times New Roman" w:hAnsi="Times New Roman" w:cs="Times New Roman"/>
          <w:i/>
          <w:iCs/>
          <w:color w:val="000000" w:themeColor="text1"/>
          <w:vertAlign w:val="subscript"/>
          <w:lang w:val="en-US"/>
        </w:rPr>
        <w:t>1,k</w:t>
      </w:r>
      <w:r w:rsidRPr="00B5549F">
        <w:rPr>
          <w:rFonts w:ascii="Times New Roman" w:hAnsi="Times New Roman" w:cs="Times New Roman"/>
          <w:color w:val="000000" w:themeColor="text1"/>
          <w:lang w:val="en-US"/>
        </w:rPr>
        <w:t xml:space="preserve"> (</w:t>
      </w:r>
      <w:proofErr w:type="spellStart"/>
      <w:r w:rsidRPr="00B5549F">
        <w:rPr>
          <w:rFonts w:ascii="Times New Roman" w:hAnsi="Times New Roman" w:cs="Times New Roman"/>
          <w:i/>
          <w:iCs/>
          <w:color w:val="000000" w:themeColor="text1"/>
          <w:lang w:val="en-US"/>
        </w:rPr>
        <w:t>UnoccupiedDwellings</w:t>
      </w:r>
      <w:r w:rsidRPr="00B5549F">
        <w:rPr>
          <w:rFonts w:ascii="Times New Roman" w:hAnsi="Times New Roman" w:cs="Times New Roman"/>
          <w:i/>
          <w:iCs/>
          <w:color w:val="000000" w:themeColor="text1"/>
          <w:vertAlign w:val="subscript"/>
          <w:lang w:val="en-US"/>
        </w:rPr>
        <w:t>p</w:t>
      </w:r>
      <w:proofErr w:type="spellEnd"/>
      <w:r w:rsidRPr="00B5549F">
        <w:rPr>
          <w:rFonts w:ascii="Times New Roman" w:hAnsi="Times New Roman" w:cs="Times New Roman"/>
          <w:color w:val="000000" w:themeColor="text1"/>
          <w:lang w:val="en-US"/>
        </w:rPr>
        <w:t xml:space="preserve">) and </w:t>
      </w:r>
      <w:r w:rsidRPr="00B5549F">
        <w:rPr>
          <w:rFonts w:ascii="Times New Roman" w:hAnsi="Times New Roman" w:cs="Times New Roman"/>
          <w:i/>
          <w:iCs/>
          <w:color w:val="000000" w:themeColor="text1"/>
          <w:lang w:val="en-US"/>
        </w:rPr>
        <w:t>δ</w:t>
      </w:r>
      <w:r w:rsidRPr="00B5549F">
        <w:rPr>
          <w:rFonts w:ascii="Times New Roman" w:hAnsi="Times New Roman" w:cs="Times New Roman"/>
          <w:i/>
          <w:iCs/>
          <w:color w:val="000000" w:themeColor="text1"/>
          <w:vertAlign w:val="subscript"/>
          <w:lang w:val="en-US"/>
        </w:rPr>
        <w:t>2,k</w:t>
      </w:r>
      <w:r w:rsidRPr="00B5549F">
        <w:rPr>
          <w:rFonts w:ascii="Times New Roman" w:hAnsi="Times New Roman" w:cs="Times New Roman"/>
          <w:color w:val="000000" w:themeColor="text1"/>
          <w:lang w:val="en-US"/>
        </w:rPr>
        <w:t xml:space="preserve"> (</w:t>
      </w:r>
      <w:proofErr w:type="spellStart"/>
      <w:r w:rsidRPr="00B5549F">
        <w:rPr>
          <w:rFonts w:ascii="Times New Roman" w:hAnsi="Times New Roman" w:cs="Times New Roman"/>
          <w:i/>
          <w:iCs/>
          <w:color w:val="000000" w:themeColor="text1"/>
          <w:lang w:val="en-US"/>
        </w:rPr>
        <w:t>UnemplRate</w:t>
      </w:r>
      <w:r w:rsidRPr="00B5549F">
        <w:rPr>
          <w:rFonts w:ascii="Times New Roman" w:hAnsi="Times New Roman" w:cs="Times New Roman"/>
          <w:i/>
          <w:iCs/>
          <w:color w:val="000000" w:themeColor="text1"/>
          <w:vertAlign w:val="subscript"/>
          <w:lang w:val="en-US"/>
        </w:rPr>
        <w:t>pt</w:t>
      </w:r>
      <w:proofErr w:type="spellEnd"/>
      <w:r w:rsidRPr="00B5549F">
        <w:rPr>
          <w:rFonts w:ascii="Times New Roman" w:hAnsi="Times New Roman" w:cs="Times New Roman"/>
          <w:color w:val="000000" w:themeColor="text1"/>
          <w:lang w:val="en-US"/>
        </w:rPr>
        <w:t xml:space="preserve">) to be positive and significant </w:t>
      </w:r>
      <w:r w:rsidRPr="00B5549F">
        <w:rPr>
          <w:rFonts w:ascii="Times New Roman" w:hAnsi="Times New Roman" w:cs="Times New Roman"/>
          <w:color w:val="000000" w:themeColor="text1"/>
          <w:lang w:val="en-US"/>
        </w:rPr>
        <w:lastRenderedPageBreak/>
        <w:t>for small-scale entrepreneurs and greater than those affecting the entries of large-scale entrepreneurs (</w:t>
      </w:r>
      <w:r w:rsidRPr="00B5549F">
        <w:rPr>
          <w:rFonts w:ascii="Times New Roman" w:hAnsi="Times New Roman" w:cs="Times New Roman"/>
          <w:i/>
          <w:iCs/>
          <w:color w:val="000000" w:themeColor="text1"/>
          <w:lang w:val="en-US"/>
        </w:rPr>
        <w:t>HP2a</w:t>
      </w:r>
      <w:r w:rsidRPr="00B5549F">
        <w:rPr>
          <w:rFonts w:ascii="Times New Roman" w:hAnsi="Times New Roman" w:cs="Times New Roman"/>
          <w:color w:val="000000" w:themeColor="text1"/>
          <w:lang w:val="en-US"/>
        </w:rPr>
        <w:t xml:space="preserve">), and the coefficients </w:t>
      </w:r>
      <w:r w:rsidRPr="00B5549F">
        <w:rPr>
          <w:rFonts w:ascii="Times New Roman" w:hAnsi="Times New Roman" w:cs="Times New Roman"/>
          <w:i/>
          <w:iCs/>
          <w:color w:val="000000" w:themeColor="text1"/>
          <w:lang w:val="en-US"/>
        </w:rPr>
        <w:t>δ</w:t>
      </w:r>
      <w:r w:rsidRPr="00B5549F">
        <w:rPr>
          <w:rFonts w:ascii="Times New Roman" w:hAnsi="Times New Roman" w:cs="Times New Roman"/>
          <w:i/>
          <w:iCs/>
          <w:color w:val="000000" w:themeColor="text1"/>
          <w:vertAlign w:val="subscript"/>
          <w:lang w:val="en-US"/>
        </w:rPr>
        <w:t>3,k</w:t>
      </w:r>
      <w:r w:rsidRPr="00B5549F">
        <w:rPr>
          <w:rFonts w:ascii="Times New Roman" w:hAnsi="Times New Roman" w:cs="Times New Roman"/>
          <w:color w:val="000000" w:themeColor="text1"/>
          <w:lang w:val="en-US"/>
        </w:rPr>
        <w:t xml:space="preserve"> (</w:t>
      </w:r>
      <w:proofErr w:type="spellStart"/>
      <w:r w:rsidRPr="00B5549F">
        <w:rPr>
          <w:rFonts w:ascii="Times New Roman" w:hAnsi="Times New Roman" w:cs="Times New Roman"/>
          <w:i/>
          <w:iCs/>
          <w:color w:val="000000" w:themeColor="text1"/>
          <w:lang w:val="en-US"/>
        </w:rPr>
        <w:t>High</w:t>
      </w:r>
      <w:r w:rsidR="00BF2EEF" w:rsidRPr="00B5549F">
        <w:rPr>
          <w:rFonts w:ascii="Times New Roman" w:hAnsi="Times New Roman" w:cs="Times New Roman"/>
          <w:i/>
          <w:iCs/>
          <w:color w:val="000000" w:themeColor="text1"/>
          <w:lang w:val="en-US"/>
        </w:rPr>
        <w:t>End</w:t>
      </w:r>
      <w:r w:rsidRPr="00B5549F">
        <w:rPr>
          <w:rFonts w:ascii="Times New Roman" w:hAnsi="Times New Roman" w:cs="Times New Roman"/>
          <w:i/>
          <w:iCs/>
          <w:color w:val="000000" w:themeColor="text1"/>
          <w:lang w:val="en-US"/>
        </w:rPr>
        <w:t>Specialized</w:t>
      </w:r>
      <w:r w:rsidRPr="00B5549F">
        <w:rPr>
          <w:rFonts w:ascii="Times New Roman" w:hAnsi="Times New Roman" w:cs="Times New Roman"/>
          <w:i/>
          <w:iCs/>
          <w:color w:val="000000" w:themeColor="text1"/>
          <w:vertAlign w:val="subscript"/>
          <w:lang w:val="en-US"/>
        </w:rPr>
        <w:t>p</w:t>
      </w:r>
      <w:proofErr w:type="spellEnd"/>
      <w:r w:rsidRPr="00B5549F">
        <w:rPr>
          <w:rFonts w:ascii="Times New Roman" w:hAnsi="Times New Roman" w:cs="Times New Roman"/>
          <w:color w:val="000000" w:themeColor="text1"/>
          <w:lang w:val="en-US"/>
        </w:rPr>
        <w:t>) to positively impact the entry of large-scale entrepreneurs rather than the entries of small-scale entrepreneurs (</w:t>
      </w:r>
      <w:r w:rsidRPr="00B5549F">
        <w:rPr>
          <w:rFonts w:ascii="Times New Roman" w:hAnsi="Times New Roman" w:cs="Times New Roman"/>
          <w:i/>
          <w:iCs/>
          <w:color w:val="000000" w:themeColor="text1"/>
          <w:lang w:val="en-US"/>
        </w:rPr>
        <w:t>HP2b</w:t>
      </w:r>
      <w:r w:rsidRPr="00B5549F">
        <w:rPr>
          <w:rFonts w:ascii="Times New Roman" w:hAnsi="Times New Roman" w:cs="Times New Roman"/>
          <w:color w:val="000000" w:themeColor="text1"/>
          <w:lang w:val="en-US"/>
        </w:rPr>
        <w:t>). Turning to the third set of hypotheses (</w:t>
      </w:r>
      <w:r w:rsidRPr="00B5549F">
        <w:rPr>
          <w:rFonts w:ascii="Times New Roman" w:hAnsi="Times New Roman" w:cs="Times New Roman"/>
          <w:i/>
          <w:iCs/>
          <w:color w:val="000000" w:themeColor="text1"/>
          <w:lang w:val="en-US"/>
        </w:rPr>
        <w:t>HP3a/b</w:t>
      </w:r>
      <w:r w:rsidRPr="00B5549F">
        <w:rPr>
          <w:rFonts w:ascii="Times New Roman" w:hAnsi="Times New Roman" w:cs="Times New Roman"/>
          <w:color w:val="000000" w:themeColor="text1"/>
          <w:lang w:val="en-US"/>
        </w:rPr>
        <w:t xml:space="preserve">), we expect the sign of the coefficients </w:t>
      </w:r>
      <w:r w:rsidRPr="00B5549F">
        <w:rPr>
          <w:rFonts w:ascii="Times New Roman" w:hAnsi="Times New Roman" w:cs="Times New Roman"/>
          <w:i/>
          <w:iCs/>
          <w:color w:val="000000" w:themeColor="text1"/>
          <w:lang w:val="en-US"/>
        </w:rPr>
        <w:t>γ</w:t>
      </w:r>
      <w:r w:rsidRPr="00B5549F">
        <w:rPr>
          <w:rFonts w:ascii="Times New Roman" w:hAnsi="Times New Roman" w:cs="Times New Roman"/>
          <w:i/>
          <w:iCs/>
          <w:color w:val="000000" w:themeColor="text1"/>
          <w:vertAlign w:val="subscript"/>
          <w:lang w:val="en-US"/>
        </w:rPr>
        <w:t>1</w:t>
      </w:r>
      <w:r w:rsidRPr="00B5549F">
        <w:rPr>
          <w:rFonts w:ascii="Times New Roman" w:hAnsi="Times New Roman" w:cs="Times New Roman"/>
          <w:color w:val="000000" w:themeColor="text1"/>
          <w:lang w:val="en-US"/>
        </w:rPr>
        <w:t xml:space="preserve"> and </w:t>
      </w:r>
      <w:r w:rsidRPr="00B5549F">
        <w:rPr>
          <w:rFonts w:ascii="Times New Roman" w:hAnsi="Times New Roman" w:cs="Times New Roman"/>
          <w:i/>
          <w:iCs/>
          <w:color w:val="000000" w:themeColor="text1"/>
          <w:lang w:val="en-US"/>
        </w:rPr>
        <w:t>γ</w:t>
      </w:r>
      <w:r w:rsidRPr="00B5549F">
        <w:rPr>
          <w:rFonts w:ascii="Times New Roman" w:hAnsi="Times New Roman" w:cs="Times New Roman"/>
          <w:i/>
          <w:iCs/>
          <w:color w:val="000000" w:themeColor="text1"/>
          <w:vertAlign w:val="subscript"/>
          <w:lang w:val="en-US"/>
        </w:rPr>
        <w:t>2</w:t>
      </w:r>
      <w:r w:rsidRPr="00B5549F">
        <w:rPr>
          <w:rFonts w:ascii="Times New Roman" w:hAnsi="Times New Roman" w:cs="Times New Roman"/>
          <w:color w:val="000000" w:themeColor="text1"/>
          <w:lang w:val="en-US"/>
        </w:rPr>
        <w:t xml:space="preserve"> (respectively the coefficients of </w:t>
      </w:r>
      <w:r w:rsidRPr="00B5549F">
        <w:rPr>
          <w:rFonts w:ascii="Times New Roman" w:hAnsi="Times New Roman" w:cs="Times New Roman"/>
          <w:i/>
          <w:iCs/>
          <w:color w:val="000000" w:themeColor="text1"/>
          <w:lang w:val="en-US"/>
        </w:rPr>
        <w:t>ConcentrationProp</w:t>
      </w:r>
      <w:r w:rsidRPr="00B5549F">
        <w:rPr>
          <w:rFonts w:ascii="Times New Roman" w:hAnsi="Times New Roman" w:cs="Times New Roman"/>
          <w:i/>
          <w:iCs/>
          <w:color w:val="000000" w:themeColor="text1"/>
          <w:vertAlign w:val="subscript"/>
          <w:lang w:val="en-US"/>
        </w:rPr>
        <w:t>pt-1</w:t>
      </w:r>
      <w:r w:rsidRPr="00B5549F">
        <w:rPr>
          <w:rFonts w:ascii="Times New Roman" w:hAnsi="Times New Roman" w:cs="Times New Roman"/>
          <w:color w:val="000000" w:themeColor="text1"/>
          <w:lang w:val="en-US"/>
        </w:rPr>
        <w:t xml:space="preserve"> and </w:t>
      </w:r>
      <w:r w:rsidRPr="00B5549F">
        <w:rPr>
          <w:rFonts w:ascii="Times New Roman" w:hAnsi="Times New Roman" w:cs="Times New Roman"/>
          <w:i/>
          <w:iCs/>
          <w:color w:val="000000" w:themeColor="text1"/>
          <w:lang w:val="en-US"/>
        </w:rPr>
        <w:t>ConcentrationProp</w:t>
      </w:r>
      <w:r w:rsidRPr="00B5549F">
        <w:rPr>
          <w:rFonts w:ascii="Times New Roman" w:hAnsi="Times New Roman" w:cs="Times New Roman"/>
          <w:i/>
          <w:iCs/>
          <w:color w:val="000000" w:themeColor="text1"/>
          <w:vertAlign w:val="superscript"/>
          <w:lang w:val="en-US"/>
        </w:rPr>
        <w:t>2</w:t>
      </w:r>
      <w:r w:rsidRPr="00B5549F">
        <w:rPr>
          <w:rFonts w:ascii="Times New Roman" w:hAnsi="Times New Roman" w:cs="Times New Roman"/>
          <w:i/>
          <w:iCs/>
          <w:color w:val="000000" w:themeColor="text1"/>
          <w:vertAlign w:val="subscript"/>
          <w:lang w:val="en-US"/>
        </w:rPr>
        <w:t>pt-1</w:t>
      </w:r>
      <w:r w:rsidRPr="00B5549F">
        <w:rPr>
          <w:rFonts w:ascii="Times New Roman" w:hAnsi="Times New Roman" w:cs="Times New Roman"/>
          <w:color w:val="000000" w:themeColor="text1"/>
          <w:lang w:val="en-US"/>
        </w:rPr>
        <w:t xml:space="preserve">) to be positive and negative for large-scale entrepreneurs and both statistically significant, suggesting that professional Airbnb hosts are sensitive to the three effects of spatial concentration as defined in the theoretical section. Conversely, the same coefficients for the regressions on small-scale entrepreneurs should not be statistically significant. Finally, </w:t>
      </w:r>
      <w:r w:rsidRPr="00B5549F">
        <w:rPr>
          <w:rFonts w:ascii="Times New Roman" w:hAnsi="Times New Roman" w:cs="Times New Roman"/>
          <w:i/>
          <w:iCs/>
          <w:color w:val="000000" w:themeColor="text1"/>
          <w:lang w:val="en-US"/>
        </w:rPr>
        <w:t>HP4</w:t>
      </w:r>
      <w:r w:rsidRPr="00B5549F">
        <w:rPr>
          <w:rFonts w:ascii="Times New Roman" w:hAnsi="Times New Roman" w:cs="Times New Roman"/>
          <w:color w:val="000000" w:themeColor="text1"/>
          <w:lang w:val="en-US"/>
        </w:rPr>
        <w:t xml:space="preserve"> suggests that transitions from a small- to a large-scale will be determined by the same economic variables (high-</w:t>
      </w:r>
      <w:r w:rsidR="00BF2EEF" w:rsidRPr="00B5549F">
        <w:rPr>
          <w:rFonts w:ascii="Times New Roman" w:hAnsi="Times New Roman" w:cs="Times New Roman"/>
          <w:color w:val="000000" w:themeColor="text1"/>
          <w:lang w:val="en-US"/>
        </w:rPr>
        <w:t>end</w:t>
      </w:r>
      <w:r w:rsidRPr="00B5549F">
        <w:rPr>
          <w:rFonts w:ascii="Times New Roman" w:hAnsi="Times New Roman" w:cs="Times New Roman"/>
          <w:color w:val="000000" w:themeColor="text1"/>
          <w:lang w:val="en-US"/>
        </w:rPr>
        <w:t xml:space="preserve"> specialization and concentration, in particular) that influence large-scale entries. This hypothesis will be tested by comparing the coefficients for the regressions on small- scale entrepreneurs entering the large-scale category, represented by </w:t>
      </w:r>
      <w:proofErr w:type="spellStart"/>
      <w:r w:rsidRPr="00B5549F">
        <w:rPr>
          <w:rFonts w:ascii="Times New Roman" w:hAnsi="Times New Roman" w:cs="Times New Roman"/>
          <w:i/>
          <w:iCs/>
          <w:color w:val="000000" w:themeColor="text1"/>
          <w:lang w:val="en-US"/>
        </w:rPr>
        <w:t>t</w:t>
      </w:r>
      <w:r w:rsidRPr="00B5549F">
        <w:rPr>
          <w:rFonts w:ascii="Times New Roman" w:hAnsi="Times New Roman" w:cs="Times New Roman"/>
          <w:i/>
          <w:iCs/>
          <w:color w:val="000000" w:themeColor="text1"/>
          <w:vertAlign w:val="superscript"/>
          <w:lang w:val="en-US"/>
        </w:rPr>
        <w:t>n</w:t>
      </w:r>
      <w:r w:rsidRPr="00B5549F">
        <w:rPr>
          <w:rFonts w:ascii="Times New Roman" w:hAnsi="Times New Roman" w:cs="Times New Roman"/>
          <w:i/>
          <w:iCs/>
          <w:color w:val="000000" w:themeColor="text1"/>
          <w:vertAlign w:val="subscript"/>
          <w:lang w:val="en-US"/>
        </w:rPr>
        <w:t>pt</w:t>
      </w:r>
      <w:proofErr w:type="spellEnd"/>
      <w:r w:rsidRPr="00B5549F">
        <w:rPr>
          <w:rFonts w:ascii="Times New Roman" w:hAnsi="Times New Roman" w:cs="Times New Roman"/>
          <w:color w:val="000000" w:themeColor="text1"/>
          <w:lang w:val="en-US"/>
        </w:rPr>
        <w:t xml:space="preserve">, with the coefficients for the regressions on brand-new large-scale entrepreneurs, namely </w:t>
      </w:r>
      <w:proofErr w:type="spellStart"/>
      <w:r w:rsidRPr="00B5549F">
        <w:rPr>
          <w:rFonts w:ascii="Times New Roman" w:hAnsi="Times New Roman" w:cs="Times New Roman"/>
          <w:i/>
          <w:iCs/>
          <w:color w:val="000000" w:themeColor="text1"/>
          <w:lang w:val="en-US"/>
        </w:rPr>
        <w:t>new</w:t>
      </w:r>
      <w:r w:rsidRPr="00B5549F">
        <w:rPr>
          <w:rFonts w:ascii="Times New Roman" w:hAnsi="Times New Roman" w:cs="Times New Roman"/>
          <w:i/>
          <w:iCs/>
          <w:color w:val="000000" w:themeColor="text1"/>
          <w:vertAlign w:val="superscript"/>
          <w:lang w:val="en-US"/>
        </w:rPr>
        <w:t>n</w:t>
      </w:r>
      <w:r w:rsidRPr="00B5549F">
        <w:rPr>
          <w:rFonts w:ascii="Times New Roman" w:hAnsi="Times New Roman" w:cs="Times New Roman"/>
          <w:i/>
          <w:iCs/>
          <w:color w:val="000000" w:themeColor="text1"/>
          <w:vertAlign w:val="subscript"/>
          <w:lang w:val="en-US"/>
        </w:rPr>
        <w:t>LSEpt</w:t>
      </w:r>
      <w:proofErr w:type="spellEnd"/>
      <w:r w:rsidRPr="00B5549F">
        <w:rPr>
          <w:rFonts w:ascii="Times New Roman" w:hAnsi="Times New Roman" w:cs="Times New Roman"/>
          <w:color w:val="000000" w:themeColor="text1"/>
          <w:lang w:val="en-US"/>
        </w:rPr>
        <w:t>.</w:t>
      </w:r>
    </w:p>
    <w:p w14:paraId="3EF0E4F8" w14:textId="58F568AE" w:rsidR="00212127" w:rsidRPr="00B5549F" w:rsidRDefault="00212127" w:rsidP="00980437">
      <w:pPr>
        <w:pStyle w:val="Paragrafoelenco"/>
        <w:keepNext/>
        <w:numPr>
          <w:ilvl w:val="0"/>
          <w:numId w:val="7"/>
        </w:numPr>
        <w:spacing w:before="120" w:line="480" w:lineRule="auto"/>
        <w:jc w:val="both"/>
        <w:rPr>
          <w:rFonts w:ascii="Times New Roman" w:hAnsi="Times New Roman" w:cs="Times New Roman"/>
          <w:b/>
          <w:bCs/>
          <w:color w:val="000000" w:themeColor="text1"/>
          <w:lang w:val="en-US"/>
        </w:rPr>
      </w:pPr>
      <w:r w:rsidRPr="00B5549F">
        <w:rPr>
          <w:rFonts w:ascii="Times New Roman" w:hAnsi="Times New Roman" w:cs="Times New Roman"/>
          <w:b/>
          <w:bCs/>
          <w:color w:val="000000" w:themeColor="text1"/>
          <w:lang w:val="en-US"/>
        </w:rPr>
        <w:t>RESULTS: COMPARING SMALL- AND LARGE-SCALE ENTREPRENEURS</w:t>
      </w:r>
    </w:p>
    <w:p w14:paraId="3A8CCECB" w14:textId="7464B024" w:rsidR="00212127" w:rsidRPr="00B5549F" w:rsidRDefault="000A6D37" w:rsidP="00980437">
      <w:pPr>
        <w:spacing w:before="120" w:line="480" w:lineRule="auto"/>
        <w:ind w:firstLine="708"/>
        <w:jc w:val="both"/>
        <w:rPr>
          <w:rFonts w:ascii="Times New Roman" w:hAnsi="Times New Roman" w:cs="Times New Roman"/>
          <w:b/>
          <w:bCs/>
          <w:color w:val="000000" w:themeColor="text1"/>
          <w:lang w:val="en-US"/>
        </w:rPr>
      </w:pPr>
      <w:r w:rsidRPr="00B5549F">
        <w:rPr>
          <w:rFonts w:ascii="Times New Roman" w:hAnsi="Times New Roman" w:cs="Times New Roman"/>
          <w:b/>
          <w:bCs/>
          <w:color w:val="000000" w:themeColor="text1"/>
          <w:lang w:val="en-US"/>
        </w:rPr>
        <w:t xml:space="preserve">4.1. </w:t>
      </w:r>
      <w:r w:rsidR="00212127" w:rsidRPr="00B5549F">
        <w:rPr>
          <w:rFonts w:ascii="Times New Roman" w:hAnsi="Times New Roman" w:cs="Times New Roman"/>
          <w:b/>
          <w:bCs/>
          <w:color w:val="000000" w:themeColor="text1"/>
          <w:lang w:val="en-US"/>
        </w:rPr>
        <w:t>Main results</w:t>
      </w:r>
    </w:p>
    <w:p w14:paraId="7367E150" w14:textId="4EB23A5C" w:rsidR="00212127" w:rsidRPr="00B5549F" w:rsidRDefault="00212127"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Tables 4 and 5 report the results of our estimates. We estimate Equation 2 for two different thresholds of small- and large-scale entrepreneurs (i.e., small-scale entrepreneurs owning from one to two listings or one to three listings, and large-scale entrepreneurs owning three to ten or four to ten listings). The first column per each category of entrepreneur provides the results of the random effects estimates, while the second provides the results of the GMM-SYS ones, estimated through the Blundell &amp; Bond (1998) estimator previously described. The random effects and GMM-SYS estimates are rather similar, with the same sign and levels of statistical significance for all the independent variables across the two methods. Consequently, the discussion on the magnitude of the coefficients will focus on the GMM set of estimates. Moreover, results are robust when comparing the two definitions of both small- and large-scale entrepreneurs, confirming the outcomes of our </w:t>
      </w:r>
      <w:r w:rsidRPr="00B5549F">
        <w:rPr>
          <w:rFonts w:ascii="Times New Roman" w:hAnsi="Times New Roman" w:cs="Times New Roman"/>
          <w:color w:val="000000" w:themeColor="text1"/>
          <w:lang w:val="en-US"/>
        </w:rPr>
        <w:lastRenderedPageBreak/>
        <w:t xml:space="preserve">analysis regardless of the threshold </w:t>
      </w:r>
      <w:r w:rsidRPr="00B5549F">
        <w:rPr>
          <w:rFonts w:ascii="Times New Roman" w:hAnsi="Times New Roman" w:cs="Times New Roman"/>
          <w:i/>
          <w:iCs/>
          <w:color w:val="000000" w:themeColor="text1"/>
          <w:lang w:val="en-US"/>
        </w:rPr>
        <w:t>n</w:t>
      </w:r>
      <w:r w:rsidRPr="00B5549F">
        <w:rPr>
          <w:rFonts w:ascii="Times New Roman" w:hAnsi="Times New Roman" w:cs="Times New Roman"/>
          <w:color w:val="000000" w:themeColor="text1"/>
          <w:lang w:val="en-US"/>
        </w:rPr>
        <w:t xml:space="preserve"> in our dependent variable </w:t>
      </w:r>
      <w:proofErr w:type="spellStart"/>
      <w:r w:rsidRPr="00B5549F">
        <w:rPr>
          <w:rFonts w:ascii="Times New Roman" w:hAnsi="Times New Roman" w:cs="Times New Roman"/>
          <w:i/>
          <w:iCs/>
          <w:color w:val="000000" w:themeColor="text1"/>
          <w:lang w:val="en-US"/>
        </w:rPr>
        <w:t>e</w:t>
      </w:r>
      <w:r w:rsidRPr="00B5549F">
        <w:rPr>
          <w:rFonts w:ascii="Times New Roman" w:hAnsi="Times New Roman" w:cs="Times New Roman"/>
          <w:i/>
          <w:iCs/>
          <w:color w:val="000000" w:themeColor="text1"/>
          <w:vertAlign w:val="superscript"/>
          <w:lang w:val="en-US"/>
        </w:rPr>
        <w:t>n</w:t>
      </w:r>
      <w:r w:rsidRPr="00B5549F">
        <w:rPr>
          <w:rFonts w:ascii="Times New Roman" w:hAnsi="Times New Roman" w:cs="Times New Roman"/>
          <w:i/>
          <w:iCs/>
          <w:color w:val="000000" w:themeColor="text1"/>
          <w:vertAlign w:val="subscript"/>
          <w:lang w:val="en-US"/>
        </w:rPr>
        <w:t>kpt</w:t>
      </w:r>
      <w:proofErr w:type="spellEnd"/>
      <w:r w:rsidRPr="00B5549F">
        <w:rPr>
          <w:rFonts w:ascii="Times New Roman" w:hAnsi="Times New Roman" w:cs="Times New Roman"/>
          <w:color w:val="000000" w:themeColor="text1"/>
          <w:lang w:val="en-US"/>
        </w:rPr>
        <w:t>. Further robustness checks on this specific aspect will also be run in the dedicated subsection. Unsurprisingly, the lagged dependent variable is always positive and statistically significant (with coefficients far below one), confirming the dynamic relationship in the entries of potential Airbnb entrepreneurs postulated in our models.</w:t>
      </w:r>
      <w:r w:rsidRPr="00B5549F">
        <w:rPr>
          <w:rStyle w:val="Rimandonotaapidipagina"/>
          <w:rFonts w:ascii="Times New Roman" w:hAnsi="Times New Roman" w:cs="Times New Roman"/>
          <w:color w:val="000000" w:themeColor="text1"/>
          <w:lang w:val="en-US"/>
        </w:rPr>
        <w:footnoteReference w:id="21"/>
      </w:r>
    </w:p>
    <w:p w14:paraId="45A9EC2C" w14:textId="77777777" w:rsidR="00212127" w:rsidRPr="00B5549F" w:rsidRDefault="00212127" w:rsidP="00980437">
      <w:pPr>
        <w:spacing w:before="120" w:line="480" w:lineRule="auto"/>
        <w:jc w:val="center"/>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[Insert Table 4 around here]</w:t>
      </w:r>
    </w:p>
    <w:p w14:paraId="22D626DB" w14:textId="6DD16634" w:rsidR="00212127" w:rsidRPr="00B5549F" w:rsidRDefault="00212127"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In line with our expectations and with the literature on network externalities in multi-sided markets (Hagiu, 2007; Parker &amp; Van Alstyne, 2005), Table 4 confirms HP1 showing that, with all else being equal, perceived demand positively affects the entry rates of both small-scale entrepreneurs (</w:t>
      </w:r>
      <w:r w:rsidRPr="00B5549F">
        <w:rPr>
          <w:rFonts w:ascii="Times New Roman" w:hAnsi="Times New Roman" w:cs="Times New Roman"/>
          <w:i/>
          <w:iCs/>
          <w:color w:val="000000" w:themeColor="text1"/>
          <w:lang w:val="en-US"/>
        </w:rPr>
        <w:t>β</w:t>
      </w:r>
      <w:r w:rsidRPr="00B5549F">
        <w:rPr>
          <w:rFonts w:ascii="Times New Roman" w:hAnsi="Times New Roman" w:cs="Times New Roman"/>
          <w:i/>
          <w:iCs/>
          <w:color w:val="000000" w:themeColor="text1"/>
          <w:vertAlign w:val="subscript"/>
          <w:lang w:val="en-US"/>
        </w:rPr>
        <w:t>SSE</w:t>
      </w:r>
      <w:r w:rsidRPr="00B5549F">
        <w:rPr>
          <w:rFonts w:ascii="Times New Roman" w:hAnsi="Times New Roman" w:cs="Times New Roman"/>
          <w:color w:val="000000" w:themeColor="text1"/>
          <w:lang w:val="en-US"/>
        </w:rPr>
        <w:t xml:space="preserve"> varies from +0.5083 to +0.5194) and large-scale entrepreneurs (</w:t>
      </w:r>
      <w:r w:rsidRPr="00B5549F">
        <w:rPr>
          <w:rFonts w:ascii="Times New Roman" w:hAnsi="Times New Roman" w:cs="Times New Roman"/>
          <w:i/>
          <w:iCs/>
          <w:color w:val="000000" w:themeColor="text1"/>
          <w:lang w:val="en-US"/>
        </w:rPr>
        <w:t>β</w:t>
      </w:r>
      <w:r w:rsidRPr="00B5549F">
        <w:rPr>
          <w:rFonts w:ascii="Times New Roman" w:hAnsi="Times New Roman" w:cs="Times New Roman"/>
          <w:i/>
          <w:iCs/>
          <w:color w:val="000000" w:themeColor="text1"/>
          <w:vertAlign w:val="subscript"/>
          <w:lang w:val="en-US"/>
        </w:rPr>
        <w:t>LSE</w:t>
      </w:r>
      <w:r w:rsidRPr="00B5549F">
        <w:rPr>
          <w:rFonts w:ascii="Times New Roman" w:hAnsi="Times New Roman" w:cs="Times New Roman"/>
          <w:color w:val="000000" w:themeColor="text1"/>
          <w:lang w:val="en-US"/>
        </w:rPr>
        <w:t xml:space="preserve"> varies from +0.3318 to +0.4714) confirming that the variable is a significant predictor in determining the entries of both types of entrepreneurs. Indeed, we show that, on average, a 10% increase in </w:t>
      </w:r>
      <w:r w:rsidRPr="00B5549F">
        <w:rPr>
          <w:rFonts w:ascii="Times New Roman" w:hAnsi="Times New Roman" w:cs="Times New Roman"/>
          <w:i/>
          <w:iCs/>
          <w:color w:val="000000" w:themeColor="text1"/>
          <w:lang w:val="en-US"/>
        </w:rPr>
        <w:t>MarketClimate</w:t>
      </w:r>
      <w:r w:rsidRPr="00B5549F">
        <w:rPr>
          <w:rFonts w:ascii="Times New Roman" w:hAnsi="Times New Roman" w:cs="Times New Roman"/>
          <w:i/>
          <w:iCs/>
          <w:color w:val="000000" w:themeColor="text1"/>
          <w:vertAlign w:val="superscript"/>
          <w:lang w:val="en-US"/>
        </w:rPr>
        <w:t>3</w:t>
      </w:r>
      <w:r w:rsidRPr="00B5549F">
        <w:rPr>
          <w:rFonts w:ascii="Times New Roman" w:hAnsi="Times New Roman" w:cs="Times New Roman"/>
          <w:i/>
          <w:iCs/>
          <w:color w:val="000000" w:themeColor="text1"/>
          <w:vertAlign w:val="subscript"/>
          <w:lang w:val="en-US"/>
        </w:rPr>
        <w:t>pt</w:t>
      </w:r>
      <w:r w:rsidRPr="00B5549F">
        <w:rPr>
          <w:rFonts w:ascii="Times New Roman" w:hAnsi="Times New Roman" w:cs="Times New Roman"/>
          <w:color w:val="000000" w:themeColor="text1"/>
          <w:lang w:val="en-US"/>
        </w:rPr>
        <w:t xml:space="preserve"> is associated with a 4.96%-5.07% increase in small-scale entrepreneurs entries and a 3.21%-4.60% increase in the entry of large-scale entrepreneurs, both significant (with p=0.000).</w:t>
      </w:r>
    </w:p>
    <w:p w14:paraId="2675C4D9" w14:textId="62CC63AC" w:rsidR="00212127" w:rsidRPr="00B5549F" w:rsidRDefault="00212127"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Considering our proxies for the role of opportunity costs – the stock of unoccupied dwellings and the rate of unemployment – they both behave in the postulated directions, showing that tighter labor market conditions and the diffused availability of empty dwellings predict ceteris paribus – i.e., for a given level of common ‘market demand’ – a stronger incentive to entry for small-scale entrepreneurs. According to HP2a, a 10% increase in the stock of unoccupied dwellings is, indeed, significantly associated with a 1.51% increase in small-scale entrepreneurs’ entries, while the relationship is not significant for the entries of large-scale entrepreneurs (</w:t>
      </w:r>
      <w:r w:rsidR="004D1177" w:rsidRPr="00B5549F">
        <w:rPr>
          <w:rFonts w:ascii="Times New Roman" w:hAnsi="Times New Roman" w:cs="Times New Roman"/>
          <w:i/>
          <w:iCs/>
          <w:color w:val="000000" w:themeColor="text1"/>
          <w:lang w:val="en-US"/>
        </w:rPr>
        <w:t>δ</w:t>
      </w:r>
      <w:r w:rsidR="004D1177" w:rsidRPr="00B5549F">
        <w:rPr>
          <w:rFonts w:ascii="Times New Roman" w:hAnsi="Times New Roman" w:cs="Times New Roman"/>
          <w:i/>
          <w:iCs/>
          <w:color w:val="000000" w:themeColor="text1"/>
          <w:vertAlign w:val="subscript"/>
          <w:lang w:val="en-US"/>
        </w:rPr>
        <w:t>1,SSE</w:t>
      </w:r>
      <w:r w:rsidRPr="00B5549F">
        <w:rPr>
          <w:rFonts w:ascii="Times New Roman" w:hAnsi="Times New Roman" w:cs="Times New Roman"/>
          <w:color w:val="000000" w:themeColor="text1"/>
          <w:lang w:val="en-US"/>
        </w:rPr>
        <w:t xml:space="preserve"> varies from 0.1569 to 0.157, while </w:t>
      </w:r>
      <w:r w:rsidR="004D1177" w:rsidRPr="00B5549F">
        <w:rPr>
          <w:rFonts w:ascii="Times New Roman" w:hAnsi="Times New Roman" w:cs="Times New Roman"/>
          <w:i/>
          <w:iCs/>
          <w:color w:val="000000" w:themeColor="text1"/>
          <w:lang w:val="en-US"/>
        </w:rPr>
        <w:t>δ</w:t>
      </w:r>
      <w:r w:rsidR="004D1177" w:rsidRPr="00B5549F">
        <w:rPr>
          <w:rFonts w:ascii="Times New Roman" w:hAnsi="Times New Roman" w:cs="Times New Roman"/>
          <w:i/>
          <w:iCs/>
          <w:color w:val="000000" w:themeColor="text1"/>
          <w:vertAlign w:val="subscript"/>
          <w:lang w:val="en-US"/>
        </w:rPr>
        <w:t>1,LSE</w:t>
      </w:r>
      <w:r w:rsidRPr="00B5549F">
        <w:rPr>
          <w:rFonts w:ascii="Times New Roman" w:hAnsi="Times New Roman" w:cs="Times New Roman"/>
          <w:color w:val="000000" w:themeColor="text1"/>
          <w:lang w:val="en-US"/>
        </w:rPr>
        <w:t xml:space="preserve"> is not significantly different from zero). Conversely, a one percentage point increase in the rate of unemployment has a significant effect on the entries of both small-scale entrepreneurs (1.67%-1.70% </w:t>
      </w:r>
      <w:r w:rsidRPr="00B5549F">
        <w:rPr>
          <w:rFonts w:ascii="Times New Roman" w:hAnsi="Times New Roman" w:cs="Times New Roman"/>
          <w:color w:val="000000" w:themeColor="text1"/>
          <w:lang w:val="en-US"/>
        </w:rPr>
        <w:lastRenderedPageBreak/>
        <w:t>increase in entries) and large-scale entrepreneurs (1.59%- 2.59%), as both coefficients are significantly different from zero (p-value varying from 0.000 to 0.004). In line with HP2b, the high-</w:t>
      </w:r>
      <w:r w:rsidR="00BF2EEF" w:rsidRPr="00B5549F">
        <w:rPr>
          <w:rFonts w:ascii="Times New Roman" w:hAnsi="Times New Roman" w:cs="Times New Roman"/>
          <w:color w:val="000000" w:themeColor="text1"/>
          <w:lang w:val="en-US"/>
        </w:rPr>
        <w:t>end</w:t>
      </w:r>
      <w:r w:rsidRPr="00B5549F">
        <w:rPr>
          <w:rFonts w:ascii="Times New Roman" w:hAnsi="Times New Roman" w:cs="Times New Roman"/>
          <w:color w:val="000000" w:themeColor="text1"/>
          <w:lang w:val="en-US"/>
        </w:rPr>
        <w:t xml:space="preserve"> specialization of the tourism industry significantly affects only the entries of large-scale entrepreneurs (8.83%-9.45% higher entries) as opposed to those of small-scale entrepreneurs.</w:t>
      </w:r>
      <w:r w:rsidR="004D1177" w:rsidRPr="00B5549F">
        <w:rPr>
          <w:rFonts w:ascii="Times New Roman" w:hAnsi="Times New Roman" w:cs="Times New Roman"/>
          <w:color w:val="000000" w:themeColor="text1"/>
          <w:lang w:val="en-US"/>
        </w:rPr>
        <w:t xml:space="preserve"> </w:t>
      </w:r>
    </w:p>
    <w:p w14:paraId="0B85E408" w14:textId="77777777" w:rsidR="004D1177" w:rsidRPr="00B5549F" w:rsidRDefault="004D1177" w:rsidP="00980437">
      <w:pPr>
        <w:spacing w:before="120" w:line="480" w:lineRule="auto"/>
        <w:jc w:val="center"/>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[Insert Table 5 around here]</w:t>
      </w:r>
    </w:p>
    <w:p w14:paraId="2A89C82C" w14:textId="42131C55" w:rsidR="004D1177" w:rsidRPr="00B5549F" w:rsidRDefault="004D1177"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Table 5 provides the full model including the one period lag of supply concentration.</w:t>
      </w:r>
      <w:r w:rsidRPr="00B5549F">
        <w:rPr>
          <w:rStyle w:val="Rimandonotaapidipagina"/>
          <w:rFonts w:ascii="Times New Roman" w:hAnsi="Times New Roman" w:cs="Times New Roman"/>
          <w:color w:val="000000" w:themeColor="text1"/>
          <w:lang w:val="en-US"/>
        </w:rPr>
        <w:footnoteReference w:id="22"/>
      </w:r>
      <w:r w:rsidRPr="00B5549F">
        <w:rPr>
          <w:rFonts w:ascii="Times New Roman" w:hAnsi="Times New Roman" w:cs="Times New Roman"/>
          <w:color w:val="000000" w:themeColor="text1"/>
          <w:lang w:val="en-US"/>
        </w:rPr>
        <w:t xml:space="preserve"> The new independent variables of interest, related to the local spatial concentration of supply, show significantly different effects for the two different types of entrepreneurs. </w:t>
      </w:r>
      <w:r w:rsidRPr="00B5549F">
        <w:rPr>
          <w:rFonts w:ascii="Times New Roman" w:hAnsi="Times New Roman" w:cs="Times New Roman"/>
          <w:i/>
          <w:iCs/>
          <w:color w:val="000000" w:themeColor="text1"/>
          <w:lang w:val="en-US"/>
        </w:rPr>
        <w:t>HP3a</w:t>
      </w:r>
      <w:r w:rsidRPr="00B5549F">
        <w:rPr>
          <w:rFonts w:ascii="Times New Roman" w:hAnsi="Times New Roman" w:cs="Times New Roman"/>
          <w:color w:val="000000" w:themeColor="text1"/>
          <w:lang w:val="en-US"/>
        </w:rPr>
        <w:t xml:space="preserve"> states that, all else being equal, concentration significantly affects the entry of large-scale entrepreneurs rather than small-scale entrepreneurs, leading to </w:t>
      </w:r>
      <w:r w:rsidRPr="00B5549F">
        <w:rPr>
          <w:rFonts w:ascii="Times New Roman" w:hAnsi="Times New Roman" w:cs="Times New Roman"/>
          <w:i/>
          <w:iCs/>
          <w:color w:val="000000" w:themeColor="text1"/>
          <w:lang w:val="en-US"/>
        </w:rPr>
        <w:t>HP3b</w:t>
      </w:r>
      <w:r w:rsidRPr="00B5549F">
        <w:rPr>
          <w:rFonts w:ascii="Times New Roman" w:hAnsi="Times New Roman" w:cs="Times New Roman"/>
          <w:color w:val="000000" w:themeColor="text1"/>
          <w:lang w:val="en-US"/>
        </w:rPr>
        <w:t xml:space="preserve"> which postulates that the relationship between concentration and large-scale entrepreneurs’ entries follows a bell- shaped curve as a consequence of the interdependence of the various effects of concentration discussed in the theoretical section. The results in Table 5 confirm the hypotheses. On the one hand, the relationship between concentration and the entries of small-scale entrepreneurs is not significantly different from zero, both in linear and quadratic terms (see the coefficients </w:t>
      </w:r>
      <w:r w:rsidRPr="00B5549F">
        <w:rPr>
          <w:rFonts w:ascii="Times New Roman" w:hAnsi="Times New Roman" w:cs="Times New Roman"/>
          <w:i/>
          <w:iCs/>
          <w:color w:val="000000" w:themeColor="text1"/>
          <w:lang w:val="en-US"/>
        </w:rPr>
        <w:t>γ</w:t>
      </w:r>
      <w:r w:rsidRPr="00B5549F">
        <w:rPr>
          <w:rFonts w:ascii="Times New Roman" w:hAnsi="Times New Roman" w:cs="Times New Roman"/>
          <w:i/>
          <w:iCs/>
          <w:color w:val="000000" w:themeColor="text1"/>
          <w:vertAlign w:val="subscript"/>
          <w:lang w:val="en-US"/>
        </w:rPr>
        <w:t>1,SSE</w:t>
      </w:r>
      <w:r w:rsidRPr="00B5549F">
        <w:rPr>
          <w:rFonts w:ascii="Times New Roman" w:hAnsi="Times New Roman" w:cs="Times New Roman"/>
          <w:color w:val="000000" w:themeColor="text1"/>
          <w:lang w:val="en-US"/>
        </w:rPr>
        <w:t xml:space="preserve"> and </w:t>
      </w:r>
      <w:r w:rsidRPr="00B5549F">
        <w:rPr>
          <w:rFonts w:ascii="Times New Roman" w:hAnsi="Times New Roman" w:cs="Times New Roman"/>
          <w:i/>
          <w:iCs/>
          <w:color w:val="000000" w:themeColor="text1"/>
          <w:lang w:val="en-US"/>
        </w:rPr>
        <w:t>γ</w:t>
      </w:r>
      <w:r w:rsidRPr="00B5549F">
        <w:rPr>
          <w:rFonts w:ascii="Times New Roman" w:hAnsi="Times New Roman" w:cs="Times New Roman"/>
          <w:i/>
          <w:iCs/>
          <w:color w:val="000000" w:themeColor="text1"/>
          <w:vertAlign w:val="subscript"/>
          <w:lang w:val="en-US"/>
        </w:rPr>
        <w:t>2,SSE</w:t>
      </w:r>
      <w:r w:rsidRPr="00B5549F">
        <w:rPr>
          <w:rFonts w:ascii="Times New Roman" w:hAnsi="Times New Roman" w:cs="Times New Roman"/>
          <w:color w:val="000000" w:themeColor="text1"/>
          <w:lang w:val="en-US"/>
        </w:rPr>
        <w:t xml:space="preserve">). On the other hand, large-scale entrepreneurs’ entries are significantly (p-value in the range within 0.001 and 0.005) affected by concentration both in linear terms, with positive coefficients varying from +0.1138 to +0.1293 (respectively in GMM-SYS estimates for </w:t>
      </w:r>
      <w:r w:rsidRPr="00B5549F">
        <w:rPr>
          <w:rFonts w:ascii="Times New Roman" w:hAnsi="Times New Roman" w:cs="Times New Roman"/>
          <w:i/>
          <w:iCs/>
          <w:color w:val="000000" w:themeColor="text1"/>
          <w:lang w:val="en-US"/>
        </w:rPr>
        <w:t>e</w:t>
      </w:r>
      <w:r w:rsidRPr="00B5549F">
        <w:rPr>
          <w:rFonts w:ascii="Times New Roman" w:hAnsi="Times New Roman" w:cs="Times New Roman"/>
          <w:i/>
          <w:iCs/>
          <w:color w:val="000000" w:themeColor="text1"/>
          <w:vertAlign w:val="superscript"/>
          <w:lang w:val="en-US"/>
        </w:rPr>
        <w:t>2</w:t>
      </w:r>
      <w:r w:rsidRPr="00B5549F">
        <w:rPr>
          <w:rFonts w:ascii="Times New Roman" w:hAnsi="Times New Roman" w:cs="Times New Roman"/>
          <w:i/>
          <w:iCs/>
          <w:color w:val="000000" w:themeColor="text1"/>
          <w:vertAlign w:val="subscript"/>
          <w:lang w:val="en-US"/>
        </w:rPr>
        <w:t>LSEpt</w:t>
      </w:r>
      <w:r w:rsidRPr="00B5549F">
        <w:rPr>
          <w:rFonts w:ascii="Times New Roman" w:hAnsi="Times New Roman" w:cs="Times New Roman"/>
          <w:color w:val="000000" w:themeColor="text1"/>
          <w:lang w:val="en-US"/>
        </w:rPr>
        <w:t xml:space="preserve"> and </w:t>
      </w:r>
      <w:r w:rsidRPr="00B5549F">
        <w:rPr>
          <w:rFonts w:ascii="Times New Roman" w:hAnsi="Times New Roman" w:cs="Times New Roman"/>
          <w:i/>
          <w:iCs/>
          <w:color w:val="000000" w:themeColor="text1"/>
          <w:lang w:val="en-US"/>
        </w:rPr>
        <w:t>e</w:t>
      </w:r>
      <w:r w:rsidRPr="00B5549F">
        <w:rPr>
          <w:rFonts w:ascii="Times New Roman" w:hAnsi="Times New Roman" w:cs="Times New Roman"/>
          <w:i/>
          <w:iCs/>
          <w:color w:val="000000" w:themeColor="text1"/>
          <w:vertAlign w:val="superscript"/>
          <w:lang w:val="en-US"/>
        </w:rPr>
        <w:t>3</w:t>
      </w:r>
      <w:r w:rsidRPr="00B5549F">
        <w:rPr>
          <w:rFonts w:ascii="Times New Roman" w:hAnsi="Times New Roman" w:cs="Times New Roman"/>
          <w:i/>
          <w:iCs/>
          <w:color w:val="000000" w:themeColor="text1"/>
          <w:vertAlign w:val="subscript"/>
          <w:lang w:val="en-US"/>
        </w:rPr>
        <w:t>LSEpt</w:t>
      </w:r>
      <w:r w:rsidRPr="00B5549F">
        <w:rPr>
          <w:rFonts w:ascii="Times New Roman" w:hAnsi="Times New Roman" w:cs="Times New Roman"/>
          <w:color w:val="000000" w:themeColor="text1"/>
          <w:lang w:val="en-US"/>
        </w:rPr>
        <w:t xml:space="preserve">), and quadratic terms, with negative coefficients varying from -0.0061 to -0.0072 (respectively in GMM-SYS estimates for </w:t>
      </w:r>
      <w:r w:rsidRPr="00B5549F">
        <w:rPr>
          <w:rFonts w:ascii="Times New Roman" w:hAnsi="Times New Roman" w:cs="Times New Roman"/>
          <w:i/>
          <w:iCs/>
          <w:color w:val="000000" w:themeColor="text1"/>
          <w:lang w:val="en-US"/>
        </w:rPr>
        <w:t>e</w:t>
      </w:r>
      <w:r w:rsidRPr="00B5549F">
        <w:rPr>
          <w:rFonts w:ascii="Times New Roman" w:hAnsi="Times New Roman" w:cs="Times New Roman"/>
          <w:i/>
          <w:iCs/>
          <w:color w:val="000000" w:themeColor="text1"/>
          <w:vertAlign w:val="superscript"/>
          <w:lang w:val="en-US"/>
        </w:rPr>
        <w:t>2</w:t>
      </w:r>
      <w:r w:rsidRPr="00B5549F">
        <w:rPr>
          <w:rFonts w:ascii="Times New Roman" w:hAnsi="Times New Roman" w:cs="Times New Roman"/>
          <w:i/>
          <w:iCs/>
          <w:color w:val="000000" w:themeColor="text1"/>
          <w:vertAlign w:val="subscript"/>
          <w:lang w:val="en-US"/>
        </w:rPr>
        <w:t>LSEpt</w:t>
      </w:r>
      <w:r w:rsidRPr="00B5549F">
        <w:rPr>
          <w:rFonts w:ascii="Times New Roman" w:hAnsi="Times New Roman" w:cs="Times New Roman"/>
          <w:color w:val="000000" w:themeColor="text1"/>
          <w:lang w:val="en-US"/>
        </w:rPr>
        <w:t xml:space="preserve"> and </w:t>
      </w:r>
      <w:r w:rsidRPr="00B5549F">
        <w:rPr>
          <w:rFonts w:ascii="Times New Roman" w:hAnsi="Times New Roman" w:cs="Times New Roman"/>
          <w:i/>
          <w:iCs/>
          <w:color w:val="000000" w:themeColor="text1"/>
          <w:lang w:val="en-US"/>
        </w:rPr>
        <w:t>e</w:t>
      </w:r>
      <w:r w:rsidRPr="00B5549F">
        <w:rPr>
          <w:rFonts w:ascii="Times New Roman" w:hAnsi="Times New Roman" w:cs="Times New Roman"/>
          <w:i/>
          <w:iCs/>
          <w:color w:val="000000" w:themeColor="text1"/>
          <w:vertAlign w:val="superscript"/>
          <w:lang w:val="en-US"/>
        </w:rPr>
        <w:t>3</w:t>
      </w:r>
      <w:r w:rsidRPr="00B5549F">
        <w:rPr>
          <w:rFonts w:ascii="Times New Roman" w:hAnsi="Times New Roman" w:cs="Times New Roman"/>
          <w:i/>
          <w:iCs/>
          <w:color w:val="000000" w:themeColor="text1"/>
          <w:vertAlign w:val="subscript"/>
          <w:lang w:val="en-US"/>
        </w:rPr>
        <w:t>LSEpt</w:t>
      </w:r>
      <w:r w:rsidRPr="00B5549F">
        <w:rPr>
          <w:rFonts w:ascii="Times New Roman" w:hAnsi="Times New Roman" w:cs="Times New Roman"/>
          <w:color w:val="000000" w:themeColor="text1"/>
          <w:lang w:val="en-US"/>
        </w:rPr>
        <w:t>).</w:t>
      </w:r>
    </w:p>
    <w:p w14:paraId="0DD9DED3" w14:textId="01307105" w:rsidR="004D1177" w:rsidRPr="00B5549F" w:rsidRDefault="004D1177"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Based on the estimates in Table 5, we have also computed the long-run effects (Reed &amp; Zhu, 2017) of the linear variables in our model (</w:t>
      </w:r>
      <w:r w:rsidRPr="00B5549F">
        <w:rPr>
          <w:rFonts w:ascii="Times New Roman" w:hAnsi="Times New Roman" w:cs="Times New Roman"/>
          <w:i/>
          <w:iCs/>
          <w:color w:val="000000" w:themeColor="text1"/>
          <w:lang w:val="en-US"/>
        </w:rPr>
        <w:t>MarketClimate</w:t>
      </w:r>
      <w:r w:rsidRPr="00B5549F">
        <w:rPr>
          <w:rFonts w:ascii="Times New Roman" w:hAnsi="Times New Roman" w:cs="Times New Roman"/>
          <w:i/>
          <w:iCs/>
          <w:color w:val="000000" w:themeColor="text1"/>
          <w:vertAlign w:val="superscript"/>
          <w:lang w:val="en-US"/>
        </w:rPr>
        <w:t>3</w:t>
      </w:r>
      <w:r w:rsidRPr="00B5549F">
        <w:rPr>
          <w:rFonts w:ascii="Times New Roman" w:hAnsi="Times New Roman" w:cs="Times New Roman"/>
          <w:i/>
          <w:iCs/>
          <w:color w:val="000000" w:themeColor="text1"/>
          <w:vertAlign w:val="subscript"/>
          <w:lang w:val="en-US"/>
        </w:rPr>
        <w:t>pt</w:t>
      </w:r>
      <w:r w:rsidRPr="00B5549F">
        <w:rPr>
          <w:rFonts w:ascii="Times New Roman" w:hAnsi="Times New Roman" w:cs="Times New Roman"/>
          <w:i/>
          <w:iCs/>
          <w:color w:val="000000" w:themeColor="text1"/>
          <w:lang w:val="en-US"/>
        </w:rPr>
        <w:t xml:space="preserve">, </w:t>
      </w:r>
      <w:proofErr w:type="spellStart"/>
      <w:r w:rsidRPr="00B5549F">
        <w:rPr>
          <w:rFonts w:ascii="Times New Roman" w:hAnsi="Times New Roman" w:cs="Times New Roman"/>
          <w:i/>
          <w:iCs/>
          <w:color w:val="000000" w:themeColor="text1"/>
          <w:lang w:val="en-US"/>
        </w:rPr>
        <w:t>UnoccupiedDwellings</w:t>
      </w:r>
      <w:r w:rsidRPr="00B5549F">
        <w:rPr>
          <w:rFonts w:ascii="Times New Roman" w:hAnsi="Times New Roman" w:cs="Times New Roman"/>
          <w:i/>
          <w:iCs/>
          <w:color w:val="000000" w:themeColor="text1"/>
          <w:vertAlign w:val="subscript"/>
          <w:lang w:val="en-US"/>
        </w:rPr>
        <w:t>p</w:t>
      </w:r>
      <w:proofErr w:type="spellEnd"/>
      <w:r w:rsidRPr="00B5549F">
        <w:rPr>
          <w:rFonts w:ascii="Times New Roman" w:hAnsi="Times New Roman" w:cs="Times New Roman"/>
          <w:i/>
          <w:iCs/>
          <w:color w:val="000000" w:themeColor="text1"/>
          <w:lang w:val="en-US"/>
        </w:rPr>
        <w:t xml:space="preserve">, </w:t>
      </w:r>
      <w:proofErr w:type="spellStart"/>
      <w:r w:rsidRPr="00B5549F">
        <w:rPr>
          <w:rFonts w:ascii="Times New Roman" w:hAnsi="Times New Roman" w:cs="Times New Roman"/>
          <w:i/>
          <w:iCs/>
          <w:color w:val="000000" w:themeColor="text1"/>
          <w:lang w:val="en-US"/>
        </w:rPr>
        <w:t>UnemplRate</w:t>
      </w:r>
      <w:r w:rsidRPr="00B5549F">
        <w:rPr>
          <w:rFonts w:ascii="Times New Roman" w:hAnsi="Times New Roman" w:cs="Times New Roman"/>
          <w:i/>
          <w:iCs/>
          <w:color w:val="000000" w:themeColor="text1"/>
          <w:vertAlign w:val="subscript"/>
          <w:lang w:val="en-US"/>
        </w:rPr>
        <w:t>pt</w:t>
      </w:r>
      <w:proofErr w:type="spellEnd"/>
      <w:r w:rsidRPr="00B5549F">
        <w:rPr>
          <w:rFonts w:ascii="Times New Roman" w:hAnsi="Times New Roman" w:cs="Times New Roman"/>
          <w:color w:val="000000" w:themeColor="text1"/>
          <w:lang w:val="en-US"/>
        </w:rPr>
        <w:t xml:space="preserve"> and </w:t>
      </w:r>
      <w:proofErr w:type="spellStart"/>
      <w:r w:rsidRPr="00B5549F">
        <w:rPr>
          <w:rFonts w:ascii="Times New Roman" w:hAnsi="Times New Roman" w:cs="Times New Roman"/>
          <w:i/>
          <w:iCs/>
          <w:color w:val="000000" w:themeColor="text1"/>
          <w:lang w:val="en-US"/>
        </w:rPr>
        <w:t>High</w:t>
      </w:r>
      <w:r w:rsidR="007B2205" w:rsidRPr="00B5549F">
        <w:rPr>
          <w:rFonts w:ascii="Times New Roman" w:hAnsi="Times New Roman" w:cs="Times New Roman"/>
          <w:i/>
          <w:iCs/>
          <w:color w:val="000000" w:themeColor="text1"/>
          <w:lang w:val="en-US"/>
        </w:rPr>
        <w:t>End</w:t>
      </w:r>
      <w:r w:rsidRPr="00B5549F">
        <w:rPr>
          <w:rFonts w:ascii="Times New Roman" w:hAnsi="Times New Roman" w:cs="Times New Roman"/>
          <w:i/>
          <w:iCs/>
          <w:color w:val="000000" w:themeColor="text1"/>
          <w:lang w:val="en-US"/>
        </w:rPr>
        <w:t>Specialized</w:t>
      </w:r>
      <w:r w:rsidRPr="00B5549F">
        <w:rPr>
          <w:rFonts w:ascii="Times New Roman" w:hAnsi="Times New Roman" w:cs="Times New Roman"/>
          <w:i/>
          <w:iCs/>
          <w:color w:val="000000" w:themeColor="text1"/>
          <w:vertAlign w:val="subscript"/>
          <w:lang w:val="en-US"/>
        </w:rPr>
        <w:t>p</w:t>
      </w:r>
      <w:proofErr w:type="spellEnd"/>
      <w:r w:rsidRPr="00B5549F">
        <w:rPr>
          <w:rFonts w:ascii="Times New Roman" w:hAnsi="Times New Roman" w:cs="Times New Roman"/>
          <w:color w:val="000000" w:themeColor="text1"/>
          <w:lang w:val="en-US"/>
        </w:rPr>
        <w:t xml:space="preserve">). The methodology to compute </w:t>
      </w:r>
      <w:r w:rsidR="00547E5F" w:rsidRPr="00B5549F">
        <w:rPr>
          <w:rFonts w:ascii="Times New Roman" w:hAnsi="Times New Roman" w:cs="Times New Roman"/>
          <w:color w:val="000000" w:themeColor="text1"/>
          <w:lang w:val="en-US"/>
        </w:rPr>
        <w:t>l</w:t>
      </w:r>
      <w:r w:rsidRPr="00B5549F">
        <w:rPr>
          <w:rFonts w:ascii="Times New Roman" w:hAnsi="Times New Roman" w:cs="Times New Roman"/>
          <w:color w:val="000000" w:themeColor="text1"/>
          <w:lang w:val="en-US"/>
        </w:rPr>
        <w:t xml:space="preserve">ong-run effects, as well as the comparison with </w:t>
      </w:r>
      <w:r w:rsidRPr="00B5549F">
        <w:rPr>
          <w:rFonts w:ascii="Times New Roman" w:hAnsi="Times New Roman" w:cs="Times New Roman"/>
          <w:color w:val="000000" w:themeColor="text1"/>
          <w:lang w:val="en-US"/>
        </w:rPr>
        <w:lastRenderedPageBreak/>
        <w:t>the short-run ones, and a synthesis of the results, is available in Appendix A3 (respectively, A3a and A3b).</w:t>
      </w:r>
    </w:p>
    <w:p w14:paraId="4A4C46D3" w14:textId="05287FE2" w:rsidR="004D1177" w:rsidRPr="00B5549F" w:rsidRDefault="000A6D37" w:rsidP="00980437">
      <w:pPr>
        <w:pStyle w:val="Paragrafoelenco"/>
        <w:keepNext/>
        <w:numPr>
          <w:ilvl w:val="1"/>
          <w:numId w:val="7"/>
        </w:numPr>
        <w:spacing w:before="120" w:line="480" w:lineRule="auto"/>
        <w:jc w:val="both"/>
        <w:rPr>
          <w:rFonts w:ascii="Times New Roman" w:hAnsi="Times New Roman" w:cs="Times New Roman"/>
          <w:b/>
          <w:bCs/>
          <w:color w:val="000000" w:themeColor="text1"/>
          <w:lang w:val="en-US"/>
        </w:rPr>
      </w:pPr>
      <w:r w:rsidRPr="00B5549F">
        <w:rPr>
          <w:rFonts w:ascii="Times New Roman" w:hAnsi="Times New Roman" w:cs="Times New Roman"/>
          <w:b/>
          <w:bCs/>
          <w:color w:val="000000" w:themeColor="text1"/>
          <w:lang w:val="en-US"/>
        </w:rPr>
        <w:t xml:space="preserve"> </w:t>
      </w:r>
      <w:r w:rsidR="004D1177" w:rsidRPr="00B5549F">
        <w:rPr>
          <w:rFonts w:ascii="Times New Roman" w:hAnsi="Times New Roman" w:cs="Times New Roman"/>
          <w:b/>
          <w:bCs/>
          <w:color w:val="000000" w:themeColor="text1"/>
          <w:lang w:val="en-US"/>
        </w:rPr>
        <w:t>Additional results</w:t>
      </w:r>
      <w:r w:rsidR="00C562F9" w:rsidRPr="00B5549F">
        <w:rPr>
          <w:rFonts w:ascii="Times New Roman" w:hAnsi="Times New Roman" w:cs="Times New Roman"/>
          <w:b/>
          <w:bCs/>
          <w:color w:val="000000" w:themeColor="text1"/>
          <w:lang w:val="en-US"/>
        </w:rPr>
        <w:t xml:space="preserve"> and robustness checks</w:t>
      </w:r>
    </w:p>
    <w:p w14:paraId="6B45D99A" w14:textId="77777777" w:rsidR="004D1177" w:rsidRPr="00B5549F" w:rsidRDefault="004D1177" w:rsidP="00980437">
      <w:pPr>
        <w:spacing w:before="120" w:line="480" w:lineRule="auto"/>
        <w:jc w:val="both"/>
        <w:rPr>
          <w:rFonts w:ascii="Times New Roman" w:hAnsi="Times New Roman" w:cs="Times New Roman"/>
          <w:i/>
          <w:iCs/>
          <w:color w:val="000000" w:themeColor="text1"/>
          <w:lang w:val="en-US"/>
        </w:rPr>
      </w:pPr>
      <w:r w:rsidRPr="00B5549F">
        <w:rPr>
          <w:rFonts w:ascii="Times New Roman" w:hAnsi="Times New Roman" w:cs="Times New Roman"/>
          <w:i/>
          <w:iCs/>
          <w:color w:val="000000" w:themeColor="text1"/>
          <w:lang w:val="en-US"/>
        </w:rPr>
        <w:t>Carrying capacity and the relationship between concentration and the entry of large-scale entrepreneurs</w:t>
      </w:r>
    </w:p>
    <w:p w14:paraId="6072D478" w14:textId="1C90E586" w:rsidR="004D1177" w:rsidRPr="00B5549F" w:rsidRDefault="004D1177"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The signs of the coefficients </w:t>
      </w:r>
      <w:r w:rsidRPr="00B5549F">
        <w:rPr>
          <w:rFonts w:ascii="Times New Roman" w:hAnsi="Times New Roman" w:cs="Times New Roman"/>
          <w:i/>
          <w:iCs/>
          <w:color w:val="000000" w:themeColor="text1"/>
          <w:lang w:val="en-US"/>
        </w:rPr>
        <w:t>γ</w:t>
      </w:r>
      <w:r w:rsidRPr="00B5549F">
        <w:rPr>
          <w:rFonts w:ascii="Times New Roman" w:hAnsi="Times New Roman" w:cs="Times New Roman"/>
          <w:i/>
          <w:iCs/>
          <w:color w:val="000000" w:themeColor="text1"/>
          <w:vertAlign w:val="subscript"/>
          <w:lang w:val="en-US"/>
        </w:rPr>
        <w:t>1,LSE</w:t>
      </w:r>
      <w:r w:rsidRPr="00B5549F">
        <w:rPr>
          <w:rFonts w:ascii="Times New Roman" w:hAnsi="Times New Roman" w:cs="Times New Roman"/>
          <w:color w:val="000000" w:themeColor="text1"/>
          <w:lang w:val="en-US"/>
        </w:rPr>
        <w:t xml:space="preserve"> and </w:t>
      </w:r>
      <w:r w:rsidRPr="00B5549F">
        <w:rPr>
          <w:rFonts w:ascii="Times New Roman" w:hAnsi="Times New Roman" w:cs="Times New Roman"/>
          <w:i/>
          <w:iCs/>
          <w:color w:val="000000" w:themeColor="text1"/>
          <w:lang w:val="en-US"/>
        </w:rPr>
        <w:t>γ</w:t>
      </w:r>
      <w:r w:rsidRPr="00B5549F">
        <w:rPr>
          <w:rFonts w:ascii="Times New Roman" w:hAnsi="Times New Roman" w:cs="Times New Roman"/>
          <w:i/>
          <w:iCs/>
          <w:color w:val="000000" w:themeColor="text1"/>
          <w:vertAlign w:val="subscript"/>
          <w:lang w:val="en-US"/>
        </w:rPr>
        <w:t>2,LSE</w:t>
      </w:r>
      <w:r w:rsidRPr="00B5549F">
        <w:rPr>
          <w:rFonts w:ascii="Times New Roman" w:hAnsi="Times New Roman" w:cs="Times New Roman"/>
          <w:color w:val="000000" w:themeColor="text1"/>
          <w:lang w:val="en-US"/>
        </w:rPr>
        <w:t>, both significant at 1% confidence level and respectively positive and negative, highlight the presence of a non-linear concave impact of the concentration of supply on the entries of large-scale entrepreneurs. These results lead to the postulated bell-shaped curve in Figure 2 representing the concave relationship between industry concentration and large-scale entrepreneurs’ entries hypothesized in HP3b.</w:t>
      </w:r>
      <w:r w:rsidRPr="00B5549F">
        <w:rPr>
          <w:rStyle w:val="Rimandonotaapidipagina"/>
          <w:rFonts w:ascii="Times New Roman" w:hAnsi="Times New Roman" w:cs="Times New Roman"/>
          <w:color w:val="000000" w:themeColor="text1"/>
          <w:lang w:val="en-US"/>
        </w:rPr>
        <w:footnoteReference w:id="23"/>
      </w:r>
      <w:r w:rsidRPr="00B5549F">
        <w:rPr>
          <w:rFonts w:ascii="Times New Roman" w:hAnsi="Times New Roman" w:cs="Times New Roman"/>
          <w:color w:val="000000" w:themeColor="text1"/>
          <w:lang w:val="en-US"/>
        </w:rPr>
        <w:t xml:space="preserve"> In other words, the concave relationship shows that, up to a specific threshold, increases in concentration positively affect the entries of large-scale entrepreneurs, while, when the threshold has been reached, the deterring effects prevail, discouraging entries. Table 6 shows the predicted values of the turning point (i.e., the maximum) of the bell-shaped curve according to the GMM-SYS estimates of Table 5. To the extent that the maximum of </w:t>
      </w:r>
      <w:r w:rsidRPr="00B5549F">
        <w:rPr>
          <w:rFonts w:ascii="Times New Roman" w:hAnsi="Times New Roman" w:cs="Times New Roman"/>
          <w:i/>
          <w:iCs/>
          <w:color w:val="000000" w:themeColor="text1"/>
          <w:lang w:val="en-US"/>
        </w:rPr>
        <w:t>ConcentrationProp</w:t>
      </w:r>
      <w:r w:rsidRPr="00B5549F">
        <w:rPr>
          <w:rFonts w:ascii="Times New Roman" w:hAnsi="Times New Roman" w:cs="Times New Roman"/>
          <w:i/>
          <w:iCs/>
          <w:color w:val="000000" w:themeColor="text1"/>
          <w:vertAlign w:val="subscript"/>
          <w:lang w:val="en-US"/>
        </w:rPr>
        <w:t>pt-1</w:t>
      </w:r>
      <w:r w:rsidRPr="00B5549F">
        <w:rPr>
          <w:rFonts w:ascii="Times New Roman" w:hAnsi="Times New Roman" w:cs="Times New Roman"/>
          <w:color w:val="000000" w:themeColor="text1"/>
          <w:lang w:val="en-US"/>
        </w:rPr>
        <w:t xml:space="preserve"> is a representation of the optimal market capacity for Airbnb potential entrants (still recognized only by large-scale entrepreneurs), we show that on average, when the supply concentration exceeds the threshold of 8.95-9.33 properties per squared kilometer, an increase in the stock of active properties has a negative effect on the entries of large-scale entrepreneurs.</w:t>
      </w:r>
    </w:p>
    <w:p w14:paraId="1FC3E5C3" w14:textId="75E61FAC" w:rsidR="004D1177" w:rsidRPr="00B5549F" w:rsidRDefault="004D1177" w:rsidP="00980437">
      <w:pPr>
        <w:spacing w:before="120" w:line="480" w:lineRule="auto"/>
        <w:jc w:val="center"/>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[Insert Figure 2 around here]</w:t>
      </w:r>
      <w:r w:rsidR="0096691F" w:rsidRPr="00B5549F">
        <w:rPr>
          <w:rFonts w:ascii="Times New Roman" w:hAnsi="Times New Roman" w:cs="Times New Roman"/>
          <w:color w:val="000000" w:themeColor="text1"/>
          <w:lang w:val="en-US"/>
        </w:rPr>
        <w:t xml:space="preserve"> </w:t>
      </w:r>
      <w:r w:rsidRPr="00B5549F">
        <w:rPr>
          <w:rFonts w:ascii="Times New Roman" w:hAnsi="Times New Roman" w:cs="Times New Roman"/>
          <w:color w:val="000000" w:themeColor="text1"/>
          <w:lang w:val="en-US"/>
        </w:rPr>
        <w:t>[Insert Table 6 around here]</w:t>
      </w:r>
    </w:p>
    <w:p w14:paraId="72C55628" w14:textId="77777777" w:rsidR="004669DD" w:rsidRPr="00B5549F" w:rsidRDefault="004669DD" w:rsidP="00980437">
      <w:pPr>
        <w:spacing w:before="120" w:line="480" w:lineRule="auto"/>
        <w:jc w:val="both"/>
        <w:rPr>
          <w:rFonts w:ascii="Times New Roman" w:hAnsi="Times New Roman" w:cs="Times New Roman"/>
          <w:i/>
          <w:iCs/>
          <w:color w:val="000000" w:themeColor="text1"/>
          <w:lang w:val="en-US"/>
        </w:rPr>
      </w:pPr>
      <w:r w:rsidRPr="00B5549F">
        <w:rPr>
          <w:rFonts w:ascii="Times New Roman" w:hAnsi="Times New Roman" w:cs="Times New Roman"/>
          <w:i/>
          <w:iCs/>
          <w:color w:val="000000" w:themeColor="text1"/>
          <w:lang w:val="en-US"/>
        </w:rPr>
        <w:t>Entry ways for large-scale entrepreneurs: staged vs brand-new entry</w:t>
      </w:r>
    </w:p>
    <w:p w14:paraId="178729A2" w14:textId="6294361A" w:rsidR="004669DD" w:rsidRPr="00B5549F" w:rsidRDefault="004669DD"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Aimed at testing HP4, Table 7 proposes a comparison of the regression output estimating the determinants of transitions from small-scale to large-scale entrepreneurial activity</w:t>
      </w:r>
      <w:r w:rsidR="005F5CAD">
        <w:rPr>
          <w:rFonts w:ascii="Times New Roman" w:hAnsi="Times New Roman" w:cs="Times New Roman"/>
          <w:color w:val="000000" w:themeColor="text1"/>
          <w:lang w:val="en-US"/>
        </w:rPr>
        <w:t xml:space="preserve"> </w:t>
      </w:r>
      <w:r w:rsidR="005F5CAD" w:rsidRPr="005F5CAD">
        <w:rPr>
          <w:rFonts w:ascii="Times New Roman" w:hAnsi="Times New Roman" w:cs="Times New Roman"/>
          <w:b/>
          <w:bCs/>
          <w:color w:val="4472C4" w:themeColor="accent1"/>
          <w:lang w:val="en-US"/>
        </w:rPr>
        <w:t>(</w:t>
      </w:r>
      <w:r w:rsidR="005F5CAD">
        <w:rPr>
          <w:rFonts w:ascii="Times New Roman" w:hAnsi="Times New Roman" w:cs="Times New Roman"/>
          <w:b/>
          <w:bCs/>
          <w:color w:val="4472C4" w:themeColor="accent1"/>
          <w:lang w:val="en-US"/>
        </w:rPr>
        <w:t>columns 5 to 8</w:t>
      </w:r>
      <w:r w:rsidR="005F5CAD" w:rsidRPr="005F5CAD">
        <w:rPr>
          <w:rFonts w:ascii="Times New Roman" w:hAnsi="Times New Roman" w:cs="Times New Roman"/>
          <w:b/>
          <w:bCs/>
          <w:color w:val="4472C4" w:themeColor="accent1"/>
          <w:lang w:val="en-US"/>
        </w:rPr>
        <w:t>)</w:t>
      </w:r>
      <w:r w:rsidRPr="00B5549F">
        <w:rPr>
          <w:rFonts w:ascii="Times New Roman" w:hAnsi="Times New Roman" w:cs="Times New Roman"/>
          <w:color w:val="000000" w:themeColor="text1"/>
          <w:lang w:val="en-US"/>
        </w:rPr>
        <w:t xml:space="preserve"> </w:t>
      </w:r>
      <w:r w:rsidRPr="00B5549F">
        <w:rPr>
          <w:rFonts w:ascii="Times New Roman" w:hAnsi="Times New Roman" w:cs="Times New Roman"/>
          <w:color w:val="000000" w:themeColor="text1"/>
          <w:lang w:val="en-US"/>
        </w:rPr>
        <w:lastRenderedPageBreak/>
        <w:t>with the entries of ex-novo large-scale entrepreneurs</w:t>
      </w:r>
      <w:r w:rsidR="005F5CAD">
        <w:rPr>
          <w:rFonts w:ascii="Times New Roman" w:hAnsi="Times New Roman" w:cs="Times New Roman"/>
          <w:color w:val="000000" w:themeColor="text1"/>
          <w:lang w:val="en-US"/>
        </w:rPr>
        <w:t xml:space="preserve"> </w:t>
      </w:r>
      <w:r w:rsidR="005F5CAD" w:rsidRPr="005F5CAD">
        <w:rPr>
          <w:rFonts w:ascii="Times New Roman" w:hAnsi="Times New Roman" w:cs="Times New Roman"/>
          <w:b/>
          <w:bCs/>
          <w:color w:val="4472C4" w:themeColor="accent1"/>
          <w:lang w:val="en-US"/>
        </w:rPr>
        <w:t>(</w:t>
      </w:r>
      <w:r w:rsidR="005F5CAD">
        <w:rPr>
          <w:rFonts w:ascii="Times New Roman" w:hAnsi="Times New Roman" w:cs="Times New Roman"/>
          <w:b/>
          <w:bCs/>
          <w:color w:val="4472C4" w:themeColor="accent1"/>
          <w:lang w:val="en-US"/>
        </w:rPr>
        <w:t>columns 1 to 4</w:t>
      </w:r>
      <w:r w:rsidR="005F5CAD" w:rsidRPr="005F5CAD">
        <w:rPr>
          <w:rFonts w:ascii="Times New Roman" w:hAnsi="Times New Roman" w:cs="Times New Roman"/>
          <w:b/>
          <w:bCs/>
          <w:color w:val="4472C4" w:themeColor="accent1"/>
          <w:lang w:val="en-US"/>
        </w:rPr>
        <w:t>)</w:t>
      </w:r>
      <w:r w:rsidRPr="00B5549F">
        <w:rPr>
          <w:rFonts w:ascii="Times New Roman" w:hAnsi="Times New Roman" w:cs="Times New Roman"/>
          <w:color w:val="000000" w:themeColor="text1"/>
          <w:lang w:val="en-US"/>
        </w:rPr>
        <w:t>.</w:t>
      </w:r>
      <w:r w:rsidRPr="00B5549F">
        <w:rPr>
          <w:rStyle w:val="Rimandonotaapidipagina"/>
          <w:rFonts w:ascii="Times New Roman" w:hAnsi="Times New Roman" w:cs="Times New Roman"/>
          <w:color w:val="000000" w:themeColor="text1"/>
          <w:lang w:val="en-US"/>
        </w:rPr>
        <w:footnoteReference w:id="24"/>
      </w:r>
      <w:r w:rsidRPr="00B5549F">
        <w:rPr>
          <w:rFonts w:ascii="Times New Roman" w:hAnsi="Times New Roman" w:cs="Times New Roman"/>
          <w:color w:val="000000" w:themeColor="text1"/>
          <w:lang w:val="en-US"/>
        </w:rPr>
        <w:t xml:space="preserve"> The table adopts the same methodological choices as the regression analyses shown before.</w:t>
      </w:r>
      <w:r w:rsidR="00B147DB" w:rsidRPr="00B5549F">
        <w:rPr>
          <w:rFonts w:ascii="Times New Roman" w:hAnsi="Times New Roman" w:cs="Times New Roman"/>
          <w:color w:val="000000" w:themeColor="text1"/>
          <w:lang w:val="en-US"/>
        </w:rPr>
        <w:t xml:space="preserve"> The dependent variables are respectively </w:t>
      </w:r>
      <w:proofErr w:type="spellStart"/>
      <w:r w:rsidR="00B147DB" w:rsidRPr="00B5549F">
        <w:rPr>
          <w:rFonts w:ascii="Times New Roman" w:hAnsi="Times New Roman" w:cs="Times New Roman"/>
          <w:i/>
          <w:iCs/>
          <w:color w:val="000000" w:themeColor="text1"/>
          <w:lang w:val="en-US"/>
        </w:rPr>
        <w:t>new</w:t>
      </w:r>
      <w:r w:rsidR="00B147DB" w:rsidRPr="00B5549F">
        <w:rPr>
          <w:rFonts w:ascii="Times New Roman" w:hAnsi="Times New Roman" w:cs="Times New Roman"/>
          <w:i/>
          <w:iCs/>
          <w:color w:val="000000" w:themeColor="text1"/>
          <w:vertAlign w:val="superscript"/>
          <w:lang w:val="en-US"/>
        </w:rPr>
        <w:t>n</w:t>
      </w:r>
      <w:r w:rsidR="00B147DB" w:rsidRPr="00B5549F">
        <w:rPr>
          <w:rFonts w:ascii="Times New Roman" w:hAnsi="Times New Roman" w:cs="Times New Roman"/>
          <w:i/>
          <w:iCs/>
          <w:color w:val="000000" w:themeColor="text1"/>
          <w:vertAlign w:val="subscript"/>
          <w:lang w:val="en-US"/>
        </w:rPr>
        <w:t>LSE,p,t</w:t>
      </w:r>
      <w:proofErr w:type="spellEnd"/>
      <w:r w:rsidR="00B147DB" w:rsidRPr="00B5549F">
        <w:rPr>
          <w:rFonts w:ascii="Times New Roman" w:hAnsi="Times New Roman" w:cs="Times New Roman"/>
          <w:color w:val="000000" w:themeColor="text1"/>
          <w:lang w:val="en-US"/>
        </w:rPr>
        <w:t xml:space="preserve"> to estimate the effects on </w:t>
      </w:r>
      <w:r w:rsidR="00B147DB" w:rsidRPr="00B5549F">
        <w:rPr>
          <w:rFonts w:ascii="Times New Roman" w:hAnsi="Times New Roman" w:cs="Times New Roman"/>
          <w:i/>
          <w:iCs/>
          <w:color w:val="000000" w:themeColor="text1"/>
          <w:lang w:val="en-US"/>
        </w:rPr>
        <w:t>brand-new</w:t>
      </w:r>
      <w:r w:rsidR="00B147DB" w:rsidRPr="00B5549F">
        <w:rPr>
          <w:rFonts w:ascii="Times New Roman" w:hAnsi="Times New Roman" w:cs="Times New Roman"/>
          <w:color w:val="000000" w:themeColor="text1"/>
          <w:lang w:val="en-US"/>
        </w:rPr>
        <w:t xml:space="preserve"> entries, and </w:t>
      </w:r>
      <w:proofErr w:type="spellStart"/>
      <w:r w:rsidR="00B147DB" w:rsidRPr="00B5549F">
        <w:rPr>
          <w:rFonts w:ascii="Times New Roman" w:hAnsi="Times New Roman" w:cs="Times New Roman"/>
          <w:i/>
          <w:iCs/>
          <w:color w:val="000000" w:themeColor="text1"/>
          <w:lang w:val="en-US"/>
        </w:rPr>
        <w:t>t</w:t>
      </w:r>
      <w:r w:rsidR="00B147DB" w:rsidRPr="00B5549F">
        <w:rPr>
          <w:rFonts w:ascii="Times New Roman" w:hAnsi="Times New Roman" w:cs="Times New Roman"/>
          <w:i/>
          <w:iCs/>
          <w:color w:val="000000" w:themeColor="text1"/>
          <w:vertAlign w:val="superscript"/>
          <w:lang w:val="en-US"/>
        </w:rPr>
        <w:t>n</w:t>
      </w:r>
      <w:r w:rsidR="00B147DB" w:rsidRPr="00B5549F">
        <w:rPr>
          <w:rFonts w:ascii="Times New Roman" w:hAnsi="Times New Roman" w:cs="Times New Roman"/>
          <w:i/>
          <w:iCs/>
          <w:color w:val="000000" w:themeColor="text1"/>
          <w:vertAlign w:val="subscript"/>
          <w:lang w:val="en-US"/>
        </w:rPr>
        <w:t>p,t</w:t>
      </w:r>
      <w:proofErr w:type="spellEnd"/>
      <w:r w:rsidR="00B147DB" w:rsidRPr="00B5549F">
        <w:rPr>
          <w:rFonts w:ascii="Times New Roman" w:hAnsi="Times New Roman" w:cs="Times New Roman"/>
          <w:color w:val="000000" w:themeColor="text1"/>
          <w:lang w:val="en-US"/>
        </w:rPr>
        <w:t xml:space="preserve"> to estimate the effects on transitions from small-scale to large-scale status.</w:t>
      </w:r>
      <w:r w:rsidR="00DA605A" w:rsidRPr="00B5549F">
        <w:rPr>
          <w:rFonts w:ascii="Times New Roman" w:hAnsi="Times New Roman" w:cs="Times New Roman"/>
          <w:color w:val="000000" w:themeColor="text1"/>
          <w:lang w:val="en-US"/>
        </w:rPr>
        <w:t xml:space="preserve"> Both variables, together with some additional descriptive evidence, are defined in Section 3.3. </w:t>
      </w:r>
      <w:r w:rsidR="00B147DB" w:rsidRPr="00B5549F">
        <w:rPr>
          <w:rFonts w:ascii="Times New Roman" w:hAnsi="Times New Roman" w:cs="Times New Roman"/>
          <w:color w:val="000000" w:themeColor="text1"/>
          <w:lang w:val="en-US"/>
        </w:rPr>
        <w:t xml:space="preserve"> </w:t>
      </w:r>
    </w:p>
    <w:p w14:paraId="3754E207" w14:textId="4F3A10ED" w:rsidR="004669DD" w:rsidRPr="00B5549F" w:rsidRDefault="004669DD" w:rsidP="00980437">
      <w:pPr>
        <w:spacing w:before="120" w:line="480" w:lineRule="auto"/>
        <w:jc w:val="center"/>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[Insert Table 7 around here]</w:t>
      </w:r>
    </w:p>
    <w:p w14:paraId="01A84206" w14:textId="2AA5E2EF" w:rsidR="004669DD" w:rsidRPr="00B5549F" w:rsidRDefault="004669DD"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i/>
          <w:iCs/>
          <w:color w:val="000000" w:themeColor="text1"/>
          <w:lang w:val="en-US"/>
        </w:rPr>
        <w:t>Brand-new</w:t>
      </w:r>
      <w:r w:rsidRPr="00B5549F">
        <w:rPr>
          <w:rFonts w:ascii="Times New Roman" w:hAnsi="Times New Roman" w:cs="Times New Roman"/>
          <w:color w:val="000000" w:themeColor="text1"/>
          <w:lang w:val="en-US"/>
        </w:rPr>
        <w:t xml:space="preserve"> large-scale entrepreneurs’ entries</w:t>
      </w:r>
      <w:r w:rsidR="005F5CAD">
        <w:rPr>
          <w:rFonts w:ascii="Times New Roman" w:hAnsi="Times New Roman" w:cs="Times New Roman"/>
          <w:color w:val="000000" w:themeColor="text1"/>
          <w:lang w:val="en-US"/>
        </w:rPr>
        <w:t xml:space="preserve"> </w:t>
      </w:r>
      <w:r w:rsidR="005F5CAD" w:rsidRPr="005F5CAD">
        <w:rPr>
          <w:rFonts w:ascii="Times New Roman" w:hAnsi="Times New Roman" w:cs="Times New Roman"/>
          <w:b/>
          <w:bCs/>
          <w:color w:val="4472C4" w:themeColor="accent1"/>
          <w:lang w:val="en-US"/>
        </w:rPr>
        <w:t>(</w:t>
      </w:r>
      <w:r w:rsidR="005F5CAD">
        <w:rPr>
          <w:rFonts w:ascii="Times New Roman" w:hAnsi="Times New Roman" w:cs="Times New Roman"/>
          <w:b/>
          <w:bCs/>
          <w:color w:val="4472C4" w:themeColor="accent1"/>
          <w:lang w:val="en-US"/>
        </w:rPr>
        <w:t>estimated in columns 1 to 4, Table 7</w:t>
      </w:r>
      <w:r w:rsidR="005F5CAD" w:rsidRPr="005F5CAD">
        <w:rPr>
          <w:rFonts w:ascii="Times New Roman" w:hAnsi="Times New Roman" w:cs="Times New Roman"/>
          <w:b/>
          <w:bCs/>
          <w:color w:val="4472C4" w:themeColor="accent1"/>
          <w:lang w:val="en-US"/>
        </w:rPr>
        <w:t>)</w:t>
      </w:r>
      <w:r w:rsidRPr="00B5549F">
        <w:rPr>
          <w:rFonts w:ascii="Times New Roman" w:hAnsi="Times New Roman" w:cs="Times New Roman"/>
          <w:color w:val="000000" w:themeColor="text1"/>
          <w:lang w:val="en-US"/>
        </w:rPr>
        <w:t xml:space="preserve"> and transitions </w:t>
      </w:r>
      <w:r w:rsidR="005F5CAD" w:rsidRPr="005F5CAD">
        <w:rPr>
          <w:rFonts w:ascii="Times New Roman" w:hAnsi="Times New Roman" w:cs="Times New Roman"/>
          <w:b/>
          <w:bCs/>
          <w:color w:val="4472C4" w:themeColor="accent1"/>
          <w:lang w:val="en-US"/>
        </w:rPr>
        <w:t>(</w:t>
      </w:r>
      <w:r w:rsidR="005F5CAD">
        <w:rPr>
          <w:rFonts w:ascii="Times New Roman" w:hAnsi="Times New Roman" w:cs="Times New Roman"/>
          <w:b/>
          <w:bCs/>
          <w:color w:val="4472C4" w:themeColor="accent1"/>
          <w:lang w:val="en-US"/>
        </w:rPr>
        <w:t>estimated in columns 5 to 8, Table 7</w:t>
      </w:r>
      <w:r w:rsidR="005F5CAD" w:rsidRPr="005F5CAD">
        <w:rPr>
          <w:rFonts w:ascii="Times New Roman" w:hAnsi="Times New Roman" w:cs="Times New Roman"/>
          <w:b/>
          <w:bCs/>
          <w:color w:val="4472C4" w:themeColor="accent1"/>
          <w:lang w:val="en-US"/>
        </w:rPr>
        <w:t>)</w:t>
      </w:r>
      <w:r w:rsidR="005F5CAD">
        <w:rPr>
          <w:rFonts w:ascii="Times New Roman" w:hAnsi="Times New Roman" w:cs="Times New Roman"/>
          <w:b/>
          <w:bCs/>
          <w:color w:val="4472C4" w:themeColor="accent1"/>
          <w:lang w:val="en-US"/>
        </w:rPr>
        <w:t xml:space="preserve"> </w:t>
      </w:r>
      <w:r w:rsidRPr="00B5549F">
        <w:rPr>
          <w:rFonts w:ascii="Times New Roman" w:hAnsi="Times New Roman" w:cs="Times New Roman"/>
          <w:color w:val="000000" w:themeColor="text1"/>
          <w:lang w:val="en-US"/>
        </w:rPr>
        <w:t xml:space="preserve">seem to be driven by the same variables, thus confirming </w:t>
      </w:r>
      <w:r w:rsidRPr="00B5549F">
        <w:rPr>
          <w:rFonts w:ascii="Times New Roman" w:hAnsi="Times New Roman" w:cs="Times New Roman"/>
          <w:i/>
          <w:iCs/>
          <w:color w:val="000000" w:themeColor="text1"/>
          <w:lang w:val="en-US"/>
        </w:rPr>
        <w:t>HP4</w:t>
      </w:r>
      <w:r w:rsidRPr="00B5549F">
        <w:rPr>
          <w:rFonts w:ascii="Times New Roman" w:hAnsi="Times New Roman" w:cs="Times New Roman"/>
          <w:color w:val="000000" w:themeColor="text1"/>
          <w:lang w:val="en-US"/>
        </w:rPr>
        <w:t xml:space="preserve">. In particular: a) they are both demand-driven, b) they are equally sensible to entry/opportunity costs’ conditions such as the unemployment rate and the share of luxury hotel beds, and c) they follow a quadratic bell-shaped curve in relationship to the market concentration of listings. In this respect, these results, beyond confirming the hypothesis </w:t>
      </w:r>
      <w:r w:rsidRPr="00B5549F">
        <w:rPr>
          <w:rFonts w:ascii="Times New Roman" w:hAnsi="Times New Roman" w:cs="Times New Roman"/>
          <w:i/>
          <w:iCs/>
          <w:color w:val="000000" w:themeColor="text1"/>
          <w:lang w:val="en-US"/>
        </w:rPr>
        <w:t>HP4</w:t>
      </w:r>
      <w:r w:rsidRPr="00B5549F">
        <w:rPr>
          <w:rFonts w:ascii="Times New Roman" w:hAnsi="Times New Roman" w:cs="Times New Roman"/>
          <w:color w:val="000000" w:themeColor="text1"/>
          <w:lang w:val="en-US"/>
        </w:rPr>
        <w:t>, additionally suggest that the platform, other than acting as a mere digital external enabler of entrepreneurship, can act as a ‘learning sandbox’ for potential entrepreneurs who gradually approach the market with limited time and effort, and then upscale their commitment.</w:t>
      </w:r>
    </w:p>
    <w:p w14:paraId="60B7C31A" w14:textId="15FF56D9" w:rsidR="004669DD" w:rsidRPr="00B5549F" w:rsidRDefault="004669DD" w:rsidP="00980437">
      <w:pPr>
        <w:spacing w:before="120" w:line="480" w:lineRule="auto"/>
        <w:jc w:val="both"/>
        <w:rPr>
          <w:rFonts w:ascii="Times New Roman" w:hAnsi="Times New Roman" w:cs="Times New Roman"/>
          <w:i/>
          <w:iCs/>
          <w:color w:val="000000" w:themeColor="text1"/>
          <w:lang w:val="en-US"/>
        </w:rPr>
      </w:pPr>
      <w:r w:rsidRPr="00B5549F">
        <w:rPr>
          <w:rFonts w:ascii="Times New Roman" w:hAnsi="Times New Roman" w:cs="Times New Roman"/>
          <w:i/>
          <w:iCs/>
          <w:color w:val="000000" w:themeColor="text1"/>
          <w:lang w:val="en-US"/>
        </w:rPr>
        <w:t>Robustness checks</w:t>
      </w:r>
    </w:p>
    <w:p w14:paraId="04C49C0F" w14:textId="7A1D1D4B" w:rsidR="004669DD" w:rsidRPr="00B5549F" w:rsidRDefault="004669DD"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 xml:space="preserve">We have conducted a large battery of robustness checks to corroborate our results. At a glance, we find that the results in Tables 4 and 5 are robust and are not affected by the operationalization of different variables or methodologies, including: i) a different threshold defining small- and large-scale entrepreneurs, ii) a different specification of the variable </w:t>
      </w:r>
      <w:proofErr w:type="spellStart"/>
      <w:r w:rsidRPr="00B5549F">
        <w:rPr>
          <w:rFonts w:ascii="Times New Roman" w:hAnsi="Times New Roman" w:cs="Times New Roman"/>
          <w:i/>
          <w:iCs/>
          <w:color w:val="000000" w:themeColor="text1"/>
          <w:lang w:val="en-US"/>
        </w:rPr>
        <w:t>MarketClimate</w:t>
      </w:r>
      <w:proofErr w:type="spellEnd"/>
      <w:r w:rsidRPr="00B5549F">
        <w:rPr>
          <w:rFonts w:ascii="Times New Roman" w:hAnsi="Times New Roman" w:cs="Times New Roman"/>
          <w:color w:val="000000" w:themeColor="text1"/>
          <w:lang w:val="en-US"/>
        </w:rPr>
        <w:t xml:space="preserve">, iii) a different specification of concentration, iv) an explicit treatment of the spatial structure of our data and of the control variables depicting the spatial morphology of the sub-markets, and v) an alternative estimation </w:t>
      </w:r>
      <w:r w:rsidRPr="00B5549F">
        <w:rPr>
          <w:rFonts w:ascii="Times New Roman" w:hAnsi="Times New Roman" w:cs="Times New Roman"/>
          <w:color w:val="000000" w:themeColor="text1"/>
          <w:lang w:val="en-US"/>
        </w:rPr>
        <w:lastRenderedPageBreak/>
        <w:t>methodology.</w:t>
      </w:r>
      <w:r w:rsidR="00C562F9" w:rsidRPr="00B5549F">
        <w:rPr>
          <w:rFonts w:ascii="Times New Roman" w:hAnsi="Times New Roman" w:cs="Times New Roman"/>
          <w:color w:val="000000" w:themeColor="text1"/>
          <w:lang w:val="en-US"/>
        </w:rPr>
        <w:t xml:space="preserve"> For reasons of space, they are all explained and documented in the Online Appendix (A4-A8).</w:t>
      </w:r>
    </w:p>
    <w:p w14:paraId="7D75D17B" w14:textId="1A4F7003" w:rsidR="006B5934" w:rsidRPr="00B5549F" w:rsidRDefault="000A6D37" w:rsidP="00980437">
      <w:pPr>
        <w:pStyle w:val="Paragrafoelenco"/>
        <w:keepNext/>
        <w:numPr>
          <w:ilvl w:val="0"/>
          <w:numId w:val="7"/>
        </w:numPr>
        <w:spacing w:before="120" w:line="480" w:lineRule="auto"/>
        <w:jc w:val="both"/>
        <w:rPr>
          <w:rFonts w:ascii="Times New Roman" w:hAnsi="Times New Roman" w:cs="Times New Roman"/>
          <w:b/>
          <w:bCs/>
          <w:color w:val="000000" w:themeColor="text1"/>
          <w:lang w:val="en-US"/>
        </w:rPr>
      </w:pPr>
      <w:r w:rsidRPr="00B5549F">
        <w:rPr>
          <w:rFonts w:ascii="Times New Roman" w:hAnsi="Times New Roman" w:cs="Times New Roman"/>
          <w:b/>
          <w:bCs/>
          <w:color w:val="000000" w:themeColor="text1"/>
          <w:lang w:val="en-US"/>
        </w:rPr>
        <w:t>CONCLUSION</w:t>
      </w:r>
    </w:p>
    <w:p w14:paraId="7A84C88F" w14:textId="1CB8954A" w:rsidR="006B5934" w:rsidRPr="00B5549F" w:rsidRDefault="006B5934"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This study examines the extent to which specific local market conditions influence the possibility of a digital external enabler of entrepreneurship to generate entrepreneurial acts in that specific market context. In pursuing this objective, we differentiate entrepreneurs according to their scale of entry, and in parallel, we analyze the local market determinants of their transition from a small- to a large-scale of operations. A series of hypotheses are tested on the sharing economy platform Airbnb and on hosts there recorded in Italy between 2017 and 2019.</w:t>
      </w:r>
      <w:r w:rsidR="00C562F9" w:rsidRPr="00B5549F">
        <w:rPr>
          <w:rFonts w:ascii="Times New Roman" w:hAnsi="Times New Roman" w:cs="Times New Roman"/>
          <w:color w:val="000000" w:themeColor="text1"/>
          <w:lang w:val="en-US"/>
        </w:rPr>
        <w:t xml:space="preserve"> </w:t>
      </w:r>
      <w:r w:rsidRPr="00B5549F">
        <w:rPr>
          <w:rFonts w:ascii="Times New Roman" w:hAnsi="Times New Roman" w:cs="Times New Roman"/>
          <w:color w:val="000000" w:themeColor="text1"/>
          <w:lang w:val="en-US"/>
        </w:rPr>
        <w:t xml:space="preserve">Airbnb platform offers a wide range of entrepreneurial opportunities to different types of agents (Dogru et al., 2020a): </w:t>
      </w:r>
      <w:r w:rsidRPr="00B5549F">
        <w:rPr>
          <w:rFonts w:ascii="Times New Roman" w:hAnsi="Times New Roman" w:cs="Times New Roman"/>
          <w:i/>
          <w:iCs/>
          <w:color w:val="000000" w:themeColor="text1"/>
          <w:lang w:val="en-US"/>
        </w:rPr>
        <w:t>small</w:t>
      </w:r>
      <w:r w:rsidR="00761CB1" w:rsidRPr="00B5549F">
        <w:rPr>
          <w:rFonts w:ascii="Times New Roman" w:hAnsi="Times New Roman" w:cs="Times New Roman"/>
          <w:i/>
          <w:iCs/>
          <w:color w:val="000000" w:themeColor="text1"/>
          <w:lang w:val="en-US"/>
        </w:rPr>
        <w:t>-scale</w:t>
      </w:r>
      <w:r w:rsidRPr="00B5549F">
        <w:rPr>
          <w:rFonts w:ascii="Times New Roman" w:hAnsi="Times New Roman" w:cs="Times New Roman"/>
          <w:i/>
          <w:iCs/>
          <w:color w:val="000000" w:themeColor="text1"/>
          <w:lang w:val="en-US"/>
        </w:rPr>
        <w:t xml:space="preserve"> entrepreneurs</w:t>
      </w:r>
      <w:r w:rsidRPr="00B5549F">
        <w:rPr>
          <w:rFonts w:ascii="Times New Roman" w:hAnsi="Times New Roman" w:cs="Times New Roman"/>
          <w:color w:val="000000" w:themeColor="text1"/>
          <w:lang w:val="en-US"/>
        </w:rPr>
        <w:t xml:space="preserve">, i.e., hosts renting out their own apartment (or a room in their apartment), and relatively </w:t>
      </w:r>
      <w:r w:rsidRPr="00B5549F">
        <w:rPr>
          <w:rFonts w:ascii="Times New Roman" w:hAnsi="Times New Roman" w:cs="Times New Roman"/>
          <w:i/>
          <w:iCs/>
          <w:color w:val="000000" w:themeColor="text1"/>
          <w:lang w:val="en-US"/>
        </w:rPr>
        <w:t>large</w:t>
      </w:r>
      <w:r w:rsidR="00761CB1" w:rsidRPr="00B5549F">
        <w:rPr>
          <w:rFonts w:ascii="Times New Roman" w:hAnsi="Times New Roman" w:cs="Times New Roman"/>
          <w:i/>
          <w:iCs/>
          <w:color w:val="000000" w:themeColor="text1"/>
          <w:lang w:val="en-US"/>
        </w:rPr>
        <w:t>-scale</w:t>
      </w:r>
      <w:r w:rsidRPr="00B5549F">
        <w:rPr>
          <w:rFonts w:ascii="Times New Roman" w:hAnsi="Times New Roman" w:cs="Times New Roman"/>
          <w:i/>
          <w:iCs/>
          <w:color w:val="000000" w:themeColor="text1"/>
          <w:lang w:val="en-US"/>
        </w:rPr>
        <w:t xml:space="preserve"> entrepreneurs</w:t>
      </w:r>
      <w:r w:rsidRPr="00B5549F">
        <w:rPr>
          <w:rFonts w:ascii="Times New Roman" w:hAnsi="Times New Roman" w:cs="Times New Roman"/>
          <w:color w:val="000000" w:themeColor="text1"/>
          <w:lang w:val="en-US"/>
        </w:rPr>
        <w:t>, i.e., hosts managing multiple properties at the same time</w:t>
      </w:r>
      <w:r w:rsidR="00112029" w:rsidRPr="00B5549F">
        <w:rPr>
          <w:rFonts w:ascii="Times New Roman" w:hAnsi="Times New Roman" w:cs="Times New Roman"/>
          <w:color w:val="000000" w:themeColor="text1"/>
          <w:lang w:val="en-US"/>
        </w:rPr>
        <w:t xml:space="preserve"> (</w:t>
      </w:r>
      <w:r w:rsidR="005876C5" w:rsidRPr="00B5549F">
        <w:rPr>
          <w:rFonts w:ascii="Times New Roman" w:hAnsi="Times New Roman" w:cs="Times New Roman"/>
          <w:color w:val="000000" w:themeColor="text1"/>
          <w:lang w:val="en-US"/>
        </w:rPr>
        <w:t xml:space="preserve">typically </w:t>
      </w:r>
      <w:r w:rsidR="00112029" w:rsidRPr="00B5549F">
        <w:rPr>
          <w:rFonts w:ascii="Times New Roman" w:hAnsi="Times New Roman" w:cs="Times New Roman"/>
          <w:color w:val="000000" w:themeColor="text1"/>
          <w:lang w:val="en-US"/>
        </w:rPr>
        <w:t>wit</w:t>
      </w:r>
      <w:r w:rsidR="00091FBF" w:rsidRPr="00B5549F">
        <w:rPr>
          <w:rFonts w:ascii="Times New Roman" w:hAnsi="Times New Roman" w:cs="Times New Roman"/>
          <w:color w:val="000000" w:themeColor="text1"/>
          <w:lang w:val="en-US"/>
        </w:rPr>
        <w:t>h</w:t>
      </w:r>
      <w:r w:rsidR="00112029" w:rsidRPr="00B5549F">
        <w:rPr>
          <w:rFonts w:ascii="Times New Roman" w:hAnsi="Times New Roman" w:cs="Times New Roman"/>
          <w:color w:val="000000" w:themeColor="text1"/>
          <w:lang w:val="en-US"/>
        </w:rPr>
        <w:t xml:space="preserve"> a pure short-term rental purpose, Bearson et al., 2020)</w:t>
      </w:r>
      <w:r w:rsidRPr="00B5549F">
        <w:rPr>
          <w:rFonts w:ascii="Times New Roman" w:hAnsi="Times New Roman" w:cs="Times New Roman"/>
          <w:color w:val="000000" w:themeColor="text1"/>
          <w:lang w:val="en-US"/>
        </w:rPr>
        <w:t xml:space="preserve">. The results of our analysis show that if the two typologies are equally stimulated by the size of (perceived) demand and by labor market conditions, </w:t>
      </w:r>
      <w:r w:rsidR="00761CB1" w:rsidRPr="00B5549F">
        <w:rPr>
          <w:rFonts w:ascii="Times New Roman" w:hAnsi="Times New Roman" w:cs="Times New Roman"/>
          <w:color w:val="000000" w:themeColor="text1"/>
          <w:lang w:val="en-US"/>
        </w:rPr>
        <w:t>entry of large-scale entrepreneurs</w:t>
      </w:r>
      <w:r w:rsidRPr="00B5549F">
        <w:rPr>
          <w:rFonts w:ascii="Times New Roman" w:hAnsi="Times New Roman" w:cs="Times New Roman"/>
          <w:color w:val="000000" w:themeColor="text1"/>
          <w:lang w:val="en-US"/>
        </w:rPr>
        <w:t xml:space="preserve"> is much more sensitive to supply-side characteristics and to the quality of demand (i.e., high-</w:t>
      </w:r>
      <w:r w:rsidR="00761CB1" w:rsidRPr="00B5549F">
        <w:rPr>
          <w:rFonts w:ascii="Times New Roman" w:hAnsi="Times New Roman" w:cs="Times New Roman"/>
          <w:color w:val="000000" w:themeColor="text1"/>
          <w:lang w:val="en-US"/>
        </w:rPr>
        <w:t>end</w:t>
      </w:r>
      <w:r w:rsidRPr="00B5549F">
        <w:rPr>
          <w:rFonts w:ascii="Times New Roman" w:hAnsi="Times New Roman" w:cs="Times New Roman"/>
          <w:color w:val="000000" w:themeColor="text1"/>
          <w:lang w:val="en-US"/>
        </w:rPr>
        <w:t xml:space="preserve"> specialized markets), while lower opportunity costs in the local market seem to spur on small rather than large entrepreneurial acts. Pairing this finding with the insensitivity of small</w:t>
      </w:r>
      <w:r w:rsidR="00761CB1" w:rsidRPr="00B5549F">
        <w:rPr>
          <w:rFonts w:ascii="Times New Roman" w:hAnsi="Times New Roman" w:cs="Times New Roman"/>
          <w:color w:val="000000" w:themeColor="text1"/>
          <w:lang w:val="en-US"/>
        </w:rPr>
        <w:t>-scale</w:t>
      </w:r>
      <w:r w:rsidRPr="00B5549F">
        <w:rPr>
          <w:rFonts w:ascii="Times New Roman" w:hAnsi="Times New Roman" w:cs="Times New Roman"/>
          <w:color w:val="000000" w:themeColor="text1"/>
          <w:lang w:val="en-US"/>
        </w:rPr>
        <w:t xml:space="preserve"> entrepreneurs’ decisions with respect to level of local supply leads to a possible </w:t>
      </w:r>
      <w:r w:rsidRPr="00B5549F">
        <w:rPr>
          <w:rFonts w:ascii="Times New Roman" w:hAnsi="Times New Roman" w:cs="Times New Roman"/>
          <w:i/>
          <w:iCs/>
          <w:color w:val="000000" w:themeColor="text1"/>
          <w:lang w:val="en-US"/>
        </w:rPr>
        <w:t>oversupply</w:t>
      </w:r>
      <w:r w:rsidRPr="00B5549F">
        <w:rPr>
          <w:rFonts w:ascii="Times New Roman" w:hAnsi="Times New Roman" w:cs="Times New Roman"/>
          <w:color w:val="000000" w:themeColor="text1"/>
          <w:lang w:val="en-US"/>
        </w:rPr>
        <w:t xml:space="preserve">, such that small-scale entries are not discouraged even if local competition is already strong. By contrast, </w:t>
      </w:r>
      <w:r w:rsidR="00761CB1" w:rsidRPr="00B5549F">
        <w:rPr>
          <w:rFonts w:ascii="Times New Roman" w:hAnsi="Times New Roman" w:cs="Times New Roman"/>
          <w:color w:val="000000" w:themeColor="text1"/>
          <w:lang w:val="en-US"/>
        </w:rPr>
        <w:t>the entry process of large-scale entrepreneurs is significantly</w:t>
      </w:r>
      <w:r w:rsidRPr="00B5549F">
        <w:rPr>
          <w:rFonts w:ascii="Times New Roman" w:hAnsi="Times New Roman" w:cs="Times New Roman"/>
          <w:color w:val="000000" w:themeColor="text1"/>
          <w:lang w:val="en-US"/>
        </w:rPr>
        <w:t xml:space="preserve"> responsive to market concentration at local level, such that the relationship between entry and concentration follows a bell-shaped curve (see Figure 2), as a sound economic reasoning implies. In fact, agglomeration effects, locally-bounded information mechanisms and competition effects are all at work. On one </w:t>
      </w:r>
      <w:r w:rsidR="00150261" w:rsidRPr="00B5549F">
        <w:rPr>
          <w:rFonts w:ascii="Times New Roman" w:hAnsi="Times New Roman" w:cs="Times New Roman"/>
          <w:color w:val="000000" w:themeColor="text1"/>
          <w:lang w:val="en-US"/>
        </w:rPr>
        <w:t>hand</w:t>
      </w:r>
      <w:r w:rsidRPr="00B5549F">
        <w:rPr>
          <w:rFonts w:ascii="Times New Roman" w:hAnsi="Times New Roman" w:cs="Times New Roman"/>
          <w:color w:val="000000" w:themeColor="text1"/>
          <w:lang w:val="en-US"/>
        </w:rPr>
        <w:t xml:space="preserve">, at lower levels of concentration the information and cluster effects make entrepreneurs aware of the business opportunities and allow them to benefit from proximity which </w:t>
      </w:r>
      <w:r w:rsidRPr="00B5549F">
        <w:rPr>
          <w:rFonts w:ascii="Times New Roman" w:hAnsi="Times New Roman" w:cs="Times New Roman"/>
          <w:color w:val="000000" w:themeColor="text1"/>
          <w:lang w:val="en-US"/>
        </w:rPr>
        <w:lastRenderedPageBreak/>
        <w:t xml:space="preserve">consequently leads to </w:t>
      </w:r>
      <w:r w:rsidR="00150261" w:rsidRPr="00B5549F">
        <w:rPr>
          <w:rFonts w:ascii="Times New Roman" w:hAnsi="Times New Roman" w:cs="Times New Roman"/>
          <w:color w:val="000000" w:themeColor="text1"/>
          <w:lang w:val="en-US"/>
        </w:rPr>
        <w:t xml:space="preserve">an </w:t>
      </w:r>
      <w:r w:rsidRPr="00B5549F">
        <w:rPr>
          <w:rFonts w:ascii="Times New Roman" w:hAnsi="Times New Roman" w:cs="Times New Roman"/>
          <w:color w:val="000000" w:themeColor="text1"/>
          <w:lang w:val="en-US"/>
        </w:rPr>
        <w:t xml:space="preserve">increased </w:t>
      </w:r>
      <w:r w:rsidR="00150261" w:rsidRPr="00B5549F">
        <w:rPr>
          <w:rFonts w:ascii="Times New Roman" w:hAnsi="Times New Roman" w:cs="Times New Roman"/>
          <w:color w:val="000000" w:themeColor="text1"/>
          <w:lang w:val="en-US"/>
        </w:rPr>
        <w:t>local</w:t>
      </w:r>
      <w:r w:rsidRPr="00B5549F">
        <w:rPr>
          <w:rFonts w:ascii="Times New Roman" w:hAnsi="Times New Roman" w:cs="Times New Roman"/>
          <w:color w:val="000000" w:themeColor="text1"/>
          <w:lang w:val="en-US"/>
        </w:rPr>
        <w:t xml:space="preserve"> </w:t>
      </w:r>
      <w:r w:rsidR="00150261" w:rsidRPr="00B5549F">
        <w:rPr>
          <w:rFonts w:ascii="Times New Roman" w:hAnsi="Times New Roman" w:cs="Times New Roman"/>
          <w:color w:val="000000" w:themeColor="text1"/>
          <w:lang w:val="en-US"/>
        </w:rPr>
        <w:t xml:space="preserve">offering </w:t>
      </w:r>
      <w:r w:rsidRPr="00B5549F">
        <w:rPr>
          <w:rFonts w:ascii="Times New Roman" w:hAnsi="Times New Roman" w:cs="Times New Roman"/>
          <w:color w:val="000000" w:themeColor="text1"/>
          <w:lang w:val="en-US"/>
        </w:rPr>
        <w:t xml:space="preserve">for potential customers. The combination of these two effects is predominant in the first part of the bell-shaped curve. On the other </w:t>
      </w:r>
      <w:r w:rsidR="00D078B5" w:rsidRPr="00B5549F">
        <w:rPr>
          <w:rFonts w:ascii="Times New Roman" w:hAnsi="Times New Roman" w:cs="Times New Roman"/>
          <w:color w:val="000000" w:themeColor="text1"/>
          <w:lang w:val="en-US"/>
        </w:rPr>
        <w:t>hand</w:t>
      </w:r>
      <w:r w:rsidRPr="00B5549F">
        <w:rPr>
          <w:rFonts w:ascii="Times New Roman" w:hAnsi="Times New Roman" w:cs="Times New Roman"/>
          <w:color w:val="000000" w:themeColor="text1"/>
          <w:lang w:val="en-US"/>
        </w:rPr>
        <w:t>, when the supply level is sufficiently high, the competition effects prevail over information effects (which gradually lose their informative potential), discouraging entry. All this economically-reasoned entry process is only perceived by large</w:t>
      </w:r>
      <w:r w:rsidR="00761CB1" w:rsidRPr="00B5549F">
        <w:rPr>
          <w:rFonts w:ascii="Times New Roman" w:hAnsi="Times New Roman" w:cs="Times New Roman"/>
          <w:color w:val="000000" w:themeColor="text1"/>
          <w:lang w:val="en-US"/>
        </w:rPr>
        <w:t>-scale</w:t>
      </w:r>
      <w:r w:rsidRPr="00B5549F">
        <w:rPr>
          <w:rFonts w:ascii="Times New Roman" w:hAnsi="Times New Roman" w:cs="Times New Roman"/>
          <w:color w:val="000000" w:themeColor="text1"/>
          <w:lang w:val="en-US"/>
        </w:rPr>
        <w:t xml:space="preserve"> entrepreneurs, while the entry of small</w:t>
      </w:r>
      <w:r w:rsidR="00761CB1" w:rsidRPr="00B5549F">
        <w:rPr>
          <w:rFonts w:ascii="Times New Roman" w:hAnsi="Times New Roman" w:cs="Times New Roman"/>
          <w:color w:val="000000" w:themeColor="text1"/>
          <w:lang w:val="en-US"/>
        </w:rPr>
        <w:t>-scale</w:t>
      </w:r>
      <w:r w:rsidRPr="00B5549F">
        <w:rPr>
          <w:rFonts w:ascii="Times New Roman" w:hAnsi="Times New Roman" w:cs="Times New Roman"/>
          <w:color w:val="000000" w:themeColor="text1"/>
          <w:lang w:val="en-US"/>
        </w:rPr>
        <w:t xml:space="preserve"> entrepreneurs through the platform-based external enabler is found to be almost only demand-pull. Finally, we also highlight the relevant tendency to pursue large-scale entrepreneurial activities through a platform-based external enabler with a gradual approach</w:t>
      </w:r>
      <w:r w:rsidR="00761CB1" w:rsidRPr="00B5549F">
        <w:rPr>
          <w:rFonts w:ascii="Times New Roman" w:hAnsi="Times New Roman" w:cs="Times New Roman"/>
          <w:color w:val="000000" w:themeColor="text1"/>
          <w:lang w:val="en-US"/>
        </w:rPr>
        <w:t>.</w:t>
      </w:r>
      <w:r w:rsidRPr="00B5549F">
        <w:rPr>
          <w:rFonts w:ascii="Times New Roman" w:hAnsi="Times New Roman" w:cs="Times New Roman"/>
          <w:color w:val="000000" w:themeColor="text1"/>
          <w:lang w:val="en-US"/>
        </w:rPr>
        <w:t xml:space="preserve"> </w:t>
      </w:r>
      <w:r w:rsidR="00761CB1" w:rsidRPr="00B5549F">
        <w:rPr>
          <w:rFonts w:ascii="Times New Roman" w:hAnsi="Times New Roman" w:cs="Times New Roman"/>
          <w:color w:val="000000" w:themeColor="text1"/>
          <w:lang w:val="en-US"/>
        </w:rPr>
        <w:t>I</w:t>
      </w:r>
      <w:r w:rsidRPr="00B5549F">
        <w:rPr>
          <w:rFonts w:ascii="Times New Roman" w:hAnsi="Times New Roman" w:cs="Times New Roman"/>
          <w:color w:val="000000" w:themeColor="text1"/>
          <w:lang w:val="en-US"/>
        </w:rPr>
        <w:t>n fact, the majority of large</w:t>
      </w:r>
      <w:r w:rsidR="00761CB1" w:rsidRPr="00B5549F">
        <w:rPr>
          <w:rFonts w:ascii="Times New Roman" w:hAnsi="Times New Roman" w:cs="Times New Roman"/>
          <w:color w:val="000000" w:themeColor="text1"/>
          <w:lang w:val="en-US"/>
        </w:rPr>
        <w:t>-scale</w:t>
      </w:r>
      <w:r w:rsidRPr="00B5549F">
        <w:rPr>
          <w:rFonts w:ascii="Times New Roman" w:hAnsi="Times New Roman" w:cs="Times New Roman"/>
          <w:color w:val="000000" w:themeColor="text1"/>
          <w:lang w:val="en-US"/>
        </w:rPr>
        <w:t xml:space="preserve"> entries are indeed staged entries</w:t>
      </w:r>
      <w:r w:rsidR="00761CB1" w:rsidRPr="00B5549F">
        <w:rPr>
          <w:rFonts w:ascii="Times New Roman" w:hAnsi="Times New Roman" w:cs="Times New Roman"/>
          <w:color w:val="000000" w:themeColor="text1"/>
          <w:lang w:val="en-US"/>
        </w:rPr>
        <w:t>:</w:t>
      </w:r>
      <w:r w:rsidRPr="00B5549F">
        <w:rPr>
          <w:rFonts w:ascii="Times New Roman" w:hAnsi="Times New Roman" w:cs="Times New Roman"/>
          <w:color w:val="000000" w:themeColor="text1"/>
          <w:lang w:val="en-US"/>
        </w:rPr>
        <w:t xml:space="preserve"> </w:t>
      </w:r>
      <w:r w:rsidR="00761CB1" w:rsidRPr="00B5549F">
        <w:rPr>
          <w:rFonts w:ascii="Times New Roman" w:hAnsi="Times New Roman" w:cs="Times New Roman"/>
          <w:color w:val="000000" w:themeColor="text1"/>
          <w:lang w:val="en-US"/>
        </w:rPr>
        <w:t>the corresponding entrepreneur started from a small-scale and then upgraded to a large-scale status by increasing its commitment onto the platform (i.e., the number of listings managed)</w:t>
      </w:r>
      <w:r w:rsidRPr="00B5549F">
        <w:rPr>
          <w:rFonts w:ascii="Times New Roman" w:hAnsi="Times New Roman" w:cs="Times New Roman"/>
          <w:color w:val="000000" w:themeColor="text1"/>
          <w:lang w:val="en-US"/>
        </w:rPr>
        <w:t>. Interestingly, the dynamics of these staged entries is governed by the same economic forces which determine immediate large entries.</w:t>
      </w:r>
    </w:p>
    <w:p w14:paraId="530F0A76" w14:textId="4EA4E145" w:rsidR="006B5934" w:rsidRPr="00B5549F" w:rsidRDefault="00F158C2"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W</w:t>
      </w:r>
      <w:r w:rsidR="006B5934" w:rsidRPr="00B5549F">
        <w:rPr>
          <w:rFonts w:ascii="Times New Roman" w:hAnsi="Times New Roman" w:cs="Times New Roman"/>
          <w:color w:val="000000" w:themeColor="text1"/>
          <w:lang w:val="en-US"/>
        </w:rPr>
        <w:t xml:space="preserve">e believe that our </w:t>
      </w:r>
      <w:r w:rsidR="002D3431" w:rsidRPr="00B5549F">
        <w:rPr>
          <w:rFonts w:ascii="Times New Roman" w:hAnsi="Times New Roman" w:cs="Times New Roman"/>
          <w:color w:val="000000" w:themeColor="text1"/>
          <w:lang w:val="en-US"/>
        </w:rPr>
        <w:t xml:space="preserve">findings </w:t>
      </w:r>
      <w:r w:rsidR="006B5934" w:rsidRPr="00B5549F">
        <w:rPr>
          <w:rFonts w:ascii="Times New Roman" w:hAnsi="Times New Roman" w:cs="Times New Roman"/>
          <w:color w:val="000000" w:themeColor="text1"/>
          <w:lang w:val="en-US"/>
        </w:rPr>
        <w:t xml:space="preserve">can contribute to </w:t>
      </w:r>
      <w:r w:rsidR="002D3431" w:rsidRPr="00B5549F">
        <w:rPr>
          <w:rFonts w:ascii="Times New Roman" w:hAnsi="Times New Roman" w:cs="Times New Roman"/>
          <w:color w:val="000000" w:themeColor="text1"/>
          <w:lang w:val="en-US"/>
        </w:rPr>
        <w:t>several</w:t>
      </w:r>
      <w:r w:rsidR="006B5934" w:rsidRPr="00B5549F">
        <w:rPr>
          <w:rFonts w:ascii="Times New Roman" w:hAnsi="Times New Roman" w:cs="Times New Roman"/>
          <w:color w:val="000000" w:themeColor="text1"/>
          <w:lang w:val="en-US"/>
        </w:rPr>
        <w:t xml:space="preserve"> streams of</w:t>
      </w:r>
      <w:r w:rsidR="005132F8" w:rsidRPr="00B5549F">
        <w:rPr>
          <w:rFonts w:ascii="Times New Roman" w:hAnsi="Times New Roman" w:cs="Times New Roman"/>
          <w:color w:val="000000" w:themeColor="text1"/>
          <w:lang w:val="en-US"/>
        </w:rPr>
        <w:t xml:space="preserve"> literature </w:t>
      </w:r>
      <w:r w:rsidR="002D3431" w:rsidRPr="00B5549F">
        <w:rPr>
          <w:rFonts w:ascii="Times New Roman" w:hAnsi="Times New Roman" w:cs="Times New Roman"/>
          <w:color w:val="000000" w:themeColor="text1"/>
          <w:lang w:val="en-US"/>
        </w:rPr>
        <w:t>at the intersection of IO, platforms and entrepreneurship studies</w:t>
      </w:r>
      <w:r w:rsidR="006B5934" w:rsidRPr="00B5549F">
        <w:rPr>
          <w:rFonts w:ascii="Times New Roman" w:hAnsi="Times New Roman" w:cs="Times New Roman"/>
          <w:color w:val="000000" w:themeColor="text1"/>
          <w:lang w:val="en-US"/>
        </w:rPr>
        <w:t>.</w:t>
      </w:r>
    </w:p>
    <w:p w14:paraId="08A3E211" w14:textId="704403A2" w:rsidR="006B5934" w:rsidRPr="00B5549F" w:rsidRDefault="006B5934"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First, we highlight the importance to contextualize the ‘external enablement’ potential of a sharing economy platform in the plenty of different local market contexts where the platform is deployed. Entrepreneurial opportunities brought in by sharing economy platforms are clearly not evenly distributed across territories, and they are here found to be significantly shaped by local market conditions</w:t>
      </w:r>
      <w:r w:rsidR="006C0992" w:rsidRPr="00B5549F">
        <w:rPr>
          <w:rFonts w:ascii="Times New Roman" w:hAnsi="Times New Roman" w:cs="Times New Roman"/>
          <w:color w:val="000000" w:themeColor="text1"/>
          <w:lang w:val="en-US"/>
        </w:rPr>
        <w:t xml:space="preserve"> (see a similar, theoretical, point of view, on </w:t>
      </w:r>
      <w:r w:rsidR="006C0992" w:rsidRPr="00B5549F">
        <w:rPr>
          <w:rFonts w:ascii="Times New Roman" w:hAnsi="Times New Roman" w:cs="Times New Roman"/>
          <w:i/>
          <w:iCs/>
          <w:color w:val="000000" w:themeColor="text1"/>
          <w:lang w:val="en-US"/>
        </w:rPr>
        <w:t xml:space="preserve">environment-heterogeneity </w:t>
      </w:r>
      <w:r w:rsidR="006C0992" w:rsidRPr="00B5549F">
        <w:rPr>
          <w:rFonts w:ascii="Times New Roman" w:hAnsi="Times New Roman" w:cs="Times New Roman"/>
          <w:color w:val="000000" w:themeColor="text1"/>
          <w:lang w:val="en-US"/>
        </w:rPr>
        <w:t>by Felin et al., 2016)</w:t>
      </w:r>
      <w:r w:rsidRPr="00B5549F">
        <w:rPr>
          <w:rFonts w:ascii="Times New Roman" w:hAnsi="Times New Roman" w:cs="Times New Roman"/>
          <w:color w:val="000000" w:themeColor="text1"/>
          <w:lang w:val="en-US"/>
        </w:rPr>
        <w:t xml:space="preserve">. In this way we increase our understanding of the interrelationships accruing between the enabler and its (market) context, by enriching the ‘external enablement’ literature (Davidsson et al., 2020; </w:t>
      </w:r>
      <w:proofErr w:type="spellStart"/>
      <w:r w:rsidRPr="00B5549F">
        <w:rPr>
          <w:rFonts w:ascii="Times New Roman" w:hAnsi="Times New Roman" w:cs="Times New Roman"/>
          <w:color w:val="000000" w:themeColor="text1"/>
          <w:lang w:val="en-US"/>
        </w:rPr>
        <w:t>Kimjeon</w:t>
      </w:r>
      <w:proofErr w:type="spellEnd"/>
      <w:r w:rsidRPr="00B5549F">
        <w:rPr>
          <w:rFonts w:ascii="Times New Roman" w:hAnsi="Times New Roman" w:cs="Times New Roman"/>
          <w:color w:val="000000" w:themeColor="text1"/>
          <w:lang w:val="en-US"/>
        </w:rPr>
        <w:t xml:space="preserve"> &amp; Davidsson, 2022) of an important insight, and by furtherly emphasizing the importance of contextualizing (Welter, 2011; Baker &amp; Welter, 2018) this nascent stream of the literature.</w:t>
      </w:r>
    </w:p>
    <w:p w14:paraId="12246172" w14:textId="7C4C5030" w:rsidR="006B5934" w:rsidRPr="00B5549F" w:rsidRDefault="006B5934"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lastRenderedPageBreak/>
        <w:t xml:space="preserve">Second, we add to the hybrid entrepreneurship literature by showing how the scale in the seizing of entrepreneurial opportunities through digital peer-to-peer platforms is highly sensitive to market factors. In line with Nambisan et al. (2018), we show that, according to the different levels of commitment and investment, there are various ways to pursue entrepreneurial opportunities in a platform-based economy, where different entry approaches are not mutually exclusive. In line with competitive selection models (Jovanovic, 1982), small-scale entrepreneurial acts can represent a stepping-stone towards relatively larger and probably more intensive forms of businesses (Folta et al., 2010; </w:t>
      </w:r>
      <w:proofErr w:type="spellStart"/>
      <w:r w:rsidRPr="00B5549F">
        <w:rPr>
          <w:rFonts w:ascii="Times New Roman" w:hAnsi="Times New Roman" w:cs="Times New Roman"/>
          <w:color w:val="000000" w:themeColor="text1"/>
          <w:lang w:val="en-US"/>
        </w:rPr>
        <w:t>Raffiee</w:t>
      </w:r>
      <w:proofErr w:type="spellEnd"/>
      <w:r w:rsidRPr="00B5549F">
        <w:rPr>
          <w:rFonts w:ascii="Times New Roman" w:hAnsi="Times New Roman" w:cs="Times New Roman"/>
          <w:color w:val="000000" w:themeColor="text1"/>
          <w:lang w:val="en-US"/>
        </w:rPr>
        <w:t xml:space="preserve"> &amp; Feng, 2014), and our descriptive evidence confirms that most of the large entries through the platform have been originated by previous small-scale experiences. At the same time, we highlight how the scale of entry is indeed influenced by different drivers, but when transitions from small</w:t>
      </w:r>
      <w:r w:rsidR="00761CB1" w:rsidRPr="00B5549F">
        <w:rPr>
          <w:rFonts w:ascii="Times New Roman" w:hAnsi="Times New Roman" w:cs="Times New Roman"/>
          <w:color w:val="000000" w:themeColor="text1"/>
          <w:lang w:val="en-US"/>
        </w:rPr>
        <w:t>-</w:t>
      </w:r>
      <w:r w:rsidRPr="00B5549F">
        <w:rPr>
          <w:rFonts w:ascii="Times New Roman" w:hAnsi="Times New Roman" w:cs="Times New Roman"/>
          <w:color w:val="000000" w:themeColor="text1"/>
          <w:lang w:val="en-US"/>
        </w:rPr>
        <w:t xml:space="preserve"> to large</w:t>
      </w:r>
      <w:r w:rsidR="00761CB1" w:rsidRPr="00B5549F">
        <w:rPr>
          <w:rFonts w:ascii="Times New Roman" w:hAnsi="Times New Roman" w:cs="Times New Roman"/>
          <w:color w:val="000000" w:themeColor="text1"/>
          <w:lang w:val="en-US"/>
        </w:rPr>
        <w:t>-scale</w:t>
      </w:r>
      <w:r w:rsidRPr="00B5549F">
        <w:rPr>
          <w:rFonts w:ascii="Times New Roman" w:hAnsi="Times New Roman" w:cs="Times New Roman"/>
          <w:color w:val="000000" w:themeColor="text1"/>
          <w:lang w:val="en-US"/>
        </w:rPr>
        <w:t xml:space="preserve"> occur, these latter are governed by the same local market factors which impact large</w:t>
      </w:r>
      <w:r w:rsidR="00761CB1" w:rsidRPr="00B5549F">
        <w:rPr>
          <w:rFonts w:ascii="Times New Roman" w:hAnsi="Times New Roman" w:cs="Times New Roman"/>
          <w:color w:val="000000" w:themeColor="text1"/>
          <w:lang w:val="en-US"/>
        </w:rPr>
        <w:t>-scale</w:t>
      </w:r>
      <w:r w:rsidRPr="00B5549F">
        <w:rPr>
          <w:rFonts w:ascii="Times New Roman" w:hAnsi="Times New Roman" w:cs="Times New Roman"/>
          <w:color w:val="000000" w:themeColor="text1"/>
          <w:lang w:val="en-US"/>
        </w:rPr>
        <w:t xml:space="preserve"> entry in the first place. Thus, we unveil a potential role for a platform-based external enabler as a relatively inexpensive ‘learning sandbox’ for prospective entrepreneurs. By giving them unlimited time to ‘stay’ in the market at a very low cost, these sharing economy platforms can also offer entrepreneurs the opportunity to learn at their own pace, reducing the probabilities of ‘unreasoned’ large</w:t>
      </w:r>
      <w:r w:rsidR="00761CB1" w:rsidRPr="00B5549F">
        <w:rPr>
          <w:rFonts w:ascii="Times New Roman" w:hAnsi="Times New Roman" w:cs="Times New Roman"/>
          <w:color w:val="000000" w:themeColor="text1"/>
          <w:lang w:val="en-US"/>
        </w:rPr>
        <w:t>-scale</w:t>
      </w:r>
      <w:r w:rsidRPr="00B5549F">
        <w:rPr>
          <w:rFonts w:ascii="Times New Roman" w:hAnsi="Times New Roman" w:cs="Times New Roman"/>
          <w:color w:val="000000" w:themeColor="text1"/>
          <w:lang w:val="en-US"/>
        </w:rPr>
        <w:t xml:space="preserve"> entries.</w:t>
      </w:r>
    </w:p>
    <w:p w14:paraId="3A4E34E0" w14:textId="44112C3A" w:rsidR="006B5934" w:rsidRPr="00B5549F" w:rsidRDefault="006B5934" w:rsidP="00980437">
      <w:pPr>
        <w:spacing w:before="120" w:line="480" w:lineRule="auto"/>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t>Finally, we expand the literature on the determinants of growth of a sharing economy platform. As to network effects, the perception of same side and cross-side externalities are clearly crucial in determining the decision to join platform markets. Nevertheless, we notice that these factors can be differently perceived by different kinds of hosts according to their scale of involvement in the platform business. Being equally stimulated by local demand, which could adequately approximate cross-side externalities (Eisenmann et al., 2006), we show that local levels of concentration, representing same-side externalities within the supply, are not perceived in the same manner by all providers. More specifically, our analysis shows that small</w:t>
      </w:r>
      <w:r w:rsidR="00761CB1" w:rsidRPr="00B5549F">
        <w:rPr>
          <w:rFonts w:ascii="Times New Roman" w:hAnsi="Times New Roman" w:cs="Times New Roman"/>
          <w:color w:val="000000" w:themeColor="text1"/>
          <w:lang w:val="en-US"/>
        </w:rPr>
        <w:t>-scale</w:t>
      </w:r>
      <w:r w:rsidRPr="00B5549F">
        <w:rPr>
          <w:rFonts w:ascii="Times New Roman" w:hAnsi="Times New Roman" w:cs="Times New Roman"/>
          <w:color w:val="000000" w:themeColor="text1"/>
          <w:lang w:val="en-US"/>
        </w:rPr>
        <w:t xml:space="preserve"> providers tend to neglect same-side externalities; while for large</w:t>
      </w:r>
      <w:r w:rsidR="00761CB1" w:rsidRPr="00B5549F">
        <w:rPr>
          <w:rFonts w:ascii="Times New Roman" w:hAnsi="Times New Roman" w:cs="Times New Roman"/>
          <w:color w:val="000000" w:themeColor="text1"/>
          <w:lang w:val="en-US"/>
        </w:rPr>
        <w:t>-scale</w:t>
      </w:r>
      <w:r w:rsidRPr="00B5549F">
        <w:rPr>
          <w:rFonts w:ascii="Times New Roman" w:hAnsi="Times New Roman" w:cs="Times New Roman"/>
          <w:color w:val="000000" w:themeColor="text1"/>
          <w:lang w:val="en-US"/>
        </w:rPr>
        <w:t xml:space="preserve"> ones, same-side externalities may be positive for a relatively low number of peers before becoming negative for a </w:t>
      </w:r>
      <w:r w:rsidR="00761CB1" w:rsidRPr="00B5549F">
        <w:rPr>
          <w:rFonts w:ascii="Times New Roman" w:hAnsi="Times New Roman" w:cs="Times New Roman"/>
          <w:color w:val="000000" w:themeColor="text1"/>
          <w:lang w:val="en-US"/>
        </w:rPr>
        <w:t>high</w:t>
      </w:r>
      <w:r w:rsidRPr="00B5549F">
        <w:rPr>
          <w:rFonts w:ascii="Times New Roman" w:hAnsi="Times New Roman" w:cs="Times New Roman"/>
          <w:color w:val="000000" w:themeColor="text1"/>
          <w:lang w:val="en-US"/>
        </w:rPr>
        <w:t xml:space="preserve"> number of competitors. Thus, we show that in </w:t>
      </w:r>
      <w:r w:rsidRPr="00B5549F">
        <w:rPr>
          <w:rFonts w:ascii="Times New Roman" w:hAnsi="Times New Roman" w:cs="Times New Roman"/>
          <w:color w:val="000000" w:themeColor="text1"/>
          <w:lang w:val="en-US"/>
        </w:rPr>
        <w:lastRenderedPageBreak/>
        <w:t>addition to the industry growth rate (as shown in Gerwe et al., 2022), the local level of demand is also an important predictor of entrepreneurial entries, but supply conditions matter more for relatively larger entrepreneurs, while lower opportunity costs perceived at local level favor the entries of small entrepreneurs into the platform.</w:t>
      </w:r>
    </w:p>
    <w:p w14:paraId="67785AC9" w14:textId="0F3FB08E" w:rsidR="006B5934" w:rsidRPr="00B5549F" w:rsidRDefault="006B5934" w:rsidP="00980437">
      <w:pPr>
        <w:spacing w:line="480" w:lineRule="auto"/>
        <w:rPr>
          <w:rFonts w:asciiTheme="majorHAnsi" w:hAnsiTheme="majorHAnsi" w:cstheme="majorHAnsi"/>
          <w:color w:val="000000" w:themeColor="text1"/>
          <w:lang w:val="en-US"/>
        </w:rPr>
      </w:pPr>
      <w:r w:rsidRPr="00B5549F">
        <w:rPr>
          <w:rFonts w:asciiTheme="majorHAnsi" w:hAnsiTheme="majorHAnsi" w:cstheme="majorHAnsi"/>
          <w:color w:val="000000" w:themeColor="text1"/>
          <w:lang w:val="en-US"/>
        </w:rPr>
        <w:br w:type="page"/>
      </w:r>
    </w:p>
    <w:p w14:paraId="196501C5" w14:textId="064FD5AD" w:rsidR="006B5934" w:rsidRPr="00B5549F" w:rsidRDefault="006B5934" w:rsidP="00980437">
      <w:pPr>
        <w:spacing w:before="120" w:line="480" w:lineRule="auto"/>
        <w:jc w:val="both"/>
        <w:rPr>
          <w:rFonts w:ascii="Times New Roman" w:hAnsi="Times New Roman" w:cs="Times New Roman"/>
          <w:b/>
          <w:bCs/>
          <w:color w:val="000000" w:themeColor="text1"/>
          <w:lang w:val="en-US"/>
        </w:rPr>
      </w:pPr>
      <w:r w:rsidRPr="00B5549F">
        <w:rPr>
          <w:rFonts w:ascii="Times New Roman" w:hAnsi="Times New Roman" w:cs="Times New Roman"/>
          <w:b/>
          <w:bCs/>
          <w:color w:val="000000" w:themeColor="text1"/>
          <w:lang w:val="en-US"/>
        </w:rPr>
        <w:lastRenderedPageBreak/>
        <w:t>REFERENCES</w:t>
      </w:r>
    </w:p>
    <w:p w14:paraId="1E296014"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Akbar, Y. H., &amp; Tracogna, A. (2018). The sharing economy and the future of the hotel industry: Transaction cost theory and platform economics. International Journal of Hospitality Management, 71, 91-101. https://doi.org/10.1016/j.ijhm.2017.12.004</w:t>
      </w:r>
    </w:p>
    <w:p w14:paraId="3457B416"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Alvarez, S. A., Barney, J. B. &amp; Anderson, P. (2013). Forming and exploiting opportunities: The implications of discovery and creation processes for entrepreneurial and organizational research. Organization Science, 24(1), 301–317. https://doi.org/10.1287/orsc.1110.0727</w:t>
      </w:r>
    </w:p>
    <w:p w14:paraId="23A47B26"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Amaral, A.M., Baptista, R. &amp; Lima, F. (2011). Serial entrepreneurship: impact of human capital on time to re- entry. Small Business Economics, 37(1), 1–21 (2011). https://doi.org/10.1007/s11187-009-9232-4</w:t>
      </w:r>
    </w:p>
    <w:p w14:paraId="78151B65"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Antonietti, R. &amp; </w:t>
      </w:r>
      <w:proofErr w:type="spellStart"/>
      <w:r w:rsidRPr="00B5549F">
        <w:rPr>
          <w:rFonts w:ascii="Times New Roman" w:hAnsi="Times New Roman" w:cs="Times New Roman"/>
          <w:color w:val="000000" w:themeColor="text1"/>
          <w:sz w:val="20"/>
          <w:szCs w:val="20"/>
          <w:lang w:val="en-US"/>
        </w:rPr>
        <w:t>Gambarotto</w:t>
      </w:r>
      <w:proofErr w:type="spellEnd"/>
      <w:r w:rsidRPr="00B5549F">
        <w:rPr>
          <w:rFonts w:ascii="Times New Roman" w:hAnsi="Times New Roman" w:cs="Times New Roman"/>
          <w:color w:val="000000" w:themeColor="text1"/>
          <w:sz w:val="20"/>
          <w:szCs w:val="20"/>
          <w:lang w:val="en-US"/>
        </w:rPr>
        <w:t>, F. (2020). The role of industry variety in the creation of innovative start-ups in Italy. Small Business Economics, 54(2), 561–573. https://doi.org/10.1007/s11187-018-0034-4</w:t>
      </w:r>
    </w:p>
    <w:p w14:paraId="5CC8F38A"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proofErr w:type="spellStart"/>
      <w:r w:rsidRPr="00B5549F">
        <w:rPr>
          <w:rFonts w:ascii="Times New Roman" w:hAnsi="Times New Roman" w:cs="Times New Roman"/>
          <w:color w:val="000000" w:themeColor="text1"/>
          <w:sz w:val="20"/>
          <w:szCs w:val="20"/>
          <w:lang w:val="en-GB"/>
        </w:rPr>
        <w:t>Ardichvili</w:t>
      </w:r>
      <w:proofErr w:type="spellEnd"/>
      <w:r w:rsidRPr="00B5549F">
        <w:rPr>
          <w:rFonts w:ascii="Times New Roman" w:hAnsi="Times New Roman" w:cs="Times New Roman"/>
          <w:color w:val="000000" w:themeColor="text1"/>
          <w:sz w:val="20"/>
          <w:szCs w:val="20"/>
          <w:lang w:val="en-GB"/>
        </w:rPr>
        <w:t xml:space="preserve">, A., Cardozo, R. &amp; Ray, S. (2003). </w:t>
      </w:r>
      <w:r w:rsidRPr="00B5549F">
        <w:rPr>
          <w:rFonts w:ascii="Times New Roman" w:hAnsi="Times New Roman" w:cs="Times New Roman"/>
          <w:color w:val="000000" w:themeColor="text1"/>
          <w:sz w:val="20"/>
          <w:szCs w:val="20"/>
          <w:lang w:val="en-US"/>
        </w:rPr>
        <w:t>A theory of entrepreneurial opportunity identification and development. Journal of Business Venturing, 18(1), 105–123. https://doi.org/10.1016/S0883- 9026(01)00068-4</w:t>
      </w:r>
    </w:p>
    <w:p w14:paraId="2433ED18"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Arellano, M. &amp; Bond, S. (1991). Some tests of specification for panel data: Monte </w:t>
      </w:r>
      <w:proofErr w:type="spellStart"/>
      <w:r w:rsidRPr="00B5549F">
        <w:rPr>
          <w:rFonts w:ascii="Times New Roman" w:hAnsi="Times New Roman" w:cs="Times New Roman"/>
          <w:color w:val="000000" w:themeColor="text1"/>
          <w:sz w:val="20"/>
          <w:szCs w:val="20"/>
          <w:lang w:val="en-US"/>
        </w:rPr>
        <w:t>carlo</w:t>
      </w:r>
      <w:proofErr w:type="spellEnd"/>
      <w:r w:rsidRPr="00B5549F">
        <w:rPr>
          <w:rFonts w:ascii="Times New Roman" w:hAnsi="Times New Roman" w:cs="Times New Roman"/>
          <w:color w:val="000000" w:themeColor="text1"/>
          <w:sz w:val="20"/>
          <w:szCs w:val="20"/>
          <w:lang w:val="en-US"/>
        </w:rPr>
        <w:t xml:space="preserve"> evidence and an application to employment equations. Review of Economic Studies, 58(2), 277–297. https://doi.org/10.2307/2297968</w:t>
      </w:r>
    </w:p>
    <w:p w14:paraId="771B8423"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82106E">
        <w:rPr>
          <w:rFonts w:ascii="Times New Roman" w:hAnsi="Times New Roman" w:cs="Times New Roman"/>
          <w:color w:val="000000" w:themeColor="text1"/>
          <w:sz w:val="20"/>
          <w:szCs w:val="20"/>
          <w:lang w:val="en-GB"/>
        </w:rPr>
        <w:t xml:space="preserve">Arin, K. P., Huang, V. Z., Minniti, M., </w:t>
      </w:r>
      <w:proofErr w:type="spellStart"/>
      <w:r w:rsidRPr="0082106E">
        <w:rPr>
          <w:rFonts w:ascii="Times New Roman" w:hAnsi="Times New Roman" w:cs="Times New Roman"/>
          <w:color w:val="000000" w:themeColor="text1"/>
          <w:sz w:val="20"/>
          <w:szCs w:val="20"/>
          <w:lang w:val="en-GB"/>
        </w:rPr>
        <w:t>Nandialath</w:t>
      </w:r>
      <w:proofErr w:type="spellEnd"/>
      <w:r w:rsidRPr="0082106E">
        <w:rPr>
          <w:rFonts w:ascii="Times New Roman" w:hAnsi="Times New Roman" w:cs="Times New Roman"/>
          <w:color w:val="000000" w:themeColor="text1"/>
          <w:sz w:val="20"/>
          <w:szCs w:val="20"/>
          <w:lang w:val="en-GB"/>
        </w:rPr>
        <w:t xml:space="preserve">, A. M. &amp; Reich, O. F. (2015). </w:t>
      </w:r>
      <w:r w:rsidRPr="00B5549F">
        <w:rPr>
          <w:rFonts w:ascii="Times New Roman" w:hAnsi="Times New Roman" w:cs="Times New Roman"/>
          <w:color w:val="000000" w:themeColor="text1"/>
          <w:sz w:val="20"/>
          <w:szCs w:val="20"/>
          <w:lang w:val="en-US"/>
        </w:rPr>
        <w:t>Revisiting the determinants of entrepreneurship: A Bayesian approach. Journal of Management, 41(2), 607–631. https://doi.org/10.1177/0149206314558488</w:t>
      </w:r>
    </w:p>
    <w:p w14:paraId="75A92B6C"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proofErr w:type="spellStart"/>
      <w:r w:rsidRPr="00B5549F">
        <w:rPr>
          <w:rFonts w:ascii="Times New Roman" w:hAnsi="Times New Roman" w:cs="Times New Roman"/>
          <w:color w:val="000000" w:themeColor="text1"/>
          <w:sz w:val="20"/>
          <w:szCs w:val="20"/>
          <w:lang w:val="en-US"/>
        </w:rPr>
        <w:t>Ateljevic</w:t>
      </w:r>
      <w:proofErr w:type="spellEnd"/>
      <w:r w:rsidRPr="00B5549F">
        <w:rPr>
          <w:rFonts w:ascii="Times New Roman" w:hAnsi="Times New Roman" w:cs="Times New Roman"/>
          <w:color w:val="000000" w:themeColor="text1"/>
          <w:sz w:val="20"/>
          <w:szCs w:val="20"/>
          <w:lang w:val="en-US"/>
        </w:rPr>
        <w:t>, J. &amp; Page, S. J. (eds.) (2009). Tourism and entrepreneurship, international perspectives , Butterworth-Heinemann, Oxford, UK.</w:t>
      </w:r>
    </w:p>
    <w:p w14:paraId="75F3C00C"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de-AT"/>
        </w:rPr>
        <w:t xml:space="preserve">Audretsch, D. B. &amp; Fritsch, M. (2002). </w:t>
      </w:r>
      <w:r w:rsidRPr="00B5549F">
        <w:rPr>
          <w:rFonts w:ascii="Times New Roman" w:hAnsi="Times New Roman" w:cs="Times New Roman"/>
          <w:color w:val="000000" w:themeColor="text1"/>
          <w:sz w:val="20"/>
          <w:szCs w:val="20"/>
          <w:lang w:val="en-US"/>
        </w:rPr>
        <w:t>Growth regimes over time and space. Regional Studies, 36(2), 113– 124. https://doi.org/10.1080/00343400220121909</w:t>
      </w:r>
    </w:p>
    <w:p w14:paraId="231B8944"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Baker, T. &amp; Welter, F. (2018). Contextual entrepreneurship: an interdisciplinary perspective. Foundations and trends in entrepreneurship, 14 (4), 357-426. http://dx.doi.org/10.1561/0300000078</w:t>
      </w:r>
    </w:p>
    <w:p w14:paraId="726DC7BF"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Barnett, M. L. (2008). An attention-based view of real options reasoning. Academy of Management Review, 33: 606-628. http://www.jstor.org/stable/20159427</w:t>
      </w:r>
    </w:p>
    <w:p w14:paraId="7894E69D" w14:textId="7C7C3981"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82106E">
        <w:rPr>
          <w:rFonts w:ascii="Times New Roman" w:hAnsi="Times New Roman" w:cs="Times New Roman"/>
          <w:color w:val="000000" w:themeColor="text1"/>
          <w:sz w:val="20"/>
          <w:szCs w:val="20"/>
          <w:lang w:val="en-GB"/>
        </w:rPr>
        <w:t xml:space="preserve">Baum, A. C. J. &amp; Haveman, A. H. (1997). </w:t>
      </w:r>
      <w:r w:rsidRPr="00B5549F">
        <w:rPr>
          <w:rFonts w:ascii="Times New Roman" w:hAnsi="Times New Roman" w:cs="Times New Roman"/>
          <w:color w:val="000000" w:themeColor="text1"/>
          <w:sz w:val="20"/>
          <w:szCs w:val="20"/>
          <w:lang w:val="en-US"/>
        </w:rPr>
        <w:t>Love thy neighbor? Differentiation and agglomeration in the Manhattan hotel industry. Administrative Science Quarterly, 42(2), 304–338.</w:t>
      </w:r>
      <w:r w:rsidR="00E02797" w:rsidRPr="00B5549F">
        <w:rPr>
          <w:rFonts w:ascii="Times New Roman" w:hAnsi="Times New Roman" w:cs="Times New Roman"/>
          <w:color w:val="000000" w:themeColor="text1"/>
          <w:sz w:val="20"/>
          <w:szCs w:val="20"/>
          <w:lang w:val="en-US"/>
        </w:rPr>
        <w:t xml:space="preserve"> https://www.jstor.org/stable/2393922</w:t>
      </w:r>
    </w:p>
    <w:p w14:paraId="554575AA" w14:textId="392A9625" w:rsidR="00112029" w:rsidRPr="00B5549F" w:rsidRDefault="00112029" w:rsidP="00935096">
      <w:pPr>
        <w:spacing w:before="120" w:after="120"/>
        <w:ind w:hanging="284"/>
        <w:jc w:val="both"/>
        <w:rPr>
          <w:rFonts w:ascii="Times New Roman" w:hAnsi="Times New Roman" w:cs="Times New Roman"/>
          <w:color w:val="000000" w:themeColor="text1"/>
          <w:sz w:val="20"/>
          <w:szCs w:val="20"/>
          <w:lang w:val="en-GB"/>
        </w:rPr>
      </w:pPr>
      <w:r w:rsidRPr="00B5549F">
        <w:rPr>
          <w:rFonts w:ascii="Times New Roman" w:hAnsi="Times New Roman" w:cs="Times New Roman"/>
          <w:color w:val="000000" w:themeColor="text1"/>
          <w:sz w:val="20"/>
          <w:szCs w:val="20"/>
          <w:lang w:val="en-GB"/>
        </w:rPr>
        <w:t>Bearson, D., Kenney, M., &amp; Zysman, J. (2021). Measuring the impacts of labor in the platform economy: new work created, old work reorganized, and value creation reconfigured. Industrial and Corporate Change, 30(3), 536-563.</w:t>
      </w:r>
    </w:p>
    <w:p w14:paraId="03601B89" w14:textId="37370848"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Benitez-Aurioles, B. &amp; </w:t>
      </w:r>
      <w:proofErr w:type="spellStart"/>
      <w:r w:rsidRPr="00B5549F">
        <w:rPr>
          <w:rFonts w:ascii="Times New Roman" w:hAnsi="Times New Roman" w:cs="Times New Roman"/>
          <w:color w:val="000000" w:themeColor="text1"/>
          <w:sz w:val="20"/>
          <w:szCs w:val="20"/>
          <w:lang w:val="en-US"/>
        </w:rPr>
        <w:t>Tussyadiah</w:t>
      </w:r>
      <w:proofErr w:type="spellEnd"/>
      <w:r w:rsidRPr="00B5549F">
        <w:rPr>
          <w:rFonts w:ascii="Times New Roman" w:hAnsi="Times New Roman" w:cs="Times New Roman"/>
          <w:color w:val="000000" w:themeColor="text1"/>
          <w:sz w:val="20"/>
          <w:szCs w:val="20"/>
          <w:lang w:val="en-US"/>
        </w:rPr>
        <w:t>, I. (2020). What Airbnb does to the housing market. Annals of Tourism Research, 103108.</w:t>
      </w:r>
      <w:r w:rsidR="00E02797" w:rsidRPr="00B5549F">
        <w:rPr>
          <w:rFonts w:ascii="Times New Roman" w:hAnsi="Times New Roman" w:cs="Times New Roman"/>
          <w:color w:val="000000" w:themeColor="text1"/>
          <w:sz w:val="20"/>
          <w:szCs w:val="20"/>
          <w:lang w:val="en-US"/>
        </w:rPr>
        <w:t xml:space="preserve"> https://doi.org/10.1016/j.annals.2020.103108</w:t>
      </w:r>
    </w:p>
    <w:p w14:paraId="190D0C0C"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82106E">
        <w:rPr>
          <w:rFonts w:ascii="Times New Roman" w:hAnsi="Times New Roman" w:cs="Times New Roman"/>
          <w:color w:val="000000" w:themeColor="text1"/>
          <w:sz w:val="20"/>
          <w:szCs w:val="20"/>
          <w:lang w:val="en-GB"/>
        </w:rPr>
        <w:t xml:space="preserve">Bennett, V. M. &amp; Chatterji, A. K. (2019). </w:t>
      </w:r>
      <w:r w:rsidRPr="00B5549F">
        <w:rPr>
          <w:rFonts w:ascii="Times New Roman" w:hAnsi="Times New Roman" w:cs="Times New Roman"/>
          <w:color w:val="000000" w:themeColor="text1"/>
          <w:sz w:val="20"/>
          <w:szCs w:val="20"/>
          <w:lang w:val="en-US"/>
        </w:rPr>
        <w:t>The entrepreneurial process: evidence from a nationally representative survey. Strategic Management Journal, 1–31. https://doi.org/https://doi.org/10.1002/smj.3077</w:t>
      </w:r>
    </w:p>
    <w:p w14:paraId="2493E175"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Blundell, R. &amp; Bond, S. (1998). Initial conditions and moment restrictions in dynamic panel data models. Journal of Econometrics, 87(1), 115–143. https://doi.org/10.1016/S0304-4076(98)00009-8</w:t>
      </w:r>
    </w:p>
    <w:p w14:paraId="583D08B7"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Bosma, N. Content, J., Sanders, M., &amp; Stam, E. (2018). Institutions, entrepreneurship, and economic growth in Europe. Small Business Economics, 51(2), 483–499. https://doi.org/10.1007/s11187-018-0012-x</w:t>
      </w:r>
    </w:p>
    <w:p w14:paraId="38842BB3"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82106E">
        <w:rPr>
          <w:rFonts w:ascii="Times New Roman" w:hAnsi="Times New Roman" w:cs="Times New Roman"/>
          <w:color w:val="000000" w:themeColor="text1"/>
          <w:sz w:val="20"/>
          <w:szCs w:val="20"/>
          <w:lang w:val="en-GB"/>
        </w:rPr>
        <w:t xml:space="preserve">Bunten, D., Weiler, S., Thompson, E. &amp; Zahran, S. (2015). </w:t>
      </w:r>
      <w:r w:rsidRPr="00B5549F">
        <w:rPr>
          <w:rFonts w:ascii="Times New Roman" w:hAnsi="Times New Roman" w:cs="Times New Roman"/>
          <w:color w:val="000000" w:themeColor="text1"/>
          <w:sz w:val="20"/>
          <w:szCs w:val="20"/>
          <w:lang w:val="en-US"/>
        </w:rPr>
        <w:t>Entrepreneurship, information, and growth. Journal of Regional Science, 55(4), 560–584. https://doi.org/10.1111/jors.12157</w:t>
      </w:r>
    </w:p>
    <w:p w14:paraId="6CCA1857" w14:textId="3621FA87" w:rsidR="00BD3730" w:rsidRPr="00B5549F" w:rsidRDefault="00BD3730" w:rsidP="00935096">
      <w:pPr>
        <w:spacing w:before="120" w:after="120"/>
        <w:ind w:hanging="284"/>
        <w:jc w:val="both"/>
        <w:rPr>
          <w:rFonts w:ascii="Times New Roman" w:hAnsi="Times New Roman" w:cs="Times New Roman"/>
          <w:color w:val="000000" w:themeColor="text1"/>
          <w:sz w:val="20"/>
          <w:szCs w:val="20"/>
          <w:lang w:val="en-GB"/>
        </w:rPr>
      </w:pPr>
      <w:r w:rsidRPr="00B5549F">
        <w:rPr>
          <w:rFonts w:ascii="Times New Roman" w:hAnsi="Times New Roman" w:cs="Times New Roman"/>
          <w:color w:val="000000" w:themeColor="text1"/>
          <w:sz w:val="20"/>
          <w:szCs w:val="20"/>
          <w:lang w:val="en-GB"/>
        </w:rPr>
        <w:t>Burtch, G., Carnahan, S. &amp; Greenwood, B. N.. (2018) Can you gig it? An empirical examination of the gig economy and entrepreneurial activity. Management Science, 64 (12), 5497-5520.</w:t>
      </w:r>
    </w:p>
    <w:p w14:paraId="4ECA40A6" w14:textId="77777777" w:rsidR="00763921"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Cabral, L. M. B. (2017). Introduction to industrial organization. The MIT Press, Cambridge (MA). </w:t>
      </w:r>
    </w:p>
    <w:p w14:paraId="59626E09" w14:textId="2F65D71A" w:rsidR="00CF106D" w:rsidRPr="00B5549F" w:rsidRDefault="00CF106D"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Garcia Calvo, A., Kenney, M., &amp; Zysman, J. (2023). Understanding work in the online platform economy: the narrow, the broad, and the systemic perspectives. Industrial and Corporate Change, 32(4), 795-814.</w:t>
      </w:r>
    </w:p>
    <w:p w14:paraId="43A85515" w14:textId="514EDC33"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Carbonara, E., Santarelli, E. &amp; Tran, H. T. (2016). De jure determinants of new firm formation: how the pillars of constitutions influence entrepreneurship. Small Business Economics, 47(1), 139–162. https://doi.org/10.1007/s11187-016-9715-z</w:t>
      </w:r>
    </w:p>
    <w:p w14:paraId="2BD4DE99"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lastRenderedPageBreak/>
        <w:t xml:space="preserve">Carree, M. A. &amp; </w:t>
      </w:r>
      <w:proofErr w:type="spellStart"/>
      <w:r w:rsidRPr="00B5549F">
        <w:rPr>
          <w:rFonts w:ascii="Times New Roman" w:hAnsi="Times New Roman" w:cs="Times New Roman"/>
          <w:color w:val="000000" w:themeColor="text1"/>
          <w:sz w:val="20"/>
          <w:szCs w:val="20"/>
          <w:lang w:val="en-US"/>
        </w:rPr>
        <w:t>Thurik</w:t>
      </w:r>
      <w:proofErr w:type="spellEnd"/>
      <w:r w:rsidRPr="00B5549F">
        <w:rPr>
          <w:rFonts w:ascii="Times New Roman" w:hAnsi="Times New Roman" w:cs="Times New Roman"/>
          <w:color w:val="000000" w:themeColor="text1"/>
          <w:sz w:val="20"/>
          <w:szCs w:val="20"/>
          <w:lang w:val="en-US"/>
        </w:rPr>
        <w:t>, A. R. (1999). The carrying capacity and entry and exit flows in retailing. International Journal of Industrial Organization, 17(7), 985–1007. https://doi.org/10.1016/s0167-7187(97)00072-6</w:t>
      </w:r>
    </w:p>
    <w:p w14:paraId="76590BD3"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82106E">
        <w:rPr>
          <w:rFonts w:ascii="Times New Roman" w:hAnsi="Times New Roman" w:cs="Times New Roman"/>
          <w:color w:val="000000" w:themeColor="text1"/>
          <w:sz w:val="20"/>
          <w:szCs w:val="20"/>
          <w:lang w:val="en-GB"/>
        </w:rPr>
        <w:t xml:space="preserve">Chang, H. H. &amp; Sokol, D. D. (2020). </w:t>
      </w:r>
      <w:r w:rsidRPr="00B5549F">
        <w:rPr>
          <w:rFonts w:ascii="Times New Roman" w:hAnsi="Times New Roman" w:cs="Times New Roman"/>
          <w:color w:val="000000" w:themeColor="text1"/>
          <w:sz w:val="20"/>
          <w:szCs w:val="20"/>
          <w:lang w:val="en-US"/>
        </w:rPr>
        <w:t>How incumbents respond to competition from innovative disruptors in the sharing economy. The impact of Airbnb on hotel performance. Strategic Management Journal, February 2018, 1–22. https://doi.org/10.1002/smj.3201</w:t>
      </w:r>
    </w:p>
    <w:p w14:paraId="512788E0"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Chavez Juarez, F. W. (2012). SHAPLEY2: Stata module to compute additive decomposition of estimation statistics by regressors or groups of regressors. Statistical Software Components from Boston College Department of Economics, Boston (MA).</w:t>
      </w:r>
    </w:p>
    <w:p w14:paraId="2E53C30B" w14:textId="77777777" w:rsidR="007503E5"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Chell, E., Haworth, J. &amp; Brearley, S. (1991). The entrepreneurial personality. Routledge, London, UK. </w:t>
      </w:r>
    </w:p>
    <w:p w14:paraId="3DDE3B4F" w14:textId="41AF144D" w:rsidR="006B5934" w:rsidRPr="0082106E" w:rsidRDefault="006B5934" w:rsidP="00935096">
      <w:pPr>
        <w:spacing w:before="120" w:after="120"/>
        <w:ind w:hanging="284"/>
        <w:jc w:val="both"/>
        <w:rPr>
          <w:rFonts w:ascii="Times New Roman" w:hAnsi="Times New Roman" w:cs="Times New Roman"/>
          <w:color w:val="000000" w:themeColor="text1"/>
          <w:sz w:val="20"/>
          <w:szCs w:val="20"/>
          <w:lang w:val="fr-FR"/>
        </w:rPr>
      </w:pPr>
      <w:r w:rsidRPr="0082106E">
        <w:rPr>
          <w:rFonts w:ascii="Times New Roman" w:hAnsi="Times New Roman" w:cs="Times New Roman"/>
          <w:color w:val="000000" w:themeColor="text1"/>
          <w:sz w:val="20"/>
          <w:szCs w:val="20"/>
          <w:lang w:val="de-DE"/>
        </w:rPr>
        <w:t>Chen, W., Wei, Z., &amp; Xie, K. (202</w:t>
      </w:r>
      <w:r w:rsidR="007503E5" w:rsidRPr="0082106E">
        <w:rPr>
          <w:rFonts w:ascii="Times New Roman" w:hAnsi="Times New Roman" w:cs="Times New Roman"/>
          <w:color w:val="000000" w:themeColor="text1"/>
          <w:sz w:val="20"/>
          <w:szCs w:val="20"/>
          <w:lang w:val="de-DE"/>
        </w:rPr>
        <w:t>3</w:t>
      </w:r>
      <w:r w:rsidRPr="0082106E">
        <w:rPr>
          <w:rFonts w:ascii="Times New Roman" w:hAnsi="Times New Roman" w:cs="Times New Roman"/>
          <w:color w:val="000000" w:themeColor="text1"/>
          <w:sz w:val="20"/>
          <w:szCs w:val="20"/>
          <w:lang w:val="de-DE"/>
        </w:rPr>
        <w:t xml:space="preserve">). </w:t>
      </w:r>
      <w:r w:rsidRPr="00B5549F">
        <w:rPr>
          <w:rFonts w:ascii="Times New Roman" w:hAnsi="Times New Roman" w:cs="Times New Roman"/>
          <w:color w:val="000000" w:themeColor="text1"/>
          <w:sz w:val="20"/>
          <w:szCs w:val="20"/>
          <w:lang w:val="en-US"/>
        </w:rPr>
        <w:t xml:space="preserve">Regulating professional players in peer-to-peer markets: evidence from Airbnb. </w:t>
      </w:r>
      <w:r w:rsidRPr="0082106E">
        <w:rPr>
          <w:rFonts w:ascii="Times New Roman" w:hAnsi="Times New Roman" w:cs="Times New Roman"/>
          <w:color w:val="000000" w:themeColor="text1"/>
          <w:sz w:val="20"/>
          <w:szCs w:val="20"/>
          <w:lang w:val="fr-FR"/>
        </w:rPr>
        <w:t xml:space="preserve">Management Science, </w:t>
      </w:r>
      <w:r w:rsidR="007503E5" w:rsidRPr="0082106E">
        <w:rPr>
          <w:rFonts w:ascii="Times New Roman" w:hAnsi="Times New Roman" w:cs="Times New Roman"/>
          <w:color w:val="000000" w:themeColor="text1"/>
          <w:sz w:val="20"/>
          <w:szCs w:val="20"/>
          <w:lang w:val="fr-FR"/>
        </w:rPr>
        <w:t>69</w:t>
      </w:r>
      <w:r w:rsidRPr="0082106E">
        <w:rPr>
          <w:rFonts w:ascii="Times New Roman" w:hAnsi="Times New Roman" w:cs="Times New Roman"/>
          <w:color w:val="000000" w:themeColor="text1"/>
          <w:sz w:val="20"/>
          <w:szCs w:val="20"/>
          <w:lang w:val="fr-FR"/>
        </w:rPr>
        <w:t>(</w:t>
      </w:r>
      <w:r w:rsidR="007503E5" w:rsidRPr="0082106E">
        <w:rPr>
          <w:rFonts w:ascii="Times New Roman" w:hAnsi="Times New Roman" w:cs="Times New Roman"/>
          <w:color w:val="000000" w:themeColor="text1"/>
          <w:sz w:val="20"/>
          <w:szCs w:val="20"/>
          <w:lang w:val="fr-FR"/>
        </w:rPr>
        <w:t>5</w:t>
      </w:r>
      <w:r w:rsidRPr="0082106E">
        <w:rPr>
          <w:rFonts w:ascii="Times New Roman" w:hAnsi="Times New Roman" w:cs="Times New Roman"/>
          <w:color w:val="000000" w:themeColor="text1"/>
          <w:sz w:val="20"/>
          <w:szCs w:val="20"/>
          <w:lang w:val="fr-FR"/>
        </w:rPr>
        <w:t>)</w:t>
      </w:r>
      <w:r w:rsidR="007503E5" w:rsidRPr="0082106E">
        <w:rPr>
          <w:rFonts w:ascii="Times New Roman" w:hAnsi="Times New Roman" w:cs="Times New Roman"/>
          <w:color w:val="000000" w:themeColor="text1"/>
          <w:sz w:val="20"/>
          <w:szCs w:val="20"/>
          <w:lang w:val="fr-FR"/>
        </w:rPr>
        <w:t>, 2893-2918</w:t>
      </w:r>
      <w:r w:rsidRPr="0082106E">
        <w:rPr>
          <w:rFonts w:ascii="Times New Roman" w:hAnsi="Times New Roman" w:cs="Times New Roman"/>
          <w:color w:val="000000" w:themeColor="text1"/>
          <w:sz w:val="20"/>
          <w:szCs w:val="20"/>
          <w:lang w:val="fr-FR"/>
        </w:rPr>
        <w:t>. https://doi.org/10.1287/mnsc.2022.4480</w:t>
      </w:r>
    </w:p>
    <w:p w14:paraId="4675CC1E" w14:textId="381DDEB4"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82106E">
        <w:rPr>
          <w:rFonts w:ascii="Times New Roman" w:hAnsi="Times New Roman" w:cs="Times New Roman"/>
          <w:color w:val="000000" w:themeColor="text1"/>
          <w:sz w:val="20"/>
          <w:szCs w:val="20"/>
          <w:lang w:val="fr-FR"/>
        </w:rPr>
        <w:t xml:space="preserve">Chowdhury, F., Audretsch, D. B. &amp; Belitski, M. (2019). </w:t>
      </w:r>
      <w:r w:rsidRPr="00B5549F">
        <w:rPr>
          <w:rFonts w:ascii="Times New Roman" w:hAnsi="Times New Roman" w:cs="Times New Roman"/>
          <w:color w:val="000000" w:themeColor="text1"/>
          <w:sz w:val="20"/>
          <w:szCs w:val="20"/>
          <w:lang w:val="en-US"/>
        </w:rPr>
        <w:t>Institutions and entrepreneurship quality.</w:t>
      </w:r>
      <w:r w:rsidR="007503E5" w:rsidRPr="00B5549F">
        <w:rPr>
          <w:rFonts w:ascii="Times New Roman" w:hAnsi="Times New Roman" w:cs="Times New Roman"/>
          <w:color w:val="000000" w:themeColor="text1"/>
          <w:sz w:val="20"/>
          <w:szCs w:val="20"/>
          <w:lang w:val="en-US"/>
        </w:rPr>
        <w:t xml:space="preserve"> </w:t>
      </w:r>
      <w:r w:rsidRPr="00B5549F">
        <w:rPr>
          <w:rFonts w:ascii="Times New Roman" w:hAnsi="Times New Roman" w:cs="Times New Roman"/>
          <w:color w:val="000000" w:themeColor="text1"/>
          <w:sz w:val="20"/>
          <w:szCs w:val="20"/>
          <w:lang w:val="en-US"/>
        </w:rPr>
        <w:t>Entrepreneurship Theory and Practice, 43(1), 51–81. https://doi.org/10.1177/1042258718780431</w:t>
      </w:r>
    </w:p>
    <w:p w14:paraId="30246A19"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proofErr w:type="spellStart"/>
      <w:r w:rsidRPr="00B5549F">
        <w:rPr>
          <w:rFonts w:ascii="Times New Roman" w:hAnsi="Times New Roman" w:cs="Times New Roman"/>
          <w:color w:val="000000" w:themeColor="text1"/>
          <w:sz w:val="20"/>
          <w:szCs w:val="20"/>
          <w:lang w:val="en-US"/>
        </w:rPr>
        <w:t>Christaller</w:t>
      </w:r>
      <w:proofErr w:type="spellEnd"/>
      <w:r w:rsidRPr="00B5549F">
        <w:rPr>
          <w:rFonts w:ascii="Times New Roman" w:hAnsi="Times New Roman" w:cs="Times New Roman"/>
          <w:color w:val="000000" w:themeColor="text1"/>
          <w:sz w:val="20"/>
          <w:szCs w:val="20"/>
          <w:lang w:val="en-US"/>
        </w:rPr>
        <w:t xml:space="preserve"> W. [1933] (1966). Central places in Southern Germany. Prentice-Hall, Englewood Cliffs (NJ).</w:t>
      </w:r>
    </w:p>
    <w:p w14:paraId="00071AB3"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Chung, W. &amp; Kalnins, A. (2001). Agglomeration effects and performance: A test of the Texas lodging industry. Strategic Management Journal, 22(10), 969–988. https://doi.org/10.1002/smj.178</w:t>
      </w:r>
    </w:p>
    <w:p w14:paraId="2B9801CC"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Colombelli, A. (2016). The impact of local knowledge bases on the creation of innovative start-ups in Italy. Small Business Economics, 47(2), 383–396. https://doi.org/10.1007/s11187-016-9722-0</w:t>
      </w:r>
    </w:p>
    <w:p w14:paraId="0189AE81"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Colombo, M. &amp; Grilli, L. (2005). Founders’ human capital and the growth of new technology-based firms: A competence-based view. Research Policy, 34 (6), 795-816. https://doi.org/10.1016/j.respol.2005.03.010.</w:t>
      </w:r>
    </w:p>
    <w:p w14:paraId="19F83F3E"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Cope, J. (2005). Toward a dynamic learning perspective of entrepreneurship. Entrepreneurship Theory and Practice, 29(4), 373–397. https://doi.org/10.1111/j.1540-6520.2005.00090.</w:t>
      </w:r>
    </w:p>
    <w:p w14:paraId="67BC69EB"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Davidsson, P. (2022). McBride and Wuebker’s socially objective opportunities: Do they move the field forward? Journal of Business Venturing Insights, 18. https://doi.org/10.1016/j.jbvi.2022.e00343</w:t>
      </w:r>
    </w:p>
    <w:p w14:paraId="42383B4E"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Davidsson, P. &amp; Honig, B. (2003). The role of social and human capital among nascent entrepreneurs. Journal of Business Venturing, 18(3), 301–331. https://doi.org/10.1016/S0883-9026(02)00097-6.</w:t>
      </w:r>
    </w:p>
    <w:p w14:paraId="0247FE80"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Davidsson, P. &amp; Wiklund, J. (2001). Levels of analysis in entrepreneurship research: current research practice and suggestions for the future. Entrepreneurship Theory and Practice, 25(4), 81–100. https://doi.org/10.1177/104225870102500406</w:t>
      </w:r>
    </w:p>
    <w:p w14:paraId="2267C873" w14:textId="3B223558"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82106E">
        <w:rPr>
          <w:rFonts w:ascii="Times New Roman" w:hAnsi="Times New Roman" w:cs="Times New Roman"/>
          <w:color w:val="000000" w:themeColor="text1"/>
          <w:sz w:val="20"/>
          <w:szCs w:val="20"/>
          <w:lang w:val="en-GB"/>
        </w:rPr>
        <w:t xml:space="preserve">Davidsson, P., Recker, J. &amp; von Briel, F. (2020). </w:t>
      </w:r>
      <w:r w:rsidRPr="00B5549F">
        <w:rPr>
          <w:rFonts w:ascii="Times New Roman" w:hAnsi="Times New Roman" w:cs="Times New Roman"/>
          <w:color w:val="000000" w:themeColor="text1"/>
          <w:sz w:val="20"/>
          <w:szCs w:val="20"/>
          <w:lang w:val="en-US"/>
        </w:rPr>
        <w:t>External enablement of new venture creation: a framework. Academy of Management Perspectives, 34, 311–332. https://doi.org/10.5465/amp.2017.0163</w:t>
      </w:r>
    </w:p>
    <w:p w14:paraId="49056021" w14:textId="44283200" w:rsidR="005A60EB" w:rsidRPr="00B5549F" w:rsidRDefault="005A60EB" w:rsidP="00935096">
      <w:pPr>
        <w:spacing w:before="120" w:after="120"/>
        <w:ind w:hanging="284"/>
        <w:jc w:val="both"/>
        <w:rPr>
          <w:rFonts w:ascii="Times New Roman" w:hAnsi="Times New Roman" w:cs="Times New Roman"/>
          <w:color w:val="000000" w:themeColor="text1"/>
          <w:sz w:val="20"/>
          <w:szCs w:val="20"/>
          <w:lang w:val="en-US"/>
        </w:rPr>
      </w:pPr>
      <w:proofErr w:type="spellStart"/>
      <w:r w:rsidRPr="00B5549F">
        <w:rPr>
          <w:rFonts w:ascii="Times New Roman" w:hAnsi="Times New Roman" w:cs="Times New Roman"/>
          <w:color w:val="000000" w:themeColor="text1"/>
          <w:sz w:val="20"/>
          <w:szCs w:val="20"/>
          <w:lang w:val="en-US"/>
        </w:rPr>
        <w:t>Deboosere</w:t>
      </w:r>
      <w:proofErr w:type="spellEnd"/>
      <w:r w:rsidRPr="00B5549F">
        <w:rPr>
          <w:rFonts w:ascii="Times New Roman" w:hAnsi="Times New Roman" w:cs="Times New Roman"/>
          <w:color w:val="000000" w:themeColor="text1"/>
          <w:sz w:val="20"/>
          <w:szCs w:val="20"/>
          <w:lang w:val="en-US"/>
        </w:rPr>
        <w:t>, R., Kerrigan, D. J., Wachsmuth, D., &amp; El-</w:t>
      </w:r>
      <w:proofErr w:type="spellStart"/>
      <w:r w:rsidRPr="00B5549F">
        <w:rPr>
          <w:rFonts w:ascii="Times New Roman" w:hAnsi="Times New Roman" w:cs="Times New Roman"/>
          <w:color w:val="000000" w:themeColor="text1"/>
          <w:sz w:val="20"/>
          <w:szCs w:val="20"/>
          <w:lang w:val="en-US"/>
        </w:rPr>
        <w:t>Geneidy</w:t>
      </w:r>
      <w:proofErr w:type="spellEnd"/>
      <w:r w:rsidRPr="00B5549F">
        <w:rPr>
          <w:rFonts w:ascii="Times New Roman" w:hAnsi="Times New Roman" w:cs="Times New Roman"/>
          <w:color w:val="000000" w:themeColor="text1"/>
          <w:sz w:val="20"/>
          <w:szCs w:val="20"/>
          <w:lang w:val="en-US"/>
        </w:rPr>
        <w:t>, A. (2019). Location, location and professionalization: a multilevel hedonic analysis of Airbnb listing prices and revenue. Regional Studies, Regional Science, 6(1), 143-156. https://doi.org/10.1080/21681376.2019.1592699</w:t>
      </w:r>
    </w:p>
    <w:p w14:paraId="3FC4EEF7" w14:textId="74C8738A"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de Jong, J. P. J. &amp; Marsili, O. (2015). The distribution of Schumpeterian and Kirznerian opportunities. Small Business Economics, 44(1), 19–35. https://doi.org/10.1007/s11187-014-9585-1</w:t>
      </w:r>
    </w:p>
    <w:p w14:paraId="4162BC47"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Dixit, R. K., Dixit, A. K. &amp; Pindyck, R. S. (1994). Investment under uncertainty. Princeton University Press, Cambridge (MA).</w:t>
      </w:r>
    </w:p>
    <w:p w14:paraId="03DDBA6D"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Dogru, T., Mody, M. &amp; Suess, C. (2019). Adding evidence to the debate: quantifying Airbnb’s disruptive impact on ten key hotel markets. Tourism Management, 72. https://doi.org/10.1016/j.tourman.2018.11.008</w:t>
      </w:r>
    </w:p>
    <w:p w14:paraId="6C4597C6"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Dogru, T., Mody, M., Suess, C., Line, N. &amp; Bonn, M. (2020a). Airbnb 2.0: Is it a sharing economy platform or a lodging corporation? Tourism Management, 78(November), 104049. https://doi.org/10.1016/j.tourman.2019.104049</w:t>
      </w:r>
    </w:p>
    <w:p w14:paraId="44DC7F44"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Dogru, T., Zhang, Y., Suess, C., Mody, M., Bulut, U. &amp; Sirakaya-Turk, E. (2020b). What caused the rise of Airbnb? An examination of key macroeconomic factors. Tourism Management, 81(April), 104134. https://doi.org/10.1016/j.tourman.2020.104134</w:t>
      </w:r>
    </w:p>
    <w:p w14:paraId="5A0B22C0"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Duranton, G. &amp; Puga, D. (2004) Micro-foundations of urban agglomeration economies. In Henderson, J. V. &amp; Thisse, J. F. (eds), Handbook of regional and urban economics, 4, 2063-2117, North-Holland, Amsterdam.</w:t>
      </w:r>
    </w:p>
    <w:p w14:paraId="784111CA"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proofErr w:type="spellStart"/>
      <w:r w:rsidRPr="00B5549F">
        <w:rPr>
          <w:rFonts w:ascii="Times New Roman" w:hAnsi="Times New Roman" w:cs="Times New Roman"/>
          <w:color w:val="000000" w:themeColor="text1"/>
          <w:sz w:val="20"/>
          <w:szCs w:val="20"/>
          <w:lang w:val="en-US"/>
        </w:rPr>
        <w:t>Dvouletý</w:t>
      </w:r>
      <w:proofErr w:type="spellEnd"/>
      <w:r w:rsidRPr="00B5549F">
        <w:rPr>
          <w:rFonts w:ascii="Times New Roman" w:hAnsi="Times New Roman" w:cs="Times New Roman"/>
          <w:color w:val="000000" w:themeColor="text1"/>
          <w:sz w:val="20"/>
          <w:szCs w:val="20"/>
          <w:lang w:val="en-US"/>
        </w:rPr>
        <w:t xml:space="preserve">, O. (2018). How to </w:t>
      </w:r>
      <w:proofErr w:type="spellStart"/>
      <w:r w:rsidRPr="00B5549F">
        <w:rPr>
          <w:rFonts w:ascii="Times New Roman" w:hAnsi="Times New Roman" w:cs="Times New Roman"/>
          <w:color w:val="000000" w:themeColor="text1"/>
          <w:sz w:val="20"/>
          <w:szCs w:val="20"/>
          <w:lang w:val="en-US"/>
        </w:rPr>
        <w:t>analyse</w:t>
      </w:r>
      <w:proofErr w:type="spellEnd"/>
      <w:r w:rsidRPr="00B5549F">
        <w:rPr>
          <w:rFonts w:ascii="Times New Roman" w:hAnsi="Times New Roman" w:cs="Times New Roman"/>
          <w:color w:val="000000" w:themeColor="text1"/>
          <w:sz w:val="20"/>
          <w:szCs w:val="20"/>
          <w:lang w:val="en-US"/>
        </w:rPr>
        <w:t xml:space="preserve"> determinants of entrepreneurship and self-employment at the country level? A methodological contribution. Journal of Business Venturing Insights, 9(June), 92–99. https://doi.org/10.1016/j.jbvi.2018.03.002</w:t>
      </w:r>
    </w:p>
    <w:p w14:paraId="73545DC1" w14:textId="646B2AE5"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lastRenderedPageBreak/>
        <w:t>Eaton, B. C. &amp; Lipsey, G. R. (1978). Freedom of entry and the existence of pure profit. The Economic Journal, 88(351), 455–469.</w:t>
      </w:r>
      <w:r w:rsidR="007503E5" w:rsidRPr="00B5549F">
        <w:rPr>
          <w:rFonts w:ascii="Times New Roman" w:hAnsi="Times New Roman" w:cs="Times New Roman"/>
          <w:color w:val="000000" w:themeColor="text1"/>
          <w:sz w:val="20"/>
          <w:szCs w:val="20"/>
          <w:lang w:val="en-US"/>
        </w:rPr>
        <w:t xml:space="preserve"> https://doi.org/10.2307/2232046</w:t>
      </w:r>
    </w:p>
    <w:p w14:paraId="069D9A32" w14:textId="5BAC8C4E"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Eaton B. C. &amp; Lipsey G. R. (1982). An economic theory of central places. The Economic Journal, 92(365), 56–72.</w:t>
      </w:r>
      <w:r w:rsidR="007503E5" w:rsidRPr="00B5549F">
        <w:rPr>
          <w:rFonts w:ascii="Times New Roman" w:hAnsi="Times New Roman" w:cs="Times New Roman"/>
          <w:color w:val="000000" w:themeColor="text1"/>
          <w:sz w:val="20"/>
          <w:szCs w:val="20"/>
          <w:lang w:val="en-US"/>
        </w:rPr>
        <w:t xml:space="preserve"> https://doi.org/10.2307/2232256</w:t>
      </w:r>
    </w:p>
    <w:p w14:paraId="673124FD"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Eckhardt, J. T. &amp; Shane, S. A. (2013). Response to the commentaries: The individual-opportunity (IO) nexus integrates objective and subjective aspects of entrepreneurship. Academy of Management Review, 38 (1), 160-163. https://doi.org/10.5465/amr.2012.0192</w:t>
      </w:r>
    </w:p>
    <w:p w14:paraId="6364D9EC" w14:textId="77777777" w:rsidR="006B5934" w:rsidRPr="0082106E" w:rsidRDefault="006B5934" w:rsidP="00935096">
      <w:pPr>
        <w:spacing w:before="120" w:after="120"/>
        <w:ind w:hanging="284"/>
        <w:jc w:val="both"/>
        <w:rPr>
          <w:rFonts w:ascii="Times New Roman" w:hAnsi="Times New Roman" w:cs="Times New Roman"/>
          <w:color w:val="000000" w:themeColor="text1"/>
          <w:sz w:val="20"/>
          <w:szCs w:val="20"/>
          <w:lang w:val="nl-NL"/>
        </w:rPr>
      </w:pPr>
      <w:r w:rsidRPr="00B5549F">
        <w:rPr>
          <w:rFonts w:ascii="Times New Roman" w:hAnsi="Times New Roman" w:cs="Times New Roman"/>
          <w:color w:val="000000" w:themeColor="text1"/>
          <w:sz w:val="20"/>
          <w:szCs w:val="20"/>
          <w:lang w:val="en-US"/>
        </w:rPr>
        <w:t xml:space="preserve">Economides, N. (1986). Minimal and maximal product differentiation in Hotelling’s duopoly. </w:t>
      </w:r>
      <w:r w:rsidRPr="0082106E">
        <w:rPr>
          <w:rFonts w:ascii="Times New Roman" w:hAnsi="Times New Roman" w:cs="Times New Roman"/>
          <w:color w:val="000000" w:themeColor="text1"/>
          <w:sz w:val="20"/>
          <w:szCs w:val="20"/>
          <w:lang w:val="nl-NL"/>
        </w:rPr>
        <w:t>Economics Letters, 21(1), 67–71. https://doi.org/10.1016/0165-1765(86)90124-2</w:t>
      </w:r>
    </w:p>
    <w:p w14:paraId="2F090EAC" w14:textId="3F04C334" w:rsidR="006B5934" w:rsidRPr="006F28E4" w:rsidRDefault="006B5934" w:rsidP="00935096">
      <w:pPr>
        <w:spacing w:before="120" w:after="120"/>
        <w:ind w:hanging="284"/>
        <w:jc w:val="both"/>
        <w:rPr>
          <w:rFonts w:ascii="Times New Roman" w:hAnsi="Times New Roman" w:cs="Times New Roman"/>
          <w:color w:val="000000" w:themeColor="text1"/>
          <w:sz w:val="20"/>
          <w:szCs w:val="20"/>
          <w:lang w:val="en-US"/>
        </w:rPr>
      </w:pPr>
      <w:proofErr w:type="spellStart"/>
      <w:r w:rsidRPr="0082106E">
        <w:rPr>
          <w:rFonts w:ascii="Times New Roman" w:hAnsi="Times New Roman" w:cs="Times New Roman"/>
          <w:color w:val="000000" w:themeColor="text1"/>
          <w:sz w:val="20"/>
          <w:szCs w:val="20"/>
          <w:lang w:val="nl-NL"/>
        </w:rPr>
        <w:t>Eisenmann</w:t>
      </w:r>
      <w:proofErr w:type="spellEnd"/>
      <w:r w:rsidRPr="0082106E">
        <w:rPr>
          <w:rFonts w:ascii="Times New Roman" w:hAnsi="Times New Roman" w:cs="Times New Roman"/>
          <w:color w:val="000000" w:themeColor="text1"/>
          <w:sz w:val="20"/>
          <w:szCs w:val="20"/>
          <w:lang w:val="nl-NL"/>
        </w:rPr>
        <w:t xml:space="preserve">, T., Parker, G. &amp; Alstyne, M. W. Van. </w:t>
      </w:r>
      <w:r w:rsidRPr="00B5549F">
        <w:rPr>
          <w:rFonts w:ascii="Times New Roman" w:hAnsi="Times New Roman" w:cs="Times New Roman"/>
          <w:color w:val="000000" w:themeColor="text1"/>
          <w:sz w:val="20"/>
          <w:szCs w:val="20"/>
          <w:lang w:val="en-US"/>
        </w:rPr>
        <w:t xml:space="preserve">(2006). Strategy for two sided markets. Harvard Business Review, 84(10), 92–101. </w:t>
      </w:r>
      <w:hyperlink r:id="rId11" w:history="1">
        <w:r w:rsidR="0093085C" w:rsidRPr="0082106E">
          <w:rPr>
            <w:rStyle w:val="Collegamentoipertestuale"/>
            <w:rFonts w:ascii="Times New Roman" w:hAnsi="Times New Roman" w:cs="Times New Roman"/>
            <w:color w:val="000000" w:themeColor="text1"/>
            <w:sz w:val="20"/>
            <w:szCs w:val="20"/>
            <w:u w:val="none"/>
            <w:lang w:val="en-US"/>
          </w:rPr>
          <w:t>https://doi.org/10.1007/s00199-006-0114-6</w:t>
        </w:r>
      </w:hyperlink>
    </w:p>
    <w:p w14:paraId="0DEB3782" w14:textId="087AF2E5" w:rsidR="0093085C" w:rsidRPr="00B5549F" w:rsidRDefault="0093085C"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Fairlie, R. W. (2013). Entrepreneurship, economic conditions, and the great recession. Journal of Economics &amp; Management Strategy, 22(2), 207–231. https://doi.org/10.1111/jems.12017</w:t>
      </w:r>
    </w:p>
    <w:p w14:paraId="0984B175"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Fang, B., Ye, Q. &amp; Law, R. (2016). Effect of sharing economy on tourism industry employment. Annals of Tourism Research, 57, 264–267. https://doi.org/10.1016/j.annals.2015.11.018</w:t>
      </w:r>
    </w:p>
    <w:p w14:paraId="4298883B"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Farronato, C. &amp; Fradkin, A. (2018). The welfare effects of peer entry in the accommodation market: the case of Airbnb. </w:t>
      </w:r>
      <w:proofErr w:type="spellStart"/>
      <w:r w:rsidRPr="00B5549F">
        <w:rPr>
          <w:rFonts w:ascii="Times New Roman" w:hAnsi="Times New Roman" w:cs="Times New Roman"/>
          <w:color w:val="000000" w:themeColor="text1"/>
          <w:sz w:val="20"/>
          <w:szCs w:val="20"/>
          <w:lang w:val="en-US"/>
        </w:rPr>
        <w:t>Nationa</w:t>
      </w:r>
      <w:proofErr w:type="spellEnd"/>
      <w:r w:rsidRPr="00B5549F">
        <w:rPr>
          <w:rFonts w:ascii="Times New Roman" w:hAnsi="Times New Roman" w:cs="Times New Roman"/>
          <w:color w:val="000000" w:themeColor="text1"/>
          <w:sz w:val="20"/>
          <w:szCs w:val="20"/>
          <w:lang w:val="en-US"/>
        </w:rPr>
        <w:t xml:space="preserve"> Bureau of Economic Research, 24361.</w:t>
      </w:r>
    </w:p>
    <w:p w14:paraId="6C0F13DD" w14:textId="05271AE4" w:rsidR="006C0992" w:rsidRPr="0082106E" w:rsidRDefault="006C0992" w:rsidP="00935096">
      <w:pPr>
        <w:spacing w:before="120" w:after="120"/>
        <w:ind w:hanging="284"/>
        <w:jc w:val="both"/>
        <w:rPr>
          <w:rFonts w:ascii="Times New Roman" w:hAnsi="Times New Roman" w:cs="Times New Roman"/>
          <w:color w:val="000000" w:themeColor="text1"/>
          <w:sz w:val="20"/>
          <w:szCs w:val="20"/>
          <w:lang w:val="en-GB"/>
        </w:rPr>
      </w:pPr>
      <w:r w:rsidRPr="0082106E">
        <w:rPr>
          <w:rFonts w:ascii="Times New Roman" w:hAnsi="Times New Roman" w:cs="Times New Roman"/>
          <w:color w:val="000000" w:themeColor="text1"/>
          <w:sz w:val="20"/>
          <w:szCs w:val="20"/>
          <w:lang w:val="en-GB"/>
        </w:rPr>
        <w:t xml:space="preserve">Felin, T., Kauffman, S., </w:t>
      </w:r>
      <w:proofErr w:type="spellStart"/>
      <w:r w:rsidRPr="0082106E">
        <w:rPr>
          <w:rFonts w:ascii="Times New Roman" w:hAnsi="Times New Roman" w:cs="Times New Roman"/>
          <w:color w:val="000000" w:themeColor="text1"/>
          <w:sz w:val="20"/>
          <w:szCs w:val="20"/>
          <w:lang w:val="en-GB"/>
        </w:rPr>
        <w:t>Mastrogiorgio</w:t>
      </w:r>
      <w:proofErr w:type="spellEnd"/>
      <w:r w:rsidRPr="0082106E">
        <w:rPr>
          <w:rFonts w:ascii="Times New Roman" w:hAnsi="Times New Roman" w:cs="Times New Roman"/>
          <w:color w:val="000000" w:themeColor="text1"/>
          <w:sz w:val="20"/>
          <w:szCs w:val="20"/>
          <w:lang w:val="en-GB"/>
        </w:rPr>
        <w:t xml:space="preserve">, A., &amp; </w:t>
      </w:r>
      <w:proofErr w:type="spellStart"/>
      <w:r w:rsidRPr="0082106E">
        <w:rPr>
          <w:rFonts w:ascii="Times New Roman" w:hAnsi="Times New Roman" w:cs="Times New Roman"/>
          <w:color w:val="000000" w:themeColor="text1"/>
          <w:sz w:val="20"/>
          <w:szCs w:val="20"/>
          <w:lang w:val="en-GB"/>
        </w:rPr>
        <w:t>Mastrogiorgio</w:t>
      </w:r>
      <w:proofErr w:type="spellEnd"/>
      <w:r w:rsidRPr="0082106E">
        <w:rPr>
          <w:rFonts w:ascii="Times New Roman" w:hAnsi="Times New Roman" w:cs="Times New Roman"/>
          <w:color w:val="000000" w:themeColor="text1"/>
          <w:sz w:val="20"/>
          <w:szCs w:val="20"/>
          <w:lang w:val="en-GB"/>
        </w:rPr>
        <w:t>, M. (2016). Factor markets, actors, and affordances. Industrial and Corporate Change, 25(1), 133-147.</w:t>
      </w:r>
    </w:p>
    <w:p w14:paraId="70AF1825" w14:textId="32DD3A3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82106E">
        <w:rPr>
          <w:rFonts w:ascii="Times New Roman" w:hAnsi="Times New Roman" w:cs="Times New Roman"/>
          <w:color w:val="000000" w:themeColor="text1"/>
          <w:sz w:val="20"/>
          <w:szCs w:val="20"/>
          <w:lang w:val="en-GB"/>
        </w:rPr>
        <w:t xml:space="preserve">Fischer, M. M. &amp; Nijkamp, P. (2009). </w:t>
      </w:r>
      <w:r w:rsidRPr="00B5549F">
        <w:rPr>
          <w:rFonts w:ascii="Times New Roman" w:hAnsi="Times New Roman" w:cs="Times New Roman"/>
          <w:color w:val="000000" w:themeColor="text1"/>
          <w:sz w:val="20"/>
          <w:szCs w:val="20"/>
          <w:lang w:val="en-US"/>
        </w:rPr>
        <w:t>Entrepreneurship and regional development. Serie Research Memoranda 0035 Academic Press VU University Amsterdam, NL.</w:t>
      </w:r>
    </w:p>
    <w:p w14:paraId="083E460C" w14:textId="77777777" w:rsidR="006B5934" w:rsidRPr="0082106E" w:rsidRDefault="006B5934" w:rsidP="00935096">
      <w:pPr>
        <w:spacing w:before="120" w:after="120"/>
        <w:ind w:hanging="284"/>
        <w:jc w:val="both"/>
        <w:rPr>
          <w:rFonts w:ascii="Times New Roman" w:hAnsi="Times New Roman" w:cs="Times New Roman"/>
          <w:color w:val="000000" w:themeColor="text1"/>
          <w:sz w:val="20"/>
          <w:szCs w:val="20"/>
          <w:lang w:val="fr-FR"/>
        </w:rPr>
      </w:pPr>
      <w:r w:rsidRPr="0082106E">
        <w:rPr>
          <w:rFonts w:ascii="Times New Roman" w:hAnsi="Times New Roman" w:cs="Times New Roman"/>
          <w:color w:val="000000" w:themeColor="text1"/>
          <w:sz w:val="20"/>
          <w:szCs w:val="20"/>
          <w:lang w:val="en-GB"/>
        </w:rPr>
        <w:t xml:space="preserve">Folta, T. B., Delmar, F. É. &amp; Wennberg, K. (2010). </w:t>
      </w:r>
      <w:proofErr w:type="spellStart"/>
      <w:r w:rsidRPr="0082106E">
        <w:rPr>
          <w:rFonts w:ascii="Times New Roman" w:hAnsi="Times New Roman" w:cs="Times New Roman"/>
          <w:color w:val="000000" w:themeColor="text1"/>
          <w:sz w:val="20"/>
          <w:szCs w:val="20"/>
          <w:lang w:val="fr-FR"/>
        </w:rPr>
        <w:t>Hybrid</w:t>
      </w:r>
      <w:proofErr w:type="spellEnd"/>
      <w:r w:rsidRPr="0082106E">
        <w:rPr>
          <w:rFonts w:ascii="Times New Roman" w:hAnsi="Times New Roman" w:cs="Times New Roman"/>
          <w:color w:val="000000" w:themeColor="text1"/>
          <w:sz w:val="20"/>
          <w:szCs w:val="20"/>
          <w:lang w:val="fr-FR"/>
        </w:rPr>
        <w:t xml:space="preserve"> </w:t>
      </w:r>
      <w:proofErr w:type="spellStart"/>
      <w:r w:rsidRPr="0082106E">
        <w:rPr>
          <w:rFonts w:ascii="Times New Roman" w:hAnsi="Times New Roman" w:cs="Times New Roman"/>
          <w:color w:val="000000" w:themeColor="text1"/>
          <w:sz w:val="20"/>
          <w:szCs w:val="20"/>
          <w:lang w:val="fr-FR"/>
        </w:rPr>
        <w:t>entrepreneurship</w:t>
      </w:r>
      <w:proofErr w:type="spellEnd"/>
      <w:r w:rsidRPr="0082106E">
        <w:rPr>
          <w:rFonts w:ascii="Times New Roman" w:hAnsi="Times New Roman" w:cs="Times New Roman"/>
          <w:color w:val="000000" w:themeColor="text1"/>
          <w:sz w:val="20"/>
          <w:szCs w:val="20"/>
          <w:lang w:val="fr-FR"/>
        </w:rPr>
        <w:t>. Management Science, 56(2), 253–269. https://doi.org/10.1287/mnsc.1090.1094</w:t>
      </w:r>
    </w:p>
    <w:p w14:paraId="5811DE8C"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Freytag, A. &amp; </w:t>
      </w:r>
      <w:proofErr w:type="spellStart"/>
      <w:r w:rsidRPr="00B5549F">
        <w:rPr>
          <w:rFonts w:ascii="Times New Roman" w:hAnsi="Times New Roman" w:cs="Times New Roman"/>
          <w:color w:val="000000" w:themeColor="text1"/>
          <w:sz w:val="20"/>
          <w:szCs w:val="20"/>
          <w:lang w:val="en-US"/>
        </w:rPr>
        <w:t>Thurik</w:t>
      </w:r>
      <w:proofErr w:type="spellEnd"/>
      <w:r w:rsidRPr="00B5549F">
        <w:rPr>
          <w:rFonts w:ascii="Times New Roman" w:hAnsi="Times New Roman" w:cs="Times New Roman"/>
          <w:color w:val="000000" w:themeColor="text1"/>
          <w:sz w:val="20"/>
          <w:szCs w:val="20"/>
          <w:lang w:val="en-US"/>
        </w:rPr>
        <w:t>, R. (2007). Entrepreneurship and its determinants in a cross-country setting. Journal of Evolutionary Economics, 17(2), 117–131. https://doi.org/10.1007/s00191-006-0044-2</w:t>
      </w:r>
    </w:p>
    <w:p w14:paraId="409396CC"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Fritsch, M. &amp; </w:t>
      </w:r>
      <w:proofErr w:type="spellStart"/>
      <w:r w:rsidRPr="00B5549F">
        <w:rPr>
          <w:rFonts w:ascii="Times New Roman" w:hAnsi="Times New Roman" w:cs="Times New Roman"/>
          <w:color w:val="000000" w:themeColor="text1"/>
          <w:sz w:val="20"/>
          <w:szCs w:val="20"/>
          <w:lang w:val="en-US"/>
        </w:rPr>
        <w:t>Aamoucke</w:t>
      </w:r>
      <w:proofErr w:type="spellEnd"/>
      <w:r w:rsidRPr="00B5549F">
        <w:rPr>
          <w:rFonts w:ascii="Times New Roman" w:hAnsi="Times New Roman" w:cs="Times New Roman"/>
          <w:color w:val="000000" w:themeColor="text1"/>
          <w:sz w:val="20"/>
          <w:szCs w:val="20"/>
          <w:lang w:val="en-US"/>
        </w:rPr>
        <w:t>, R. (2013). Regional public research, higher education, and innovative start-ups: an empirical investigation. Small Business Economics, 41(4), 865-885. https://doi.org/10.1007/s11187-013- 9510-z</w:t>
      </w:r>
    </w:p>
    <w:p w14:paraId="715E3A75" w14:textId="6E5D5490"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Fritsch, M. &amp; Wyrwich, M. (2018). Regional knowledge, entrepreneurial culture, and innovative start-ups over time and space―an empirical investigation. Small Business Economics, 51(2), 337–353. https://doi.org/10.1007/s11187-018-0016-6 </w:t>
      </w:r>
    </w:p>
    <w:p w14:paraId="20624253"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Funder, D. C. (2001). Personality. Annual Review of Psychology, 52, 197–221. https://doi.org/10.1146/annurev.psych.52.1.197</w:t>
      </w:r>
    </w:p>
    <w:p w14:paraId="74973C32"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proofErr w:type="spellStart"/>
      <w:r w:rsidRPr="00B5549F">
        <w:rPr>
          <w:rFonts w:ascii="Times New Roman" w:hAnsi="Times New Roman" w:cs="Times New Roman"/>
          <w:color w:val="000000" w:themeColor="text1"/>
          <w:sz w:val="20"/>
          <w:szCs w:val="20"/>
          <w:lang w:val="de-AT"/>
        </w:rPr>
        <w:t>Gänser</w:t>
      </w:r>
      <w:proofErr w:type="spellEnd"/>
      <w:r w:rsidRPr="00B5549F">
        <w:rPr>
          <w:rFonts w:ascii="Times New Roman" w:hAnsi="Times New Roman" w:cs="Times New Roman"/>
          <w:color w:val="000000" w:themeColor="text1"/>
          <w:sz w:val="20"/>
          <w:szCs w:val="20"/>
          <w:lang w:val="de-AT"/>
        </w:rPr>
        <w:t xml:space="preserve">-Stickler. G. M., Schulz, M. &amp; </w:t>
      </w:r>
      <w:proofErr w:type="spellStart"/>
      <w:r w:rsidRPr="00B5549F">
        <w:rPr>
          <w:rFonts w:ascii="Times New Roman" w:hAnsi="Times New Roman" w:cs="Times New Roman"/>
          <w:color w:val="000000" w:themeColor="text1"/>
          <w:sz w:val="20"/>
          <w:szCs w:val="20"/>
          <w:lang w:val="de-AT"/>
        </w:rPr>
        <w:t>Schwens</w:t>
      </w:r>
      <w:proofErr w:type="spellEnd"/>
      <w:r w:rsidRPr="00B5549F">
        <w:rPr>
          <w:rFonts w:ascii="Times New Roman" w:hAnsi="Times New Roman" w:cs="Times New Roman"/>
          <w:color w:val="000000" w:themeColor="text1"/>
          <w:sz w:val="20"/>
          <w:szCs w:val="20"/>
          <w:lang w:val="de-AT"/>
        </w:rPr>
        <w:t xml:space="preserve">, C. (2022). </w:t>
      </w:r>
      <w:r w:rsidRPr="00B5549F">
        <w:rPr>
          <w:rFonts w:ascii="Times New Roman" w:hAnsi="Times New Roman" w:cs="Times New Roman"/>
          <w:color w:val="000000" w:themeColor="text1"/>
          <w:sz w:val="20"/>
          <w:szCs w:val="20"/>
          <w:lang w:val="en-US"/>
        </w:rPr>
        <w:t>Sitting on the fence. Untangling the role of uncertainty in entrepreneurship and paid employment for hybrid entry. Journal of Business Venturing, 37 (2). https://doi.org/10.1016/j.jbusvent.2021.106176.</w:t>
      </w:r>
    </w:p>
    <w:p w14:paraId="68ED4665"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GB"/>
        </w:rPr>
        <w:t xml:space="preserve">Garcia-López, M. À., Jofre-Monseny, J., Martínez-Mazza, R. &amp; Segú, M. (2020). </w:t>
      </w:r>
      <w:r w:rsidRPr="00B5549F">
        <w:rPr>
          <w:rFonts w:ascii="Times New Roman" w:hAnsi="Times New Roman" w:cs="Times New Roman"/>
          <w:color w:val="000000" w:themeColor="text1"/>
          <w:sz w:val="20"/>
          <w:szCs w:val="20"/>
          <w:lang w:val="en-US"/>
        </w:rPr>
        <w:t>Do short-term rental platforms affect housing markets? Evidence from Airbnb in Barcelona. Journal of Urban Economics, 119(September), 103278. https://doi.org/10.1016/j.jue.2020.103278</w:t>
      </w:r>
    </w:p>
    <w:p w14:paraId="71B270D2"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Geroski, P. A. (1995). What do we know about entry? International Journal of Industrial Organization, 13(4), 421–440. https://doi.org/10.1016/0167-7187(95)00498-X</w:t>
      </w:r>
    </w:p>
    <w:p w14:paraId="659F2A36"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rPr>
        <w:t xml:space="preserve">Gerwe, O., Silva, R. &amp; Castro, J. de. </w:t>
      </w:r>
      <w:r w:rsidRPr="00B5549F">
        <w:rPr>
          <w:rFonts w:ascii="Times New Roman" w:hAnsi="Times New Roman" w:cs="Times New Roman"/>
          <w:color w:val="000000" w:themeColor="text1"/>
          <w:sz w:val="20"/>
          <w:szCs w:val="20"/>
          <w:lang w:val="en-US"/>
        </w:rPr>
        <w:t>(2022). Entry of providers onto a sharing economy platform: macro-level factors and social interaction. Entrepreneurship Theory and Practice, 46(4), 833–856. https://doi.org/10.1177/1042258720903404</w:t>
      </w:r>
    </w:p>
    <w:p w14:paraId="2623589F"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Gibbs, C., Guttentag, D., </w:t>
      </w:r>
      <w:proofErr w:type="spellStart"/>
      <w:r w:rsidRPr="00B5549F">
        <w:rPr>
          <w:rFonts w:ascii="Times New Roman" w:hAnsi="Times New Roman" w:cs="Times New Roman"/>
          <w:color w:val="000000" w:themeColor="text1"/>
          <w:sz w:val="20"/>
          <w:szCs w:val="20"/>
          <w:lang w:val="en-US"/>
        </w:rPr>
        <w:t>Gretzel</w:t>
      </w:r>
      <w:proofErr w:type="spellEnd"/>
      <w:r w:rsidRPr="00B5549F">
        <w:rPr>
          <w:rFonts w:ascii="Times New Roman" w:hAnsi="Times New Roman" w:cs="Times New Roman"/>
          <w:color w:val="000000" w:themeColor="text1"/>
          <w:sz w:val="20"/>
          <w:szCs w:val="20"/>
          <w:lang w:val="en-US"/>
        </w:rPr>
        <w:t>, U., Yao, L. &amp; Morton, J. (2018). Use of dynamic pricing strategies by Airbnb hosts. International Journal of Contemporary Hospitality Management, 30(1), 2–20. https://doi.org/https://doi.org/10.1108/IJCHM-09-2016-0540</w:t>
      </w:r>
    </w:p>
    <w:p w14:paraId="350BA108" w14:textId="45AC68EF"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Gilchrist, S. &amp; Williams, J. C. (2000). Putty-clay and investment: a business cycle analysis. Journal of Political Economy, 108(5), 928-960.</w:t>
      </w:r>
      <w:r w:rsidR="007503E5" w:rsidRPr="00B5549F">
        <w:rPr>
          <w:rFonts w:ascii="Times New Roman" w:hAnsi="Times New Roman" w:cs="Times New Roman"/>
          <w:color w:val="000000" w:themeColor="text1"/>
          <w:sz w:val="20"/>
          <w:szCs w:val="20"/>
          <w:lang w:val="en-US"/>
        </w:rPr>
        <w:t xml:space="preserve"> </w:t>
      </w:r>
      <w:hyperlink r:id="rId12" w:history="1">
        <w:r w:rsidR="00A82916" w:rsidRPr="0082106E">
          <w:rPr>
            <w:rStyle w:val="Collegamentoipertestuale"/>
            <w:rFonts w:ascii="Times New Roman" w:hAnsi="Times New Roman" w:cs="Times New Roman"/>
            <w:color w:val="000000" w:themeColor="text1"/>
            <w:sz w:val="20"/>
            <w:szCs w:val="20"/>
            <w:u w:val="none"/>
            <w:lang w:val="en-US"/>
          </w:rPr>
          <w:t>https://doi.org/10.1086/317673</w:t>
        </w:r>
      </w:hyperlink>
    </w:p>
    <w:p w14:paraId="52686610" w14:textId="0818C0B4" w:rsidR="00A82916" w:rsidRPr="00B5549F" w:rsidRDefault="00A82916"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Glaeser, E. L., &amp; Kerr, W. R. (2009). Local industrial conditions and entrepreneurship: how much of the spatial distribution can we explain?. Journal of Economics &amp; Management Strategy, 18(3), 623-663. https://doi.org/10.1111/j.1530-9134.2009.00225.x</w:t>
      </w:r>
    </w:p>
    <w:p w14:paraId="1A2D7E82"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lastRenderedPageBreak/>
        <w:t>Hagiu, A. (2007). Multi-sided platforms: from microfoundations to design and expansion strategies. Harvard Business School Strategy Unit Working Paper 09-115. http://www.hbs.edu/faculty/Publication Files/07- 094.pdf.</w:t>
      </w:r>
    </w:p>
    <w:p w14:paraId="7A6425EA" w14:textId="29CC56B9"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Hannan, M. T. &amp; Freeman, J. (1977). The population ecology of organizations. American Journal of Sociology, 82(5), 929–964. https://doi.org/10.1086/226424</w:t>
      </w:r>
    </w:p>
    <w:p w14:paraId="6F0F6B48"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Hartog, C., Parker, S., van Stel, A. &amp; </w:t>
      </w:r>
      <w:proofErr w:type="spellStart"/>
      <w:r w:rsidRPr="00B5549F">
        <w:rPr>
          <w:rFonts w:ascii="Times New Roman" w:hAnsi="Times New Roman" w:cs="Times New Roman"/>
          <w:color w:val="000000" w:themeColor="text1"/>
          <w:sz w:val="20"/>
          <w:szCs w:val="20"/>
          <w:lang w:val="en-US"/>
        </w:rPr>
        <w:t>Thurik</w:t>
      </w:r>
      <w:proofErr w:type="spellEnd"/>
      <w:r w:rsidRPr="00B5549F">
        <w:rPr>
          <w:rFonts w:ascii="Times New Roman" w:hAnsi="Times New Roman" w:cs="Times New Roman"/>
          <w:color w:val="000000" w:themeColor="text1"/>
          <w:sz w:val="20"/>
          <w:szCs w:val="20"/>
          <w:lang w:val="en-US"/>
        </w:rPr>
        <w:t>, R. (2010). The two-way relationship between entrepreneurship and economic performance, Scales Report H200822.</w:t>
      </w:r>
    </w:p>
    <w:p w14:paraId="3D938AF0"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Hayek, F.A. (1945). The use of knowledge in society. American Economic Review, 35(4), 519–530. http://www.jstor.org/stable/1809376</w:t>
      </w:r>
    </w:p>
    <w:p w14:paraId="6045F4AC"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Haynes, M. &amp; Thompson, S. (2013). Entry and exit behavior in the absence of sunk costs: evidence from a price comparison site. Review of Industrial Organization, 42(1), 1–23. https://doi.org/10.1007/s11151- 012-9358-4</w:t>
      </w:r>
    </w:p>
    <w:p w14:paraId="76C8625E"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82106E">
        <w:rPr>
          <w:rFonts w:ascii="Times New Roman" w:hAnsi="Times New Roman" w:cs="Times New Roman"/>
          <w:color w:val="000000" w:themeColor="text1"/>
          <w:sz w:val="20"/>
          <w:szCs w:val="20"/>
          <w:lang w:val="en-GB"/>
        </w:rPr>
        <w:t xml:space="preserve">Jensen, M.C. &amp; Meckling, W. H. (1996). </w:t>
      </w:r>
      <w:r w:rsidRPr="00B5549F">
        <w:rPr>
          <w:rFonts w:ascii="Times New Roman" w:hAnsi="Times New Roman" w:cs="Times New Roman"/>
          <w:color w:val="000000" w:themeColor="text1"/>
          <w:sz w:val="20"/>
          <w:szCs w:val="20"/>
          <w:lang w:val="en-US"/>
        </w:rPr>
        <w:t>Specific and general knowledge, and organizational structure. Routledge, Abingdon, Oxfordshire, UK.</w:t>
      </w:r>
    </w:p>
    <w:p w14:paraId="0072A1F8"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Johns, G. (2006). The essential impact of context on organizational behavior. Academy of Management Review, 31 (2), 386-408. https://doi.org/10.5465/amr.2006.20208687</w:t>
      </w:r>
    </w:p>
    <w:p w14:paraId="48BC5746"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lang w:val="en-US"/>
        </w:rPr>
        <w:t xml:space="preserve">Jovanovic, B. (1982). Selection and the evolution of industry. </w:t>
      </w:r>
      <w:r w:rsidRPr="00B5549F">
        <w:rPr>
          <w:rFonts w:ascii="Times New Roman" w:hAnsi="Times New Roman" w:cs="Times New Roman"/>
          <w:color w:val="000000" w:themeColor="text1"/>
          <w:sz w:val="20"/>
          <w:szCs w:val="20"/>
        </w:rPr>
        <w:t>Econometrica, 50(3), 649–670. http://www.jstor.org/stable/1912606</w:t>
      </w:r>
    </w:p>
    <w:p w14:paraId="7C6CEA66"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Kacperczyk, A. J. (2013). Social influence and entrepreneurship: the effect of university peers on entrepreneurial entry. Organization Science, 24(3), 664–683. https://doi.org/10.1287/orsc.1120.0773</w:t>
      </w:r>
    </w:p>
    <w:p w14:paraId="0D81FDFE" w14:textId="33FBFA8E"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82106E">
        <w:rPr>
          <w:rFonts w:ascii="Times New Roman" w:hAnsi="Times New Roman" w:cs="Times New Roman"/>
          <w:color w:val="000000" w:themeColor="text1"/>
          <w:sz w:val="20"/>
          <w:szCs w:val="20"/>
          <w:lang w:val="en-US"/>
        </w:rPr>
        <w:t xml:space="preserve">Kerr, W. R., Nanda, R. &amp; Rhodes-Kropf, M. (2014). </w:t>
      </w:r>
      <w:r w:rsidRPr="00B5549F">
        <w:rPr>
          <w:rFonts w:ascii="Times New Roman" w:hAnsi="Times New Roman" w:cs="Times New Roman"/>
          <w:color w:val="000000" w:themeColor="text1"/>
          <w:sz w:val="20"/>
          <w:szCs w:val="20"/>
          <w:lang w:val="en-US"/>
        </w:rPr>
        <w:t xml:space="preserve">Entrepreneurship as experimentation. Journal of Economic Perspectives, 28(3), 25–48. https://doi.org/10.1257/jep.28.3.25 </w:t>
      </w:r>
    </w:p>
    <w:p w14:paraId="5E492CA9"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proofErr w:type="spellStart"/>
      <w:r w:rsidRPr="00B5549F">
        <w:rPr>
          <w:rFonts w:ascii="Times New Roman" w:hAnsi="Times New Roman" w:cs="Times New Roman"/>
          <w:color w:val="000000" w:themeColor="text1"/>
          <w:sz w:val="20"/>
          <w:szCs w:val="20"/>
          <w:lang w:val="en-US"/>
        </w:rPr>
        <w:t>Kimjeon</w:t>
      </w:r>
      <w:proofErr w:type="spellEnd"/>
      <w:r w:rsidRPr="00B5549F">
        <w:rPr>
          <w:rFonts w:ascii="Times New Roman" w:hAnsi="Times New Roman" w:cs="Times New Roman"/>
          <w:color w:val="000000" w:themeColor="text1"/>
          <w:sz w:val="20"/>
          <w:szCs w:val="20"/>
          <w:lang w:val="en-US"/>
        </w:rPr>
        <w:t>, J. &amp; Davidsson, P. (2022). External enablers of entrepreneurship: a review and agenda for accumulation of strategically actionable knowledge. Entrepreneurship Theory and Practice, 46(3), 643– 687. https://doi.org/10.1177/10422587211010673</w:t>
      </w:r>
    </w:p>
    <w:p w14:paraId="38432FFA" w14:textId="0E4169D9"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Kirzner, I. M. (1973). Competition and entrepreneurship. University of Chicago Press, Chicago (IL).</w:t>
      </w:r>
    </w:p>
    <w:p w14:paraId="7E865D28" w14:textId="11AAEB8E" w:rsidR="003F7D2C" w:rsidRPr="0082106E" w:rsidRDefault="003F7D2C" w:rsidP="00935096">
      <w:pPr>
        <w:spacing w:before="120" w:after="120"/>
        <w:ind w:hanging="284"/>
        <w:jc w:val="both"/>
        <w:rPr>
          <w:rFonts w:ascii="Times New Roman" w:hAnsi="Times New Roman" w:cs="Times New Roman"/>
          <w:color w:val="000000" w:themeColor="text1"/>
          <w:sz w:val="20"/>
          <w:szCs w:val="20"/>
          <w:lang w:val="fr-FR"/>
        </w:rPr>
      </w:pPr>
      <w:r w:rsidRPr="00B5549F">
        <w:rPr>
          <w:rFonts w:ascii="Times New Roman" w:hAnsi="Times New Roman" w:cs="Times New Roman"/>
          <w:color w:val="000000" w:themeColor="text1"/>
          <w:sz w:val="20"/>
          <w:szCs w:val="20"/>
          <w:lang w:val="en-US"/>
        </w:rPr>
        <w:t xml:space="preserve">Klein, P.G. (2008). </w:t>
      </w:r>
      <w:proofErr w:type="spellStart"/>
      <w:r w:rsidRPr="00B5549F">
        <w:rPr>
          <w:rFonts w:ascii="Times New Roman" w:hAnsi="Times New Roman" w:cs="Times New Roman"/>
          <w:color w:val="000000" w:themeColor="text1"/>
          <w:sz w:val="20"/>
          <w:szCs w:val="20"/>
          <w:lang w:val="en-US"/>
        </w:rPr>
        <w:t>Opportuity</w:t>
      </w:r>
      <w:proofErr w:type="spellEnd"/>
      <w:r w:rsidRPr="00B5549F">
        <w:rPr>
          <w:rFonts w:ascii="Times New Roman" w:hAnsi="Times New Roman" w:cs="Times New Roman"/>
          <w:color w:val="000000" w:themeColor="text1"/>
          <w:sz w:val="20"/>
          <w:szCs w:val="20"/>
          <w:lang w:val="en-US"/>
        </w:rPr>
        <w:t xml:space="preserve"> discovery, entrepreneurial action, and economic organization. </w:t>
      </w:r>
      <w:r w:rsidRPr="0082106E">
        <w:rPr>
          <w:rFonts w:ascii="Times New Roman" w:hAnsi="Times New Roman" w:cs="Times New Roman"/>
          <w:color w:val="000000" w:themeColor="text1"/>
          <w:sz w:val="20"/>
          <w:szCs w:val="20"/>
          <w:lang w:val="fr-FR"/>
        </w:rPr>
        <w:t xml:space="preserve">Strategic Entrepreneurship Journal, 2(3), 175-190. </w:t>
      </w:r>
      <w:r w:rsidR="007503E5" w:rsidRPr="0082106E">
        <w:rPr>
          <w:rFonts w:ascii="Times New Roman" w:hAnsi="Times New Roman" w:cs="Times New Roman"/>
          <w:color w:val="000000" w:themeColor="text1"/>
          <w:sz w:val="20"/>
          <w:szCs w:val="20"/>
          <w:lang w:val="fr-FR"/>
        </w:rPr>
        <w:t>https://doi.org/10.1002/sej.50</w:t>
      </w:r>
    </w:p>
    <w:p w14:paraId="4C867324" w14:textId="00C764DC"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82106E">
        <w:rPr>
          <w:rFonts w:ascii="Times New Roman" w:hAnsi="Times New Roman" w:cs="Times New Roman"/>
          <w:color w:val="000000" w:themeColor="text1"/>
          <w:sz w:val="20"/>
          <w:szCs w:val="20"/>
          <w:lang w:val="fr-FR"/>
        </w:rPr>
        <w:t xml:space="preserve">Kwok, L. &amp; Xie, K. L. (2019). </w:t>
      </w:r>
      <w:r w:rsidRPr="00B5549F">
        <w:rPr>
          <w:rFonts w:ascii="Times New Roman" w:hAnsi="Times New Roman" w:cs="Times New Roman"/>
          <w:color w:val="000000" w:themeColor="text1"/>
          <w:sz w:val="20"/>
          <w:szCs w:val="20"/>
          <w:lang w:val="en-US"/>
        </w:rPr>
        <w:t>Pricing strategies on Airbnb: Are multi-unit hosts revenue pros? International Journal of Hospitality Management, 82, 252–259. https://doi.org/10.1016/j.ijhm.2018.09.013</w:t>
      </w:r>
    </w:p>
    <w:p w14:paraId="4ECBD3E4" w14:textId="308D912F"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Lee, S. Y., Florida, R. &amp; Acs, Z. J. (2004). Creativity and entrepreneurship: a regional analysis of new firm formation. Regional Studies, 38(8), 879–891. https://doi.org/10.1080/0034340042000280910</w:t>
      </w:r>
    </w:p>
    <w:p w14:paraId="7C8CB721"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Lerner, J. (2009). Boulevard of Broken Dreams. Princeton University Press, Princeton (NJ).</w:t>
      </w:r>
    </w:p>
    <w:p w14:paraId="3D5A5D02"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Lerner, M. &amp; Haber, S. (2001). Performance factors of small tourism ventures: The interface of tourism, entrepreneurship and the environment. Journal of Business Venturing, 16(1), 77–100. https://doi.org/10.1016/s0883-9026(99)00038-5</w:t>
      </w:r>
    </w:p>
    <w:p w14:paraId="4EAEDE7B" w14:textId="77777777" w:rsidR="006B5934" w:rsidRPr="0082106E" w:rsidRDefault="006B5934" w:rsidP="00935096">
      <w:pPr>
        <w:spacing w:before="120" w:after="120"/>
        <w:ind w:hanging="284"/>
        <w:jc w:val="both"/>
        <w:rPr>
          <w:rFonts w:ascii="Times New Roman" w:hAnsi="Times New Roman" w:cs="Times New Roman"/>
          <w:color w:val="000000" w:themeColor="text1"/>
          <w:sz w:val="20"/>
          <w:szCs w:val="20"/>
          <w:lang w:val="fr-FR"/>
        </w:rPr>
      </w:pPr>
      <w:r w:rsidRPr="00B5549F">
        <w:rPr>
          <w:rFonts w:ascii="Times New Roman" w:hAnsi="Times New Roman" w:cs="Times New Roman"/>
          <w:color w:val="000000" w:themeColor="text1"/>
          <w:sz w:val="20"/>
          <w:szCs w:val="20"/>
          <w:lang w:val="en-US"/>
        </w:rPr>
        <w:t xml:space="preserve">Li, H. &amp; Srinivasan, K. (2019). Competitive dynamics in the sharing economy: An analysis in the context of </w:t>
      </w:r>
      <w:proofErr w:type="spellStart"/>
      <w:r w:rsidRPr="00B5549F">
        <w:rPr>
          <w:rFonts w:ascii="Times New Roman" w:hAnsi="Times New Roman" w:cs="Times New Roman"/>
          <w:color w:val="000000" w:themeColor="text1"/>
          <w:sz w:val="20"/>
          <w:szCs w:val="20"/>
          <w:lang w:val="en-US"/>
        </w:rPr>
        <w:t>airbnb</w:t>
      </w:r>
      <w:proofErr w:type="spellEnd"/>
      <w:r w:rsidRPr="00B5549F">
        <w:rPr>
          <w:rFonts w:ascii="Times New Roman" w:hAnsi="Times New Roman" w:cs="Times New Roman"/>
          <w:color w:val="000000" w:themeColor="text1"/>
          <w:sz w:val="20"/>
          <w:szCs w:val="20"/>
          <w:lang w:val="en-US"/>
        </w:rPr>
        <w:t xml:space="preserve"> and hotels. </w:t>
      </w:r>
      <w:r w:rsidRPr="0082106E">
        <w:rPr>
          <w:rFonts w:ascii="Times New Roman" w:hAnsi="Times New Roman" w:cs="Times New Roman"/>
          <w:color w:val="000000" w:themeColor="text1"/>
          <w:sz w:val="20"/>
          <w:szCs w:val="20"/>
          <w:lang w:val="fr-FR"/>
        </w:rPr>
        <w:t>Marketing Science, 38(3), 365–391. https://doi.org/10.1287/mksc.2018.1143</w:t>
      </w:r>
    </w:p>
    <w:p w14:paraId="1F8563A7" w14:textId="1787E872"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82106E">
        <w:rPr>
          <w:rFonts w:ascii="Times New Roman" w:hAnsi="Times New Roman" w:cs="Times New Roman"/>
          <w:color w:val="000000" w:themeColor="text1"/>
          <w:sz w:val="20"/>
          <w:szCs w:val="20"/>
          <w:lang w:val="fr-FR"/>
        </w:rPr>
        <w:t xml:space="preserve">Marco-Lajara, B., Claver-Cortés, E., </w:t>
      </w:r>
      <w:proofErr w:type="spellStart"/>
      <w:r w:rsidRPr="0082106E">
        <w:rPr>
          <w:rFonts w:ascii="Times New Roman" w:hAnsi="Times New Roman" w:cs="Times New Roman"/>
          <w:color w:val="000000" w:themeColor="text1"/>
          <w:sz w:val="20"/>
          <w:szCs w:val="20"/>
          <w:lang w:val="fr-FR"/>
        </w:rPr>
        <w:t>Úbeda</w:t>
      </w:r>
      <w:proofErr w:type="spellEnd"/>
      <w:r w:rsidRPr="0082106E">
        <w:rPr>
          <w:rFonts w:ascii="Times New Roman" w:hAnsi="Times New Roman" w:cs="Times New Roman"/>
          <w:color w:val="000000" w:themeColor="text1"/>
          <w:sz w:val="20"/>
          <w:szCs w:val="20"/>
          <w:lang w:val="fr-FR"/>
        </w:rPr>
        <w:t xml:space="preserve">-García, M. &amp; Zaragoza-Sáez, P. D. C. (2016). </w:t>
      </w:r>
      <w:r w:rsidRPr="00B5549F">
        <w:rPr>
          <w:rFonts w:ascii="Times New Roman" w:hAnsi="Times New Roman" w:cs="Times New Roman"/>
          <w:color w:val="000000" w:themeColor="text1"/>
          <w:sz w:val="20"/>
          <w:szCs w:val="20"/>
          <w:lang w:val="en-US"/>
        </w:rPr>
        <w:t>Hotel performance and agglomeration of tourist districts. Regional Studies, 50(6), 1016-1035.</w:t>
      </w:r>
      <w:r w:rsidR="007503E5" w:rsidRPr="00B5549F">
        <w:rPr>
          <w:color w:val="000000" w:themeColor="text1"/>
          <w:lang w:val="en-US"/>
        </w:rPr>
        <w:t xml:space="preserve"> </w:t>
      </w:r>
      <w:r w:rsidR="007503E5" w:rsidRPr="00B5549F">
        <w:rPr>
          <w:rFonts w:ascii="Times New Roman" w:hAnsi="Times New Roman" w:cs="Times New Roman"/>
          <w:color w:val="000000" w:themeColor="text1"/>
          <w:sz w:val="20"/>
          <w:szCs w:val="20"/>
          <w:lang w:val="en-US"/>
        </w:rPr>
        <w:t>https://doi.org/10.1080/00343404.2014.954535</w:t>
      </w:r>
    </w:p>
    <w:p w14:paraId="5B4CC333"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Marshall, A. (1890) Principles of economics. Macmillan, London.</w:t>
      </w:r>
    </w:p>
    <w:p w14:paraId="57B8A393" w14:textId="36B7D83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McBride, R. &amp; Wuebker, R. (2022). Social objectivity and entrepreneurial opportunities. Academy of Management Review, 47 (1), 75-92. https://doi.org/10.5465/amr.2017.0451</w:t>
      </w:r>
    </w:p>
    <w:p w14:paraId="71C190D5" w14:textId="6C8337C9"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de-AT"/>
        </w:rPr>
      </w:pPr>
      <w:r w:rsidRPr="0082106E">
        <w:rPr>
          <w:rFonts w:ascii="Times New Roman" w:hAnsi="Times New Roman" w:cs="Times New Roman"/>
          <w:color w:val="000000" w:themeColor="text1"/>
          <w:sz w:val="20"/>
          <w:szCs w:val="20"/>
          <w:lang w:val="nl-NL"/>
        </w:rPr>
        <w:t xml:space="preserve">McCann, B. T. &amp; Vroom, G. (2010). </w:t>
      </w:r>
      <w:r w:rsidRPr="00B5549F">
        <w:rPr>
          <w:rFonts w:ascii="Times New Roman" w:hAnsi="Times New Roman" w:cs="Times New Roman"/>
          <w:color w:val="000000" w:themeColor="text1"/>
          <w:sz w:val="20"/>
          <w:szCs w:val="20"/>
          <w:lang w:val="en-US"/>
        </w:rPr>
        <w:t xml:space="preserve">Pricing response to entry and agglomeration effects. </w:t>
      </w:r>
      <w:r w:rsidRPr="00B5549F">
        <w:rPr>
          <w:rFonts w:ascii="Times New Roman" w:hAnsi="Times New Roman" w:cs="Times New Roman"/>
          <w:color w:val="000000" w:themeColor="text1"/>
          <w:sz w:val="20"/>
          <w:szCs w:val="20"/>
          <w:lang w:val="de-AT"/>
        </w:rPr>
        <w:t>Strategic Management Journal, 31(3), 284–305. https://doi.org/https://doi.org/10.1002/smj.805</w:t>
      </w:r>
    </w:p>
    <w:p w14:paraId="29DE1CB6"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de-AT"/>
        </w:rPr>
        <w:t xml:space="preserve">McGrath, R. G., MacMillan, I. C. &amp; Scheinberg, S. (1992). </w:t>
      </w:r>
      <w:r w:rsidRPr="00B5549F">
        <w:rPr>
          <w:rFonts w:ascii="Times New Roman" w:hAnsi="Times New Roman" w:cs="Times New Roman"/>
          <w:color w:val="000000" w:themeColor="text1"/>
          <w:sz w:val="20"/>
          <w:szCs w:val="20"/>
          <w:lang w:val="en-US"/>
        </w:rPr>
        <w:t>Elitists, risk-takers, and rugged individualists? An exploratory analysis of cultural differences between entrepreneurs and non-entrepreneurs. Journal of Business Venturing, 7(2), 115–135. https://doi.org/10.1016/0883-9026(92)90008-F</w:t>
      </w:r>
    </w:p>
    <w:p w14:paraId="49004A28" w14:textId="11ED7083"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Nambisan, S. &amp; Baron, R. A. (2021). On the costs of digital entrepreneurship: role conflict, stress, and venture performance in digital platform-based ecosystems.</w:t>
      </w:r>
      <w:r w:rsidR="00E02797" w:rsidRPr="00B5549F">
        <w:rPr>
          <w:rFonts w:ascii="Times New Roman" w:hAnsi="Times New Roman" w:cs="Times New Roman"/>
          <w:color w:val="000000" w:themeColor="text1"/>
          <w:sz w:val="20"/>
          <w:szCs w:val="20"/>
          <w:lang w:val="en-US"/>
        </w:rPr>
        <w:t xml:space="preserve"> </w:t>
      </w:r>
      <w:r w:rsidRPr="00B5549F">
        <w:rPr>
          <w:rFonts w:ascii="Times New Roman" w:hAnsi="Times New Roman" w:cs="Times New Roman"/>
          <w:color w:val="000000" w:themeColor="text1"/>
          <w:sz w:val="20"/>
          <w:szCs w:val="20"/>
          <w:lang w:val="en-US"/>
        </w:rPr>
        <w:t>Journal of Business Research,125, 520-532. https://doi.org/10.1016/j.jbusres.2019.06.037</w:t>
      </w:r>
    </w:p>
    <w:p w14:paraId="2B29CAC8"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82106E">
        <w:rPr>
          <w:rFonts w:ascii="Times New Roman" w:hAnsi="Times New Roman" w:cs="Times New Roman"/>
          <w:color w:val="000000" w:themeColor="text1"/>
          <w:sz w:val="20"/>
          <w:szCs w:val="20"/>
          <w:lang w:val="en-GB"/>
        </w:rPr>
        <w:lastRenderedPageBreak/>
        <w:t xml:space="preserve">Nambisan, S., Siegel, D. &amp; Kenney, M. (2018). </w:t>
      </w:r>
      <w:r w:rsidRPr="00B5549F">
        <w:rPr>
          <w:rFonts w:ascii="Times New Roman" w:hAnsi="Times New Roman" w:cs="Times New Roman"/>
          <w:color w:val="000000" w:themeColor="text1"/>
          <w:sz w:val="20"/>
          <w:szCs w:val="20"/>
          <w:lang w:val="en-US"/>
        </w:rPr>
        <w:t>On open innovation, platforms, and entrepreneurship. Strategic Entrepreneurship Journal, 12(3), 354–368. https://doi.org/10.1002/sej.1300</w:t>
      </w:r>
    </w:p>
    <w:p w14:paraId="7D5523DC" w14:textId="77777777" w:rsidR="006B5934" w:rsidRPr="0082106E" w:rsidRDefault="006B5934" w:rsidP="00935096">
      <w:pPr>
        <w:spacing w:before="120" w:after="120"/>
        <w:ind w:hanging="284"/>
        <w:jc w:val="both"/>
        <w:rPr>
          <w:rFonts w:ascii="Times New Roman" w:hAnsi="Times New Roman" w:cs="Times New Roman"/>
          <w:color w:val="000000" w:themeColor="text1"/>
          <w:sz w:val="20"/>
          <w:szCs w:val="20"/>
          <w:lang w:val="en-GB"/>
        </w:rPr>
      </w:pPr>
      <w:r w:rsidRPr="00B5549F">
        <w:rPr>
          <w:rFonts w:ascii="Times New Roman" w:hAnsi="Times New Roman" w:cs="Times New Roman"/>
          <w:color w:val="000000" w:themeColor="text1"/>
          <w:sz w:val="20"/>
          <w:szCs w:val="20"/>
          <w:lang w:val="en-US"/>
        </w:rPr>
        <w:t xml:space="preserve">Nickell, S. (1981). Biases in dynamic models with fixed effects. </w:t>
      </w:r>
      <w:proofErr w:type="spellStart"/>
      <w:r w:rsidRPr="0082106E">
        <w:rPr>
          <w:rFonts w:ascii="Times New Roman" w:hAnsi="Times New Roman" w:cs="Times New Roman"/>
          <w:color w:val="000000" w:themeColor="text1"/>
          <w:sz w:val="20"/>
          <w:szCs w:val="20"/>
          <w:lang w:val="en-GB"/>
        </w:rPr>
        <w:t>Econometrica</w:t>
      </w:r>
      <w:proofErr w:type="spellEnd"/>
      <w:r w:rsidRPr="0082106E">
        <w:rPr>
          <w:rFonts w:ascii="Times New Roman" w:hAnsi="Times New Roman" w:cs="Times New Roman"/>
          <w:color w:val="000000" w:themeColor="text1"/>
          <w:sz w:val="20"/>
          <w:szCs w:val="20"/>
          <w:lang w:val="en-GB"/>
        </w:rPr>
        <w:t>, 49(6), 1417–1426. https://doi.org/https://www.jstor.org/stable/1911408</w:t>
      </w:r>
    </w:p>
    <w:p w14:paraId="464D9A85" w14:textId="77777777" w:rsidR="006B5934" w:rsidRPr="0082106E" w:rsidRDefault="006B5934" w:rsidP="00935096">
      <w:pPr>
        <w:spacing w:before="120" w:after="120"/>
        <w:ind w:hanging="284"/>
        <w:jc w:val="both"/>
        <w:rPr>
          <w:rFonts w:ascii="Times New Roman" w:hAnsi="Times New Roman" w:cs="Times New Roman"/>
          <w:color w:val="000000" w:themeColor="text1"/>
          <w:sz w:val="20"/>
          <w:szCs w:val="20"/>
          <w:lang w:val="fr-FR"/>
        </w:rPr>
      </w:pPr>
      <w:r w:rsidRPr="0082106E">
        <w:rPr>
          <w:rFonts w:ascii="Times New Roman" w:hAnsi="Times New Roman" w:cs="Times New Roman"/>
          <w:color w:val="000000" w:themeColor="text1"/>
          <w:sz w:val="20"/>
          <w:szCs w:val="20"/>
          <w:lang w:val="en-GB"/>
        </w:rPr>
        <w:t xml:space="preserve">Parker, G. G. &amp; Van Alstyne, M. W. (2005). </w:t>
      </w:r>
      <w:r w:rsidRPr="00B5549F">
        <w:rPr>
          <w:rFonts w:ascii="Times New Roman" w:hAnsi="Times New Roman" w:cs="Times New Roman"/>
          <w:color w:val="000000" w:themeColor="text1"/>
          <w:sz w:val="20"/>
          <w:szCs w:val="20"/>
          <w:lang w:val="en-US"/>
        </w:rPr>
        <w:t xml:space="preserve">Two-sided network effects: a theory of information product design. </w:t>
      </w:r>
      <w:r w:rsidRPr="0082106E">
        <w:rPr>
          <w:rFonts w:ascii="Times New Roman" w:hAnsi="Times New Roman" w:cs="Times New Roman"/>
          <w:color w:val="000000" w:themeColor="text1"/>
          <w:sz w:val="20"/>
          <w:szCs w:val="20"/>
          <w:lang w:val="fr-FR"/>
        </w:rPr>
        <w:t>Management Science, 51(10), 1494-1504. https://doi.org/10.1287/mnsc.1050.0400</w:t>
      </w:r>
    </w:p>
    <w:p w14:paraId="2A2DB3DD"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proofErr w:type="spellStart"/>
      <w:r w:rsidRPr="0082106E">
        <w:rPr>
          <w:rFonts w:ascii="Times New Roman" w:hAnsi="Times New Roman" w:cs="Times New Roman"/>
          <w:color w:val="000000" w:themeColor="text1"/>
          <w:sz w:val="20"/>
          <w:szCs w:val="20"/>
          <w:lang w:val="fr-FR"/>
        </w:rPr>
        <w:t>Raffiee</w:t>
      </w:r>
      <w:proofErr w:type="spellEnd"/>
      <w:r w:rsidRPr="0082106E">
        <w:rPr>
          <w:rFonts w:ascii="Times New Roman" w:hAnsi="Times New Roman" w:cs="Times New Roman"/>
          <w:color w:val="000000" w:themeColor="text1"/>
          <w:sz w:val="20"/>
          <w:szCs w:val="20"/>
          <w:lang w:val="fr-FR"/>
        </w:rPr>
        <w:t xml:space="preserve">, J. &amp; Feng, J. (2014). </w:t>
      </w:r>
      <w:r w:rsidRPr="00B5549F">
        <w:rPr>
          <w:rFonts w:ascii="Times New Roman" w:hAnsi="Times New Roman" w:cs="Times New Roman"/>
          <w:color w:val="000000" w:themeColor="text1"/>
          <w:sz w:val="20"/>
          <w:szCs w:val="20"/>
          <w:lang w:val="en-US"/>
        </w:rPr>
        <w:t>Should I quit my day job? A hybrid path to entrepreneurship. Academy of Management Journal, 57(4), 936–963. https://doi.org/10.5465/amj.2012.0522</w:t>
      </w:r>
    </w:p>
    <w:p w14:paraId="3659ED11"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Reed, W. R. &amp; Zhu, M. (2017). On estimating long-run effects in models with lagged dependent variables. Economic Modelling, 64(December 2016), 302–311. https://doi.org/10.1016/j.econmod.2017.04.006</w:t>
      </w:r>
    </w:p>
    <w:p w14:paraId="32E87F77"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82106E">
        <w:rPr>
          <w:rFonts w:ascii="Times New Roman" w:hAnsi="Times New Roman" w:cs="Times New Roman"/>
          <w:color w:val="000000" w:themeColor="text1"/>
          <w:sz w:val="20"/>
          <w:szCs w:val="20"/>
          <w:lang w:val="en-GB"/>
        </w:rPr>
        <w:t xml:space="preserve">Reuber A.R. &amp; Fischer E.M. (1993). </w:t>
      </w:r>
      <w:r w:rsidRPr="00B5549F">
        <w:rPr>
          <w:rFonts w:ascii="Times New Roman" w:hAnsi="Times New Roman" w:cs="Times New Roman"/>
          <w:color w:val="000000" w:themeColor="text1"/>
          <w:sz w:val="20"/>
          <w:szCs w:val="20"/>
          <w:lang w:val="en-US"/>
        </w:rPr>
        <w:t xml:space="preserve">The learning experiences of entrepreneurs. In Churchill N.C., Birley S., </w:t>
      </w:r>
      <w:proofErr w:type="spellStart"/>
      <w:r w:rsidRPr="00B5549F">
        <w:rPr>
          <w:rFonts w:ascii="Times New Roman" w:hAnsi="Times New Roman" w:cs="Times New Roman"/>
          <w:color w:val="000000" w:themeColor="text1"/>
          <w:sz w:val="20"/>
          <w:szCs w:val="20"/>
          <w:lang w:val="en-US"/>
        </w:rPr>
        <w:t>Doutriaux</w:t>
      </w:r>
      <w:proofErr w:type="spellEnd"/>
      <w:r w:rsidRPr="00B5549F">
        <w:rPr>
          <w:rFonts w:ascii="Times New Roman" w:hAnsi="Times New Roman" w:cs="Times New Roman"/>
          <w:color w:val="000000" w:themeColor="text1"/>
          <w:sz w:val="20"/>
          <w:szCs w:val="20"/>
          <w:lang w:val="en-US"/>
        </w:rPr>
        <w:t xml:space="preserve"> J., Gatewood E.J., Hoy F.S. &amp; Wetzel W.E. Jr. (eds), Frontiers of entrepreneurship research, 234–245. Wellesley, MA: Babson Center for Entrepreneurial Studies.</w:t>
      </w:r>
    </w:p>
    <w:p w14:paraId="1C6ECD5A"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de-AT"/>
        </w:rPr>
        <w:t xml:space="preserve">Roberts, K. &amp; Weitzman, M. L. (1981). </w:t>
      </w:r>
      <w:r w:rsidRPr="00B5549F">
        <w:rPr>
          <w:rFonts w:ascii="Times New Roman" w:hAnsi="Times New Roman" w:cs="Times New Roman"/>
          <w:color w:val="000000" w:themeColor="text1"/>
          <w:sz w:val="20"/>
          <w:szCs w:val="20"/>
          <w:lang w:val="en-US"/>
        </w:rPr>
        <w:t xml:space="preserve">Funding criteria for research, development, and exploration projects. </w:t>
      </w:r>
      <w:proofErr w:type="spellStart"/>
      <w:r w:rsidRPr="00B5549F">
        <w:rPr>
          <w:rFonts w:ascii="Times New Roman" w:hAnsi="Times New Roman" w:cs="Times New Roman"/>
          <w:color w:val="000000" w:themeColor="text1"/>
          <w:sz w:val="20"/>
          <w:szCs w:val="20"/>
          <w:lang w:val="en-US"/>
        </w:rPr>
        <w:t>Econometrica</w:t>
      </w:r>
      <w:proofErr w:type="spellEnd"/>
      <w:r w:rsidRPr="00B5549F">
        <w:rPr>
          <w:rFonts w:ascii="Times New Roman" w:hAnsi="Times New Roman" w:cs="Times New Roman"/>
          <w:color w:val="000000" w:themeColor="text1"/>
          <w:sz w:val="20"/>
          <w:szCs w:val="20"/>
          <w:lang w:val="en-US"/>
        </w:rPr>
        <w:t>, 48 (5), 1261-1288. https://doi.org/10.2307/1912754</w:t>
      </w:r>
    </w:p>
    <w:p w14:paraId="10DF9FB5"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de-AT"/>
        </w:rPr>
      </w:pPr>
      <w:r w:rsidRPr="00B5549F">
        <w:rPr>
          <w:rFonts w:ascii="Times New Roman" w:hAnsi="Times New Roman" w:cs="Times New Roman"/>
          <w:color w:val="000000" w:themeColor="text1"/>
          <w:sz w:val="20"/>
          <w:szCs w:val="20"/>
          <w:lang w:val="en-US"/>
        </w:rPr>
        <w:t xml:space="preserve">Roodman, D. (2009). How to do xtabond2: an introduction to difference and system GMM in Stata. </w:t>
      </w:r>
      <w:r w:rsidRPr="00B5549F">
        <w:rPr>
          <w:rFonts w:ascii="Times New Roman" w:hAnsi="Times New Roman" w:cs="Times New Roman"/>
          <w:color w:val="000000" w:themeColor="text1"/>
          <w:sz w:val="20"/>
          <w:szCs w:val="20"/>
          <w:lang w:val="de-AT"/>
        </w:rPr>
        <w:t>Stata Journal, 9(1), 86–136. https://doi.org/10.1177/1536867x0900900106</w:t>
      </w:r>
    </w:p>
    <w:p w14:paraId="5B9F5E0D" w14:textId="3C593B24"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de-AT"/>
        </w:rPr>
        <w:t xml:space="preserve">Scharfstein, D. S. &amp; Stein, J. C. (1990). </w:t>
      </w:r>
      <w:r w:rsidRPr="00B5549F">
        <w:rPr>
          <w:rFonts w:ascii="Times New Roman" w:hAnsi="Times New Roman" w:cs="Times New Roman"/>
          <w:color w:val="000000" w:themeColor="text1"/>
          <w:sz w:val="20"/>
          <w:szCs w:val="20"/>
          <w:lang w:val="en-US"/>
        </w:rPr>
        <w:t>Herd behavior and investment, The American Economic Review, 80(3), 465-479.</w:t>
      </w:r>
      <w:r w:rsidR="007503E5" w:rsidRPr="00B5549F">
        <w:rPr>
          <w:rFonts w:ascii="Times New Roman" w:hAnsi="Times New Roman" w:cs="Times New Roman"/>
          <w:color w:val="000000" w:themeColor="text1"/>
          <w:sz w:val="20"/>
          <w:szCs w:val="20"/>
          <w:lang w:val="en-US"/>
        </w:rPr>
        <w:t xml:space="preserve"> https://www.jstor.org/stable/2006678</w:t>
      </w:r>
    </w:p>
    <w:p w14:paraId="5F0330F2" w14:textId="1DD23C1C"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Schumpeter, J. [1911] (1934). Theory of economic development: an inquiry into profits, capital, credit, interest, and the business cycle. Harvard University Press, Cambridge (MA).</w:t>
      </w:r>
    </w:p>
    <w:p w14:paraId="0B70A915" w14:textId="66758906"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Shane, S. (2000). Prior knowledge and the discovery of entrepreneurial opportunities. Organization Science, 11(4), 448–469.</w:t>
      </w:r>
      <w:r w:rsidR="007503E5" w:rsidRPr="00B5549F">
        <w:rPr>
          <w:rFonts w:ascii="Times New Roman" w:hAnsi="Times New Roman" w:cs="Times New Roman"/>
          <w:color w:val="000000" w:themeColor="text1"/>
          <w:sz w:val="20"/>
          <w:szCs w:val="20"/>
          <w:lang w:val="en-US"/>
        </w:rPr>
        <w:t xml:space="preserve"> https://doi.org/10.1287/orsc.11.4.448.14602</w:t>
      </w:r>
    </w:p>
    <w:p w14:paraId="06F7FDDE" w14:textId="58B38036"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Shane, S. &amp; Venkataraman, S. (2000). The promise of entrepreneurship as a field of research. The Academy of Management Review, 25(1), 217–226. https://www.jstor.org/stable/259271</w:t>
      </w:r>
    </w:p>
    <w:p w14:paraId="1E896082" w14:textId="4199D98B"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Shiller, R. J. (1995). Conversation, information, and herd behavior. The American Economic Review, 85 (2), 181-185.</w:t>
      </w:r>
      <w:r w:rsidR="007503E5" w:rsidRPr="00B5549F">
        <w:rPr>
          <w:rFonts w:ascii="Times New Roman" w:hAnsi="Times New Roman" w:cs="Times New Roman"/>
          <w:color w:val="000000" w:themeColor="text1"/>
          <w:sz w:val="20"/>
          <w:szCs w:val="20"/>
          <w:lang w:val="en-US"/>
        </w:rPr>
        <w:t xml:space="preserve"> </w:t>
      </w:r>
      <w:hyperlink r:id="rId13" w:history="1">
        <w:r w:rsidR="003F7660" w:rsidRPr="0082106E">
          <w:rPr>
            <w:rStyle w:val="Collegamentoipertestuale"/>
            <w:rFonts w:ascii="Times New Roman" w:hAnsi="Times New Roman" w:cs="Times New Roman"/>
            <w:color w:val="000000" w:themeColor="text1"/>
            <w:sz w:val="20"/>
            <w:szCs w:val="20"/>
            <w:u w:val="none"/>
            <w:lang w:val="en-US"/>
          </w:rPr>
          <w:t>https://www.jstor.org/stable/2117915</w:t>
        </w:r>
      </w:hyperlink>
    </w:p>
    <w:p w14:paraId="23AEBF0B" w14:textId="07CE9991" w:rsidR="003F7660" w:rsidRPr="0082106E" w:rsidRDefault="003F7660" w:rsidP="00935096">
      <w:pPr>
        <w:spacing w:before="120" w:after="120"/>
        <w:ind w:hanging="284"/>
        <w:jc w:val="both"/>
        <w:rPr>
          <w:rFonts w:ascii="Times New Roman" w:hAnsi="Times New Roman" w:cs="Times New Roman"/>
          <w:b/>
          <w:bCs/>
          <w:color w:val="4472C4" w:themeColor="accent1"/>
          <w:sz w:val="20"/>
          <w:szCs w:val="20"/>
          <w:lang w:val="en-GB"/>
        </w:rPr>
      </w:pPr>
      <w:r w:rsidRPr="0082106E">
        <w:rPr>
          <w:rFonts w:ascii="Times New Roman" w:hAnsi="Times New Roman" w:cs="Times New Roman"/>
          <w:b/>
          <w:bCs/>
          <w:color w:val="4472C4" w:themeColor="accent1"/>
          <w:sz w:val="20"/>
          <w:szCs w:val="20"/>
          <w:lang w:val="en-US"/>
        </w:rPr>
        <w:t>Silva, R., &amp; Gerwe, O. (202</w:t>
      </w:r>
      <w:r w:rsidR="0082106E" w:rsidRPr="0082106E">
        <w:rPr>
          <w:rFonts w:ascii="Times New Roman" w:hAnsi="Times New Roman" w:cs="Times New Roman"/>
          <w:b/>
          <w:bCs/>
          <w:color w:val="4472C4" w:themeColor="accent1"/>
          <w:sz w:val="20"/>
          <w:szCs w:val="20"/>
          <w:lang w:val="en-US"/>
        </w:rPr>
        <w:t>4</w:t>
      </w:r>
      <w:r w:rsidRPr="0082106E">
        <w:rPr>
          <w:rFonts w:ascii="Times New Roman" w:hAnsi="Times New Roman" w:cs="Times New Roman"/>
          <w:b/>
          <w:bCs/>
          <w:color w:val="4472C4" w:themeColor="accent1"/>
          <w:sz w:val="20"/>
          <w:szCs w:val="20"/>
          <w:lang w:val="en-US"/>
        </w:rPr>
        <w:t>). Micro entry theory: Understanding the drivers and effects of the entry of micro players in the context of digital platforms. Journal of Management Studies,</w:t>
      </w:r>
      <w:r w:rsidR="001535BE" w:rsidRPr="0082106E">
        <w:rPr>
          <w:rFonts w:ascii="Times New Roman" w:hAnsi="Times New Roman" w:cs="Times New Roman"/>
          <w:b/>
          <w:bCs/>
          <w:color w:val="4472C4" w:themeColor="accent1"/>
          <w:sz w:val="20"/>
          <w:szCs w:val="20"/>
          <w:lang w:val="en-US"/>
        </w:rPr>
        <w:t xml:space="preserve"> 61</w:t>
      </w:r>
      <w:r w:rsidR="002138EC" w:rsidRPr="0082106E">
        <w:rPr>
          <w:rFonts w:ascii="Times New Roman" w:hAnsi="Times New Roman" w:cs="Times New Roman"/>
          <w:b/>
          <w:bCs/>
          <w:color w:val="4472C4" w:themeColor="accent1"/>
          <w:sz w:val="20"/>
          <w:szCs w:val="20"/>
          <w:lang w:val="en-US"/>
        </w:rPr>
        <w:t xml:space="preserve"> </w:t>
      </w:r>
      <w:r w:rsidR="001535BE" w:rsidRPr="0082106E">
        <w:rPr>
          <w:rFonts w:ascii="Times New Roman" w:hAnsi="Times New Roman" w:cs="Times New Roman"/>
          <w:b/>
          <w:bCs/>
          <w:color w:val="4472C4" w:themeColor="accent1"/>
          <w:sz w:val="20"/>
          <w:szCs w:val="20"/>
          <w:lang w:val="en-US"/>
        </w:rPr>
        <w:t>(6)</w:t>
      </w:r>
      <w:r w:rsidR="002138EC" w:rsidRPr="0082106E">
        <w:rPr>
          <w:rFonts w:ascii="Times New Roman" w:hAnsi="Times New Roman" w:cs="Times New Roman"/>
          <w:b/>
          <w:bCs/>
          <w:color w:val="4472C4" w:themeColor="accent1"/>
          <w:sz w:val="20"/>
          <w:szCs w:val="20"/>
          <w:lang w:val="en-US"/>
        </w:rPr>
        <w:t>, 2633-2661</w:t>
      </w:r>
      <w:r w:rsidRPr="0082106E">
        <w:rPr>
          <w:rFonts w:ascii="Times New Roman" w:hAnsi="Times New Roman" w:cs="Times New Roman"/>
          <w:b/>
          <w:bCs/>
          <w:color w:val="4472C4" w:themeColor="accent1"/>
          <w:sz w:val="20"/>
          <w:szCs w:val="20"/>
          <w:lang w:val="en-US"/>
        </w:rPr>
        <w:t>. https://doi.org/10.1111/joms.12987</w:t>
      </w:r>
    </w:p>
    <w:p w14:paraId="17481466" w14:textId="72709BE1" w:rsidR="006B5934" w:rsidRPr="006F28E4" w:rsidRDefault="006B5934" w:rsidP="00935096">
      <w:pPr>
        <w:spacing w:before="120" w:after="120"/>
        <w:ind w:hanging="284"/>
        <w:jc w:val="both"/>
        <w:rPr>
          <w:rFonts w:ascii="Times New Roman" w:hAnsi="Times New Roman" w:cs="Times New Roman"/>
          <w:color w:val="000000" w:themeColor="text1"/>
          <w:sz w:val="20"/>
          <w:szCs w:val="20"/>
          <w:lang w:val="en-GB"/>
        </w:rPr>
      </w:pPr>
      <w:r w:rsidRPr="00B5549F">
        <w:rPr>
          <w:rFonts w:ascii="Times New Roman" w:hAnsi="Times New Roman" w:cs="Times New Roman"/>
          <w:color w:val="000000" w:themeColor="text1"/>
          <w:sz w:val="20"/>
          <w:szCs w:val="20"/>
          <w:lang w:val="en-US"/>
        </w:rPr>
        <w:t xml:space="preserve">Simon, H. A. (1979). Rational decision making in business organizations. The American Economic Review, 69 (4), 493-513. </w:t>
      </w:r>
      <w:hyperlink r:id="rId14" w:history="1">
        <w:r w:rsidR="006630EE" w:rsidRPr="0082106E">
          <w:rPr>
            <w:rStyle w:val="Collegamentoipertestuale"/>
            <w:rFonts w:ascii="Times New Roman" w:hAnsi="Times New Roman" w:cs="Times New Roman"/>
            <w:color w:val="000000" w:themeColor="text1"/>
            <w:sz w:val="20"/>
            <w:szCs w:val="20"/>
            <w:u w:val="none"/>
            <w:lang w:val="en-GB"/>
          </w:rPr>
          <w:t>https://www.jstor.org/stable/1808698</w:t>
        </w:r>
      </w:hyperlink>
    </w:p>
    <w:p w14:paraId="01C4EA8B" w14:textId="6A6513EC" w:rsidR="00BD3730" w:rsidRPr="00B5549F" w:rsidRDefault="006630EE"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GB"/>
        </w:rPr>
        <w:t xml:space="preserve">Simons, K. L., &amp; </w:t>
      </w:r>
      <w:proofErr w:type="spellStart"/>
      <w:r w:rsidRPr="00B5549F">
        <w:rPr>
          <w:rFonts w:ascii="Times New Roman" w:hAnsi="Times New Roman" w:cs="Times New Roman"/>
          <w:color w:val="000000" w:themeColor="text1"/>
          <w:sz w:val="20"/>
          <w:szCs w:val="20"/>
          <w:lang w:val="en-GB"/>
        </w:rPr>
        <w:t>Åstebro</w:t>
      </w:r>
      <w:proofErr w:type="spellEnd"/>
      <w:r w:rsidRPr="00B5549F">
        <w:rPr>
          <w:rFonts w:ascii="Times New Roman" w:hAnsi="Times New Roman" w:cs="Times New Roman"/>
          <w:color w:val="000000" w:themeColor="text1"/>
          <w:sz w:val="20"/>
          <w:szCs w:val="20"/>
          <w:lang w:val="en-GB"/>
        </w:rPr>
        <w:t xml:space="preserve">, T. (2010). </w:t>
      </w:r>
      <w:r w:rsidRPr="00B5549F">
        <w:rPr>
          <w:rFonts w:ascii="Times New Roman" w:hAnsi="Times New Roman" w:cs="Times New Roman"/>
          <w:color w:val="000000" w:themeColor="text1"/>
          <w:sz w:val="20"/>
          <w:szCs w:val="20"/>
          <w:lang w:val="en-US"/>
        </w:rPr>
        <w:t>Entrepreneurs seeking gains: Profit motives and risk aversion in inventors’ commercialization decisions. Journal of Economics &amp; Management Strategy, 19(4), 863-888.</w:t>
      </w:r>
    </w:p>
    <w:p w14:paraId="4343573C" w14:textId="2F2C1033"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Stahl K. (1982). Differentiated products, consumer search, and locational oligopoly. Journal of Industrial Economics 31(1/2), 97–113.</w:t>
      </w:r>
      <w:r w:rsidR="007503E5" w:rsidRPr="00B5549F">
        <w:rPr>
          <w:rFonts w:ascii="Times New Roman" w:hAnsi="Times New Roman" w:cs="Times New Roman"/>
          <w:color w:val="000000" w:themeColor="text1"/>
          <w:sz w:val="20"/>
          <w:szCs w:val="20"/>
          <w:lang w:val="en-US"/>
        </w:rPr>
        <w:t xml:space="preserve"> https://doi.org/10.2307/2098007</w:t>
      </w:r>
    </w:p>
    <w:p w14:paraId="1F15F487" w14:textId="77777777" w:rsidR="006B5934" w:rsidRPr="0082106E" w:rsidRDefault="006B5934" w:rsidP="00935096">
      <w:pPr>
        <w:spacing w:before="120" w:after="120"/>
        <w:ind w:hanging="284"/>
        <w:jc w:val="both"/>
        <w:rPr>
          <w:rFonts w:ascii="Times New Roman" w:hAnsi="Times New Roman" w:cs="Times New Roman"/>
          <w:color w:val="000000" w:themeColor="text1"/>
          <w:sz w:val="20"/>
          <w:szCs w:val="20"/>
          <w:lang w:val="nl-NL"/>
        </w:rPr>
      </w:pPr>
      <w:r w:rsidRPr="00B5549F">
        <w:rPr>
          <w:rFonts w:ascii="Times New Roman" w:hAnsi="Times New Roman" w:cs="Times New Roman"/>
          <w:color w:val="000000" w:themeColor="text1"/>
          <w:sz w:val="20"/>
          <w:szCs w:val="20"/>
          <w:lang w:val="en-US"/>
        </w:rPr>
        <w:t xml:space="preserve">Stam, E. (2015). Entrepreneurial ecosystems and regional policy: a sympathetic critique. </w:t>
      </w:r>
      <w:r w:rsidRPr="0082106E">
        <w:rPr>
          <w:rFonts w:ascii="Times New Roman" w:hAnsi="Times New Roman" w:cs="Times New Roman"/>
          <w:color w:val="000000" w:themeColor="text1"/>
          <w:sz w:val="20"/>
          <w:szCs w:val="20"/>
          <w:lang w:val="nl-NL"/>
        </w:rPr>
        <w:t>European Planning Studies, 23(9), 1759–1769. https://doi.org/10.1080/09654313.2015.1061484</w:t>
      </w:r>
    </w:p>
    <w:p w14:paraId="2852ABB2"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82106E">
        <w:rPr>
          <w:rFonts w:ascii="Times New Roman" w:hAnsi="Times New Roman" w:cs="Times New Roman"/>
          <w:color w:val="000000" w:themeColor="text1"/>
          <w:sz w:val="20"/>
          <w:szCs w:val="20"/>
          <w:lang w:val="nl-NL"/>
        </w:rPr>
        <w:t xml:space="preserve">Stam, E. &amp; van de Ven, A. (2021). </w:t>
      </w:r>
      <w:r w:rsidRPr="00B5549F">
        <w:rPr>
          <w:rFonts w:ascii="Times New Roman" w:hAnsi="Times New Roman" w:cs="Times New Roman"/>
          <w:color w:val="000000" w:themeColor="text1"/>
          <w:sz w:val="20"/>
          <w:szCs w:val="20"/>
          <w:lang w:val="en-US"/>
        </w:rPr>
        <w:t>Entrepreneurial ecosystem elements. Small Business Economics, 56(2), 809–832. https://doi.org/10.1007/s11187-019-00270-6</w:t>
      </w:r>
    </w:p>
    <w:p w14:paraId="06919E8A"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Stam, E. &amp; Welter, F. (2020). Geographical contexts of entrepreneurship: Spaces, places and entrepreneurial agency, Working Paper No. 04/20), </w:t>
      </w:r>
      <w:proofErr w:type="spellStart"/>
      <w:r w:rsidRPr="00B5549F">
        <w:rPr>
          <w:rFonts w:ascii="Times New Roman" w:hAnsi="Times New Roman" w:cs="Times New Roman"/>
          <w:color w:val="000000" w:themeColor="text1"/>
          <w:sz w:val="20"/>
          <w:szCs w:val="20"/>
          <w:lang w:val="en-US"/>
        </w:rPr>
        <w:t>Institut</w:t>
      </w:r>
      <w:proofErr w:type="spellEnd"/>
      <w:r w:rsidRPr="00B5549F">
        <w:rPr>
          <w:rFonts w:ascii="Times New Roman" w:hAnsi="Times New Roman" w:cs="Times New Roman"/>
          <w:color w:val="000000" w:themeColor="text1"/>
          <w:sz w:val="20"/>
          <w:szCs w:val="20"/>
          <w:lang w:val="en-US"/>
        </w:rPr>
        <w:t xml:space="preserve"> für </w:t>
      </w:r>
      <w:proofErr w:type="spellStart"/>
      <w:r w:rsidRPr="00B5549F">
        <w:rPr>
          <w:rFonts w:ascii="Times New Roman" w:hAnsi="Times New Roman" w:cs="Times New Roman"/>
          <w:color w:val="000000" w:themeColor="text1"/>
          <w:sz w:val="20"/>
          <w:szCs w:val="20"/>
          <w:lang w:val="en-US"/>
        </w:rPr>
        <w:t>Mittelstandsforschung</w:t>
      </w:r>
      <w:proofErr w:type="spellEnd"/>
      <w:r w:rsidRPr="00B5549F">
        <w:rPr>
          <w:rFonts w:ascii="Times New Roman" w:hAnsi="Times New Roman" w:cs="Times New Roman"/>
          <w:color w:val="000000" w:themeColor="text1"/>
          <w:sz w:val="20"/>
          <w:szCs w:val="20"/>
          <w:lang w:val="en-US"/>
        </w:rPr>
        <w:t xml:space="preserve"> (</w:t>
      </w:r>
      <w:proofErr w:type="spellStart"/>
      <w:r w:rsidRPr="00B5549F">
        <w:rPr>
          <w:rFonts w:ascii="Times New Roman" w:hAnsi="Times New Roman" w:cs="Times New Roman"/>
          <w:color w:val="000000" w:themeColor="text1"/>
          <w:sz w:val="20"/>
          <w:szCs w:val="20"/>
          <w:lang w:val="en-US"/>
        </w:rPr>
        <w:t>IfM</w:t>
      </w:r>
      <w:proofErr w:type="spellEnd"/>
      <w:r w:rsidRPr="00B5549F">
        <w:rPr>
          <w:rFonts w:ascii="Times New Roman" w:hAnsi="Times New Roman" w:cs="Times New Roman"/>
          <w:color w:val="000000" w:themeColor="text1"/>
          <w:sz w:val="20"/>
          <w:szCs w:val="20"/>
          <w:lang w:val="en-US"/>
        </w:rPr>
        <w:t>) Bonn, Bonn.</w:t>
      </w:r>
    </w:p>
    <w:p w14:paraId="1B7BC391"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Sternberg R. (2009). Regional dimensions of entrepreneurship. Foundations and Trends in Entrepreneurship, 5(4), 211–340. http://dx.doi.org/10.1561/0300000024</w:t>
      </w:r>
    </w:p>
    <w:p w14:paraId="760A4453"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Thorgren, S., Siren, C., Nordstrom, C. &amp; Wincent, J. (2016). Hybrid entrepreneurs’ second-step choice: The nonlinear relationship between age and intention to enter full-time entrepreneurship. Journal of Business Venturing Insights, 5, 14-18. https://doi.org/10.1016/j.jbvi.2015.12.001</w:t>
      </w:r>
    </w:p>
    <w:p w14:paraId="02EC1C44"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proofErr w:type="spellStart"/>
      <w:r w:rsidRPr="00B5549F">
        <w:rPr>
          <w:rFonts w:ascii="Times New Roman" w:hAnsi="Times New Roman" w:cs="Times New Roman"/>
          <w:color w:val="000000" w:themeColor="text1"/>
          <w:sz w:val="20"/>
          <w:szCs w:val="20"/>
          <w:lang w:val="en-US"/>
        </w:rPr>
        <w:t>Trigeorgis</w:t>
      </w:r>
      <w:proofErr w:type="spellEnd"/>
      <w:r w:rsidRPr="00B5549F">
        <w:rPr>
          <w:rFonts w:ascii="Times New Roman" w:hAnsi="Times New Roman" w:cs="Times New Roman"/>
          <w:color w:val="000000" w:themeColor="text1"/>
          <w:sz w:val="20"/>
          <w:szCs w:val="20"/>
          <w:lang w:val="en-US"/>
        </w:rPr>
        <w:t>, L. (1996). Real options: managerial flexibility and strategy in resource allocation. The MIT Press, Cambridge (MA).</w:t>
      </w:r>
    </w:p>
    <w:p w14:paraId="370516C6"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lastRenderedPageBreak/>
        <w:t>Valdez, M.E. &amp; Richardson, J. (2013). Institutional determinants of macro–level entrepreneurship. Entrepreneurship Theory and Practice, 37(5), 1149–1175. https://doi.org/10.1111/etap.12000</w:t>
      </w:r>
    </w:p>
    <w:p w14:paraId="59477B01"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82106E">
        <w:rPr>
          <w:rFonts w:ascii="Times New Roman" w:hAnsi="Times New Roman" w:cs="Times New Roman"/>
          <w:color w:val="000000" w:themeColor="text1"/>
          <w:sz w:val="20"/>
          <w:szCs w:val="20"/>
          <w:lang w:val="en-GB"/>
        </w:rPr>
        <w:t xml:space="preserve">von Briel, F., Davidsson, P. &amp; Recker, J. (2018). </w:t>
      </w:r>
      <w:r w:rsidRPr="00B5549F">
        <w:rPr>
          <w:rFonts w:ascii="Times New Roman" w:hAnsi="Times New Roman" w:cs="Times New Roman"/>
          <w:color w:val="000000" w:themeColor="text1"/>
          <w:sz w:val="20"/>
          <w:szCs w:val="20"/>
          <w:lang w:val="en-US"/>
        </w:rPr>
        <w:t>Digital technologies as external enablers of new venture creation in the IT hardware sector. Entrepreneurship Theory and Practice, 42(1), 47-69. https://doi.org/10.1177/1042258717732779</w:t>
      </w:r>
    </w:p>
    <w:p w14:paraId="2646B460"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Welter, F. (2011). Contextualizing entrepreneurship. Conceptual challenges and ways forward. Entrepreneurship Theory and Practice, 35(1), 165–184. https://doi.org/10.1111/j.1540- 6520.2010.00427.x</w:t>
      </w:r>
    </w:p>
    <w:p w14:paraId="018286A5"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82106E">
        <w:rPr>
          <w:rFonts w:ascii="Times New Roman" w:hAnsi="Times New Roman" w:cs="Times New Roman"/>
          <w:color w:val="000000" w:themeColor="text1"/>
          <w:sz w:val="20"/>
          <w:szCs w:val="20"/>
          <w:lang w:val="en-GB"/>
        </w:rPr>
        <w:t xml:space="preserve">Wennberg, K., Folta, T. B. &amp; Delmar, F. (2006). </w:t>
      </w:r>
      <w:r w:rsidRPr="00B5549F">
        <w:rPr>
          <w:rFonts w:ascii="Times New Roman" w:hAnsi="Times New Roman" w:cs="Times New Roman"/>
          <w:color w:val="000000" w:themeColor="text1"/>
          <w:sz w:val="20"/>
          <w:szCs w:val="20"/>
          <w:lang w:val="en-US"/>
        </w:rPr>
        <w:t>A real options model of stepwise entry into self-employment. Babson College Entrepreneurship Research Conference (BCERC) 2006 Paper. http://dx.doi.org/10.2139/ssrn.1310937</w:t>
      </w:r>
    </w:p>
    <w:p w14:paraId="07740B29" w14:textId="103E027D"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West D. S. (1992). An empirical analysis of retail chains and shopping center similarity. Journal of Industrial Economics, 40(2), 201–221.</w:t>
      </w:r>
      <w:r w:rsidR="007503E5" w:rsidRPr="00B5549F">
        <w:rPr>
          <w:rFonts w:ascii="Times New Roman" w:hAnsi="Times New Roman" w:cs="Times New Roman"/>
          <w:color w:val="000000" w:themeColor="text1"/>
          <w:sz w:val="20"/>
          <w:szCs w:val="20"/>
          <w:lang w:val="en-US"/>
        </w:rPr>
        <w:t xml:space="preserve"> https://doi.org/10.2307/2950511</w:t>
      </w:r>
    </w:p>
    <w:p w14:paraId="09DCE59D"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proofErr w:type="spellStart"/>
      <w:r w:rsidRPr="00B5549F">
        <w:rPr>
          <w:rFonts w:ascii="Times New Roman" w:hAnsi="Times New Roman" w:cs="Times New Roman"/>
          <w:color w:val="000000" w:themeColor="text1"/>
          <w:sz w:val="20"/>
          <w:szCs w:val="20"/>
          <w:lang w:val="en-US"/>
        </w:rPr>
        <w:t>Windmeijer</w:t>
      </w:r>
      <w:proofErr w:type="spellEnd"/>
      <w:r w:rsidRPr="00B5549F">
        <w:rPr>
          <w:rFonts w:ascii="Times New Roman" w:hAnsi="Times New Roman" w:cs="Times New Roman"/>
          <w:color w:val="000000" w:themeColor="text1"/>
          <w:sz w:val="20"/>
          <w:szCs w:val="20"/>
          <w:lang w:val="en-US"/>
        </w:rPr>
        <w:t>, F. (2005). A finite sample correction for the variance of linear efficient two-step GMM estimators. Journal of Econometrics, 126(1), 25–51. https://doi.org/10.1016/j.jeconom.2004.02.005</w:t>
      </w:r>
    </w:p>
    <w:p w14:paraId="70DB320A"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82106E">
        <w:rPr>
          <w:rFonts w:ascii="Times New Roman" w:hAnsi="Times New Roman" w:cs="Times New Roman"/>
          <w:color w:val="000000" w:themeColor="text1"/>
          <w:sz w:val="20"/>
          <w:szCs w:val="20"/>
          <w:lang w:val="en-GB"/>
        </w:rPr>
        <w:t xml:space="preserve">Xie, K. L., Kwok, L. &amp; Heo, C. Y. (2020). </w:t>
      </w:r>
      <w:r w:rsidRPr="00B5549F">
        <w:rPr>
          <w:rFonts w:ascii="Times New Roman" w:hAnsi="Times New Roman" w:cs="Times New Roman"/>
          <w:color w:val="000000" w:themeColor="text1"/>
          <w:sz w:val="20"/>
          <w:szCs w:val="20"/>
          <w:lang w:val="en-US"/>
        </w:rPr>
        <w:t>Are neighbors friends or foes? Assessing Airbnb listings’ agglomeration effect in New York City. Cornell Hospitality Quarterly, 61(2), 128–141. https://doi.org/10.1177/1938965519890578</w:t>
      </w:r>
    </w:p>
    <w:p w14:paraId="241B8D84" w14:textId="77777777"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Zahra, S. A., Wright, M. &amp; </w:t>
      </w:r>
      <w:proofErr w:type="spellStart"/>
      <w:r w:rsidRPr="00B5549F">
        <w:rPr>
          <w:rFonts w:ascii="Times New Roman" w:hAnsi="Times New Roman" w:cs="Times New Roman"/>
          <w:color w:val="000000" w:themeColor="text1"/>
          <w:sz w:val="20"/>
          <w:szCs w:val="20"/>
          <w:lang w:val="en-US"/>
        </w:rPr>
        <w:t>Abdelgawad</w:t>
      </w:r>
      <w:proofErr w:type="spellEnd"/>
      <w:r w:rsidRPr="00B5549F">
        <w:rPr>
          <w:rFonts w:ascii="Times New Roman" w:hAnsi="Times New Roman" w:cs="Times New Roman"/>
          <w:color w:val="000000" w:themeColor="text1"/>
          <w:sz w:val="20"/>
          <w:szCs w:val="20"/>
          <w:lang w:val="en-US"/>
        </w:rPr>
        <w:t>, S. G. (2014). Contextualization and the advancement of entrepreneurship research. International Small Business Journal, 32(5), 479–500. https://doi.org/10.1177/0266242613519807</w:t>
      </w:r>
    </w:p>
    <w:p w14:paraId="64C7F73F" w14:textId="3AB77FC4" w:rsidR="006B5934" w:rsidRPr="00B5549F" w:rsidRDefault="006B5934" w:rsidP="00935096">
      <w:pPr>
        <w:spacing w:before="120" w:after="120"/>
        <w:ind w:hanging="284"/>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Zervas, G., </w:t>
      </w:r>
      <w:proofErr w:type="spellStart"/>
      <w:r w:rsidRPr="00B5549F">
        <w:rPr>
          <w:rFonts w:ascii="Times New Roman" w:hAnsi="Times New Roman" w:cs="Times New Roman"/>
          <w:color w:val="000000" w:themeColor="text1"/>
          <w:sz w:val="20"/>
          <w:szCs w:val="20"/>
          <w:lang w:val="en-US"/>
        </w:rPr>
        <w:t>Proserpio</w:t>
      </w:r>
      <w:proofErr w:type="spellEnd"/>
      <w:r w:rsidRPr="00B5549F">
        <w:rPr>
          <w:rFonts w:ascii="Times New Roman" w:hAnsi="Times New Roman" w:cs="Times New Roman"/>
          <w:color w:val="000000" w:themeColor="text1"/>
          <w:sz w:val="20"/>
          <w:szCs w:val="20"/>
          <w:lang w:val="en-US"/>
        </w:rPr>
        <w:t xml:space="preserve">, D. &amp; Byers, J. W. (2017). The rise of the sharing economy: estimating the impact of Airbnb on the hotel industry. Journal of Marketing Research, 54(5), 687-705. https://doi.org/10.1509/jmr.15.0204 </w:t>
      </w:r>
    </w:p>
    <w:p w14:paraId="2CAD535A" w14:textId="1E342F8D" w:rsidR="006B5934" w:rsidRPr="00B5549F" w:rsidRDefault="006B5934" w:rsidP="006B5934">
      <w:pPr>
        <w:spacing w:before="120"/>
        <w:jc w:val="both"/>
        <w:rPr>
          <w:rFonts w:asciiTheme="majorHAnsi" w:hAnsiTheme="majorHAnsi" w:cstheme="majorHAnsi"/>
          <w:color w:val="000000" w:themeColor="text1"/>
          <w:lang w:val="en-US"/>
        </w:rPr>
      </w:pPr>
    </w:p>
    <w:p w14:paraId="5310EF7D" w14:textId="4BC08240" w:rsidR="006B5934" w:rsidRPr="00B5549F" w:rsidRDefault="006B5934">
      <w:pPr>
        <w:rPr>
          <w:rFonts w:asciiTheme="majorHAnsi" w:hAnsiTheme="majorHAnsi" w:cstheme="majorHAnsi"/>
          <w:color w:val="000000" w:themeColor="text1"/>
          <w:lang w:val="en-US"/>
        </w:rPr>
      </w:pPr>
      <w:r w:rsidRPr="00B5549F">
        <w:rPr>
          <w:rFonts w:asciiTheme="majorHAnsi" w:hAnsiTheme="majorHAnsi" w:cstheme="majorHAnsi"/>
          <w:color w:val="000000" w:themeColor="text1"/>
          <w:lang w:val="en-US"/>
        </w:rPr>
        <w:br w:type="page"/>
      </w:r>
    </w:p>
    <w:p w14:paraId="3351A40C" w14:textId="50092F49" w:rsidR="006B5934" w:rsidRPr="00B5549F" w:rsidRDefault="00985916" w:rsidP="00985916">
      <w:pPr>
        <w:spacing w:before="120"/>
        <w:contextualSpacing/>
        <w:jc w:val="both"/>
        <w:rPr>
          <w:rFonts w:ascii="Times New Roman" w:hAnsi="Times New Roman" w:cs="Times New Roman"/>
          <w:b/>
          <w:bCs/>
          <w:color w:val="000000" w:themeColor="text1"/>
          <w:lang w:val="en-US"/>
        </w:rPr>
      </w:pPr>
      <w:r w:rsidRPr="00B5549F">
        <w:rPr>
          <w:rFonts w:ascii="Times New Roman" w:hAnsi="Times New Roman" w:cs="Times New Roman"/>
          <w:b/>
          <w:bCs/>
          <w:color w:val="000000" w:themeColor="text1"/>
          <w:lang w:val="en-US"/>
        </w:rPr>
        <w:lastRenderedPageBreak/>
        <w:t>Tables</w:t>
      </w:r>
    </w:p>
    <w:p w14:paraId="15E6929E" w14:textId="77777777" w:rsidR="00985916" w:rsidRPr="00B5549F" w:rsidRDefault="00985916" w:rsidP="00985916">
      <w:pPr>
        <w:spacing w:before="120"/>
        <w:contextualSpacing/>
        <w:jc w:val="both"/>
        <w:rPr>
          <w:rFonts w:ascii="Times New Roman" w:hAnsi="Times New Roman" w:cs="Times New Roman"/>
          <w:b/>
          <w:bCs/>
          <w:color w:val="000000" w:themeColor="text1"/>
          <w:lang w:val="en-US"/>
        </w:rPr>
      </w:pPr>
    </w:p>
    <w:p w14:paraId="510E15A4" w14:textId="0C683FF2" w:rsidR="00985916" w:rsidRPr="00B5549F" w:rsidRDefault="00985916" w:rsidP="00985916">
      <w:pPr>
        <w:spacing w:before="120"/>
        <w:contextualSpacing/>
        <w:jc w:val="both"/>
        <w:rPr>
          <w:rFonts w:ascii="Times New Roman" w:hAnsi="Times New Roman" w:cs="Times New Roman"/>
          <w:color w:val="000000" w:themeColor="text1"/>
          <w:lang w:val="en-US"/>
        </w:rPr>
      </w:pPr>
      <w:r w:rsidRPr="00B5549F">
        <w:rPr>
          <w:rFonts w:ascii="Times New Roman" w:hAnsi="Times New Roman" w:cs="Times New Roman"/>
          <w:b/>
          <w:bCs/>
          <w:color w:val="000000" w:themeColor="text1"/>
          <w:lang w:val="en-US"/>
        </w:rPr>
        <w:t>Table 1.</w:t>
      </w:r>
      <w:r w:rsidRPr="00B5549F">
        <w:rPr>
          <w:rFonts w:ascii="Times New Roman" w:hAnsi="Times New Roman" w:cs="Times New Roman"/>
          <w:color w:val="000000" w:themeColor="text1"/>
          <w:lang w:val="en-US"/>
        </w:rPr>
        <w:t xml:space="preserve"> The distribution of Airbnb entrepreneurs among small-scale, large-scale entrepreneurs and large firms.</w:t>
      </w:r>
    </w:p>
    <w:tbl>
      <w:tblPr>
        <w:tblW w:w="10290" w:type="dxa"/>
        <w:jc w:val="center"/>
        <w:tblLook w:val="06A0" w:firstRow="1" w:lastRow="0" w:firstColumn="1" w:lastColumn="0" w:noHBand="1" w:noVBand="1"/>
      </w:tblPr>
      <w:tblGrid>
        <w:gridCol w:w="2410"/>
        <w:gridCol w:w="1133"/>
        <w:gridCol w:w="1871"/>
        <w:gridCol w:w="1871"/>
        <w:gridCol w:w="1871"/>
        <w:gridCol w:w="1134"/>
      </w:tblGrid>
      <w:tr w:rsidR="00B5549F" w:rsidRPr="00B5549F" w14:paraId="6B63045E" w14:textId="77777777" w:rsidTr="00E02797">
        <w:trPr>
          <w:trHeight w:val="170"/>
          <w:jc w:val="center"/>
        </w:trPr>
        <w:tc>
          <w:tcPr>
            <w:tcW w:w="2410" w:type="dxa"/>
            <w:tcBorders>
              <w:top w:val="single" w:sz="4" w:space="0" w:color="auto"/>
              <w:bottom w:val="single" w:sz="4" w:space="0" w:color="auto"/>
            </w:tcBorders>
            <w:noWrap/>
            <w:hideMark/>
          </w:tcPr>
          <w:p w14:paraId="78C07DFE"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p>
        </w:tc>
        <w:tc>
          <w:tcPr>
            <w:tcW w:w="1133" w:type="dxa"/>
            <w:tcBorders>
              <w:top w:val="single" w:sz="4" w:space="0" w:color="auto"/>
              <w:bottom w:val="single" w:sz="4" w:space="0" w:color="auto"/>
            </w:tcBorders>
            <w:noWrap/>
            <w:hideMark/>
          </w:tcPr>
          <w:p w14:paraId="0BAE7DC0"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p>
        </w:tc>
        <w:tc>
          <w:tcPr>
            <w:tcW w:w="1871" w:type="dxa"/>
            <w:tcBorders>
              <w:top w:val="single" w:sz="4" w:space="0" w:color="auto"/>
              <w:bottom w:val="single" w:sz="4" w:space="0" w:color="auto"/>
            </w:tcBorders>
            <w:noWrap/>
            <w:hideMark/>
          </w:tcPr>
          <w:p w14:paraId="401AE79F" w14:textId="77777777" w:rsidR="00985916" w:rsidRPr="00B5549F" w:rsidRDefault="00985916" w:rsidP="00985916">
            <w:pPr>
              <w:contextualSpacing/>
              <w:jc w:val="center"/>
              <w:rPr>
                <w:rFonts w:ascii="Times New Roman" w:hAnsi="Times New Roman" w:cs="Times New Roman"/>
                <w:b/>
                <w:bCs/>
                <w:color w:val="000000" w:themeColor="text1"/>
                <w:sz w:val="20"/>
                <w:szCs w:val="20"/>
                <w:lang w:val="en-US"/>
              </w:rPr>
            </w:pPr>
            <w:r w:rsidRPr="00B5549F">
              <w:rPr>
                <w:rFonts w:ascii="Times New Roman" w:hAnsi="Times New Roman" w:cs="Times New Roman"/>
                <w:b/>
                <w:bCs/>
                <w:color w:val="000000" w:themeColor="text1"/>
                <w:sz w:val="20"/>
                <w:szCs w:val="20"/>
                <w:lang w:val="en-US"/>
              </w:rPr>
              <w:t xml:space="preserve">SSE </w:t>
            </w:r>
          </w:p>
          <w:p w14:paraId="6334936E" w14:textId="33CD246C" w:rsidR="00985916" w:rsidRPr="00B5549F" w:rsidRDefault="00985916" w:rsidP="00985916">
            <w:pPr>
              <w:contextualSpacing/>
              <w:jc w:val="center"/>
              <w:rPr>
                <w:rFonts w:ascii="Times New Roman" w:hAnsi="Times New Roman" w:cs="Times New Roman"/>
                <w:b/>
                <w:bCs/>
                <w:color w:val="000000" w:themeColor="text1"/>
                <w:sz w:val="20"/>
                <w:szCs w:val="20"/>
                <w:lang w:val="en-US"/>
              </w:rPr>
            </w:pPr>
            <w:r w:rsidRPr="00B5549F">
              <w:rPr>
                <w:rFonts w:ascii="Times New Roman" w:hAnsi="Times New Roman" w:cs="Times New Roman"/>
                <w:b/>
                <w:bCs/>
                <w:color w:val="000000" w:themeColor="text1"/>
                <w:sz w:val="20"/>
                <w:szCs w:val="20"/>
                <w:lang w:val="en-US"/>
              </w:rPr>
              <w:t>[1-2 listing]</w:t>
            </w:r>
          </w:p>
        </w:tc>
        <w:tc>
          <w:tcPr>
            <w:tcW w:w="1871" w:type="dxa"/>
            <w:tcBorders>
              <w:top w:val="single" w:sz="4" w:space="0" w:color="auto"/>
              <w:bottom w:val="single" w:sz="4" w:space="0" w:color="auto"/>
            </w:tcBorders>
            <w:noWrap/>
            <w:hideMark/>
          </w:tcPr>
          <w:p w14:paraId="7308C68A" w14:textId="77777777" w:rsidR="00985916" w:rsidRPr="00B5549F" w:rsidRDefault="00985916" w:rsidP="00985916">
            <w:pPr>
              <w:contextualSpacing/>
              <w:jc w:val="center"/>
              <w:rPr>
                <w:rFonts w:ascii="Times New Roman" w:hAnsi="Times New Roman" w:cs="Times New Roman"/>
                <w:b/>
                <w:bCs/>
                <w:color w:val="000000" w:themeColor="text1"/>
                <w:sz w:val="20"/>
                <w:szCs w:val="20"/>
                <w:lang w:val="en-US"/>
              </w:rPr>
            </w:pPr>
            <w:r w:rsidRPr="00B5549F">
              <w:rPr>
                <w:rFonts w:ascii="Times New Roman" w:hAnsi="Times New Roman" w:cs="Times New Roman"/>
                <w:b/>
                <w:bCs/>
                <w:color w:val="000000" w:themeColor="text1"/>
                <w:sz w:val="20"/>
                <w:szCs w:val="20"/>
                <w:lang w:val="en-US"/>
              </w:rPr>
              <w:t>LSE</w:t>
            </w:r>
          </w:p>
          <w:p w14:paraId="32B58555" w14:textId="6AF3854B" w:rsidR="00985916" w:rsidRPr="00B5549F" w:rsidRDefault="00985916" w:rsidP="00985916">
            <w:pPr>
              <w:contextualSpacing/>
              <w:jc w:val="center"/>
              <w:rPr>
                <w:rFonts w:ascii="Times New Roman" w:hAnsi="Times New Roman" w:cs="Times New Roman"/>
                <w:b/>
                <w:bCs/>
                <w:color w:val="000000" w:themeColor="text1"/>
                <w:sz w:val="20"/>
                <w:szCs w:val="20"/>
                <w:lang w:val="en-US"/>
              </w:rPr>
            </w:pPr>
            <w:r w:rsidRPr="00B5549F">
              <w:rPr>
                <w:rFonts w:ascii="Times New Roman" w:hAnsi="Times New Roman" w:cs="Times New Roman"/>
                <w:b/>
                <w:bCs/>
                <w:color w:val="000000" w:themeColor="text1"/>
                <w:sz w:val="20"/>
                <w:szCs w:val="20"/>
                <w:lang w:val="en-US"/>
              </w:rPr>
              <w:t>[3-10 listings]</w:t>
            </w:r>
          </w:p>
        </w:tc>
        <w:tc>
          <w:tcPr>
            <w:tcW w:w="1871" w:type="dxa"/>
            <w:tcBorders>
              <w:top w:val="single" w:sz="4" w:space="0" w:color="auto"/>
              <w:bottom w:val="single" w:sz="4" w:space="0" w:color="auto"/>
            </w:tcBorders>
            <w:noWrap/>
            <w:hideMark/>
          </w:tcPr>
          <w:p w14:paraId="78C8E89D" w14:textId="77777777" w:rsidR="00985916" w:rsidRPr="00B5549F" w:rsidRDefault="00985916" w:rsidP="00985916">
            <w:pPr>
              <w:contextualSpacing/>
              <w:jc w:val="center"/>
              <w:rPr>
                <w:rFonts w:ascii="Times New Roman" w:hAnsi="Times New Roman" w:cs="Times New Roman"/>
                <w:b/>
                <w:bCs/>
                <w:color w:val="000000" w:themeColor="text1"/>
                <w:sz w:val="20"/>
                <w:szCs w:val="20"/>
                <w:lang w:val="en-US"/>
              </w:rPr>
            </w:pPr>
            <w:r w:rsidRPr="00B5549F">
              <w:rPr>
                <w:rFonts w:ascii="Times New Roman" w:hAnsi="Times New Roman" w:cs="Times New Roman"/>
                <w:b/>
                <w:bCs/>
                <w:color w:val="000000" w:themeColor="text1"/>
                <w:sz w:val="20"/>
                <w:szCs w:val="20"/>
                <w:lang w:val="en-US"/>
              </w:rPr>
              <w:t>Large Firms</w:t>
            </w:r>
          </w:p>
          <w:p w14:paraId="4E90CDF7" w14:textId="673686BD" w:rsidR="00985916" w:rsidRPr="00B5549F" w:rsidRDefault="00985916" w:rsidP="00985916">
            <w:pPr>
              <w:contextualSpacing/>
              <w:jc w:val="center"/>
              <w:rPr>
                <w:rFonts w:ascii="Times New Roman" w:hAnsi="Times New Roman" w:cs="Times New Roman"/>
                <w:b/>
                <w:bCs/>
                <w:color w:val="000000" w:themeColor="text1"/>
                <w:sz w:val="20"/>
                <w:szCs w:val="20"/>
                <w:lang w:val="en-US"/>
              </w:rPr>
            </w:pPr>
            <w:r w:rsidRPr="00B5549F">
              <w:rPr>
                <w:rFonts w:ascii="Times New Roman" w:hAnsi="Times New Roman" w:cs="Times New Roman"/>
                <w:b/>
                <w:bCs/>
                <w:color w:val="000000" w:themeColor="text1"/>
                <w:sz w:val="20"/>
                <w:szCs w:val="20"/>
                <w:lang w:val="en-US"/>
              </w:rPr>
              <w:t>[+11 listings]</w:t>
            </w:r>
          </w:p>
        </w:tc>
        <w:tc>
          <w:tcPr>
            <w:tcW w:w="1134" w:type="dxa"/>
            <w:tcBorders>
              <w:top w:val="single" w:sz="4" w:space="0" w:color="auto"/>
              <w:bottom w:val="single" w:sz="4" w:space="0" w:color="auto"/>
            </w:tcBorders>
          </w:tcPr>
          <w:p w14:paraId="243A4B2F" w14:textId="77777777" w:rsidR="00985916" w:rsidRPr="00B5549F" w:rsidRDefault="00985916" w:rsidP="00985916">
            <w:pPr>
              <w:contextualSpacing/>
              <w:jc w:val="center"/>
              <w:rPr>
                <w:rFonts w:ascii="Times New Roman" w:hAnsi="Times New Roman" w:cs="Times New Roman"/>
                <w:b/>
                <w:bCs/>
                <w:color w:val="000000" w:themeColor="text1"/>
                <w:sz w:val="20"/>
                <w:szCs w:val="20"/>
                <w:lang w:val="en-US"/>
              </w:rPr>
            </w:pPr>
            <w:r w:rsidRPr="00B5549F">
              <w:rPr>
                <w:rFonts w:ascii="Times New Roman" w:hAnsi="Times New Roman" w:cs="Times New Roman"/>
                <w:b/>
                <w:bCs/>
                <w:color w:val="000000" w:themeColor="text1"/>
                <w:sz w:val="20"/>
                <w:szCs w:val="20"/>
                <w:lang w:val="en-US"/>
              </w:rPr>
              <w:t>Total</w:t>
            </w:r>
          </w:p>
        </w:tc>
      </w:tr>
      <w:tr w:rsidR="00B5549F" w:rsidRPr="00B5549F" w14:paraId="07C637E3" w14:textId="77777777" w:rsidTr="00E02797">
        <w:trPr>
          <w:trHeight w:val="170"/>
          <w:jc w:val="center"/>
        </w:trPr>
        <w:tc>
          <w:tcPr>
            <w:tcW w:w="2410" w:type="dxa"/>
            <w:tcBorders>
              <w:top w:val="single" w:sz="4" w:space="0" w:color="auto"/>
              <w:bottom w:val="nil"/>
            </w:tcBorders>
            <w:noWrap/>
            <w:hideMark/>
          </w:tcPr>
          <w:p w14:paraId="50AB7020"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Hosts</w:t>
            </w:r>
          </w:p>
        </w:tc>
        <w:tc>
          <w:tcPr>
            <w:tcW w:w="1133" w:type="dxa"/>
            <w:tcBorders>
              <w:top w:val="single" w:sz="4" w:space="0" w:color="auto"/>
              <w:bottom w:val="nil"/>
            </w:tcBorders>
            <w:noWrap/>
            <w:hideMark/>
          </w:tcPr>
          <w:p w14:paraId="5BF95DB4"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Jan 2017</w:t>
            </w:r>
          </w:p>
        </w:tc>
        <w:tc>
          <w:tcPr>
            <w:tcW w:w="1871" w:type="dxa"/>
            <w:tcBorders>
              <w:top w:val="single" w:sz="4" w:space="0" w:color="auto"/>
              <w:bottom w:val="nil"/>
            </w:tcBorders>
            <w:noWrap/>
            <w:hideMark/>
          </w:tcPr>
          <w:p w14:paraId="088CB9AE"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151,194</w:t>
            </w:r>
          </w:p>
        </w:tc>
        <w:tc>
          <w:tcPr>
            <w:tcW w:w="1871" w:type="dxa"/>
            <w:tcBorders>
              <w:top w:val="single" w:sz="4" w:space="0" w:color="auto"/>
              <w:bottom w:val="nil"/>
            </w:tcBorders>
            <w:noWrap/>
            <w:hideMark/>
          </w:tcPr>
          <w:p w14:paraId="19BC0248"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21,770</w:t>
            </w:r>
          </w:p>
        </w:tc>
        <w:tc>
          <w:tcPr>
            <w:tcW w:w="1871" w:type="dxa"/>
            <w:tcBorders>
              <w:top w:val="single" w:sz="4" w:space="0" w:color="auto"/>
              <w:bottom w:val="nil"/>
            </w:tcBorders>
            <w:noWrap/>
            <w:hideMark/>
          </w:tcPr>
          <w:p w14:paraId="5CB0553A"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1,132</w:t>
            </w:r>
          </w:p>
        </w:tc>
        <w:tc>
          <w:tcPr>
            <w:tcW w:w="1134" w:type="dxa"/>
            <w:tcBorders>
              <w:top w:val="single" w:sz="4" w:space="0" w:color="auto"/>
              <w:bottom w:val="nil"/>
            </w:tcBorders>
          </w:tcPr>
          <w:p w14:paraId="73C28070"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174,096</w:t>
            </w:r>
          </w:p>
        </w:tc>
      </w:tr>
      <w:tr w:rsidR="00B5549F" w:rsidRPr="00B5549F" w14:paraId="14CC2E91" w14:textId="77777777" w:rsidTr="00E02797">
        <w:trPr>
          <w:trHeight w:val="170"/>
          <w:jc w:val="center"/>
        </w:trPr>
        <w:tc>
          <w:tcPr>
            <w:tcW w:w="2410" w:type="dxa"/>
            <w:tcBorders>
              <w:top w:val="nil"/>
              <w:bottom w:val="nil"/>
            </w:tcBorders>
            <w:noWrap/>
            <w:hideMark/>
          </w:tcPr>
          <w:p w14:paraId="5A5AA1DB" w14:textId="77777777" w:rsidR="00985916" w:rsidRPr="00B5549F" w:rsidRDefault="00985916" w:rsidP="00985916">
            <w:pPr>
              <w:contextualSpacing/>
              <w:rPr>
                <w:rFonts w:ascii="Times New Roman" w:hAnsi="Times New Roman" w:cs="Times New Roman"/>
                <w:color w:val="000000" w:themeColor="text1"/>
                <w:sz w:val="20"/>
                <w:szCs w:val="20"/>
                <w:lang w:val="en-US"/>
              </w:rPr>
            </w:pPr>
          </w:p>
        </w:tc>
        <w:tc>
          <w:tcPr>
            <w:tcW w:w="1133" w:type="dxa"/>
            <w:tcBorders>
              <w:top w:val="nil"/>
              <w:bottom w:val="nil"/>
            </w:tcBorders>
            <w:noWrap/>
            <w:hideMark/>
          </w:tcPr>
          <w:p w14:paraId="620036B5"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Dec 2019</w:t>
            </w:r>
          </w:p>
        </w:tc>
        <w:tc>
          <w:tcPr>
            <w:tcW w:w="1871" w:type="dxa"/>
            <w:tcBorders>
              <w:top w:val="nil"/>
              <w:bottom w:val="nil"/>
            </w:tcBorders>
            <w:noWrap/>
            <w:hideMark/>
          </w:tcPr>
          <w:p w14:paraId="3D3FAA07"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209,688</w:t>
            </w:r>
          </w:p>
        </w:tc>
        <w:tc>
          <w:tcPr>
            <w:tcW w:w="1871" w:type="dxa"/>
            <w:tcBorders>
              <w:top w:val="nil"/>
              <w:bottom w:val="nil"/>
            </w:tcBorders>
            <w:noWrap/>
            <w:hideMark/>
          </w:tcPr>
          <w:p w14:paraId="4E6A9413"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30,613</w:t>
            </w:r>
          </w:p>
        </w:tc>
        <w:tc>
          <w:tcPr>
            <w:tcW w:w="1871" w:type="dxa"/>
            <w:tcBorders>
              <w:top w:val="nil"/>
              <w:bottom w:val="nil"/>
            </w:tcBorders>
            <w:noWrap/>
            <w:hideMark/>
          </w:tcPr>
          <w:p w14:paraId="69BF8C52"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2,176</w:t>
            </w:r>
          </w:p>
        </w:tc>
        <w:tc>
          <w:tcPr>
            <w:tcW w:w="1134" w:type="dxa"/>
            <w:tcBorders>
              <w:top w:val="nil"/>
              <w:bottom w:val="nil"/>
            </w:tcBorders>
          </w:tcPr>
          <w:p w14:paraId="74770372"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242,477</w:t>
            </w:r>
          </w:p>
        </w:tc>
      </w:tr>
      <w:tr w:rsidR="00B5549F" w:rsidRPr="00B5549F" w14:paraId="4B6D38B9" w14:textId="77777777" w:rsidTr="00E02797">
        <w:trPr>
          <w:trHeight w:val="170"/>
          <w:jc w:val="center"/>
        </w:trPr>
        <w:tc>
          <w:tcPr>
            <w:tcW w:w="2410" w:type="dxa"/>
            <w:tcBorders>
              <w:top w:val="nil"/>
            </w:tcBorders>
            <w:noWrap/>
            <w:hideMark/>
          </w:tcPr>
          <w:p w14:paraId="782337C8"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Share of hosts</w:t>
            </w:r>
          </w:p>
        </w:tc>
        <w:tc>
          <w:tcPr>
            <w:tcW w:w="1133" w:type="dxa"/>
            <w:tcBorders>
              <w:top w:val="nil"/>
            </w:tcBorders>
            <w:noWrap/>
            <w:hideMark/>
          </w:tcPr>
          <w:p w14:paraId="7A1FDBF4"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Jan 2017</w:t>
            </w:r>
          </w:p>
        </w:tc>
        <w:tc>
          <w:tcPr>
            <w:tcW w:w="1871" w:type="dxa"/>
            <w:tcBorders>
              <w:top w:val="nil"/>
            </w:tcBorders>
            <w:noWrap/>
            <w:hideMark/>
          </w:tcPr>
          <w:p w14:paraId="334619DA"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86.8%</w:t>
            </w:r>
          </w:p>
        </w:tc>
        <w:tc>
          <w:tcPr>
            <w:tcW w:w="1871" w:type="dxa"/>
            <w:tcBorders>
              <w:top w:val="nil"/>
            </w:tcBorders>
            <w:noWrap/>
            <w:hideMark/>
          </w:tcPr>
          <w:p w14:paraId="235A7D90"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12.5%</w:t>
            </w:r>
          </w:p>
        </w:tc>
        <w:tc>
          <w:tcPr>
            <w:tcW w:w="1871" w:type="dxa"/>
            <w:tcBorders>
              <w:top w:val="nil"/>
            </w:tcBorders>
            <w:noWrap/>
            <w:hideMark/>
          </w:tcPr>
          <w:p w14:paraId="618FCE15"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0.7%</w:t>
            </w:r>
          </w:p>
        </w:tc>
        <w:tc>
          <w:tcPr>
            <w:tcW w:w="1134" w:type="dxa"/>
            <w:tcBorders>
              <w:top w:val="nil"/>
            </w:tcBorders>
          </w:tcPr>
          <w:p w14:paraId="64E1F47C"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p>
        </w:tc>
      </w:tr>
      <w:tr w:rsidR="00B5549F" w:rsidRPr="00B5549F" w14:paraId="1122E533" w14:textId="77777777" w:rsidTr="00E02797">
        <w:trPr>
          <w:trHeight w:val="170"/>
          <w:jc w:val="center"/>
        </w:trPr>
        <w:tc>
          <w:tcPr>
            <w:tcW w:w="2410" w:type="dxa"/>
            <w:tcBorders>
              <w:bottom w:val="dashed" w:sz="4" w:space="0" w:color="auto"/>
            </w:tcBorders>
            <w:noWrap/>
            <w:hideMark/>
          </w:tcPr>
          <w:p w14:paraId="3825FED4" w14:textId="77777777" w:rsidR="00985916" w:rsidRPr="00B5549F" w:rsidRDefault="00985916" w:rsidP="00985916">
            <w:pPr>
              <w:contextualSpacing/>
              <w:rPr>
                <w:rFonts w:ascii="Times New Roman" w:hAnsi="Times New Roman" w:cs="Times New Roman"/>
                <w:color w:val="000000" w:themeColor="text1"/>
                <w:sz w:val="20"/>
                <w:szCs w:val="20"/>
                <w:lang w:val="en-US"/>
              </w:rPr>
            </w:pPr>
          </w:p>
        </w:tc>
        <w:tc>
          <w:tcPr>
            <w:tcW w:w="1133" w:type="dxa"/>
            <w:tcBorders>
              <w:bottom w:val="dashed" w:sz="4" w:space="0" w:color="auto"/>
            </w:tcBorders>
            <w:noWrap/>
            <w:hideMark/>
          </w:tcPr>
          <w:p w14:paraId="24ADDAE4"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Dec 2019</w:t>
            </w:r>
          </w:p>
        </w:tc>
        <w:tc>
          <w:tcPr>
            <w:tcW w:w="1871" w:type="dxa"/>
            <w:tcBorders>
              <w:bottom w:val="dashed" w:sz="4" w:space="0" w:color="auto"/>
            </w:tcBorders>
            <w:noWrap/>
            <w:hideMark/>
          </w:tcPr>
          <w:p w14:paraId="3CB3286E"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86.5%</w:t>
            </w:r>
          </w:p>
        </w:tc>
        <w:tc>
          <w:tcPr>
            <w:tcW w:w="1871" w:type="dxa"/>
            <w:tcBorders>
              <w:bottom w:val="dashed" w:sz="4" w:space="0" w:color="auto"/>
            </w:tcBorders>
            <w:noWrap/>
            <w:hideMark/>
          </w:tcPr>
          <w:p w14:paraId="4022E85D"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12.6%</w:t>
            </w:r>
          </w:p>
        </w:tc>
        <w:tc>
          <w:tcPr>
            <w:tcW w:w="1871" w:type="dxa"/>
            <w:tcBorders>
              <w:bottom w:val="dashed" w:sz="4" w:space="0" w:color="auto"/>
            </w:tcBorders>
            <w:noWrap/>
            <w:hideMark/>
          </w:tcPr>
          <w:p w14:paraId="163920EA" w14:textId="77777777" w:rsidR="00985916" w:rsidRPr="00B5549F" w:rsidRDefault="00985916" w:rsidP="00985916">
            <w:pPr>
              <w:keepNext/>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0.9%</w:t>
            </w:r>
          </w:p>
        </w:tc>
        <w:tc>
          <w:tcPr>
            <w:tcW w:w="1134" w:type="dxa"/>
            <w:tcBorders>
              <w:bottom w:val="dashed" w:sz="4" w:space="0" w:color="auto"/>
            </w:tcBorders>
          </w:tcPr>
          <w:p w14:paraId="28B05E6B" w14:textId="77777777" w:rsidR="00985916" w:rsidRPr="00B5549F" w:rsidRDefault="00985916" w:rsidP="00985916">
            <w:pPr>
              <w:keepNext/>
              <w:contextualSpacing/>
              <w:jc w:val="right"/>
              <w:rPr>
                <w:rFonts w:ascii="Times New Roman" w:hAnsi="Times New Roman" w:cs="Times New Roman"/>
                <w:color w:val="000000" w:themeColor="text1"/>
                <w:sz w:val="20"/>
                <w:szCs w:val="20"/>
                <w:lang w:val="en-US"/>
              </w:rPr>
            </w:pPr>
          </w:p>
        </w:tc>
      </w:tr>
      <w:tr w:rsidR="00B5549F" w:rsidRPr="00B5549F" w14:paraId="495EC22E" w14:textId="77777777" w:rsidTr="00E02797">
        <w:trPr>
          <w:trHeight w:val="170"/>
          <w:jc w:val="center"/>
        </w:trPr>
        <w:tc>
          <w:tcPr>
            <w:tcW w:w="2410" w:type="dxa"/>
            <w:tcBorders>
              <w:top w:val="dashed" w:sz="4" w:space="0" w:color="auto"/>
              <w:bottom w:val="nil"/>
            </w:tcBorders>
            <w:noWrap/>
          </w:tcPr>
          <w:p w14:paraId="02BF7D18"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Active listings</w:t>
            </w:r>
          </w:p>
        </w:tc>
        <w:tc>
          <w:tcPr>
            <w:tcW w:w="1133" w:type="dxa"/>
            <w:tcBorders>
              <w:top w:val="dashed" w:sz="4" w:space="0" w:color="auto"/>
              <w:bottom w:val="nil"/>
            </w:tcBorders>
            <w:noWrap/>
          </w:tcPr>
          <w:p w14:paraId="072EB19A"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Jan 2017</w:t>
            </w:r>
          </w:p>
        </w:tc>
        <w:tc>
          <w:tcPr>
            <w:tcW w:w="1871" w:type="dxa"/>
            <w:tcBorders>
              <w:top w:val="dashed" w:sz="4" w:space="0" w:color="auto"/>
              <w:bottom w:val="nil"/>
            </w:tcBorders>
            <w:noWrap/>
          </w:tcPr>
          <w:p w14:paraId="2560170C"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176,138</w:t>
            </w:r>
          </w:p>
        </w:tc>
        <w:tc>
          <w:tcPr>
            <w:tcW w:w="1871" w:type="dxa"/>
            <w:tcBorders>
              <w:top w:val="dashed" w:sz="4" w:space="0" w:color="auto"/>
              <w:bottom w:val="nil"/>
            </w:tcBorders>
            <w:noWrap/>
          </w:tcPr>
          <w:p w14:paraId="7260F75F"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98,097</w:t>
            </w:r>
          </w:p>
        </w:tc>
        <w:tc>
          <w:tcPr>
            <w:tcW w:w="1871" w:type="dxa"/>
            <w:tcBorders>
              <w:top w:val="dashed" w:sz="4" w:space="0" w:color="auto"/>
              <w:bottom w:val="nil"/>
            </w:tcBorders>
            <w:noWrap/>
          </w:tcPr>
          <w:p w14:paraId="0CFEE82B" w14:textId="77777777" w:rsidR="00985916" w:rsidRPr="00B5549F" w:rsidRDefault="00985916" w:rsidP="00985916">
            <w:pPr>
              <w:keepNext/>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34,037</w:t>
            </w:r>
          </w:p>
        </w:tc>
        <w:tc>
          <w:tcPr>
            <w:tcW w:w="1134" w:type="dxa"/>
            <w:tcBorders>
              <w:top w:val="dashed" w:sz="4" w:space="0" w:color="auto"/>
              <w:bottom w:val="nil"/>
            </w:tcBorders>
          </w:tcPr>
          <w:p w14:paraId="2A1D8407" w14:textId="77777777" w:rsidR="00985916" w:rsidRPr="00B5549F" w:rsidRDefault="00985916" w:rsidP="00985916">
            <w:pPr>
              <w:keepNext/>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308,272</w:t>
            </w:r>
          </w:p>
        </w:tc>
      </w:tr>
      <w:tr w:rsidR="00B5549F" w:rsidRPr="00B5549F" w14:paraId="525532BF" w14:textId="77777777" w:rsidTr="00E02797">
        <w:trPr>
          <w:trHeight w:val="170"/>
          <w:jc w:val="center"/>
        </w:trPr>
        <w:tc>
          <w:tcPr>
            <w:tcW w:w="2410" w:type="dxa"/>
            <w:tcBorders>
              <w:top w:val="nil"/>
              <w:bottom w:val="nil"/>
            </w:tcBorders>
            <w:noWrap/>
          </w:tcPr>
          <w:p w14:paraId="534C3D0B" w14:textId="77777777" w:rsidR="00985916" w:rsidRPr="00B5549F" w:rsidRDefault="00985916" w:rsidP="00985916">
            <w:pPr>
              <w:contextualSpacing/>
              <w:rPr>
                <w:rFonts w:ascii="Times New Roman" w:hAnsi="Times New Roman" w:cs="Times New Roman"/>
                <w:color w:val="000000" w:themeColor="text1"/>
                <w:sz w:val="20"/>
                <w:szCs w:val="20"/>
                <w:lang w:val="en-US"/>
              </w:rPr>
            </w:pPr>
          </w:p>
        </w:tc>
        <w:tc>
          <w:tcPr>
            <w:tcW w:w="1133" w:type="dxa"/>
            <w:tcBorders>
              <w:top w:val="nil"/>
              <w:bottom w:val="nil"/>
            </w:tcBorders>
            <w:noWrap/>
          </w:tcPr>
          <w:p w14:paraId="2ECEC323"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Dec 2019</w:t>
            </w:r>
          </w:p>
        </w:tc>
        <w:tc>
          <w:tcPr>
            <w:tcW w:w="1871" w:type="dxa"/>
            <w:tcBorders>
              <w:top w:val="nil"/>
              <w:bottom w:val="nil"/>
            </w:tcBorders>
            <w:noWrap/>
          </w:tcPr>
          <w:p w14:paraId="4D20DE05"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241,894</w:t>
            </w:r>
          </w:p>
        </w:tc>
        <w:tc>
          <w:tcPr>
            <w:tcW w:w="1871" w:type="dxa"/>
            <w:tcBorders>
              <w:top w:val="nil"/>
              <w:bottom w:val="nil"/>
            </w:tcBorders>
            <w:noWrap/>
          </w:tcPr>
          <w:p w14:paraId="00F24A86"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138,784</w:t>
            </w:r>
          </w:p>
        </w:tc>
        <w:tc>
          <w:tcPr>
            <w:tcW w:w="1871" w:type="dxa"/>
            <w:tcBorders>
              <w:top w:val="nil"/>
              <w:bottom w:val="nil"/>
            </w:tcBorders>
            <w:noWrap/>
          </w:tcPr>
          <w:p w14:paraId="6A21AEF3" w14:textId="77777777" w:rsidR="00985916" w:rsidRPr="00B5549F" w:rsidRDefault="00985916" w:rsidP="00985916">
            <w:pPr>
              <w:keepNext/>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69,719</w:t>
            </w:r>
          </w:p>
        </w:tc>
        <w:tc>
          <w:tcPr>
            <w:tcW w:w="1134" w:type="dxa"/>
            <w:tcBorders>
              <w:top w:val="nil"/>
              <w:bottom w:val="nil"/>
            </w:tcBorders>
          </w:tcPr>
          <w:p w14:paraId="294189EE" w14:textId="77777777" w:rsidR="00985916" w:rsidRPr="00B5549F" w:rsidRDefault="00985916" w:rsidP="00985916">
            <w:pPr>
              <w:keepNext/>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450,397</w:t>
            </w:r>
          </w:p>
        </w:tc>
      </w:tr>
      <w:tr w:rsidR="00B5549F" w:rsidRPr="00B5549F" w14:paraId="29EBF226" w14:textId="77777777" w:rsidTr="00E02797">
        <w:trPr>
          <w:trHeight w:val="170"/>
          <w:jc w:val="center"/>
        </w:trPr>
        <w:tc>
          <w:tcPr>
            <w:tcW w:w="2410" w:type="dxa"/>
            <w:tcBorders>
              <w:top w:val="nil"/>
              <w:bottom w:val="nil"/>
            </w:tcBorders>
            <w:noWrap/>
          </w:tcPr>
          <w:p w14:paraId="2988A793"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Share of active listings</w:t>
            </w:r>
          </w:p>
        </w:tc>
        <w:tc>
          <w:tcPr>
            <w:tcW w:w="1133" w:type="dxa"/>
            <w:tcBorders>
              <w:top w:val="nil"/>
              <w:bottom w:val="nil"/>
            </w:tcBorders>
            <w:noWrap/>
          </w:tcPr>
          <w:p w14:paraId="7A91723D"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Jan 2017</w:t>
            </w:r>
          </w:p>
        </w:tc>
        <w:tc>
          <w:tcPr>
            <w:tcW w:w="1871" w:type="dxa"/>
            <w:tcBorders>
              <w:top w:val="nil"/>
              <w:bottom w:val="nil"/>
            </w:tcBorders>
            <w:noWrap/>
          </w:tcPr>
          <w:p w14:paraId="38D88512"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57.1%</w:t>
            </w:r>
          </w:p>
        </w:tc>
        <w:tc>
          <w:tcPr>
            <w:tcW w:w="1871" w:type="dxa"/>
            <w:tcBorders>
              <w:top w:val="nil"/>
              <w:bottom w:val="nil"/>
            </w:tcBorders>
            <w:noWrap/>
          </w:tcPr>
          <w:p w14:paraId="6575E791"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31.8%</w:t>
            </w:r>
          </w:p>
        </w:tc>
        <w:tc>
          <w:tcPr>
            <w:tcW w:w="1871" w:type="dxa"/>
            <w:tcBorders>
              <w:top w:val="nil"/>
              <w:bottom w:val="nil"/>
            </w:tcBorders>
            <w:noWrap/>
          </w:tcPr>
          <w:p w14:paraId="77419252" w14:textId="77777777" w:rsidR="00985916" w:rsidRPr="00B5549F" w:rsidRDefault="00985916" w:rsidP="00985916">
            <w:pPr>
              <w:keepNext/>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11.1%</w:t>
            </w:r>
          </w:p>
        </w:tc>
        <w:tc>
          <w:tcPr>
            <w:tcW w:w="1134" w:type="dxa"/>
            <w:tcBorders>
              <w:top w:val="nil"/>
              <w:bottom w:val="nil"/>
            </w:tcBorders>
          </w:tcPr>
          <w:p w14:paraId="29973C2A" w14:textId="77777777" w:rsidR="00985916" w:rsidRPr="00B5549F" w:rsidRDefault="00985916" w:rsidP="00985916">
            <w:pPr>
              <w:keepNext/>
              <w:contextualSpacing/>
              <w:jc w:val="right"/>
              <w:rPr>
                <w:rFonts w:ascii="Times New Roman" w:hAnsi="Times New Roman" w:cs="Times New Roman"/>
                <w:color w:val="000000" w:themeColor="text1"/>
                <w:sz w:val="20"/>
                <w:szCs w:val="20"/>
                <w:lang w:val="en-US"/>
              </w:rPr>
            </w:pPr>
          </w:p>
        </w:tc>
      </w:tr>
      <w:tr w:rsidR="00B5549F" w:rsidRPr="00B5549F" w14:paraId="420D2061" w14:textId="77777777" w:rsidTr="00E02797">
        <w:trPr>
          <w:trHeight w:val="170"/>
          <w:jc w:val="center"/>
        </w:trPr>
        <w:tc>
          <w:tcPr>
            <w:tcW w:w="2410" w:type="dxa"/>
            <w:tcBorders>
              <w:top w:val="nil"/>
              <w:bottom w:val="nil"/>
            </w:tcBorders>
            <w:noWrap/>
          </w:tcPr>
          <w:p w14:paraId="5BB55BF1" w14:textId="77777777" w:rsidR="00985916" w:rsidRPr="00B5549F" w:rsidRDefault="00985916" w:rsidP="00985916">
            <w:pPr>
              <w:contextualSpacing/>
              <w:rPr>
                <w:rFonts w:ascii="Times New Roman" w:hAnsi="Times New Roman" w:cs="Times New Roman"/>
                <w:color w:val="000000" w:themeColor="text1"/>
                <w:sz w:val="20"/>
                <w:szCs w:val="20"/>
                <w:lang w:val="en-US"/>
              </w:rPr>
            </w:pPr>
          </w:p>
        </w:tc>
        <w:tc>
          <w:tcPr>
            <w:tcW w:w="1133" w:type="dxa"/>
            <w:tcBorders>
              <w:top w:val="nil"/>
              <w:bottom w:val="nil"/>
            </w:tcBorders>
            <w:noWrap/>
          </w:tcPr>
          <w:p w14:paraId="579518F9"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Dec 2019</w:t>
            </w:r>
          </w:p>
        </w:tc>
        <w:tc>
          <w:tcPr>
            <w:tcW w:w="1871" w:type="dxa"/>
            <w:tcBorders>
              <w:top w:val="nil"/>
              <w:bottom w:val="nil"/>
            </w:tcBorders>
            <w:noWrap/>
          </w:tcPr>
          <w:p w14:paraId="0DEBDBEE"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53.7%</w:t>
            </w:r>
          </w:p>
        </w:tc>
        <w:tc>
          <w:tcPr>
            <w:tcW w:w="1871" w:type="dxa"/>
            <w:tcBorders>
              <w:top w:val="nil"/>
              <w:bottom w:val="nil"/>
            </w:tcBorders>
            <w:noWrap/>
          </w:tcPr>
          <w:p w14:paraId="2C60FA47"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30.8%</w:t>
            </w:r>
          </w:p>
        </w:tc>
        <w:tc>
          <w:tcPr>
            <w:tcW w:w="1871" w:type="dxa"/>
            <w:tcBorders>
              <w:top w:val="nil"/>
              <w:bottom w:val="nil"/>
            </w:tcBorders>
            <w:noWrap/>
          </w:tcPr>
          <w:p w14:paraId="1F6E2DD7" w14:textId="77777777" w:rsidR="00985916" w:rsidRPr="00B5549F" w:rsidRDefault="00985916" w:rsidP="00985916">
            <w:pPr>
              <w:keepNext/>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15.5%</w:t>
            </w:r>
          </w:p>
        </w:tc>
        <w:tc>
          <w:tcPr>
            <w:tcW w:w="1134" w:type="dxa"/>
            <w:tcBorders>
              <w:top w:val="nil"/>
              <w:bottom w:val="nil"/>
            </w:tcBorders>
          </w:tcPr>
          <w:p w14:paraId="60E165D9" w14:textId="77777777" w:rsidR="00985916" w:rsidRPr="00B5549F" w:rsidRDefault="00985916" w:rsidP="00985916">
            <w:pPr>
              <w:keepNext/>
              <w:contextualSpacing/>
              <w:jc w:val="right"/>
              <w:rPr>
                <w:rFonts w:ascii="Times New Roman" w:hAnsi="Times New Roman" w:cs="Times New Roman"/>
                <w:color w:val="000000" w:themeColor="text1"/>
                <w:sz w:val="20"/>
                <w:szCs w:val="20"/>
                <w:lang w:val="en-US"/>
              </w:rPr>
            </w:pPr>
          </w:p>
        </w:tc>
      </w:tr>
      <w:tr w:rsidR="00B5549F" w:rsidRPr="00B5549F" w14:paraId="14D23C64" w14:textId="77777777" w:rsidTr="00E02797">
        <w:trPr>
          <w:trHeight w:val="170"/>
          <w:jc w:val="center"/>
        </w:trPr>
        <w:tc>
          <w:tcPr>
            <w:tcW w:w="2410" w:type="dxa"/>
            <w:tcBorders>
              <w:top w:val="dashed" w:sz="4" w:space="0" w:color="auto"/>
            </w:tcBorders>
            <w:noWrap/>
          </w:tcPr>
          <w:p w14:paraId="0CA00E52"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Avg. listings per host</w:t>
            </w:r>
          </w:p>
        </w:tc>
        <w:tc>
          <w:tcPr>
            <w:tcW w:w="1133" w:type="dxa"/>
            <w:tcBorders>
              <w:top w:val="dashed" w:sz="4" w:space="0" w:color="auto"/>
            </w:tcBorders>
            <w:noWrap/>
          </w:tcPr>
          <w:p w14:paraId="73521489"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Jan 2017</w:t>
            </w:r>
          </w:p>
        </w:tc>
        <w:tc>
          <w:tcPr>
            <w:tcW w:w="1871" w:type="dxa"/>
            <w:tcBorders>
              <w:top w:val="dashed" w:sz="4" w:space="0" w:color="auto"/>
            </w:tcBorders>
            <w:noWrap/>
          </w:tcPr>
          <w:p w14:paraId="2EEAC72E"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1.16</w:t>
            </w:r>
          </w:p>
        </w:tc>
        <w:tc>
          <w:tcPr>
            <w:tcW w:w="1871" w:type="dxa"/>
            <w:tcBorders>
              <w:top w:val="dashed" w:sz="4" w:space="0" w:color="auto"/>
            </w:tcBorders>
            <w:noWrap/>
          </w:tcPr>
          <w:p w14:paraId="7FE7E97A"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4.51</w:t>
            </w:r>
          </w:p>
        </w:tc>
        <w:tc>
          <w:tcPr>
            <w:tcW w:w="1871" w:type="dxa"/>
            <w:tcBorders>
              <w:top w:val="dashed" w:sz="4" w:space="0" w:color="auto"/>
            </w:tcBorders>
            <w:noWrap/>
          </w:tcPr>
          <w:p w14:paraId="7EF4EF3E" w14:textId="77777777" w:rsidR="00985916" w:rsidRPr="00B5549F" w:rsidRDefault="00985916" w:rsidP="00985916">
            <w:pPr>
              <w:keepNext/>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30.07</w:t>
            </w:r>
          </w:p>
        </w:tc>
        <w:tc>
          <w:tcPr>
            <w:tcW w:w="1134" w:type="dxa"/>
            <w:tcBorders>
              <w:top w:val="dashed" w:sz="4" w:space="0" w:color="auto"/>
            </w:tcBorders>
          </w:tcPr>
          <w:p w14:paraId="158B1C88" w14:textId="77777777" w:rsidR="00985916" w:rsidRPr="00B5549F" w:rsidRDefault="00985916" w:rsidP="00985916">
            <w:pPr>
              <w:keepNext/>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1,77</w:t>
            </w:r>
          </w:p>
        </w:tc>
      </w:tr>
      <w:tr w:rsidR="00B5549F" w:rsidRPr="00B5549F" w14:paraId="7C88B68E" w14:textId="77777777" w:rsidTr="00E02797">
        <w:trPr>
          <w:trHeight w:val="170"/>
          <w:jc w:val="center"/>
        </w:trPr>
        <w:tc>
          <w:tcPr>
            <w:tcW w:w="2410" w:type="dxa"/>
            <w:tcBorders>
              <w:bottom w:val="single" w:sz="4" w:space="0" w:color="auto"/>
            </w:tcBorders>
            <w:noWrap/>
          </w:tcPr>
          <w:p w14:paraId="60637788" w14:textId="77777777" w:rsidR="00985916" w:rsidRPr="00B5549F" w:rsidRDefault="00985916" w:rsidP="00985916">
            <w:pPr>
              <w:contextualSpacing/>
              <w:rPr>
                <w:rFonts w:ascii="Times New Roman" w:hAnsi="Times New Roman" w:cs="Times New Roman"/>
                <w:color w:val="000000" w:themeColor="text1"/>
                <w:sz w:val="20"/>
                <w:szCs w:val="20"/>
                <w:lang w:val="en-US"/>
              </w:rPr>
            </w:pPr>
          </w:p>
        </w:tc>
        <w:tc>
          <w:tcPr>
            <w:tcW w:w="1133" w:type="dxa"/>
            <w:tcBorders>
              <w:bottom w:val="single" w:sz="4" w:space="0" w:color="auto"/>
            </w:tcBorders>
            <w:noWrap/>
          </w:tcPr>
          <w:p w14:paraId="62ED86E1"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Dec 2019</w:t>
            </w:r>
          </w:p>
        </w:tc>
        <w:tc>
          <w:tcPr>
            <w:tcW w:w="1871" w:type="dxa"/>
            <w:tcBorders>
              <w:bottom w:val="single" w:sz="4" w:space="0" w:color="auto"/>
            </w:tcBorders>
            <w:noWrap/>
          </w:tcPr>
          <w:p w14:paraId="4D5C43D9"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1.15</w:t>
            </w:r>
          </w:p>
        </w:tc>
        <w:tc>
          <w:tcPr>
            <w:tcW w:w="1871" w:type="dxa"/>
            <w:tcBorders>
              <w:bottom w:val="single" w:sz="4" w:space="0" w:color="auto"/>
            </w:tcBorders>
            <w:noWrap/>
          </w:tcPr>
          <w:p w14:paraId="67A3BB10"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4.53</w:t>
            </w:r>
          </w:p>
        </w:tc>
        <w:tc>
          <w:tcPr>
            <w:tcW w:w="1871" w:type="dxa"/>
            <w:tcBorders>
              <w:bottom w:val="single" w:sz="4" w:space="0" w:color="auto"/>
            </w:tcBorders>
            <w:noWrap/>
          </w:tcPr>
          <w:p w14:paraId="0F4C4FD9" w14:textId="77777777" w:rsidR="00985916" w:rsidRPr="00B5549F" w:rsidRDefault="00985916" w:rsidP="00985916">
            <w:pPr>
              <w:keepNext/>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32.04</w:t>
            </w:r>
          </w:p>
        </w:tc>
        <w:tc>
          <w:tcPr>
            <w:tcW w:w="1134" w:type="dxa"/>
            <w:tcBorders>
              <w:bottom w:val="single" w:sz="4" w:space="0" w:color="auto"/>
            </w:tcBorders>
          </w:tcPr>
          <w:p w14:paraId="7D9FF50C" w14:textId="77777777" w:rsidR="00985916" w:rsidRPr="00B5549F" w:rsidRDefault="00985916" w:rsidP="00985916">
            <w:pPr>
              <w:keepNext/>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1,86</w:t>
            </w:r>
          </w:p>
        </w:tc>
      </w:tr>
    </w:tbl>
    <w:p w14:paraId="303EFD78" w14:textId="6FD8908F" w:rsidR="00985916" w:rsidRPr="00B5549F" w:rsidRDefault="00985916" w:rsidP="00985916">
      <w:pPr>
        <w:spacing w:before="120"/>
        <w:contextualSpacing/>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Notes. The first two sets of rows refer to the actual number of active hosts at the beginning (January 2017) and at the end (December 2019) of the sample, while the second two show the number of active Airbnb properties. The average listings per host is the proportion of active properties to the number of active hosts.</w:t>
      </w:r>
    </w:p>
    <w:p w14:paraId="2723F006" w14:textId="28BBD9C4" w:rsidR="00985916" w:rsidRPr="00B5549F" w:rsidRDefault="00985916" w:rsidP="00985916">
      <w:pPr>
        <w:spacing w:before="120"/>
        <w:contextualSpacing/>
        <w:jc w:val="both"/>
        <w:rPr>
          <w:rFonts w:ascii="Times New Roman" w:hAnsi="Times New Roman" w:cs="Times New Roman"/>
          <w:color w:val="000000" w:themeColor="text1"/>
          <w:lang w:val="en-US"/>
        </w:rPr>
      </w:pPr>
    </w:p>
    <w:p w14:paraId="40FD187D" w14:textId="46B0EC5B" w:rsidR="00985916" w:rsidRPr="00B5549F" w:rsidRDefault="00985916" w:rsidP="00985916">
      <w:pPr>
        <w:spacing w:after="120"/>
        <w:contextualSpacing/>
        <w:jc w:val="both"/>
        <w:rPr>
          <w:rFonts w:ascii="Times New Roman" w:hAnsi="Times New Roman" w:cs="Times New Roman"/>
          <w:color w:val="000000" w:themeColor="text1"/>
          <w:lang w:val="en-US"/>
        </w:rPr>
      </w:pPr>
      <w:r w:rsidRPr="00B5549F">
        <w:rPr>
          <w:rFonts w:ascii="Times New Roman" w:hAnsi="Times New Roman" w:cs="Times New Roman"/>
          <w:b/>
          <w:bCs/>
          <w:color w:val="000000" w:themeColor="text1"/>
          <w:lang w:val="en-US"/>
        </w:rPr>
        <w:t xml:space="preserve">Table 2a. </w:t>
      </w:r>
      <w:r w:rsidRPr="00B5549F">
        <w:rPr>
          <w:rFonts w:ascii="Times New Roman" w:hAnsi="Times New Roman" w:cs="Times New Roman"/>
          <w:color w:val="000000" w:themeColor="text1"/>
          <w:lang w:val="en-US"/>
        </w:rPr>
        <w:t xml:space="preserve">Average entry rates of small-scale, large-scale entrepreneurs and large firms. </w:t>
      </w:r>
    </w:p>
    <w:tbl>
      <w:tblPr>
        <w:tblStyle w:val="Tabellaelenco1chiara"/>
        <w:tblW w:w="0" w:type="auto"/>
        <w:jc w:val="center"/>
        <w:tblLook w:val="0620" w:firstRow="1" w:lastRow="0" w:firstColumn="0" w:lastColumn="0" w:noHBand="1" w:noVBand="1"/>
      </w:tblPr>
      <w:tblGrid>
        <w:gridCol w:w="2778"/>
        <w:gridCol w:w="1052"/>
        <w:gridCol w:w="1134"/>
      </w:tblGrid>
      <w:tr w:rsidR="00B5549F" w:rsidRPr="00B5549F" w14:paraId="7A9FCD69" w14:textId="77777777" w:rsidTr="00E02797">
        <w:trPr>
          <w:cnfStyle w:val="100000000000" w:firstRow="1" w:lastRow="0" w:firstColumn="0" w:lastColumn="0" w:oddVBand="0" w:evenVBand="0" w:oddHBand="0" w:evenHBand="0" w:firstRowFirstColumn="0" w:firstRowLastColumn="0" w:lastRowFirstColumn="0" w:lastRowLastColumn="0"/>
          <w:jc w:val="center"/>
        </w:trPr>
        <w:tc>
          <w:tcPr>
            <w:tcW w:w="2778" w:type="dxa"/>
            <w:tcBorders>
              <w:top w:val="single" w:sz="4" w:space="0" w:color="auto"/>
              <w:bottom w:val="single" w:sz="4" w:space="0" w:color="auto"/>
            </w:tcBorders>
          </w:tcPr>
          <w:p w14:paraId="577F45EA"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p>
        </w:tc>
        <w:tc>
          <w:tcPr>
            <w:tcW w:w="1052" w:type="dxa"/>
            <w:tcBorders>
              <w:top w:val="single" w:sz="4" w:space="0" w:color="auto"/>
              <w:bottom w:val="single" w:sz="4" w:space="0" w:color="auto"/>
            </w:tcBorders>
          </w:tcPr>
          <w:p w14:paraId="48AA1420"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National </w:t>
            </w:r>
          </w:p>
          <w:p w14:paraId="3FD2DB9A"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rates (%)</w:t>
            </w:r>
          </w:p>
        </w:tc>
        <w:tc>
          <w:tcPr>
            <w:tcW w:w="1134" w:type="dxa"/>
            <w:tcBorders>
              <w:top w:val="single" w:sz="4" w:space="0" w:color="auto"/>
              <w:bottom w:val="single" w:sz="4" w:space="0" w:color="auto"/>
            </w:tcBorders>
          </w:tcPr>
          <w:p w14:paraId="173F83D5"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Provincial </w:t>
            </w:r>
          </w:p>
          <w:p w14:paraId="7AB13088"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rates (%)</w:t>
            </w:r>
          </w:p>
        </w:tc>
      </w:tr>
      <w:tr w:rsidR="00B5549F" w:rsidRPr="00B5549F" w14:paraId="2A07D0A3" w14:textId="77777777" w:rsidTr="00E02797">
        <w:trPr>
          <w:jc w:val="center"/>
        </w:trPr>
        <w:tc>
          <w:tcPr>
            <w:tcW w:w="2778" w:type="dxa"/>
            <w:tcBorders>
              <w:top w:val="single" w:sz="4" w:space="0" w:color="auto"/>
            </w:tcBorders>
          </w:tcPr>
          <w:p w14:paraId="5F9826A9" w14:textId="77777777" w:rsidR="00985916" w:rsidRPr="00B5549F" w:rsidRDefault="00985916" w:rsidP="00985916">
            <w:pPr>
              <w:contextualSpacing/>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SSE [1-2 listings]</w:t>
            </w:r>
          </w:p>
        </w:tc>
        <w:tc>
          <w:tcPr>
            <w:tcW w:w="1052" w:type="dxa"/>
            <w:tcBorders>
              <w:top w:val="single" w:sz="4" w:space="0" w:color="auto"/>
            </w:tcBorders>
          </w:tcPr>
          <w:p w14:paraId="6B10026D"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3.03</w:t>
            </w:r>
          </w:p>
        </w:tc>
        <w:tc>
          <w:tcPr>
            <w:tcW w:w="1134" w:type="dxa"/>
            <w:tcBorders>
              <w:top w:val="single" w:sz="4" w:space="0" w:color="auto"/>
            </w:tcBorders>
          </w:tcPr>
          <w:p w14:paraId="6039F20D"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3.15</w:t>
            </w:r>
          </w:p>
        </w:tc>
      </w:tr>
      <w:tr w:rsidR="00B5549F" w:rsidRPr="00B5549F" w14:paraId="27B90EAC" w14:textId="77777777" w:rsidTr="00E02797">
        <w:trPr>
          <w:jc w:val="center"/>
        </w:trPr>
        <w:tc>
          <w:tcPr>
            <w:tcW w:w="2778" w:type="dxa"/>
          </w:tcPr>
          <w:p w14:paraId="08DBD6FC" w14:textId="77777777" w:rsidR="00985916" w:rsidRPr="00B5549F" w:rsidRDefault="00985916" w:rsidP="00985916">
            <w:pPr>
              <w:contextualSpacing/>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LSE [3-10 listings]</w:t>
            </w:r>
          </w:p>
        </w:tc>
        <w:tc>
          <w:tcPr>
            <w:tcW w:w="1052" w:type="dxa"/>
          </w:tcPr>
          <w:p w14:paraId="74D325E2"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0.51</w:t>
            </w:r>
          </w:p>
        </w:tc>
        <w:tc>
          <w:tcPr>
            <w:tcW w:w="1134" w:type="dxa"/>
          </w:tcPr>
          <w:p w14:paraId="636152F9"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0.49</w:t>
            </w:r>
          </w:p>
        </w:tc>
      </w:tr>
      <w:tr w:rsidR="00B5549F" w:rsidRPr="00B5549F" w14:paraId="6546822B" w14:textId="77777777" w:rsidTr="00E02797">
        <w:trPr>
          <w:jc w:val="center"/>
        </w:trPr>
        <w:tc>
          <w:tcPr>
            <w:tcW w:w="2778" w:type="dxa"/>
          </w:tcPr>
          <w:p w14:paraId="0174ABC3" w14:textId="77777777" w:rsidR="00985916" w:rsidRPr="00B5549F" w:rsidRDefault="00985916" w:rsidP="00985916">
            <w:pPr>
              <w:contextualSpacing/>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Large Firms [11+ listings]</w:t>
            </w:r>
          </w:p>
        </w:tc>
        <w:tc>
          <w:tcPr>
            <w:tcW w:w="1052" w:type="dxa"/>
          </w:tcPr>
          <w:p w14:paraId="73EE120E"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0.06</w:t>
            </w:r>
          </w:p>
        </w:tc>
        <w:tc>
          <w:tcPr>
            <w:tcW w:w="1134" w:type="dxa"/>
          </w:tcPr>
          <w:p w14:paraId="0F37A876"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0.05</w:t>
            </w:r>
          </w:p>
        </w:tc>
      </w:tr>
      <w:tr w:rsidR="00B5549F" w:rsidRPr="00B5549F" w14:paraId="16660FE3" w14:textId="77777777" w:rsidTr="00E02797">
        <w:trPr>
          <w:jc w:val="center"/>
        </w:trPr>
        <w:tc>
          <w:tcPr>
            <w:tcW w:w="2778" w:type="dxa"/>
            <w:tcBorders>
              <w:bottom w:val="single" w:sz="4" w:space="0" w:color="auto"/>
            </w:tcBorders>
          </w:tcPr>
          <w:p w14:paraId="5CFC9A83" w14:textId="77777777" w:rsidR="00985916" w:rsidRPr="00B5549F" w:rsidRDefault="00985916" w:rsidP="00985916">
            <w:pPr>
              <w:contextualSpacing/>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Total</w:t>
            </w:r>
          </w:p>
        </w:tc>
        <w:tc>
          <w:tcPr>
            <w:tcW w:w="1052" w:type="dxa"/>
            <w:tcBorders>
              <w:bottom w:val="single" w:sz="4" w:space="0" w:color="auto"/>
            </w:tcBorders>
          </w:tcPr>
          <w:p w14:paraId="61C08D32"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3.59</w:t>
            </w:r>
          </w:p>
        </w:tc>
        <w:tc>
          <w:tcPr>
            <w:tcW w:w="1134" w:type="dxa"/>
            <w:tcBorders>
              <w:bottom w:val="single" w:sz="4" w:space="0" w:color="auto"/>
            </w:tcBorders>
          </w:tcPr>
          <w:p w14:paraId="32F5AFCD"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3.69</w:t>
            </w:r>
          </w:p>
        </w:tc>
      </w:tr>
    </w:tbl>
    <w:p w14:paraId="6D0B597A" w14:textId="3D34E671" w:rsidR="00985916" w:rsidRPr="00B5549F" w:rsidRDefault="00985916" w:rsidP="00985916">
      <w:pPr>
        <w:contextualSpacing/>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Notes. Time span: monthly (January 2017 – December 2019). Entry rates are calculated as the ratio of new entries in month t, then averaged over the sample time span. National entry rates consider the Italian territory as a whole, while provincial entry rates average over the province in our dataset.</w:t>
      </w:r>
    </w:p>
    <w:p w14:paraId="677480D3" w14:textId="77777777" w:rsidR="00985916" w:rsidRPr="00B5549F" w:rsidRDefault="00985916" w:rsidP="00985916">
      <w:pPr>
        <w:spacing w:after="120"/>
        <w:contextualSpacing/>
        <w:jc w:val="both"/>
        <w:rPr>
          <w:rFonts w:ascii="Times New Roman" w:hAnsi="Times New Roman" w:cs="Times New Roman"/>
          <w:color w:val="000000" w:themeColor="text1"/>
          <w:lang w:val="en-US"/>
        </w:rPr>
      </w:pPr>
    </w:p>
    <w:p w14:paraId="6FB5BB11" w14:textId="5C47B9D4" w:rsidR="00985916" w:rsidRPr="00B5549F" w:rsidRDefault="00985916" w:rsidP="00985916">
      <w:pPr>
        <w:spacing w:after="120"/>
        <w:contextualSpacing/>
        <w:jc w:val="both"/>
        <w:rPr>
          <w:rFonts w:ascii="Times New Roman" w:hAnsi="Times New Roman" w:cs="Times New Roman"/>
          <w:color w:val="000000" w:themeColor="text1"/>
          <w:lang w:val="en-US"/>
        </w:rPr>
      </w:pPr>
      <w:r w:rsidRPr="00B5549F">
        <w:rPr>
          <w:rFonts w:ascii="Times New Roman" w:hAnsi="Times New Roman" w:cs="Times New Roman"/>
          <w:b/>
          <w:bCs/>
          <w:color w:val="000000" w:themeColor="text1"/>
          <w:lang w:val="en-US"/>
        </w:rPr>
        <w:t xml:space="preserve">Table 2b. </w:t>
      </w:r>
      <w:r w:rsidRPr="00B5549F">
        <w:rPr>
          <w:rFonts w:ascii="Times New Roman" w:hAnsi="Times New Roman" w:cs="Times New Roman"/>
          <w:color w:val="000000" w:themeColor="text1"/>
          <w:lang w:val="en-US"/>
        </w:rPr>
        <w:t>Average provincial entry rates of small-scale, large-scale entrepreneurs and large firms.</w:t>
      </w:r>
    </w:p>
    <w:tbl>
      <w:tblPr>
        <w:tblStyle w:val="Tabellaelenco1chiara"/>
        <w:tblW w:w="10505" w:type="dxa"/>
        <w:jc w:val="center"/>
        <w:tblLook w:val="0620" w:firstRow="1" w:lastRow="0" w:firstColumn="0" w:lastColumn="0" w:noHBand="1" w:noVBand="1"/>
      </w:tblPr>
      <w:tblGrid>
        <w:gridCol w:w="2778"/>
        <w:gridCol w:w="828"/>
        <w:gridCol w:w="828"/>
        <w:gridCol w:w="1616"/>
        <w:gridCol w:w="1660"/>
        <w:gridCol w:w="1146"/>
        <w:gridCol w:w="1649"/>
      </w:tblGrid>
      <w:tr w:rsidR="00B5549F" w:rsidRPr="00B5549F" w14:paraId="075E6F95" w14:textId="77777777" w:rsidTr="00E02797">
        <w:trPr>
          <w:cnfStyle w:val="100000000000" w:firstRow="1" w:lastRow="0" w:firstColumn="0" w:lastColumn="0" w:oddVBand="0" w:evenVBand="0" w:oddHBand="0" w:evenHBand="0" w:firstRowFirstColumn="0" w:firstRowLastColumn="0" w:lastRowFirstColumn="0" w:lastRowLastColumn="0"/>
          <w:jc w:val="center"/>
        </w:trPr>
        <w:tc>
          <w:tcPr>
            <w:tcW w:w="2778" w:type="dxa"/>
            <w:tcBorders>
              <w:top w:val="single" w:sz="4" w:space="0" w:color="auto"/>
            </w:tcBorders>
          </w:tcPr>
          <w:p w14:paraId="5251BCF6" w14:textId="77777777" w:rsidR="00985916" w:rsidRPr="00B5549F" w:rsidRDefault="00985916" w:rsidP="00985916">
            <w:pPr>
              <w:contextualSpacing/>
              <w:jc w:val="both"/>
              <w:rPr>
                <w:rFonts w:ascii="Times New Roman" w:hAnsi="Times New Roman" w:cs="Times New Roman"/>
                <w:color w:val="000000" w:themeColor="text1"/>
                <w:sz w:val="20"/>
                <w:szCs w:val="20"/>
                <w:lang w:val="en-US"/>
              </w:rPr>
            </w:pPr>
          </w:p>
        </w:tc>
        <w:tc>
          <w:tcPr>
            <w:tcW w:w="828" w:type="dxa"/>
            <w:tcBorders>
              <w:top w:val="single" w:sz="4" w:space="0" w:color="auto"/>
              <w:right w:val="dashed" w:sz="4" w:space="0" w:color="auto"/>
            </w:tcBorders>
          </w:tcPr>
          <w:p w14:paraId="24CB01B6" w14:textId="77777777" w:rsidR="00985916" w:rsidRPr="00B5549F" w:rsidRDefault="00985916" w:rsidP="00985916">
            <w:pPr>
              <w:contextualSpacing/>
              <w:jc w:val="center"/>
              <w:rPr>
                <w:rFonts w:ascii="Times New Roman" w:hAnsi="Times New Roman" w:cs="Times New Roman"/>
                <w:b w:val="0"/>
                <w:bCs w:val="0"/>
                <w:color w:val="000000" w:themeColor="text1"/>
                <w:sz w:val="20"/>
                <w:szCs w:val="20"/>
                <w:lang w:val="en-US"/>
              </w:rPr>
            </w:pPr>
            <w:r w:rsidRPr="00B5549F">
              <w:rPr>
                <w:rFonts w:ascii="Times New Roman" w:hAnsi="Times New Roman" w:cs="Times New Roman"/>
                <w:color w:val="000000" w:themeColor="text1"/>
                <w:sz w:val="20"/>
                <w:szCs w:val="20"/>
                <w:lang w:val="en-US"/>
              </w:rPr>
              <w:t>Total entries (%)</w:t>
            </w:r>
          </w:p>
        </w:tc>
        <w:tc>
          <w:tcPr>
            <w:tcW w:w="828" w:type="dxa"/>
            <w:tcBorders>
              <w:top w:val="single" w:sz="4" w:space="0" w:color="auto"/>
              <w:left w:val="dashed" w:sz="4" w:space="0" w:color="auto"/>
              <w:right w:val="dashed" w:sz="4" w:space="0" w:color="auto"/>
            </w:tcBorders>
          </w:tcPr>
          <w:p w14:paraId="1B0D5C84" w14:textId="77777777" w:rsidR="00985916" w:rsidRPr="00B5549F" w:rsidRDefault="00985916" w:rsidP="00985916">
            <w:pPr>
              <w:contextualSpacing/>
              <w:jc w:val="center"/>
              <w:rPr>
                <w:rFonts w:ascii="Times New Roman" w:hAnsi="Times New Roman" w:cs="Times New Roman"/>
                <w:b w:val="0"/>
                <w:bCs w:val="0"/>
                <w:color w:val="000000" w:themeColor="text1"/>
                <w:sz w:val="20"/>
                <w:szCs w:val="20"/>
                <w:lang w:val="en-US"/>
              </w:rPr>
            </w:pPr>
            <w:r w:rsidRPr="00B5549F">
              <w:rPr>
                <w:rFonts w:ascii="Times New Roman" w:hAnsi="Times New Roman" w:cs="Times New Roman"/>
                <w:color w:val="000000" w:themeColor="text1"/>
                <w:sz w:val="20"/>
                <w:szCs w:val="20"/>
                <w:lang w:val="en-US"/>
              </w:rPr>
              <w:t>Brand new entries (%)</w:t>
            </w:r>
          </w:p>
        </w:tc>
        <w:tc>
          <w:tcPr>
            <w:tcW w:w="6071" w:type="dxa"/>
            <w:gridSpan w:val="4"/>
            <w:tcBorders>
              <w:top w:val="single" w:sz="4" w:space="0" w:color="auto"/>
              <w:left w:val="dashed" w:sz="4" w:space="0" w:color="auto"/>
            </w:tcBorders>
          </w:tcPr>
          <w:p w14:paraId="6AA2ECAC" w14:textId="77777777" w:rsidR="00985916" w:rsidRPr="00B5549F" w:rsidRDefault="00985916" w:rsidP="00985916">
            <w:pPr>
              <w:contextualSpacing/>
              <w:jc w:val="center"/>
              <w:rPr>
                <w:rFonts w:ascii="Times New Roman" w:hAnsi="Times New Roman" w:cs="Times New Roman"/>
                <w:b w:val="0"/>
                <w:bCs w:val="0"/>
                <w:color w:val="000000" w:themeColor="text1"/>
                <w:sz w:val="20"/>
                <w:szCs w:val="20"/>
                <w:lang w:val="en-US"/>
              </w:rPr>
            </w:pPr>
            <w:r w:rsidRPr="00B5549F">
              <w:rPr>
                <w:rFonts w:ascii="Times New Roman" w:hAnsi="Times New Roman" w:cs="Times New Roman"/>
                <w:color w:val="000000" w:themeColor="text1"/>
                <w:sz w:val="20"/>
                <w:szCs w:val="20"/>
                <w:lang w:val="en-US"/>
              </w:rPr>
              <w:t>Entries (%) from</w:t>
            </w:r>
          </w:p>
        </w:tc>
      </w:tr>
      <w:tr w:rsidR="00B5549F" w:rsidRPr="00B5549F" w14:paraId="5353B63D" w14:textId="77777777" w:rsidTr="00E02797">
        <w:trPr>
          <w:jc w:val="center"/>
        </w:trPr>
        <w:tc>
          <w:tcPr>
            <w:tcW w:w="2778" w:type="dxa"/>
          </w:tcPr>
          <w:p w14:paraId="4CEB6C96"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p>
        </w:tc>
        <w:tc>
          <w:tcPr>
            <w:tcW w:w="828" w:type="dxa"/>
            <w:tcBorders>
              <w:right w:val="dashed" w:sz="4" w:space="0" w:color="auto"/>
            </w:tcBorders>
          </w:tcPr>
          <w:p w14:paraId="7EB19EF0" w14:textId="77777777" w:rsidR="00985916" w:rsidRPr="00B5549F" w:rsidRDefault="00985916" w:rsidP="00985916">
            <w:pPr>
              <w:contextualSpacing/>
              <w:jc w:val="right"/>
              <w:rPr>
                <w:rFonts w:ascii="Times New Roman" w:hAnsi="Times New Roman" w:cs="Times New Roman"/>
                <w:b/>
                <w:bCs/>
                <w:color w:val="000000" w:themeColor="text1"/>
                <w:sz w:val="20"/>
                <w:szCs w:val="20"/>
                <w:lang w:val="en-US"/>
              </w:rPr>
            </w:pPr>
          </w:p>
        </w:tc>
        <w:tc>
          <w:tcPr>
            <w:tcW w:w="828" w:type="dxa"/>
            <w:tcBorders>
              <w:left w:val="dashed" w:sz="4" w:space="0" w:color="auto"/>
              <w:right w:val="dashed" w:sz="4" w:space="0" w:color="auto"/>
            </w:tcBorders>
          </w:tcPr>
          <w:p w14:paraId="7F2B6554" w14:textId="77777777" w:rsidR="00985916" w:rsidRPr="00B5549F" w:rsidRDefault="00985916" w:rsidP="00985916">
            <w:pPr>
              <w:contextualSpacing/>
              <w:jc w:val="right"/>
              <w:rPr>
                <w:rFonts w:ascii="Times New Roman" w:hAnsi="Times New Roman" w:cs="Times New Roman"/>
                <w:b/>
                <w:bCs/>
                <w:color w:val="000000" w:themeColor="text1"/>
                <w:sz w:val="20"/>
                <w:szCs w:val="20"/>
                <w:lang w:val="en-US"/>
              </w:rPr>
            </w:pPr>
          </w:p>
        </w:tc>
        <w:tc>
          <w:tcPr>
            <w:tcW w:w="1616" w:type="dxa"/>
            <w:tcBorders>
              <w:left w:val="dashed" w:sz="4" w:space="0" w:color="auto"/>
            </w:tcBorders>
          </w:tcPr>
          <w:p w14:paraId="3EDB495E" w14:textId="77777777" w:rsidR="00985916" w:rsidRPr="00B5549F" w:rsidRDefault="00985916" w:rsidP="00985916">
            <w:pPr>
              <w:contextualSpacing/>
              <w:jc w:val="right"/>
              <w:rPr>
                <w:rFonts w:ascii="Times New Roman" w:hAnsi="Times New Roman" w:cs="Times New Roman"/>
                <w:b/>
                <w:bCs/>
                <w:color w:val="000000" w:themeColor="text1"/>
                <w:sz w:val="20"/>
                <w:szCs w:val="20"/>
                <w:lang w:val="en-US"/>
              </w:rPr>
            </w:pPr>
            <w:r w:rsidRPr="00B5549F">
              <w:rPr>
                <w:rFonts w:ascii="Times New Roman" w:hAnsi="Times New Roman" w:cs="Times New Roman"/>
                <w:b/>
                <w:bCs/>
                <w:color w:val="000000" w:themeColor="text1"/>
                <w:sz w:val="20"/>
                <w:szCs w:val="20"/>
                <w:lang w:val="en-US"/>
              </w:rPr>
              <w:t>SSE</w:t>
            </w:r>
          </w:p>
        </w:tc>
        <w:tc>
          <w:tcPr>
            <w:tcW w:w="1660" w:type="dxa"/>
          </w:tcPr>
          <w:p w14:paraId="7D9A6CBE" w14:textId="77777777" w:rsidR="00985916" w:rsidRPr="00B5549F" w:rsidRDefault="00985916" w:rsidP="00985916">
            <w:pPr>
              <w:contextualSpacing/>
              <w:jc w:val="right"/>
              <w:rPr>
                <w:rFonts w:ascii="Times New Roman" w:hAnsi="Times New Roman" w:cs="Times New Roman"/>
                <w:b/>
                <w:bCs/>
                <w:color w:val="000000" w:themeColor="text1"/>
                <w:sz w:val="20"/>
                <w:szCs w:val="20"/>
                <w:lang w:val="en-US"/>
              </w:rPr>
            </w:pPr>
            <w:r w:rsidRPr="00B5549F">
              <w:rPr>
                <w:rFonts w:ascii="Times New Roman" w:hAnsi="Times New Roman" w:cs="Times New Roman"/>
                <w:b/>
                <w:bCs/>
                <w:color w:val="000000" w:themeColor="text1"/>
                <w:sz w:val="20"/>
                <w:szCs w:val="20"/>
                <w:lang w:val="en-US"/>
              </w:rPr>
              <w:t>LSE</w:t>
            </w:r>
          </w:p>
        </w:tc>
        <w:tc>
          <w:tcPr>
            <w:tcW w:w="1146" w:type="dxa"/>
          </w:tcPr>
          <w:p w14:paraId="284AADCF" w14:textId="77777777" w:rsidR="00985916" w:rsidRPr="00B5549F" w:rsidRDefault="00985916" w:rsidP="00985916">
            <w:pPr>
              <w:contextualSpacing/>
              <w:jc w:val="right"/>
              <w:rPr>
                <w:rFonts w:ascii="Times New Roman" w:hAnsi="Times New Roman" w:cs="Times New Roman"/>
                <w:b/>
                <w:bCs/>
                <w:color w:val="000000" w:themeColor="text1"/>
                <w:sz w:val="20"/>
                <w:szCs w:val="20"/>
                <w:lang w:val="en-US"/>
              </w:rPr>
            </w:pPr>
            <w:r w:rsidRPr="00B5549F">
              <w:rPr>
                <w:rFonts w:ascii="Times New Roman" w:hAnsi="Times New Roman" w:cs="Times New Roman"/>
                <w:b/>
                <w:bCs/>
                <w:color w:val="000000" w:themeColor="text1"/>
                <w:sz w:val="20"/>
                <w:szCs w:val="20"/>
                <w:lang w:val="en-US"/>
              </w:rPr>
              <w:t>Large Firms</w:t>
            </w:r>
          </w:p>
        </w:tc>
        <w:tc>
          <w:tcPr>
            <w:tcW w:w="1649" w:type="dxa"/>
          </w:tcPr>
          <w:p w14:paraId="53FAB08B" w14:textId="77777777" w:rsidR="00985916" w:rsidRPr="00B5549F" w:rsidRDefault="00985916" w:rsidP="00985916">
            <w:pPr>
              <w:contextualSpacing/>
              <w:jc w:val="right"/>
              <w:rPr>
                <w:rFonts w:ascii="Times New Roman" w:hAnsi="Times New Roman" w:cs="Times New Roman"/>
                <w:b/>
                <w:bCs/>
                <w:color w:val="000000" w:themeColor="text1"/>
                <w:sz w:val="20"/>
                <w:szCs w:val="20"/>
                <w:lang w:val="en-US"/>
              </w:rPr>
            </w:pPr>
            <w:r w:rsidRPr="00B5549F">
              <w:rPr>
                <w:rFonts w:ascii="Times New Roman" w:hAnsi="Times New Roman" w:cs="Times New Roman"/>
                <w:b/>
                <w:bCs/>
                <w:color w:val="000000" w:themeColor="text1"/>
                <w:sz w:val="20"/>
                <w:szCs w:val="20"/>
                <w:lang w:val="en-US"/>
              </w:rPr>
              <w:t>Other Provinces</w:t>
            </w:r>
          </w:p>
        </w:tc>
      </w:tr>
      <w:tr w:rsidR="00B5549F" w:rsidRPr="00B5549F" w14:paraId="3B7AE26C" w14:textId="77777777" w:rsidTr="00E02797">
        <w:trPr>
          <w:jc w:val="center"/>
        </w:trPr>
        <w:tc>
          <w:tcPr>
            <w:tcW w:w="2778" w:type="dxa"/>
          </w:tcPr>
          <w:p w14:paraId="4D8311A9" w14:textId="77777777" w:rsidR="00985916" w:rsidRPr="00B5549F" w:rsidRDefault="00985916" w:rsidP="00985916">
            <w:pPr>
              <w:contextualSpacing/>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SSE [1-2 listings]</w:t>
            </w:r>
          </w:p>
        </w:tc>
        <w:tc>
          <w:tcPr>
            <w:tcW w:w="828" w:type="dxa"/>
            <w:tcBorders>
              <w:right w:val="dashed" w:sz="4" w:space="0" w:color="auto"/>
            </w:tcBorders>
          </w:tcPr>
          <w:p w14:paraId="38494F85"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3.15</w:t>
            </w:r>
          </w:p>
        </w:tc>
        <w:tc>
          <w:tcPr>
            <w:tcW w:w="828" w:type="dxa"/>
            <w:tcBorders>
              <w:left w:val="dashed" w:sz="4" w:space="0" w:color="auto"/>
              <w:right w:val="dashed" w:sz="4" w:space="0" w:color="auto"/>
            </w:tcBorders>
          </w:tcPr>
          <w:p w14:paraId="6F7C73F6"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2.76</w:t>
            </w:r>
          </w:p>
        </w:tc>
        <w:tc>
          <w:tcPr>
            <w:tcW w:w="1616" w:type="dxa"/>
            <w:tcBorders>
              <w:left w:val="dashed" w:sz="4" w:space="0" w:color="auto"/>
            </w:tcBorders>
          </w:tcPr>
          <w:p w14:paraId="14798B9F"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w:t>
            </w:r>
          </w:p>
        </w:tc>
        <w:tc>
          <w:tcPr>
            <w:tcW w:w="1660" w:type="dxa"/>
          </w:tcPr>
          <w:p w14:paraId="15EE11EE"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0.16</w:t>
            </w:r>
          </w:p>
        </w:tc>
        <w:tc>
          <w:tcPr>
            <w:tcW w:w="1146" w:type="dxa"/>
          </w:tcPr>
          <w:p w14:paraId="69328FA8"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0.01</w:t>
            </w:r>
          </w:p>
        </w:tc>
        <w:tc>
          <w:tcPr>
            <w:tcW w:w="1649" w:type="dxa"/>
          </w:tcPr>
          <w:p w14:paraId="53BE02B6"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0.23</w:t>
            </w:r>
          </w:p>
        </w:tc>
      </w:tr>
      <w:tr w:rsidR="00B5549F" w:rsidRPr="00B5549F" w14:paraId="412F8479" w14:textId="77777777" w:rsidTr="00E02797">
        <w:trPr>
          <w:jc w:val="center"/>
        </w:trPr>
        <w:tc>
          <w:tcPr>
            <w:tcW w:w="2778" w:type="dxa"/>
          </w:tcPr>
          <w:p w14:paraId="744D2F0F" w14:textId="77777777" w:rsidR="00985916" w:rsidRPr="00B5549F" w:rsidRDefault="00985916" w:rsidP="00985916">
            <w:pPr>
              <w:contextualSpacing/>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LSE [3-10 listings]</w:t>
            </w:r>
          </w:p>
        </w:tc>
        <w:tc>
          <w:tcPr>
            <w:tcW w:w="828" w:type="dxa"/>
            <w:tcBorders>
              <w:right w:val="dashed" w:sz="4" w:space="0" w:color="auto"/>
            </w:tcBorders>
          </w:tcPr>
          <w:p w14:paraId="50134CE2"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0.51</w:t>
            </w:r>
          </w:p>
        </w:tc>
        <w:tc>
          <w:tcPr>
            <w:tcW w:w="828" w:type="dxa"/>
            <w:tcBorders>
              <w:left w:val="dashed" w:sz="4" w:space="0" w:color="auto"/>
              <w:right w:val="dashed" w:sz="4" w:space="0" w:color="auto"/>
            </w:tcBorders>
          </w:tcPr>
          <w:p w14:paraId="0F794C73"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0.12</w:t>
            </w:r>
          </w:p>
        </w:tc>
        <w:tc>
          <w:tcPr>
            <w:tcW w:w="1616" w:type="dxa"/>
            <w:tcBorders>
              <w:left w:val="dashed" w:sz="4" w:space="0" w:color="auto"/>
            </w:tcBorders>
          </w:tcPr>
          <w:p w14:paraId="3B76A328"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0.30</w:t>
            </w:r>
          </w:p>
        </w:tc>
        <w:tc>
          <w:tcPr>
            <w:tcW w:w="1660" w:type="dxa"/>
          </w:tcPr>
          <w:p w14:paraId="515E0508"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w:t>
            </w:r>
          </w:p>
        </w:tc>
        <w:tc>
          <w:tcPr>
            <w:tcW w:w="1146" w:type="dxa"/>
          </w:tcPr>
          <w:p w14:paraId="1EF3D308"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0.03</w:t>
            </w:r>
          </w:p>
        </w:tc>
        <w:tc>
          <w:tcPr>
            <w:tcW w:w="1649" w:type="dxa"/>
          </w:tcPr>
          <w:p w14:paraId="0AF3AC8E"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0.06</w:t>
            </w:r>
          </w:p>
        </w:tc>
      </w:tr>
      <w:tr w:rsidR="00B5549F" w:rsidRPr="00B5549F" w14:paraId="45253D30" w14:textId="77777777" w:rsidTr="00E02797">
        <w:trPr>
          <w:jc w:val="center"/>
        </w:trPr>
        <w:tc>
          <w:tcPr>
            <w:tcW w:w="2778" w:type="dxa"/>
          </w:tcPr>
          <w:p w14:paraId="56F9FB55" w14:textId="77777777" w:rsidR="00985916" w:rsidRPr="00B5549F" w:rsidRDefault="00985916" w:rsidP="00985916">
            <w:pPr>
              <w:contextualSpacing/>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Large Firms [11+ listings]</w:t>
            </w:r>
          </w:p>
        </w:tc>
        <w:tc>
          <w:tcPr>
            <w:tcW w:w="828" w:type="dxa"/>
            <w:tcBorders>
              <w:right w:val="dashed" w:sz="4" w:space="0" w:color="auto"/>
            </w:tcBorders>
          </w:tcPr>
          <w:p w14:paraId="4F2BE2DD"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0.05</w:t>
            </w:r>
          </w:p>
        </w:tc>
        <w:tc>
          <w:tcPr>
            <w:tcW w:w="828" w:type="dxa"/>
            <w:tcBorders>
              <w:left w:val="dashed" w:sz="4" w:space="0" w:color="auto"/>
              <w:right w:val="dashed" w:sz="4" w:space="0" w:color="auto"/>
            </w:tcBorders>
          </w:tcPr>
          <w:p w14:paraId="61AB2335"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0.01</w:t>
            </w:r>
          </w:p>
        </w:tc>
        <w:tc>
          <w:tcPr>
            <w:tcW w:w="1616" w:type="dxa"/>
            <w:tcBorders>
              <w:left w:val="dashed" w:sz="4" w:space="0" w:color="auto"/>
            </w:tcBorders>
          </w:tcPr>
          <w:p w14:paraId="7D7289CF"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0.00</w:t>
            </w:r>
          </w:p>
        </w:tc>
        <w:tc>
          <w:tcPr>
            <w:tcW w:w="1660" w:type="dxa"/>
          </w:tcPr>
          <w:p w14:paraId="2E1DB712"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0.03</w:t>
            </w:r>
          </w:p>
        </w:tc>
        <w:tc>
          <w:tcPr>
            <w:tcW w:w="1146" w:type="dxa"/>
          </w:tcPr>
          <w:p w14:paraId="45050488"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w:t>
            </w:r>
          </w:p>
        </w:tc>
        <w:tc>
          <w:tcPr>
            <w:tcW w:w="1649" w:type="dxa"/>
          </w:tcPr>
          <w:p w14:paraId="6C8BAAD2"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0.01</w:t>
            </w:r>
          </w:p>
        </w:tc>
      </w:tr>
      <w:tr w:rsidR="00B5549F" w:rsidRPr="00B5549F" w14:paraId="23BCDB50" w14:textId="77777777" w:rsidTr="00E02797">
        <w:trPr>
          <w:jc w:val="center"/>
        </w:trPr>
        <w:tc>
          <w:tcPr>
            <w:tcW w:w="2778" w:type="dxa"/>
            <w:tcBorders>
              <w:bottom w:val="single" w:sz="4" w:space="0" w:color="auto"/>
            </w:tcBorders>
          </w:tcPr>
          <w:p w14:paraId="40A940DD" w14:textId="77777777" w:rsidR="00985916" w:rsidRPr="00B5549F" w:rsidRDefault="00985916" w:rsidP="00985916">
            <w:pPr>
              <w:contextualSpacing/>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Total</w:t>
            </w:r>
          </w:p>
        </w:tc>
        <w:tc>
          <w:tcPr>
            <w:tcW w:w="828" w:type="dxa"/>
            <w:tcBorders>
              <w:bottom w:val="single" w:sz="4" w:space="0" w:color="auto"/>
              <w:right w:val="dashed" w:sz="4" w:space="0" w:color="auto"/>
            </w:tcBorders>
          </w:tcPr>
          <w:p w14:paraId="382A43BD"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3.69</w:t>
            </w:r>
          </w:p>
        </w:tc>
        <w:tc>
          <w:tcPr>
            <w:tcW w:w="828" w:type="dxa"/>
            <w:tcBorders>
              <w:left w:val="dashed" w:sz="4" w:space="0" w:color="auto"/>
              <w:bottom w:val="single" w:sz="4" w:space="0" w:color="auto"/>
              <w:right w:val="dashed" w:sz="4" w:space="0" w:color="auto"/>
            </w:tcBorders>
          </w:tcPr>
          <w:p w14:paraId="48758140"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2.89</w:t>
            </w:r>
          </w:p>
        </w:tc>
        <w:tc>
          <w:tcPr>
            <w:tcW w:w="1616" w:type="dxa"/>
            <w:tcBorders>
              <w:left w:val="dashed" w:sz="4" w:space="0" w:color="auto"/>
              <w:bottom w:val="single" w:sz="4" w:space="0" w:color="auto"/>
            </w:tcBorders>
          </w:tcPr>
          <w:p w14:paraId="5EEC5B0D"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0.30</w:t>
            </w:r>
          </w:p>
        </w:tc>
        <w:tc>
          <w:tcPr>
            <w:tcW w:w="1660" w:type="dxa"/>
            <w:tcBorders>
              <w:bottom w:val="single" w:sz="4" w:space="0" w:color="auto"/>
            </w:tcBorders>
          </w:tcPr>
          <w:p w14:paraId="2C6DE3A8"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0.19</w:t>
            </w:r>
          </w:p>
        </w:tc>
        <w:tc>
          <w:tcPr>
            <w:tcW w:w="1146" w:type="dxa"/>
            <w:tcBorders>
              <w:bottom w:val="single" w:sz="4" w:space="0" w:color="auto"/>
            </w:tcBorders>
          </w:tcPr>
          <w:p w14:paraId="0EC36705"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0.04</w:t>
            </w:r>
          </w:p>
        </w:tc>
        <w:tc>
          <w:tcPr>
            <w:tcW w:w="1649" w:type="dxa"/>
            <w:tcBorders>
              <w:bottom w:val="single" w:sz="4" w:space="0" w:color="auto"/>
            </w:tcBorders>
          </w:tcPr>
          <w:p w14:paraId="7953ED20"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0.32</w:t>
            </w:r>
          </w:p>
        </w:tc>
      </w:tr>
    </w:tbl>
    <w:p w14:paraId="1CA46326" w14:textId="326694DD" w:rsidR="00985916" w:rsidRPr="00B5549F" w:rsidRDefault="00985916" w:rsidP="00985916">
      <w:pPr>
        <w:contextualSpacing/>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Notes. Time span: monthly (January 2017 – December 2019). Brand new entries are hosts joining Airbnb for the first time (considering the entire Italian territory). Entries from SS/LS/Large Firms are hosts upscaling or downscaling their status from other categories. Entries from Other Provinces are hosts joining the market p having already been active in other provinces.</w:t>
      </w:r>
    </w:p>
    <w:p w14:paraId="499E07E6" w14:textId="29D66055" w:rsidR="00985916" w:rsidRPr="00B5549F" w:rsidRDefault="00985916" w:rsidP="00985916">
      <w:pPr>
        <w:spacing w:before="120"/>
        <w:contextualSpacing/>
        <w:jc w:val="both"/>
        <w:rPr>
          <w:rFonts w:ascii="Times New Roman" w:hAnsi="Times New Roman" w:cs="Times New Roman"/>
          <w:color w:val="000000" w:themeColor="text1"/>
          <w:lang w:val="en-US"/>
        </w:rPr>
      </w:pPr>
    </w:p>
    <w:p w14:paraId="203A58C0" w14:textId="796B763E" w:rsidR="00985916" w:rsidRPr="00B5549F" w:rsidRDefault="00985916" w:rsidP="00985916">
      <w:pPr>
        <w:spacing w:before="120"/>
        <w:contextualSpacing/>
        <w:jc w:val="both"/>
        <w:rPr>
          <w:rFonts w:ascii="Times New Roman" w:hAnsi="Times New Roman" w:cs="Times New Roman"/>
          <w:color w:val="000000" w:themeColor="text1"/>
          <w:lang w:val="en-US"/>
        </w:rPr>
      </w:pPr>
    </w:p>
    <w:p w14:paraId="2AA42714" w14:textId="1669D513" w:rsidR="00985916" w:rsidRPr="00B5549F" w:rsidRDefault="00985916" w:rsidP="00985916">
      <w:pPr>
        <w:spacing w:before="120"/>
        <w:contextualSpacing/>
        <w:jc w:val="both"/>
        <w:rPr>
          <w:rFonts w:ascii="Times New Roman" w:hAnsi="Times New Roman" w:cs="Times New Roman"/>
          <w:color w:val="000000" w:themeColor="text1"/>
          <w:lang w:val="en-US"/>
        </w:rPr>
      </w:pPr>
    </w:p>
    <w:p w14:paraId="751FE92E" w14:textId="64417B27" w:rsidR="00985916" w:rsidRPr="00B5549F" w:rsidRDefault="00985916" w:rsidP="00985916">
      <w:pPr>
        <w:spacing w:before="120"/>
        <w:contextualSpacing/>
        <w:jc w:val="both"/>
        <w:rPr>
          <w:rFonts w:ascii="Times New Roman" w:hAnsi="Times New Roman" w:cs="Times New Roman"/>
          <w:color w:val="000000" w:themeColor="text1"/>
          <w:lang w:val="en-US"/>
        </w:rPr>
      </w:pPr>
    </w:p>
    <w:p w14:paraId="3F1E614F" w14:textId="0B87DAE2" w:rsidR="00985916" w:rsidRPr="00B5549F" w:rsidRDefault="00985916" w:rsidP="00985916">
      <w:pPr>
        <w:spacing w:before="120"/>
        <w:contextualSpacing/>
        <w:jc w:val="both"/>
        <w:rPr>
          <w:rFonts w:ascii="Times New Roman" w:hAnsi="Times New Roman" w:cs="Times New Roman"/>
          <w:color w:val="000000" w:themeColor="text1"/>
          <w:lang w:val="en-US"/>
        </w:rPr>
      </w:pPr>
    </w:p>
    <w:p w14:paraId="75E4D901" w14:textId="77777777" w:rsidR="00985916" w:rsidRPr="00B5549F" w:rsidRDefault="00985916" w:rsidP="00985916">
      <w:pPr>
        <w:spacing w:before="120"/>
        <w:contextualSpacing/>
        <w:jc w:val="both"/>
        <w:rPr>
          <w:rFonts w:ascii="Times New Roman" w:hAnsi="Times New Roman" w:cs="Times New Roman"/>
          <w:color w:val="000000" w:themeColor="text1"/>
          <w:lang w:val="en-US"/>
        </w:rPr>
      </w:pPr>
    </w:p>
    <w:p w14:paraId="0596FDFE" w14:textId="77777777" w:rsidR="00985916" w:rsidRPr="00B5549F" w:rsidRDefault="00985916" w:rsidP="00985916">
      <w:pPr>
        <w:spacing w:after="120"/>
        <w:contextualSpacing/>
        <w:jc w:val="both"/>
        <w:rPr>
          <w:rFonts w:ascii="Times New Roman" w:hAnsi="Times New Roman" w:cs="Times New Roman"/>
          <w:b/>
          <w:bCs/>
          <w:color w:val="000000" w:themeColor="text1"/>
          <w:lang w:val="en-US"/>
        </w:rPr>
      </w:pPr>
    </w:p>
    <w:p w14:paraId="25E4C7C9" w14:textId="77777777" w:rsidR="00985916" w:rsidRPr="00B5549F" w:rsidRDefault="00985916" w:rsidP="00985916">
      <w:pPr>
        <w:spacing w:after="120"/>
        <w:contextualSpacing/>
        <w:jc w:val="both"/>
        <w:rPr>
          <w:rFonts w:ascii="Times New Roman" w:hAnsi="Times New Roman" w:cs="Times New Roman"/>
          <w:b/>
          <w:bCs/>
          <w:color w:val="000000" w:themeColor="text1"/>
          <w:lang w:val="en-US"/>
        </w:rPr>
      </w:pPr>
    </w:p>
    <w:p w14:paraId="773CCD99" w14:textId="77777777" w:rsidR="00985916" w:rsidRPr="00B5549F" w:rsidRDefault="00985916" w:rsidP="00985916">
      <w:pPr>
        <w:spacing w:after="120"/>
        <w:contextualSpacing/>
        <w:jc w:val="both"/>
        <w:rPr>
          <w:rFonts w:ascii="Times New Roman" w:hAnsi="Times New Roman" w:cs="Times New Roman"/>
          <w:b/>
          <w:bCs/>
          <w:color w:val="000000" w:themeColor="text1"/>
          <w:lang w:val="en-US"/>
        </w:rPr>
      </w:pPr>
    </w:p>
    <w:p w14:paraId="49C25152" w14:textId="77777777" w:rsidR="001709F1" w:rsidRPr="00B5549F" w:rsidRDefault="001709F1" w:rsidP="00985916">
      <w:pPr>
        <w:spacing w:after="120"/>
        <w:contextualSpacing/>
        <w:jc w:val="both"/>
        <w:rPr>
          <w:rFonts w:ascii="Times New Roman" w:hAnsi="Times New Roman" w:cs="Times New Roman"/>
          <w:b/>
          <w:bCs/>
          <w:color w:val="000000" w:themeColor="text1"/>
          <w:lang w:val="en-US"/>
        </w:rPr>
      </w:pPr>
    </w:p>
    <w:p w14:paraId="7DFC74F7" w14:textId="77777777" w:rsidR="001709F1" w:rsidRPr="00B5549F" w:rsidRDefault="001709F1" w:rsidP="00985916">
      <w:pPr>
        <w:spacing w:after="120"/>
        <w:contextualSpacing/>
        <w:jc w:val="both"/>
        <w:rPr>
          <w:rFonts w:ascii="Times New Roman" w:hAnsi="Times New Roman" w:cs="Times New Roman"/>
          <w:b/>
          <w:bCs/>
          <w:color w:val="000000" w:themeColor="text1"/>
          <w:lang w:val="en-US"/>
        </w:rPr>
      </w:pPr>
    </w:p>
    <w:p w14:paraId="6F19A741" w14:textId="3EB69845" w:rsidR="00985916" w:rsidRPr="00B5549F" w:rsidRDefault="00985916" w:rsidP="00985916">
      <w:pPr>
        <w:spacing w:after="120"/>
        <w:contextualSpacing/>
        <w:jc w:val="both"/>
        <w:rPr>
          <w:rFonts w:ascii="Times New Roman" w:hAnsi="Times New Roman" w:cs="Times New Roman"/>
          <w:color w:val="000000" w:themeColor="text1"/>
          <w:lang w:val="en-US"/>
        </w:rPr>
      </w:pPr>
      <w:r w:rsidRPr="00B5549F">
        <w:rPr>
          <w:rFonts w:ascii="Times New Roman" w:hAnsi="Times New Roman" w:cs="Times New Roman"/>
          <w:b/>
          <w:bCs/>
          <w:color w:val="000000" w:themeColor="text1"/>
          <w:lang w:val="en-US"/>
        </w:rPr>
        <w:lastRenderedPageBreak/>
        <w:t xml:space="preserve">Table 2c. </w:t>
      </w:r>
      <w:r w:rsidRPr="00B5549F">
        <w:rPr>
          <w:rFonts w:ascii="Times New Roman" w:hAnsi="Times New Roman" w:cs="Times New Roman"/>
          <w:color w:val="000000" w:themeColor="text1"/>
          <w:lang w:val="en-US"/>
        </w:rPr>
        <w:t>Average monthly revenues by category of hosts.</w:t>
      </w:r>
    </w:p>
    <w:tbl>
      <w:tblPr>
        <w:tblW w:w="7314" w:type="dxa"/>
        <w:jc w:val="center"/>
        <w:tblCellMar>
          <w:left w:w="70" w:type="dxa"/>
          <w:right w:w="70" w:type="dxa"/>
        </w:tblCellMar>
        <w:tblLook w:val="04A0" w:firstRow="1" w:lastRow="0" w:firstColumn="1" w:lastColumn="0" w:noHBand="0" w:noVBand="1"/>
      </w:tblPr>
      <w:tblGrid>
        <w:gridCol w:w="2778"/>
        <w:gridCol w:w="2268"/>
        <w:gridCol w:w="2268"/>
      </w:tblGrid>
      <w:tr w:rsidR="00B5549F" w:rsidRPr="00936C0F" w14:paraId="445E1B87" w14:textId="77777777" w:rsidTr="00E02797">
        <w:trPr>
          <w:trHeight w:val="320"/>
          <w:jc w:val="center"/>
        </w:trPr>
        <w:tc>
          <w:tcPr>
            <w:tcW w:w="2778" w:type="dxa"/>
            <w:tcBorders>
              <w:top w:val="single" w:sz="4" w:space="0" w:color="auto"/>
              <w:left w:val="nil"/>
              <w:bottom w:val="single" w:sz="4" w:space="0" w:color="auto"/>
              <w:right w:val="nil"/>
            </w:tcBorders>
            <w:shd w:val="clear" w:color="000000" w:fill="FFFFFF"/>
            <w:noWrap/>
            <w:vAlign w:val="center"/>
            <w:hideMark/>
          </w:tcPr>
          <w:p w14:paraId="463251E3" w14:textId="77777777" w:rsidR="00985916" w:rsidRPr="00B5549F" w:rsidRDefault="00985916" w:rsidP="00985916">
            <w:pPr>
              <w:contextualSpacing/>
              <w:jc w:val="right"/>
              <w:rPr>
                <w:rFonts w:ascii="Times New Roman" w:hAnsi="Times New Roman" w:cs="Times New Roman"/>
                <w:b/>
                <w:bCs/>
                <w:color w:val="000000" w:themeColor="text1"/>
                <w:sz w:val="20"/>
                <w:szCs w:val="20"/>
                <w:lang w:val="en-GB"/>
              </w:rPr>
            </w:pPr>
            <w:r w:rsidRPr="00B5549F">
              <w:rPr>
                <w:rFonts w:ascii="Times New Roman" w:hAnsi="Times New Roman" w:cs="Times New Roman"/>
                <w:b/>
                <w:bCs/>
                <w:color w:val="000000" w:themeColor="text1"/>
                <w:sz w:val="20"/>
                <w:szCs w:val="20"/>
                <w:lang w:val="en-GB"/>
              </w:rPr>
              <w:t> </w:t>
            </w:r>
          </w:p>
        </w:tc>
        <w:tc>
          <w:tcPr>
            <w:tcW w:w="2268" w:type="dxa"/>
            <w:tcBorders>
              <w:top w:val="single" w:sz="4" w:space="0" w:color="auto"/>
              <w:left w:val="nil"/>
              <w:bottom w:val="single" w:sz="4" w:space="0" w:color="auto"/>
              <w:right w:val="nil"/>
            </w:tcBorders>
            <w:shd w:val="clear" w:color="000000" w:fill="FFFFFF"/>
            <w:noWrap/>
            <w:vAlign w:val="center"/>
            <w:hideMark/>
          </w:tcPr>
          <w:p w14:paraId="137C5340" w14:textId="77777777" w:rsidR="00985916" w:rsidRPr="00B5549F" w:rsidRDefault="00985916" w:rsidP="00985916">
            <w:pPr>
              <w:contextualSpacing/>
              <w:jc w:val="right"/>
              <w:rPr>
                <w:rFonts w:ascii="Times New Roman" w:hAnsi="Times New Roman" w:cs="Times New Roman"/>
                <w:b/>
                <w:bCs/>
                <w:color w:val="000000" w:themeColor="text1"/>
                <w:sz w:val="20"/>
                <w:szCs w:val="20"/>
                <w:lang w:val="en-US"/>
              </w:rPr>
            </w:pPr>
            <w:r w:rsidRPr="00B5549F">
              <w:rPr>
                <w:rFonts w:ascii="Times New Roman" w:hAnsi="Times New Roman" w:cs="Times New Roman"/>
                <w:b/>
                <w:bCs/>
                <w:color w:val="000000" w:themeColor="text1"/>
                <w:sz w:val="20"/>
                <w:szCs w:val="20"/>
                <w:lang w:val="en-US"/>
              </w:rPr>
              <w:t>AVG Monthly Revenues per Host</w:t>
            </w:r>
          </w:p>
        </w:tc>
        <w:tc>
          <w:tcPr>
            <w:tcW w:w="2268" w:type="dxa"/>
            <w:tcBorders>
              <w:top w:val="single" w:sz="4" w:space="0" w:color="auto"/>
              <w:left w:val="nil"/>
              <w:bottom w:val="single" w:sz="4" w:space="0" w:color="auto"/>
              <w:right w:val="nil"/>
            </w:tcBorders>
            <w:shd w:val="clear" w:color="000000" w:fill="FFFFFF"/>
          </w:tcPr>
          <w:p w14:paraId="2392734D" w14:textId="77777777" w:rsidR="00985916" w:rsidRPr="00B5549F" w:rsidRDefault="00985916" w:rsidP="00985916">
            <w:pPr>
              <w:contextualSpacing/>
              <w:jc w:val="right"/>
              <w:rPr>
                <w:rFonts w:ascii="Times New Roman" w:hAnsi="Times New Roman" w:cs="Times New Roman"/>
                <w:b/>
                <w:bCs/>
                <w:color w:val="000000" w:themeColor="text1"/>
                <w:sz w:val="20"/>
                <w:szCs w:val="20"/>
                <w:lang w:val="en-US"/>
              </w:rPr>
            </w:pPr>
            <w:r w:rsidRPr="00B5549F">
              <w:rPr>
                <w:rFonts w:ascii="Times New Roman" w:hAnsi="Times New Roman" w:cs="Times New Roman"/>
                <w:b/>
                <w:bCs/>
                <w:color w:val="000000" w:themeColor="text1"/>
                <w:sz w:val="20"/>
                <w:szCs w:val="20"/>
                <w:lang w:val="en-US"/>
              </w:rPr>
              <w:t>AVG Monthly Revenues per Property</w:t>
            </w:r>
          </w:p>
        </w:tc>
      </w:tr>
      <w:tr w:rsidR="00B5549F" w:rsidRPr="00B5549F" w14:paraId="4E43533C" w14:textId="77777777" w:rsidTr="00E02797">
        <w:trPr>
          <w:trHeight w:val="320"/>
          <w:jc w:val="center"/>
        </w:trPr>
        <w:tc>
          <w:tcPr>
            <w:tcW w:w="2778" w:type="dxa"/>
            <w:tcBorders>
              <w:top w:val="nil"/>
              <w:left w:val="nil"/>
              <w:bottom w:val="nil"/>
              <w:right w:val="nil"/>
            </w:tcBorders>
            <w:shd w:val="clear" w:color="000000" w:fill="FFFFFF"/>
            <w:noWrap/>
            <w:vAlign w:val="bottom"/>
            <w:hideMark/>
          </w:tcPr>
          <w:p w14:paraId="6952D99D" w14:textId="77777777" w:rsidR="00985916" w:rsidRPr="00B5549F" w:rsidRDefault="00985916" w:rsidP="00985916">
            <w:pPr>
              <w:contextualSpacing/>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xml:space="preserve">SSE [1-2 </w:t>
            </w:r>
            <w:proofErr w:type="spellStart"/>
            <w:r w:rsidRPr="00B5549F">
              <w:rPr>
                <w:rFonts w:ascii="Times New Roman" w:hAnsi="Times New Roman" w:cs="Times New Roman"/>
                <w:color w:val="000000" w:themeColor="text1"/>
                <w:sz w:val="20"/>
                <w:szCs w:val="20"/>
              </w:rPr>
              <w:t>Listings</w:t>
            </w:r>
            <w:proofErr w:type="spellEnd"/>
            <w:r w:rsidRPr="00B5549F">
              <w:rPr>
                <w:rFonts w:ascii="Times New Roman" w:hAnsi="Times New Roman" w:cs="Times New Roman"/>
                <w:color w:val="000000" w:themeColor="text1"/>
                <w:sz w:val="20"/>
                <w:szCs w:val="20"/>
              </w:rPr>
              <w:t>]</w:t>
            </w:r>
          </w:p>
        </w:tc>
        <w:tc>
          <w:tcPr>
            <w:tcW w:w="2268" w:type="dxa"/>
            <w:tcBorders>
              <w:top w:val="nil"/>
              <w:left w:val="nil"/>
              <w:bottom w:val="nil"/>
              <w:right w:val="nil"/>
            </w:tcBorders>
            <w:shd w:val="clear" w:color="000000" w:fill="FFFFFF"/>
            <w:noWrap/>
            <w:vAlign w:val="center"/>
            <w:hideMark/>
          </w:tcPr>
          <w:p w14:paraId="2A73587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xml:space="preserve">$ 501.24 </w:t>
            </w:r>
          </w:p>
        </w:tc>
        <w:tc>
          <w:tcPr>
            <w:tcW w:w="2268" w:type="dxa"/>
            <w:tcBorders>
              <w:top w:val="nil"/>
              <w:left w:val="nil"/>
              <w:bottom w:val="nil"/>
              <w:right w:val="nil"/>
            </w:tcBorders>
            <w:shd w:val="clear" w:color="000000" w:fill="FFFFFF"/>
          </w:tcPr>
          <w:p w14:paraId="2616A84D"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$ 432.57</w:t>
            </w:r>
          </w:p>
        </w:tc>
      </w:tr>
      <w:tr w:rsidR="00B5549F" w:rsidRPr="00B5549F" w14:paraId="09AC127C" w14:textId="77777777" w:rsidTr="00E02797">
        <w:trPr>
          <w:trHeight w:val="320"/>
          <w:jc w:val="center"/>
        </w:trPr>
        <w:tc>
          <w:tcPr>
            <w:tcW w:w="2778" w:type="dxa"/>
            <w:tcBorders>
              <w:top w:val="nil"/>
              <w:left w:val="nil"/>
              <w:bottom w:val="dotDash" w:sz="4" w:space="0" w:color="auto"/>
              <w:right w:val="nil"/>
            </w:tcBorders>
            <w:shd w:val="clear" w:color="000000" w:fill="FFFFFF"/>
            <w:noWrap/>
            <w:vAlign w:val="bottom"/>
            <w:hideMark/>
          </w:tcPr>
          <w:p w14:paraId="07DD06A8" w14:textId="77777777" w:rsidR="00985916" w:rsidRPr="00B5549F" w:rsidRDefault="00985916" w:rsidP="00985916">
            <w:pPr>
              <w:contextualSpacing/>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xml:space="preserve">LSE [3-10 </w:t>
            </w:r>
            <w:proofErr w:type="spellStart"/>
            <w:r w:rsidRPr="00B5549F">
              <w:rPr>
                <w:rFonts w:ascii="Times New Roman" w:hAnsi="Times New Roman" w:cs="Times New Roman"/>
                <w:color w:val="000000" w:themeColor="text1"/>
                <w:sz w:val="20"/>
                <w:szCs w:val="20"/>
              </w:rPr>
              <w:t>Listings</w:t>
            </w:r>
            <w:proofErr w:type="spellEnd"/>
            <w:r w:rsidRPr="00B5549F">
              <w:rPr>
                <w:rFonts w:ascii="Times New Roman" w:hAnsi="Times New Roman" w:cs="Times New Roman"/>
                <w:color w:val="000000" w:themeColor="text1"/>
                <w:sz w:val="20"/>
                <w:szCs w:val="20"/>
              </w:rPr>
              <w:t>]</w:t>
            </w:r>
          </w:p>
        </w:tc>
        <w:tc>
          <w:tcPr>
            <w:tcW w:w="2268" w:type="dxa"/>
            <w:tcBorders>
              <w:top w:val="nil"/>
              <w:left w:val="nil"/>
              <w:bottom w:val="dotDash" w:sz="4" w:space="0" w:color="auto"/>
              <w:right w:val="nil"/>
            </w:tcBorders>
            <w:shd w:val="clear" w:color="000000" w:fill="FFFFFF"/>
            <w:noWrap/>
            <w:vAlign w:val="center"/>
            <w:hideMark/>
          </w:tcPr>
          <w:p w14:paraId="4555170C"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xml:space="preserve">$ 2,270.51 </w:t>
            </w:r>
          </w:p>
        </w:tc>
        <w:tc>
          <w:tcPr>
            <w:tcW w:w="2268" w:type="dxa"/>
            <w:tcBorders>
              <w:top w:val="nil"/>
              <w:left w:val="nil"/>
              <w:bottom w:val="dotDash" w:sz="4" w:space="0" w:color="auto"/>
              <w:right w:val="nil"/>
            </w:tcBorders>
            <w:shd w:val="clear" w:color="000000" w:fill="FFFFFF"/>
          </w:tcPr>
          <w:p w14:paraId="6C621427"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$ 582,80</w:t>
            </w:r>
          </w:p>
        </w:tc>
      </w:tr>
      <w:tr w:rsidR="00B5549F" w:rsidRPr="00B5549F" w14:paraId="00FEF4C2" w14:textId="77777777" w:rsidTr="00E02797">
        <w:trPr>
          <w:trHeight w:val="320"/>
          <w:jc w:val="center"/>
        </w:trPr>
        <w:tc>
          <w:tcPr>
            <w:tcW w:w="2778" w:type="dxa"/>
            <w:tcBorders>
              <w:top w:val="nil"/>
              <w:left w:val="nil"/>
              <w:bottom w:val="nil"/>
              <w:right w:val="nil"/>
            </w:tcBorders>
            <w:shd w:val="clear" w:color="000000" w:fill="FFFFFF"/>
            <w:noWrap/>
            <w:vAlign w:val="bottom"/>
            <w:hideMark/>
          </w:tcPr>
          <w:p w14:paraId="294DCB55" w14:textId="77777777" w:rsidR="00985916" w:rsidRPr="00B5549F" w:rsidRDefault="00985916" w:rsidP="00985916">
            <w:pPr>
              <w:contextualSpacing/>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xml:space="preserve">SSE [1-3 </w:t>
            </w:r>
            <w:proofErr w:type="spellStart"/>
            <w:r w:rsidRPr="00B5549F">
              <w:rPr>
                <w:rFonts w:ascii="Times New Roman" w:hAnsi="Times New Roman" w:cs="Times New Roman"/>
                <w:color w:val="000000" w:themeColor="text1"/>
                <w:sz w:val="20"/>
                <w:szCs w:val="20"/>
              </w:rPr>
              <w:t>Listings</w:t>
            </w:r>
            <w:proofErr w:type="spellEnd"/>
            <w:r w:rsidRPr="00B5549F">
              <w:rPr>
                <w:rFonts w:ascii="Times New Roman" w:hAnsi="Times New Roman" w:cs="Times New Roman"/>
                <w:color w:val="000000" w:themeColor="text1"/>
                <w:sz w:val="20"/>
                <w:szCs w:val="20"/>
              </w:rPr>
              <w:t>]</w:t>
            </w:r>
          </w:p>
        </w:tc>
        <w:tc>
          <w:tcPr>
            <w:tcW w:w="2268" w:type="dxa"/>
            <w:tcBorders>
              <w:top w:val="nil"/>
              <w:left w:val="nil"/>
              <w:bottom w:val="nil"/>
              <w:right w:val="nil"/>
            </w:tcBorders>
            <w:shd w:val="clear" w:color="000000" w:fill="FFFFFF"/>
            <w:noWrap/>
            <w:vAlign w:val="center"/>
            <w:hideMark/>
          </w:tcPr>
          <w:p w14:paraId="287E3CC5"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xml:space="preserve">$ 571.79 </w:t>
            </w:r>
          </w:p>
        </w:tc>
        <w:tc>
          <w:tcPr>
            <w:tcW w:w="2268" w:type="dxa"/>
            <w:tcBorders>
              <w:top w:val="nil"/>
              <w:left w:val="nil"/>
              <w:bottom w:val="nil"/>
              <w:right w:val="nil"/>
            </w:tcBorders>
            <w:shd w:val="clear" w:color="000000" w:fill="FFFFFF"/>
          </w:tcPr>
          <w:p w14:paraId="0DEE1096"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$ 439.93</w:t>
            </w:r>
          </w:p>
        </w:tc>
      </w:tr>
      <w:tr w:rsidR="00B5549F" w:rsidRPr="00B5549F" w14:paraId="5620BFFE" w14:textId="77777777" w:rsidTr="00E02797">
        <w:trPr>
          <w:trHeight w:val="320"/>
          <w:jc w:val="center"/>
        </w:trPr>
        <w:tc>
          <w:tcPr>
            <w:tcW w:w="2778" w:type="dxa"/>
            <w:tcBorders>
              <w:top w:val="nil"/>
              <w:left w:val="nil"/>
              <w:bottom w:val="dotDash" w:sz="4" w:space="0" w:color="auto"/>
              <w:right w:val="nil"/>
            </w:tcBorders>
            <w:shd w:val="clear" w:color="000000" w:fill="FFFFFF"/>
            <w:noWrap/>
            <w:vAlign w:val="bottom"/>
            <w:hideMark/>
          </w:tcPr>
          <w:p w14:paraId="500054AC" w14:textId="77777777" w:rsidR="00985916" w:rsidRPr="00B5549F" w:rsidRDefault="00985916" w:rsidP="00985916">
            <w:pPr>
              <w:contextualSpacing/>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xml:space="preserve">LSE [4-10 </w:t>
            </w:r>
            <w:proofErr w:type="spellStart"/>
            <w:r w:rsidRPr="00B5549F">
              <w:rPr>
                <w:rFonts w:ascii="Times New Roman" w:hAnsi="Times New Roman" w:cs="Times New Roman"/>
                <w:color w:val="000000" w:themeColor="text1"/>
                <w:sz w:val="20"/>
                <w:szCs w:val="20"/>
              </w:rPr>
              <w:t>Listings</w:t>
            </w:r>
            <w:proofErr w:type="spellEnd"/>
            <w:r w:rsidRPr="00B5549F">
              <w:rPr>
                <w:rFonts w:ascii="Times New Roman" w:hAnsi="Times New Roman" w:cs="Times New Roman"/>
                <w:color w:val="000000" w:themeColor="text1"/>
                <w:sz w:val="20"/>
                <w:szCs w:val="20"/>
              </w:rPr>
              <w:t>]</w:t>
            </w:r>
          </w:p>
        </w:tc>
        <w:tc>
          <w:tcPr>
            <w:tcW w:w="2268" w:type="dxa"/>
            <w:tcBorders>
              <w:top w:val="nil"/>
              <w:left w:val="nil"/>
              <w:bottom w:val="dotDash" w:sz="4" w:space="0" w:color="auto"/>
              <w:right w:val="nil"/>
            </w:tcBorders>
            <w:shd w:val="clear" w:color="000000" w:fill="FFFFFF"/>
            <w:noWrap/>
            <w:vAlign w:val="center"/>
            <w:hideMark/>
          </w:tcPr>
          <w:p w14:paraId="37BD2C0B"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xml:space="preserve">$ 3,158.21 </w:t>
            </w:r>
          </w:p>
        </w:tc>
        <w:tc>
          <w:tcPr>
            <w:tcW w:w="2268" w:type="dxa"/>
            <w:tcBorders>
              <w:top w:val="nil"/>
              <w:left w:val="nil"/>
              <w:bottom w:val="dotDash" w:sz="4" w:space="0" w:color="auto"/>
              <w:right w:val="nil"/>
            </w:tcBorders>
            <w:shd w:val="clear" w:color="000000" w:fill="FFFFFF"/>
          </w:tcPr>
          <w:p w14:paraId="6F4F73F7"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$ 639.85</w:t>
            </w:r>
          </w:p>
        </w:tc>
      </w:tr>
      <w:tr w:rsidR="00B5549F" w:rsidRPr="00B5549F" w14:paraId="1BB1A127" w14:textId="77777777" w:rsidTr="00E02797">
        <w:trPr>
          <w:trHeight w:val="320"/>
          <w:jc w:val="center"/>
        </w:trPr>
        <w:tc>
          <w:tcPr>
            <w:tcW w:w="2778" w:type="dxa"/>
            <w:tcBorders>
              <w:top w:val="nil"/>
              <w:left w:val="nil"/>
              <w:bottom w:val="nil"/>
              <w:right w:val="nil"/>
            </w:tcBorders>
            <w:shd w:val="clear" w:color="000000" w:fill="FFFFFF"/>
            <w:noWrap/>
            <w:vAlign w:val="bottom"/>
            <w:hideMark/>
          </w:tcPr>
          <w:p w14:paraId="41725774" w14:textId="77777777" w:rsidR="00985916" w:rsidRPr="00B5549F" w:rsidRDefault="00985916" w:rsidP="00985916">
            <w:pPr>
              <w:contextualSpacing/>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xml:space="preserve">SSE [1-4 </w:t>
            </w:r>
            <w:proofErr w:type="spellStart"/>
            <w:r w:rsidRPr="00B5549F">
              <w:rPr>
                <w:rFonts w:ascii="Times New Roman" w:hAnsi="Times New Roman" w:cs="Times New Roman"/>
                <w:color w:val="000000" w:themeColor="text1"/>
                <w:sz w:val="20"/>
                <w:szCs w:val="20"/>
              </w:rPr>
              <w:t>Listings</w:t>
            </w:r>
            <w:proofErr w:type="spellEnd"/>
            <w:r w:rsidRPr="00B5549F">
              <w:rPr>
                <w:rFonts w:ascii="Times New Roman" w:hAnsi="Times New Roman" w:cs="Times New Roman"/>
                <w:color w:val="000000" w:themeColor="text1"/>
                <w:sz w:val="20"/>
                <w:szCs w:val="20"/>
              </w:rPr>
              <w:t>]</w:t>
            </w:r>
          </w:p>
        </w:tc>
        <w:tc>
          <w:tcPr>
            <w:tcW w:w="2268" w:type="dxa"/>
            <w:tcBorders>
              <w:top w:val="nil"/>
              <w:left w:val="nil"/>
              <w:bottom w:val="nil"/>
              <w:right w:val="nil"/>
            </w:tcBorders>
            <w:shd w:val="clear" w:color="000000" w:fill="FFFFFF"/>
            <w:noWrap/>
            <w:vAlign w:val="center"/>
            <w:hideMark/>
          </w:tcPr>
          <w:p w14:paraId="5A91D15C"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xml:space="preserve">$ 624.27 </w:t>
            </w:r>
          </w:p>
        </w:tc>
        <w:tc>
          <w:tcPr>
            <w:tcW w:w="2268" w:type="dxa"/>
            <w:tcBorders>
              <w:top w:val="nil"/>
              <w:left w:val="nil"/>
              <w:bottom w:val="nil"/>
              <w:right w:val="nil"/>
            </w:tcBorders>
            <w:shd w:val="clear" w:color="000000" w:fill="FFFFFF"/>
          </w:tcPr>
          <w:p w14:paraId="2719968F"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$ 444.70</w:t>
            </w:r>
          </w:p>
        </w:tc>
      </w:tr>
      <w:tr w:rsidR="00B5549F" w:rsidRPr="00B5549F" w14:paraId="280FAB2D" w14:textId="77777777" w:rsidTr="00E02797">
        <w:trPr>
          <w:trHeight w:val="320"/>
          <w:jc w:val="center"/>
        </w:trPr>
        <w:tc>
          <w:tcPr>
            <w:tcW w:w="2778" w:type="dxa"/>
            <w:tcBorders>
              <w:top w:val="nil"/>
              <w:left w:val="nil"/>
              <w:bottom w:val="dotDash" w:sz="4" w:space="0" w:color="auto"/>
              <w:right w:val="nil"/>
            </w:tcBorders>
            <w:shd w:val="clear" w:color="000000" w:fill="FFFFFF"/>
            <w:noWrap/>
            <w:vAlign w:val="bottom"/>
            <w:hideMark/>
          </w:tcPr>
          <w:p w14:paraId="0880074C" w14:textId="77777777" w:rsidR="00985916" w:rsidRPr="00B5549F" w:rsidRDefault="00985916" w:rsidP="00985916">
            <w:pPr>
              <w:contextualSpacing/>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xml:space="preserve">LSE [5-10 </w:t>
            </w:r>
            <w:proofErr w:type="spellStart"/>
            <w:r w:rsidRPr="00B5549F">
              <w:rPr>
                <w:rFonts w:ascii="Times New Roman" w:hAnsi="Times New Roman" w:cs="Times New Roman"/>
                <w:color w:val="000000" w:themeColor="text1"/>
                <w:sz w:val="20"/>
                <w:szCs w:val="20"/>
              </w:rPr>
              <w:t>Listings</w:t>
            </w:r>
            <w:proofErr w:type="spellEnd"/>
            <w:r w:rsidRPr="00B5549F">
              <w:rPr>
                <w:rFonts w:ascii="Times New Roman" w:hAnsi="Times New Roman" w:cs="Times New Roman"/>
                <w:color w:val="000000" w:themeColor="text1"/>
                <w:sz w:val="20"/>
                <w:szCs w:val="20"/>
              </w:rPr>
              <w:t>]</w:t>
            </w:r>
          </w:p>
        </w:tc>
        <w:tc>
          <w:tcPr>
            <w:tcW w:w="2268" w:type="dxa"/>
            <w:tcBorders>
              <w:top w:val="nil"/>
              <w:left w:val="nil"/>
              <w:bottom w:val="dotDash" w:sz="4" w:space="0" w:color="auto"/>
              <w:right w:val="nil"/>
            </w:tcBorders>
            <w:shd w:val="clear" w:color="000000" w:fill="FFFFFF"/>
            <w:noWrap/>
            <w:vAlign w:val="center"/>
            <w:hideMark/>
          </w:tcPr>
          <w:p w14:paraId="32A4B5F1"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xml:space="preserve">$ 4,101.61 </w:t>
            </w:r>
          </w:p>
        </w:tc>
        <w:tc>
          <w:tcPr>
            <w:tcW w:w="2268" w:type="dxa"/>
            <w:tcBorders>
              <w:top w:val="nil"/>
              <w:left w:val="nil"/>
              <w:bottom w:val="dotDash" w:sz="4" w:space="0" w:color="auto"/>
              <w:right w:val="nil"/>
            </w:tcBorders>
            <w:shd w:val="clear" w:color="000000" w:fill="FFFFFF"/>
          </w:tcPr>
          <w:p w14:paraId="73E4B564"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$ 694.35</w:t>
            </w:r>
          </w:p>
        </w:tc>
      </w:tr>
      <w:tr w:rsidR="00B5549F" w:rsidRPr="00B5549F" w14:paraId="0E20058D" w14:textId="77777777" w:rsidTr="00E02797">
        <w:trPr>
          <w:trHeight w:val="320"/>
          <w:jc w:val="center"/>
        </w:trPr>
        <w:tc>
          <w:tcPr>
            <w:tcW w:w="2778" w:type="dxa"/>
            <w:tcBorders>
              <w:top w:val="nil"/>
              <w:left w:val="nil"/>
              <w:bottom w:val="single" w:sz="4" w:space="0" w:color="auto"/>
              <w:right w:val="nil"/>
            </w:tcBorders>
            <w:shd w:val="clear" w:color="000000" w:fill="FFFFFF"/>
            <w:noWrap/>
            <w:vAlign w:val="bottom"/>
            <w:hideMark/>
          </w:tcPr>
          <w:p w14:paraId="7C269BE9" w14:textId="77777777" w:rsidR="00985916" w:rsidRPr="00B5549F" w:rsidRDefault="00985916" w:rsidP="00985916">
            <w:pPr>
              <w:contextualSpacing/>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xml:space="preserve">Large </w:t>
            </w:r>
            <w:proofErr w:type="spellStart"/>
            <w:r w:rsidRPr="00B5549F">
              <w:rPr>
                <w:rFonts w:ascii="Times New Roman" w:hAnsi="Times New Roman" w:cs="Times New Roman"/>
                <w:color w:val="000000" w:themeColor="text1"/>
                <w:sz w:val="20"/>
                <w:szCs w:val="20"/>
              </w:rPr>
              <w:t>Firms</w:t>
            </w:r>
            <w:proofErr w:type="spellEnd"/>
            <w:r w:rsidRPr="00B5549F">
              <w:rPr>
                <w:rFonts w:ascii="Times New Roman" w:hAnsi="Times New Roman" w:cs="Times New Roman"/>
                <w:color w:val="000000" w:themeColor="text1"/>
                <w:sz w:val="20"/>
                <w:szCs w:val="20"/>
              </w:rPr>
              <w:t xml:space="preserve"> [11+ </w:t>
            </w:r>
            <w:proofErr w:type="spellStart"/>
            <w:r w:rsidRPr="00B5549F">
              <w:rPr>
                <w:rFonts w:ascii="Times New Roman" w:hAnsi="Times New Roman" w:cs="Times New Roman"/>
                <w:color w:val="000000" w:themeColor="text1"/>
                <w:sz w:val="20"/>
                <w:szCs w:val="20"/>
              </w:rPr>
              <w:t>Listings</w:t>
            </w:r>
            <w:proofErr w:type="spellEnd"/>
            <w:r w:rsidRPr="00B5549F">
              <w:rPr>
                <w:rFonts w:ascii="Times New Roman" w:hAnsi="Times New Roman" w:cs="Times New Roman"/>
                <w:color w:val="000000" w:themeColor="text1"/>
                <w:sz w:val="20"/>
                <w:szCs w:val="20"/>
              </w:rPr>
              <w:t>]</w:t>
            </w:r>
          </w:p>
        </w:tc>
        <w:tc>
          <w:tcPr>
            <w:tcW w:w="2268" w:type="dxa"/>
            <w:tcBorders>
              <w:top w:val="nil"/>
              <w:left w:val="nil"/>
              <w:bottom w:val="single" w:sz="4" w:space="0" w:color="auto"/>
              <w:right w:val="nil"/>
            </w:tcBorders>
            <w:shd w:val="clear" w:color="000000" w:fill="FFFFFF"/>
            <w:noWrap/>
            <w:vAlign w:val="center"/>
            <w:hideMark/>
          </w:tcPr>
          <w:p w14:paraId="70382D2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xml:space="preserve">$ 37,211.07 </w:t>
            </w:r>
          </w:p>
        </w:tc>
        <w:tc>
          <w:tcPr>
            <w:tcW w:w="2268" w:type="dxa"/>
            <w:tcBorders>
              <w:top w:val="nil"/>
              <w:left w:val="nil"/>
              <w:bottom w:val="single" w:sz="4" w:space="0" w:color="auto"/>
              <w:right w:val="nil"/>
            </w:tcBorders>
            <w:shd w:val="clear" w:color="000000" w:fill="FFFFFF"/>
          </w:tcPr>
          <w:p w14:paraId="362A4183"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$ 954,82</w:t>
            </w:r>
          </w:p>
        </w:tc>
      </w:tr>
    </w:tbl>
    <w:p w14:paraId="71D2B4CB" w14:textId="6765F173" w:rsidR="00985916" w:rsidRPr="00B5549F" w:rsidRDefault="00985916" w:rsidP="00985916">
      <w:pPr>
        <w:contextualSpacing/>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Note: Mean values are displayed across multiple specifications of the threshold </w:t>
      </w:r>
      <w:r w:rsidRPr="00B5549F">
        <w:rPr>
          <w:rFonts w:ascii="Times New Roman" w:hAnsi="Times New Roman" w:cs="Times New Roman"/>
          <w:i/>
          <w:iCs/>
          <w:color w:val="000000" w:themeColor="text1"/>
          <w:sz w:val="20"/>
          <w:szCs w:val="20"/>
          <w:lang w:val="en-US"/>
        </w:rPr>
        <w:t>n</w:t>
      </w:r>
      <w:r w:rsidRPr="00B5549F">
        <w:rPr>
          <w:rFonts w:ascii="Times New Roman" w:hAnsi="Times New Roman" w:cs="Times New Roman"/>
          <w:color w:val="000000" w:themeColor="text1"/>
          <w:sz w:val="20"/>
          <w:szCs w:val="20"/>
          <w:lang w:val="en-US"/>
        </w:rPr>
        <w:t xml:space="preserve"> distinguishing small-scale and large-scale entrepreneurs.</w:t>
      </w:r>
    </w:p>
    <w:p w14:paraId="3B6EB2BA" w14:textId="77777777" w:rsidR="00985916" w:rsidRPr="00B5549F" w:rsidRDefault="00985916" w:rsidP="00985916">
      <w:pPr>
        <w:spacing w:after="120"/>
        <w:ind w:left="360"/>
        <w:contextualSpacing/>
        <w:jc w:val="both"/>
        <w:rPr>
          <w:rFonts w:ascii="Times New Roman" w:hAnsi="Times New Roman" w:cs="Times New Roman"/>
          <w:color w:val="000000" w:themeColor="text1"/>
          <w:sz w:val="20"/>
          <w:szCs w:val="20"/>
          <w:lang w:val="en-US"/>
        </w:rPr>
      </w:pPr>
    </w:p>
    <w:p w14:paraId="20CB6177" w14:textId="77777777" w:rsidR="00985916" w:rsidRPr="00B5549F" w:rsidRDefault="00985916" w:rsidP="00985916">
      <w:pPr>
        <w:spacing w:after="120"/>
        <w:contextualSpacing/>
        <w:jc w:val="both"/>
        <w:rPr>
          <w:rFonts w:ascii="Times New Roman" w:hAnsi="Times New Roman" w:cs="Times New Roman"/>
          <w:color w:val="000000" w:themeColor="text1"/>
          <w:lang w:val="en-US"/>
        </w:rPr>
      </w:pPr>
      <w:r w:rsidRPr="00B5549F">
        <w:rPr>
          <w:rFonts w:ascii="Times New Roman" w:hAnsi="Times New Roman" w:cs="Times New Roman"/>
          <w:b/>
          <w:bCs/>
          <w:color w:val="000000" w:themeColor="text1"/>
          <w:lang w:val="en-US"/>
        </w:rPr>
        <w:t xml:space="preserve">Table 3a. </w:t>
      </w:r>
      <w:r w:rsidRPr="00B5549F">
        <w:rPr>
          <w:rFonts w:ascii="Times New Roman" w:hAnsi="Times New Roman" w:cs="Times New Roman"/>
          <w:color w:val="000000" w:themeColor="text1"/>
          <w:lang w:val="en-US"/>
        </w:rPr>
        <w:t>Variables overview and synthetic description.</w:t>
      </w:r>
    </w:p>
    <w:tbl>
      <w:tblPr>
        <w:tblW w:w="9753" w:type="dxa"/>
        <w:jc w:val="center"/>
        <w:tblCellMar>
          <w:left w:w="70" w:type="dxa"/>
          <w:right w:w="70" w:type="dxa"/>
        </w:tblCellMar>
        <w:tblLook w:val="04A0" w:firstRow="1" w:lastRow="0" w:firstColumn="1" w:lastColumn="0" w:noHBand="0" w:noVBand="1"/>
      </w:tblPr>
      <w:tblGrid>
        <w:gridCol w:w="1129"/>
        <w:gridCol w:w="2438"/>
        <w:gridCol w:w="6186"/>
      </w:tblGrid>
      <w:tr w:rsidR="00B5549F" w:rsidRPr="00B5549F" w14:paraId="08A9D6D5" w14:textId="77777777" w:rsidTr="00E02797">
        <w:trPr>
          <w:trHeight w:val="283"/>
          <w:jc w:val="center"/>
        </w:trPr>
        <w:tc>
          <w:tcPr>
            <w:tcW w:w="1129" w:type="dxa"/>
            <w:tcBorders>
              <w:top w:val="single" w:sz="4" w:space="0" w:color="auto"/>
              <w:left w:val="nil"/>
              <w:bottom w:val="single" w:sz="4" w:space="0" w:color="auto"/>
              <w:right w:val="nil"/>
            </w:tcBorders>
          </w:tcPr>
          <w:p w14:paraId="3566C82E" w14:textId="77777777" w:rsidR="00985916" w:rsidRPr="00B5549F" w:rsidRDefault="00985916" w:rsidP="00985916">
            <w:pPr>
              <w:contextualSpacing/>
              <w:rPr>
                <w:rFonts w:ascii="Times New Roman" w:hAnsi="Times New Roman" w:cs="Times New Roman"/>
                <w:b/>
                <w:bCs/>
                <w:color w:val="000000" w:themeColor="text1"/>
                <w:sz w:val="20"/>
                <w:szCs w:val="20"/>
                <w:lang w:val="en-US"/>
              </w:rPr>
            </w:pPr>
          </w:p>
        </w:tc>
        <w:tc>
          <w:tcPr>
            <w:tcW w:w="2438" w:type="dxa"/>
            <w:tcBorders>
              <w:top w:val="single" w:sz="4" w:space="0" w:color="auto"/>
              <w:left w:val="nil"/>
              <w:bottom w:val="single" w:sz="4" w:space="0" w:color="auto"/>
              <w:right w:val="nil"/>
            </w:tcBorders>
            <w:noWrap/>
            <w:vAlign w:val="center"/>
            <w:hideMark/>
          </w:tcPr>
          <w:p w14:paraId="431A5E28" w14:textId="77777777" w:rsidR="00985916" w:rsidRPr="00B5549F" w:rsidRDefault="00985916" w:rsidP="00985916">
            <w:pPr>
              <w:contextualSpacing/>
              <w:rPr>
                <w:rFonts w:ascii="Times New Roman" w:hAnsi="Times New Roman" w:cs="Times New Roman"/>
                <w:b/>
                <w:bCs/>
                <w:color w:val="000000" w:themeColor="text1"/>
                <w:sz w:val="20"/>
                <w:szCs w:val="20"/>
                <w:lang w:val="en-US"/>
              </w:rPr>
            </w:pPr>
            <w:r w:rsidRPr="00B5549F">
              <w:rPr>
                <w:rFonts w:ascii="Times New Roman" w:hAnsi="Times New Roman" w:cs="Times New Roman"/>
                <w:b/>
                <w:bCs/>
                <w:color w:val="000000" w:themeColor="text1"/>
                <w:sz w:val="20"/>
                <w:szCs w:val="20"/>
                <w:lang w:val="en-US"/>
              </w:rPr>
              <w:t>Variable</w:t>
            </w:r>
          </w:p>
        </w:tc>
        <w:tc>
          <w:tcPr>
            <w:tcW w:w="6186" w:type="dxa"/>
            <w:tcBorders>
              <w:top w:val="single" w:sz="4" w:space="0" w:color="auto"/>
              <w:left w:val="nil"/>
              <w:bottom w:val="single" w:sz="4" w:space="0" w:color="auto"/>
              <w:right w:val="nil"/>
            </w:tcBorders>
            <w:noWrap/>
            <w:vAlign w:val="center"/>
            <w:hideMark/>
          </w:tcPr>
          <w:p w14:paraId="659B0F61" w14:textId="77777777" w:rsidR="00985916" w:rsidRPr="00B5549F" w:rsidRDefault="00985916" w:rsidP="00985916">
            <w:pPr>
              <w:contextualSpacing/>
              <w:jc w:val="center"/>
              <w:rPr>
                <w:rFonts w:ascii="Times New Roman" w:hAnsi="Times New Roman" w:cs="Times New Roman"/>
                <w:b/>
                <w:bCs/>
                <w:color w:val="000000" w:themeColor="text1"/>
                <w:sz w:val="20"/>
                <w:szCs w:val="20"/>
                <w:lang w:val="en-US"/>
              </w:rPr>
            </w:pPr>
            <w:r w:rsidRPr="00B5549F">
              <w:rPr>
                <w:rFonts w:ascii="Times New Roman" w:hAnsi="Times New Roman" w:cs="Times New Roman"/>
                <w:b/>
                <w:bCs/>
                <w:color w:val="000000" w:themeColor="text1"/>
                <w:sz w:val="20"/>
                <w:szCs w:val="20"/>
                <w:lang w:val="en-US"/>
              </w:rPr>
              <w:t>Description</w:t>
            </w:r>
          </w:p>
        </w:tc>
      </w:tr>
      <w:tr w:rsidR="00B5549F" w:rsidRPr="00B5549F" w14:paraId="73ADBC58" w14:textId="77777777" w:rsidTr="00E02797">
        <w:trPr>
          <w:trHeight w:val="283"/>
          <w:jc w:val="center"/>
        </w:trPr>
        <w:tc>
          <w:tcPr>
            <w:tcW w:w="1129" w:type="dxa"/>
            <w:vMerge w:val="restart"/>
            <w:tcBorders>
              <w:top w:val="single" w:sz="4" w:space="0" w:color="auto"/>
              <w:left w:val="nil"/>
              <w:right w:val="nil"/>
            </w:tcBorders>
            <w:vAlign w:val="center"/>
          </w:tcPr>
          <w:p w14:paraId="76A34DA4" w14:textId="77777777" w:rsidR="00985916" w:rsidRPr="00B5549F" w:rsidRDefault="00985916" w:rsidP="00985916">
            <w:pPr>
              <w:contextualSpacing/>
              <w:rPr>
                <w:rFonts w:ascii="Times New Roman" w:hAnsi="Times New Roman" w:cs="Times New Roman"/>
                <w:i/>
                <w:iCs/>
                <w:color w:val="000000" w:themeColor="text1"/>
                <w:sz w:val="20"/>
                <w:szCs w:val="20"/>
                <w:lang w:val="en-US"/>
              </w:rPr>
            </w:pPr>
            <w:r w:rsidRPr="00B5549F">
              <w:rPr>
                <w:rFonts w:ascii="Times New Roman" w:hAnsi="Times New Roman" w:cs="Times New Roman"/>
                <w:i/>
                <w:iCs/>
                <w:color w:val="000000" w:themeColor="text1"/>
                <w:sz w:val="20"/>
                <w:szCs w:val="20"/>
                <w:lang w:val="en-US"/>
              </w:rPr>
              <w:t>Dependent</w:t>
            </w:r>
          </w:p>
          <w:p w14:paraId="71E6897B" w14:textId="77777777" w:rsidR="00985916" w:rsidRPr="00B5549F" w:rsidRDefault="00985916" w:rsidP="00985916">
            <w:pPr>
              <w:contextualSpacing/>
              <w:rPr>
                <w:rFonts w:ascii="Times New Roman" w:hAnsi="Times New Roman" w:cs="Times New Roman"/>
                <w:color w:val="000000" w:themeColor="text1"/>
                <w:sz w:val="20"/>
                <w:szCs w:val="20"/>
              </w:rPr>
            </w:pPr>
            <w:r w:rsidRPr="00B5549F">
              <w:rPr>
                <w:rFonts w:ascii="Times New Roman" w:hAnsi="Times New Roman" w:cs="Times New Roman"/>
                <w:i/>
                <w:iCs/>
                <w:color w:val="000000" w:themeColor="text1"/>
                <w:sz w:val="20"/>
                <w:szCs w:val="20"/>
                <w:lang w:val="en-US"/>
              </w:rPr>
              <w:t>Variables</w:t>
            </w:r>
          </w:p>
        </w:tc>
        <w:tc>
          <w:tcPr>
            <w:tcW w:w="2438" w:type="dxa"/>
            <w:tcBorders>
              <w:top w:val="single" w:sz="4" w:space="0" w:color="auto"/>
              <w:left w:val="nil"/>
              <w:bottom w:val="nil"/>
              <w:right w:val="nil"/>
            </w:tcBorders>
            <w:noWrap/>
            <w:vAlign w:val="center"/>
            <w:hideMark/>
          </w:tcPr>
          <w:p w14:paraId="34352C18" w14:textId="77777777" w:rsidR="00985916" w:rsidRPr="00B5549F" w:rsidRDefault="00985916" w:rsidP="00985916">
            <w:pPr>
              <w:contextualSpacing/>
              <w:rPr>
                <w:rFonts w:ascii="Times New Roman" w:hAnsi="Times New Roman" w:cs="Times New Roman"/>
                <w:i/>
                <w:iCs/>
                <w:color w:val="000000" w:themeColor="text1"/>
                <w:sz w:val="20"/>
                <w:szCs w:val="20"/>
                <w:vertAlign w:val="subscript"/>
                <w:lang w:val="de-AT"/>
              </w:rPr>
            </w:pPr>
            <w:proofErr w:type="spellStart"/>
            <w:r w:rsidRPr="00B5549F">
              <w:rPr>
                <w:rFonts w:ascii="Times New Roman" w:hAnsi="Times New Roman" w:cs="Times New Roman"/>
                <w:color w:val="000000" w:themeColor="text1"/>
                <w:sz w:val="20"/>
                <w:szCs w:val="20"/>
                <w:lang w:val="de-AT"/>
              </w:rPr>
              <w:t>Entries</w:t>
            </w:r>
            <w:proofErr w:type="spellEnd"/>
            <w:r w:rsidRPr="00B5549F">
              <w:rPr>
                <w:rFonts w:ascii="Times New Roman" w:hAnsi="Times New Roman" w:cs="Times New Roman"/>
                <w:color w:val="000000" w:themeColor="text1"/>
                <w:sz w:val="20"/>
                <w:szCs w:val="20"/>
                <w:lang w:val="de-AT"/>
              </w:rPr>
              <w:t xml:space="preserve"> SSE [1-2] </w:t>
            </w:r>
            <w:r w:rsidRPr="00B5549F">
              <w:rPr>
                <w:rFonts w:ascii="Times New Roman" w:hAnsi="Times New Roman" w:cs="Times New Roman"/>
                <w:i/>
                <w:iCs/>
                <w:color w:val="000000" w:themeColor="text1"/>
                <w:sz w:val="20"/>
                <w:szCs w:val="20"/>
                <w:lang w:val="de-AT"/>
              </w:rPr>
              <w:t>e</w:t>
            </w:r>
            <w:r w:rsidRPr="00B5549F">
              <w:rPr>
                <w:rFonts w:ascii="Times New Roman" w:hAnsi="Times New Roman" w:cs="Times New Roman"/>
                <w:i/>
                <w:iCs/>
                <w:color w:val="000000" w:themeColor="text1"/>
                <w:sz w:val="20"/>
                <w:szCs w:val="20"/>
                <w:vertAlign w:val="superscript"/>
                <w:lang w:val="de-AT"/>
              </w:rPr>
              <w:t>2</w:t>
            </w:r>
            <w:r w:rsidRPr="00B5549F">
              <w:rPr>
                <w:rFonts w:ascii="Times New Roman" w:hAnsi="Times New Roman" w:cs="Times New Roman"/>
                <w:i/>
                <w:iCs/>
                <w:color w:val="000000" w:themeColor="text1"/>
                <w:sz w:val="20"/>
                <w:szCs w:val="20"/>
                <w:vertAlign w:val="subscript"/>
                <w:lang w:val="de-AT"/>
              </w:rPr>
              <w:t>SSE, p, t</w:t>
            </w:r>
          </w:p>
        </w:tc>
        <w:tc>
          <w:tcPr>
            <w:tcW w:w="6186" w:type="dxa"/>
            <w:tcBorders>
              <w:top w:val="single" w:sz="4" w:space="0" w:color="auto"/>
              <w:left w:val="nil"/>
              <w:bottom w:val="nil"/>
              <w:right w:val="nil"/>
            </w:tcBorders>
            <w:noWrap/>
            <w:vAlign w:val="center"/>
            <w:hideMark/>
          </w:tcPr>
          <w:p w14:paraId="76E96AA9"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Net entries of </w:t>
            </w:r>
            <w:r w:rsidRPr="00B5549F">
              <w:rPr>
                <w:rFonts w:ascii="Times New Roman" w:hAnsi="Times New Roman" w:cs="Times New Roman"/>
                <w:i/>
                <w:iCs/>
                <w:color w:val="000000" w:themeColor="text1"/>
                <w:sz w:val="20"/>
                <w:szCs w:val="20"/>
                <w:lang w:val="en-US"/>
              </w:rPr>
              <w:t>SSE</w:t>
            </w:r>
            <w:r w:rsidRPr="00B5549F">
              <w:rPr>
                <w:rFonts w:ascii="Times New Roman" w:hAnsi="Times New Roman" w:cs="Times New Roman"/>
                <w:color w:val="000000" w:themeColor="text1"/>
                <w:sz w:val="20"/>
                <w:szCs w:val="20"/>
                <w:lang w:val="en-US"/>
              </w:rPr>
              <w:t xml:space="preserve"> defined as hosts managing up to 2 listings simultaneously. The variable has been log transformed.</w:t>
            </w:r>
          </w:p>
        </w:tc>
      </w:tr>
      <w:tr w:rsidR="00B5549F" w:rsidRPr="00B5549F" w14:paraId="14F6A66D" w14:textId="77777777" w:rsidTr="00E02797">
        <w:trPr>
          <w:trHeight w:val="283"/>
          <w:jc w:val="center"/>
        </w:trPr>
        <w:tc>
          <w:tcPr>
            <w:tcW w:w="1129" w:type="dxa"/>
            <w:vMerge/>
            <w:tcBorders>
              <w:left w:val="nil"/>
              <w:right w:val="nil"/>
            </w:tcBorders>
          </w:tcPr>
          <w:p w14:paraId="6B1F6BFC" w14:textId="77777777" w:rsidR="00985916" w:rsidRPr="00B5549F" w:rsidRDefault="00985916" w:rsidP="00985916">
            <w:pPr>
              <w:contextualSpacing/>
              <w:rPr>
                <w:rFonts w:ascii="Times New Roman" w:hAnsi="Times New Roman" w:cs="Times New Roman"/>
                <w:i/>
                <w:iCs/>
                <w:color w:val="000000" w:themeColor="text1"/>
                <w:sz w:val="20"/>
                <w:szCs w:val="20"/>
                <w:lang w:val="en-US"/>
              </w:rPr>
            </w:pPr>
          </w:p>
        </w:tc>
        <w:tc>
          <w:tcPr>
            <w:tcW w:w="2438" w:type="dxa"/>
            <w:tcBorders>
              <w:top w:val="nil"/>
              <w:left w:val="nil"/>
              <w:bottom w:val="nil"/>
              <w:right w:val="nil"/>
            </w:tcBorders>
            <w:noWrap/>
            <w:vAlign w:val="center"/>
            <w:hideMark/>
          </w:tcPr>
          <w:p w14:paraId="2F7E91AB" w14:textId="77777777" w:rsidR="00985916" w:rsidRPr="00B5549F" w:rsidRDefault="00985916" w:rsidP="00985916">
            <w:pPr>
              <w:contextualSpacing/>
              <w:rPr>
                <w:rFonts w:ascii="Times New Roman" w:hAnsi="Times New Roman" w:cs="Times New Roman"/>
                <w:color w:val="000000" w:themeColor="text1"/>
                <w:sz w:val="20"/>
                <w:szCs w:val="20"/>
                <w:lang w:val="de-AT"/>
              </w:rPr>
            </w:pPr>
            <w:proofErr w:type="spellStart"/>
            <w:r w:rsidRPr="00B5549F">
              <w:rPr>
                <w:rFonts w:ascii="Times New Roman" w:hAnsi="Times New Roman" w:cs="Times New Roman"/>
                <w:color w:val="000000" w:themeColor="text1"/>
                <w:sz w:val="20"/>
                <w:szCs w:val="20"/>
                <w:lang w:val="de-AT"/>
              </w:rPr>
              <w:t>Entries</w:t>
            </w:r>
            <w:proofErr w:type="spellEnd"/>
            <w:r w:rsidRPr="00B5549F">
              <w:rPr>
                <w:rFonts w:ascii="Times New Roman" w:hAnsi="Times New Roman" w:cs="Times New Roman"/>
                <w:color w:val="000000" w:themeColor="text1"/>
                <w:sz w:val="20"/>
                <w:szCs w:val="20"/>
                <w:lang w:val="de-AT"/>
              </w:rPr>
              <w:t xml:space="preserve"> SSE [1-3] </w:t>
            </w:r>
            <w:r w:rsidRPr="00B5549F">
              <w:rPr>
                <w:rFonts w:ascii="Times New Roman" w:hAnsi="Times New Roman" w:cs="Times New Roman"/>
                <w:i/>
                <w:iCs/>
                <w:color w:val="000000" w:themeColor="text1"/>
                <w:sz w:val="20"/>
                <w:szCs w:val="20"/>
                <w:lang w:val="de-AT"/>
              </w:rPr>
              <w:t>e</w:t>
            </w:r>
            <w:r w:rsidRPr="00B5549F">
              <w:rPr>
                <w:rFonts w:ascii="Times New Roman" w:hAnsi="Times New Roman" w:cs="Times New Roman"/>
                <w:i/>
                <w:iCs/>
                <w:color w:val="000000" w:themeColor="text1"/>
                <w:sz w:val="20"/>
                <w:szCs w:val="20"/>
                <w:vertAlign w:val="superscript"/>
                <w:lang w:val="de-AT"/>
              </w:rPr>
              <w:t>3</w:t>
            </w:r>
            <w:r w:rsidRPr="00B5549F">
              <w:rPr>
                <w:rFonts w:ascii="Times New Roman" w:hAnsi="Times New Roman" w:cs="Times New Roman"/>
                <w:i/>
                <w:iCs/>
                <w:color w:val="000000" w:themeColor="text1"/>
                <w:sz w:val="20"/>
                <w:szCs w:val="20"/>
                <w:vertAlign w:val="subscript"/>
                <w:lang w:val="de-AT"/>
              </w:rPr>
              <w:t>SSE, p, t</w:t>
            </w:r>
          </w:p>
        </w:tc>
        <w:tc>
          <w:tcPr>
            <w:tcW w:w="6186" w:type="dxa"/>
            <w:tcBorders>
              <w:top w:val="nil"/>
              <w:left w:val="nil"/>
              <w:bottom w:val="nil"/>
              <w:right w:val="nil"/>
            </w:tcBorders>
            <w:noWrap/>
            <w:vAlign w:val="center"/>
            <w:hideMark/>
          </w:tcPr>
          <w:p w14:paraId="25A70EFC"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Net entries of </w:t>
            </w:r>
            <w:r w:rsidRPr="00B5549F">
              <w:rPr>
                <w:rFonts w:ascii="Times New Roman" w:hAnsi="Times New Roman" w:cs="Times New Roman"/>
                <w:i/>
                <w:iCs/>
                <w:color w:val="000000" w:themeColor="text1"/>
                <w:sz w:val="20"/>
                <w:szCs w:val="20"/>
                <w:lang w:val="en-US"/>
              </w:rPr>
              <w:t>SSE</w:t>
            </w:r>
            <w:r w:rsidRPr="00B5549F">
              <w:rPr>
                <w:rFonts w:ascii="Times New Roman" w:hAnsi="Times New Roman" w:cs="Times New Roman"/>
                <w:color w:val="000000" w:themeColor="text1"/>
                <w:sz w:val="20"/>
                <w:szCs w:val="20"/>
                <w:lang w:val="en-US"/>
              </w:rPr>
              <w:t xml:space="preserve"> defined as hosts managing up to 3 listings simultaneously. The variable has been log transformed.</w:t>
            </w:r>
          </w:p>
        </w:tc>
      </w:tr>
      <w:tr w:rsidR="00B5549F" w:rsidRPr="00B5549F" w14:paraId="6B180CAF" w14:textId="77777777" w:rsidTr="00E02797">
        <w:trPr>
          <w:trHeight w:val="283"/>
          <w:jc w:val="center"/>
        </w:trPr>
        <w:tc>
          <w:tcPr>
            <w:tcW w:w="1129" w:type="dxa"/>
            <w:vMerge/>
            <w:tcBorders>
              <w:left w:val="nil"/>
              <w:right w:val="nil"/>
            </w:tcBorders>
          </w:tcPr>
          <w:p w14:paraId="555B6502" w14:textId="77777777" w:rsidR="00985916" w:rsidRPr="00B5549F" w:rsidRDefault="00985916" w:rsidP="00985916">
            <w:pPr>
              <w:contextualSpacing/>
              <w:rPr>
                <w:rFonts w:ascii="Times New Roman" w:hAnsi="Times New Roman" w:cs="Times New Roman"/>
                <w:i/>
                <w:iCs/>
                <w:color w:val="000000" w:themeColor="text1"/>
                <w:sz w:val="20"/>
                <w:szCs w:val="20"/>
                <w:lang w:val="en-US"/>
              </w:rPr>
            </w:pPr>
          </w:p>
        </w:tc>
        <w:tc>
          <w:tcPr>
            <w:tcW w:w="2438" w:type="dxa"/>
            <w:tcBorders>
              <w:top w:val="nil"/>
              <w:left w:val="nil"/>
              <w:bottom w:val="nil"/>
              <w:right w:val="nil"/>
            </w:tcBorders>
            <w:noWrap/>
            <w:vAlign w:val="center"/>
            <w:hideMark/>
          </w:tcPr>
          <w:p w14:paraId="2E3EED85" w14:textId="77777777" w:rsidR="00985916" w:rsidRPr="00B5549F" w:rsidRDefault="00985916" w:rsidP="00985916">
            <w:pPr>
              <w:contextualSpacing/>
              <w:rPr>
                <w:rFonts w:ascii="Times New Roman" w:hAnsi="Times New Roman" w:cs="Times New Roman"/>
                <w:color w:val="000000" w:themeColor="text1"/>
                <w:sz w:val="20"/>
                <w:szCs w:val="20"/>
                <w:lang w:val="de-AT"/>
              </w:rPr>
            </w:pPr>
            <w:proofErr w:type="spellStart"/>
            <w:r w:rsidRPr="00B5549F">
              <w:rPr>
                <w:rFonts w:ascii="Times New Roman" w:hAnsi="Times New Roman" w:cs="Times New Roman"/>
                <w:color w:val="000000" w:themeColor="text1"/>
                <w:sz w:val="20"/>
                <w:szCs w:val="20"/>
                <w:lang w:val="de-AT"/>
              </w:rPr>
              <w:t>Entries</w:t>
            </w:r>
            <w:proofErr w:type="spellEnd"/>
            <w:r w:rsidRPr="00B5549F">
              <w:rPr>
                <w:rFonts w:ascii="Times New Roman" w:hAnsi="Times New Roman" w:cs="Times New Roman"/>
                <w:color w:val="000000" w:themeColor="text1"/>
                <w:sz w:val="20"/>
                <w:szCs w:val="20"/>
                <w:lang w:val="de-AT"/>
              </w:rPr>
              <w:t xml:space="preserve"> LSE [3-10] </w:t>
            </w:r>
            <w:r w:rsidRPr="00B5549F">
              <w:rPr>
                <w:rFonts w:ascii="Times New Roman" w:hAnsi="Times New Roman" w:cs="Times New Roman"/>
                <w:i/>
                <w:iCs/>
                <w:color w:val="000000" w:themeColor="text1"/>
                <w:sz w:val="20"/>
                <w:szCs w:val="20"/>
                <w:lang w:val="de-AT"/>
              </w:rPr>
              <w:t>e</w:t>
            </w:r>
            <w:r w:rsidRPr="00B5549F">
              <w:rPr>
                <w:rFonts w:ascii="Times New Roman" w:hAnsi="Times New Roman" w:cs="Times New Roman"/>
                <w:i/>
                <w:iCs/>
                <w:color w:val="000000" w:themeColor="text1"/>
                <w:sz w:val="20"/>
                <w:szCs w:val="20"/>
                <w:vertAlign w:val="superscript"/>
                <w:lang w:val="de-AT"/>
              </w:rPr>
              <w:t>2</w:t>
            </w:r>
            <w:r w:rsidRPr="00B5549F">
              <w:rPr>
                <w:rFonts w:ascii="Times New Roman" w:hAnsi="Times New Roman" w:cs="Times New Roman"/>
                <w:i/>
                <w:iCs/>
                <w:color w:val="000000" w:themeColor="text1"/>
                <w:sz w:val="20"/>
                <w:szCs w:val="20"/>
                <w:vertAlign w:val="subscript"/>
                <w:lang w:val="de-AT"/>
              </w:rPr>
              <w:t>LSE, p, t</w:t>
            </w:r>
          </w:p>
        </w:tc>
        <w:tc>
          <w:tcPr>
            <w:tcW w:w="6186" w:type="dxa"/>
            <w:tcBorders>
              <w:top w:val="nil"/>
              <w:left w:val="nil"/>
              <w:bottom w:val="nil"/>
              <w:right w:val="nil"/>
            </w:tcBorders>
            <w:noWrap/>
            <w:vAlign w:val="center"/>
            <w:hideMark/>
          </w:tcPr>
          <w:p w14:paraId="3F2AE175"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Net entries of </w:t>
            </w:r>
            <w:r w:rsidRPr="00B5549F">
              <w:rPr>
                <w:rFonts w:ascii="Times New Roman" w:hAnsi="Times New Roman" w:cs="Times New Roman"/>
                <w:i/>
                <w:iCs/>
                <w:color w:val="000000" w:themeColor="text1"/>
                <w:sz w:val="20"/>
                <w:szCs w:val="20"/>
                <w:lang w:val="en-US"/>
              </w:rPr>
              <w:t>LSE</w:t>
            </w:r>
            <w:r w:rsidRPr="00B5549F">
              <w:rPr>
                <w:rFonts w:ascii="Times New Roman" w:hAnsi="Times New Roman" w:cs="Times New Roman"/>
                <w:color w:val="000000" w:themeColor="text1"/>
                <w:sz w:val="20"/>
                <w:szCs w:val="20"/>
                <w:lang w:val="en-US"/>
              </w:rPr>
              <w:t xml:space="preserve"> defined as hosts managing 3 to 10 listings simultaneously. The variable has been log transformed.</w:t>
            </w:r>
          </w:p>
        </w:tc>
      </w:tr>
      <w:tr w:rsidR="00B5549F" w:rsidRPr="00B5549F" w14:paraId="16773C8E" w14:textId="77777777" w:rsidTr="00E02797">
        <w:trPr>
          <w:trHeight w:val="283"/>
          <w:jc w:val="center"/>
        </w:trPr>
        <w:tc>
          <w:tcPr>
            <w:tcW w:w="1129" w:type="dxa"/>
            <w:vMerge/>
            <w:tcBorders>
              <w:left w:val="nil"/>
              <w:right w:val="nil"/>
            </w:tcBorders>
          </w:tcPr>
          <w:p w14:paraId="14AB84D9" w14:textId="77777777" w:rsidR="00985916" w:rsidRPr="00B5549F" w:rsidRDefault="00985916" w:rsidP="00985916">
            <w:pPr>
              <w:contextualSpacing/>
              <w:rPr>
                <w:rFonts w:ascii="Times New Roman" w:hAnsi="Times New Roman" w:cs="Times New Roman"/>
                <w:color w:val="000000" w:themeColor="text1"/>
                <w:sz w:val="20"/>
                <w:szCs w:val="20"/>
                <w:lang w:val="en-US"/>
              </w:rPr>
            </w:pPr>
          </w:p>
        </w:tc>
        <w:tc>
          <w:tcPr>
            <w:tcW w:w="2438" w:type="dxa"/>
            <w:tcBorders>
              <w:top w:val="nil"/>
              <w:left w:val="nil"/>
              <w:right w:val="nil"/>
            </w:tcBorders>
            <w:noWrap/>
            <w:vAlign w:val="center"/>
          </w:tcPr>
          <w:p w14:paraId="13142245" w14:textId="77777777" w:rsidR="00985916" w:rsidRPr="00B5549F" w:rsidRDefault="00985916" w:rsidP="00985916">
            <w:pPr>
              <w:contextualSpacing/>
              <w:rPr>
                <w:rFonts w:ascii="Times New Roman" w:hAnsi="Times New Roman" w:cs="Times New Roman"/>
                <w:color w:val="000000" w:themeColor="text1"/>
                <w:sz w:val="20"/>
                <w:szCs w:val="20"/>
                <w:lang w:val="de-AT"/>
              </w:rPr>
            </w:pPr>
            <w:proofErr w:type="spellStart"/>
            <w:r w:rsidRPr="00B5549F">
              <w:rPr>
                <w:rFonts w:ascii="Times New Roman" w:hAnsi="Times New Roman" w:cs="Times New Roman"/>
                <w:color w:val="000000" w:themeColor="text1"/>
                <w:sz w:val="20"/>
                <w:szCs w:val="20"/>
                <w:lang w:val="de-AT"/>
              </w:rPr>
              <w:t>Entries</w:t>
            </w:r>
            <w:proofErr w:type="spellEnd"/>
            <w:r w:rsidRPr="00B5549F">
              <w:rPr>
                <w:rFonts w:ascii="Times New Roman" w:hAnsi="Times New Roman" w:cs="Times New Roman"/>
                <w:color w:val="000000" w:themeColor="text1"/>
                <w:sz w:val="20"/>
                <w:szCs w:val="20"/>
                <w:lang w:val="de-AT"/>
              </w:rPr>
              <w:t xml:space="preserve"> LSE [4-10] </w:t>
            </w:r>
            <w:r w:rsidRPr="00B5549F">
              <w:rPr>
                <w:rFonts w:ascii="Times New Roman" w:hAnsi="Times New Roman" w:cs="Times New Roman"/>
                <w:i/>
                <w:iCs/>
                <w:color w:val="000000" w:themeColor="text1"/>
                <w:sz w:val="20"/>
                <w:szCs w:val="20"/>
                <w:lang w:val="de-AT"/>
              </w:rPr>
              <w:t>e</w:t>
            </w:r>
            <w:r w:rsidRPr="00B5549F">
              <w:rPr>
                <w:rFonts w:ascii="Times New Roman" w:hAnsi="Times New Roman" w:cs="Times New Roman"/>
                <w:i/>
                <w:iCs/>
                <w:color w:val="000000" w:themeColor="text1"/>
                <w:sz w:val="20"/>
                <w:szCs w:val="20"/>
                <w:vertAlign w:val="superscript"/>
                <w:lang w:val="de-AT"/>
              </w:rPr>
              <w:t>3</w:t>
            </w:r>
            <w:r w:rsidRPr="00B5549F">
              <w:rPr>
                <w:rFonts w:ascii="Times New Roman" w:hAnsi="Times New Roman" w:cs="Times New Roman"/>
                <w:i/>
                <w:iCs/>
                <w:color w:val="000000" w:themeColor="text1"/>
                <w:sz w:val="20"/>
                <w:szCs w:val="20"/>
                <w:vertAlign w:val="subscript"/>
                <w:lang w:val="de-AT"/>
              </w:rPr>
              <w:t>LSE, p, t</w:t>
            </w:r>
          </w:p>
        </w:tc>
        <w:tc>
          <w:tcPr>
            <w:tcW w:w="6186" w:type="dxa"/>
            <w:tcBorders>
              <w:top w:val="nil"/>
              <w:left w:val="nil"/>
              <w:right w:val="nil"/>
            </w:tcBorders>
            <w:noWrap/>
            <w:vAlign w:val="center"/>
          </w:tcPr>
          <w:p w14:paraId="067375B4"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Net entries of </w:t>
            </w:r>
            <w:r w:rsidRPr="00B5549F">
              <w:rPr>
                <w:rFonts w:ascii="Times New Roman" w:hAnsi="Times New Roman" w:cs="Times New Roman"/>
                <w:i/>
                <w:iCs/>
                <w:color w:val="000000" w:themeColor="text1"/>
                <w:sz w:val="20"/>
                <w:szCs w:val="20"/>
                <w:lang w:val="en-US"/>
              </w:rPr>
              <w:t>LSE</w:t>
            </w:r>
            <w:r w:rsidRPr="00B5549F">
              <w:rPr>
                <w:rFonts w:ascii="Times New Roman" w:hAnsi="Times New Roman" w:cs="Times New Roman"/>
                <w:color w:val="000000" w:themeColor="text1"/>
                <w:sz w:val="20"/>
                <w:szCs w:val="20"/>
                <w:lang w:val="en-US"/>
              </w:rPr>
              <w:t xml:space="preserve"> defined as hosts managing 4 to 10 listings simultaneously. The variable has been log transformed.</w:t>
            </w:r>
          </w:p>
        </w:tc>
      </w:tr>
      <w:tr w:rsidR="00B5549F" w:rsidRPr="00B5549F" w14:paraId="78FCD735" w14:textId="77777777" w:rsidTr="00E02797">
        <w:trPr>
          <w:trHeight w:val="283"/>
          <w:jc w:val="center"/>
        </w:trPr>
        <w:tc>
          <w:tcPr>
            <w:tcW w:w="1129" w:type="dxa"/>
            <w:vMerge/>
            <w:tcBorders>
              <w:left w:val="nil"/>
              <w:right w:val="nil"/>
            </w:tcBorders>
          </w:tcPr>
          <w:p w14:paraId="775AD5F8" w14:textId="77777777" w:rsidR="00985916" w:rsidRPr="00B5549F" w:rsidRDefault="00985916" w:rsidP="00985916">
            <w:pPr>
              <w:contextualSpacing/>
              <w:rPr>
                <w:rFonts w:ascii="Times New Roman" w:hAnsi="Times New Roman" w:cs="Times New Roman"/>
                <w:color w:val="000000" w:themeColor="text1"/>
                <w:sz w:val="20"/>
                <w:szCs w:val="20"/>
                <w:lang w:val="en-US"/>
              </w:rPr>
            </w:pPr>
          </w:p>
        </w:tc>
        <w:tc>
          <w:tcPr>
            <w:tcW w:w="2438" w:type="dxa"/>
            <w:tcBorders>
              <w:top w:val="nil"/>
              <w:left w:val="nil"/>
              <w:right w:val="nil"/>
            </w:tcBorders>
            <w:noWrap/>
            <w:vAlign w:val="center"/>
          </w:tcPr>
          <w:p w14:paraId="72CF88BF" w14:textId="77777777" w:rsidR="00985916" w:rsidRPr="00B5549F" w:rsidRDefault="00985916" w:rsidP="00985916">
            <w:pPr>
              <w:contextualSpacing/>
              <w:rPr>
                <w:rFonts w:ascii="Times New Roman" w:hAnsi="Times New Roman" w:cs="Times New Roman"/>
                <w:color w:val="000000" w:themeColor="text1"/>
                <w:sz w:val="20"/>
                <w:szCs w:val="20"/>
                <w:lang w:val="de-AT"/>
              </w:rPr>
            </w:pPr>
            <w:proofErr w:type="spellStart"/>
            <w:r w:rsidRPr="00B5549F">
              <w:rPr>
                <w:rFonts w:ascii="Times New Roman" w:hAnsi="Times New Roman" w:cs="Times New Roman"/>
                <w:color w:val="000000" w:themeColor="text1"/>
                <w:sz w:val="20"/>
                <w:szCs w:val="20"/>
                <w:lang w:val="de-AT"/>
              </w:rPr>
              <w:t>Transitions</w:t>
            </w:r>
            <w:proofErr w:type="spellEnd"/>
            <w:r w:rsidRPr="00B5549F">
              <w:rPr>
                <w:rFonts w:ascii="Times New Roman" w:hAnsi="Times New Roman" w:cs="Times New Roman"/>
                <w:color w:val="000000" w:themeColor="text1"/>
                <w:sz w:val="20"/>
                <w:szCs w:val="20"/>
                <w:lang w:val="de-AT"/>
              </w:rPr>
              <w:t xml:space="preserve"> </w:t>
            </w:r>
            <w:r w:rsidRPr="00B5549F">
              <w:rPr>
                <w:rFonts w:ascii="Times New Roman" w:hAnsi="Times New Roman" w:cs="Times New Roman"/>
                <w:i/>
                <w:iCs/>
                <w:color w:val="000000" w:themeColor="text1"/>
                <w:sz w:val="20"/>
                <w:szCs w:val="20"/>
                <w:lang w:val="de-AT"/>
              </w:rPr>
              <w:t>t</w:t>
            </w:r>
            <w:r w:rsidRPr="00B5549F">
              <w:rPr>
                <w:rFonts w:ascii="Times New Roman" w:hAnsi="Times New Roman" w:cs="Times New Roman"/>
                <w:i/>
                <w:iCs/>
                <w:color w:val="000000" w:themeColor="text1"/>
                <w:sz w:val="20"/>
                <w:szCs w:val="20"/>
                <w:vertAlign w:val="superscript"/>
                <w:lang w:val="de-AT"/>
              </w:rPr>
              <w:t>2</w:t>
            </w:r>
            <w:r w:rsidRPr="00B5549F">
              <w:rPr>
                <w:rFonts w:ascii="Times New Roman" w:hAnsi="Times New Roman" w:cs="Times New Roman"/>
                <w:i/>
                <w:iCs/>
                <w:color w:val="000000" w:themeColor="text1"/>
                <w:sz w:val="20"/>
                <w:szCs w:val="20"/>
                <w:vertAlign w:val="subscript"/>
                <w:lang w:val="de-AT"/>
              </w:rPr>
              <w:t>p, t</w:t>
            </w:r>
          </w:p>
        </w:tc>
        <w:tc>
          <w:tcPr>
            <w:tcW w:w="6186" w:type="dxa"/>
            <w:tcBorders>
              <w:top w:val="nil"/>
              <w:left w:val="nil"/>
              <w:right w:val="nil"/>
            </w:tcBorders>
            <w:noWrap/>
            <w:vAlign w:val="center"/>
          </w:tcPr>
          <w:p w14:paraId="1EBDF8C1"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Number of SSE switching to LSE status according to a cut-off threshold of 2 (i.e., from 2 to 3 or more properties managed). The variable has been log transformed.</w:t>
            </w:r>
          </w:p>
        </w:tc>
      </w:tr>
      <w:tr w:rsidR="00B5549F" w:rsidRPr="00B5549F" w14:paraId="6806F7B0" w14:textId="77777777" w:rsidTr="00E02797">
        <w:trPr>
          <w:trHeight w:val="283"/>
          <w:jc w:val="center"/>
        </w:trPr>
        <w:tc>
          <w:tcPr>
            <w:tcW w:w="1129" w:type="dxa"/>
            <w:vMerge/>
            <w:tcBorders>
              <w:left w:val="nil"/>
              <w:right w:val="nil"/>
            </w:tcBorders>
          </w:tcPr>
          <w:p w14:paraId="16D8F6F4" w14:textId="77777777" w:rsidR="00985916" w:rsidRPr="00B5549F" w:rsidRDefault="00985916" w:rsidP="00985916">
            <w:pPr>
              <w:contextualSpacing/>
              <w:rPr>
                <w:rFonts w:ascii="Times New Roman" w:hAnsi="Times New Roman" w:cs="Times New Roman"/>
                <w:color w:val="000000" w:themeColor="text1"/>
                <w:sz w:val="20"/>
                <w:szCs w:val="20"/>
                <w:lang w:val="en-US"/>
              </w:rPr>
            </w:pPr>
          </w:p>
        </w:tc>
        <w:tc>
          <w:tcPr>
            <w:tcW w:w="2438" w:type="dxa"/>
            <w:tcBorders>
              <w:top w:val="nil"/>
              <w:left w:val="nil"/>
              <w:right w:val="nil"/>
            </w:tcBorders>
            <w:noWrap/>
            <w:vAlign w:val="center"/>
          </w:tcPr>
          <w:p w14:paraId="1C86BB4B" w14:textId="77777777" w:rsidR="00985916" w:rsidRPr="00B5549F" w:rsidRDefault="00985916" w:rsidP="00985916">
            <w:pPr>
              <w:contextualSpacing/>
              <w:rPr>
                <w:rFonts w:ascii="Times New Roman" w:hAnsi="Times New Roman" w:cs="Times New Roman"/>
                <w:color w:val="000000" w:themeColor="text1"/>
                <w:sz w:val="20"/>
                <w:szCs w:val="20"/>
                <w:lang w:val="de-AT"/>
              </w:rPr>
            </w:pPr>
            <w:proofErr w:type="spellStart"/>
            <w:r w:rsidRPr="00B5549F">
              <w:rPr>
                <w:rFonts w:ascii="Times New Roman" w:hAnsi="Times New Roman" w:cs="Times New Roman"/>
                <w:color w:val="000000" w:themeColor="text1"/>
                <w:sz w:val="20"/>
                <w:szCs w:val="20"/>
                <w:lang w:val="de-AT"/>
              </w:rPr>
              <w:t>Transitions</w:t>
            </w:r>
            <w:proofErr w:type="spellEnd"/>
            <w:r w:rsidRPr="00B5549F">
              <w:rPr>
                <w:rFonts w:ascii="Times New Roman" w:hAnsi="Times New Roman" w:cs="Times New Roman"/>
                <w:color w:val="000000" w:themeColor="text1"/>
                <w:sz w:val="20"/>
                <w:szCs w:val="20"/>
                <w:lang w:val="de-AT"/>
              </w:rPr>
              <w:t xml:space="preserve"> </w:t>
            </w:r>
            <w:r w:rsidRPr="00B5549F">
              <w:rPr>
                <w:rFonts w:ascii="Times New Roman" w:hAnsi="Times New Roman" w:cs="Times New Roman"/>
                <w:i/>
                <w:iCs/>
                <w:color w:val="000000" w:themeColor="text1"/>
                <w:sz w:val="20"/>
                <w:szCs w:val="20"/>
                <w:lang w:val="de-AT"/>
              </w:rPr>
              <w:t>t</w:t>
            </w:r>
            <w:r w:rsidRPr="00B5549F">
              <w:rPr>
                <w:rFonts w:ascii="Times New Roman" w:hAnsi="Times New Roman" w:cs="Times New Roman"/>
                <w:i/>
                <w:iCs/>
                <w:color w:val="000000" w:themeColor="text1"/>
                <w:sz w:val="20"/>
                <w:szCs w:val="20"/>
                <w:vertAlign w:val="superscript"/>
                <w:lang w:val="de-AT"/>
              </w:rPr>
              <w:t>3</w:t>
            </w:r>
            <w:r w:rsidRPr="00B5549F">
              <w:rPr>
                <w:rFonts w:ascii="Times New Roman" w:hAnsi="Times New Roman" w:cs="Times New Roman"/>
                <w:i/>
                <w:iCs/>
                <w:color w:val="000000" w:themeColor="text1"/>
                <w:sz w:val="20"/>
                <w:szCs w:val="20"/>
                <w:vertAlign w:val="subscript"/>
                <w:lang w:val="de-AT"/>
              </w:rPr>
              <w:t>p, t</w:t>
            </w:r>
          </w:p>
        </w:tc>
        <w:tc>
          <w:tcPr>
            <w:tcW w:w="6186" w:type="dxa"/>
            <w:tcBorders>
              <w:top w:val="nil"/>
              <w:left w:val="nil"/>
              <w:right w:val="nil"/>
            </w:tcBorders>
            <w:noWrap/>
            <w:vAlign w:val="center"/>
          </w:tcPr>
          <w:p w14:paraId="77CBFF1D"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Number of SSE switching to LSE status according to a cut-off threshold 3 (i.e., from 3 to 4 or more properties managed). The variable has been log transformed.</w:t>
            </w:r>
          </w:p>
        </w:tc>
      </w:tr>
      <w:tr w:rsidR="00B5549F" w:rsidRPr="00B5549F" w14:paraId="08CFC15B" w14:textId="77777777" w:rsidTr="00E02797">
        <w:trPr>
          <w:trHeight w:val="283"/>
          <w:jc w:val="center"/>
        </w:trPr>
        <w:tc>
          <w:tcPr>
            <w:tcW w:w="1129" w:type="dxa"/>
            <w:vMerge/>
            <w:tcBorders>
              <w:left w:val="nil"/>
              <w:right w:val="nil"/>
            </w:tcBorders>
          </w:tcPr>
          <w:p w14:paraId="6E591A63" w14:textId="77777777" w:rsidR="00985916" w:rsidRPr="00B5549F" w:rsidRDefault="00985916" w:rsidP="00985916">
            <w:pPr>
              <w:contextualSpacing/>
              <w:rPr>
                <w:rFonts w:ascii="Times New Roman" w:hAnsi="Times New Roman" w:cs="Times New Roman"/>
                <w:color w:val="000000" w:themeColor="text1"/>
                <w:sz w:val="20"/>
                <w:szCs w:val="20"/>
                <w:lang w:val="en-US"/>
              </w:rPr>
            </w:pPr>
          </w:p>
        </w:tc>
        <w:tc>
          <w:tcPr>
            <w:tcW w:w="2438" w:type="dxa"/>
            <w:tcBorders>
              <w:top w:val="nil"/>
              <w:left w:val="nil"/>
              <w:right w:val="nil"/>
            </w:tcBorders>
            <w:noWrap/>
            <w:vAlign w:val="center"/>
          </w:tcPr>
          <w:p w14:paraId="6B56470A"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New Entries LSE </w:t>
            </w:r>
            <w:r w:rsidRPr="00B5549F">
              <w:rPr>
                <w:rFonts w:ascii="Times New Roman" w:hAnsi="Times New Roman" w:cs="Times New Roman"/>
                <w:i/>
                <w:iCs/>
                <w:color w:val="000000" w:themeColor="text1"/>
                <w:sz w:val="20"/>
                <w:szCs w:val="20"/>
                <w:lang w:val="en-US"/>
              </w:rPr>
              <w:t>new</w:t>
            </w:r>
            <w:r w:rsidRPr="00B5549F">
              <w:rPr>
                <w:rFonts w:ascii="Times New Roman" w:hAnsi="Times New Roman" w:cs="Times New Roman"/>
                <w:i/>
                <w:iCs/>
                <w:color w:val="000000" w:themeColor="text1"/>
                <w:sz w:val="20"/>
                <w:szCs w:val="20"/>
                <w:vertAlign w:val="superscript"/>
                <w:lang w:val="en-US"/>
              </w:rPr>
              <w:t>2</w:t>
            </w:r>
            <w:r w:rsidRPr="00B5549F">
              <w:rPr>
                <w:rFonts w:ascii="Times New Roman" w:hAnsi="Times New Roman" w:cs="Times New Roman"/>
                <w:i/>
                <w:iCs/>
                <w:color w:val="000000" w:themeColor="text1"/>
                <w:sz w:val="20"/>
                <w:szCs w:val="20"/>
                <w:vertAlign w:val="subscript"/>
                <w:lang w:val="en-US"/>
              </w:rPr>
              <w:t>LSE, p, t</w:t>
            </w:r>
          </w:p>
        </w:tc>
        <w:tc>
          <w:tcPr>
            <w:tcW w:w="6186" w:type="dxa"/>
            <w:tcBorders>
              <w:top w:val="nil"/>
              <w:left w:val="nil"/>
              <w:right w:val="nil"/>
            </w:tcBorders>
            <w:noWrap/>
            <w:vAlign w:val="center"/>
          </w:tcPr>
          <w:p w14:paraId="67F04D3B"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Net brand-new entries of </w:t>
            </w:r>
            <w:r w:rsidRPr="00B5549F">
              <w:rPr>
                <w:rFonts w:ascii="Times New Roman" w:hAnsi="Times New Roman" w:cs="Times New Roman"/>
                <w:i/>
                <w:iCs/>
                <w:color w:val="000000" w:themeColor="text1"/>
                <w:sz w:val="20"/>
                <w:szCs w:val="20"/>
                <w:lang w:val="en-US"/>
              </w:rPr>
              <w:t>LSE</w:t>
            </w:r>
            <w:r w:rsidRPr="00B5549F">
              <w:rPr>
                <w:rFonts w:ascii="Times New Roman" w:hAnsi="Times New Roman" w:cs="Times New Roman"/>
                <w:color w:val="000000" w:themeColor="text1"/>
                <w:sz w:val="20"/>
                <w:szCs w:val="20"/>
                <w:lang w:val="en-US"/>
              </w:rPr>
              <w:t xml:space="preserve"> defined with a threshold 2, entering the market for the first time with 3 or more properties simultaneously. The variable has been log transformed.</w:t>
            </w:r>
          </w:p>
        </w:tc>
      </w:tr>
      <w:tr w:rsidR="00B5549F" w:rsidRPr="00B5549F" w14:paraId="54A3997F" w14:textId="77777777" w:rsidTr="00E02797">
        <w:trPr>
          <w:trHeight w:val="283"/>
          <w:jc w:val="center"/>
        </w:trPr>
        <w:tc>
          <w:tcPr>
            <w:tcW w:w="1129" w:type="dxa"/>
            <w:vMerge/>
            <w:tcBorders>
              <w:left w:val="nil"/>
              <w:bottom w:val="dashed" w:sz="4" w:space="0" w:color="auto"/>
              <w:right w:val="nil"/>
            </w:tcBorders>
          </w:tcPr>
          <w:p w14:paraId="25396945" w14:textId="77777777" w:rsidR="00985916" w:rsidRPr="00B5549F" w:rsidRDefault="00985916" w:rsidP="00985916">
            <w:pPr>
              <w:contextualSpacing/>
              <w:rPr>
                <w:rFonts w:ascii="Times New Roman" w:hAnsi="Times New Roman" w:cs="Times New Roman"/>
                <w:color w:val="000000" w:themeColor="text1"/>
                <w:sz w:val="20"/>
                <w:szCs w:val="20"/>
                <w:lang w:val="en-US"/>
              </w:rPr>
            </w:pPr>
          </w:p>
        </w:tc>
        <w:tc>
          <w:tcPr>
            <w:tcW w:w="2438" w:type="dxa"/>
            <w:tcBorders>
              <w:left w:val="nil"/>
              <w:bottom w:val="dashed" w:sz="4" w:space="0" w:color="auto"/>
              <w:right w:val="nil"/>
            </w:tcBorders>
            <w:noWrap/>
            <w:vAlign w:val="center"/>
            <w:hideMark/>
          </w:tcPr>
          <w:p w14:paraId="26885229"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New Entries LSE </w:t>
            </w:r>
            <w:r w:rsidRPr="00B5549F">
              <w:rPr>
                <w:rFonts w:ascii="Times New Roman" w:hAnsi="Times New Roman" w:cs="Times New Roman"/>
                <w:i/>
                <w:iCs/>
                <w:color w:val="000000" w:themeColor="text1"/>
                <w:sz w:val="20"/>
                <w:szCs w:val="20"/>
                <w:lang w:val="en-US"/>
              </w:rPr>
              <w:t>new</w:t>
            </w:r>
            <w:r w:rsidRPr="00B5549F">
              <w:rPr>
                <w:rFonts w:ascii="Times New Roman" w:hAnsi="Times New Roman" w:cs="Times New Roman"/>
                <w:i/>
                <w:iCs/>
                <w:color w:val="000000" w:themeColor="text1"/>
                <w:sz w:val="20"/>
                <w:szCs w:val="20"/>
                <w:vertAlign w:val="superscript"/>
                <w:lang w:val="en-US"/>
              </w:rPr>
              <w:t>3</w:t>
            </w:r>
            <w:r w:rsidRPr="00B5549F">
              <w:rPr>
                <w:rFonts w:ascii="Times New Roman" w:hAnsi="Times New Roman" w:cs="Times New Roman"/>
                <w:i/>
                <w:iCs/>
                <w:color w:val="000000" w:themeColor="text1"/>
                <w:sz w:val="20"/>
                <w:szCs w:val="20"/>
                <w:vertAlign w:val="subscript"/>
                <w:lang w:val="en-US"/>
              </w:rPr>
              <w:t>LSE, p, t</w:t>
            </w:r>
          </w:p>
        </w:tc>
        <w:tc>
          <w:tcPr>
            <w:tcW w:w="6186" w:type="dxa"/>
            <w:tcBorders>
              <w:left w:val="nil"/>
              <w:bottom w:val="dashed" w:sz="4" w:space="0" w:color="auto"/>
              <w:right w:val="nil"/>
            </w:tcBorders>
            <w:noWrap/>
            <w:vAlign w:val="center"/>
            <w:hideMark/>
          </w:tcPr>
          <w:p w14:paraId="56C4BD6B"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Net brand-new entries of </w:t>
            </w:r>
            <w:r w:rsidRPr="00B5549F">
              <w:rPr>
                <w:rFonts w:ascii="Times New Roman" w:hAnsi="Times New Roman" w:cs="Times New Roman"/>
                <w:i/>
                <w:iCs/>
                <w:color w:val="000000" w:themeColor="text1"/>
                <w:sz w:val="20"/>
                <w:szCs w:val="20"/>
                <w:lang w:val="en-US"/>
              </w:rPr>
              <w:t>LSE</w:t>
            </w:r>
            <w:r w:rsidRPr="00B5549F">
              <w:rPr>
                <w:rFonts w:ascii="Times New Roman" w:hAnsi="Times New Roman" w:cs="Times New Roman"/>
                <w:color w:val="000000" w:themeColor="text1"/>
                <w:sz w:val="20"/>
                <w:szCs w:val="20"/>
                <w:lang w:val="en-US"/>
              </w:rPr>
              <w:t xml:space="preserve"> defined with a threshold 3, entering the market for the first time with 4 or more properties simultaneously. The variable has been log transformed.</w:t>
            </w:r>
          </w:p>
        </w:tc>
      </w:tr>
      <w:tr w:rsidR="00B5549F" w:rsidRPr="00B5549F" w14:paraId="45D25CB0" w14:textId="77777777" w:rsidTr="00E02797">
        <w:trPr>
          <w:trHeight w:val="283"/>
          <w:jc w:val="center"/>
        </w:trPr>
        <w:tc>
          <w:tcPr>
            <w:tcW w:w="1129" w:type="dxa"/>
            <w:vMerge w:val="restart"/>
            <w:tcBorders>
              <w:top w:val="dashed" w:sz="4" w:space="0" w:color="auto"/>
              <w:left w:val="nil"/>
              <w:right w:val="nil"/>
            </w:tcBorders>
            <w:vAlign w:val="center"/>
          </w:tcPr>
          <w:p w14:paraId="23447EFF" w14:textId="77777777" w:rsidR="00985916" w:rsidRPr="00B5549F" w:rsidRDefault="00985916" w:rsidP="00985916">
            <w:pPr>
              <w:contextualSpacing/>
              <w:rPr>
                <w:rFonts w:ascii="Times New Roman" w:hAnsi="Times New Roman" w:cs="Times New Roman"/>
                <w:i/>
                <w:iCs/>
                <w:color w:val="000000" w:themeColor="text1"/>
                <w:sz w:val="20"/>
                <w:szCs w:val="20"/>
                <w:lang w:val="en-US"/>
              </w:rPr>
            </w:pPr>
            <w:r w:rsidRPr="00B5549F">
              <w:rPr>
                <w:rFonts w:ascii="Times New Roman" w:hAnsi="Times New Roman" w:cs="Times New Roman"/>
                <w:i/>
                <w:iCs/>
                <w:color w:val="000000" w:themeColor="text1"/>
                <w:sz w:val="20"/>
                <w:szCs w:val="20"/>
                <w:lang w:val="en-US"/>
              </w:rPr>
              <w:t>Independent</w:t>
            </w:r>
          </w:p>
          <w:p w14:paraId="15C8B8A8" w14:textId="77777777" w:rsidR="00985916" w:rsidRPr="00B5549F" w:rsidRDefault="00985916" w:rsidP="00985916">
            <w:pPr>
              <w:contextualSpacing/>
              <w:rPr>
                <w:rFonts w:ascii="Times New Roman" w:hAnsi="Times New Roman" w:cs="Times New Roman"/>
                <w:i/>
                <w:color w:val="000000" w:themeColor="text1"/>
                <w:sz w:val="20"/>
                <w:szCs w:val="20"/>
                <w:lang w:val="en-US"/>
              </w:rPr>
            </w:pPr>
            <w:r w:rsidRPr="00B5549F">
              <w:rPr>
                <w:rFonts w:ascii="Times New Roman" w:hAnsi="Times New Roman" w:cs="Times New Roman"/>
                <w:i/>
                <w:color w:val="000000" w:themeColor="text1"/>
                <w:sz w:val="20"/>
                <w:szCs w:val="20"/>
                <w:lang w:val="en-US"/>
              </w:rPr>
              <w:t>Variables</w:t>
            </w:r>
          </w:p>
          <w:p w14:paraId="5060CB77" w14:textId="77777777" w:rsidR="00985916" w:rsidRPr="00B5549F" w:rsidRDefault="00985916" w:rsidP="00985916">
            <w:pPr>
              <w:contextualSpacing/>
              <w:rPr>
                <w:rFonts w:ascii="Times New Roman" w:hAnsi="Times New Roman" w:cs="Times New Roman"/>
                <w:i/>
                <w:color w:val="000000" w:themeColor="text1"/>
                <w:sz w:val="20"/>
                <w:szCs w:val="20"/>
                <w:lang w:val="en-US"/>
              </w:rPr>
            </w:pPr>
            <w:r w:rsidRPr="00B5549F">
              <w:rPr>
                <w:rFonts w:ascii="Times New Roman" w:hAnsi="Times New Roman" w:cs="Times New Roman"/>
                <w:i/>
                <w:color w:val="000000" w:themeColor="text1"/>
                <w:sz w:val="20"/>
                <w:szCs w:val="20"/>
                <w:lang w:val="en-US"/>
              </w:rPr>
              <w:t>And</w:t>
            </w:r>
          </w:p>
          <w:p w14:paraId="2C6A642E" w14:textId="77777777" w:rsidR="00985916" w:rsidRPr="00B5549F" w:rsidRDefault="00985916" w:rsidP="00985916">
            <w:pPr>
              <w:contextualSpacing/>
              <w:rPr>
                <w:rFonts w:ascii="Times New Roman" w:hAnsi="Times New Roman" w:cs="Times New Roman"/>
                <w:i/>
                <w:iCs/>
                <w:color w:val="000000" w:themeColor="text1"/>
                <w:sz w:val="20"/>
                <w:szCs w:val="20"/>
                <w:lang w:val="en-US"/>
              </w:rPr>
            </w:pPr>
            <w:r w:rsidRPr="00B5549F">
              <w:rPr>
                <w:rFonts w:ascii="Times New Roman" w:hAnsi="Times New Roman" w:cs="Times New Roman"/>
                <w:i/>
                <w:iCs/>
                <w:color w:val="000000" w:themeColor="text1"/>
                <w:sz w:val="20"/>
                <w:szCs w:val="20"/>
                <w:lang w:val="en-US"/>
              </w:rPr>
              <w:t>Control</w:t>
            </w:r>
          </w:p>
          <w:p w14:paraId="08920B49"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i/>
                <w:color w:val="000000" w:themeColor="text1"/>
                <w:sz w:val="20"/>
                <w:szCs w:val="20"/>
                <w:lang w:val="en-US"/>
              </w:rPr>
              <w:t>Variables</w:t>
            </w:r>
          </w:p>
        </w:tc>
        <w:tc>
          <w:tcPr>
            <w:tcW w:w="2438" w:type="dxa"/>
            <w:tcBorders>
              <w:top w:val="dashed" w:sz="4" w:space="0" w:color="auto"/>
              <w:left w:val="nil"/>
              <w:right w:val="nil"/>
            </w:tcBorders>
            <w:noWrap/>
            <w:vAlign w:val="center"/>
          </w:tcPr>
          <w:p w14:paraId="65C7A970" w14:textId="77777777" w:rsidR="00985916" w:rsidRPr="00B5549F" w:rsidRDefault="00985916" w:rsidP="00985916">
            <w:pPr>
              <w:contextualSpacing/>
              <w:rPr>
                <w:rFonts w:ascii="Times New Roman" w:hAnsi="Times New Roman" w:cs="Times New Roman"/>
                <w:i/>
                <w:iCs/>
                <w:color w:val="000000" w:themeColor="text1"/>
                <w:sz w:val="20"/>
                <w:szCs w:val="20"/>
                <w:vertAlign w:val="subscript"/>
                <w:lang w:val="en-US"/>
              </w:rPr>
            </w:pPr>
            <w:r w:rsidRPr="00B5549F">
              <w:rPr>
                <w:rFonts w:ascii="Times New Roman" w:hAnsi="Times New Roman" w:cs="Times New Roman"/>
                <w:i/>
                <w:iCs/>
                <w:color w:val="000000" w:themeColor="text1"/>
                <w:sz w:val="20"/>
                <w:szCs w:val="20"/>
                <w:lang w:val="en-US"/>
              </w:rPr>
              <w:t>MarketClimate</w:t>
            </w:r>
            <w:r w:rsidRPr="00B5549F">
              <w:rPr>
                <w:rFonts w:ascii="Times New Roman" w:hAnsi="Times New Roman" w:cs="Times New Roman"/>
                <w:i/>
                <w:iCs/>
                <w:color w:val="000000" w:themeColor="text1"/>
                <w:sz w:val="20"/>
                <w:szCs w:val="20"/>
                <w:vertAlign w:val="superscript"/>
                <w:lang w:val="en-US"/>
              </w:rPr>
              <w:t>3</w:t>
            </w:r>
            <w:r w:rsidRPr="00B5549F">
              <w:rPr>
                <w:rFonts w:ascii="Times New Roman" w:hAnsi="Times New Roman" w:cs="Times New Roman"/>
                <w:i/>
                <w:iCs/>
                <w:color w:val="000000" w:themeColor="text1"/>
                <w:sz w:val="20"/>
                <w:szCs w:val="20"/>
                <w:vertAlign w:val="subscript"/>
                <w:lang w:val="en-US"/>
              </w:rPr>
              <w:t>pt</w:t>
            </w:r>
          </w:p>
        </w:tc>
        <w:tc>
          <w:tcPr>
            <w:tcW w:w="6186" w:type="dxa"/>
            <w:tcBorders>
              <w:top w:val="dashed" w:sz="4" w:space="0" w:color="auto"/>
              <w:left w:val="nil"/>
              <w:right w:val="nil"/>
            </w:tcBorders>
            <w:noWrap/>
            <w:vAlign w:val="center"/>
          </w:tcPr>
          <w:p w14:paraId="37BC1730"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Perceived demand by prospective entrants for Airbnb accommodation calculated as the moving average of Reserved Nights in province </w:t>
            </w:r>
            <w:r w:rsidRPr="00B5549F">
              <w:rPr>
                <w:rFonts w:ascii="Times New Roman" w:hAnsi="Times New Roman" w:cs="Times New Roman"/>
                <w:i/>
                <w:iCs/>
                <w:color w:val="000000" w:themeColor="text1"/>
                <w:sz w:val="20"/>
                <w:szCs w:val="20"/>
                <w:lang w:val="en-US"/>
              </w:rPr>
              <w:t>p</w:t>
            </w:r>
            <w:r w:rsidRPr="00B5549F">
              <w:rPr>
                <w:rFonts w:ascii="Times New Roman" w:hAnsi="Times New Roman" w:cs="Times New Roman"/>
                <w:color w:val="000000" w:themeColor="text1"/>
                <w:sz w:val="20"/>
                <w:szCs w:val="20"/>
                <w:lang w:val="en-US"/>
              </w:rPr>
              <w:t xml:space="preserve"> of the period from </w:t>
            </w:r>
            <w:r w:rsidRPr="00B5549F">
              <w:rPr>
                <w:rFonts w:ascii="Times New Roman" w:hAnsi="Times New Roman" w:cs="Times New Roman"/>
                <w:i/>
                <w:iCs/>
                <w:color w:val="000000" w:themeColor="text1"/>
                <w:sz w:val="20"/>
                <w:szCs w:val="20"/>
                <w:lang w:val="en-US"/>
              </w:rPr>
              <w:t xml:space="preserve">t-3 </w:t>
            </w:r>
            <w:r w:rsidRPr="00B5549F">
              <w:rPr>
                <w:rFonts w:ascii="Times New Roman" w:hAnsi="Times New Roman" w:cs="Times New Roman"/>
                <w:color w:val="000000" w:themeColor="text1"/>
                <w:sz w:val="20"/>
                <w:szCs w:val="20"/>
                <w:lang w:val="en-US"/>
              </w:rPr>
              <w:t xml:space="preserve">to </w:t>
            </w:r>
            <w:r w:rsidRPr="00B5549F">
              <w:rPr>
                <w:rFonts w:ascii="Times New Roman" w:hAnsi="Times New Roman" w:cs="Times New Roman"/>
                <w:i/>
                <w:iCs/>
                <w:color w:val="000000" w:themeColor="text1"/>
                <w:sz w:val="20"/>
                <w:szCs w:val="20"/>
                <w:lang w:val="en-US"/>
              </w:rPr>
              <w:t xml:space="preserve">t+3. </w:t>
            </w:r>
            <w:r w:rsidRPr="00B5549F">
              <w:rPr>
                <w:rFonts w:ascii="Times New Roman" w:hAnsi="Times New Roman" w:cs="Times New Roman"/>
                <w:color w:val="000000" w:themeColor="text1"/>
                <w:sz w:val="20"/>
                <w:szCs w:val="20"/>
                <w:lang w:val="en-US"/>
              </w:rPr>
              <w:t>The variable has been log transformed.</w:t>
            </w:r>
          </w:p>
        </w:tc>
      </w:tr>
      <w:tr w:rsidR="00B5549F" w:rsidRPr="00B5549F" w14:paraId="0C34B06F" w14:textId="77777777" w:rsidTr="00E02797">
        <w:trPr>
          <w:trHeight w:val="283"/>
          <w:jc w:val="center"/>
        </w:trPr>
        <w:tc>
          <w:tcPr>
            <w:tcW w:w="1129" w:type="dxa"/>
            <w:vMerge/>
            <w:tcBorders>
              <w:left w:val="nil"/>
              <w:right w:val="nil"/>
            </w:tcBorders>
          </w:tcPr>
          <w:p w14:paraId="323A9405" w14:textId="77777777" w:rsidR="00985916" w:rsidRPr="00B5549F" w:rsidRDefault="00985916" w:rsidP="00985916">
            <w:pPr>
              <w:contextualSpacing/>
              <w:rPr>
                <w:rFonts w:ascii="Times New Roman" w:hAnsi="Times New Roman" w:cs="Times New Roman"/>
                <w:color w:val="000000" w:themeColor="text1"/>
                <w:sz w:val="20"/>
                <w:szCs w:val="20"/>
                <w:lang w:val="en-US"/>
              </w:rPr>
            </w:pPr>
          </w:p>
        </w:tc>
        <w:tc>
          <w:tcPr>
            <w:tcW w:w="2438" w:type="dxa"/>
            <w:tcBorders>
              <w:left w:val="nil"/>
              <w:right w:val="nil"/>
            </w:tcBorders>
            <w:noWrap/>
            <w:vAlign w:val="center"/>
          </w:tcPr>
          <w:p w14:paraId="0C4D539E" w14:textId="77777777" w:rsidR="00985916" w:rsidRPr="00B5549F" w:rsidRDefault="00985916" w:rsidP="00985916">
            <w:pPr>
              <w:contextualSpacing/>
              <w:rPr>
                <w:rFonts w:ascii="Times New Roman" w:hAnsi="Times New Roman" w:cs="Times New Roman"/>
                <w:i/>
                <w:iCs/>
                <w:color w:val="000000" w:themeColor="text1"/>
                <w:sz w:val="20"/>
                <w:szCs w:val="20"/>
                <w:vertAlign w:val="subscript"/>
                <w:lang w:val="en-US"/>
              </w:rPr>
            </w:pPr>
            <w:proofErr w:type="spellStart"/>
            <w:r w:rsidRPr="00B5549F">
              <w:rPr>
                <w:rFonts w:ascii="Times New Roman" w:hAnsi="Times New Roman" w:cs="Times New Roman"/>
                <w:i/>
                <w:iCs/>
                <w:color w:val="000000" w:themeColor="text1"/>
                <w:sz w:val="20"/>
                <w:szCs w:val="20"/>
                <w:lang w:val="en-US"/>
              </w:rPr>
              <w:t>UnoccupiedDwellings</w:t>
            </w:r>
            <w:r w:rsidRPr="00B5549F">
              <w:rPr>
                <w:rFonts w:ascii="Times New Roman" w:hAnsi="Times New Roman" w:cs="Times New Roman"/>
                <w:i/>
                <w:iCs/>
                <w:color w:val="000000" w:themeColor="text1"/>
                <w:sz w:val="20"/>
                <w:szCs w:val="20"/>
                <w:vertAlign w:val="subscript"/>
                <w:lang w:val="en-US"/>
              </w:rPr>
              <w:t>p</w:t>
            </w:r>
            <w:proofErr w:type="spellEnd"/>
          </w:p>
        </w:tc>
        <w:tc>
          <w:tcPr>
            <w:tcW w:w="6186" w:type="dxa"/>
            <w:tcBorders>
              <w:left w:val="nil"/>
              <w:right w:val="nil"/>
            </w:tcBorders>
            <w:noWrap/>
            <w:vAlign w:val="center"/>
          </w:tcPr>
          <w:p w14:paraId="0D8D9909"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Actual number of unoccupied dwellings in province </w:t>
            </w:r>
            <w:r w:rsidRPr="00B5549F">
              <w:rPr>
                <w:rFonts w:ascii="Times New Roman" w:hAnsi="Times New Roman" w:cs="Times New Roman"/>
                <w:i/>
                <w:iCs/>
                <w:color w:val="000000" w:themeColor="text1"/>
                <w:sz w:val="20"/>
                <w:szCs w:val="20"/>
                <w:lang w:val="en-US"/>
              </w:rPr>
              <w:t>p</w:t>
            </w:r>
            <w:r w:rsidRPr="00B5549F">
              <w:rPr>
                <w:rFonts w:ascii="Times New Roman" w:hAnsi="Times New Roman" w:cs="Times New Roman"/>
                <w:color w:val="000000" w:themeColor="text1"/>
                <w:sz w:val="20"/>
                <w:szCs w:val="20"/>
                <w:lang w:val="en-US"/>
              </w:rPr>
              <w:t xml:space="preserve"> derived from the latest ISTAT census in 2011. The variable has been log transformed.</w:t>
            </w:r>
          </w:p>
        </w:tc>
      </w:tr>
      <w:tr w:rsidR="00B5549F" w:rsidRPr="00936C0F" w14:paraId="56E518F4" w14:textId="77777777" w:rsidTr="00E02797">
        <w:trPr>
          <w:trHeight w:val="283"/>
          <w:jc w:val="center"/>
        </w:trPr>
        <w:tc>
          <w:tcPr>
            <w:tcW w:w="1129" w:type="dxa"/>
            <w:vMerge/>
            <w:tcBorders>
              <w:left w:val="nil"/>
              <w:right w:val="nil"/>
            </w:tcBorders>
          </w:tcPr>
          <w:p w14:paraId="5C6154B6" w14:textId="77777777" w:rsidR="00985916" w:rsidRPr="00B5549F" w:rsidRDefault="00985916" w:rsidP="00985916">
            <w:pPr>
              <w:contextualSpacing/>
              <w:rPr>
                <w:rFonts w:ascii="Times New Roman" w:hAnsi="Times New Roman" w:cs="Times New Roman"/>
                <w:i/>
                <w:iCs/>
                <w:color w:val="000000" w:themeColor="text1"/>
                <w:sz w:val="20"/>
                <w:szCs w:val="20"/>
                <w:lang w:val="en-US"/>
              </w:rPr>
            </w:pPr>
          </w:p>
        </w:tc>
        <w:tc>
          <w:tcPr>
            <w:tcW w:w="2438" w:type="dxa"/>
            <w:tcBorders>
              <w:left w:val="nil"/>
              <w:right w:val="nil"/>
            </w:tcBorders>
            <w:noWrap/>
            <w:vAlign w:val="center"/>
          </w:tcPr>
          <w:p w14:paraId="1CFBA169" w14:textId="77777777" w:rsidR="00985916" w:rsidRPr="00B5549F" w:rsidRDefault="00985916" w:rsidP="00985916">
            <w:pPr>
              <w:contextualSpacing/>
              <w:rPr>
                <w:rFonts w:ascii="Times New Roman" w:hAnsi="Times New Roman" w:cs="Times New Roman"/>
                <w:i/>
                <w:iCs/>
                <w:color w:val="000000" w:themeColor="text1"/>
                <w:sz w:val="20"/>
                <w:szCs w:val="20"/>
                <w:vertAlign w:val="subscript"/>
                <w:lang w:val="en-US"/>
              </w:rPr>
            </w:pPr>
            <w:proofErr w:type="spellStart"/>
            <w:r w:rsidRPr="00B5549F">
              <w:rPr>
                <w:rFonts w:ascii="Times New Roman" w:hAnsi="Times New Roman" w:cs="Times New Roman"/>
                <w:i/>
                <w:iCs/>
                <w:color w:val="000000" w:themeColor="text1"/>
                <w:sz w:val="20"/>
                <w:szCs w:val="20"/>
                <w:lang w:val="en-US"/>
              </w:rPr>
              <w:t>UnemplRate</w:t>
            </w:r>
            <w:r w:rsidRPr="00B5549F">
              <w:rPr>
                <w:rFonts w:ascii="Times New Roman" w:hAnsi="Times New Roman" w:cs="Times New Roman"/>
                <w:i/>
                <w:iCs/>
                <w:color w:val="000000" w:themeColor="text1"/>
                <w:sz w:val="20"/>
                <w:szCs w:val="20"/>
                <w:vertAlign w:val="subscript"/>
                <w:lang w:val="en-US"/>
              </w:rPr>
              <w:t>pt</w:t>
            </w:r>
            <w:proofErr w:type="spellEnd"/>
          </w:p>
        </w:tc>
        <w:tc>
          <w:tcPr>
            <w:tcW w:w="6186" w:type="dxa"/>
            <w:tcBorders>
              <w:left w:val="nil"/>
              <w:right w:val="nil"/>
            </w:tcBorders>
            <w:noWrap/>
            <w:vAlign w:val="center"/>
          </w:tcPr>
          <w:p w14:paraId="7C6C0412"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Unemployment rate in province </w:t>
            </w:r>
            <w:proofErr w:type="spellStart"/>
            <w:r w:rsidRPr="00B5549F">
              <w:rPr>
                <w:rFonts w:ascii="Times New Roman" w:hAnsi="Times New Roman" w:cs="Times New Roman"/>
                <w:i/>
                <w:iCs/>
                <w:color w:val="000000" w:themeColor="text1"/>
                <w:sz w:val="20"/>
                <w:szCs w:val="20"/>
                <w:lang w:val="en-US"/>
              </w:rPr>
              <w:t xml:space="preserve">p </w:t>
            </w:r>
            <w:r w:rsidRPr="00B5549F">
              <w:rPr>
                <w:rFonts w:ascii="Times New Roman" w:hAnsi="Times New Roman" w:cs="Times New Roman"/>
                <w:color w:val="000000" w:themeColor="text1"/>
                <w:sz w:val="20"/>
                <w:szCs w:val="20"/>
                <w:lang w:val="en-US"/>
              </w:rPr>
              <w:t>at</w:t>
            </w:r>
            <w:proofErr w:type="spellEnd"/>
            <w:r w:rsidRPr="00B5549F">
              <w:rPr>
                <w:rFonts w:ascii="Times New Roman" w:hAnsi="Times New Roman" w:cs="Times New Roman"/>
                <w:color w:val="000000" w:themeColor="text1"/>
                <w:sz w:val="20"/>
                <w:szCs w:val="20"/>
                <w:lang w:val="en-US"/>
              </w:rPr>
              <w:t xml:space="preserve"> time </w:t>
            </w:r>
            <w:r w:rsidRPr="00B5549F">
              <w:rPr>
                <w:rFonts w:ascii="Times New Roman" w:hAnsi="Times New Roman" w:cs="Times New Roman"/>
                <w:i/>
                <w:iCs/>
                <w:color w:val="000000" w:themeColor="text1"/>
                <w:sz w:val="20"/>
                <w:szCs w:val="20"/>
                <w:lang w:val="en-US"/>
              </w:rPr>
              <w:t>t</w:t>
            </w:r>
            <w:r w:rsidRPr="00B5549F">
              <w:rPr>
                <w:rFonts w:ascii="Times New Roman" w:hAnsi="Times New Roman" w:cs="Times New Roman"/>
                <w:color w:val="000000" w:themeColor="text1"/>
                <w:sz w:val="20"/>
                <w:szCs w:val="20"/>
                <w:lang w:val="en-US"/>
              </w:rPr>
              <w:t xml:space="preserve"> derived from ISTAT database.</w:t>
            </w:r>
          </w:p>
        </w:tc>
      </w:tr>
      <w:tr w:rsidR="00B5549F" w:rsidRPr="00936C0F" w14:paraId="0A70E620" w14:textId="77777777" w:rsidTr="00E02797">
        <w:trPr>
          <w:trHeight w:val="283"/>
          <w:jc w:val="center"/>
        </w:trPr>
        <w:tc>
          <w:tcPr>
            <w:tcW w:w="1129" w:type="dxa"/>
            <w:vMerge/>
            <w:tcBorders>
              <w:left w:val="nil"/>
              <w:right w:val="nil"/>
            </w:tcBorders>
          </w:tcPr>
          <w:p w14:paraId="2DFB3091" w14:textId="77777777" w:rsidR="00985916" w:rsidRPr="00B5549F" w:rsidRDefault="00985916" w:rsidP="00985916">
            <w:pPr>
              <w:contextualSpacing/>
              <w:rPr>
                <w:rFonts w:ascii="Times New Roman" w:hAnsi="Times New Roman" w:cs="Times New Roman"/>
                <w:i/>
                <w:color w:val="000000" w:themeColor="text1"/>
                <w:sz w:val="20"/>
                <w:szCs w:val="20"/>
                <w:lang w:val="en-US"/>
              </w:rPr>
            </w:pPr>
          </w:p>
        </w:tc>
        <w:tc>
          <w:tcPr>
            <w:tcW w:w="2438" w:type="dxa"/>
            <w:tcBorders>
              <w:top w:val="nil"/>
              <w:left w:val="nil"/>
              <w:right w:val="nil"/>
            </w:tcBorders>
            <w:noWrap/>
            <w:vAlign w:val="center"/>
            <w:hideMark/>
          </w:tcPr>
          <w:p w14:paraId="1883020B" w14:textId="17831E10" w:rsidR="00985916" w:rsidRPr="00B5549F" w:rsidRDefault="00985916" w:rsidP="00985916">
            <w:pPr>
              <w:contextualSpacing/>
              <w:rPr>
                <w:rFonts w:ascii="Times New Roman" w:hAnsi="Times New Roman" w:cs="Times New Roman"/>
                <w:i/>
                <w:iCs/>
                <w:color w:val="000000" w:themeColor="text1"/>
                <w:sz w:val="20"/>
                <w:szCs w:val="20"/>
                <w:vertAlign w:val="subscript"/>
                <w:lang w:val="en-US"/>
              </w:rPr>
            </w:pPr>
            <w:proofErr w:type="spellStart"/>
            <w:r w:rsidRPr="00B5549F">
              <w:rPr>
                <w:rFonts w:ascii="Times New Roman" w:hAnsi="Times New Roman" w:cs="Times New Roman"/>
                <w:i/>
                <w:iCs/>
                <w:color w:val="000000" w:themeColor="text1"/>
                <w:sz w:val="20"/>
                <w:szCs w:val="20"/>
                <w:lang w:val="en-US"/>
              </w:rPr>
              <w:t>High</w:t>
            </w:r>
            <w:r w:rsidR="00761CB1" w:rsidRPr="00B5549F">
              <w:rPr>
                <w:rFonts w:ascii="Times New Roman" w:hAnsi="Times New Roman" w:cs="Times New Roman"/>
                <w:i/>
                <w:iCs/>
                <w:color w:val="000000" w:themeColor="text1"/>
                <w:sz w:val="20"/>
                <w:szCs w:val="20"/>
                <w:lang w:val="en-US"/>
              </w:rPr>
              <w:t>End</w:t>
            </w:r>
            <w:r w:rsidRPr="00B5549F">
              <w:rPr>
                <w:rFonts w:ascii="Times New Roman" w:hAnsi="Times New Roman" w:cs="Times New Roman"/>
                <w:i/>
                <w:iCs/>
                <w:color w:val="000000" w:themeColor="text1"/>
                <w:sz w:val="20"/>
                <w:szCs w:val="20"/>
                <w:lang w:val="en-US"/>
              </w:rPr>
              <w:t>Specialized</w:t>
            </w:r>
            <w:r w:rsidRPr="00B5549F">
              <w:rPr>
                <w:rFonts w:ascii="Times New Roman" w:hAnsi="Times New Roman" w:cs="Times New Roman"/>
                <w:i/>
                <w:iCs/>
                <w:color w:val="000000" w:themeColor="text1"/>
                <w:sz w:val="20"/>
                <w:szCs w:val="20"/>
                <w:vertAlign w:val="subscript"/>
                <w:lang w:val="en-US"/>
              </w:rPr>
              <w:t>p</w:t>
            </w:r>
            <w:proofErr w:type="spellEnd"/>
          </w:p>
        </w:tc>
        <w:tc>
          <w:tcPr>
            <w:tcW w:w="6186" w:type="dxa"/>
            <w:tcBorders>
              <w:top w:val="nil"/>
              <w:left w:val="nil"/>
              <w:right w:val="nil"/>
            </w:tcBorders>
            <w:noWrap/>
            <w:vAlign w:val="center"/>
            <w:hideMark/>
          </w:tcPr>
          <w:p w14:paraId="74F231E4"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Dummy variable equal to one if the proportion of four, five, and five luxury star hotels is higher than the sample median. </w:t>
            </w:r>
          </w:p>
        </w:tc>
      </w:tr>
      <w:tr w:rsidR="00B5549F" w:rsidRPr="00936C0F" w14:paraId="2F30F40A" w14:textId="77777777" w:rsidTr="00E02797">
        <w:trPr>
          <w:trHeight w:val="283"/>
          <w:jc w:val="center"/>
        </w:trPr>
        <w:tc>
          <w:tcPr>
            <w:tcW w:w="1129" w:type="dxa"/>
            <w:vMerge/>
            <w:tcBorders>
              <w:left w:val="nil"/>
              <w:right w:val="nil"/>
            </w:tcBorders>
          </w:tcPr>
          <w:p w14:paraId="28391B7D" w14:textId="77777777" w:rsidR="00985916" w:rsidRPr="00B5549F" w:rsidRDefault="00985916" w:rsidP="00985916">
            <w:pPr>
              <w:contextualSpacing/>
              <w:rPr>
                <w:rFonts w:ascii="Times New Roman" w:hAnsi="Times New Roman" w:cs="Times New Roman"/>
                <w:i/>
                <w:color w:val="000000" w:themeColor="text1"/>
                <w:sz w:val="20"/>
                <w:szCs w:val="20"/>
                <w:lang w:val="en-US"/>
              </w:rPr>
            </w:pPr>
          </w:p>
        </w:tc>
        <w:tc>
          <w:tcPr>
            <w:tcW w:w="2438" w:type="dxa"/>
            <w:tcBorders>
              <w:top w:val="nil"/>
              <w:left w:val="nil"/>
              <w:right w:val="nil"/>
            </w:tcBorders>
            <w:noWrap/>
            <w:vAlign w:val="center"/>
          </w:tcPr>
          <w:p w14:paraId="31E0574A" w14:textId="77777777" w:rsidR="00985916" w:rsidRPr="00B5549F" w:rsidRDefault="00985916" w:rsidP="00985916">
            <w:pPr>
              <w:contextualSpacing/>
              <w:rPr>
                <w:rFonts w:ascii="Times New Roman" w:hAnsi="Times New Roman" w:cs="Times New Roman"/>
                <w:i/>
                <w:iCs/>
                <w:color w:val="000000" w:themeColor="text1"/>
                <w:sz w:val="20"/>
                <w:szCs w:val="20"/>
                <w:vertAlign w:val="subscript"/>
                <w:lang w:val="en-US"/>
              </w:rPr>
            </w:pPr>
            <w:r w:rsidRPr="00B5549F">
              <w:rPr>
                <w:rFonts w:ascii="Times New Roman" w:hAnsi="Times New Roman" w:cs="Times New Roman"/>
                <w:i/>
                <w:iCs/>
                <w:color w:val="000000" w:themeColor="text1"/>
                <w:sz w:val="20"/>
                <w:szCs w:val="20"/>
                <w:lang w:val="en-US"/>
              </w:rPr>
              <w:t>ConcentrationProp</w:t>
            </w:r>
            <w:r w:rsidRPr="00B5549F">
              <w:rPr>
                <w:rFonts w:ascii="Times New Roman" w:hAnsi="Times New Roman" w:cs="Times New Roman"/>
                <w:i/>
                <w:iCs/>
                <w:color w:val="000000" w:themeColor="text1"/>
                <w:sz w:val="20"/>
                <w:szCs w:val="20"/>
                <w:vertAlign w:val="subscript"/>
                <w:lang w:val="en-US"/>
              </w:rPr>
              <w:t>pt-1</w:t>
            </w:r>
          </w:p>
        </w:tc>
        <w:tc>
          <w:tcPr>
            <w:tcW w:w="6186" w:type="dxa"/>
            <w:tcBorders>
              <w:top w:val="nil"/>
              <w:left w:val="nil"/>
              <w:right w:val="nil"/>
            </w:tcBorders>
            <w:noWrap/>
            <w:vAlign w:val="center"/>
          </w:tcPr>
          <w:p w14:paraId="0681734D"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Number of active Airbnb properties (considering all kind of hosts) in province </w:t>
            </w:r>
            <w:proofErr w:type="spellStart"/>
            <w:r w:rsidRPr="00B5549F">
              <w:rPr>
                <w:rFonts w:ascii="Times New Roman" w:hAnsi="Times New Roman" w:cs="Times New Roman"/>
                <w:i/>
                <w:iCs/>
                <w:color w:val="000000" w:themeColor="text1"/>
                <w:sz w:val="20"/>
                <w:szCs w:val="20"/>
                <w:lang w:val="en-US"/>
              </w:rPr>
              <w:t>p</w:t>
            </w:r>
            <w:r w:rsidRPr="00B5549F">
              <w:rPr>
                <w:rFonts w:ascii="Times New Roman" w:hAnsi="Times New Roman" w:cs="Times New Roman"/>
                <w:color w:val="000000" w:themeColor="text1"/>
                <w:sz w:val="20"/>
                <w:szCs w:val="20"/>
                <w:lang w:val="en-US"/>
              </w:rPr>
              <w:t xml:space="preserve"> at</w:t>
            </w:r>
            <w:proofErr w:type="spellEnd"/>
            <w:r w:rsidRPr="00B5549F">
              <w:rPr>
                <w:rFonts w:ascii="Times New Roman" w:hAnsi="Times New Roman" w:cs="Times New Roman"/>
                <w:color w:val="000000" w:themeColor="text1"/>
                <w:sz w:val="20"/>
                <w:szCs w:val="20"/>
                <w:lang w:val="en-US"/>
              </w:rPr>
              <w:t xml:space="preserve"> time </w:t>
            </w:r>
            <w:r w:rsidRPr="00B5549F">
              <w:rPr>
                <w:rFonts w:ascii="Times New Roman" w:hAnsi="Times New Roman" w:cs="Times New Roman"/>
                <w:i/>
                <w:iCs/>
                <w:color w:val="000000" w:themeColor="text1"/>
                <w:sz w:val="20"/>
                <w:szCs w:val="20"/>
                <w:lang w:val="en-US"/>
              </w:rPr>
              <w:t>t-1</w:t>
            </w:r>
            <w:r w:rsidRPr="00B5549F">
              <w:rPr>
                <w:rFonts w:ascii="Times New Roman" w:hAnsi="Times New Roman" w:cs="Times New Roman"/>
                <w:color w:val="000000" w:themeColor="text1"/>
                <w:sz w:val="20"/>
                <w:szCs w:val="20"/>
                <w:lang w:val="en-US"/>
              </w:rPr>
              <w:t xml:space="preserve"> per surface unit.</w:t>
            </w:r>
          </w:p>
        </w:tc>
      </w:tr>
      <w:tr w:rsidR="00B5549F" w:rsidRPr="00B5549F" w14:paraId="446AF7C6" w14:textId="77777777" w:rsidTr="00E02797">
        <w:trPr>
          <w:trHeight w:val="283"/>
          <w:jc w:val="center"/>
        </w:trPr>
        <w:tc>
          <w:tcPr>
            <w:tcW w:w="1129" w:type="dxa"/>
            <w:vMerge/>
            <w:tcBorders>
              <w:left w:val="nil"/>
              <w:right w:val="nil"/>
            </w:tcBorders>
          </w:tcPr>
          <w:p w14:paraId="040EFDC7" w14:textId="77777777" w:rsidR="00985916" w:rsidRPr="00B5549F" w:rsidRDefault="00985916" w:rsidP="00985916">
            <w:pPr>
              <w:contextualSpacing/>
              <w:rPr>
                <w:rFonts w:ascii="Times New Roman" w:hAnsi="Times New Roman" w:cs="Times New Roman"/>
                <w:i/>
                <w:iCs/>
                <w:color w:val="000000" w:themeColor="text1"/>
                <w:sz w:val="20"/>
                <w:szCs w:val="20"/>
                <w:lang w:val="en-US"/>
              </w:rPr>
            </w:pPr>
          </w:p>
        </w:tc>
        <w:tc>
          <w:tcPr>
            <w:tcW w:w="2438" w:type="dxa"/>
            <w:tcBorders>
              <w:left w:val="nil"/>
              <w:bottom w:val="nil"/>
              <w:right w:val="nil"/>
            </w:tcBorders>
            <w:noWrap/>
            <w:vAlign w:val="center"/>
            <w:hideMark/>
          </w:tcPr>
          <w:p w14:paraId="4E2A5C1C" w14:textId="77777777" w:rsidR="00985916" w:rsidRPr="00B5549F" w:rsidRDefault="00985916" w:rsidP="00985916">
            <w:pPr>
              <w:contextualSpacing/>
              <w:rPr>
                <w:rFonts w:ascii="Times New Roman" w:hAnsi="Times New Roman" w:cs="Times New Roman"/>
                <w:color w:val="000000" w:themeColor="text1"/>
                <w:sz w:val="20"/>
                <w:szCs w:val="20"/>
                <w:lang w:val="en-US"/>
              </w:rPr>
            </w:pPr>
            <w:proofErr w:type="spellStart"/>
            <w:r w:rsidRPr="00B5549F">
              <w:rPr>
                <w:rFonts w:ascii="Times New Roman" w:hAnsi="Times New Roman" w:cs="Times New Roman"/>
                <w:i/>
                <w:iCs/>
                <w:color w:val="000000" w:themeColor="text1"/>
                <w:sz w:val="20"/>
                <w:szCs w:val="20"/>
                <w:lang w:val="en-US"/>
              </w:rPr>
              <w:t>AVGRent</w:t>
            </w:r>
            <w:r w:rsidRPr="00B5549F">
              <w:rPr>
                <w:rFonts w:ascii="Times New Roman" w:hAnsi="Times New Roman" w:cs="Times New Roman"/>
                <w:i/>
                <w:iCs/>
                <w:color w:val="000000" w:themeColor="text1"/>
                <w:sz w:val="20"/>
                <w:szCs w:val="20"/>
                <w:vertAlign w:val="subscript"/>
                <w:lang w:val="en-US"/>
              </w:rPr>
              <w:t>pt</w:t>
            </w:r>
            <w:proofErr w:type="spellEnd"/>
            <w:r w:rsidRPr="00B5549F">
              <w:rPr>
                <w:rFonts w:ascii="Times New Roman" w:hAnsi="Times New Roman" w:cs="Times New Roman"/>
                <w:color w:val="000000" w:themeColor="text1"/>
                <w:sz w:val="20"/>
                <w:szCs w:val="20"/>
                <w:lang w:val="en-US"/>
              </w:rPr>
              <w:t xml:space="preserve"> [€/</w:t>
            </w:r>
            <w:proofErr w:type="spellStart"/>
            <w:r w:rsidRPr="00B5549F">
              <w:rPr>
                <w:rFonts w:ascii="Times New Roman" w:hAnsi="Times New Roman" w:cs="Times New Roman"/>
                <w:color w:val="000000" w:themeColor="text1"/>
                <w:sz w:val="20"/>
                <w:szCs w:val="20"/>
                <w:lang w:val="en-US"/>
              </w:rPr>
              <w:t>sqM</w:t>
            </w:r>
            <w:proofErr w:type="spellEnd"/>
            <w:r w:rsidRPr="00B5549F">
              <w:rPr>
                <w:rFonts w:ascii="Times New Roman" w:hAnsi="Times New Roman" w:cs="Times New Roman"/>
                <w:color w:val="000000" w:themeColor="text1"/>
                <w:sz w:val="20"/>
                <w:szCs w:val="20"/>
                <w:lang w:val="en-US"/>
              </w:rPr>
              <w:t xml:space="preserve"> Month]</w:t>
            </w:r>
          </w:p>
        </w:tc>
        <w:tc>
          <w:tcPr>
            <w:tcW w:w="6186" w:type="dxa"/>
            <w:tcBorders>
              <w:left w:val="nil"/>
              <w:bottom w:val="nil"/>
              <w:right w:val="nil"/>
            </w:tcBorders>
            <w:noWrap/>
            <w:vAlign w:val="center"/>
            <w:hideMark/>
          </w:tcPr>
          <w:p w14:paraId="4A1C8D71"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Average monthly rent in province </w:t>
            </w:r>
            <w:proofErr w:type="spellStart"/>
            <w:r w:rsidRPr="00B5549F">
              <w:rPr>
                <w:rFonts w:ascii="Times New Roman" w:hAnsi="Times New Roman" w:cs="Times New Roman"/>
                <w:i/>
                <w:iCs/>
                <w:color w:val="000000" w:themeColor="text1"/>
                <w:sz w:val="20"/>
                <w:szCs w:val="20"/>
                <w:lang w:val="en-US"/>
              </w:rPr>
              <w:t>p</w:t>
            </w:r>
            <w:r w:rsidRPr="00B5549F">
              <w:rPr>
                <w:rFonts w:ascii="Times New Roman" w:hAnsi="Times New Roman" w:cs="Times New Roman"/>
                <w:color w:val="000000" w:themeColor="text1"/>
                <w:sz w:val="20"/>
                <w:szCs w:val="20"/>
                <w:lang w:val="en-US"/>
              </w:rPr>
              <w:t xml:space="preserve"> at</w:t>
            </w:r>
            <w:proofErr w:type="spellEnd"/>
            <w:r w:rsidRPr="00B5549F">
              <w:rPr>
                <w:rFonts w:ascii="Times New Roman" w:hAnsi="Times New Roman" w:cs="Times New Roman"/>
                <w:color w:val="000000" w:themeColor="text1"/>
                <w:sz w:val="20"/>
                <w:szCs w:val="20"/>
                <w:lang w:val="en-US"/>
              </w:rPr>
              <w:t xml:space="preserve"> time t for Airbnb-type houses and residential units derived from the </w:t>
            </w:r>
            <w:proofErr w:type="spellStart"/>
            <w:r w:rsidRPr="00B5549F">
              <w:rPr>
                <w:rFonts w:ascii="Times New Roman" w:hAnsi="Times New Roman" w:cs="Times New Roman"/>
                <w:i/>
                <w:iCs/>
                <w:color w:val="000000" w:themeColor="text1"/>
                <w:sz w:val="20"/>
                <w:szCs w:val="20"/>
                <w:lang w:val="en-US"/>
              </w:rPr>
              <w:t>Osservatorio</w:t>
            </w:r>
            <w:proofErr w:type="spellEnd"/>
            <w:r w:rsidRPr="00B5549F">
              <w:rPr>
                <w:rFonts w:ascii="Times New Roman" w:hAnsi="Times New Roman" w:cs="Times New Roman"/>
                <w:i/>
                <w:iCs/>
                <w:color w:val="000000" w:themeColor="text1"/>
                <w:sz w:val="20"/>
                <w:szCs w:val="20"/>
                <w:lang w:val="en-US"/>
              </w:rPr>
              <w:t xml:space="preserve"> del Mercato </w:t>
            </w:r>
            <w:proofErr w:type="spellStart"/>
            <w:r w:rsidRPr="00B5549F">
              <w:rPr>
                <w:rFonts w:ascii="Times New Roman" w:hAnsi="Times New Roman" w:cs="Times New Roman"/>
                <w:i/>
                <w:iCs/>
                <w:color w:val="000000" w:themeColor="text1"/>
                <w:sz w:val="20"/>
                <w:szCs w:val="20"/>
                <w:lang w:val="en-US"/>
              </w:rPr>
              <w:t>Immobiliare</w:t>
            </w:r>
            <w:proofErr w:type="spellEnd"/>
            <w:r w:rsidRPr="00B5549F">
              <w:rPr>
                <w:rFonts w:ascii="Times New Roman" w:hAnsi="Times New Roman" w:cs="Times New Roman"/>
                <w:i/>
                <w:iCs/>
                <w:color w:val="000000" w:themeColor="text1"/>
                <w:sz w:val="20"/>
                <w:szCs w:val="20"/>
                <w:lang w:val="en-US"/>
              </w:rPr>
              <w:t xml:space="preserve"> </w:t>
            </w:r>
            <w:r w:rsidRPr="00B5549F">
              <w:rPr>
                <w:rFonts w:ascii="Times New Roman" w:hAnsi="Times New Roman" w:cs="Times New Roman"/>
                <w:color w:val="000000" w:themeColor="text1"/>
                <w:sz w:val="20"/>
                <w:szCs w:val="20"/>
                <w:lang w:val="en-US"/>
              </w:rPr>
              <w:t>(OMI). The variable has been log transformed.</w:t>
            </w:r>
          </w:p>
        </w:tc>
      </w:tr>
      <w:tr w:rsidR="00B5549F" w:rsidRPr="00936C0F" w14:paraId="19220307" w14:textId="77777777" w:rsidTr="00E02797">
        <w:trPr>
          <w:trHeight w:val="283"/>
          <w:jc w:val="center"/>
        </w:trPr>
        <w:tc>
          <w:tcPr>
            <w:tcW w:w="1129" w:type="dxa"/>
            <w:vMerge/>
            <w:tcBorders>
              <w:left w:val="nil"/>
              <w:right w:val="nil"/>
            </w:tcBorders>
          </w:tcPr>
          <w:p w14:paraId="56B04AF5" w14:textId="77777777" w:rsidR="00985916" w:rsidRPr="00B5549F" w:rsidRDefault="00985916" w:rsidP="00985916">
            <w:pPr>
              <w:contextualSpacing/>
              <w:rPr>
                <w:rFonts w:ascii="Times New Roman" w:hAnsi="Times New Roman" w:cs="Times New Roman"/>
                <w:i/>
                <w:color w:val="000000" w:themeColor="text1"/>
                <w:sz w:val="20"/>
                <w:szCs w:val="20"/>
                <w:lang w:val="en-US"/>
              </w:rPr>
            </w:pPr>
          </w:p>
        </w:tc>
        <w:tc>
          <w:tcPr>
            <w:tcW w:w="2438" w:type="dxa"/>
            <w:tcBorders>
              <w:top w:val="nil"/>
              <w:left w:val="nil"/>
              <w:bottom w:val="nil"/>
              <w:right w:val="nil"/>
            </w:tcBorders>
            <w:noWrap/>
            <w:vAlign w:val="center"/>
          </w:tcPr>
          <w:p w14:paraId="443885A6" w14:textId="77777777" w:rsidR="00985916" w:rsidRPr="00B5549F" w:rsidRDefault="00985916" w:rsidP="00985916">
            <w:pPr>
              <w:contextualSpacing/>
              <w:rPr>
                <w:rFonts w:ascii="Times New Roman" w:hAnsi="Times New Roman" w:cs="Times New Roman"/>
                <w:i/>
                <w:iCs/>
                <w:color w:val="000000" w:themeColor="text1"/>
                <w:sz w:val="20"/>
                <w:szCs w:val="20"/>
                <w:vertAlign w:val="subscript"/>
                <w:lang w:val="en-US"/>
              </w:rPr>
            </w:pPr>
            <w:proofErr w:type="spellStart"/>
            <w:r w:rsidRPr="00B5549F">
              <w:rPr>
                <w:rFonts w:ascii="Times New Roman" w:hAnsi="Times New Roman" w:cs="Times New Roman"/>
                <w:i/>
                <w:iCs/>
                <w:color w:val="000000" w:themeColor="text1"/>
                <w:sz w:val="20"/>
                <w:szCs w:val="20"/>
                <w:lang w:val="en-US"/>
              </w:rPr>
              <w:t>Altitude</w:t>
            </w:r>
            <w:r w:rsidRPr="00B5549F">
              <w:rPr>
                <w:rFonts w:ascii="Times New Roman" w:hAnsi="Times New Roman" w:cs="Times New Roman"/>
                <w:i/>
                <w:iCs/>
                <w:color w:val="000000" w:themeColor="text1"/>
                <w:sz w:val="20"/>
                <w:szCs w:val="20"/>
                <w:vertAlign w:val="subscript"/>
                <w:lang w:val="en-US"/>
              </w:rPr>
              <w:t>p</w:t>
            </w:r>
            <w:proofErr w:type="spellEnd"/>
          </w:p>
        </w:tc>
        <w:tc>
          <w:tcPr>
            <w:tcW w:w="6186" w:type="dxa"/>
            <w:tcBorders>
              <w:top w:val="nil"/>
              <w:left w:val="nil"/>
              <w:bottom w:val="nil"/>
              <w:right w:val="nil"/>
            </w:tcBorders>
            <w:noWrap/>
            <w:vAlign w:val="center"/>
          </w:tcPr>
          <w:p w14:paraId="476C19AE"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Average weighted altitude of province </w:t>
            </w:r>
            <w:r w:rsidRPr="00B5549F">
              <w:rPr>
                <w:rFonts w:ascii="Times New Roman" w:hAnsi="Times New Roman" w:cs="Times New Roman"/>
                <w:i/>
                <w:iCs/>
                <w:color w:val="000000" w:themeColor="text1"/>
                <w:sz w:val="20"/>
                <w:szCs w:val="20"/>
                <w:lang w:val="en-US"/>
              </w:rPr>
              <w:t xml:space="preserve">p </w:t>
            </w:r>
            <w:r w:rsidRPr="00B5549F">
              <w:rPr>
                <w:rFonts w:ascii="Times New Roman" w:hAnsi="Times New Roman" w:cs="Times New Roman"/>
                <w:color w:val="000000" w:themeColor="text1"/>
                <w:sz w:val="20"/>
                <w:szCs w:val="20"/>
                <w:lang w:val="en-US"/>
              </w:rPr>
              <w:t xml:space="preserve">derived from ISTAT. The variable has been log transformed. </w:t>
            </w:r>
          </w:p>
        </w:tc>
      </w:tr>
      <w:tr w:rsidR="00B5549F" w:rsidRPr="00936C0F" w14:paraId="2A36261C" w14:textId="77777777" w:rsidTr="00E02797">
        <w:trPr>
          <w:trHeight w:val="283"/>
          <w:jc w:val="center"/>
        </w:trPr>
        <w:tc>
          <w:tcPr>
            <w:tcW w:w="1129" w:type="dxa"/>
            <w:vMerge/>
            <w:tcBorders>
              <w:left w:val="nil"/>
              <w:right w:val="nil"/>
            </w:tcBorders>
          </w:tcPr>
          <w:p w14:paraId="48DADCB7" w14:textId="77777777" w:rsidR="00985916" w:rsidRPr="00B5549F" w:rsidRDefault="00985916" w:rsidP="00985916">
            <w:pPr>
              <w:contextualSpacing/>
              <w:rPr>
                <w:rFonts w:ascii="Times New Roman" w:hAnsi="Times New Roman" w:cs="Times New Roman"/>
                <w:i/>
                <w:color w:val="000000" w:themeColor="text1"/>
                <w:sz w:val="20"/>
                <w:szCs w:val="20"/>
                <w:lang w:val="en-US"/>
              </w:rPr>
            </w:pPr>
          </w:p>
        </w:tc>
        <w:tc>
          <w:tcPr>
            <w:tcW w:w="2438" w:type="dxa"/>
            <w:tcBorders>
              <w:top w:val="nil"/>
              <w:left w:val="nil"/>
              <w:right w:val="nil"/>
            </w:tcBorders>
            <w:noWrap/>
            <w:vAlign w:val="center"/>
            <w:hideMark/>
          </w:tcPr>
          <w:p w14:paraId="0F5222AA" w14:textId="77777777" w:rsidR="00985916" w:rsidRPr="00B5549F" w:rsidRDefault="00985916" w:rsidP="00985916">
            <w:pPr>
              <w:contextualSpacing/>
              <w:rPr>
                <w:rFonts w:ascii="Times New Roman" w:hAnsi="Times New Roman" w:cs="Times New Roman"/>
                <w:i/>
                <w:iCs/>
                <w:color w:val="000000" w:themeColor="text1"/>
                <w:sz w:val="20"/>
                <w:szCs w:val="20"/>
                <w:vertAlign w:val="subscript"/>
                <w:lang w:val="en-US"/>
              </w:rPr>
            </w:pPr>
            <w:proofErr w:type="spellStart"/>
            <w:r w:rsidRPr="00B5549F">
              <w:rPr>
                <w:rFonts w:ascii="Times New Roman" w:hAnsi="Times New Roman" w:cs="Times New Roman"/>
                <w:i/>
                <w:iCs/>
                <w:color w:val="000000" w:themeColor="text1"/>
                <w:sz w:val="20"/>
                <w:szCs w:val="20"/>
                <w:lang w:val="en-US"/>
              </w:rPr>
              <w:t>PercSeasideMunicipalities</w:t>
            </w:r>
            <w:r w:rsidRPr="00B5549F">
              <w:rPr>
                <w:rFonts w:ascii="Times New Roman" w:hAnsi="Times New Roman" w:cs="Times New Roman"/>
                <w:i/>
                <w:iCs/>
                <w:color w:val="000000" w:themeColor="text1"/>
                <w:sz w:val="20"/>
                <w:szCs w:val="20"/>
                <w:vertAlign w:val="subscript"/>
                <w:lang w:val="en-US"/>
              </w:rPr>
              <w:t>p</w:t>
            </w:r>
            <w:proofErr w:type="spellEnd"/>
          </w:p>
        </w:tc>
        <w:tc>
          <w:tcPr>
            <w:tcW w:w="6186" w:type="dxa"/>
            <w:tcBorders>
              <w:top w:val="nil"/>
              <w:left w:val="nil"/>
              <w:right w:val="nil"/>
            </w:tcBorders>
            <w:noWrap/>
            <w:vAlign w:val="center"/>
            <w:hideMark/>
          </w:tcPr>
          <w:p w14:paraId="5D08807D"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Proportion of seaside municipalities in province </w:t>
            </w:r>
            <w:r w:rsidRPr="00B5549F">
              <w:rPr>
                <w:rFonts w:ascii="Times New Roman" w:hAnsi="Times New Roman" w:cs="Times New Roman"/>
                <w:i/>
                <w:iCs/>
                <w:color w:val="000000" w:themeColor="text1"/>
                <w:sz w:val="20"/>
                <w:szCs w:val="20"/>
                <w:lang w:val="en-US"/>
              </w:rPr>
              <w:t>p</w:t>
            </w:r>
            <w:r w:rsidRPr="00B5549F">
              <w:rPr>
                <w:rFonts w:ascii="Times New Roman" w:hAnsi="Times New Roman" w:cs="Times New Roman"/>
                <w:color w:val="000000" w:themeColor="text1"/>
                <w:sz w:val="20"/>
                <w:szCs w:val="20"/>
                <w:lang w:val="en-US"/>
              </w:rPr>
              <w:t xml:space="preserve"> derived from ISTAT</w:t>
            </w:r>
          </w:p>
        </w:tc>
      </w:tr>
      <w:tr w:rsidR="00B5549F" w:rsidRPr="00936C0F" w14:paraId="746B71C9" w14:textId="77777777" w:rsidTr="00E02797">
        <w:trPr>
          <w:trHeight w:val="283"/>
          <w:jc w:val="center"/>
        </w:trPr>
        <w:tc>
          <w:tcPr>
            <w:tcW w:w="1129" w:type="dxa"/>
            <w:vMerge/>
            <w:tcBorders>
              <w:left w:val="nil"/>
              <w:bottom w:val="single" w:sz="4" w:space="0" w:color="auto"/>
              <w:right w:val="nil"/>
            </w:tcBorders>
          </w:tcPr>
          <w:p w14:paraId="7A60CCD2" w14:textId="77777777" w:rsidR="00985916" w:rsidRPr="00B5549F" w:rsidRDefault="00985916" w:rsidP="00985916">
            <w:pPr>
              <w:contextualSpacing/>
              <w:rPr>
                <w:rFonts w:ascii="Times New Roman" w:hAnsi="Times New Roman" w:cs="Times New Roman"/>
                <w:i/>
                <w:color w:val="000000" w:themeColor="text1"/>
                <w:sz w:val="20"/>
                <w:szCs w:val="20"/>
                <w:lang w:val="en-US"/>
              </w:rPr>
            </w:pPr>
          </w:p>
        </w:tc>
        <w:tc>
          <w:tcPr>
            <w:tcW w:w="2438" w:type="dxa"/>
            <w:tcBorders>
              <w:top w:val="nil"/>
              <w:left w:val="nil"/>
              <w:bottom w:val="single" w:sz="4" w:space="0" w:color="auto"/>
              <w:right w:val="nil"/>
            </w:tcBorders>
            <w:noWrap/>
            <w:vAlign w:val="center"/>
            <w:hideMark/>
          </w:tcPr>
          <w:p w14:paraId="6E9E8D85" w14:textId="77777777" w:rsidR="00985916" w:rsidRPr="00B5549F" w:rsidRDefault="00985916" w:rsidP="00985916">
            <w:pPr>
              <w:contextualSpacing/>
              <w:rPr>
                <w:rFonts w:ascii="Times New Roman" w:hAnsi="Times New Roman" w:cs="Times New Roman"/>
                <w:i/>
                <w:iCs/>
                <w:color w:val="000000" w:themeColor="text1"/>
                <w:sz w:val="20"/>
                <w:szCs w:val="20"/>
                <w:vertAlign w:val="subscript"/>
                <w:lang w:val="en-US"/>
              </w:rPr>
            </w:pPr>
            <w:proofErr w:type="spellStart"/>
            <w:r w:rsidRPr="00B5549F">
              <w:rPr>
                <w:rFonts w:ascii="Times New Roman" w:hAnsi="Times New Roman" w:cs="Times New Roman"/>
                <w:i/>
                <w:iCs/>
                <w:color w:val="000000" w:themeColor="text1"/>
                <w:sz w:val="20"/>
                <w:szCs w:val="20"/>
                <w:lang w:val="en-US"/>
              </w:rPr>
              <w:t>BedHotels</w:t>
            </w:r>
            <w:r w:rsidRPr="00B5549F">
              <w:rPr>
                <w:rFonts w:ascii="Times New Roman" w:hAnsi="Times New Roman" w:cs="Times New Roman"/>
                <w:i/>
                <w:iCs/>
                <w:color w:val="000000" w:themeColor="text1"/>
                <w:sz w:val="20"/>
                <w:szCs w:val="20"/>
                <w:vertAlign w:val="subscript"/>
                <w:lang w:val="en-US"/>
              </w:rPr>
              <w:t>p</w:t>
            </w:r>
            <w:proofErr w:type="spellEnd"/>
          </w:p>
        </w:tc>
        <w:tc>
          <w:tcPr>
            <w:tcW w:w="6186" w:type="dxa"/>
            <w:tcBorders>
              <w:top w:val="nil"/>
              <w:left w:val="nil"/>
              <w:bottom w:val="single" w:sz="4" w:space="0" w:color="auto"/>
              <w:right w:val="nil"/>
            </w:tcBorders>
            <w:noWrap/>
            <w:vAlign w:val="center"/>
            <w:hideMark/>
          </w:tcPr>
          <w:p w14:paraId="53A8239F"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Number of hotel beds in province </w:t>
            </w:r>
            <w:r w:rsidRPr="00B5549F">
              <w:rPr>
                <w:rFonts w:ascii="Times New Roman" w:hAnsi="Times New Roman" w:cs="Times New Roman"/>
                <w:i/>
                <w:iCs/>
                <w:color w:val="000000" w:themeColor="text1"/>
                <w:sz w:val="20"/>
                <w:szCs w:val="20"/>
                <w:lang w:val="en-US"/>
              </w:rPr>
              <w:t xml:space="preserve">p </w:t>
            </w:r>
            <w:r w:rsidRPr="00B5549F">
              <w:rPr>
                <w:rFonts w:ascii="Times New Roman" w:hAnsi="Times New Roman" w:cs="Times New Roman"/>
                <w:color w:val="000000" w:themeColor="text1"/>
                <w:sz w:val="20"/>
                <w:szCs w:val="20"/>
                <w:lang w:val="en-US"/>
              </w:rPr>
              <w:t>derived from ISTAT. The variable has been log transformed.</w:t>
            </w:r>
          </w:p>
        </w:tc>
      </w:tr>
    </w:tbl>
    <w:p w14:paraId="1CD031F4" w14:textId="77777777" w:rsidR="001A6AD1" w:rsidRPr="00B5549F" w:rsidRDefault="001A6AD1" w:rsidP="00985916">
      <w:pPr>
        <w:spacing w:before="120"/>
        <w:contextualSpacing/>
        <w:jc w:val="both"/>
        <w:rPr>
          <w:rFonts w:ascii="Times New Roman" w:hAnsi="Times New Roman" w:cs="Times New Roman"/>
          <w:color w:val="000000" w:themeColor="text1"/>
          <w:lang w:val="en-US"/>
        </w:rPr>
      </w:pPr>
    </w:p>
    <w:p w14:paraId="7520E969" w14:textId="77777777" w:rsidR="001A6AD1" w:rsidRPr="00B5549F" w:rsidRDefault="001A6AD1" w:rsidP="001A6AD1">
      <w:pPr>
        <w:spacing w:after="120"/>
        <w:contextualSpacing/>
        <w:jc w:val="both"/>
        <w:rPr>
          <w:rFonts w:ascii="Times New Roman" w:hAnsi="Times New Roman" w:cs="Times New Roman"/>
          <w:color w:val="000000" w:themeColor="text1"/>
          <w:lang w:val="en-US"/>
        </w:rPr>
      </w:pPr>
      <w:r w:rsidRPr="00B5549F">
        <w:rPr>
          <w:rFonts w:ascii="Times New Roman" w:hAnsi="Times New Roman" w:cs="Times New Roman"/>
          <w:color w:val="000000" w:themeColor="text1"/>
          <w:lang w:val="en-US"/>
        </w:rPr>
        <w:br w:type="page"/>
      </w:r>
      <w:r w:rsidRPr="00B5549F">
        <w:rPr>
          <w:rFonts w:ascii="Times New Roman" w:hAnsi="Times New Roman" w:cs="Times New Roman"/>
          <w:b/>
          <w:bCs/>
          <w:color w:val="000000" w:themeColor="text1"/>
          <w:lang w:val="en-US"/>
        </w:rPr>
        <w:lastRenderedPageBreak/>
        <w:t xml:space="preserve">Table 3b. </w:t>
      </w:r>
      <w:r w:rsidRPr="00B5549F">
        <w:rPr>
          <w:rFonts w:ascii="Times New Roman" w:hAnsi="Times New Roman" w:cs="Times New Roman"/>
          <w:color w:val="000000" w:themeColor="text1"/>
          <w:lang w:val="en-US"/>
        </w:rPr>
        <w:t>Sample descriptive statistics.</w:t>
      </w:r>
    </w:p>
    <w:tbl>
      <w:tblPr>
        <w:tblW w:w="8458" w:type="dxa"/>
        <w:jc w:val="center"/>
        <w:tblCellMar>
          <w:left w:w="70" w:type="dxa"/>
          <w:right w:w="70" w:type="dxa"/>
        </w:tblCellMar>
        <w:tblLook w:val="04A0" w:firstRow="1" w:lastRow="0" w:firstColumn="1" w:lastColumn="0" w:noHBand="0" w:noVBand="1"/>
      </w:tblPr>
      <w:tblGrid>
        <w:gridCol w:w="1129"/>
        <w:gridCol w:w="2349"/>
        <w:gridCol w:w="1300"/>
        <w:gridCol w:w="1300"/>
        <w:gridCol w:w="1300"/>
        <w:gridCol w:w="1300"/>
      </w:tblGrid>
      <w:tr w:rsidR="00B5549F" w:rsidRPr="00B5549F" w14:paraId="6826F54D" w14:textId="77777777" w:rsidTr="00E02797">
        <w:trPr>
          <w:trHeight w:val="283"/>
          <w:jc w:val="center"/>
        </w:trPr>
        <w:tc>
          <w:tcPr>
            <w:tcW w:w="978" w:type="dxa"/>
            <w:tcBorders>
              <w:top w:val="single" w:sz="4" w:space="0" w:color="auto"/>
              <w:left w:val="nil"/>
              <w:bottom w:val="single" w:sz="4" w:space="0" w:color="auto"/>
              <w:right w:val="nil"/>
            </w:tcBorders>
          </w:tcPr>
          <w:p w14:paraId="0AA74E2B" w14:textId="77777777" w:rsidR="001A6AD1" w:rsidRPr="00B5549F" w:rsidRDefault="001A6AD1" w:rsidP="001A6AD1">
            <w:pPr>
              <w:contextualSpacing/>
              <w:rPr>
                <w:rFonts w:ascii="Times New Roman" w:hAnsi="Times New Roman" w:cs="Times New Roman"/>
                <w:b/>
                <w:bCs/>
                <w:color w:val="000000" w:themeColor="text1"/>
                <w:sz w:val="20"/>
                <w:szCs w:val="20"/>
                <w:lang w:val="en-US"/>
              </w:rPr>
            </w:pPr>
          </w:p>
        </w:tc>
        <w:tc>
          <w:tcPr>
            <w:tcW w:w="2280" w:type="dxa"/>
            <w:tcBorders>
              <w:top w:val="single" w:sz="4" w:space="0" w:color="auto"/>
              <w:left w:val="nil"/>
              <w:bottom w:val="single" w:sz="4" w:space="0" w:color="auto"/>
              <w:right w:val="nil"/>
            </w:tcBorders>
            <w:noWrap/>
            <w:vAlign w:val="center"/>
            <w:hideMark/>
          </w:tcPr>
          <w:p w14:paraId="4F6E8630" w14:textId="77777777" w:rsidR="001A6AD1" w:rsidRPr="00B5549F" w:rsidRDefault="001A6AD1" w:rsidP="001A6AD1">
            <w:pPr>
              <w:contextualSpacing/>
              <w:rPr>
                <w:rFonts w:ascii="Times New Roman" w:hAnsi="Times New Roman" w:cs="Times New Roman"/>
                <w:b/>
                <w:bCs/>
                <w:color w:val="000000" w:themeColor="text1"/>
                <w:sz w:val="20"/>
                <w:szCs w:val="20"/>
              </w:rPr>
            </w:pPr>
            <w:proofErr w:type="spellStart"/>
            <w:r w:rsidRPr="00B5549F">
              <w:rPr>
                <w:rFonts w:ascii="Times New Roman" w:hAnsi="Times New Roman" w:cs="Times New Roman"/>
                <w:b/>
                <w:bCs/>
                <w:color w:val="000000" w:themeColor="text1"/>
                <w:sz w:val="20"/>
                <w:szCs w:val="20"/>
              </w:rPr>
              <w:t>Variable</w:t>
            </w:r>
            <w:proofErr w:type="spellEnd"/>
          </w:p>
        </w:tc>
        <w:tc>
          <w:tcPr>
            <w:tcW w:w="1300" w:type="dxa"/>
            <w:tcBorders>
              <w:top w:val="single" w:sz="4" w:space="0" w:color="auto"/>
              <w:left w:val="nil"/>
              <w:bottom w:val="single" w:sz="4" w:space="0" w:color="auto"/>
              <w:right w:val="nil"/>
            </w:tcBorders>
            <w:noWrap/>
            <w:vAlign w:val="center"/>
            <w:hideMark/>
          </w:tcPr>
          <w:p w14:paraId="5E1EAC9D" w14:textId="77777777" w:rsidR="001A6AD1" w:rsidRPr="00B5549F" w:rsidRDefault="001A6AD1" w:rsidP="001A6AD1">
            <w:pPr>
              <w:contextualSpacing/>
              <w:jc w:val="right"/>
              <w:rPr>
                <w:rFonts w:ascii="Times New Roman" w:hAnsi="Times New Roman" w:cs="Times New Roman"/>
                <w:b/>
                <w:bCs/>
                <w:color w:val="000000" w:themeColor="text1"/>
                <w:sz w:val="20"/>
                <w:szCs w:val="20"/>
              </w:rPr>
            </w:pPr>
            <w:r w:rsidRPr="00B5549F">
              <w:rPr>
                <w:rFonts w:ascii="Times New Roman" w:hAnsi="Times New Roman" w:cs="Times New Roman"/>
                <w:b/>
                <w:bCs/>
                <w:color w:val="000000" w:themeColor="text1"/>
                <w:sz w:val="20"/>
                <w:szCs w:val="20"/>
              </w:rPr>
              <w:t>Mean</w:t>
            </w:r>
          </w:p>
        </w:tc>
        <w:tc>
          <w:tcPr>
            <w:tcW w:w="1300" w:type="dxa"/>
            <w:tcBorders>
              <w:top w:val="single" w:sz="4" w:space="0" w:color="auto"/>
              <w:left w:val="nil"/>
              <w:bottom w:val="single" w:sz="4" w:space="0" w:color="auto"/>
              <w:right w:val="nil"/>
            </w:tcBorders>
            <w:noWrap/>
            <w:vAlign w:val="center"/>
            <w:hideMark/>
          </w:tcPr>
          <w:p w14:paraId="59D0E052" w14:textId="77777777" w:rsidR="001A6AD1" w:rsidRPr="00B5549F" w:rsidRDefault="001A6AD1" w:rsidP="001A6AD1">
            <w:pPr>
              <w:contextualSpacing/>
              <w:jc w:val="right"/>
              <w:rPr>
                <w:rFonts w:ascii="Times New Roman" w:hAnsi="Times New Roman" w:cs="Times New Roman"/>
                <w:b/>
                <w:bCs/>
                <w:color w:val="000000" w:themeColor="text1"/>
                <w:sz w:val="20"/>
                <w:szCs w:val="20"/>
              </w:rPr>
            </w:pPr>
            <w:proofErr w:type="spellStart"/>
            <w:r w:rsidRPr="00B5549F">
              <w:rPr>
                <w:rFonts w:ascii="Times New Roman" w:hAnsi="Times New Roman" w:cs="Times New Roman"/>
                <w:b/>
                <w:bCs/>
                <w:color w:val="000000" w:themeColor="text1"/>
                <w:sz w:val="20"/>
                <w:szCs w:val="20"/>
              </w:rPr>
              <w:t>Std</w:t>
            </w:r>
            <w:proofErr w:type="spellEnd"/>
            <w:r w:rsidRPr="00B5549F">
              <w:rPr>
                <w:rFonts w:ascii="Times New Roman" w:hAnsi="Times New Roman" w:cs="Times New Roman"/>
                <w:b/>
                <w:bCs/>
                <w:color w:val="000000" w:themeColor="text1"/>
                <w:sz w:val="20"/>
                <w:szCs w:val="20"/>
              </w:rPr>
              <w:t>. Dev.</w:t>
            </w:r>
          </w:p>
        </w:tc>
        <w:tc>
          <w:tcPr>
            <w:tcW w:w="1300" w:type="dxa"/>
            <w:tcBorders>
              <w:top w:val="single" w:sz="4" w:space="0" w:color="auto"/>
              <w:left w:val="nil"/>
              <w:bottom w:val="single" w:sz="4" w:space="0" w:color="auto"/>
              <w:right w:val="nil"/>
            </w:tcBorders>
            <w:noWrap/>
            <w:vAlign w:val="center"/>
            <w:hideMark/>
          </w:tcPr>
          <w:p w14:paraId="3D3A8919" w14:textId="77777777" w:rsidR="001A6AD1" w:rsidRPr="00B5549F" w:rsidRDefault="001A6AD1" w:rsidP="001A6AD1">
            <w:pPr>
              <w:contextualSpacing/>
              <w:jc w:val="right"/>
              <w:rPr>
                <w:rFonts w:ascii="Times New Roman" w:hAnsi="Times New Roman" w:cs="Times New Roman"/>
                <w:b/>
                <w:bCs/>
                <w:color w:val="000000" w:themeColor="text1"/>
                <w:sz w:val="20"/>
                <w:szCs w:val="20"/>
              </w:rPr>
            </w:pPr>
            <w:r w:rsidRPr="00B5549F">
              <w:rPr>
                <w:rFonts w:ascii="Times New Roman" w:hAnsi="Times New Roman" w:cs="Times New Roman"/>
                <w:b/>
                <w:bCs/>
                <w:color w:val="000000" w:themeColor="text1"/>
                <w:sz w:val="20"/>
                <w:szCs w:val="20"/>
              </w:rPr>
              <w:t>Min</w:t>
            </w:r>
          </w:p>
        </w:tc>
        <w:tc>
          <w:tcPr>
            <w:tcW w:w="1300" w:type="dxa"/>
            <w:tcBorders>
              <w:top w:val="single" w:sz="4" w:space="0" w:color="auto"/>
              <w:left w:val="nil"/>
              <w:bottom w:val="single" w:sz="4" w:space="0" w:color="auto"/>
              <w:right w:val="nil"/>
            </w:tcBorders>
            <w:noWrap/>
            <w:vAlign w:val="center"/>
            <w:hideMark/>
          </w:tcPr>
          <w:p w14:paraId="09AA5FB9" w14:textId="77777777" w:rsidR="001A6AD1" w:rsidRPr="00B5549F" w:rsidRDefault="001A6AD1" w:rsidP="001A6AD1">
            <w:pPr>
              <w:contextualSpacing/>
              <w:jc w:val="right"/>
              <w:rPr>
                <w:rFonts w:ascii="Times New Roman" w:hAnsi="Times New Roman" w:cs="Times New Roman"/>
                <w:b/>
                <w:bCs/>
                <w:color w:val="000000" w:themeColor="text1"/>
                <w:sz w:val="20"/>
                <w:szCs w:val="20"/>
              </w:rPr>
            </w:pPr>
            <w:r w:rsidRPr="00B5549F">
              <w:rPr>
                <w:rFonts w:ascii="Times New Roman" w:hAnsi="Times New Roman" w:cs="Times New Roman"/>
                <w:b/>
                <w:bCs/>
                <w:color w:val="000000" w:themeColor="text1"/>
                <w:sz w:val="20"/>
                <w:szCs w:val="20"/>
              </w:rPr>
              <w:t>Max</w:t>
            </w:r>
          </w:p>
        </w:tc>
      </w:tr>
      <w:tr w:rsidR="00B5549F" w:rsidRPr="00B5549F" w14:paraId="2F4558A0" w14:textId="77777777" w:rsidTr="00E02797">
        <w:trPr>
          <w:trHeight w:val="283"/>
          <w:jc w:val="center"/>
        </w:trPr>
        <w:tc>
          <w:tcPr>
            <w:tcW w:w="978" w:type="dxa"/>
            <w:vMerge w:val="restart"/>
            <w:tcBorders>
              <w:top w:val="single" w:sz="4" w:space="0" w:color="auto"/>
              <w:left w:val="nil"/>
              <w:right w:val="nil"/>
            </w:tcBorders>
            <w:vAlign w:val="center"/>
          </w:tcPr>
          <w:p w14:paraId="399D748C" w14:textId="77777777" w:rsidR="001A6AD1" w:rsidRPr="00B5549F" w:rsidRDefault="001A6AD1" w:rsidP="001A6AD1">
            <w:pPr>
              <w:contextualSpacing/>
              <w:rPr>
                <w:rFonts w:ascii="Times New Roman" w:hAnsi="Times New Roman" w:cs="Times New Roman"/>
                <w:i/>
                <w:iCs/>
                <w:color w:val="000000" w:themeColor="text1"/>
                <w:sz w:val="20"/>
                <w:szCs w:val="20"/>
              </w:rPr>
            </w:pPr>
            <w:r w:rsidRPr="00B5549F">
              <w:rPr>
                <w:rFonts w:ascii="Times New Roman" w:hAnsi="Times New Roman" w:cs="Times New Roman"/>
                <w:i/>
                <w:iCs/>
                <w:color w:val="000000" w:themeColor="text1"/>
                <w:sz w:val="20"/>
                <w:szCs w:val="20"/>
              </w:rPr>
              <w:t>Dependent</w:t>
            </w:r>
          </w:p>
          <w:p w14:paraId="688CF613" w14:textId="77777777" w:rsidR="001A6AD1" w:rsidRPr="00B5549F" w:rsidRDefault="001A6AD1" w:rsidP="001A6AD1">
            <w:pPr>
              <w:contextualSpacing/>
              <w:rPr>
                <w:rFonts w:ascii="Times New Roman" w:hAnsi="Times New Roman" w:cs="Times New Roman"/>
                <w:color w:val="000000" w:themeColor="text1"/>
                <w:sz w:val="20"/>
                <w:szCs w:val="20"/>
              </w:rPr>
            </w:pPr>
            <w:proofErr w:type="spellStart"/>
            <w:r w:rsidRPr="00B5549F">
              <w:rPr>
                <w:rFonts w:ascii="Times New Roman" w:hAnsi="Times New Roman" w:cs="Times New Roman"/>
                <w:i/>
                <w:iCs/>
                <w:color w:val="000000" w:themeColor="text1"/>
                <w:sz w:val="20"/>
                <w:szCs w:val="20"/>
              </w:rPr>
              <w:t>Variables</w:t>
            </w:r>
            <w:proofErr w:type="spellEnd"/>
          </w:p>
        </w:tc>
        <w:tc>
          <w:tcPr>
            <w:tcW w:w="2280" w:type="dxa"/>
            <w:tcBorders>
              <w:top w:val="single" w:sz="4" w:space="0" w:color="auto"/>
              <w:left w:val="nil"/>
              <w:bottom w:val="nil"/>
              <w:right w:val="nil"/>
            </w:tcBorders>
            <w:noWrap/>
            <w:vAlign w:val="center"/>
            <w:hideMark/>
          </w:tcPr>
          <w:p w14:paraId="02C9213B" w14:textId="77777777" w:rsidR="001A6AD1" w:rsidRPr="00B5549F" w:rsidRDefault="001A6AD1" w:rsidP="001A6AD1">
            <w:pPr>
              <w:contextualSpacing/>
              <w:rPr>
                <w:rFonts w:ascii="Times New Roman" w:hAnsi="Times New Roman" w:cs="Times New Roman"/>
                <w:color w:val="000000" w:themeColor="text1"/>
                <w:sz w:val="20"/>
                <w:szCs w:val="20"/>
                <w:lang w:val="de-AT"/>
              </w:rPr>
            </w:pPr>
            <w:proofErr w:type="spellStart"/>
            <w:r w:rsidRPr="00B5549F">
              <w:rPr>
                <w:rFonts w:ascii="Times New Roman" w:hAnsi="Times New Roman" w:cs="Times New Roman"/>
                <w:color w:val="000000" w:themeColor="text1"/>
                <w:sz w:val="20"/>
                <w:szCs w:val="20"/>
                <w:lang w:val="de-AT"/>
              </w:rPr>
              <w:t>Entries</w:t>
            </w:r>
            <w:proofErr w:type="spellEnd"/>
            <w:r w:rsidRPr="00B5549F">
              <w:rPr>
                <w:rFonts w:ascii="Times New Roman" w:hAnsi="Times New Roman" w:cs="Times New Roman"/>
                <w:color w:val="000000" w:themeColor="text1"/>
                <w:sz w:val="20"/>
                <w:szCs w:val="20"/>
                <w:lang w:val="de-AT"/>
              </w:rPr>
              <w:t xml:space="preserve"> SSE [1-2] </w:t>
            </w:r>
            <w:r w:rsidRPr="00B5549F">
              <w:rPr>
                <w:rFonts w:ascii="Times New Roman" w:hAnsi="Times New Roman" w:cs="Times New Roman"/>
                <w:i/>
                <w:iCs/>
                <w:color w:val="000000" w:themeColor="text1"/>
                <w:sz w:val="20"/>
                <w:szCs w:val="20"/>
                <w:lang w:val="de-AT"/>
              </w:rPr>
              <w:t>e</w:t>
            </w:r>
            <w:r w:rsidRPr="00B5549F">
              <w:rPr>
                <w:rFonts w:ascii="Times New Roman" w:hAnsi="Times New Roman" w:cs="Times New Roman"/>
                <w:i/>
                <w:iCs/>
                <w:color w:val="000000" w:themeColor="text1"/>
                <w:sz w:val="20"/>
                <w:szCs w:val="20"/>
                <w:vertAlign w:val="superscript"/>
                <w:lang w:val="de-AT"/>
              </w:rPr>
              <w:t>2</w:t>
            </w:r>
            <w:r w:rsidRPr="00B5549F">
              <w:rPr>
                <w:rFonts w:ascii="Times New Roman" w:hAnsi="Times New Roman" w:cs="Times New Roman"/>
                <w:i/>
                <w:iCs/>
                <w:color w:val="000000" w:themeColor="text1"/>
                <w:sz w:val="20"/>
                <w:szCs w:val="20"/>
                <w:vertAlign w:val="subscript"/>
                <w:lang w:val="de-AT"/>
              </w:rPr>
              <w:t>SSE, p, t</w:t>
            </w:r>
          </w:p>
        </w:tc>
        <w:tc>
          <w:tcPr>
            <w:tcW w:w="1300" w:type="dxa"/>
            <w:tcBorders>
              <w:top w:val="single" w:sz="4" w:space="0" w:color="auto"/>
              <w:left w:val="nil"/>
              <w:bottom w:val="nil"/>
              <w:right w:val="nil"/>
            </w:tcBorders>
            <w:noWrap/>
            <w:vAlign w:val="center"/>
            <w:hideMark/>
          </w:tcPr>
          <w:p w14:paraId="790C7E3E"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62.35</w:t>
            </w:r>
          </w:p>
        </w:tc>
        <w:tc>
          <w:tcPr>
            <w:tcW w:w="1300" w:type="dxa"/>
            <w:tcBorders>
              <w:top w:val="single" w:sz="4" w:space="0" w:color="auto"/>
              <w:left w:val="nil"/>
              <w:bottom w:val="nil"/>
              <w:right w:val="nil"/>
            </w:tcBorders>
            <w:noWrap/>
            <w:vAlign w:val="center"/>
            <w:hideMark/>
          </w:tcPr>
          <w:p w14:paraId="6F53F800"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92.19</w:t>
            </w:r>
          </w:p>
        </w:tc>
        <w:tc>
          <w:tcPr>
            <w:tcW w:w="1300" w:type="dxa"/>
            <w:tcBorders>
              <w:top w:val="single" w:sz="4" w:space="0" w:color="auto"/>
              <w:left w:val="nil"/>
              <w:bottom w:val="nil"/>
              <w:right w:val="nil"/>
            </w:tcBorders>
            <w:noWrap/>
            <w:vAlign w:val="center"/>
            <w:hideMark/>
          </w:tcPr>
          <w:p w14:paraId="035E02ED"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w:t>
            </w:r>
          </w:p>
        </w:tc>
        <w:tc>
          <w:tcPr>
            <w:tcW w:w="1300" w:type="dxa"/>
            <w:tcBorders>
              <w:top w:val="single" w:sz="4" w:space="0" w:color="auto"/>
              <w:left w:val="nil"/>
              <w:bottom w:val="nil"/>
              <w:right w:val="nil"/>
            </w:tcBorders>
            <w:noWrap/>
            <w:vAlign w:val="center"/>
            <w:hideMark/>
          </w:tcPr>
          <w:p w14:paraId="48A2F95E"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1,493</w:t>
            </w:r>
          </w:p>
        </w:tc>
      </w:tr>
      <w:tr w:rsidR="00B5549F" w:rsidRPr="00B5549F" w14:paraId="23BDE8A2" w14:textId="77777777" w:rsidTr="00E02797">
        <w:trPr>
          <w:trHeight w:val="283"/>
          <w:jc w:val="center"/>
        </w:trPr>
        <w:tc>
          <w:tcPr>
            <w:tcW w:w="978" w:type="dxa"/>
            <w:vMerge/>
            <w:tcBorders>
              <w:left w:val="nil"/>
              <w:right w:val="nil"/>
            </w:tcBorders>
          </w:tcPr>
          <w:p w14:paraId="1265C4ED" w14:textId="77777777" w:rsidR="001A6AD1" w:rsidRPr="00B5549F" w:rsidRDefault="001A6AD1" w:rsidP="001A6AD1">
            <w:pPr>
              <w:contextualSpacing/>
              <w:rPr>
                <w:rFonts w:ascii="Times New Roman" w:hAnsi="Times New Roman" w:cs="Times New Roman"/>
                <w:i/>
                <w:iCs/>
                <w:color w:val="000000" w:themeColor="text1"/>
                <w:sz w:val="20"/>
                <w:szCs w:val="20"/>
              </w:rPr>
            </w:pPr>
          </w:p>
        </w:tc>
        <w:tc>
          <w:tcPr>
            <w:tcW w:w="2280" w:type="dxa"/>
            <w:tcBorders>
              <w:top w:val="nil"/>
              <w:left w:val="nil"/>
              <w:bottom w:val="nil"/>
              <w:right w:val="nil"/>
            </w:tcBorders>
            <w:noWrap/>
            <w:vAlign w:val="center"/>
            <w:hideMark/>
          </w:tcPr>
          <w:p w14:paraId="6540608F" w14:textId="77777777" w:rsidR="001A6AD1" w:rsidRPr="00B5549F" w:rsidRDefault="001A6AD1" w:rsidP="001A6AD1">
            <w:pPr>
              <w:contextualSpacing/>
              <w:rPr>
                <w:rFonts w:ascii="Times New Roman" w:hAnsi="Times New Roman" w:cs="Times New Roman"/>
                <w:color w:val="000000" w:themeColor="text1"/>
                <w:sz w:val="20"/>
                <w:szCs w:val="20"/>
                <w:lang w:val="de-AT"/>
              </w:rPr>
            </w:pPr>
            <w:proofErr w:type="spellStart"/>
            <w:r w:rsidRPr="00B5549F">
              <w:rPr>
                <w:rFonts w:ascii="Times New Roman" w:hAnsi="Times New Roman" w:cs="Times New Roman"/>
                <w:color w:val="000000" w:themeColor="text1"/>
                <w:sz w:val="20"/>
                <w:szCs w:val="20"/>
                <w:lang w:val="de-AT"/>
              </w:rPr>
              <w:t>Entries</w:t>
            </w:r>
            <w:proofErr w:type="spellEnd"/>
            <w:r w:rsidRPr="00B5549F">
              <w:rPr>
                <w:rFonts w:ascii="Times New Roman" w:hAnsi="Times New Roman" w:cs="Times New Roman"/>
                <w:color w:val="000000" w:themeColor="text1"/>
                <w:sz w:val="20"/>
                <w:szCs w:val="20"/>
                <w:lang w:val="de-AT"/>
              </w:rPr>
              <w:t xml:space="preserve"> SSE [1-3] </w:t>
            </w:r>
            <w:r w:rsidRPr="00B5549F">
              <w:rPr>
                <w:rFonts w:ascii="Times New Roman" w:hAnsi="Times New Roman" w:cs="Times New Roman"/>
                <w:i/>
                <w:iCs/>
                <w:color w:val="000000" w:themeColor="text1"/>
                <w:sz w:val="20"/>
                <w:szCs w:val="20"/>
                <w:lang w:val="de-AT"/>
              </w:rPr>
              <w:t>e</w:t>
            </w:r>
            <w:r w:rsidRPr="00B5549F">
              <w:rPr>
                <w:rFonts w:ascii="Times New Roman" w:hAnsi="Times New Roman" w:cs="Times New Roman"/>
                <w:i/>
                <w:iCs/>
                <w:color w:val="000000" w:themeColor="text1"/>
                <w:sz w:val="20"/>
                <w:szCs w:val="20"/>
                <w:vertAlign w:val="superscript"/>
                <w:lang w:val="de-AT"/>
              </w:rPr>
              <w:t>3</w:t>
            </w:r>
            <w:r w:rsidRPr="00B5549F">
              <w:rPr>
                <w:rFonts w:ascii="Times New Roman" w:hAnsi="Times New Roman" w:cs="Times New Roman"/>
                <w:i/>
                <w:iCs/>
                <w:color w:val="000000" w:themeColor="text1"/>
                <w:sz w:val="20"/>
                <w:szCs w:val="20"/>
                <w:vertAlign w:val="subscript"/>
                <w:lang w:val="de-AT"/>
              </w:rPr>
              <w:t>SS,E p, t</w:t>
            </w:r>
          </w:p>
        </w:tc>
        <w:tc>
          <w:tcPr>
            <w:tcW w:w="1300" w:type="dxa"/>
            <w:tcBorders>
              <w:top w:val="nil"/>
              <w:left w:val="nil"/>
              <w:bottom w:val="nil"/>
              <w:right w:val="nil"/>
            </w:tcBorders>
            <w:noWrap/>
            <w:vAlign w:val="center"/>
            <w:hideMark/>
          </w:tcPr>
          <w:p w14:paraId="71C52B15"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62.31</w:t>
            </w:r>
          </w:p>
        </w:tc>
        <w:tc>
          <w:tcPr>
            <w:tcW w:w="1300" w:type="dxa"/>
            <w:tcBorders>
              <w:top w:val="nil"/>
              <w:left w:val="nil"/>
              <w:bottom w:val="nil"/>
              <w:right w:val="nil"/>
            </w:tcBorders>
            <w:noWrap/>
            <w:vAlign w:val="center"/>
            <w:hideMark/>
          </w:tcPr>
          <w:p w14:paraId="3412BC5E"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92.35</w:t>
            </w:r>
          </w:p>
        </w:tc>
        <w:tc>
          <w:tcPr>
            <w:tcW w:w="1300" w:type="dxa"/>
            <w:tcBorders>
              <w:top w:val="nil"/>
              <w:left w:val="nil"/>
              <w:bottom w:val="nil"/>
              <w:right w:val="nil"/>
            </w:tcBorders>
            <w:noWrap/>
            <w:vAlign w:val="center"/>
            <w:hideMark/>
          </w:tcPr>
          <w:p w14:paraId="4DD11FD0"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w:t>
            </w:r>
          </w:p>
        </w:tc>
        <w:tc>
          <w:tcPr>
            <w:tcW w:w="1300" w:type="dxa"/>
            <w:tcBorders>
              <w:top w:val="nil"/>
              <w:left w:val="nil"/>
              <w:bottom w:val="nil"/>
              <w:right w:val="nil"/>
            </w:tcBorders>
            <w:noWrap/>
            <w:vAlign w:val="center"/>
            <w:hideMark/>
          </w:tcPr>
          <w:p w14:paraId="6ABE5B35"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1,486</w:t>
            </w:r>
          </w:p>
        </w:tc>
      </w:tr>
      <w:tr w:rsidR="00B5549F" w:rsidRPr="00B5549F" w14:paraId="24B18475" w14:textId="77777777" w:rsidTr="00E02797">
        <w:trPr>
          <w:trHeight w:val="283"/>
          <w:jc w:val="center"/>
        </w:trPr>
        <w:tc>
          <w:tcPr>
            <w:tcW w:w="978" w:type="dxa"/>
            <w:vMerge/>
            <w:tcBorders>
              <w:left w:val="nil"/>
              <w:right w:val="nil"/>
            </w:tcBorders>
          </w:tcPr>
          <w:p w14:paraId="4792434D" w14:textId="77777777" w:rsidR="001A6AD1" w:rsidRPr="00B5549F" w:rsidRDefault="001A6AD1" w:rsidP="001A6AD1">
            <w:pPr>
              <w:contextualSpacing/>
              <w:rPr>
                <w:rFonts w:ascii="Times New Roman" w:hAnsi="Times New Roman" w:cs="Times New Roman"/>
                <w:i/>
                <w:iCs/>
                <w:color w:val="000000" w:themeColor="text1"/>
                <w:sz w:val="20"/>
                <w:szCs w:val="20"/>
              </w:rPr>
            </w:pPr>
          </w:p>
        </w:tc>
        <w:tc>
          <w:tcPr>
            <w:tcW w:w="2280" w:type="dxa"/>
            <w:tcBorders>
              <w:top w:val="nil"/>
              <w:left w:val="nil"/>
              <w:bottom w:val="nil"/>
              <w:right w:val="nil"/>
            </w:tcBorders>
            <w:noWrap/>
            <w:vAlign w:val="center"/>
            <w:hideMark/>
          </w:tcPr>
          <w:p w14:paraId="512CC081" w14:textId="77777777" w:rsidR="001A6AD1" w:rsidRPr="00B5549F" w:rsidRDefault="001A6AD1" w:rsidP="001A6AD1">
            <w:pPr>
              <w:contextualSpacing/>
              <w:rPr>
                <w:rFonts w:ascii="Times New Roman" w:hAnsi="Times New Roman" w:cs="Times New Roman"/>
                <w:color w:val="000000" w:themeColor="text1"/>
                <w:sz w:val="20"/>
                <w:szCs w:val="20"/>
                <w:lang w:val="de-AT"/>
              </w:rPr>
            </w:pPr>
            <w:proofErr w:type="spellStart"/>
            <w:r w:rsidRPr="00B5549F">
              <w:rPr>
                <w:rFonts w:ascii="Times New Roman" w:hAnsi="Times New Roman" w:cs="Times New Roman"/>
                <w:color w:val="000000" w:themeColor="text1"/>
                <w:sz w:val="20"/>
                <w:szCs w:val="20"/>
                <w:lang w:val="de-AT"/>
              </w:rPr>
              <w:t>Entries</w:t>
            </w:r>
            <w:proofErr w:type="spellEnd"/>
            <w:r w:rsidRPr="00B5549F">
              <w:rPr>
                <w:rFonts w:ascii="Times New Roman" w:hAnsi="Times New Roman" w:cs="Times New Roman"/>
                <w:color w:val="000000" w:themeColor="text1"/>
                <w:sz w:val="20"/>
                <w:szCs w:val="20"/>
                <w:lang w:val="de-AT"/>
              </w:rPr>
              <w:t xml:space="preserve"> LSE [3-10] </w:t>
            </w:r>
            <w:r w:rsidRPr="00B5549F">
              <w:rPr>
                <w:rFonts w:ascii="Times New Roman" w:hAnsi="Times New Roman" w:cs="Times New Roman"/>
                <w:i/>
                <w:iCs/>
                <w:color w:val="000000" w:themeColor="text1"/>
                <w:sz w:val="20"/>
                <w:szCs w:val="20"/>
                <w:lang w:val="de-AT"/>
              </w:rPr>
              <w:t>e</w:t>
            </w:r>
            <w:r w:rsidRPr="00B5549F">
              <w:rPr>
                <w:rFonts w:ascii="Times New Roman" w:hAnsi="Times New Roman" w:cs="Times New Roman"/>
                <w:i/>
                <w:iCs/>
                <w:color w:val="000000" w:themeColor="text1"/>
                <w:sz w:val="20"/>
                <w:szCs w:val="20"/>
                <w:vertAlign w:val="superscript"/>
                <w:lang w:val="de-AT"/>
              </w:rPr>
              <w:t>2</w:t>
            </w:r>
            <w:r w:rsidRPr="00B5549F">
              <w:rPr>
                <w:rFonts w:ascii="Times New Roman" w:hAnsi="Times New Roman" w:cs="Times New Roman"/>
                <w:i/>
                <w:iCs/>
                <w:color w:val="000000" w:themeColor="text1"/>
                <w:sz w:val="20"/>
                <w:szCs w:val="20"/>
                <w:vertAlign w:val="subscript"/>
                <w:lang w:val="de-AT"/>
              </w:rPr>
              <w:t>LSE, p, t</w:t>
            </w:r>
          </w:p>
        </w:tc>
        <w:tc>
          <w:tcPr>
            <w:tcW w:w="1300" w:type="dxa"/>
            <w:tcBorders>
              <w:top w:val="nil"/>
              <w:left w:val="nil"/>
              <w:bottom w:val="nil"/>
              <w:right w:val="nil"/>
            </w:tcBorders>
            <w:noWrap/>
            <w:vAlign w:val="center"/>
            <w:hideMark/>
          </w:tcPr>
          <w:p w14:paraId="3CE20568"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10.50</w:t>
            </w:r>
          </w:p>
        </w:tc>
        <w:tc>
          <w:tcPr>
            <w:tcW w:w="1300" w:type="dxa"/>
            <w:tcBorders>
              <w:top w:val="nil"/>
              <w:left w:val="nil"/>
              <w:bottom w:val="nil"/>
              <w:right w:val="nil"/>
            </w:tcBorders>
            <w:noWrap/>
            <w:vAlign w:val="center"/>
            <w:hideMark/>
          </w:tcPr>
          <w:p w14:paraId="45F639E0"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16.13</w:t>
            </w:r>
          </w:p>
        </w:tc>
        <w:tc>
          <w:tcPr>
            <w:tcW w:w="1300" w:type="dxa"/>
            <w:tcBorders>
              <w:top w:val="nil"/>
              <w:left w:val="nil"/>
              <w:bottom w:val="nil"/>
              <w:right w:val="nil"/>
            </w:tcBorders>
            <w:noWrap/>
            <w:vAlign w:val="center"/>
            <w:hideMark/>
          </w:tcPr>
          <w:p w14:paraId="12173113"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w:t>
            </w:r>
          </w:p>
        </w:tc>
        <w:tc>
          <w:tcPr>
            <w:tcW w:w="1300" w:type="dxa"/>
            <w:tcBorders>
              <w:top w:val="nil"/>
              <w:left w:val="nil"/>
              <w:bottom w:val="nil"/>
              <w:right w:val="nil"/>
            </w:tcBorders>
            <w:noWrap/>
            <w:vAlign w:val="center"/>
            <w:hideMark/>
          </w:tcPr>
          <w:p w14:paraId="1EC2728E"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157</w:t>
            </w:r>
          </w:p>
        </w:tc>
      </w:tr>
      <w:tr w:rsidR="00B5549F" w:rsidRPr="00B5549F" w14:paraId="0D584E5F" w14:textId="77777777" w:rsidTr="00E02797">
        <w:trPr>
          <w:trHeight w:val="283"/>
          <w:jc w:val="center"/>
        </w:trPr>
        <w:tc>
          <w:tcPr>
            <w:tcW w:w="978" w:type="dxa"/>
            <w:vMerge/>
            <w:tcBorders>
              <w:left w:val="nil"/>
              <w:right w:val="nil"/>
            </w:tcBorders>
          </w:tcPr>
          <w:p w14:paraId="4933524C" w14:textId="77777777" w:rsidR="001A6AD1" w:rsidRPr="00B5549F" w:rsidRDefault="001A6AD1" w:rsidP="001A6AD1">
            <w:pPr>
              <w:contextualSpacing/>
              <w:rPr>
                <w:rFonts w:ascii="Times New Roman" w:hAnsi="Times New Roman" w:cs="Times New Roman"/>
                <w:i/>
                <w:iCs/>
                <w:color w:val="000000" w:themeColor="text1"/>
                <w:sz w:val="20"/>
                <w:szCs w:val="20"/>
              </w:rPr>
            </w:pPr>
          </w:p>
        </w:tc>
        <w:tc>
          <w:tcPr>
            <w:tcW w:w="2280" w:type="dxa"/>
            <w:tcBorders>
              <w:top w:val="nil"/>
              <w:left w:val="nil"/>
              <w:bottom w:val="nil"/>
              <w:right w:val="nil"/>
            </w:tcBorders>
            <w:noWrap/>
            <w:vAlign w:val="center"/>
          </w:tcPr>
          <w:p w14:paraId="50E906A0" w14:textId="77777777" w:rsidR="001A6AD1" w:rsidRPr="00B5549F" w:rsidRDefault="001A6AD1" w:rsidP="001A6AD1">
            <w:pPr>
              <w:contextualSpacing/>
              <w:rPr>
                <w:rFonts w:ascii="Times New Roman" w:hAnsi="Times New Roman" w:cs="Times New Roman"/>
                <w:color w:val="000000" w:themeColor="text1"/>
                <w:sz w:val="20"/>
                <w:szCs w:val="20"/>
                <w:lang w:val="de-AT"/>
              </w:rPr>
            </w:pPr>
            <w:proofErr w:type="spellStart"/>
            <w:r w:rsidRPr="00B5549F">
              <w:rPr>
                <w:rFonts w:ascii="Times New Roman" w:hAnsi="Times New Roman" w:cs="Times New Roman"/>
                <w:color w:val="000000" w:themeColor="text1"/>
                <w:sz w:val="20"/>
                <w:szCs w:val="20"/>
                <w:lang w:val="de-AT"/>
              </w:rPr>
              <w:t>Entries</w:t>
            </w:r>
            <w:proofErr w:type="spellEnd"/>
            <w:r w:rsidRPr="00B5549F">
              <w:rPr>
                <w:rFonts w:ascii="Times New Roman" w:hAnsi="Times New Roman" w:cs="Times New Roman"/>
                <w:color w:val="000000" w:themeColor="text1"/>
                <w:sz w:val="20"/>
                <w:szCs w:val="20"/>
                <w:lang w:val="de-AT"/>
              </w:rPr>
              <w:t xml:space="preserve"> LSE [4-10] </w:t>
            </w:r>
            <w:r w:rsidRPr="00B5549F">
              <w:rPr>
                <w:rFonts w:ascii="Times New Roman" w:hAnsi="Times New Roman" w:cs="Times New Roman"/>
                <w:i/>
                <w:iCs/>
                <w:color w:val="000000" w:themeColor="text1"/>
                <w:sz w:val="20"/>
                <w:szCs w:val="20"/>
                <w:lang w:val="de-AT"/>
              </w:rPr>
              <w:t>e</w:t>
            </w:r>
            <w:r w:rsidRPr="00B5549F">
              <w:rPr>
                <w:rFonts w:ascii="Times New Roman" w:hAnsi="Times New Roman" w:cs="Times New Roman"/>
                <w:i/>
                <w:iCs/>
                <w:color w:val="000000" w:themeColor="text1"/>
                <w:sz w:val="20"/>
                <w:szCs w:val="20"/>
                <w:vertAlign w:val="superscript"/>
                <w:lang w:val="de-AT"/>
              </w:rPr>
              <w:t>3</w:t>
            </w:r>
            <w:r w:rsidRPr="00B5549F">
              <w:rPr>
                <w:rFonts w:ascii="Times New Roman" w:hAnsi="Times New Roman" w:cs="Times New Roman"/>
                <w:i/>
                <w:iCs/>
                <w:color w:val="000000" w:themeColor="text1"/>
                <w:sz w:val="20"/>
                <w:szCs w:val="20"/>
                <w:vertAlign w:val="subscript"/>
                <w:lang w:val="de-AT"/>
              </w:rPr>
              <w:t>LSE, p, t</w:t>
            </w:r>
          </w:p>
        </w:tc>
        <w:tc>
          <w:tcPr>
            <w:tcW w:w="1300" w:type="dxa"/>
            <w:tcBorders>
              <w:top w:val="nil"/>
              <w:left w:val="nil"/>
              <w:bottom w:val="nil"/>
              <w:right w:val="nil"/>
            </w:tcBorders>
            <w:noWrap/>
            <w:vAlign w:val="center"/>
          </w:tcPr>
          <w:p w14:paraId="16AFF9E0"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6.35</w:t>
            </w:r>
          </w:p>
        </w:tc>
        <w:tc>
          <w:tcPr>
            <w:tcW w:w="1300" w:type="dxa"/>
            <w:tcBorders>
              <w:top w:val="nil"/>
              <w:left w:val="nil"/>
              <w:bottom w:val="nil"/>
              <w:right w:val="nil"/>
            </w:tcBorders>
            <w:noWrap/>
            <w:vAlign w:val="center"/>
          </w:tcPr>
          <w:p w14:paraId="7811C05E"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10.22</w:t>
            </w:r>
          </w:p>
        </w:tc>
        <w:tc>
          <w:tcPr>
            <w:tcW w:w="1300" w:type="dxa"/>
            <w:tcBorders>
              <w:top w:val="nil"/>
              <w:left w:val="nil"/>
              <w:bottom w:val="nil"/>
              <w:right w:val="nil"/>
            </w:tcBorders>
            <w:noWrap/>
            <w:vAlign w:val="center"/>
          </w:tcPr>
          <w:p w14:paraId="5C0DC69D"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w:t>
            </w:r>
          </w:p>
        </w:tc>
        <w:tc>
          <w:tcPr>
            <w:tcW w:w="1300" w:type="dxa"/>
            <w:tcBorders>
              <w:top w:val="nil"/>
              <w:left w:val="nil"/>
              <w:bottom w:val="nil"/>
              <w:right w:val="nil"/>
            </w:tcBorders>
            <w:noWrap/>
            <w:vAlign w:val="center"/>
          </w:tcPr>
          <w:p w14:paraId="1789679A"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103</w:t>
            </w:r>
          </w:p>
        </w:tc>
      </w:tr>
      <w:tr w:rsidR="00B5549F" w:rsidRPr="00B5549F" w14:paraId="09929896" w14:textId="77777777" w:rsidTr="00E02797">
        <w:trPr>
          <w:trHeight w:val="283"/>
          <w:jc w:val="center"/>
        </w:trPr>
        <w:tc>
          <w:tcPr>
            <w:tcW w:w="978" w:type="dxa"/>
            <w:vMerge/>
            <w:tcBorders>
              <w:left w:val="nil"/>
              <w:right w:val="nil"/>
            </w:tcBorders>
          </w:tcPr>
          <w:p w14:paraId="0FC35AAC" w14:textId="77777777" w:rsidR="001A6AD1" w:rsidRPr="00B5549F" w:rsidRDefault="001A6AD1" w:rsidP="001A6AD1">
            <w:pPr>
              <w:contextualSpacing/>
              <w:rPr>
                <w:rFonts w:ascii="Times New Roman" w:hAnsi="Times New Roman" w:cs="Times New Roman"/>
                <w:i/>
                <w:iCs/>
                <w:color w:val="000000" w:themeColor="text1"/>
                <w:sz w:val="20"/>
                <w:szCs w:val="20"/>
              </w:rPr>
            </w:pPr>
          </w:p>
        </w:tc>
        <w:tc>
          <w:tcPr>
            <w:tcW w:w="2280" w:type="dxa"/>
            <w:tcBorders>
              <w:top w:val="nil"/>
              <w:left w:val="nil"/>
              <w:bottom w:val="nil"/>
              <w:right w:val="nil"/>
            </w:tcBorders>
            <w:noWrap/>
            <w:vAlign w:val="center"/>
          </w:tcPr>
          <w:p w14:paraId="547A28E3" w14:textId="77777777" w:rsidR="001A6AD1" w:rsidRPr="00B5549F" w:rsidRDefault="001A6AD1" w:rsidP="001A6AD1">
            <w:pPr>
              <w:contextualSpacing/>
              <w:rPr>
                <w:rFonts w:ascii="Times New Roman" w:hAnsi="Times New Roman" w:cs="Times New Roman"/>
                <w:i/>
                <w:iCs/>
                <w:color w:val="000000" w:themeColor="text1"/>
                <w:sz w:val="20"/>
                <w:szCs w:val="20"/>
                <w:vertAlign w:val="subscript"/>
                <w:lang w:val="de-AT"/>
              </w:rPr>
            </w:pPr>
            <w:proofErr w:type="spellStart"/>
            <w:r w:rsidRPr="00B5549F">
              <w:rPr>
                <w:rFonts w:ascii="Times New Roman" w:hAnsi="Times New Roman" w:cs="Times New Roman"/>
                <w:color w:val="000000" w:themeColor="text1"/>
                <w:sz w:val="20"/>
                <w:szCs w:val="20"/>
                <w:lang w:val="de-AT"/>
              </w:rPr>
              <w:t>Transitions</w:t>
            </w:r>
            <w:proofErr w:type="spellEnd"/>
            <w:r w:rsidRPr="00B5549F">
              <w:rPr>
                <w:rFonts w:ascii="Times New Roman" w:hAnsi="Times New Roman" w:cs="Times New Roman"/>
                <w:color w:val="000000" w:themeColor="text1"/>
                <w:sz w:val="20"/>
                <w:szCs w:val="20"/>
                <w:lang w:val="de-AT"/>
              </w:rPr>
              <w:t xml:space="preserve"> </w:t>
            </w:r>
            <w:r w:rsidRPr="00B5549F">
              <w:rPr>
                <w:rFonts w:ascii="Times New Roman" w:hAnsi="Times New Roman" w:cs="Times New Roman"/>
                <w:i/>
                <w:iCs/>
                <w:color w:val="000000" w:themeColor="text1"/>
                <w:sz w:val="20"/>
                <w:szCs w:val="20"/>
                <w:lang w:val="de-AT"/>
              </w:rPr>
              <w:t>t</w:t>
            </w:r>
            <w:r w:rsidRPr="00B5549F">
              <w:rPr>
                <w:rFonts w:ascii="Times New Roman" w:hAnsi="Times New Roman" w:cs="Times New Roman"/>
                <w:i/>
                <w:iCs/>
                <w:color w:val="000000" w:themeColor="text1"/>
                <w:sz w:val="20"/>
                <w:szCs w:val="20"/>
                <w:vertAlign w:val="superscript"/>
                <w:lang w:val="de-AT"/>
              </w:rPr>
              <w:t>2</w:t>
            </w:r>
            <w:r w:rsidRPr="00B5549F">
              <w:rPr>
                <w:rFonts w:ascii="Times New Roman" w:hAnsi="Times New Roman" w:cs="Times New Roman"/>
                <w:i/>
                <w:iCs/>
                <w:color w:val="000000" w:themeColor="text1"/>
                <w:sz w:val="20"/>
                <w:szCs w:val="20"/>
                <w:vertAlign w:val="subscript"/>
                <w:lang w:val="de-AT"/>
              </w:rPr>
              <w:t>p,t</w:t>
            </w:r>
          </w:p>
        </w:tc>
        <w:tc>
          <w:tcPr>
            <w:tcW w:w="1300" w:type="dxa"/>
            <w:tcBorders>
              <w:top w:val="nil"/>
              <w:left w:val="nil"/>
              <w:bottom w:val="nil"/>
              <w:right w:val="nil"/>
            </w:tcBorders>
            <w:noWrap/>
            <w:vAlign w:val="center"/>
          </w:tcPr>
          <w:p w14:paraId="6D7F7357"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6.46</w:t>
            </w:r>
          </w:p>
        </w:tc>
        <w:tc>
          <w:tcPr>
            <w:tcW w:w="1300" w:type="dxa"/>
            <w:tcBorders>
              <w:top w:val="nil"/>
              <w:left w:val="nil"/>
              <w:bottom w:val="nil"/>
              <w:right w:val="nil"/>
            </w:tcBorders>
            <w:noWrap/>
            <w:vAlign w:val="center"/>
          </w:tcPr>
          <w:p w14:paraId="4D78B981"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10.30</w:t>
            </w:r>
          </w:p>
        </w:tc>
        <w:tc>
          <w:tcPr>
            <w:tcW w:w="1300" w:type="dxa"/>
            <w:tcBorders>
              <w:top w:val="nil"/>
              <w:left w:val="nil"/>
              <w:bottom w:val="nil"/>
              <w:right w:val="nil"/>
            </w:tcBorders>
            <w:noWrap/>
            <w:vAlign w:val="center"/>
          </w:tcPr>
          <w:p w14:paraId="2B716F18"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w:t>
            </w:r>
          </w:p>
        </w:tc>
        <w:tc>
          <w:tcPr>
            <w:tcW w:w="1300" w:type="dxa"/>
            <w:tcBorders>
              <w:top w:val="nil"/>
              <w:left w:val="nil"/>
              <w:bottom w:val="nil"/>
              <w:right w:val="nil"/>
            </w:tcBorders>
            <w:noWrap/>
            <w:vAlign w:val="center"/>
          </w:tcPr>
          <w:p w14:paraId="39BFAE68"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97</w:t>
            </w:r>
          </w:p>
        </w:tc>
      </w:tr>
      <w:tr w:rsidR="00B5549F" w:rsidRPr="00B5549F" w14:paraId="25EC4BD5" w14:textId="77777777" w:rsidTr="00E02797">
        <w:trPr>
          <w:trHeight w:val="283"/>
          <w:jc w:val="center"/>
        </w:trPr>
        <w:tc>
          <w:tcPr>
            <w:tcW w:w="978" w:type="dxa"/>
            <w:vMerge/>
            <w:tcBorders>
              <w:left w:val="nil"/>
              <w:right w:val="nil"/>
            </w:tcBorders>
          </w:tcPr>
          <w:p w14:paraId="57F46CEF" w14:textId="77777777" w:rsidR="001A6AD1" w:rsidRPr="00B5549F" w:rsidRDefault="001A6AD1" w:rsidP="001A6AD1">
            <w:pPr>
              <w:contextualSpacing/>
              <w:rPr>
                <w:rFonts w:ascii="Times New Roman" w:hAnsi="Times New Roman" w:cs="Times New Roman"/>
                <w:i/>
                <w:iCs/>
                <w:color w:val="000000" w:themeColor="text1"/>
                <w:sz w:val="20"/>
                <w:szCs w:val="20"/>
              </w:rPr>
            </w:pPr>
          </w:p>
        </w:tc>
        <w:tc>
          <w:tcPr>
            <w:tcW w:w="2280" w:type="dxa"/>
            <w:tcBorders>
              <w:top w:val="nil"/>
              <w:left w:val="nil"/>
              <w:bottom w:val="nil"/>
              <w:right w:val="nil"/>
            </w:tcBorders>
            <w:noWrap/>
            <w:vAlign w:val="center"/>
          </w:tcPr>
          <w:p w14:paraId="570400BD" w14:textId="77777777" w:rsidR="001A6AD1" w:rsidRPr="00B5549F" w:rsidRDefault="001A6AD1" w:rsidP="001A6AD1">
            <w:pPr>
              <w:contextualSpacing/>
              <w:rPr>
                <w:rFonts w:ascii="Times New Roman" w:hAnsi="Times New Roman" w:cs="Times New Roman"/>
                <w:color w:val="000000" w:themeColor="text1"/>
                <w:sz w:val="20"/>
                <w:szCs w:val="20"/>
                <w:lang w:val="de-AT"/>
              </w:rPr>
            </w:pPr>
            <w:proofErr w:type="spellStart"/>
            <w:r w:rsidRPr="00B5549F">
              <w:rPr>
                <w:rFonts w:ascii="Times New Roman" w:hAnsi="Times New Roman" w:cs="Times New Roman"/>
                <w:color w:val="000000" w:themeColor="text1"/>
                <w:sz w:val="20"/>
                <w:szCs w:val="20"/>
                <w:lang w:val="de-AT"/>
              </w:rPr>
              <w:t>Transitions</w:t>
            </w:r>
            <w:proofErr w:type="spellEnd"/>
            <w:r w:rsidRPr="00B5549F">
              <w:rPr>
                <w:rFonts w:ascii="Times New Roman" w:hAnsi="Times New Roman" w:cs="Times New Roman"/>
                <w:color w:val="000000" w:themeColor="text1"/>
                <w:sz w:val="20"/>
                <w:szCs w:val="20"/>
                <w:lang w:val="de-AT"/>
              </w:rPr>
              <w:t xml:space="preserve"> </w:t>
            </w:r>
            <w:r w:rsidRPr="00B5549F">
              <w:rPr>
                <w:rFonts w:ascii="Times New Roman" w:hAnsi="Times New Roman" w:cs="Times New Roman"/>
                <w:i/>
                <w:iCs/>
                <w:color w:val="000000" w:themeColor="text1"/>
                <w:sz w:val="20"/>
                <w:szCs w:val="20"/>
                <w:lang w:val="de-AT"/>
              </w:rPr>
              <w:t>t</w:t>
            </w:r>
            <w:r w:rsidRPr="00B5549F">
              <w:rPr>
                <w:rFonts w:ascii="Times New Roman" w:hAnsi="Times New Roman" w:cs="Times New Roman"/>
                <w:i/>
                <w:iCs/>
                <w:color w:val="000000" w:themeColor="text1"/>
                <w:sz w:val="20"/>
                <w:szCs w:val="20"/>
                <w:vertAlign w:val="superscript"/>
                <w:lang w:val="de-AT"/>
              </w:rPr>
              <w:t>3</w:t>
            </w:r>
            <w:r w:rsidRPr="00B5549F">
              <w:rPr>
                <w:rFonts w:ascii="Times New Roman" w:hAnsi="Times New Roman" w:cs="Times New Roman"/>
                <w:i/>
                <w:iCs/>
                <w:color w:val="000000" w:themeColor="text1"/>
                <w:sz w:val="20"/>
                <w:szCs w:val="20"/>
                <w:vertAlign w:val="subscript"/>
                <w:lang w:val="de-AT"/>
              </w:rPr>
              <w:t>p,t</w:t>
            </w:r>
          </w:p>
        </w:tc>
        <w:tc>
          <w:tcPr>
            <w:tcW w:w="1300" w:type="dxa"/>
            <w:tcBorders>
              <w:top w:val="nil"/>
              <w:left w:val="nil"/>
              <w:bottom w:val="nil"/>
              <w:right w:val="nil"/>
            </w:tcBorders>
            <w:noWrap/>
            <w:vAlign w:val="center"/>
          </w:tcPr>
          <w:p w14:paraId="4F9D2C6C"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3.99</w:t>
            </w:r>
          </w:p>
        </w:tc>
        <w:tc>
          <w:tcPr>
            <w:tcW w:w="1300" w:type="dxa"/>
            <w:tcBorders>
              <w:top w:val="nil"/>
              <w:left w:val="nil"/>
              <w:bottom w:val="nil"/>
              <w:right w:val="nil"/>
            </w:tcBorders>
            <w:noWrap/>
            <w:vAlign w:val="center"/>
          </w:tcPr>
          <w:p w14:paraId="5BBE1C4D"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6.84</w:t>
            </w:r>
          </w:p>
        </w:tc>
        <w:tc>
          <w:tcPr>
            <w:tcW w:w="1300" w:type="dxa"/>
            <w:tcBorders>
              <w:top w:val="nil"/>
              <w:left w:val="nil"/>
              <w:bottom w:val="nil"/>
              <w:right w:val="nil"/>
            </w:tcBorders>
            <w:noWrap/>
            <w:vAlign w:val="center"/>
          </w:tcPr>
          <w:p w14:paraId="2750937C"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w:t>
            </w:r>
          </w:p>
        </w:tc>
        <w:tc>
          <w:tcPr>
            <w:tcW w:w="1300" w:type="dxa"/>
            <w:tcBorders>
              <w:top w:val="nil"/>
              <w:left w:val="nil"/>
              <w:bottom w:val="nil"/>
              <w:right w:val="nil"/>
            </w:tcBorders>
            <w:noWrap/>
            <w:vAlign w:val="center"/>
          </w:tcPr>
          <w:p w14:paraId="5936C9E5"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71</w:t>
            </w:r>
          </w:p>
        </w:tc>
      </w:tr>
      <w:tr w:rsidR="00B5549F" w:rsidRPr="00B5549F" w14:paraId="6CDD1067" w14:textId="77777777" w:rsidTr="00E02797">
        <w:trPr>
          <w:trHeight w:val="283"/>
          <w:jc w:val="center"/>
        </w:trPr>
        <w:tc>
          <w:tcPr>
            <w:tcW w:w="978" w:type="dxa"/>
            <w:vMerge/>
            <w:tcBorders>
              <w:left w:val="nil"/>
              <w:right w:val="nil"/>
            </w:tcBorders>
          </w:tcPr>
          <w:p w14:paraId="7525E498" w14:textId="77777777" w:rsidR="001A6AD1" w:rsidRPr="00B5549F" w:rsidRDefault="001A6AD1" w:rsidP="001A6AD1">
            <w:pPr>
              <w:contextualSpacing/>
              <w:rPr>
                <w:rFonts w:ascii="Times New Roman" w:hAnsi="Times New Roman" w:cs="Times New Roman"/>
                <w:i/>
                <w:iCs/>
                <w:color w:val="000000" w:themeColor="text1"/>
                <w:sz w:val="20"/>
                <w:szCs w:val="20"/>
              </w:rPr>
            </w:pPr>
          </w:p>
        </w:tc>
        <w:tc>
          <w:tcPr>
            <w:tcW w:w="2280" w:type="dxa"/>
            <w:tcBorders>
              <w:top w:val="nil"/>
              <w:left w:val="nil"/>
              <w:bottom w:val="nil"/>
              <w:right w:val="nil"/>
            </w:tcBorders>
            <w:noWrap/>
            <w:vAlign w:val="center"/>
          </w:tcPr>
          <w:p w14:paraId="49BFA097" w14:textId="77777777" w:rsidR="001A6AD1" w:rsidRPr="00B5549F" w:rsidRDefault="001A6AD1" w:rsidP="001A6AD1">
            <w:pPr>
              <w:contextualSpacing/>
              <w:rPr>
                <w:rFonts w:ascii="Times New Roman" w:hAnsi="Times New Roman" w:cs="Times New Roman"/>
                <w:i/>
                <w:iCs/>
                <w:color w:val="000000" w:themeColor="text1"/>
                <w:sz w:val="20"/>
                <w:szCs w:val="20"/>
                <w:vertAlign w:val="subscript"/>
                <w:lang w:val="en-US"/>
              </w:rPr>
            </w:pPr>
            <w:r w:rsidRPr="00B5549F">
              <w:rPr>
                <w:rFonts w:ascii="Times New Roman" w:hAnsi="Times New Roman" w:cs="Times New Roman"/>
                <w:color w:val="000000" w:themeColor="text1"/>
                <w:sz w:val="20"/>
                <w:szCs w:val="20"/>
                <w:lang w:val="en-US"/>
              </w:rPr>
              <w:t xml:space="preserve">New Entries </w:t>
            </w:r>
            <w:r w:rsidRPr="00B5549F">
              <w:rPr>
                <w:rFonts w:ascii="Times New Roman" w:hAnsi="Times New Roman" w:cs="Times New Roman"/>
                <w:i/>
                <w:iCs/>
                <w:color w:val="000000" w:themeColor="text1"/>
                <w:sz w:val="20"/>
                <w:szCs w:val="20"/>
                <w:lang w:val="en-US"/>
              </w:rPr>
              <w:t>new</w:t>
            </w:r>
            <w:r w:rsidRPr="00B5549F">
              <w:rPr>
                <w:rFonts w:ascii="Times New Roman" w:hAnsi="Times New Roman" w:cs="Times New Roman"/>
                <w:i/>
                <w:iCs/>
                <w:color w:val="000000" w:themeColor="text1"/>
                <w:sz w:val="20"/>
                <w:szCs w:val="20"/>
                <w:vertAlign w:val="superscript"/>
                <w:lang w:val="en-US"/>
              </w:rPr>
              <w:t>2</w:t>
            </w:r>
            <w:r w:rsidRPr="00B5549F">
              <w:rPr>
                <w:rFonts w:ascii="Times New Roman" w:hAnsi="Times New Roman" w:cs="Times New Roman"/>
                <w:i/>
                <w:iCs/>
                <w:color w:val="000000" w:themeColor="text1"/>
                <w:sz w:val="20"/>
                <w:szCs w:val="20"/>
                <w:vertAlign w:val="subscript"/>
                <w:lang w:val="en-US"/>
              </w:rPr>
              <w:t>LSE.p,t</w:t>
            </w:r>
          </w:p>
        </w:tc>
        <w:tc>
          <w:tcPr>
            <w:tcW w:w="1300" w:type="dxa"/>
            <w:tcBorders>
              <w:top w:val="nil"/>
              <w:left w:val="nil"/>
              <w:bottom w:val="nil"/>
              <w:right w:val="nil"/>
            </w:tcBorders>
            <w:noWrap/>
            <w:vAlign w:val="center"/>
          </w:tcPr>
          <w:p w14:paraId="5780A6FB" w14:textId="77777777" w:rsidR="001A6AD1" w:rsidRPr="00B5549F" w:rsidRDefault="001A6AD1" w:rsidP="001A6AD1">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2.52</w:t>
            </w:r>
          </w:p>
        </w:tc>
        <w:tc>
          <w:tcPr>
            <w:tcW w:w="1300" w:type="dxa"/>
            <w:tcBorders>
              <w:top w:val="nil"/>
              <w:left w:val="nil"/>
              <w:bottom w:val="nil"/>
              <w:right w:val="nil"/>
            </w:tcBorders>
            <w:noWrap/>
            <w:vAlign w:val="center"/>
          </w:tcPr>
          <w:p w14:paraId="7D92DB1F" w14:textId="77777777" w:rsidR="001A6AD1" w:rsidRPr="00B5549F" w:rsidRDefault="001A6AD1" w:rsidP="001A6AD1">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4.42</w:t>
            </w:r>
          </w:p>
        </w:tc>
        <w:tc>
          <w:tcPr>
            <w:tcW w:w="1300" w:type="dxa"/>
            <w:tcBorders>
              <w:top w:val="nil"/>
              <w:left w:val="nil"/>
              <w:bottom w:val="nil"/>
              <w:right w:val="nil"/>
            </w:tcBorders>
            <w:noWrap/>
            <w:vAlign w:val="center"/>
          </w:tcPr>
          <w:p w14:paraId="05ED42B4" w14:textId="77777777" w:rsidR="001A6AD1" w:rsidRPr="00B5549F" w:rsidRDefault="001A6AD1" w:rsidP="001A6AD1">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w:t>
            </w:r>
          </w:p>
        </w:tc>
        <w:tc>
          <w:tcPr>
            <w:tcW w:w="1300" w:type="dxa"/>
            <w:tcBorders>
              <w:top w:val="nil"/>
              <w:left w:val="nil"/>
              <w:bottom w:val="nil"/>
              <w:right w:val="nil"/>
            </w:tcBorders>
            <w:noWrap/>
            <w:vAlign w:val="center"/>
          </w:tcPr>
          <w:p w14:paraId="7A24B267" w14:textId="77777777" w:rsidR="001A6AD1" w:rsidRPr="00B5549F" w:rsidRDefault="001A6AD1" w:rsidP="001A6AD1">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52</w:t>
            </w:r>
          </w:p>
        </w:tc>
      </w:tr>
      <w:tr w:rsidR="00B5549F" w:rsidRPr="00B5549F" w14:paraId="07FA5D30" w14:textId="77777777" w:rsidTr="00E02797">
        <w:trPr>
          <w:trHeight w:val="283"/>
          <w:jc w:val="center"/>
        </w:trPr>
        <w:tc>
          <w:tcPr>
            <w:tcW w:w="978" w:type="dxa"/>
            <w:vMerge/>
            <w:tcBorders>
              <w:left w:val="nil"/>
              <w:bottom w:val="dashed" w:sz="4" w:space="0" w:color="auto"/>
              <w:right w:val="nil"/>
            </w:tcBorders>
          </w:tcPr>
          <w:p w14:paraId="77CB2A56" w14:textId="77777777" w:rsidR="001A6AD1" w:rsidRPr="00B5549F" w:rsidRDefault="001A6AD1" w:rsidP="001A6AD1">
            <w:pPr>
              <w:contextualSpacing/>
              <w:rPr>
                <w:rFonts w:ascii="Times New Roman" w:hAnsi="Times New Roman" w:cs="Times New Roman"/>
                <w:color w:val="000000" w:themeColor="text1"/>
                <w:sz w:val="20"/>
                <w:szCs w:val="20"/>
                <w:lang w:val="en-US"/>
              </w:rPr>
            </w:pPr>
          </w:p>
        </w:tc>
        <w:tc>
          <w:tcPr>
            <w:tcW w:w="2280" w:type="dxa"/>
            <w:tcBorders>
              <w:top w:val="nil"/>
              <w:left w:val="nil"/>
              <w:bottom w:val="dashed" w:sz="4" w:space="0" w:color="auto"/>
              <w:right w:val="nil"/>
            </w:tcBorders>
            <w:noWrap/>
            <w:vAlign w:val="center"/>
            <w:hideMark/>
          </w:tcPr>
          <w:p w14:paraId="48242D3D" w14:textId="77777777" w:rsidR="001A6AD1" w:rsidRPr="00B5549F" w:rsidRDefault="001A6AD1" w:rsidP="001A6AD1">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New Entries </w:t>
            </w:r>
            <w:r w:rsidRPr="00B5549F">
              <w:rPr>
                <w:rFonts w:ascii="Times New Roman" w:hAnsi="Times New Roman" w:cs="Times New Roman"/>
                <w:i/>
                <w:iCs/>
                <w:color w:val="000000" w:themeColor="text1"/>
                <w:sz w:val="20"/>
                <w:szCs w:val="20"/>
                <w:lang w:val="en-US"/>
              </w:rPr>
              <w:t>new</w:t>
            </w:r>
            <w:r w:rsidRPr="00B5549F">
              <w:rPr>
                <w:rFonts w:ascii="Times New Roman" w:hAnsi="Times New Roman" w:cs="Times New Roman"/>
                <w:i/>
                <w:iCs/>
                <w:color w:val="000000" w:themeColor="text1"/>
                <w:sz w:val="20"/>
                <w:szCs w:val="20"/>
                <w:vertAlign w:val="superscript"/>
                <w:lang w:val="en-US"/>
              </w:rPr>
              <w:t>3</w:t>
            </w:r>
            <w:r w:rsidRPr="00B5549F">
              <w:rPr>
                <w:rFonts w:ascii="Times New Roman" w:hAnsi="Times New Roman" w:cs="Times New Roman"/>
                <w:i/>
                <w:iCs/>
                <w:color w:val="000000" w:themeColor="text1"/>
                <w:sz w:val="20"/>
                <w:szCs w:val="20"/>
                <w:vertAlign w:val="subscript"/>
                <w:lang w:val="en-US"/>
              </w:rPr>
              <w:t>LSE.p,t</w:t>
            </w:r>
          </w:p>
        </w:tc>
        <w:tc>
          <w:tcPr>
            <w:tcW w:w="1300" w:type="dxa"/>
            <w:tcBorders>
              <w:top w:val="nil"/>
              <w:left w:val="nil"/>
              <w:bottom w:val="dashed" w:sz="4" w:space="0" w:color="auto"/>
              <w:right w:val="nil"/>
            </w:tcBorders>
            <w:noWrap/>
            <w:vAlign w:val="center"/>
            <w:hideMark/>
          </w:tcPr>
          <w:p w14:paraId="2EE84AB6"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1.10</w:t>
            </w:r>
          </w:p>
        </w:tc>
        <w:tc>
          <w:tcPr>
            <w:tcW w:w="1300" w:type="dxa"/>
            <w:tcBorders>
              <w:top w:val="nil"/>
              <w:left w:val="nil"/>
              <w:bottom w:val="dashed" w:sz="4" w:space="0" w:color="auto"/>
              <w:right w:val="nil"/>
            </w:tcBorders>
            <w:noWrap/>
            <w:vAlign w:val="center"/>
            <w:hideMark/>
          </w:tcPr>
          <w:p w14:paraId="208701E2"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2.11</w:t>
            </w:r>
          </w:p>
        </w:tc>
        <w:tc>
          <w:tcPr>
            <w:tcW w:w="1300" w:type="dxa"/>
            <w:tcBorders>
              <w:top w:val="nil"/>
              <w:left w:val="nil"/>
              <w:bottom w:val="dashed" w:sz="4" w:space="0" w:color="auto"/>
              <w:right w:val="nil"/>
            </w:tcBorders>
            <w:noWrap/>
            <w:vAlign w:val="center"/>
            <w:hideMark/>
          </w:tcPr>
          <w:p w14:paraId="766005CD"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w:t>
            </w:r>
          </w:p>
        </w:tc>
        <w:tc>
          <w:tcPr>
            <w:tcW w:w="1300" w:type="dxa"/>
            <w:tcBorders>
              <w:top w:val="nil"/>
              <w:left w:val="nil"/>
              <w:bottom w:val="dashed" w:sz="4" w:space="0" w:color="auto"/>
              <w:right w:val="nil"/>
            </w:tcBorders>
            <w:noWrap/>
            <w:vAlign w:val="center"/>
            <w:hideMark/>
          </w:tcPr>
          <w:p w14:paraId="5CCB8D58"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20</w:t>
            </w:r>
          </w:p>
        </w:tc>
      </w:tr>
      <w:tr w:rsidR="00B5549F" w:rsidRPr="00B5549F" w14:paraId="362C9F1E" w14:textId="77777777" w:rsidTr="00E02797">
        <w:trPr>
          <w:trHeight w:val="283"/>
          <w:jc w:val="center"/>
        </w:trPr>
        <w:tc>
          <w:tcPr>
            <w:tcW w:w="978" w:type="dxa"/>
            <w:vMerge w:val="restart"/>
            <w:tcBorders>
              <w:top w:val="dashed" w:sz="4" w:space="0" w:color="auto"/>
              <w:left w:val="nil"/>
              <w:right w:val="nil"/>
            </w:tcBorders>
            <w:vAlign w:val="center"/>
          </w:tcPr>
          <w:p w14:paraId="2AD5A35A" w14:textId="77777777" w:rsidR="001A6AD1" w:rsidRPr="00B5549F" w:rsidRDefault="001A6AD1" w:rsidP="001A6AD1">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i/>
                <w:color w:val="000000" w:themeColor="text1"/>
                <w:sz w:val="20"/>
                <w:szCs w:val="20"/>
                <w:lang w:val="en-US"/>
              </w:rPr>
              <w:t>Independent</w:t>
            </w:r>
          </w:p>
          <w:p w14:paraId="60E86DEA" w14:textId="77777777" w:rsidR="001A6AD1" w:rsidRPr="00B5549F" w:rsidRDefault="001A6AD1" w:rsidP="001A6AD1">
            <w:pPr>
              <w:contextualSpacing/>
              <w:rPr>
                <w:rFonts w:ascii="Times New Roman" w:hAnsi="Times New Roman" w:cs="Times New Roman"/>
                <w:i/>
                <w:iCs/>
                <w:color w:val="000000" w:themeColor="text1"/>
                <w:sz w:val="20"/>
                <w:szCs w:val="20"/>
                <w:lang w:val="en-US"/>
              </w:rPr>
            </w:pPr>
            <w:r w:rsidRPr="00B5549F">
              <w:rPr>
                <w:rFonts w:ascii="Times New Roman" w:hAnsi="Times New Roman" w:cs="Times New Roman"/>
                <w:i/>
                <w:iCs/>
                <w:color w:val="000000" w:themeColor="text1"/>
                <w:sz w:val="20"/>
                <w:szCs w:val="20"/>
                <w:lang w:val="en-US"/>
              </w:rPr>
              <w:t>Variables</w:t>
            </w:r>
          </w:p>
          <w:p w14:paraId="4FCD8904" w14:textId="77777777" w:rsidR="001A6AD1" w:rsidRPr="00B5549F" w:rsidRDefault="001A6AD1" w:rsidP="001A6AD1">
            <w:pPr>
              <w:contextualSpacing/>
              <w:rPr>
                <w:rFonts w:ascii="Times New Roman" w:hAnsi="Times New Roman" w:cs="Times New Roman"/>
                <w:i/>
                <w:iCs/>
                <w:color w:val="000000" w:themeColor="text1"/>
                <w:sz w:val="20"/>
                <w:szCs w:val="20"/>
                <w:lang w:val="en-US"/>
              </w:rPr>
            </w:pPr>
            <w:r w:rsidRPr="00B5549F">
              <w:rPr>
                <w:rFonts w:ascii="Times New Roman" w:hAnsi="Times New Roman" w:cs="Times New Roman"/>
                <w:i/>
                <w:iCs/>
                <w:color w:val="000000" w:themeColor="text1"/>
                <w:sz w:val="20"/>
                <w:szCs w:val="20"/>
                <w:lang w:val="en-US"/>
              </w:rPr>
              <w:t>And</w:t>
            </w:r>
          </w:p>
          <w:p w14:paraId="1B0E4495" w14:textId="77777777" w:rsidR="001A6AD1" w:rsidRPr="00B5549F" w:rsidRDefault="001A6AD1" w:rsidP="001A6AD1">
            <w:pPr>
              <w:contextualSpacing/>
              <w:rPr>
                <w:rFonts w:ascii="Times New Roman" w:hAnsi="Times New Roman" w:cs="Times New Roman"/>
                <w:i/>
                <w:iCs/>
                <w:color w:val="000000" w:themeColor="text1"/>
                <w:sz w:val="20"/>
                <w:szCs w:val="20"/>
                <w:lang w:val="en-US"/>
              </w:rPr>
            </w:pPr>
            <w:r w:rsidRPr="00B5549F">
              <w:rPr>
                <w:rFonts w:ascii="Times New Roman" w:hAnsi="Times New Roman" w:cs="Times New Roman"/>
                <w:i/>
                <w:iCs/>
                <w:color w:val="000000" w:themeColor="text1"/>
                <w:sz w:val="20"/>
                <w:szCs w:val="20"/>
                <w:lang w:val="en-US"/>
              </w:rPr>
              <w:t>Control</w:t>
            </w:r>
          </w:p>
          <w:p w14:paraId="0D69D1B6" w14:textId="77777777" w:rsidR="001A6AD1" w:rsidRPr="00B5549F" w:rsidRDefault="001A6AD1" w:rsidP="001A6AD1">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i/>
                <w:color w:val="000000" w:themeColor="text1"/>
                <w:sz w:val="20"/>
                <w:szCs w:val="20"/>
                <w:lang w:val="en-US"/>
              </w:rPr>
              <w:t>Variables</w:t>
            </w:r>
          </w:p>
        </w:tc>
        <w:tc>
          <w:tcPr>
            <w:tcW w:w="2280" w:type="dxa"/>
            <w:tcBorders>
              <w:top w:val="dashed" w:sz="4" w:space="0" w:color="auto"/>
              <w:left w:val="nil"/>
              <w:right w:val="nil"/>
            </w:tcBorders>
            <w:noWrap/>
            <w:vAlign w:val="center"/>
          </w:tcPr>
          <w:p w14:paraId="2F9EF4D5" w14:textId="77777777" w:rsidR="001A6AD1" w:rsidRPr="00B5549F" w:rsidRDefault="001A6AD1" w:rsidP="001A6AD1">
            <w:pPr>
              <w:contextualSpacing/>
              <w:rPr>
                <w:rFonts w:ascii="Times New Roman" w:hAnsi="Times New Roman" w:cs="Times New Roman"/>
                <w:color w:val="000000" w:themeColor="text1"/>
                <w:sz w:val="20"/>
                <w:szCs w:val="20"/>
              </w:rPr>
            </w:pPr>
            <w:r w:rsidRPr="00B5549F">
              <w:rPr>
                <w:rFonts w:ascii="Times New Roman" w:hAnsi="Times New Roman" w:cs="Times New Roman"/>
                <w:i/>
                <w:iCs/>
                <w:color w:val="000000" w:themeColor="text1"/>
                <w:sz w:val="20"/>
                <w:szCs w:val="20"/>
              </w:rPr>
              <w:t>MarketClimate</w:t>
            </w:r>
            <w:r w:rsidRPr="00B5549F">
              <w:rPr>
                <w:rFonts w:ascii="Times New Roman" w:hAnsi="Times New Roman" w:cs="Times New Roman"/>
                <w:i/>
                <w:iCs/>
                <w:color w:val="000000" w:themeColor="text1"/>
                <w:sz w:val="20"/>
                <w:szCs w:val="20"/>
                <w:vertAlign w:val="superscript"/>
              </w:rPr>
              <w:t>3</w:t>
            </w:r>
            <w:r w:rsidRPr="00B5549F">
              <w:rPr>
                <w:rFonts w:ascii="Times New Roman" w:hAnsi="Times New Roman" w:cs="Times New Roman"/>
                <w:i/>
                <w:iCs/>
                <w:color w:val="000000" w:themeColor="text1"/>
                <w:sz w:val="20"/>
                <w:szCs w:val="20"/>
                <w:vertAlign w:val="subscript"/>
              </w:rPr>
              <w:t>pt</w:t>
            </w:r>
          </w:p>
        </w:tc>
        <w:tc>
          <w:tcPr>
            <w:tcW w:w="1300" w:type="dxa"/>
            <w:tcBorders>
              <w:top w:val="dashed" w:sz="4" w:space="0" w:color="auto"/>
              <w:left w:val="nil"/>
              <w:right w:val="nil"/>
            </w:tcBorders>
            <w:noWrap/>
            <w:vAlign w:val="center"/>
          </w:tcPr>
          <w:p w14:paraId="00234E53"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23,952</w:t>
            </w:r>
          </w:p>
        </w:tc>
        <w:tc>
          <w:tcPr>
            <w:tcW w:w="1300" w:type="dxa"/>
            <w:tcBorders>
              <w:top w:val="dashed" w:sz="4" w:space="0" w:color="auto"/>
              <w:left w:val="nil"/>
              <w:right w:val="nil"/>
            </w:tcBorders>
            <w:noWrap/>
            <w:vAlign w:val="center"/>
          </w:tcPr>
          <w:p w14:paraId="65806971"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46,209</w:t>
            </w:r>
          </w:p>
        </w:tc>
        <w:tc>
          <w:tcPr>
            <w:tcW w:w="1300" w:type="dxa"/>
            <w:tcBorders>
              <w:top w:val="dashed" w:sz="4" w:space="0" w:color="auto"/>
              <w:left w:val="nil"/>
              <w:right w:val="nil"/>
            </w:tcBorders>
            <w:noWrap/>
            <w:vAlign w:val="center"/>
          </w:tcPr>
          <w:p w14:paraId="0A5A0319"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85</w:t>
            </w:r>
          </w:p>
        </w:tc>
        <w:tc>
          <w:tcPr>
            <w:tcW w:w="1300" w:type="dxa"/>
            <w:tcBorders>
              <w:top w:val="dashed" w:sz="4" w:space="0" w:color="auto"/>
              <w:left w:val="nil"/>
              <w:right w:val="nil"/>
            </w:tcBorders>
            <w:noWrap/>
            <w:vAlign w:val="center"/>
          </w:tcPr>
          <w:p w14:paraId="3A359F4A"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498,157</w:t>
            </w:r>
          </w:p>
        </w:tc>
      </w:tr>
      <w:tr w:rsidR="00B5549F" w:rsidRPr="00B5549F" w14:paraId="72BA40BA" w14:textId="77777777" w:rsidTr="00E02797">
        <w:trPr>
          <w:trHeight w:val="283"/>
          <w:jc w:val="center"/>
        </w:trPr>
        <w:tc>
          <w:tcPr>
            <w:tcW w:w="978" w:type="dxa"/>
            <w:vMerge/>
            <w:tcBorders>
              <w:left w:val="nil"/>
              <w:right w:val="nil"/>
            </w:tcBorders>
          </w:tcPr>
          <w:p w14:paraId="68E11571" w14:textId="77777777" w:rsidR="001A6AD1" w:rsidRPr="00B5549F" w:rsidRDefault="001A6AD1" w:rsidP="001A6AD1">
            <w:pPr>
              <w:contextualSpacing/>
              <w:rPr>
                <w:rFonts w:ascii="Times New Roman" w:hAnsi="Times New Roman" w:cs="Times New Roman"/>
                <w:color w:val="000000" w:themeColor="text1"/>
                <w:sz w:val="20"/>
                <w:szCs w:val="20"/>
              </w:rPr>
            </w:pPr>
          </w:p>
        </w:tc>
        <w:tc>
          <w:tcPr>
            <w:tcW w:w="2280" w:type="dxa"/>
            <w:tcBorders>
              <w:left w:val="nil"/>
              <w:bottom w:val="nil"/>
              <w:right w:val="nil"/>
            </w:tcBorders>
            <w:noWrap/>
            <w:vAlign w:val="center"/>
          </w:tcPr>
          <w:p w14:paraId="1E007E33" w14:textId="77777777" w:rsidR="001A6AD1" w:rsidRPr="00B5549F" w:rsidRDefault="001A6AD1" w:rsidP="001A6AD1">
            <w:pPr>
              <w:contextualSpacing/>
              <w:rPr>
                <w:rFonts w:ascii="Times New Roman" w:hAnsi="Times New Roman" w:cs="Times New Roman"/>
                <w:color w:val="000000" w:themeColor="text1"/>
                <w:sz w:val="20"/>
                <w:szCs w:val="20"/>
              </w:rPr>
            </w:pPr>
            <w:proofErr w:type="spellStart"/>
            <w:r w:rsidRPr="00B5549F">
              <w:rPr>
                <w:rFonts w:ascii="Times New Roman" w:hAnsi="Times New Roman" w:cs="Times New Roman"/>
                <w:i/>
                <w:iCs/>
                <w:color w:val="000000" w:themeColor="text1"/>
                <w:sz w:val="20"/>
                <w:szCs w:val="20"/>
              </w:rPr>
              <w:t>UnoccupiedDwellings</w:t>
            </w:r>
            <w:r w:rsidRPr="00B5549F">
              <w:rPr>
                <w:rFonts w:ascii="Times New Roman" w:hAnsi="Times New Roman" w:cs="Times New Roman"/>
                <w:i/>
                <w:iCs/>
                <w:color w:val="000000" w:themeColor="text1"/>
                <w:sz w:val="20"/>
                <w:szCs w:val="20"/>
                <w:vertAlign w:val="subscript"/>
              </w:rPr>
              <w:t>p</w:t>
            </w:r>
            <w:proofErr w:type="spellEnd"/>
          </w:p>
        </w:tc>
        <w:tc>
          <w:tcPr>
            <w:tcW w:w="1300" w:type="dxa"/>
            <w:tcBorders>
              <w:left w:val="nil"/>
              <w:bottom w:val="nil"/>
              <w:right w:val="nil"/>
            </w:tcBorders>
            <w:noWrap/>
            <w:vAlign w:val="center"/>
          </w:tcPr>
          <w:p w14:paraId="13F61E75"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65,777</w:t>
            </w:r>
          </w:p>
        </w:tc>
        <w:tc>
          <w:tcPr>
            <w:tcW w:w="1300" w:type="dxa"/>
            <w:tcBorders>
              <w:left w:val="nil"/>
              <w:bottom w:val="nil"/>
              <w:right w:val="nil"/>
            </w:tcBorders>
            <w:noWrap/>
            <w:vAlign w:val="center"/>
          </w:tcPr>
          <w:p w14:paraId="63FB1D42"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43,159</w:t>
            </w:r>
          </w:p>
        </w:tc>
        <w:tc>
          <w:tcPr>
            <w:tcW w:w="1300" w:type="dxa"/>
            <w:tcBorders>
              <w:left w:val="nil"/>
              <w:bottom w:val="nil"/>
              <w:right w:val="nil"/>
            </w:tcBorders>
            <w:noWrap/>
            <w:vAlign w:val="center"/>
          </w:tcPr>
          <w:p w14:paraId="339E5401"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10,407</w:t>
            </w:r>
          </w:p>
        </w:tc>
        <w:tc>
          <w:tcPr>
            <w:tcW w:w="1300" w:type="dxa"/>
            <w:tcBorders>
              <w:left w:val="nil"/>
              <w:bottom w:val="nil"/>
              <w:right w:val="nil"/>
            </w:tcBorders>
            <w:noWrap/>
            <w:vAlign w:val="center"/>
          </w:tcPr>
          <w:p w14:paraId="5C097AD6"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254,098</w:t>
            </w:r>
          </w:p>
        </w:tc>
      </w:tr>
      <w:tr w:rsidR="00B5549F" w:rsidRPr="00B5549F" w14:paraId="3AEB6BC5" w14:textId="77777777" w:rsidTr="00E02797">
        <w:trPr>
          <w:trHeight w:val="283"/>
          <w:jc w:val="center"/>
        </w:trPr>
        <w:tc>
          <w:tcPr>
            <w:tcW w:w="978" w:type="dxa"/>
            <w:vMerge/>
            <w:tcBorders>
              <w:left w:val="nil"/>
              <w:right w:val="nil"/>
            </w:tcBorders>
          </w:tcPr>
          <w:p w14:paraId="6E52095E" w14:textId="77777777" w:rsidR="001A6AD1" w:rsidRPr="00B5549F" w:rsidRDefault="001A6AD1" w:rsidP="001A6AD1">
            <w:pPr>
              <w:contextualSpacing/>
              <w:rPr>
                <w:rFonts w:ascii="Times New Roman" w:hAnsi="Times New Roman" w:cs="Times New Roman"/>
                <w:color w:val="000000" w:themeColor="text1"/>
                <w:sz w:val="20"/>
                <w:szCs w:val="20"/>
              </w:rPr>
            </w:pPr>
          </w:p>
        </w:tc>
        <w:tc>
          <w:tcPr>
            <w:tcW w:w="2280" w:type="dxa"/>
            <w:tcBorders>
              <w:left w:val="nil"/>
              <w:bottom w:val="nil"/>
              <w:right w:val="nil"/>
            </w:tcBorders>
            <w:noWrap/>
            <w:vAlign w:val="center"/>
          </w:tcPr>
          <w:p w14:paraId="5C3E4745" w14:textId="77777777" w:rsidR="001A6AD1" w:rsidRPr="00B5549F" w:rsidRDefault="001A6AD1" w:rsidP="001A6AD1">
            <w:pPr>
              <w:contextualSpacing/>
              <w:rPr>
                <w:rFonts w:ascii="Times New Roman" w:hAnsi="Times New Roman" w:cs="Times New Roman"/>
                <w:color w:val="000000" w:themeColor="text1"/>
                <w:sz w:val="20"/>
                <w:szCs w:val="20"/>
              </w:rPr>
            </w:pPr>
            <w:proofErr w:type="spellStart"/>
            <w:r w:rsidRPr="00B5549F">
              <w:rPr>
                <w:rFonts w:ascii="Times New Roman" w:hAnsi="Times New Roman" w:cs="Times New Roman"/>
                <w:i/>
                <w:iCs/>
                <w:color w:val="000000" w:themeColor="text1"/>
                <w:sz w:val="20"/>
                <w:szCs w:val="20"/>
              </w:rPr>
              <w:t>UnemplRate</w:t>
            </w:r>
            <w:r w:rsidRPr="00B5549F">
              <w:rPr>
                <w:rFonts w:ascii="Times New Roman" w:hAnsi="Times New Roman" w:cs="Times New Roman"/>
                <w:i/>
                <w:iCs/>
                <w:color w:val="000000" w:themeColor="text1"/>
                <w:sz w:val="20"/>
                <w:szCs w:val="20"/>
                <w:vertAlign w:val="subscript"/>
              </w:rPr>
              <w:t>pt</w:t>
            </w:r>
            <w:proofErr w:type="spellEnd"/>
          </w:p>
        </w:tc>
        <w:tc>
          <w:tcPr>
            <w:tcW w:w="1300" w:type="dxa"/>
            <w:tcBorders>
              <w:left w:val="nil"/>
              <w:bottom w:val="nil"/>
              <w:right w:val="nil"/>
            </w:tcBorders>
            <w:noWrap/>
            <w:vAlign w:val="center"/>
          </w:tcPr>
          <w:p w14:paraId="5C41001A"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0.11</w:t>
            </w:r>
          </w:p>
        </w:tc>
        <w:tc>
          <w:tcPr>
            <w:tcW w:w="1300" w:type="dxa"/>
            <w:tcBorders>
              <w:left w:val="nil"/>
              <w:bottom w:val="nil"/>
              <w:right w:val="nil"/>
            </w:tcBorders>
            <w:noWrap/>
            <w:vAlign w:val="center"/>
          </w:tcPr>
          <w:p w14:paraId="44ADBDB6"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0.06</w:t>
            </w:r>
          </w:p>
        </w:tc>
        <w:tc>
          <w:tcPr>
            <w:tcW w:w="1300" w:type="dxa"/>
            <w:tcBorders>
              <w:left w:val="nil"/>
              <w:bottom w:val="nil"/>
              <w:right w:val="nil"/>
            </w:tcBorders>
            <w:noWrap/>
            <w:vAlign w:val="center"/>
          </w:tcPr>
          <w:p w14:paraId="5853C7E8"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0.03</w:t>
            </w:r>
          </w:p>
        </w:tc>
        <w:tc>
          <w:tcPr>
            <w:tcW w:w="1300" w:type="dxa"/>
            <w:tcBorders>
              <w:left w:val="nil"/>
              <w:bottom w:val="nil"/>
              <w:right w:val="nil"/>
            </w:tcBorders>
            <w:noWrap/>
            <w:vAlign w:val="center"/>
          </w:tcPr>
          <w:p w14:paraId="2128F27D"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0.29</w:t>
            </w:r>
          </w:p>
        </w:tc>
      </w:tr>
      <w:tr w:rsidR="00B5549F" w:rsidRPr="00B5549F" w14:paraId="07F3614F" w14:textId="77777777" w:rsidTr="00E02797">
        <w:trPr>
          <w:trHeight w:val="283"/>
          <w:jc w:val="center"/>
        </w:trPr>
        <w:tc>
          <w:tcPr>
            <w:tcW w:w="978" w:type="dxa"/>
            <w:vMerge/>
            <w:tcBorders>
              <w:left w:val="nil"/>
              <w:right w:val="nil"/>
            </w:tcBorders>
          </w:tcPr>
          <w:p w14:paraId="74922D8B" w14:textId="77777777" w:rsidR="001A6AD1" w:rsidRPr="00B5549F" w:rsidRDefault="001A6AD1" w:rsidP="001A6AD1">
            <w:pPr>
              <w:contextualSpacing/>
              <w:rPr>
                <w:rFonts w:ascii="Times New Roman" w:hAnsi="Times New Roman" w:cs="Times New Roman"/>
                <w:i/>
                <w:iCs/>
                <w:color w:val="000000" w:themeColor="text1"/>
                <w:sz w:val="20"/>
                <w:szCs w:val="20"/>
              </w:rPr>
            </w:pPr>
          </w:p>
        </w:tc>
        <w:tc>
          <w:tcPr>
            <w:tcW w:w="2280" w:type="dxa"/>
            <w:tcBorders>
              <w:left w:val="nil"/>
              <w:right w:val="nil"/>
            </w:tcBorders>
            <w:noWrap/>
            <w:vAlign w:val="center"/>
          </w:tcPr>
          <w:p w14:paraId="26EA2A8E" w14:textId="5F1512AC" w:rsidR="001A6AD1" w:rsidRPr="00B5549F" w:rsidRDefault="001A6AD1" w:rsidP="001A6AD1">
            <w:pPr>
              <w:contextualSpacing/>
              <w:rPr>
                <w:rFonts w:ascii="Times New Roman" w:hAnsi="Times New Roman" w:cs="Times New Roman"/>
                <w:color w:val="000000" w:themeColor="text1"/>
                <w:sz w:val="20"/>
                <w:szCs w:val="20"/>
              </w:rPr>
            </w:pPr>
            <w:proofErr w:type="spellStart"/>
            <w:r w:rsidRPr="00B5549F">
              <w:rPr>
                <w:rFonts w:ascii="Times New Roman" w:hAnsi="Times New Roman" w:cs="Times New Roman"/>
                <w:i/>
                <w:iCs/>
                <w:color w:val="000000" w:themeColor="text1"/>
                <w:sz w:val="20"/>
                <w:szCs w:val="20"/>
              </w:rPr>
              <w:t>High</w:t>
            </w:r>
            <w:r w:rsidR="00761CB1" w:rsidRPr="00B5549F">
              <w:rPr>
                <w:rFonts w:ascii="Times New Roman" w:hAnsi="Times New Roman" w:cs="Times New Roman"/>
                <w:i/>
                <w:iCs/>
                <w:color w:val="000000" w:themeColor="text1"/>
                <w:sz w:val="20"/>
                <w:szCs w:val="20"/>
              </w:rPr>
              <w:t>End</w:t>
            </w:r>
            <w:r w:rsidRPr="00B5549F">
              <w:rPr>
                <w:rFonts w:ascii="Times New Roman" w:hAnsi="Times New Roman" w:cs="Times New Roman"/>
                <w:i/>
                <w:iCs/>
                <w:color w:val="000000" w:themeColor="text1"/>
                <w:sz w:val="20"/>
                <w:szCs w:val="20"/>
              </w:rPr>
              <w:t>Specialized</w:t>
            </w:r>
            <w:r w:rsidRPr="00B5549F">
              <w:rPr>
                <w:rFonts w:ascii="Times New Roman" w:hAnsi="Times New Roman" w:cs="Times New Roman"/>
                <w:i/>
                <w:iCs/>
                <w:color w:val="000000" w:themeColor="text1"/>
                <w:sz w:val="20"/>
                <w:szCs w:val="20"/>
                <w:vertAlign w:val="subscript"/>
              </w:rPr>
              <w:t>p</w:t>
            </w:r>
            <w:proofErr w:type="spellEnd"/>
          </w:p>
        </w:tc>
        <w:tc>
          <w:tcPr>
            <w:tcW w:w="1300" w:type="dxa"/>
            <w:tcBorders>
              <w:left w:val="nil"/>
              <w:right w:val="nil"/>
            </w:tcBorders>
            <w:noWrap/>
            <w:vAlign w:val="center"/>
          </w:tcPr>
          <w:p w14:paraId="006F4336"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0.51</w:t>
            </w:r>
          </w:p>
        </w:tc>
        <w:tc>
          <w:tcPr>
            <w:tcW w:w="1300" w:type="dxa"/>
            <w:tcBorders>
              <w:left w:val="nil"/>
              <w:right w:val="nil"/>
            </w:tcBorders>
            <w:noWrap/>
            <w:vAlign w:val="center"/>
          </w:tcPr>
          <w:p w14:paraId="477215E1"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0.50</w:t>
            </w:r>
          </w:p>
        </w:tc>
        <w:tc>
          <w:tcPr>
            <w:tcW w:w="1300" w:type="dxa"/>
            <w:tcBorders>
              <w:left w:val="nil"/>
              <w:right w:val="nil"/>
            </w:tcBorders>
            <w:noWrap/>
            <w:vAlign w:val="center"/>
          </w:tcPr>
          <w:p w14:paraId="7EBE3978"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w:t>
            </w:r>
          </w:p>
        </w:tc>
        <w:tc>
          <w:tcPr>
            <w:tcW w:w="1300" w:type="dxa"/>
            <w:tcBorders>
              <w:left w:val="nil"/>
              <w:right w:val="nil"/>
            </w:tcBorders>
            <w:noWrap/>
            <w:vAlign w:val="center"/>
          </w:tcPr>
          <w:p w14:paraId="62AFA900"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w:t>
            </w:r>
          </w:p>
        </w:tc>
      </w:tr>
      <w:tr w:rsidR="00B5549F" w:rsidRPr="00B5549F" w14:paraId="4BF366AB" w14:textId="77777777" w:rsidTr="00E02797">
        <w:trPr>
          <w:trHeight w:val="283"/>
          <w:jc w:val="center"/>
        </w:trPr>
        <w:tc>
          <w:tcPr>
            <w:tcW w:w="978" w:type="dxa"/>
            <w:vMerge/>
            <w:tcBorders>
              <w:left w:val="nil"/>
              <w:right w:val="nil"/>
            </w:tcBorders>
          </w:tcPr>
          <w:p w14:paraId="1EE8D44A" w14:textId="77777777" w:rsidR="001A6AD1" w:rsidRPr="00B5549F" w:rsidRDefault="001A6AD1" w:rsidP="001A6AD1">
            <w:pPr>
              <w:contextualSpacing/>
              <w:rPr>
                <w:rFonts w:ascii="Times New Roman" w:hAnsi="Times New Roman" w:cs="Times New Roman"/>
                <w:i/>
                <w:iCs/>
                <w:color w:val="000000" w:themeColor="text1"/>
                <w:sz w:val="20"/>
                <w:szCs w:val="20"/>
              </w:rPr>
            </w:pPr>
          </w:p>
        </w:tc>
        <w:tc>
          <w:tcPr>
            <w:tcW w:w="2280" w:type="dxa"/>
            <w:tcBorders>
              <w:left w:val="nil"/>
              <w:bottom w:val="nil"/>
              <w:right w:val="nil"/>
            </w:tcBorders>
            <w:noWrap/>
            <w:vAlign w:val="center"/>
            <w:hideMark/>
          </w:tcPr>
          <w:p w14:paraId="6524E463" w14:textId="77777777" w:rsidR="001A6AD1" w:rsidRPr="00B5549F" w:rsidRDefault="001A6AD1" w:rsidP="001A6AD1">
            <w:pPr>
              <w:contextualSpacing/>
              <w:rPr>
                <w:rFonts w:ascii="Times New Roman" w:hAnsi="Times New Roman" w:cs="Times New Roman"/>
                <w:color w:val="000000" w:themeColor="text1"/>
                <w:sz w:val="20"/>
                <w:szCs w:val="20"/>
              </w:rPr>
            </w:pPr>
            <w:r w:rsidRPr="00B5549F">
              <w:rPr>
                <w:rFonts w:ascii="Times New Roman" w:hAnsi="Times New Roman" w:cs="Times New Roman"/>
                <w:i/>
                <w:iCs/>
                <w:color w:val="000000" w:themeColor="text1"/>
                <w:sz w:val="20"/>
                <w:szCs w:val="20"/>
              </w:rPr>
              <w:t>ConcentrationProp</w:t>
            </w:r>
            <w:r w:rsidRPr="00B5549F">
              <w:rPr>
                <w:rFonts w:ascii="Times New Roman" w:hAnsi="Times New Roman" w:cs="Times New Roman"/>
                <w:i/>
                <w:iCs/>
                <w:color w:val="000000" w:themeColor="text1"/>
                <w:sz w:val="20"/>
                <w:szCs w:val="20"/>
                <w:vertAlign w:val="subscript"/>
              </w:rPr>
              <w:t>pt-1</w:t>
            </w:r>
          </w:p>
        </w:tc>
        <w:tc>
          <w:tcPr>
            <w:tcW w:w="1300" w:type="dxa"/>
            <w:tcBorders>
              <w:left w:val="nil"/>
              <w:bottom w:val="nil"/>
              <w:right w:val="nil"/>
            </w:tcBorders>
            <w:noWrap/>
            <w:vAlign w:val="center"/>
            <w:hideMark/>
          </w:tcPr>
          <w:p w14:paraId="535A8B12"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1.60</w:t>
            </w:r>
          </w:p>
        </w:tc>
        <w:tc>
          <w:tcPr>
            <w:tcW w:w="1300" w:type="dxa"/>
            <w:tcBorders>
              <w:left w:val="nil"/>
              <w:bottom w:val="nil"/>
              <w:right w:val="nil"/>
            </w:tcBorders>
            <w:noWrap/>
            <w:vAlign w:val="center"/>
            <w:hideMark/>
          </w:tcPr>
          <w:p w14:paraId="53961AF6"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2.26</w:t>
            </w:r>
          </w:p>
        </w:tc>
        <w:tc>
          <w:tcPr>
            <w:tcW w:w="1300" w:type="dxa"/>
            <w:tcBorders>
              <w:left w:val="nil"/>
              <w:bottom w:val="nil"/>
              <w:right w:val="nil"/>
            </w:tcBorders>
            <w:noWrap/>
            <w:vAlign w:val="center"/>
            <w:hideMark/>
          </w:tcPr>
          <w:p w14:paraId="40953F03"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0.05</w:t>
            </w:r>
          </w:p>
        </w:tc>
        <w:tc>
          <w:tcPr>
            <w:tcW w:w="1300" w:type="dxa"/>
            <w:tcBorders>
              <w:left w:val="nil"/>
              <w:bottom w:val="nil"/>
              <w:right w:val="nil"/>
            </w:tcBorders>
            <w:noWrap/>
            <w:vAlign w:val="center"/>
            <w:hideMark/>
          </w:tcPr>
          <w:p w14:paraId="389F224B"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15.98</w:t>
            </w:r>
          </w:p>
        </w:tc>
      </w:tr>
      <w:tr w:rsidR="00B5549F" w:rsidRPr="00B5549F" w14:paraId="044B59E7" w14:textId="77777777" w:rsidTr="00E02797">
        <w:trPr>
          <w:trHeight w:val="283"/>
          <w:jc w:val="center"/>
        </w:trPr>
        <w:tc>
          <w:tcPr>
            <w:tcW w:w="978" w:type="dxa"/>
            <w:vMerge/>
            <w:tcBorders>
              <w:left w:val="nil"/>
              <w:right w:val="nil"/>
            </w:tcBorders>
          </w:tcPr>
          <w:p w14:paraId="53B69CA4" w14:textId="77777777" w:rsidR="001A6AD1" w:rsidRPr="00B5549F" w:rsidRDefault="001A6AD1" w:rsidP="001A6AD1">
            <w:pPr>
              <w:contextualSpacing/>
              <w:rPr>
                <w:rFonts w:ascii="Times New Roman" w:hAnsi="Times New Roman" w:cs="Times New Roman"/>
                <w:i/>
                <w:iCs/>
                <w:color w:val="000000" w:themeColor="text1"/>
                <w:sz w:val="20"/>
                <w:szCs w:val="20"/>
              </w:rPr>
            </w:pPr>
          </w:p>
        </w:tc>
        <w:tc>
          <w:tcPr>
            <w:tcW w:w="2280" w:type="dxa"/>
            <w:tcBorders>
              <w:left w:val="nil"/>
              <w:bottom w:val="nil"/>
              <w:right w:val="nil"/>
            </w:tcBorders>
            <w:noWrap/>
            <w:vAlign w:val="center"/>
            <w:hideMark/>
          </w:tcPr>
          <w:p w14:paraId="1FA41659" w14:textId="77777777" w:rsidR="001A6AD1" w:rsidRPr="00B5549F" w:rsidRDefault="001A6AD1" w:rsidP="001A6AD1">
            <w:pPr>
              <w:contextualSpacing/>
              <w:rPr>
                <w:rFonts w:ascii="Times New Roman" w:hAnsi="Times New Roman" w:cs="Times New Roman"/>
                <w:color w:val="000000" w:themeColor="text1"/>
                <w:sz w:val="20"/>
                <w:szCs w:val="20"/>
              </w:rPr>
            </w:pPr>
            <w:proofErr w:type="spellStart"/>
            <w:r w:rsidRPr="00B5549F">
              <w:rPr>
                <w:rFonts w:ascii="Times New Roman" w:hAnsi="Times New Roman" w:cs="Times New Roman"/>
                <w:i/>
                <w:iCs/>
                <w:color w:val="000000" w:themeColor="text1"/>
                <w:sz w:val="20"/>
                <w:szCs w:val="20"/>
              </w:rPr>
              <w:t>AVGRent</w:t>
            </w:r>
            <w:r w:rsidRPr="00B5549F">
              <w:rPr>
                <w:rFonts w:ascii="Times New Roman" w:hAnsi="Times New Roman" w:cs="Times New Roman"/>
                <w:i/>
                <w:iCs/>
                <w:color w:val="000000" w:themeColor="text1"/>
                <w:sz w:val="20"/>
                <w:szCs w:val="20"/>
                <w:vertAlign w:val="subscript"/>
              </w:rPr>
              <w:t>pt</w:t>
            </w:r>
            <w:proofErr w:type="spellEnd"/>
            <w:r w:rsidRPr="00B5549F">
              <w:rPr>
                <w:rFonts w:ascii="Times New Roman" w:hAnsi="Times New Roman" w:cs="Times New Roman"/>
                <w:color w:val="000000" w:themeColor="text1"/>
                <w:sz w:val="20"/>
                <w:szCs w:val="20"/>
              </w:rPr>
              <w:t xml:space="preserve"> [€/</w:t>
            </w:r>
            <w:proofErr w:type="spellStart"/>
            <w:r w:rsidRPr="00B5549F">
              <w:rPr>
                <w:rFonts w:ascii="Times New Roman" w:hAnsi="Times New Roman" w:cs="Times New Roman"/>
                <w:color w:val="000000" w:themeColor="text1"/>
                <w:sz w:val="20"/>
                <w:szCs w:val="20"/>
              </w:rPr>
              <w:t>sqM</w:t>
            </w:r>
            <w:proofErr w:type="spellEnd"/>
            <w:r w:rsidRPr="00B5549F">
              <w:rPr>
                <w:rFonts w:ascii="Times New Roman" w:hAnsi="Times New Roman" w:cs="Times New Roman"/>
                <w:color w:val="000000" w:themeColor="text1"/>
                <w:sz w:val="20"/>
                <w:szCs w:val="20"/>
              </w:rPr>
              <w:t xml:space="preserve"> </w:t>
            </w:r>
            <w:proofErr w:type="spellStart"/>
            <w:r w:rsidRPr="00B5549F">
              <w:rPr>
                <w:rFonts w:ascii="Times New Roman" w:hAnsi="Times New Roman" w:cs="Times New Roman"/>
                <w:color w:val="000000" w:themeColor="text1"/>
                <w:sz w:val="20"/>
                <w:szCs w:val="20"/>
              </w:rPr>
              <w:t>Month</w:t>
            </w:r>
            <w:proofErr w:type="spellEnd"/>
            <w:r w:rsidRPr="00B5549F">
              <w:rPr>
                <w:rFonts w:ascii="Times New Roman" w:hAnsi="Times New Roman" w:cs="Times New Roman"/>
                <w:color w:val="000000" w:themeColor="text1"/>
                <w:sz w:val="20"/>
                <w:szCs w:val="20"/>
              </w:rPr>
              <w:t>]</w:t>
            </w:r>
          </w:p>
        </w:tc>
        <w:tc>
          <w:tcPr>
            <w:tcW w:w="1300" w:type="dxa"/>
            <w:tcBorders>
              <w:left w:val="nil"/>
              <w:bottom w:val="nil"/>
              <w:right w:val="nil"/>
            </w:tcBorders>
            <w:noWrap/>
            <w:vAlign w:val="center"/>
            <w:hideMark/>
          </w:tcPr>
          <w:p w14:paraId="74FA14D8"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3.49</w:t>
            </w:r>
          </w:p>
        </w:tc>
        <w:tc>
          <w:tcPr>
            <w:tcW w:w="1300" w:type="dxa"/>
            <w:tcBorders>
              <w:left w:val="nil"/>
              <w:bottom w:val="nil"/>
              <w:right w:val="nil"/>
            </w:tcBorders>
            <w:noWrap/>
            <w:vAlign w:val="center"/>
            <w:hideMark/>
          </w:tcPr>
          <w:p w14:paraId="38FE8B5E"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1.72</w:t>
            </w:r>
          </w:p>
        </w:tc>
        <w:tc>
          <w:tcPr>
            <w:tcW w:w="1300" w:type="dxa"/>
            <w:tcBorders>
              <w:left w:val="nil"/>
              <w:bottom w:val="nil"/>
              <w:right w:val="nil"/>
            </w:tcBorders>
            <w:noWrap/>
            <w:vAlign w:val="center"/>
            <w:hideMark/>
          </w:tcPr>
          <w:p w14:paraId="18357A61"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0.24</w:t>
            </w:r>
          </w:p>
        </w:tc>
        <w:tc>
          <w:tcPr>
            <w:tcW w:w="1300" w:type="dxa"/>
            <w:tcBorders>
              <w:left w:val="nil"/>
              <w:bottom w:val="nil"/>
              <w:right w:val="nil"/>
            </w:tcBorders>
            <w:noWrap/>
            <w:vAlign w:val="center"/>
            <w:hideMark/>
          </w:tcPr>
          <w:p w14:paraId="56A49DEC"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9.08</w:t>
            </w:r>
          </w:p>
        </w:tc>
      </w:tr>
      <w:tr w:rsidR="00B5549F" w:rsidRPr="00B5549F" w14:paraId="5C3C2679" w14:textId="77777777" w:rsidTr="00E02797">
        <w:trPr>
          <w:trHeight w:val="283"/>
          <w:jc w:val="center"/>
        </w:trPr>
        <w:tc>
          <w:tcPr>
            <w:tcW w:w="978" w:type="dxa"/>
            <w:vMerge/>
            <w:tcBorders>
              <w:left w:val="nil"/>
              <w:right w:val="nil"/>
            </w:tcBorders>
          </w:tcPr>
          <w:p w14:paraId="59C4AD5C" w14:textId="77777777" w:rsidR="001A6AD1" w:rsidRPr="00B5549F" w:rsidRDefault="001A6AD1" w:rsidP="001A6AD1">
            <w:pPr>
              <w:contextualSpacing/>
              <w:rPr>
                <w:rFonts w:ascii="Times New Roman" w:hAnsi="Times New Roman" w:cs="Times New Roman"/>
                <w:i/>
                <w:color w:val="000000" w:themeColor="text1"/>
                <w:sz w:val="20"/>
                <w:szCs w:val="20"/>
              </w:rPr>
            </w:pPr>
          </w:p>
        </w:tc>
        <w:tc>
          <w:tcPr>
            <w:tcW w:w="2280" w:type="dxa"/>
            <w:tcBorders>
              <w:top w:val="nil"/>
              <w:left w:val="nil"/>
              <w:bottom w:val="nil"/>
              <w:right w:val="nil"/>
            </w:tcBorders>
            <w:noWrap/>
            <w:vAlign w:val="center"/>
            <w:hideMark/>
          </w:tcPr>
          <w:p w14:paraId="693B9655" w14:textId="77777777" w:rsidR="001A6AD1" w:rsidRPr="00B5549F" w:rsidRDefault="001A6AD1" w:rsidP="001A6AD1">
            <w:pPr>
              <w:contextualSpacing/>
              <w:rPr>
                <w:rFonts w:ascii="Times New Roman" w:hAnsi="Times New Roman" w:cs="Times New Roman"/>
                <w:color w:val="000000" w:themeColor="text1"/>
                <w:sz w:val="20"/>
                <w:szCs w:val="20"/>
              </w:rPr>
            </w:pPr>
            <w:proofErr w:type="spellStart"/>
            <w:r w:rsidRPr="00B5549F">
              <w:rPr>
                <w:rFonts w:ascii="Times New Roman" w:hAnsi="Times New Roman" w:cs="Times New Roman"/>
                <w:i/>
                <w:iCs/>
                <w:color w:val="000000" w:themeColor="text1"/>
                <w:sz w:val="20"/>
                <w:szCs w:val="20"/>
              </w:rPr>
              <w:t>Altitude</w:t>
            </w:r>
            <w:r w:rsidRPr="00B5549F">
              <w:rPr>
                <w:rFonts w:ascii="Times New Roman" w:hAnsi="Times New Roman" w:cs="Times New Roman"/>
                <w:i/>
                <w:iCs/>
                <w:color w:val="000000" w:themeColor="text1"/>
                <w:sz w:val="20"/>
                <w:szCs w:val="20"/>
                <w:vertAlign w:val="subscript"/>
              </w:rPr>
              <w:t>p</w:t>
            </w:r>
            <w:proofErr w:type="spellEnd"/>
            <w:r w:rsidRPr="00B5549F">
              <w:rPr>
                <w:rFonts w:ascii="Times New Roman" w:hAnsi="Times New Roman" w:cs="Times New Roman"/>
                <w:i/>
                <w:iCs/>
                <w:color w:val="000000" w:themeColor="text1"/>
                <w:sz w:val="20"/>
                <w:szCs w:val="20"/>
              </w:rPr>
              <w:t xml:space="preserve"> [m]</w:t>
            </w:r>
          </w:p>
        </w:tc>
        <w:tc>
          <w:tcPr>
            <w:tcW w:w="1300" w:type="dxa"/>
            <w:tcBorders>
              <w:top w:val="nil"/>
              <w:left w:val="nil"/>
              <w:bottom w:val="nil"/>
              <w:right w:val="nil"/>
            </w:tcBorders>
            <w:noWrap/>
            <w:vAlign w:val="center"/>
            <w:hideMark/>
          </w:tcPr>
          <w:p w14:paraId="2E033B02"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343.18</w:t>
            </w:r>
          </w:p>
        </w:tc>
        <w:tc>
          <w:tcPr>
            <w:tcW w:w="1300" w:type="dxa"/>
            <w:tcBorders>
              <w:top w:val="nil"/>
              <w:left w:val="nil"/>
              <w:bottom w:val="nil"/>
              <w:right w:val="nil"/>
            </w:tcBorders>
            <w:noWrap/>
            <w:vAlign w:val="center"/>
            <w:hideMark/>
          </w:tcPr>
          <w:p w14:paraId="4CFB866E"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216.19</w:t>
            </w:r>
          </w:p>
        </w:tc>
        <w:tc>
          <w:tcPr>
            <w:tcW w:w="1300" w:type="dxa"/>
            <w:tcBorders>
              <w:top w:val="nil"/>
              <w:left w:val="nil"/>
              <w:bottom w:val="nil"/>
              <w:right w:val="nil"/>
            </w:tcBorders>
            <w:noWrap/>
            <w:vAlign w:val="center"/>
            <w:hideMark/>
          </w:tcPr>
          <w:p w14:paraId="68610778"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4.28</w:t>
            </w:r>
          </w:p>
        </w:tc>
        <w:tc>
          <w:tcPr>
            <w:tcW w:w="1300" w:type="dxa"/>
            <w:tcBorders>
              <w:top w:val="nil"/>
              <w:left w:val="nil"/>
              <w:bottom w:val="nil"/>
              <w:right w:val="nil"/>
            </w:tcBorders>
            <w:noWrap/>
            <w:vAlign w:val="center"/>
            <w:hideMark/>
          </w:tcPr>
          <w:p w14:paraId="6D687ACE"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1,157.62</w:t>
            </w:r>
          </w:p>
        </w:tc>
      </w:tr>
      <w:tr w:rsidR="00B5549F" w:rsidRPr="00B5549F" w14:paraId="3B898B61" w14:textId="77777777" w:rsidTr="00E02797">
        <w:trPr>
          <w:trHeight w:val="283"/>
          <w:jc w:val="center"/>
        </w:trPr>
        <w:tc>
          <w:tcPr>
            <w:tcW w:w="978" w:type="dxa"/>
            <w:vMerge/>
            <w:tcBorders>
              <w:left w:val="nil"/>
              <w:right w:val="nil"/>
            </w:tcBorders>
          </w:tcPr>
          <w:p w14:paraId="0A9CD0B1" w14:textId="77777777" w:rsidR="001A6AD1" w:rsidRPr="00B5549F" w:rsidRDefault="001A6AD1" w:rsidP="001A6AD1">
            <w:pPr>
              <w:contextualSpacing/>
              <w:rPr>
                <w:rFonts w:ascii="Times New Roman" w:hAnsi="Times New Roman" w:cs="Times New Roman"/>
                <w:color w:val="000000" w:themeColor="text1"/>
                <w:sz w:val="20"/>
                <w:szCs w:val="20"/>
              </w:rPr>
            </w:pPr>
          </w:p>
        </w:tc>
        <w:tc>
          <w:tcPr>
            <w:tcW w:w="2280" w:type="dxa"/>
            <w:tcBorders>
              <w:top w:val="nil"/>
              <w:left w:val="nil"/>
              <w:right w:val="nil"/>
            </w:tcBorders>
            <w:noWrap/>
            <w:vAlign w:val="center"/>
            <w:hideMark/>
          </w:tcPr>
          <w:p w14:paraId="3CFEDCE2" w14:textId="77777777" w:rsidR="001A6AD1" w:rsidRPr="00B5549F" w:rsidRDefault="001A6AD1" w:rsidP="001A6AD1">
            <w:pPr>
              <w:contextualSpacing/>
              <w:rPr>
                <w:rFonts w:ascii="Times New Roman" w:hAnsi="Times New Roman" w:cs="Times New Roman"/>
                <w:i/>
                <w:iCs/>
                <w:color w:val="000000" w:themeColor="text1"/>
                <w:sz w:val="20"/>
                <w:szCs w:val="20"/>
                <w:vertAlign w:val="subscript"/>
              </w:rPr>
            </w:pPr>
            <w:proofErr w:type="spellStart"/>
            <w:r w:rsidRPr="00B5549F">
              <w:rPr>
                <w:rFonts w:ascii="Times New Roman" w:hAnsi="Times New Roman" w:cs="Times New Roman"/>
                <w:i/>
                <w:iCs/>
                <w:color w:val="000000" w:themeColor="text1"/>
                <w:sz w:val="20"/>
                <w:szCs w:val="20"/>
              </w:rPr>
              <w:t>PercSeasideMunicipalities</w:t>
            </w:r>
            <w:r w:rsidRPr="00B5549F">
              <w:rPr>
                <w:rFonts w:ascii="Times New Roman" w:hAnsi="Times New Roman" w:cs="Times New Roman"/>
                <w:i/>
                <w:iCs/>
                <w:color w:val="000000" w:themeColor="text1"/>
                <w:sz w:val="20"/>
                <w:szCs w:val="20"/>
                <w:vertAlign w:val="subscript"/>
              </w:rPr>
              <w:t>p</w:t>
            </w:r>
            <w:proofErr w:type="spellEnd"/>
          </w:p>
        </w:tc>
        <w:tc>
          <w:tcPr>
            <w:tcW w:w="1300" w:type="dxa"/>
            <w:tcBorders>
              <w:top w:val="nil"/>
              <w:left w:val="nil"/>
              <w:right w:val="nil"/>
            </w:tcBorders>
            <w:noWrap/>
            <w:vAlign w:val="center"/>
            <w:hideMark/>
          </w:tcPr>
          <w:p w14:paraId="186CA7FD"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0.21</w:t>
            </w:r>
          </w:p>
        </w:tc>
        <w:tc>
          <w:tcPr>
            <w:tcW w:w="1300" w:type="dxa"/>
            <w:tcBorders>
              <w:top w:val="nil"/>
              <w:left w:val="nil"/>
              <w:right w:val="nil"/>
            </w:tcBorders>
            <w:noWrap/>
            <w:vAlign w:val="center"/>
            <w:hideMark/>
          </w:tcPr>
          <w:p w14:paraId="1B755F3E"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0.26</w:t>
            </w:r>
          </w:p>
        </w:tc>
        <w:tc>
          <w:tcPr>
            <w:tcW w:w="1300" w:type="dxa"/>
            <w:tcBorders>
              <w:top w:val="nil"/>
              <w:left w:val="nil"/>
              <w:right w:val="nil"/>
            </w:tcBorders>
            <w:noWrap/>
            <w:vAlign w:val="center"/>
            <w:hideMark/>
          </w:tcPr>
          <w:p w14:paraId="00D38832"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w:t>
            </w:r>
          </w:p>
        </w:tc>
        <w:tc>
          <w:tcPr>
            <w:tcW w:w="1300" w:type="dxa"/>
            <w:tcBorders>
              <w:top w:val="nil"/>
              <w:left w:val="nil"/>
              <w:right w:val="nil"/>
            </w:tcBorders>
            <w:noWrap/>
            <w:vAlign w:val="center"/>
            <w:hideMark/>
          </w:tcPr>
          <w:p w14:paraId="4E1CA242"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w:t>
            </w:r>
          </w:p>
        </w:tc>
      </w:tr>
      <w:tr w:rsidR="00B5549F" w:rsidRPr="00B5549F" w14:paraId="76CFD6F2" w14:textId="77777777" w:rsidTr="00E02797">
        <w:trPr>
          <w:trHeight w:val="283"/>
          <w:jc w:val="center"/>
        </w:trPr>
        <w:tc>
          <w:tcPr>
            <w:tcW w:w="978" w:type="dxa"/>
            <w:vMerge/>
            <w:tcBorders>
              <w:left w:val="nil"/>
              <w:bottom w:val="single" w:sz="4" w:space="0" w:color="auto"/>
              <w:right w:val="nil"/>
            </w:tcBorders>
          </w:tcPr>
          <w:p w14:paraId="26B4DF88" w14:textId="77777777" w:rsidR="001A6AD1" w:rsidRPr="00B5549F" w:rsidRDefault="001A6AD1" w:rsidP="001A6AD1">
            <w:pPr>
              <w:contextualSpacing/>
              <w:rPr>
                <w:rFonts w:ascii="Times New Roman" w:hAnsi="Times New Roman" w:cs="Times New Roman"/>
                <w:color w:val="000000" w:themeColor="text1"/>
                <w:sz w:val="20"/>
                <w:szCs w:val="20"/>
              </w:rPr>
            </w:pPr>
          </w:p>
        </w:tc>
        <w:tc>
          <w:tcPr>
            <w:tcW w:w="2280" w:type="dxa"/>
            <w:tcBorders>
              <w:top w:val="nil"/>
              <w:left w:val="nil"/>
              <w:bottom w:val="single" w:sz="4" w:space="0" w:color="auto"/>
              <w:right w:val="nil"/>
            </w:tcBorders>
            <w:noWrap/>
            <w:vAlign w:val="center"/>
            <w:hideMark/>
          </w:tcPr>
          <w:p w14:paraId="03F02F57" w14:textId="77777777" w:rsidR="001A6AD1" w:rsidRPr="00B5549F" w:rsidRDefault="001A6AD1" w:rsidP="001A6AD1">
            <w:pPr>
              <w:contextualSpacing/>
              <w:rPr>
                <w:rFonts w:ascii="Times New Roman" w:hAnsi="Times New Roman" w:cs="Times New Roman"/>
                <w:color w:val="000000" w:themeColor="text1"/>
                <w:sz w:val="20"/>
                <w:szCs w:val="20"/>
              </w:rPr>
            </w:pPr>
            <w:proofErr w:type="spellStart"/>
            <w:r w:rsidRPr="00B5549F">
              <w:rPr>
                <w:rFonts w:ascii="Times New Roman" w:hAnsi="Times New Roman" w:cs="Times New Roman"/>
                <w:i/>
                <w:iCs/>
                <w:color w:val="000000" w:themeColor="text1"/>
                <w:sz w:val="20"/>
                <w:szCs w:val="20"/>
              </w:rPr>
              <w:t>BedHotels</w:t>
            </w:r>
            <w:r w:rsidRPr="00B5549F">
              <w:rPr>
                <w:rFonts w:ascii="Times New Roman" w:hAnsi="Times New Roman" w:cs="Times New Roman"/>
                <w:i/>
                <w:iCs/>
                <w:color w:val="000000" w:themeColor="text1"/>
                <w:sz w:val="20"/>
                <w:szCs w:val="20"/>
                <w:vertAlign w:val="subscript"/>
              </w:rPr>
              <w:t>p</w:t>
            </w:r>
            <w:proofErr w:type="spellEnd"/>
          </w:p>
        </w:tc>
        <w:tc>
          <w:tcPr>
            <w:tcW w:w="1300" w:type="dxa"/>
            <w:tcBorders>
              <w:top w:val="nil"/>
              <w:left w:val="nil"/>
              <w:bottom w:val="single" w:sz="4" w:space="0" w:color="auto"/>
              <w:right w:val="nil"/>
            </w:tcBorders>
            <w:noWrap/>
            <w:vAlign w:val="center"/>
            <w:hideMark/>
          </w:tcPr>
          <w:p w14:paraId="3054C24C"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233,97</w:t>
            </w:r>
          </w:p>
        </w:tc>
        <w:tc>
          <w:tcPr>
            <w:tcW w:w="1300" w:type="dxa"/>
            <w:tcBorders>
              <w:top w:val="nil"/>
              <w:left w:val="nil"/>
              <w:bottom w:val="single" w:sz="4" w:space="0" w:color="auto"/>
              <w:right w:val="nil"/>
            </w:tcBorders>
            <w:noWrap/>
            <w:vAlign w:val="center"/>
            <w:hideMark/>
          </w:tcPr>
          <w:p w14:paraId="3EAE9F19"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34,512</w:t>
            </w:r>
          </w:p>
        </w:tc>
        <w:tc>
          <w:tcPr>
            <w:tcW w:w="1300" w:type="dxa"/>
            <w:tcBorders>
              <w:top w:val="nil"/>
              <w:left w:val="nil"/>
              <w:bottom w:val="single" w:sz="4" w:space="0" w:color="auto"/>
              <w:right w:val="nil"/>
            </w:tcBorders>
            <w:noWrap/>
            <w:vAlign w:val="center"/>
            <w:hideMark/>
          </w:tcPr>
          <w:p w14:paraId="4C1A527B"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495</w:t>
            </w:r>
          </w:p>
        </w:tc>
        <w:tc>
          <w:tcPr>
            <w:tcW w:w="1300" w:type="dxa"/>
            <w:tcBorders>
              <w:top w:val="nil"/>
              <w:left w:val="nil"/>
              <w:bottom w:val="single" w:sz="4" w:space="0" w:color="auto"/>
              <w:right w:val="nil"/>
            </w:tcBorders>
            <w:noWrap/>
            <w:vAlign w:val="center"/>
            <w:hideMark/>
          </w:tcPr>
          <w:p w14:paraId="28DB0EB4" w14:textId="77777777" w:rsidR="001A6AD1" w:rsidRPr="00B5549F" w:rsidRDefault="001A6AD1" w:rsidP="001A6AD1">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208,353</w:t>
            </w:r>
          </w:p>
        </w:tc>
      </w:tr>
    </w:tbl>
    <w:p w14:paraId="349757F4" w14:textId="1E75EDAA" w:rsidR="00985916" w:rsidRPr="00B5549F" w:rsidRDefault="00985916" w:rsidP="001A6AD1">
      <w:pPr>
        <w:rPr>
          <w:rFonts w:ascii="Times New Roman" w:hAnsi="Times New Roman" w:cs="Times New Roman"/>
          <w:color w:val="000000" w:themeColor="text1"/>
          <w:lang w:val="en-US"/>
        </w:rPr>
        <w:sectPr w:rsidR="00985916" w:rsidRPr="00B5549F" w:rsidSect="005E2B22">
          <w:footerReference w:type="even" r:id="rId15"/>
          <w:footerReference w:type="default" r:id="rId16"/>
          <w:pgSz w:w="11900" w:h="16840"/>
          <w:pgMar w:top="1417" w:right="1134" w:bottom="1134" w:left="1134" w:header="708" w:footer="708" w:gutter="0"/>
          <w:cols w:space="708"/>
          <w:docGrid w:linePitch="360"/>
        </w:sectPr>
      </w:pPr>
      <w:r w:rsidRPr="00B5549F">
        <w:rPr>
          <w:rFonts w:ascii="Times New Roman" w:hAnsi="Times New Roman" w:cs="Times New Roman"/>
          <w:color w:val="000000" w:themeColor="text1"/>
          <w:lang w:val="en-US"/>
        </w:rPr>
        <w:t xml:space="preserve"> </w:t>
      </w:r>
    </w:p>
    <w:p w14:paraId="0B8368FB" w14:textId="77777777" w:rsidR="00985916" w:rsidRPr="00B5549F" w:rsidRDefault="00985916" w:rsidP="00985916">
      <w:pPr>
        <w:spacing w:after="120"/>
        <w:contextualSpacing/>
        <w:jc w:val="both"/>
        <w:rPr>
          <w:rFonts w:ascii="Times New Roman" w:hAnsi="Times New Roman" w:cs="Times New Roman"/>
          <w:color w:val="000000" w:themeColor="text1"/>
          <w:lang w:val="en-US"/>
        </w:rPr>
      </w:pPr>
      <w:r w:rsidRPr="00B5549F">
        <w:rPr>
          <w:rFonts w:ascii="Times New Roman" w:hAnsi="Times New Roman" w:cs="Times New Roman"/>
          <w:b/>
          <w:bCs/>
          <w:color w:val="000000" w:themeColor="text1"/>
          <w:lang w:val="en-US"/>
        </w:rPr>
        <w:lastRenderedPageBreak/>
        <w:t xml:space="preserve">Table 4. </w:t>
      </w:r>
      <w:r w:rsidRPr="00B5549F">
        <w:rPr>
          <w:rFonts w:ascii="Times New Roman" w:hAnsi="Times New Roman" w:cs="Times New Roman"/>
          <w:color w:val="000000" w:themeColor="text1"/>
          <w:lang w:val="en-US"/>
        </w:rPr>
        <w:t>Regression results testing for the role of demand and opportunity costs (HP1, HP2a, HP2b).</w:t>
      </w:r>
    </w:p>
    <w:tbl>
      <w:tblPr>
        <w:tblW w:w="14811" w:type="dxa"/>
        <w:jc w:val="center"/>
        <w:tblCellMar>
          <w:left w:w="70" w:type="dxa"/>
          <w:right w:w="70" w:type="dxa"/>
        </w:tblCellMar>
        <w:tblLook w:val="04A0" w:firstRow="1" w:lastRow="0" w:firstColumn="1" w:lastColumn="0" w:noHBand="0" w:noVBand="1"/>
      </w:tblPr>
      <w:tblGrid>
        <w:gridCol w:w="2551"/>
        <w:gridCol w:w="1480"/>
        <w:gridCol w:w="1580"/>
        <w:gridCol w:w="1480"/>
        <w:gridCol w:w="1480"/>
        <w:gridCol w:w="1560"/>
        <w:gridCol w:w="1560"/>
        <w:gridCol w:w="1560"/>
        <w:gridCol w:w="1560"/>
      </w:tblGrid>
      <w:tr w:rsidR="00B5549F" w:rsidRPr="00B5549F" w14:paraId="6676146E" w14:textId="77777777" w:rsidTr="00E02797">
        <w:trPr>
          <w:trHeight w:val="20"/>
          <w:jc w:val="center"/>
        </w:trPr>
        <w:tc>
          <w:tcPr>
            <w:tcW w:w="2551" w:type="dxa"/>
            <w:tcBorders>
              <w:top w:val="single" w:sz="4" w:space="0" w:color="auto"/>
              <w:left w:val="nil"/>
              <w:bottom w:val="nil"/>
              <w:right w:val="nil"/>
            </w:tcBorders>
            <w:noWrap/>
            <w:vAlign w:val="bottom"/>
          </w:tcPr>
          <w:p w14:paraId="4B5F0CAC"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p>
        </w:tc>
        <w:tc>
          <w:tcPr>
            <w:tcW w:w="3060" w:type="dxa"/>
            <w:gridSpan w:val="2"/>
            <w:tcBorders>
              <w:top w:val="single" w:sz="4" w:space="0" w:color="auto"/>
              <w:left w:val="nil"/>
              <w:bottom w:val="nil"/>
              <w:right w:val="nil"/>
            </w:tcBorders>
            <w:noWrap/>
            <w:vAlign w:val="bottom"/>
          </w:tcPr>
          <w:p w14:paraId="1875F1C3" w14:textId="77777777" w:rsidR="00985916" w:rsidRPr="00B5549F" w:rsidRDefault="00985916" w:rsidP="00985916">
            <w:pPr>
              <w:contextualSpacing/>
              <w:jc w:val="center"/>
              <w:rPr>
                <w:rFonts w:ascii="Times New Roman" w:hAnsi="Times New Roman" w:cs="Times New Roman"/>
                <w:b/>
                <w:bCs/>
                <w:color w:val="000000" w:themeColor="text1"/>
                <w:sz w:val="20"/>
                <w:szCs w:val="20"/>
              </w:rPr>
            </w:pPr>
            <w:r w:rsidRPr="00B5549F">
              <w:rPr>
                <w:rFonts w:ascii="Times New Roman" w:hAnsi="Times New Roman" w:cs="Times New Roman"/>
                <w:b/>
                <w:bCs/>
                <w:color w:val="000000" w:themeColor="text1"/>
                <w:sz w:val="20"/>
                <w:szCs w:val="20"/>
              </w:rPr>
              <w:t xml:space="preserve">SSE [1-2 </w:t>
            </w:r>
            <w:proofErr w:type="spellStart"/>
            <w:r w:rsidRPr="00B5549F">
              <w:rPr>
                <w:rFonts w:ascii="Times New Roman" w:hAnsi="Times New Roman" w:cs="Times New Roman"/>
                <w:b/>
                <w:bCs/>
                <w:color w:val="000000" w:themeColor="text1"/>
                <w:sz w:val="20"/>
                <w:szCs w:val="20"/>
              </w:rPr>
              <w:t>listings</w:t>
            </w:r>
            <w:proofErr w:type="spellEnd"/>
            <w:r w:rsidRPr="00B5549F">
              <w:rPr>
                <w:rFonts w:ascii="Times New Roman" w:hAnsi="Times New Roman" w:cs="Times New Roman"/>
                <w:b/>
                <w:bCs/>
                <w:color w:val="000000" w:themeColor="text1"/>
                <w:sz w:val="20"/>
                <w:szCs w:val="20"/>
              </w:rPr>
              <w:t>]</w:t>
            </w:r>
          </w:p>
        </w:tc>
        <w:tc>
          <w:tcPr>
            <w:tcW w:w="2960" w:type="dxa"/>
            <w:gridSpan w:val="2"/>
            <w:tcBorders>
              <w:top w:val="single" w:sz="4" w:space="0" w:color="auto"/>
              <w:left w:val="nil"/>
              <w:bottom w:val="nil"/>
              <w:right w:val="nil"/>
            </w:tcBorders>
            <w:noWrap/>
            <w:vAlign w:val="center"/>
          </w:tcPr>
          <w:p w14:paraId="7FC8800E" w14:textId="77777777" w:rsidR="00985916" w:rsidRPr="00B5549F" w:rsidRDefault="00985916" w:rsidP="00985916">
            <w:pPr>
              <w:contextualSpacing/>
              <w:jc w:val="center"/>
              <w:rPr>
                <w:rFonts w:ascii="Times New Roman" w:hAnsi="Times New Roman" w:cs="Times New Roman"/>
                <w:b/>
                <w:bCs/>
                <w:color w:val="000000" w:themeColor="text1"/>
                <w:sz w:val="20"/>
                <w:szCs w:val="20"/>
              </w:rPr>
            </w:pPr>
            <w:r w:rsidRPr="00B5549F">
              <w:rPr>
                <w:rFonts w:ascii="Times New Roman" w:hAnsi="Times New Roman" w:cs="Times New Roman"/>
                <w:b/>
                <w:bCs/>
                <w:color w:val="000000" w:themeColor="text1"/>
                <w:sz w:val="20"/>
                <w:szCs w:val="20"/>
              </w:rPr>
              <w:t xml:space="preserve">SSE [1-3 </w:t>
            </w:r>
            <w:proofErr w:type="spellStart"/>
            <w:r w:rsidRPr="00B5549F">
              <w:rPr>
                <w:rFonts w:ascii="Times New Roman" w:hAnsi="Times New Roman" w:cs="Times New Roman"/>
                <w:b/>
                <w:bCs/>
                <w:color w:val="000000" w:themeColor="text1"/>
                <w:sz w:val="20"/>
                <w:szCs w:val="20"/>
              </w:rPr>
              <w:t>listings</w:t>
            </w:r>
            <w:proofErr w:type="spellEnd"/>
            <w:r w:rsidRPr="00B5549F">
              <w:rPr>
                <w:rFonts w:ascii="Times New Roman" w:hAnsi="Times New Roman" w:cs="Times New Roman"/>
                <w:b/>
                <w:bCs/>
                <w:color w:val="000000" w:themeColor="text1"/>
                <w:sz w:val="20"/>
                <w:szCs w:val="20"/>
              </w:rPr>
              <w:t>]</w:t>
            </w:r>
          </w:p>
        </w:tc>
        <w:tc>
          <w:tcPr>
            <w:tcW w:w="3120" w:type="dxa"/>
            <w:gridSpan w:val="2"/>
            <w:tcBorders>
              <w:top w:val="single" w:sz="4" w:space="0" w:color="auto"/>
              <w:left w:val="nil"/>
              <w:bottom w:val="nil"/>
              <w:right w:val="nil"/>
            </w:tcBorders>
            <w:noWrap/>
            <w:vAlign w:val="center"/>
          </w:tcPr>
          <w:p w14:paraId="49E59E75" w14:textId="77777777" w:rsidR="00985916" w:rsidRPr="00B5549F" w:rsidRDefault="00985916" w:rsidP="00985916">
            <w:pPr>
              <w:contextualSpacing/>
              <w:jc w:val="center"/>
              <w:rPr>
                <w:rFonts w:ascii="Times New Roman" w:hAnsi="Times New Roman" w:cs="Times New Roman"/>
                <w:b/>
                <w:bCs/>
                <w:color w:val="000000" w:themeColor="text1"/>
                <w:sz w:val="20"/>
                <w:szCs w:val="20"/>
              </w:rPr>
            </w:pPr>
            <w:r w:rsidRPr="00B5549F">
              <w:rPr>
                <w:rFonts w:ascii="Times New Roman" w:hAnsi="Times New Roman" w:cs="Times New Roman"/>
                <w:b/>
                <w:bCs/>
                <w:color w:val="000000" w:themeColor="text1"/>
                <w:sz w:val="20"/>
                <w:szCs w:val="20"/>
              </w:rPr>
              <w:t>LSE</w:t>
            </w:r>
            <w:r w:rsidRPr="00B5549F" w:rsidDel="000F38DF">
              <w:rPr>
                <w:rFonts w:ascii="Times New Roman" w:hAnsi="Times New Roman" w:cs="Times New Roman"/>
                <w:b/>
                <w:bCs/>
                <w:color w:val="000000" w:themeColor="text1"/>
                <w:sz w:val="20"/>
                <w:szCs w:val="20"/>
              </w:rPr>
              <w:t xml:space="preserve"> </w:t>
            </w:r>
            <w:r w:rsidRPr="00B5549F">
              <w:rPr>
                <w:rFonts w:ascii="Times New Roman" w:hAnsi="Times New Roman" w:cs="Times New Roman"/>
                <w:b/>
                <w:bCs/>
                <w:color w:val="000000" w:themeColor="text1"/>
                <w:sz w:val="20"/>
                <w:szCs w:val="20"/>
              </w:rPr>
              <w:t xml:space="preserve">[3-10 </w:t>
            </w:r>
            <w:proofErr w:type="spellStart"/>
            <w:r w:rsidRPr="00B5549F">
              <w:rPr>
                <w:rFonts w:ascii="Times New Roman" w:hAnsi="Times New Roman" w:cs="Times New Roman"/>
                <w:b/>
                <w:bCs/>
                <w:color w:val="000000" w:themeColor="text1"/>
                <w:sz w:val="20"/>
                <w:szCs w:val="20"/>
              </w:rPr>
              <w:t>listings</w:t>
            </w:r>
            <w:proofErr w:type="spellEnd"/>
            <w:r w:rsidRPr="00B5549F">
              <w:rPr>
                <w:rFonts w:ascii="Times New Roman" w:hAnsi="Times New Roman" w:cs="Times New Roman"/>
                <w:b/>
                <w:bCs/>
                <w:color w:val="000000" w:themeColor="text1"/>
                <w:sz w:val="20"/>
                <w:szCs w:val="20"/>
              </w:rPr>
              <w:t>]</w:t>
            </w:r>
          </w:p>
        </w:tc>
        <w:tc>
          <w:tcPr>
            <w:tcW w:w="3120" w:type="dxa"/>
            <w:gridSpan w:val="2"/>
            <w:tcBorders>
              <w:top w:val="single" w:sz="4" w:space="0" w:color="auto"/>
              <w:left w:val="nil"/>
              <w:bottom w:val="nil"/>
              <w:right w:val="nil"/>
            </w:tcBorders>
            <w:noWrap/>
            <w:vAlign w:val="center"/>
          </w:tcPr>
          <w:p w14:paraId="08FCD4A3" w14:textId="77777777" w:rsidR="00985916" w:rsidRPr="00B5549F" w:rsidRDefault="00985916" w:rsidP="00985916">
            <w:pPr>
              <w:contextualSpacing/>
              <w:jc w:val="center"/>
              <w:rPr>
                <w:rFonts w:ascii="Times New Roman" w:hAnsi="Times New Roman" w:cs="Times New Roman"/>
                <w:b/>
                <w:bCs/>
                <w:color w:val="000000" w:themeColor="text1"/>
                <w:sz w:val="20"/>
                <w:szCs w:val="20"/>
              </w:rPr>
            </w:pPr>
            <w:r w:rsidRPr="00B5549F">
              <w:rPr>
                <w:rFonts w:ascii="Times New Roman" w:hAnsi="Times New Roman" w:cs="Times New Roman"/>
                <w:b/>
                <w:bCs/>
                <w:color w:val="000000" w:themeColor="text1"/>
                <w:sz w:val="20"/>
                <w:szCs w:val="20"/>
              </w:rPr>
              <w:t xml:space="preserve">LSE [4-10 </w:t>
            </w:r>
            <w:proofErr w:type="spellStart"/>
            <w:r w:rsidRPr="00B5549F">
              <w:rPr>
                <w:rFonts w:ascii="Times New Roman" w:hAnsi="Times New Roman" w:cs="Times New Roman"/>
                <w:b/>
                <w:bCs/>
                <w:color w:val="000000" w:themeColor="text1"/>
                <w:sz w:val="20"/>
                <w:szCs w:val="20"/>
              </w:rPr>
              <w:t>listings</w:t>
            </w:r>
            <w:proofErr w:type="spellEnd"/>
            <w:r w:rsidRPr="00B5549F">
              <w:rPr>
                <w:rFonts w:ascii="Times New Roman" w:hAnsi="Times New Roman" w:cs="Times New Roman"/>
                <w:b/>
                <w:bCs/>
                <w:color w:val="000000" w:themeColor="text1"/>
                <w:sz w:val="20"/>
                <w:szCs w:val="20"/>
              </w:rPr>
              <w:t>]</w:t>
            </w:r>
          </w:p>
        </w:tc>
      </w:tr>
      <w:tr w:rsidR="00B5549F" w:rsidRPr="00B5549F" w14:paraId="0BC451FF" w14:textId="77777777" w:rsidTr="00E02797">
        <w:trPr>
          <w:trHeight w:val="20"/>
          <w:jc w:val="center"/>
        </w:trPr>
        <w:tc>
          <w:tcPr>
            <w:tcW w:w="2551" w:type="dxa"/>
            <w:tcBorders>
              <w:top w:val="nil"/>
              <w:left w:val="nil"/>
              <w:bottom w:val="nil"/>
              <w:right w:val="nil"/>
            </w:tcBorders>
            <w:noWrap/>
            <w:vAlign w:val="bottom"/>
          </w:tcPr>
          <w:p w14:paraId="5AFAA809" w14:textId="77777777" w:rsidR="00985916" w:rsidRPr="00B5549F" w:rsidRDefault="00985916" w:rsidP="00985916">
            <w:pPr>
              <w:contextualSpacing/>
              <w:rPr>
                <w:rFonts w:ascii="Times New Roman" w:hAnsi="Times New Roman" w:cs="Times New Roman"/>
                <w:color w:val="000000" w:themeColor="text1"/>
                <w:sz w:val="20"/>
                <w:szCs w:val="20"/>
              </w:rPr>
            </w:pPr>
          </w:p>
        </w:tc>
        <w:tc>
          <w:tcPr>
            <w:tcW w:w="1480" w:type="dxa"/>
            <w:tcBorders>
              <w:top w:val="nil"/>
              <w:left w:val="nil"/>
              <w:bottom w:val="nil"/>
              <w:right w:val="nil"/>
            </w:tcBorders>
            <w:noWrap/>
            <w:vAlign w:val="center"/>
          </w:tcPr>
          <w:p w14:paraId="5D0D4692"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b/>
                <w:bCs/>
                <w:color w:val="000000" w:themeColor="text1"/>
                <w:sz w:val="20"/>
                <w:szCs w:val="20"/>
              </w:rPr>
              <w:t>RE</w:t>
            </w:r>
          </w:p>
        </w:tc>
        <w:tc>
          <w:tcPr>
            <w:tcW w:w="1580" w:type="dxa"/>
            <w:tcBorders>
              <w:top w:val="nil"/>
              <w:left w:val="nil"/>
              <w:bottom w:val="nil"/>
              <w:right w:val="nil"/>
            </w:tcBorders>
            <w:noWrap/>
            <w:vAlign w:val="center"/>
          </w:tcPr>
          <w:p w14:paraId="61593F0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b/>
                <w:bCs/>
                <w:color w:val="000000" w:themeColor="text1"/>
                <w:sz w:val="20"/>
                <w:szCs w:val="20"/>
              </w:rPr>
              <w:t>GMM-SYS</w:t>
            </w:r>
          </w:p>
        </w:tc>
        <w:tc>
          <w:tcPr>
            <w:tcW w:w="1480" w:type="dxa"/>
            <w:tcBorders>
              <w:top w:val="nil"/>
              <w:left w:val="nil"/>
              <w:bottom w:val="nil"/>
              <w:right w:val="nil"/>
            </w:tcBorders>
            <w:noWrap/>
            <w:vAlign w:val="center"/>
          </w:tcPr>
          <w:p w14:paraId="37D4EB21"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b/>
                <w:bCs/>
                <w:color w:val="000000" w:themeColor="text1"/>
                <w:sz w:val="20"/>
                <w:szCs w:val="20"/>
              </w:rPr>
              <w:t>RE</w:t>
            </w:r>
          </w:p>
        </w:tc>
        <w:tc>
          <w:tcPr>
            <w:tcW w:w="1480" w:type="dxa"/>
            <w:tcBorders>
              <w:top w:val="nil"/>
              <w:left w:val="nil"/>
              <w:bottom w:val="nil"/>
              <w:right w:val="nil"/>
            </w:tcBorders>
            <w:noWrap/>
            <w:vAlign w:val="center"/>
          </w:tcPr>
          <w:p w14:paraId="7E4D322B"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b/>
                <w:bCs/>
                <w:color w:val="000000" w:themeColor="text1"/>
                <w:sz w:val="20"/>
                <w:szCs w:val="20"/>
              </w:rPr>
              <w:t>GMM-SYS</w:t>
            </w:r>
          </w:p>
        </w:tc>
        <w:tc>
          <w:tcPr>
            <w:tcW w:w="1560" w:type="dxa"/>
            <w:tcBorders>
              <w:top w:val="nil"/>
              <w:left w:val="nil"/>
              <w:bottom w:val="nil"/>
              <w:right w:val="nil"/>
            </w:tcBorders>
            <w:noWrap/>
            <w:vAlign w:val="center"/>
          </w:tcPr>
          <w:p w14:paraId="728A8C03"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b/>
                <w:bCs/>
                <w:color w:val="000000" w:themeColor="text1"/>
                <w:sz w:val="20"/>
                <w:szCs w:val="20"/>
              </w:rPr>
              <w:t>RE</w:t>
            </w:r>
          </w:p>
        </w:tc>
        <w:tc>
          <w:tcPr>
            <w:tcW w:w="1560" w:type="dxa"/>
            <w:tcBorders>
              <w:top w:val="nil"/>
              <w:left w:val="nil"/>
              <w:bottom w:val="nil"/>
              <w:right w:val="nil"/>
            </w:tcBorders>
            <w:noWrap/>
            <w:vAlign w:val="center"/>
          </w:tcPr>
          <w:p w14:paraId="482A3A9D"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b/>
                <w:bCs/>
                <w:color w:val="000000" w:themeColor="text1"/>
                <w:sz w:val="20"/>
                <w:szCs w:val="20"/>
              </w:rPr>
              <w:t>GMM-SYS</w:t>
            </w:r>
          </w:p>
        </w:tc>
        <w:tc>
          <w:tcPr>
            <w:tcW w:w="1560" w:type="dxa"/>
            <w:tcBorders>
              <w:top w:val="nil"/>
              <w:left w:val="nil"/>
              <w:bottom w:val="nil"/>
              <w:right w:val="nil"/>
            </w:tcBorders>
            <w:noWrap/>
            <w:vAlign w:val="center"/>
          </w:tcPr>
          <w:p w14:paraId="171765B1"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b/>
                <w:bCs/>
                <w:color w:val="000000" w:themeColor="text1"/>
                <w:sz w:val="20"/>
                <w:szCs w:val="20"/>
              </w:rPr>
              <w:t>RE</w:t>
            </w:r>
          </w:p>
        </w:tc>
        <w:tc>
          <w:tcPr>
            <w:tcW w:w="1560" w:type="dxa"/>
            <w:tcBorders>
              <w:top w:val="nil"/>
              <w:left w:val="nil"/>
              <w:bottom w:val="nil"/>
              <w:right w:val="nil"/>
            </w:tcBorders>
            <w:noWrap/>
            <w:vAlign w:val="center"/>
          </w:tcPr>
          <w:p w14:paraId="77A4E3C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b/>
                <w:bCs/>
                <w:color w:val="000000" w:themeColor="text1"/>
                <w:sz w:val="20"/>
                <w:szCs w:val="20"/>
              </w:rPr>
              <w:t>GMM-SYS</w:t>
            </w:r>
          </w:p>
        </w:tc>
      </w:tr>
      <w:tr w:rsidR="00B5549F" w:rsidRPr="00B5549F" w14:paraId="28CD1915" w14:textId="77777777" w:rsidTr="00E02797">
        <w:trPr>
          <w:trHeight w:val="20"/>
          <w:jc w:val="center"/>
        </w:trPr>
        <w:tc>
          <w:tcPr>
            <w:tcW w:w="2551" w:type="dxa"/>
            <w:tcBorders>
              <w:top w:val="nil"/>
              <w:left w:val="nil"/>
              <w:bottom w:val="single" w:sz="4" w:space="0" w:color="auto"/>
              <w:right w:val="nil"/>
            </w:tcBorders>
            <w:noWrap/>
            <w:vAlign w:val="bottom"/>
          </w:tcPr>
          <w:p w14:paraId="058A565E" w14:textId="77777777" w:rsidR="00985916" w:rsidRPr="00B5549F" w:rsidRDefault="00985916" w:rsidP="00985916">
            <w:pPr>
              <w:contextualSpacing/>
              <w:rPr>
                <w:rFonts w:ascii="Times New Roman" w:hAnsi="Times New Roman" w:cs="Times New Roman"/>
                <w:color w:val="000000" w:themeColor="text1"/>
                <w:sz w:val="20"/>
                <w:szCs w:val="20"/>
              </w:rPr>
            </w:pPr>
          </w:p>
        </w:tc>
        <w:tc>
          <w:tcPr>
            <w:tcW w:w="1480" w:type="dxa"/>
            <w:tcBorders>
              <w:top w:val="nil"/>
              <w:left w:val="nil"/>
              <w:bottom w:val="single" w:sz="4" w:space="0" w:color="auto"/>
              <w:right w:val="nil"/>
            </w:tcBorders>
            <w:noWrap/>
            <w:vAlign w:val="center"/>
          </w:tcPr>
          <w:p w14:paraId="27200681"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b/>
                <w:bCs/>
                <w:color w:val="000000" w:themeColor="text1"/>
                <w:sz w:val="20"/>
                <w:szCs w:val="20"/>
              </w:rPr>
              <w:t>Y = e</w:t>
            </w:r>
            <w:r w:rsidRPr="00B5549F">
              <w:rPr>
                <w:rFonts w:ascii="Times New Roman" w:hAnsi="Times New Roman" w:cs="Times New Roman"/>
                <w:b/>
                <w:bCs/>
                <w:color w:val="000000" w:themeColor="text1"/>
                <w:sz w:val="20"/>
                <w:szCs w:val="20"/>
                <w:vertAlign w:val="superscript"/>
              </w:rPr>
              <w:t>2</w:t>
            </w:r>
            <w:r w:rsidRPr="00B5549F">
              <w:rPr>
                <w:rFonts w:ascii="Times New Roman" w:hAnsi="Times New Roman" w:cs="Times New Roman"/>
                <w:b/>
                <w:bCs/>
                <w:color w:val="000000" w:themeColor="text1"/>
                <w:sz w:val="20"/>
                <w:szCs w:val="20"/>
                <w:vertAlign w:val="subscript"/>
              </w:rPr>
              <w:t>SSE, p, t</w:t>
            </w:r>
          </w:p>
        </w:tc>
        <w:tc>
          <w:tcPr>
            <w:tcW w:w="1580" w:type="dxa"/>
            <w:tcBorders>
              <w:top w:val="nil"/>
              <w:left w:val="nil"/>
              <w:bottom w:val="single" w:sz="4" w:space="0" w:color="auto"/>
              <w:right w:val="nil"/>
            </w:tcBorders>
            <w:noWrap/>
            <w:vAlign w:val="center"/>
          </w:tcPr>
          <w:p w14:paraId="12A638BD"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b/>
                <w:bCs/>
                <w:color w:val="000000" w:themeColor="text1"/>
                <w:sz w:val="20"/>
                <w:szCs w:val="20"/>
              </w:rPr>
              <w:t>Y = e</w:t>
            </w:r>
            <w:r w:rsidRPr="00B5549F">
              <w:rPr>
                <w:rFonts w:ascii="Times New Roman" w:hAnsi="Times New Roman" w:cs="Times New Roman"/>
                <w:b/>
                <w:bCs/>
                <w:color w:val="000000" w:themeColor="text1"/>
                <w:sz w:val="20"/>
                <w:szCs w:val="20"/>
                <w:vertAlign w:val="superscript"/>
              </w:rPr>
              <w:t>2</w:t>
            </w:r>
            <w:r w:rsidRPr="00B5549F">
              <w:rPr>
                <w:rFonts w:ascii="Times New Roman" w:hAnsi="Times New Roman" w:cs="Times New Roman"/>
                <w:b/>
                <w:bCs/>
                <w:color w:val="000000" w:themeColor="text1"/>
                <w:sz w:val="20"/>
                <w:szCs w:val="20"/>
                <w:vertAlign w:val="subscript"/>
              </w:rPr>
              <w:t>SSE, p, t</w:t>
            </w:r>
          </w:p>
        </w:tc>
        <w:tc>
          <w:tcPr>
            <w:tcW w:w="1480" w:type="dxa"/>
            <w:tcBorders>
              <w:top w:val="nil"/>
              <w:left w:val="nil"/>
              <w:bottom w:val="single" w:sz="4" w:space="0" w:color="auto"/>
              <w:right w:val="nil"/>
            </w:tcBorders>
            <w:noWrap/>
            <w:vAlign w:val="center"/>
          </w:tcPr>
          <w:p w14:paraId="0DDB7524"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b/>
                <w:bCs/>
                <w:color w:val="000000" w:themeColor="text1"/>
                <w:sz w:val="20"/>
                <w:szCs w:val="20"/>
              </w:rPr>
              <w:t>Y = e</w:t>
            </w:r>
            <w:r w:rsidRPr="00B5549F">
              <w:rPr>
                <w:rFonts w:ascii="Times New Roman" w:hAnsi="Times New Roman" w:cs="Times New Roman"/>
                <w:b/>
                <w:bCs/>
                <w:color w:val="000000" w:themeColor="text1"/>
                <w:sz w:val="20"/>
                <w:szCs w:val="20"/>
                <w:vertAlign w:val="superscript"/>
              </w:rPr>
              <w:t>3</w:t>
            </w:r>
            <w:r w:rsidRPr="00B5549F">
              <w:rPr>
                <w:rFonts w:ascii="Times New Roman" w:hAnsi="Times New Roman" w:cs="Times New Roman"/>
                <w:b/>
                <w:bCs/>
                <w:color w:val="000000" w:themeColor="text1"/>
                <w:sz w:val="20"/>
                <w:szCs w:val="20"/>
                <w:vertAlign w:val="subscript"/>
              </w:rPr>
              <w:t>SSE, p, t</w:t>
            </w:r>
          </w:p>
        </w:tc>
        <w:tc>
          <w:tcPr>
            <w:tcW w:w="1480" w:type="dxa"/>
            <w:tcBorders>
              <w:top w:val="nil"/>
              <w:left w:val="nil"/>
              <w:bottom w:val="single" w:sz="4" w:space="0" w:color="auto"/>
              <w:right w:val="nil"/>
            </w:tcBorders>
            <w:noWrap/>
            <w:vAlign w:val="center"/>
          </w:tcPr>
          <w:p w14:paraId="3729AEAF"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b/>
                <w:bCs/>
                <w:color w:val="000000" w:themeColor="text1"/>
                <w:sz w:val="20"/>
                <w:szCs w:val="20"/>
              </w:rPr>
              <w:t>Y = e</w:t>
            </w:r>
            <w:r w:rsidRPr="00B5549F">
              <w:rPr>
                <w:rFonts w:ascii="Times New Roman" w:hAnsi="Times New Roman" w:cs="Times New Roman"/>
                <w:b/>
                <w:bCs/>
                <w:color w:val="000000" w:themeColor="text1"/>
                <w:sz w:val="20"/>
                <w:szCs w:val="20"/>
                <w:vertAlign w:val="superscript"/>
              </w:rPr>
              <w:t>3</w:t>
            </w:r>
            <w:r w:rsidRPr="00B5549F">
              <w:rPr>
                <w:rFonts w:ascii="Times New Roman" w:hAnsi="Times New Roman" w:cs="Times New Roman"/>
                <w:b/>
                <w:bCs/>
                <w:color w:val="000000" w:themeColor="text1"/>
                <w:sz w:val="20"/>
                <w:szCs w:val="20"/>
                <w:vertAlign w:val="subscript"/>
              </w:rPr>
              <w:t>SSE, p, t</w:t>
            </w:r>
          </w:p>
        </w:tc>
        <w:tc>
          <w:tcPr>
            <w:tcW w:w="1560" w:type="dxa"/>
            <w:tcBorders>
              <w:top w:val="nil"/>
              <w:left w:val="nil"/>
              <w:bottom w:val="single" w:sz="4" w:space="0" w:color="auto"/>
              <w:right w:val="nil"/>
            </w:tcBorders>
            <w:noWrap/>
            <w:vAlign w:val="center"/>
          </w:tcPr>
          <w:p w14:paraId="551F49C9"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b/>
                <w:bCs/>
                <w:color w:val="000000" w:themeColor="text1"/>
                <w:sz w:val="20"/>
                <w:szCs w:val="20"/>
              </w:rPr>
              <w:t>Y = e</w:t>
            </w:r>
            <w:r w:rsidRPr="00B5549F">
              <w:rPr>
                <w:rFonts w:ascii="Times New Roman" w:hAnsi="Times New Roman" w:cs="Times New Roman"/>
                <w:b/>
                <w:bCs/>
                <w:color w:val="000000" w:themeColor="text1"/>
                <w:sz w:val="20"/>
                <w:szCs w:val="20"/>
                <w:vertAlign w:val="superscript"/>
              </w:rPr>
              <w:t>2</w:t>
            </w:r>
            <w:r w:rsidRPr="00B5549F">
              <w:rPr>
                <w:rFonts w:ascii="Times New Roman" w:hAnsi="Times New Roman" w:cs="Times New Roman"/>
                <w:b/>
                <w:bCs/>
                <w:color w:val="000000" w:themeColor="text1"/>
                <w:sz w:val="20"/>
                <w:szCs w:val="20"/>
                <w:vertAlign w:val="subscript"/>
              </w:rPr>
              <w:t>LSE, p, t</w:t>
            </w:r>
          </w:p>
        </w:tc>
        <w:tc>
          <w:tcPr>
            <w:tcW w:w="1560" w:type="dxa"/>
            <w:tcBorders>
              <w:top w:val="nil"/>
              <w:left w:val="nil"/>
              <w:bottom w:val="single" w:sz="4" w:space="0" w:color="auto"/>
              <w:right w:val="nil"/>
            </w:tcBorders>
            <w:noWrap/>
            <w:vAlign w:val="center"/>
          </w:tcPr>
          <w:p w14:paraId="2C5E9889"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b/>
                <w:bCs/>
                <w:color w:val="000000" w:themeColor="text1"/>
                <w:sz w:val="20"/>
                <w:szCs w:val="20"/>
              </w:rPr>
              <w:t>Y = e</w:t>
            </w:r>
            <w:r w:rsidRPr="00B5549F">
              <w:rPr>
                <w:rFonts w:ascii="Times New Roman" w:hAnsi="Times New Roman" w:cs="Times New Roman"/>
                <w:b/>
                <w:bCs/>
                <w:color w:val="000000" w:themeColor="text1"/>
                <w:sz w:val="20"/>
                <w:szCs w:val="20"/>
                <w:vertAlign w:val="superscript"/>
              </w:rPr>
              <w:t>2</w:t>
            </w:r>
            <w:r w:rsidRPr="00B5549F">
              <w:rPr>
                <w:rFonts w:ascii="Times New Roman" w:hAnsi="Times New Roman" w:cs="Times New Roman"/>
                <w:b/>
                <w:bCs/>
                <w:color w:val="000000" w:themeColor="text1"/>
                <w:sz w:val="20"/>
                <w:szCs w:val="20"/>
                <w:vertAlign w:val="subscript"/>
              </w:rPr>
              <w:t>LSE, p, t</w:t>
            </w:r>
          </w:p>
        </w:tc>
        <w:tc>
          <w:tcPr>
            <w:tcW w:w="1560" w:type="dxa"/>
            <w:tcBorders>
              <w:top w:val="nil"/>
              <w:left w:val="nil"/>
              <w:bottom w:val="single" w:sz="4" w:space="0" w:color="auto"/>
              <w:right w:val="nil"/>
            </w:tcBorders>
            <w:noWrap/>
            <w:vAlign w:val="center"/>
          </w:tcPr>
          <w:p w14:paraId="440E848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b/>
                <w:bCs/>
                <w:color w:val="000000" w:themeColor="text1"/>
                <w:sz w:val="20"/>
                <w:szCs w:val="20"/>
              </w:rPr>
              <w:t>Y = e</w:t>
            </w:r>
            <w:r w:rsidRPr="00B5549F">
              <w:rPr>
                <w:rFonts w:ascii="Times New Roman" w:hAnsi="Times New Roman" w:cs="Times New Roman"/>
                <w:b/>
                <w:bCs/>
                <w:color w:val="000000" w:themeColor="text1"/>
                <w:sz w:val="20"/>
                <w:szCs w:val="20"/>
                <w:vertAlign w:val="superscript"/>
              </w:rPr>
              <w:t>3</w:t>
            </w:r>
            <w:r w:rsidRPr="00B5549F">
              <w:rPr>
                <w:rFonts w:ascii="Times New Roman" w:hAnsi="Times New Roman" w:cs="Times New Roman"/>
                <w:b/>
                <w:bCs/>
                <w:color w:val="000000" w:themeColor="text1"/>
                <w:sz w:val="20"/>
                <w:szCs w:val="20"/>
                <w:vertAlign w:val="subscript"/>
              </w:rPr>
              <w:t>LSE, p, t</w:t>
            </w:r>
          </w:p>
        </w:tc>
        <w:tc>
          <w:tcPr>
            <w:tcW w:w="1560" w:type="dxa"/>
            <w:tcBorders>
              <w:top w:val="nil"/>
              <w:left w:val="nil"/>
              <w:bottom w:val="single" w:sz="4" w:space="0" w:color="auto"/>
              <w:right w:val="nil"/>
            </w:tcBorders>
            <w:noWrap/>
            <w:vAlign w:val="center"/>
          </w:tcPr>
          <w:p w14:paraId="7C000BA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b/>
                <w:bCs/>
                <w:color w:val="000000" w:themeColor="text1"/>
                <w:sz w:val="20"/>
                <w:szCs w:val="20"/>
              </w:rPr>
              <w:t>Y = e</w:t>
            </w:r>
            <w:r w:rsidRPr="00B5549F">
              <w:rPr>
                <w:rFonts w:ascii="Times New Roman" w:hAnsi="Times New Roman" w:cs="Times New Roman"/>
                <w:b/>
                <w:bCs/>
                <w:color w:val="000000" w:themeColor="text1"/>
                <w:sz w:val="20"/>
                <w:szCs w:val="20"/>
                <w:vertAlign w:val="superscript"/>
              </w:rPr>
              <w:t>3</w:t>
            </w:r>
            <w:r w:rsidRPr="00B5549F">
              <w:rPr>
                <w:rFonts w:ascii="Times New Roman" w:hAnsi="Times New Roman" w:cs="Times New Roman"/>
                <w:b/>
                <w:bCs/>
                <w:color w:val="000000" w:themeColor="text1"/>
                <w:sz w:val="20"/>
                <w:szCs w:val="20"/>
                <w:vertAlign w:val="subscript"/>
              </w:rPr>
              <w:t>LSE, p, t</w:t>
            </w:r>
          </w:p>
        </w:tc>
      </w:tr>
      <w:tr w:rsidR="00B5549F" w:rsidRPr="00B5549F" w14:paraId="12192804" w14:textId="77777777" w:rsidTr="00E02797">
        <w:trPr>
          <w:trHeight w:val="20"/>
          <w:jc w:val="center"/>
        </w:trPr>
        <w:tc>
          <w:tcPr>
            <w:tcW w:w="2551" w:type="dxa"/>
            <w:tcBorders>
              <w:top w:val="single" w:sz="4" w:space="0" w:color="auto"/>
              <w:left w:val="nil"/>
              <w:bottom w:val="nil"/>
              <w:right w:val="nil"/>
            </w:tcBorders>
            <w:noWrap/>
            <w:vAlign w:val="bottom"/>
            <w:hideMark/>
          </w:tcPr>
          <w:p w14:paraId="5F4812AB" w14:textId="77777777" w:rsidR="00985916" w:rsidRPr="00B5549F" w:rsidRDefault="00985916" w:rsidP="00985916">
            <w:pPr>
              <w:contextualSpacing/>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ln Y (p, t-1)</w:t>
            </w:r>
          </w:p>
        </w:tc>
        <w:tc>
          <w:tcPr>
            <w:tcW w:w="1480" w:type="dxa"/>
            <w:tcBorders>
              <w:top w:val="single" w:sz="4" w:space="0" w:color="auto"/>
              <w:left w:val="nil"/>
              <w:bottom w:val="nil"/>
              <w:right w:val="nil"/>
            </w:tcBorders>
            <w:noWrap/>
            <w:vAlign w:val="bottom"/>
            <w:hideMark/>
          </w:tcPr>
          <w:p w14:paraId="6B01145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0.4409***</w:t>
            </w:r>
          </w:p>
        </w:tc>
        <w:tc>
          <w:tcPr>
            <w:tcW w:w="1580" w:type="dxa"/>
            <w:tcBorders>
              <w:top w:val="single" w:sz="4" w:space="0" w:color="auto"/>
              <w:left w:val="nil"/>
              <w:bottom w:val="nil"/>
              <w:right w:val="nil"/>
            </w:tcBorders>
            <w:noWrap/>
            <w:vAlign w:val="bottom"/>
            <w:hideMark/>
          </w:tcPr>
          <w:p w14:paraId="237749B8"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0.1755***</w:t>
            </w:r>
          </w:p>
        </w:tc>
        <w:tc>
          <w:tcPr>
            <w:tcW w:w="1480" w:type="dxa"/>
            <w:tcBorders>
              <w:top w:val="single" w:sz="4" w:space="0" w:color="auto"/>
              <w:left w:val="nil"/>
              <w:bottom w:val="nil"/>
              <w:right w:val="nil"/>
            </w:tcBorders>
            <w:noWrap/>
            <w:vAlign w:val="bottom"/>
            <w:hideMark/>
          </w:tcPr>
          <w:p w14:paraId="3253DD27"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0.4356***</w:t>
            </w:r>
          </w:p>
        </w:tc>
        <w:tc>
          <w:tcPr>
            <w:tcW w:w="1480" w:type="dxa"/>
            <w:tcBorders>
              <w:top w:val="single" w:sz="4" w:space="0" w:color="auto"/>
              <w:left w:val="nil"/>
              <w:bottom w:val="nil"/>
              <w:right w:val="nil"/>
            </w:tcBorders>
            <w:noWrap/>
            <w:vAlign w:val="bottom"/>
            <w:hideMark/>
          </w:tcPr>
          <w:p w14:paraId="5657FBA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0.1571**</w:t>
            </w:r>
          </w:p>
        </w:tc>
        <w:tc>
          <w:tcPr>
            <w:tcW w:w="1560" w:type="dxa"/>
            <w:tcBorders>
              <w:top w:val="single" w:sz="4" w:space="0" w:color="auto"/>
              <w:left w:val="nil"/>
              <w:bottom w:val="nil"/>
              <w:right w:val="nil"/>
            </w:tcBorders>
            <w:noWrap/>
            <w:vAlign w:val="bottom"/>
            <w:hideMark/>
          </w:tcPr>
          <w:p w14:paraId="085F2C3D"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0.2351***</w:t>
            </w:r>
          </w:p>
        </w:tc>
        <w:tc>
          <w:tcPr>
            <w:tcW w:w="1560" w:type="dxa"/>
            <w:tcBorders>
              <w:top w:val="single" w:sz="4" w:space="0" w:color="auto"/>
              <w:left w:val="nil"/>
              <w:bottom w:val="nil"/>
              <w:right w:val="nil"/>
            </w:tcBorders>
            <w:noWrap/>
            <w:vAlign w:val="bottom"/>
            <w:hideMark/>
          </w:tcPr>
          <w:p w14:paraId="4630D476"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0.2274***</w:t>
            </w:r>
          </w:p>
        </w:tc>
        <w:tc>
          <w:tcPr>
            <w:tcW w:w="1560" w:type="dxa"/>
            <w:tcBorders>
              <w:top w:val="single" w:sz="4" w:space="0" w:color="auto"/>
              <w:left w:val="nil"/>
              <w:bottom w:val="nil"/>
              <w:right w:val="nil"/>
            </w:tcBorders>
            <w:noWrap/>
            <w:vAlign w:val="bottom"/>
            <w:hideMark/>
          </w:tcPr>
          <w:p w14:paraId="5A538476"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0.2465***</w:t>
            </w:r>
          </w:p>
        </w:tc>
        <w:tc>
          <w:tcPr>
            <w:tcW w:w="1560" w:type="dxa"/>
            <w:tcBorders>
              <w:top w:val="single" w:sz="4" w:space="0" w:color="auto"/>
              <w:left w:val="nil"/>
              <w:bottom w:val="nil"/>
              <w:right w:val="nil"/>
            </w:tcBorders>
            <w:noWrap/>
            <w:vAlign w:val="bottom"/>
            <w:hideMark/>
          </w:tcPr>
          <w:p w14:paraId="510D9BA7"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0.3888***</w:t>
            </w:r>
          </w:p>
        </w:tc>
      </w:tr>
      <w:tr w:rsidR="00B5549F" w:rsidRPr="00B5549F" w14:paraId="0431688C" w14:textId="77777777" w:rsidTr="00E02797">
        <w:trPr>
          <w:trHeight w:val="20"/>
          <w:jc w:val="center"/>
        </w:trPr>
        <w:tc>
          <w:tcPr>
            <w:tcW w:w="2551" w:type="dxa"/>
            <w:tcBorders>
              <w:top w:val="nil"/>
              <w:left w:val="nil"/>
              <w:bottom w:val="nil"/>
              <w:right w:val="nil"/>
            </w:tcBorders>
            <w:noWrap/>
            <w:vAlign w:val="bottom"/>
            <w:hideMark/>
          </w:tcPr>
          <w:p w14:paraId="6A20ECD4"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480" w:type="dxa"/>
            <w:tcBorders>
              <w:top w:val="nil"/>
              <w:left w:val="nil"/>
              <w:bottom w:val="nil"/>
              <w:right w:val="nil"/>
            </w:tcBorders>
            <w:noWrap/>
            <w:vAlign w:val="bottom"/>
            <w:hideMark/>
          </w:tcPr>
          <w:p w14:paraId="0C2A76E2"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(0.045)</w:t>
            </w:r>
          </w:p>
        </w:tc>
        <w:tc>
          <w:tcPr>
            <w:tcW w:w="1580" w:type="dxa"/>
            <w:tcBorders>
              <w:top w:val="nil"/>
              <w:left w:val="nil"/>
              <w:bottom w:val="nil"/>
              <w:right w:val="nil"/>
            </w:tcBorders>
            <w:noWrap/>
            <w:vAlign w:val="bottom"/>
            <w:hideMark/>
          </w:tcPr>
          <w:p w14:paraId="541F64DD"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(0.060)</w:t>
            </w:r>
          </w:p>
        </w:tc>
        <w:tc>
          <w:tcPr>
            <w:tcW w:w="1480" w:type="dxa"/>
            <w:tcBorders>
              <w:top w:val="nil"/>
              <w:left w:val="nil"/>
              <w:bottom w:val="nil"/>
              <w:right w:val="nil"/>
            </w:tcBorders>
            <w:noWrap/>
            <w:vAlign w:val="bottom"/>
            <w:hideMark/>
          </w:tcPr>
          <w:p w14:paraId="536D44E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(0.046)</w:t>
            </w:r>
          </w:p>
        </w:tc>
        <w:tc>
          <w:tcPr>
            <w:tcW w:w="1480" w:type="dxa"/>
            <w:tcBorders>
              <w:top w:val="nil"/>
              <w:left w:val="nil"/>
              <w:bottom w:val="nil"/>
              <w:right w:val="nil"/>
            </w:tcBorders>
            <w:noWrap/>
            <w:vAlign w:val="bottom"/>
            <w:hideMark/>
          </w:tcPr>
          <w:p w14:paraId="21FA45B7"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(0.064)</w:t>
            </w:r>
          </w:p>
        </w:tc>
        <w:tc>
          <w:tcPr>
            <w:tcW w:w="1560" w:type="dxa"/>
            <w:tcBorders>
              <w:top w:val="nil"/>
              <w:left w:val="nil"/>
              <w:bottom w:val="nil"/>
              <w:right w:val="nil"/>
            </w:tcBorders>
            <w:noWrap/>
            <w:vAlign w:val="bottom"/>
            <w:hideMark/>
          </w:tcPr>
          <w:p w14:paraId="19513C7F"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(0.030)</w:t>
            </w:r>
          </w:p>
        </w:tc>
        <w:tc>
          <w:tcPr>
            <w:tcW w:w="1560" w:type="dxa"/>
            <w:tcBorders>
              <w:top w:val="nil"/>
              <w:left w:val="nil"/>
              <w:bottom w:val="nil"/>
              <w:right w:val="nil"/>
            </w:tcBorders>
            <w:noWrap/>
            <w:vAlign w:val="bottom"/>
            <w:hideMark/>
          </w:tcPr>
          <w:p w14:paraId="5C8AA4C2"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(0.085)</w:t>
            </w:r>
          </w:p>
        </w:tc>
        <w:tc>
          <w:tcPr>
            <w:tcW w:w="1560" w:type="dxa"/>
            <w:tcBorders>
              <w:top w:val="nil"/>
              <w:left w:val="nil"/>
              <w:bottom w:val="nil"/>
              <w:right w:val="nil"/>
            </w:tcBorders>
            <w:noWrap/>
            <w:vAlign w:val="bottom"/>
            <w:hideMark/>
          </w:tcPr>
          <w:p w14:paraId="4DDF9166"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(0.033)</w:t>
            </w:r>
          </w:p>
        </w:tc>
        <w:tc>
          <w:tcPr>
            <w:tcW w:w="1560" w:type="dxa"/>
            <w:tcBorders>
              <w:top w:val="nil"/>
              <w:left w:val="nil"/>
              <w:bottom w:val="nil"/>
              <w:right w:val="nil"/>
            </w:tcBorders>
            <w:noWrap/>
            <w:vAlign w:val="bottom"/>
            <w:hideMark/>
          </w:tcPr>
          <w:p w14:paraId="14D9D79D"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(0.073)</w:t>
            </w:r>
          </w:p>
        </w:tc>
      </w:tr>
      <w:tr w:rsidR="00B5549F" w:rsidRPr="00B5549F" w14:paraId="03D4B30E" w14:textId="77777777" w:rsidTr="00E02797">
        <w:trPr>
          <w:trHeight w:val="20"/>
          <w:jc w:val="center"/>
        </w:trPr>
        <w:tc>
          <w:tcPr>
            <w:tcW w:w="2551" w:type="dxa"/>
            <w:tcBorders>
              <w:top w:val="nil"/>
              <w:left w:val="nil"/>
              <w:bottom w:val="nil"/>
              <w:right w:val="nil"/>
            </w:tcBorders>
            <w:noWrap/>
            <w:vAlign w:val="bottom"/>
            <w:hideMark/>
          </w:tcPr>
          <w:p w14:paraId="76847369" w14:textId="77777777" w:rsidR="00985916" w:rsidRPr="00B5549F" w:rsidRDefault="00985916" w:rsidP="00985916">
            <w:pPr>
              <w:contextualSpacing/>
              <w:rPr>
                <w:rFonts w:ascii="Times New Roman" w:hAnsi="Times New Roman" w:cs="Times New Roman"/>
                <w:color w:val="000000" w:themeColor="text1"/>
                <w:sz w:val="20"/>
                <w:szCs w:val="20"/>
                <w:vertAlign w:val="subscript"/>
              </w:rPr>
            </w:pPr>
            <w:r w:rsidRPr="00B5549F">
              <w:rPr>
                <w:rFonts w:ascii="Times New Roman" w:hAnsi="Times New Roman" w:cs="Times New Roman"/>
                <w:color w:val="000000" w:themeColor="text1"/>
                <w:sz w:val="20"/>
                <w:szCs w:val="20"/>
              </w:rPr>
              <w:t xml:space="preserve">ln </w:t>
            </w:r>
            <w:r w:rsidRPr="00B5549F">
              <w:rPr>
                <w:rFonts w:ascii="Times New Roman" w:hAnsi="Times New Roman" w:cs="Times New Roman"/>
                <w:i/>
                <w:iCs/>
                <w:color w:val="000000" w:themeColor="text1"/>
                <w:sz w:val="20"/>
                <w:szCs w:val="20"/>
              </w:rPr>
              <w:t>MarketClimate</w:t>
            </w:r>
            <w:r w:rsidRPr="00B5549F">
              <w:rPr>
                <w:rFonts w:ascii="Times New Roman" w:hAnsi="Times New Roman" w:cs="Times New Roman"/>
                <w:i/>
                <w:iCs/>
                <w:color w:val="000000" w:themeColor="text1"/>
                <w:sz w:val="20"/>
                <w:szCs w:val="20"/>
                <w:vertAlign w:val="superscript"/>
              </w:rPr>
              <w:t>3</w:t>
            </w:r>
            <w:r w:rsidRPr="00B5549F">
              <w:rPr>
                <w:rFonts w:ascii="Times New Roman" w:hAnsi="Times New Roman" w:cs="Times New Roman"/>
                <w:i/>
                <w:iCs/>
                <w:color w:val="000000" w:themeColor="text1"/>
                <w:sz w:val="20"/>
                <w:szCs w:val="20"/>
                <w:vertAlign w:val="subscript"/>
              </w:rPr>
              <w:t>pt</w:t>
            </w:r>
          </w:p>
        </w:tc>
        <w:tc>
          <w:tcPr>
            <w:tcW w:w="1480" w:type="dxa"/>
            <w:tcBorders>
              <w:top w:val="nil"/>
              <w:left w:val="nil"/>
              <w:bottom w:val="nil"/>
              <w:right w:val="nil"/>
            </w:tcBorders>
            <w:noWrap/>
            <w:vAlign w:val="bottom"/>
            <w:hideMark/>
          </w:tcPr>
          <w:p w14:paraId="524C77F5"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0.3442***</w:t>
            </w:r>
          </w:p>
        </w:tc>
        <w:tc>
          <w:tcPr>
            <w:tcW w:w="1580" w:type="dxa"/>
            <w:tcBorders>
              <w:top w:val="nil"/>
              <w:left w:val="nil"/>
              <w:bottom w:val="nil"/>
              <w:right w:val="nil"/>
            </w:tcBorders>
            <w:noWrap/>
            <w:vAlign w:val="bottom"/>
            <w:hideMark/>
          </w:tcPr>
          <w:p w14:paraId="5AA2D2BC"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0.5083***</w:t>
            </w:r>
          </w:p>
        </w:tc>
        <w:tc>
          <w:tcPr>
            <w:tcW w:w="1480" w:type="dxa"/>
            <w:tcBorders>
              <w:top w:val="nil"/>
              <w:left w:val="nil"/>
              <w:bottom w:val="nil"/>
              <w:right w:val="nil"/>
            </w:tcBorders>
            <w:noWrap/>
            <w:vAlign w:val="bottom"/>
            <w:hideMark/>
          </w:tcPr>
          <w:p w14:paraId="337B633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0.3479***</w:t>
            </w:r>
          </w:p>
        </w:tc>
        <w:tc>
          <w:tcPr>
            <w:tcW w:w="1480" w:type="dxa"/>
            <w:tcBorders>
              <w:top w:val="nil"/>
              <w:left w:val="nil"/>
              <w:bottom w:val="nil"/>
              <w:right w:val="nil"/>
            </w:tcBorders>
            <w:noWrap/>
            <w:vAlign w:val="bottom"/>
            <w:hideMark/>
          </w:tcPr>
          <w:p w14:paraId="1F9B1F69"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0.5194***</w:t>
            </w:r>
          </w:p>
        </w:tc>
        <w:tc>
          <w:tcPr>
            <w:tcW w:w="1560" w:type="dxa"/>
            <w:tcBorders>
              <w:top w:val="nil"/>
              <w:left w:val="nil"/>
              <w:bottom w:val="nil"/>
              <w:right w:val="nil"/>
            </w:tcBorders>
            <w:noWrap/>
            <w:vAlign w:val="bottom"/>
            <w:hideMark/>
          </w:tcPr>
          <w:p w14:paraId="1D10C97A"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0.4745***</w:t>
            </w:r>
          </w:p>
        </w:tc>
        <w:tc>
          <w:tcPr>
            <w:tcW w:w="1560" w:type="dxa"/>
            <w:tcBorders>
              <w:top w:val="nil"/>
              <w:left w:val="nil"/>
              <w:bottom w:val="nil"/>
              <w:right w:val="nil"/>
            </w:tcBorders>
            <w:noWrap/>
            <w:vAlign w:val="bottom"/>
            <w:hideMark/>
          </w:tcPr>
          <w:p w14:paraId="280E07F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0.4714***</w:t>
            </w:r>
          </w:p>
        </w:tc>
        <w:tc>
          <w:tcPr>
            <w:tcW w:w="1560" w:type="dxa"/>
            <w:tcBorders>
              <w:top w:val="nil"/>
              <w:left w:val="nil"/>
              <w:bottom w:val="nil"/>
              <w:right w:val="nil"/>
            </w:tcBorders>
            <w:noWrap/>
            <w:vAlign w:val="bottom"/>
            <w:hideMark/>
          </w:tcPr>
          <w:p w14:paraId="3D55575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0.4289***</w:t>
            </w:r>
          </w:p>
        </w:tc>
        <w:tc>
          <w:tcPr>
            <w:tcW w:w="1560" w:type="dxa"/>
            <w:tcBorders>
              <w:top w:val="nil"/>
              <w:left w:val="nil"/>
              <w:bottom w:val="nil"/>
              <w:right w:val="nil"/>
            </w:tcBorders>
            <w:noWrap/>
            <w:vAlign w:val="bottom"/>
            <w:hideMark/>
          </w:tcPr>
          <w:p w14:paraId="0E057E8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0.3318***</w:t>
            </w:r>
          </w:p>
        </w:tc>
      </w:tr>
      <w:tr w:rsidR="00B5549F" w:rsidRPr="00B5549F" w14:paraId="5126A640" w14:textId="77777777" w:rsidTr="00E02797">
        <w:trPr>
          <w:trHeight w:val="20"/>
          <w:jc w:val="center"/>
        </w:trPr>
        <w:tc>
          <w:tcPr>
            <w:tcW w:w="2551" w:type="dxa"/>
            <w:tcBorders>
              <w:top w:val="nil"/>
              <w:left w:val="nil"/>
              <w:bottom w:val="nil"/>
              <w:right w:val="nil"/>
            </w:tcBorders>
            <w:noWrap/>
            <w:vAlign w:val="bottom"/>
            <w:hideMark/>
          </w:tcPr>
          <w:p w14:paraId="11E5CCAC"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480" w:type="dxa"/>
            <w:tcBorders>
              <w:top w:val="nil"/>
              <w:left w:val="nil"/>
              <w:bottom w:val="nil"/>
              <w:right w:val="nil"/>
            </w:tcBorders>
            <w:noWrap/>
            <w:vAlign w:val="bottom"/>
            <w:hideMark/>
          </w:tcPr>
          <w:p w14:paraId="37E998E2"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(0.029)</w:t>
            </w:r>
          </w:p>
        </w:tc>
        <w:tc>
          <w:tcPr>
            <w:tcW w:w="1580" w:type="dxa"/>
            <w:tcBorders>
              <w:top w:val="nil"/>
              <w:left w:val="nil"/>
              <w:bottom w:val="nil"/>
              <w:right w:val="nil"/>
            </w:tcBorders>
            <w:noWrap/>
            <w:vAlign w:val="bottom"/>
            <w:hideMark/>
          </w:tcPr>
          <w:p w14:paraId="179AEB00"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(0.042)</w:t>
            </w:r>
          </w:p>
        </w:tc>
        <w:tc>
          <w:tcPr>
            <w:tcW w:w="1480" w:type="dxa"/>
            <w:tcBorders>
              <w:top w:val="nil"/>
              <w:left w:val="nil"/>
              <w:bottom w:val="nil"/>
              <w:right w:val="nil"/>
            </w:tcBorders>
            <w:noWrap/>
            <w:vAlign w:val="bottom"/>
            <w:hideMark/>
          </w:tcPr>
          <w:p w14:paraId="2D360AC2"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(0.029)</w:t>
            </w:r>
          </w:p>
        </w:tc>
        <w:tc>
          <w:tcPr>
            <w:tcW w:w="1480" w:type="dxa"/>
            <w:tcBorders>
              <w:top w:val="nil"/>
              <w:left w:val="nil"/>
              <w:bottom w:val="nil"/>
              <w:right w:val="nil"/>
            </w:tcBorders>
            <w:noWrap/>
            <w:vAlign w:val="bottom"/>
            <w:hideMark/>
          </w:tcPr>
          <w:p w14:paraId="0D479151"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(0.044)</w:t>
            </w:r>
          </w:p>
        </w:tc>
        <w:tc>
          <w:tcPr>
            <w:tcW w:w="1560" w:type="dxa"/>
            <w:tcBorders>
              <w:top w:val="nil"/>
              <w:left w:val="nil"/>
              <w:bottom w:val="nil"/>
              <w:right w:val="nil"/>
            </w:tcBorders>
            <w:noWrap/>
            <w:vAlign w:val="bottom"/>
            <w:hideMark/>
          </w:tcPr>
          <w:p w14:paraId="0D9E85E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(0.026)</w:t>
            </w:r>
          </w:p>
        </w:tc>
        <w:tc>
          <w:tcPr>
            <w:tcW w:w="1560" w:type="dxa"/>
            <w:tcBorders>
              <w:top w:val="nil"/>
              <w:left w:val="nil"/>
              <w:bottom w:val="nil"/>
              <w:right w:val="nil"/>
            </w:tcBorders>
            <w:noWrap/>
            <w:vAlign w:val="bottom"/>
            <w:hideMark/>
          </w:tcPr>
          <w:p w14:paraId="1584A31A"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(0.058)</w:t>
            </w:r>
          </w:p>
        </w:tc>
        <w:tc>
          <w:tcPr>
            <w:tcW w:w="1560" w:type="dxa"/>
            <w:tcBorders>
              <w:top w:val="nil"/>
              <w:left w:val="nil"/>
              <w:bottom w:val="nil"/>
              <w:right w:val="nil"/>
            </w:tcBorders>
            <w:noWrap/>
            <w:vAlign w:val="bottom"/>
            <w:hideMark/>
          </w:tcPr>
          <w:p w14:paraId="1C71D34C"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(0.028)</w:t>
            </w:r>
          </w:p>
        </w:tc>
        <w:tc>
          <w:tcPr>
            <w:tcW w:w="1560" w:type="dxa"/>
            <w:tcBorders>
              <w:top w:val="nil"/>
              <w:left w:val="nil"/>
              <w:bottom w:val="nil"/>
              <w:right w:val="nil"/>
            </w:tcBorders>
            <w:noWrap/>
            <w:vAlign w:val="bottom"/>
            <w:hideMark/>
          </w:tcPr>
          <w:p w14:paraId="55C3BC96"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(0.049)</w:t>
            </w:r>
          </w:p>
        </w:tc>
      </w:tr>
      <w:tr w:rsidR="00B5549F" w:rsidRPr="00B5549F" w14:paraId="4C429E13" w14:textId="77777777" w:rsidTr="00E02797">
        <w:trPr>
          <w:trHeight w:val="20"/>
          <w:jc w:val="center"/>
        </w:trPr>
        <w:tc>
          <w:tcPr>
            <w:tcW w:w="2551" w:type="dxa"/>
            <w:tcBorders>
              <w:top w:val="nil"/>
              <w:left w:val="nil"/>
              <w:bottom w:val="nil"/>
              <w:right w:val="nil"/>
            </w:tcBorders>
            <w:noWrap/>
            <w:vAlign w:val="bottom"/>
            <w:hideMark/>
          </w:tcPr>
          <w:p w14:paraId="52C4C455" w14:textId="77777777" w:rsidR="00985916" w:rsidRPr="00B5549F" w:rsidRDefault="00985916" w:rsidP="00985916">
            <w:pPr>
              <w:contextualSpacing/>
              <w:rPr>
                <w:rFonts w:ascii="Times New Roman" w:hAnsi="Times New Roman" w:cs="Times New Roman"/>
                <w:color w:val="000000" w:themeColor="text1"/>
                <w:sz w:val="20"/>
                <w:szCs w:val="20"/>
                <w:vertAlign w:val="subscript"/>
              </w:rPr>
            </w:pPr>
            <w:r w:rsidRPr="00B5549F">
              <w:rPr>
                <w:rFonts w:ascii="Times New Roman" w:hAnsi="Times New Roman" w:cs="Times New Roman"/>
                <w:color w:val="000000" w:themeColor="text1"/>
                <w:sz w:val="20"/>
                <w:szCs w:val="20"/>
              </w:rPr>
              <w:t xml:space="preserve">ln </w:t>
            </w:r>
            <w:proofErr w:type="spellStart"/>
            <w:r w:rsidRPr="00B5549F">
              <w:rPr>
                <w:rFonts w:ascii="Times New Roman" w:hAnsi="Times New Roman" w:cs="Times New Roman"/>
                <w:i/>
                <w:iCs/>
                <w:color w:val="000000" w:themeColor="text1"/>
                <w:sz w:val="20"/>
                <w:szCs w:val="20"/>
              </w:rPr>
              <w:t>UnoccupiedDwellings</w:t>
            </w:r>
            <w:r w:rsidRPr="00B5549F">
              <w:rPr>
                <w:rFonts w:ascii="Times New Roman" w:hAnsi="Times New Roman" w:cs="Times New Roman"/>
                <w:i/>
                <w:iCs/>
                <w:color w:val="000000" w:themeColor="text1"/>
                <w:sz w:val="20"/>
                <w:szCs w:val="20"/>
                <w:vertAlign w:val="subscript"/>
              </w:rPr>
              <w:t>p</w:t>
            </w:r>
            <w:proofErr w:type="spellEnd"/>
          </w:p>
        </w:tc>
        <w:tc>
          <w:tcPr>
            <w:tcW w:w="1480" w:type="dxa"/>
            <w:tcBorders>
              <w:top w:val="nil"/>
              <w:left w:val="nil"/>
              <w:bottom w:val="nil"/>
              <w:right w:val="nil"/>
            </w:tcBorders>
            <w:noWrap/>
            <w:vAlign w:val="bottom"/>
            <w:hideMark/>
          </w:tcPr>
          <w:p w14:paraId="61ACDDF9"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0.1061***</w:t>
            </w:r>
          </w:p>
        </w:tc>
        <w:tc>
          <w:tcPr>
            <w:tcW w:w="1580" w:type="dxa"/>
            <w:tcBorders>
              <w:top w:val="nil"/>
              <w:left w:val="nil"/>
              <w:bottom w:val="nil"/>
              <w:right w:val="nil"/>
            </w:tcBorders>
            <w:noWrap/>
            <w:vAlign w:val="bottom"/>
            <w:hideMark/>
          </w:tcPr>
          <w:p w14:paraId="3FCC8547"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0.1570***</w:t>
            </w:r>
          </w:p>
        </w:tc>
        <w:tc>
          <w:tcPr>
            <w:tcW w:w="1480" w:type="dxa"/>
            <w:tcBorders>
              <w:top w:val="nil"/>
              <w:left w:val="nil"/>
              <w:bottom w:val="nil"/>
              <w:right w:val="nil"/>
            </w:tcBorders>
            <w:noWrap/>
            <w:vAlign w:val="bottom"/>
            <w:hideMark/>
          </w:tcPr>
          <w:p w14:paraId="2421DD3F"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0.1069***</w:t>
            </w:r>
          </w:p>
        </w:tc>
        <w:tc>
          <w:tcPr>
            <w:tcW w:w="1480" w:type="dxa"/>
            <w:tcBorders>
              <w:top w:val="nil"/>
              <w:left w:val="nil"/>
              <w:bottom w:val="nil"/>
              <w:right w:val="nil"/>
            </w:tcBorders>
            <w:noWrap/>
            <w:vAlign w:val="bottom"/>
            <w:hideMark/>
          </w:tcPr>
          <w:p w14:paraId="4231754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0.1569***</w:t>
            </w:r>
          </w:p>
        </w:tc>
        <w:tc>
          <w:tcPr>
            <w:tcW w:w="1560" w:type="dxa"/>
            <w:tcBorders>
              <w:top w:val="nil"/>
              <w:left w:val="nil"/>
              <w:bottom w:val="nil"/>
              <w:right w:val="nil"/>
            </w:tcBorders>
            <w:noWrap/>
            <w:vAlign w:val="bottom"/>
            <w:hideMark/>
          </w:tcPr>
          <w:p w14:paraId="7E6E0CBF"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-0.0183</w:t>
            </w:r>
          </w:p>
        </w:tc>
        <w:tc>
          <w:tcPr>
            <w:tcW w:w="1560" w:type="dxa"/>
            <w:tcBorders>
              <w:top w:val="nil"/>
              <w:left w:val="nil"/>
              <w:bottom w:val="nil"/>
              <w:right w:val="nil"/>
            </w:tcBorders>
            <w:noWrap/>
            <w:vAlign w:val="bottom"/>
            <w:hideMark/>
          </w:tcPr>
          <w:p w14:paraId="5EEBEC4D"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-0.0085</w:t>
            </w:r>
          </w:p>
        </w:tc>
        <w:tc>
          <w:tcPr>
            <w:tcW w:w="1560" w:type="dxa"/>
            <w:tcBorders>
              <w:top w:val="nil"/>
              <w:left w:val="nil"/>
              <w:bottom w:val="nil"/>
              <w:right w:val="nil"/>
            </w:tcBorders>
            <w:noWrap/>
            <w:vAlign w:val="bottom"/>
            <w:hideMark/>
          </w:tcPr>
          <w:p w14:paraId="1BD53BFD"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-0.0357</w:t>
            </w:r>
          </w:p>
        </w:tc>
        <w:tc>
          <w:tcPr>
            <w:tcW w:w="1560" w:type="dxa"/>
            <w:tcBorders>
              <w:top w:val="nil"/>
              <w:left w:val="nil"/>
              <w:bottom w:val="nil"/>
              <w:right w:val="nil"/>
            </w:tcBorders>
            <w:noWrap/>
            <w:vAlign w:val="bottom"/>
            <w:hideMark/>
          </w:tcPr>
          <w:p w14:paraId="5E6B0F9B"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-0.0363</w:t>
            </w:r>
          </w:p>
        </w:tc>
      </w:tr>
      <w:tr w:rsidR="00B5549F" w:rsidRPr="00B5549F" w14:paraId="0E262F4E" w14:textId="77777777" w:rsidTr="00E02797">
        <w:trPr>
          <w:trHeight w:val="20"/>
          <w:jc w:val="center"/>
        </w:trPr>
        <w:tc>
          <w:tcPr>
            <w:tcW w:w="2551" w:type="dxa"/>
            <w:tcBorders>
              <w:top w:val="nil"/>
              <w:left w:val="nil"/>
              <w:bottom w:val="nil"/>
              <w:right w:val="nil"/>
            </w:tcBorders>
            <w:noWrap/>
            <w:vAlign w:val="bottom"/>
            <w:hideMark/>
          </w:tcPr>
          <w:p w14:paraId="32B726E7"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480" w:type="dxa"/>
            <w:tcBorders>
              <w:top w:val="nil"/>
              <w:left w:val="nil"/>
              <w:bottom w:val="nil"/>
              <w:right w:val="nil"/>
            </w:tcBorders>
            <w:noWrap/>
            <w:vAlign w:val="bottom"/>
            <w:hideMark/>
          </w:tcPr>
          <w:p w14:paraId="375C4A41"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(0.025)</w:t>
            </w:r>
          </w:p>
        </w:tc>
        <w:tc>
          <w:tcPr>
            <w:tcW w:w="1580" w:type="dxa"/>
            <w:tcBorders>
              <w:top w:val="nil"/>
              <w:left w:val="nil"/>
              <w:bottom w:val="nil"/>
              <w:right w:val="nil"/>
            </w:tcBorders>
            <w:noWrap/>
            <w:vAlign w:val="bottom"/>
            <w:hideMark/>
          </w:tcPr>
          <w:p w14:paraId="6A996D63"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(0.042)</w:t>
            </w:r>
          </w:p>
        </w:tc>
        <w:tc>
          <w:tcPr>
            <w:tcW w:w="1480" w:type="dxa"/>
            <w:tcBorders>
              <w:top w:val="nil"/>
              <w:left w:val="nil"/>
              <w:bottom w:val="nil"/>
              <w:right w:val="nil"/>
            </w:tcBorders>
            <w:noWrap/>
            <w:vAlign w:val="bottom"/>
            <w:hideMark/>
          </w:tcPr>
          <w:p w14:paraId="1B065DA3"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(0.025)</w:t>
            </w:r>
          </w:p>
        </w:tc>
        <w:tc>
          <w:tcPr>
            <w:tcW w:w="1480" w:type="dxa"/>
            <w:tcBorders>
              <w:top w:val="nil"/>
              <w:left w:val="nil"/>
              <w:bottom w:val="nil"/>
              <w:right w:val="nil"/>
            </w:tcBorders>
            <w:noWrap/>
            <w:vAlign w:val="bottom"/>
            <w:hideMark/>
          </w:tcPr>
          <w:p w14:paraId="5E42F48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(0.043)</w:t>
            </w:r>
          </w:p>
        </w:tc>
        <w:tc>
          <w:tcPr>
            <w:tcW w:w="1560" w:type="dxa"/>
            <w:tcBorders>
              <w:top w:val="nil"/>
              <w:left w:val="nil"/>
              <w:bottom w:val="nil"/>
              <w:right w:val="nil"/>
            </w:tcBorders>
            <w:noWrap/>
            <w:vAlign w:val="bottom"/>
            <w:hideMark/>
          </w:tcPr>
          <w:p w14:paraId="49ACCA38"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(0.037)</w:t>
            </w:r>
          </w:p>
        </w:tc>
        <w:tc>
          <w:tcPr>
            <w:tcW w:w="1560" w:type="dxa"/>
            <w:tcBorders>
              <w:top w:val="nil"/>
              <w:left w:val="nil"/>
              <w:bottom w:val="nil"/>
              <w:right w:val="nil"/>
            </w:tcBorders>
            <w:noWrap/>
            <w:vAlign w:val="bottom"/>
            <w:hideMark/>
          </w:tcPr>
          <w:p w14:paraId="04D6AFFF"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(0.041)</w:t>
            </w:r>
          </w:p>
        </w:tc>
        <w:tc>
          <w:tcPr>
            <w:tcW w:w="1560" w:type="dxa"/>
            <w:tcBorders>
              <w:top w:val="nil"/>
              <w:left w:val="nil"/>
              <w:bottom w:val="nil"/>
              <w:right w:val="nil"/>
            </w:tcBorders>
            <w:noWrap/>
            <w:vAlign w:val="bottom"/>
            <w:hideMark/>
          </w:tcPr>
          <w:p w14:paraId="3B2A8175"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(0.046)</w:t>
            </w:r>
          </w:p>
        </w:tc>
        <w:tc>
          <w:tcPr>
            <w:tcW w:w="1560" w:type="dxa"/>
            <w:tcBorders>
              <w:top w:val="nil"/>
              <w:left w:val="nil"/>
              <w:bottom w:val="nil"/>
              <w:right w:val="nil"/>
            </w:tcBorders>
            <w:noWrap/>
            <w:vAlign w:val="bottom"/>
            <w:hideMark/>
          </w:tcPr>
          <w:p w14:paraId="68B54BB4"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(0.047)</w:t>
            </w:r>
          </w:p>
        </w:tc>
      </w:tr>
      <w:tr w:rsidR="00B5549F" w:rsidRPr="00B5549F" w14:paraId="44AB5B28" w14:textId="77777777" w:rsidTr="00E02797">
        <w:trPr>
          <w:trHeight w:val="20"/>
          <w:jc w:val="center"/>
        </w:trPr>
        <w:tc>
          <w:tcPr>
            <w:tcW w:w="2551" w:type="dxa"/>
            <w:tcBorders>
              <w:top w:val="nil"/>
              <w:left w:val="nil"/>
              <w:bottom w:val="nil"/>
              <w:right w:val="nil"/>
            </w:tcBorders>
            <w:noWrap/>
            <w:vAlign w:val="bottom"/>
            <w:hideMark/>
          </w:tcPr>
          <w:p w14:paraId="69F180ED" w14:textId="77777777" w:rsidR="00985916" w:rsidRPr="00B5549F" w:rsidRDefault="00985916" w:rsidP="00985916">
            <w:pPr>
              <w:contextualSpacing/>
              <w:rPr>
                <w:rFonts w:ascii="Times New Roman" w:hAnsi="Times New Roman" w:cs="Times New Roman"/>
                <w:i/>
                <w:iCs/>
                <w:color w:val="000000" w:themeColor="text1"/>
                <w:sz w:val="20"/>
                <w:szCs w:val="20"/>
                <w:vertAlign w:val="subscript"/>
              </w:rPr>
            </w:pPr>
            <w:proofErr w:type="spellStart"/>
            <w:r w:rsidRPr="00B5549F">
              <w:rPr>
                <w:rFonts w:ascii="Times New Roman" w:hAnsi="Times New Roman" w:cs="Times New Roman"/>
                <w:i/>
                <w:iCs/>
                <w:color w:val="000000" w:themeColor="text1"/>
                <w:sz w:val="20"/>
                <w:szCs w:val="20"/>
              </w:rPr>
              <w:t>UnemplRate</w:t>
            </w:r>
            <w:r w:rsidRPr="00B5549F">
              <w:rPr>
                <w:rFonts w:ascii="Times New Roman" w:hAnsi="Times New Roman" w:cs="Times New Roman"/>
                <w:i/>
                <w:iCs/>
                <w:color w:val="000000" w:themeColor="text1"/>
                <w:sz w:val="20"/>
                <w:szCs w:val="20"/>
                <w:vertAlign w:val="subscript"/>
              </w:rPr>
              <w:t>pt</w:t>
            </w:r>
            <w:proofErr w:type="spellEnd"/>
          </w:p>
        </w:tc>
        <w:tc>
          <w:tcPr>
            <w:tcW w:w="1480" w:type="dxa"/>
            <w:tcBorders>
              <w:top w:val="nil"/>
              <w:left w:val="nil"/>
              <w:bottom w:val="nil"/>
              <w:right w:val="nil"/>
            </w:tcBorders>
            <w:noWrap/>
            <w:vAlign w:val="bottom"/>
            <w:hideMark/>
          </w:tcPr>
          <w:p w14:paraId="70EBE9C6"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1.1728***</w:t>
            </w:r>
          </w:p>
        </w:tc>
        <w:tc>
          <w:tcPr>
            <w:tcW w:w="1580" w:type="dxa"/>
            <w:tcBorders>
              <w:top w:val="nil"/>
              <w:left w:val="nil"/>
              <w:bottom w:val="nil"/>
              <w:right w:val="nil"/>
            </w:tcBorders>
            <w:noWrap/>
            <w:vAlign w:val="bottom"/>
            <w:hideMark/>
          </w:tcPr>
          <w:p w14:paraId="25743D6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1.6537***</w:t>
            </w:r>
          </w:p>
        </w:tc>
        <w:tc>
          <w:tcPr>
            <w:tcW w:w="1480" w:type="dxa"/>
            <w:tcBorders>
              <w:top w:val="nil"/>
              <w:left w:val="nil"/>
              <w:bottom w:val="nil"/>
              <w:right w:val="nil"/>
            </w:tcBorders>
            <w:noWrap/>
            <w:vAlign w:val="bottom"/>
            <w:hideMark/>
          </w:tcPr>
          <w:p w14:paraId="77655908"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1.1599***</w:t>
            </w:r>
          </w:p>
        </w:tc>
        <w:tc>
          <w:tcPr>
            <w:tcW w:w="1480" w:type="dxa"/>
            <w:tcBorders>
              <w:top w:val="nil"/>
              <w:left w:val="nil"/>
              <w:bottom w:val="nil"/>
              <w:right w:val="nil"/>
            </w:tcBorders>
            <w:noWrap/>
            <w:vAlign w:val="bottom"/>
            <w:hideMark/>
          </w:tcPr>
          <w:p w14:paraId="06159154"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1.6834***</w:t>
            </w:r>
          </w:p>
        </w:tc>
        <w:tc>
          <w:tcPr>
            <w:tcW w:w="1560" w:type="dxa"/>
            <w:tcBorders>
              <w:top w:val="nil"/>
              <w:left w:val="nil"/>
              <w:bottom w:val="nil"/>
              <w:right w:val="nil"/>
            </w:tcBorders>
            <w:noWrap/>
            <w:vAlign w:val="bottom"/>
            <w:hideMark/>
          </w:tcPr>
          <w:p w14:paraId="0474FC17"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2.7234***</w:t>
            </w:r>
          </w:p>
        </w:tc>
        <w:tc>
          <w:tcPr>
            <w:tcW w:w="1560" w:type="dxa"/>
            <w:tcBorders>
              <w:top w:val="nil"/>
              <w:left w:val="nil"/>
              <w:bottom w:val="nil"/>
              <w:right w:val="nil"/>
            </w:tcBorders>
            <w:noWrap/>
            <w:vAlign w:val="bottom"/>
            <w:hideMark/>
          </w:tcPr>
          <w:p w14:paraId="16F7B727"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2.5583***</w:t>
            </w:r>
          </w:p>
        </w:tc>
        <w:tc>
          <w:tcPr>
            <w:tcW w:w="1560" w:type="dxa"/>
            <w:tcBorders>
              <w:top w:val="nil"/>
              <w:left w:val="nil"/>
              <w:bottom w:val="nil"/>
              <w:right w:val="nil"/>
            </w:tcBorders>
            <w:noWrap/>
            <w:vAlign w:val="bottom"/>
            <w:hideMark/>
          </w:tcPr>
          <w:p w14:paraId="383A20DF"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2.3663***</w:t>
            </w:r>
          </w:p>
        </w:tc>
        <w:tc>
          <w:tcPr>
            <w:tcW w:w="1560" w:type="dxa"/>
            <w:tcBorders>
              <w:top w:val="nil"/>
              <w:left w:val="nil"/>
              <w:bottom w:val="nil"/>
              <w:right w:val="nil"/>
            </w:tcBorders>
            <w:noWrap/>
            <w:vAlign w:val="bottom"/>
            <w:hideMark/>
          </w:tcPr>
          <w:p w14:paraId="290BCC5A"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1.5729***</w:t>
            </w:r>
          </w:p>
        </w:tc>
      </w:tr>
      <w:tr w:rsidR="00B5549F" w:rsidRPr="00B5549F" w14:paraId="39808309" w14:textId="77777777" w:rsidTr="00E02797">
        <w:trPr>
          <w:trHeight w:val="20"/>
          <w:jc w:val="center"/>
        </w:trPr>
        <w:tc>
          <w:tcPr>
            <w:tcW w:w="2551" w:type="dxa"/>
            <w:tcBorders>
              <w:top w:val="nil"/>
              <w:left w:val="nil"/>
              <w:bottom w:val="nil"/>
              <w:right w:val="nil"/>
            </w:tcBorders>
            <w:noWrap/>
            <w:vAlign w:val="bottom"/>
            <w:hideMark/>
          </w:tcPr>
          <w:p w14:paraId="7CD4EBCA"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480" w:type="dxa"/>
            <w:tcBorders>
              <w:top w:val="nil"/>
              <w:left w:val="nil"/>
              <w:bottom w:val="nil"/>
              <w:right w:val="nil"/>
            </w:tcBorders>
            <w:noWrap/>
            <w:vAlign w:val="bottom"/>
            <w:hideMark/>
          </w:tcPr>
          <w:p w14:paraId="0F66918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(0.294)</w:t>
            </w:r>
          </w:p>
        </w:tc>
        <w:tc>
          <w:tcPr>
            <w:tcW w:w="1580" w:type="dxa"/>
            <w:tcBorders>
              <w:top w:val="nil"/>
              <w:left w:val="nil"/>
              <w:bottom w:val="nil"/>
              <w:right w:val="nil"/>
            </w:tcBorders>
            <w:noWrap/>
            <w:vAlign w:val="bottom"/>
            <w:hideMark/>
          </w:tcPr>
          <w:p w14:paraId="6CEAC116"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(0.556)</w:t>
            </w:r>
          </w:p>
        </w:tc>
        <w:tc>
          <w:tcPr>
            <w:tcW w:w="1480" w:type="dxa"/>
            <w:tcBorders>
              <w:top w:val="nil"/>
              <w:left w:val="nil"/>
              <w:bottom w:val="nil"/>
              <w:right w:val="nil"/>
            </w:tcBorders>
            <w:noWrap/>
            <w:vAlign w:val="bottom"/>
            <w:hideMark/>
          </w:tcPr>
          <w:p w14:paraId="04FE544B"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(0.303)</w:t>
            </w:r>
          </w:p>
        </w:tc>
        <w:tc>
          <w:tcPr>
            <w:tcW w:w="1480" w:type="dxa"/>
            <w:tcBorders>
              <w:top w:val="nil"/>
              <w:left w:val="nil"/>
              <w:bottom w:val="nil"/>
              <w:right w:val="nil"/>
            </w:tcBorders>
            <w:noWrap/>
            <w:vAlign w:val="bottom"/>
            <w:hideMark/>
          </w:tcPr>
          <w:p w14:paraId="2BF478EB"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(0.578)</w:t>
            </w:r>
          </w:p>
        </w:tc>
        <w:tc>
          <w:tcPr>
            <w:tcW w:w="1560" w:type="dxa"/>
            <w:tcBorders>
              <w:top w:val="nil"/>
              <w:left w:val="nil"/>
              <w:bottom w:val="nil"/>
              <w:right w:val="nil"/>
            </w:tcBorders>
            <w:noWrap/>
            <w:vAlign w:val="bottom"/>
            <w:hideMark/>
          </w:tcPr>
          <w:p w14:paraId="5CCFA7A3"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(0.393)</w:t>
            </w:r>
          </w:p>
        </w:tc>
        <w:tc>
          <w:tcPr>
            <w:tcW w:w="1560" w:type="dxa"/>
            <w:tcBorders>
              <w:top w:val="nil"/>
              <w:left w:val="nil"/>
              <w:bottom w:val="nil"/>
              <w:right w:val="nil"/>
            </w:tcBorders>
            <w:noWrap/>
            <w:vAlign w:val="bottom"/>
            <w:hideMark/>
          </w:tcPr>
          <w:p w14:paraId="255EF102"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(0.593)</w:t>
            </w:r>
          </w:p>
        </w:tc>
        <w:tc>
          <w:tcPr>
            <w:tcW w:w="1560" w:type="dxa"/>
            <w:tcBorders>
              <w:top w:val="nil"/>
              <w:left w:val="nil"/>
              <w:bottom w:val="nil"/>
              <w:right w:val="nil"/>
            </w:tcBorders>
            <w:noWrap/>
            <w:vAlign w:val="bottom"/>
            <w:hideMark/>
          </w:tcPr>
          <w:p w14:paraId="46509691"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(0.432)</w:t>
            </w:r>
          </w:p>
        </w:tc>
        <w:tc>
          <w:tcPr>
            <w:tcW w:w="1560" w:type="dxa"/>
            <w:tcBorders>
              <w:top w:val="nil"/>
              <w:left w:val="nil"/>
              <w:bottom w:val="nil"/>
              <w:right w:val="nil"/>
            </w:tcBorders>
            <w:noWrap/>
            <w:vAlign w:val="bottom"/>
            <w:hideMark/>
          </w:tcPr>
          <w:p w14:paraId="1CAD2566"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(0.464)</w:t>
            </w:r>
          </w:p>
        </w:tc>
      </w:tr>
      <w:tr w:rsidR="00B5549F" w:rsidRPr="00B5549F" w14:paraId="0D991862" w14:textId="77777777" w:rsidTr="00E02797">
        <w:trPr>
          <w:trHeight w:val="20"/>
          <w:jc w:val="center"/>
        </w:trPr>
        <w:tc>
          <w:tcPr>
            <w:tcW w:w="2551" w:type="dxa"/>
            <w:tcBorders>
              <w:top w:val="nil"/>
              <w:left w:val="nil"/>
              <w:bottom w:val="nil"/>
              <w:right w:val="nil"/>
            </w:tcBorders>
            <w:noWrap/>
            <w:vAlign w:val="bottom"/>
            <w:hideMark/>
          </w:tcPr>
          <w:p w14:paraId="122FC6F7" w14:textId="35A22273" w:rsidR="00985916" w:rsidRPr="00B5549F" w:rsidRDefault="00985916" w:rsidP="00985916">
            <w:pPr>
              <w:contextualSpacing/>
              <w:rPr>
                <w:rFonts w:ascii="Times New Roman" w:hAnsi="Times New Roman" w:cs="Times New Roman"/>
                <w:i/>
                <w:iCs/>
                <w:color w:val="000000" w:themeColor="text1"/>
                <w:sz w:val="20"/>
                <w:szCs w:val="20"/>
                <w:vertAlign w:val="subscript"/>
              </w:rPr>
            </w:pPr>
            <w:proofErr w:type="spellStart"/>
            <w:r w:rsidRPr="00B5549F">
              <w:rPr>
                <w:rFonts w:ascii="Times New Roman" w:hAnsi="Times New Roman" w:cs="Times New Roman"/>
                <w:i/>
                <w:iCs/>
                <w:color w:val="000000" w:themeColor="text1"/>
                <w:sz w:val="20"/>
                <w:szCs w:val="20"/>
              </w:rPr>
              <w:t>High</w:t>
            </w:r>
            <w:r w:rsidR="00761CB1" w:rsidRPr="00B5549F">
              <w:rPr>
                <w:rFonts w:ascii="Times New Roman" w:hAnsi="Times New Roman" w:cs="Times New Roman"/>
                <w:i/>
                <w:iCs/>
                <w:color w:val="000000" w:themeColor="text1"/>
                <w:sz w:val="20"/>
                <w:szCs w:val="20"/>
              </w:rPr>
              <w:t>End</w:t>
            </w:r>
            <w:r w:rsidRPr="00B5549F">
              <w:rPr>
                <w:rFonts w:ascii="Times New Roman" w:hAnsi="Times New Roman" w:cs="Times New Roman"/>
                <w:i/>
                <w:iCs/>
                <w:color w:val="000000" w:themeColor="text1"/>
                <w:sz w:val="20"/>
                <w:szCs w:val="20"/>
              </w:rPr>
              <w:t>Specialized</w:t>
            </w:r>
            <w:r w:rsidRPr="00B5549F">
              <w:rPr>
                <w:rFonts w:ascii="Times New Roman" w:hAnsi="Times New Roman" w:cs="Times New Roman"/>
                <w:i/>
                <w:iCs/>
                <w:color w:val="000000" w:themeColor="text1"/>
                <w:sz w:val="20"/>
                <w:szCs w:val="20"/>
                <w:vertAlign w:val="subscript"/>
              </w:rPr>
              <w:t>p</w:t>
            </w:r>
            <w:proofErr w:type="spellEnd"/>
          </w:p>
        </w:tc>
        <w:tc>
          <w:tcPr>
            <w:tcW w:w="1480" w:type="dxa"/>
            <w:tcBorders>
              <w:top w:val="nil"/>
              <w:left w:val="nil"/>
              <w:bottom w:val="nil"/>
              <w:right w:val="nil"/>
            </w:tcBorders>
            <w:noWrap/>
            <w:vAlign w:val="bottom"/>
            <w:hideMark/>
          </w:tcPr>
          <w:p w14:paraId="4DF0AB46"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0.0377</w:t>
            </w:r>
          </w:p>
        </w:tc>
        <w:tc>
          <w:tcPr>
            <w:tcW w:w="1580" w:type="dxa"/>
            <w:tcBorders>
              <w:top w:val="nil"/>
              <w:left w:val="nil"/>
              <w:bottom w:val="nil"/>
              <w:right w:val="nil"/>
            </w:tcBorders>
            <w:noWrap/>
            <w:vAlign w:val="bottom"/>
            <w:hideMark/>
          </w:tcPr>
          <w:p w14:paraId="24E78974"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0.0610</w:t>
            </w:r>
          </w:p>
        </w:tc>
        <w:tc>
          <w:tcPr>
            <w:tcW w:w="1480" w:type="dxa"/>
            <w:tcBorders>
              <w:top w:val="nil"/>
              <w:left w:val="nil"/>
              <w:bottom w:val="nil"/>
              <w:right w:val="nil"/>
            </w:tcBorders>
            <w:noWrap/>
            <w:vAlign w:val="bottom"/>
            <w:hideMark/>
          </w:tcPr>
          <w:p w14:paraId="6190E5A1"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0.0362</w:t>
            </w:r>
          </w:p>
        </w:tc>
        <w:tc>
          <w:tcPr>
            <w:tcW w:w="1480" w:type="dxa"/>
            <w:tcBorders>
              <w:top w:val="nil"/>
              <w:left w:val="nil"/>
              <w:bottom w:val="nil"/>
              <w:right w:val="nil"/>
            </w:tcBorders>
            <w:noWrap/>
            <w:vAlign w:val="bottom"/>
            <w:hideMark/>
          </w:tcPr>
          <w:p w14:paraId="0EC63E10"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0.0591</w:t>
            </w:r>
          </w:p>
        </w:tc>
        <w:tc>
          <w:tcPr>
            <w:tcW w:w="1560" w:type="dxa"/>
            <w:tcBorders>
              <w:top w:val="nil"/>
              <w:left w:val="nil"/>
              <w:bottom w:val="nil"/>
              <w:right w:val="nil"/>
            </w:tcBorders>
            <w:noWrap/>
            <w:vAlign w:val="bottom"/>
            <w:hideMark/>
          </w:tcPr>
          <w:p w14:paraId="6647A6DB"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0.0810**</w:t>
            </w:r>
          </w:p>
        </w:tc>
        <w:tc>
          <w:tcPr>
            <w:tcW w:w="1560" w:type="dxa"/>
            <w:tcBorders>
              <w:top w:val="nil"/>
              <w:left w:val="nil"/>
              <w:bottom w:val="nil"/>
              <w:right w:val="nil"/>
            </w:tcBorders>
            <w:noWrap/>
            <w:vAlign w:val="bottom"/>
            <w:hideMark/>
          </w:tcPr>
          <w:p w14:paraId="65D8FE7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0.0846*</w:t>
            </w:r>
          </w:p>
        </w:tc>
        <w:tc>
          <w:tcPr>
            <w:tcW w:w="1560" w:type="dxa"/>
            <w:tcBorders>
              <w:top w:val="nil"/>
              <w:left w:val="nil"/>
              <w:bottom w:val="nil"/>
              <w:right w:val="nil"/>
            </w:tcBorders>
            <w:noWrap/>
            <w:vAlign w:val="bottom"/>
            <w:hideMark/>
          </w:tcPr>
          <w:p w14:paraId="50A806EF"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0.0926**</w:t>
            </w:r>
          </w:p>
        </w:tc>
        <w:tc>
          <w:tcPr>
            <w:tcW w:w="1560" w:type="dxa"/>
            <w:tcBorders>
              <w:top w:val="nil"/>
              <w:left w:val="nil"/>
              <w:bottom w:val="nil"/>
              <w:right w:val="nil"/>
            </w:tcBorders>
            <w:noWrap/>
            <w:vAlign w:val="bottom"/>
            <w:hideMark/>
          </w:tcPr>
          <w:p w14:paraId="591ECC86"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0.0903**</w:t>
            </w:r>
          </w:p>
        </w:tc>
      </w:tr>
      <w:tr w:rsidR="00B5549F" w:rsidRPr="00B5549F" w14:paraId="5B782C99" w14:textId="77777777" w:rsidTr="00E02797">
        <w:trPr>
          <w:trHeight w:val="20"/>
          <w:jc w:val="center"/>
        </w:trPr>
        <w:tc>
          <w:tcPr>
            <w:tcW w:w="2551" w:type="dxa"/>
            <w:tcBorders>
              <w:top w:val="nil"/>
              <w:left w:val="nil"/>
              <w:bottom w:val="nil"/>
              <w:right w:val="nil"/>
            </w:tcBorders>
            <w:noWrap/>
            <w:vAlign w:val="bottom"/>
            <w:hideMark/>
          </w:tcPr>
          <w:p w14:paraId="45492A10"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480" w:type="dxa"/>
            <w:tcBorders>
              <w:top w:val="nil"/>
              <w:left w:val="nil"/>
              <w:bottom w:val="nil"/>
              <w:right w:val="nil"/>
            </w:tcBorders>
            <w:noWrap/>
            <w:vAlign w:val="bottom"/>
            <w:hideMark/>
          </w:tcPr>
          <w:p w14:paraId="22DF8613"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(0.025)</w:t>
            </w:r>
          </w:p>
        </w:tc>
        <w:tc>
          <w:tcPr>
            <w:tcW w:w="1580" w:type="dxa"/>
            <w:tcBorders>
              <w:top w:val="nil"/>
              <w:left w:val="nil"/>
              <w:bottom w:val="nil"/>
              <w:right w:val="nil"/>
            </w:tcBorders>
            <w:noWrap/>
            <w:vAlign w:val="bottom"/>
            <w:hideMark/>
          </w:tcPr>
          <w:p w14:paraId="74274DB5"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(0.044)</w:t>
            </w:r>
          </w:p>
        </w:tc>
        <w:tc>
          <w:tcPr>
            <w:tcW w:w="1480" w:type="dxa"/>
            <w:tcBorders>
              <w:top w:val="nil"/>
              <w:left w:val="nil"/>
              <w:bottom w:val="nil"/>
              <w:right w:val="nil"/>
            </w:tcBorders>
            <w:noWrap/>
            <w:vAlign w:val="bottom"/>
            <w:hideMark/>
          </w:tcPr>
          <w:p w14:paraId="22DD0B8C"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(0.025)</w:t>
            </w:r>
          </w:p>
        </w:tc>
        <w:tc>
          <w:tcPr>
            <w:tcW w:w="1480" w:type="dxa"/>
            <w:tcBorders>
              <w:top w:val="nil"/>
              <w:left w:val="nil"/>
              <w:bottom w:val="nil"/>
              <w:right w:val="nil"/>
            </w:tcBorders>
            <w:noWrap/>
            <w:vAlign w:val="bottom"/>
            <w:hideMark/>
          </w:tcPr>
          <w:p w14:paraId="1510B7D4"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(0.045)</w:t>
            </w:r>
          </w:p>
        </w:tc>
        <w:tc>
          <w:tcPr>
            <w:tcW w:w="1560" w:type="dxa"/>
            <w:tcBorders>
              <w:top w:val="nil"/>
              <w:left w:val="nil"/>
              <w:bottom w:val="nil"/>
              <w:right w:val="nil"/>
            </w:tcBorders>
            <w:noWrap/>
            <w:vAlign w:val="bottom"/>
            <w:hideMark/>
          </w:tcPr>
          <w:p w14:paraId="3D68FBCF"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(0.039)</w:t>
            </w:r>
          </w:p>
        </w:tc>
        <w:tc>
          <w:tcPr>
            <w:tcW w:w="1560" w:type="dxa"/>
            <w:tcBorders>
              <w:top w:val="nil"/>
              <w:left w:val="nil"/>
              <w:bottom w:val="nil"/>
              <w:right w:val="nil"/>
            </w:tcBorders>
            <w:noWrap/>
            <w:vAlign w:val="bottom"/>
            <w:hideMark/>
          </w:tcPr>
          <w:p w14:paraId="7F910C16"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(0.048)</w:t>
            </w:r>
          </w:p>
        </w:tc>
        <w:tc>
          <w:tcPr>
            <w:tcW w:w="1560" w:type="dxa"/>
            <w:tcBorders>
              <w:top w:val="nil"/>
              <w:left w:val="nil"/>
              <w:bottom w:val="nil"/>
              <w:right w:val="nil"/>
            </w:tcBorders>
            <w:noWrap/>
            <w:vAlign w:val="bottom"/>
            <w:hideMark/>
          </w:tcPr>
          <w:p w14:paraId="7A89AAAA"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(0.042)</w:t>
            </w:r>
          </w:p>
        </w:tc>
        <w:tc>
          <w:tcPr>
            <w:tcW w:w="1560" w:type="dxa"/>
            <w:tcBorders>
              <w:top w:val="nil"/>
              <w:left w:val="nil"/>
              <w:bottom w:val="nil"/>
              <w:right w:val="nil"/>
            </w:tcBorders>
            <w:noWrap/>
            <w:vAlign w:val="bottom"/>
            <w:hideMark/>
          </w:tcPr>
          <w:p w14:paraId="0E653392"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(0.037)</w:t>
            </w:r>
          </w:p>
        </w:tc>
      </w:tr>
      <w:tr w:rsidR="00B5549F" w:rsidRPr="00B5549F" w14:paraId="026C7596" w14:textId="77777777" w:rsidTr="00E02797">
        <w:trPr>
          <w:trHeight w:val="20"/>
          <w:jc w:val="center"/>
        </w:trPr>
        <w:tc>
          <w:tcPr>
            <w:tcW w:w="2551" w:type="dxa"/>
            <w:tcBorders>
              <w:top w:val="nil"/>
              <w:left w:val="nil"/>
              <w:bottom w:val="nil"/>
              <w:right w:val="nil"/>
            </w:tcBorders>
            <w:noWrap/>
            <w:vAlign w:val="bottom"/>
            <w:hideMark/>
          </w:tcPr>
          <w:p w14:paraId="2C53CB24" w14:textId="77777777" w:rsidR="00985916" w:rsidRPr="00B5549F" w:rsidRDefault="00985916" w:rsidP="00985916">
            <w:pPr>
              <w:contextualSpacing/>
              <w:rPr>
                <w:rFonts w:ascii="Times New Roman" w:hAnsi="Times New Roman" w:cs="Times New Roman"/>
                <w:color w:val="000000" w:themeColor="text1"/>
                <w:sz w:val="20"/>
                <w:szCs w:val="20"/>
                <w:vertAlign w:val="subscript"/>
              </w:rPr>
            </w:pPr>
            <w:r w:rsidRPr="00B5549F">
              <w:rPr>
                <w:rFonts w:ascii="Times New Roman" w:hAnsi="Times New Roman" w:cs="Times New Roman"/>
                <w:color w:val="000000" w:themeColor="text1"/>
                <w:sz w:val="20"/>
                <w:szCs w:val="20"/>
              </w:rPr>
              <w:t xml:space="preserve">ln </w:t>
            </w:r>
            <w:proofErr w:type="spellStart"/>
            <w:r w:rsidRPr="00B5549F">
              <w:rPr>
                <w:rFonts w:ascii="Times New Roman" w:hAnsi="Times New Roman" w:cs="Times New Roman"/>
                <w:i/>
                <w:iCs/>
                <w:color w:val="000000" w:themeColor="text1"/>
                <w:sz w:val="20"/>
                <w:szCs w:val="20"/>
              </w:rPr>
              <w:t>AVGRent</w:t>
            </w:r>
            <w:r w:rsidRPr="00B5549F">
              <w:rPr>
                <w:rFonts w:ascii="Times New Roman" w:hAnsi="Times New Roman" w:cs="Times New Roman"/>
                <w:i/>
                <w:iCs/>
                <w:color w:val="000000" w:themeColor="text1"/>
                <w:sz w:val="20"/>
                <w:szCs w:val="20"/>
                <w:vertAlign w:val="subscript"/>
              </w:rPr>
              <w:t>pt</w:t>
            </w:r>
            <w:proofErr w:type="spellEnd"/>
          </w:p>
        </w:tc>
        <w:tc>
          <w:tcPr>
            <w:tcW w:w="1480" w:type="dxa"/>
            <w:tcBorders>
              <w:top w:val="nil"/>
              <w:left w:val="nil"/>
              <w:bottom w:val="nil"/>
              <w:right w:val="nil"/>
            </w:tcBorders>
            <w:noWrap/>
            <w:vAlign w:val="bottom"/>
            <w:hideMark/>
          </w:tcPr>
          <w:p w14:paraId="25A4EA96"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-0.0092</w:t>
            </w:r>
          </w:p>
        </w:tc>
        <w:tc>
          <w:tcPr>
            <w:tcW w:w="1580" w:type="dxa"/>
            <w:tcBorders>
              <w:top w:val="nil"/>
              <w:left w:val="nil"/>
              <w:bottom w:val="nil"/>
              <w:right w:val="nil"/>
            </w:tcBorders>
            <w:noWrap/>
            <w:vAlign w:val="bottom"/>
            <w:hideMark/>
          </w:tcPr>
          <w:p w14:paraId="42C85369"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-0.0195</w:t>
            </w:r>
          </w:p>
        </w:tc>
        <w:tc>
          <w:tcPr>
            <w:tcW w:w="1480" w:type="dxa"/>
            <w:tcBorders>
              <w:top w:val="nil"/>
              <w:left w:val="nil"/>
              <w:bottom w:val="nil"/>
              <w:right w:val="nil"/>
            </w:tcBorders>
            <w:noWrap/>
            <w:vAlign w:val="bottom"/>
            <w:hideMark/>
          </w:tcPr>
          <w:p w14:paraId="1A34B199"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-0.0088</w:t>
            </w:r>
          </w:p>
        </w:tc>
        <w:tc>
          <w:tcPr>
            <w:tcW w:w="1480" w:type="dxa"/>
            <w:tcBorders>
              <w:top w:val="nil"/>
              <w:left w:val="nil"/>
              <w:bottom w:val="nil"/>
              <w:right w:val="nil"/>
            </w:tcBorders>
            <w:noWrap/>
            <w:vAlign w:val="bottom"/>
            <w:hideMark/>
          </w:tcPr>
          <w:p w14:paraId="728DF4E0"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-0.0205</w:t>
            </w:r>
          </w:p>
        </w:tc>
        <w:tc>
          <w:tcPr>
            <w:tcW w:w="1560" w:type="dxa"/>
            <w:tcBorders>
              <w:top w:val="nil"/>
              <w:left w:val="nil"/>
              <w:bottom w:val="nil"/>
              <w:right w:val="nil"/>
            </w:tcBorders>
            <w:noWrap/>
            <w:vAlign w:val="bottom"/>
            <w:hideMark/>
          </w:tcPr>
          <w:p w14:paraId="4AF81B5A"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-0.0416</w:t>
            </w:r>
          </w:p>
        </w:tc>
        <w:tc>
          <w:tcPr>
            <w:tcW w:w="1560" w:type="dxa"/>
            <w:tcBorders>
              <w:top w:val="nil"/>
              <w:left w:val="nil"/>
              <w:bottom w:val="nil"/>
              <w:right w:val="nil"/>
            </w:tcBorders>
            <w:noWrap/>
            <w:vAlign w:val="bottom"/>
            <w:hideMark/>
          </w:tcPr>
          <w:p w14:paraId="2B3E2DC7"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-0.0529</w:t>
            </w:r>
          </w:p>
        </w:tc>
        <w:tc>
          <w:tcPr>
            <w:tcW w:w="1560" w:type="dxa"/>
            <w:tcBorders>
              <w:top w:val="nil"/>
              <w:left w:val="nil"/>
              <w:bottom w:val="nil"/>
              <w:right w:val="nil"/>
            </w:tcBorders>
            <w:noWrap/>
            <w:vAlign w:val="bottom"/>
            <w:hideMark/>
          </w:tcPr>
          <w:p w14:paraId="0B6EFC38"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-0.0058</w:t>
            </w:r>
          </w:p>
        </w:tc>
        <w:tc>
          <w:tcPr>
            <w:tcW w:w="1560" w:type="dxa"/>
            <w:tcBorders>
              <w:top w:val="nil"/>
              <w:left w:val="nil"/>
              <w:bottom w:val="nil"/>
              <w:right w:val="nil"/>
            </w:tcBorders>
            <w:noWrap/>
            <w:vAlign w:val="bottom"/>
            <w:hideMark/>
          </w:tcPr>
          <w:p w14:paraId="3BCEAA6A"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-0.0164</w:t>
            </w:r>
          </w:p>
        </w:tc>
      </w:tr>
      <w:tr w:rsidR="00B5549F" w:rsidRPr="00B5549F" w14:paraId="52CE0D4E" w14:textId="77777777" w:rsidTr="00E02797">
        <w:trPr>
          <w:trHeight w:val="20"/>
          <w:jc w:val="center"/>
        </w:trPr>
        <w:tc>
          <w:tcPr>
            <w:tcW w:w="2551" w:type="dxa"/>
            <w:tcBorders>
              <w:top w:val="nil"/>
              <w:left w:val="nil"/>
              <w:bottom w:val="nil"/>
              <w:right w:val="nil"/>
            </w:tcBorders>
            <w:noWrap/>
            <w:vAlign w:val="bottom"/>
            <w:hideMark/>
          </w:tcPr>
          <w:p w14:paraId="15E79D23"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480" w:type="dxa"/>
            <w:tcBorders>
              <w:top w:val="nil"/>
              <w:left w:val="nil"/>
              <w:bottom w:val="nil"/>
              <w:right w:val="nil"/>
            </w:tcBorders>
            <w:noWrap/>
            <w:vAlign w:val="bottom"/>
            <w:hideMark/>
          </w:tcPr>
          <w:p w14:paraId="7184108B"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(0.031)</w:t>
            </w:r>
          </w:p>
        </w:tc>
        <w:tc>
          <w:tcPr>
            <w:tcW w:w="1580" w:type="dxa"/>
            <w:tcBorders>
              <w:top w:val="nil"/>
              <w:left w:val="nil"/>
              <w:bottom w:val="nil"/>
              <w:right w:val="nil"/>
            </w:tcBorders>
            <w:noWrap/>
            <w:vAlign w:val="bottom"/>
            <w:hideMark/>
          </w:tcPr>
          <w:p w14:paraId="727BAA9D"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(0.056)</w:t>
            </w:r>
          </w:p>
        </w:tc>
        <w:tc>
          <w:tcPr>
            <w:tcW w:w="1480" w:type="dxa"/>
            <w:tcBorders>
              <w:top w:val="nil"/>
              <w:left w:val="nil"/>
              <w:bottom w:val="nil"/>
              <w:right w:val="nil"/>
            </w:tcBorders>
            <w:noWrap/>
            <w:vAlign w:val="bottom"/>
            <w:hideMark/>
          </w:tcPr>
          <w:p w14:paraId="0D4D4EA3"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(0.030)</w:t>
            </w:r>
          </w:p>
        </w:tc>
        <w:tc>
          <w:tcPr>
            <w:tcW w:w="1480" w:type="dxa"/>
            <w:tcBorders>
              <w:top w:val="nil"/>
              <w:left w:val="nil"/>
              <w:bottom w:val="nil"/>
              <w:right w:val="nil"/>
            </w:tcBorders>
            <w:noWrap/>
            <w:vAlign w:val="bottom"/>
            <w:hideMark/>
          </w:tcPr>
          <w:p w14:paraId="69CE7198"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(0.056)</w:t>
            </w:r>
          </w:p>
        </w:tc>
        <w:tc>
          <w:tcPr>
            <w:tcW w:w="1560" w:type="dxa"/>
            <w:tcBorders>
              <w:top w:val="nil"/>
              <w:left w:val="nil"/>
              <w:bottom w:val="nil"/>
              <w:right w:val="nil"/>
            </w:tcBorders>
            <w:noWrap/>
            <w:vAlign w:val="bottom"/>
            <w:hideMark/>
          </w:tcPr>
          <w:p w14:paraId="2FE8BEC5"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(0.048)</w:t>
            </w:r>
          </w:p>
        </w:tc>
        <w:tc>
          <w:tcPr>
            <w:tcW w:w="1560" w:type="dxa"/>
            <w:tcBorders>
              <w:top w:val="nil"/>
              <w:left w:val="nil"/>
              <w:bottom w:val="nil"/>
              <w:right w:val="nil"/>
            </w:tcBorders>
            <w:noWrap/>
            <w:vAlign w:val="bottom"/>
            <w:hideMark/>
          </w:tcPr>
          <w:p w14:paraId="0EEB4A49"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(0.054)</w:t>
            </w:r>
          </w:p>
        </w:tc>
        <w:tc>
          <w:tcPr>
            <w:tcW w:w="1560" w:type="dxa"/>
            <w:tcBorders>
              <w:top w:val="nil"/>
              <w:left w:val="nil"/>
              <w:bottom w:val="nil"/>
              <w:right w:val="nil"/>
            </w:tcBorders>
            <w:noWrap/>
            <w:vAlign w:val="bottom"/>
            <w:hideMark/>
          </w:tcPr>
          <w:p w14:paraId="738D8744"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(0.058)</w:t>
            </w:r>
          </w:p>
        </w:tc>
        <w:tc>
          <w:tcPr>
            <w:tcW w:w="1560" w:type="dxa"/>
            <w:tcBorders>
              <w:top w:val="nil"/>
              <w:left w:val="nil"/>
              <w:bottom w:val="nil"/>
              <w:right w:val="nil"/>
            </w:tcBorders>
            <w:noWrap/>
            <w:vAlign w:val="bottom"/>
            <w:hideMark/>
          </w:tcPr>
          <w:p w14:paraId="178B371D"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(0.063)</w:t>
            </w:r>
          </w:p>
        </w:tc>
      </w:tr>
      <w:tr w:rsidR="00B5549F" w:rsidRPr="00B5549F" w14:paraId="1CAEE753" w14:textId="77777777" w:rsidTr="00E02797">
        <w:trPr>
          <w:trHeight w:val="20"/>
          <w:jc w:val="center"/>
        </w:trPr>
        <w:tc>
          <w:tcPr>
            <w:tcW w:w="2551" w:type="dxa"/>
            <w:tcBorders>
              <w:top w:val="nil"/>
              <w:left w:val="nil"/>
              <w:bottom w:val="nil"/>
              <w:right w:val="nil"/>
            </w:tcBorders>
            <w:noWrap/>
            <w:vAlign w:val="bottom"/>
            <w:hideMark/>
          </w:tcPr>
          <w:p w14:paraId="45E144E6" w14:textId="77777777" w:rsidR="00985916" w:rsidRPr="00B5549F" w:rsidRDefault="00985916" w:rsidP="00985916">
            <w:pPr>
              <w:contextualSpacing/>
              <w:rPr>
                <w:rFonts w:ascii="Times New Roman" w:hAnsi="Times New Roman" w:cs="Times New Roman"/>
                <w:color w:val="000000" w:themeColor="text1"/>
                <w:sz w:val="20"/>
                <w:szCs w:val="20"/>
                <w:vertAlign w:val="subscript"/>
              </w:rPr>
            </w:pPr>
            <w:r w:rsidRPr="00B5549F">
              <w:rPr>
                <w:rFonts w:ascii="Times New Roman" w:hAnsi="Times New Roman" w:cs="Times New Roman"/>
                <w:color w:val="000000" w:themeColor="text1"/>
                <w:sz w:val="20"/>
                <w:szCs w:val="20"/>
              </w:rPr>
              <w:t xml:space="preserve">ln </w:t>
            </w:r>
            <w:proofErr w:type="spellStart"/>
            <w:r w:rsidRPr="00B5549F">
              <w:rPr>
                <w:rFonts w:ascii="Times New Roman" w:hAnsi="Times New Roman" w:cs="Times New Roman"/>
                <w:i/>
                <w:iCs/>
                <w:color w:val="000000" w:themeColor="text1"/>
                <w:sz w:val="20"/>
                <w:szCs w:val="20"/>
              </w:rPr>
              <w:t>Altitude</w:t>
            </w:r>
            <w:r w:rsidRPr="00B5549F">
              <w:rPr>
                <w:rFonts w:ascii="Times New Roman" w:hAnsi="Times New Roman" w:cs="Times New Roman"/>
                <w:i/>
                <w:iCs/>
                <w:color w:val="000000" w:themeColor="text1"/>
                <w:sz w:val="20"/>
                <w:szCs w:val="20"/>
                <w:vertAlign w:val="subscript"/>
              </w:rPr>
              <w:t>p</w:t>
            </w:r>
            <w:proofErr w:type="spellEnd"/>
          </w:p>
        </w:tc>
        <w:tc>
          <w:tcPr>
            <w:tcW w:w="1480" w:type="dxa"/>
            <w:tcBorders>
              <w:top w:val="nil"/>
              <w:left w:val="nil"/>
              <w:bottom w:val="nil"/>
              <w:right w:val="nil"/>
            </w:tcBorders>
            <w:noWrap/>
            <w:vAlign w:val="bottom"/>
            <w:hideMark/>
          </w:tcPr>
          <w:p w14:paraId="6E1D040B"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0.0489***</w:t>
            </w:r>
          </w:p>
        </w:tc>
        <w:tc>
          <w:tcPr>
            <w:tcW w:w="1580" w:type="dxa"/>
            <w:tcBorders>
              <w:top w:val="nil"/>
              <w:left w:val="nil"/>
              <w:bottom w:val="nil"/>
              <w:right w:val="nil"/>
            </w:tcBorders>
            <w:noWrap/>
            <w:vAlign w:val="bottom"/>
            <w:hideMark/>
          </w:tcPr>
          <w:p w14:paraId="6A3107B0"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0.0715***</w:t>
            </w:r>
          </w:p>
        </w:tc>
        <w:tc>
          <w:tcPr>
            <w:tcW w:w="1480" w:type="dxa"/>
            <w:tcBorders>
              <w:top w:val="nil"/>
              <w:left w:val="nil"/>
              <w:bottom w:val="nil"/>
              <w:right w:val="nil"/>
            </w:tcBorders>
            <w:noWrap/>
            <w:vAlign w:val="bottom"/>
            <w:hideMark/>
          </w:tcPr>
          <w:p w14:paraId="7600E824"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0.0483***</w:t>
            </w:r>
          </w:p>
        </w:tc>
        <w:tc>
          <w:tcPr>
            <w:tcW w:w="1480" w:type="dxa"/>
            <w:tcBorders>
              <w:top w:val="nil"/>
              <w:left w:val="nil"/>
              <w:bottom w:val="nil"/>
              <w:right w:val="nil"/>
            </w:tcBorders>
            <w:noWrap/>
            <w:vAlign w:val="bottom"/>
            <w:hideMark/>
          </w:tcPr>
          <w:p w14:paraId="1BD69AED"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0.0719***</w:t>
            </w:r>
          </w:p>
        </w:tc>
        <w:tc>
          <w:tcPr>
            <w:tcW w:w="1560" w:type="dxa"/>
            <w:tcBorders>
              <w:top w:val="nil"/>
              <w:left w:val="nil"/>
              <w:bottom w:val="nil"/>
              <w:right w:val="nil"/>
            </w:tcBorders>
            <w:noWrap/>
            <w:vAlign w:val="bottom"/>
            <w:hideMark/>
          </w:tcPr>
          <w:p w14:paraId="130234AA"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0.0172</w:t>
            </w:r>
          </w:p>
        </w:tc>
        <w:tc>
          <w:tcPr>
            <w:tcW w:w="1560" w:type="dxa"/>
            <w:tcBorders>
              <w:top w:val="nil"/>
              <w:left w:val="nil"/>
              <w:bottom w:val="nil"/>
              <w:right w:val="nil"/>
            </w:tcBorders>
            <w:noWrap/>
            <w:vAlign w:val="bottom"/>
            <w:hideMark/>
          </w:tcPr>
          <w:p w14:paraId="56AB2AEF"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0.0220</w:t>
            </w:r>
          </w:p>
        </w:tc>
        <w:tc>
          <w:tcPr>
            <w:tcW w:w="1560" w:type="dxa"/>
            <w:tcBorders>
              <w:top w:val="nil"/>
              <w:left w:val="nil"/>
              <w:bottom w:val="nil"/>
              <w:right w:val="nil"/>
            </w:tcBorders>
            <w:noWrap/>
            <w:vAlign w:val="bottom"/>
            <w:hideMark/>
          </w:tcPr>
          <w:p w14:paraId="7F9AF01B"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0.0143</w:t>
            </w:r>
          </w:p>
        </w:tc>
        <w:tc>
          <w:tcPr>
            <w:tcW w:w="1560" w:type="dxa"/>
            <w:tcBorders>
              <w:top w:val="nil"/>
              <w:left w:val="nil"/>
              <w:bottom w:val="nil"/>
              <w:right w:val="nil"/>
            </w:tcBorders>
            <w:noWrap/>
            <w:vAlign w:val="bottom"/>
            <w:hideMark/>
          </w:tcPr>
          <w:p w14:paraId="75FA417A"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0.0224</w:t>
            </w:r>
          </w:p>
        </w:tc>
      </w:tr>
      <w:tr w:rsidR="00B5549F" w:rsidRPr="00B5549F" w14:paraId="0AE26908" w14:textId="77777777" w:rsidTr="00E02797">
        <w:trPr>
          <w:trHeight w:val="20"/>
          <w:jc w:val="center"/>
        </w:trPr>
        <w:tc>
          <w:tcPr>
            <w:tcW w:w="2551" w:type="dxa"/>
            <w:tcBorders>
              <w:top w:val="nil"/>
              <w:left w:val="nil"/>
              <w:bottom w:val="nil"/>
              <w:right w:val="nil"/>
            </w:tcBorders>
            <w:noWrap/>
            <w:vAlign w:val="bottom"/>
            <w:hideMark/>
          </w:tcPr>
          <w:p w14:paraId="7CED1452"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480" w:type="dxa"/>
            <w:tcBorders>
              <w:top w:val="nil"/>
              <w:left w:val="nil"/>
              <w:bottom w:val="nil"/>
              <w:right w:val="nil"/>
            </w:tcBorders>
            <w:noWrap/>
            <w:vAlign w:val="bottom"/>
            <w:hideMark/>
          </w:tcPr>
          <w:p w14:paraId="2E317E55"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(0.014)</w:t>
            </w:r>
          </w:p>
        </w:tc>
        <w:tc>
          <w:tcPr>
            <w:tcW w:w="1580" w:type="dxa"/>
            <w:tcBorders>
              <w:top w:val="nil"/>
              <w:left w:val="nil"/>
              <w:bottom w:val="nil"/>
              <w:right w:val="nil"/>
            </w:tcBorders>
            <w:noWrap/>
            <w:vAlign w:val="bottom"/>
            <w:hideMark/>
          </w:tcPr>
          <w:p w14:paraId="3BC85620"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(0.023)</w:t>
            </w:r>
          </w:p>
        </w:tc>
        <w:tc>
          <w:tcPr>
            <w:tcW w:w="1480" w:type="dxa"/>
            <w:tcBorders>
              <w:top w:val="nil"/>
              <w:left w:val="nil"/>
              <w:bottom w:val="nil"/>
              <w:right w:val="nil"/>
            </w:tcBorders>
            <w:noWrap/>
            <w:vAlign w:val="bottom"/>
            <w:hideMark/>
          </w:tcPr>
          <w:p w14:paraId="0F9CDBE6"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(0.013)</w:t>
            </w:r>
          </w:p>
        </w:tc>
        <w:tc>
          <w:tcPr>
            <w:tcW w:w="1480" w:type="dxa"/>
            <w:tcBorders>
              <w:top w:val="nil"/>
              <w:left w:val="nil"/>
              <w:bottom w:val="nil"/>
              <w:right w:val="nil"/>
            </w:tcBorders>
            <w:noWrap/>
            <w:vAlign w:val="bottom"/>
            <w:hideMark/>
          </w:tcPr>
          <w:p w14:paraId="0FACCAF8"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(0.023)</w:t>
            </w:r>
          </w:p>
        </w:tc>
        <w:tc>
          <w:tcPr>
            <w:tcW w:w="1560" w:type="dxa"/>
            <w:tcBorders>
              <w:top w:val="nil"/>
              <w:left w:val="nil"/>
              <w:bottom w:val="nil"/>
              <w:right w:val="nil"/>
            </w:tcBorders>
            <w:noWrap/>
            <w:vAlign w:val="bottom"/>
            <w:hideMark/>
          </w:tcPr>
          <w:p w14:paraId="72F33959"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(0.023)</w:t>
            </w:r>
          </w:p>
        </w:tc>
        <w:tc>
          <w:tcPr>
            <w:tcW w:w="1560" w:type="dxa"/>
            <w:tcBorders>
              <w:top w:val="nil"/>
              <w:left w:val="nil"/>
              <w:bottom w:val="nil"/>
              <w:right w:val="nil"/>
            </w:tcBorders>
            <w:noWrap/>
            <w:vAlign w:val="bottom"/>
            <w:hideMark/>
          </w:tcPr>
          <w:p w14:paraId="77EC0071"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(0.024)</w:t>
            </w:r>
          </w:p>
        </w:tc>
        <w:tc>
          <w:tcPr>
            <w:tcW w:w="1560" w:type="dxa"/>
            <w:tcBorders>
              <w:top w:val="nil"/>
              <w:left w:val="nil"/>
              <w:bottom w:val="nil"/>
              <w:right w:val="nil"/>
            </w:tcBorders>
            <w:noWrap/>
            <w:vAlign w:val="bottom"/>
            <w:hideMark/>
          </w:tcPr>
          <w:p w14:paraId="33D9EBA8"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(0.026)</w:t>
            </w:r>
          </w:p>
        </w:tc>
        <w:tc>
          <w:tcPr>
            <w:tcW w:w="1560" w:type="dxa"/>
            <w:tcBorders>
              <w:top w:val="nil"/>
              <w:left w:val="nil"/>
              <w:bottom w:val="nil"/>
              <w:right w:val="nil"/>
            </w:tcBorders>
            <w:noWrap/>
            <w:vAlign w:val="bottom"/>
            <w:hideMark/>
          </w:tcPr>
          <w:p w14:paraId="4A326891"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(0.029)</w:t>
            </w:r>
          </w:p>
        </w:tc>
      </w:tr>
      <w:tr w:rsidR="00B5549F" w:rsidRPr="00B5549F" w14:paraId="1EF81ED1" w14:textId="77777777" w:rsidTr="00E02797">
        <w:trPr>
          <w:trHeight w:val="20"/>
          <w:jc w:val="center"/>
        </w:trPr>
        <w:tc>
          <w:tcPr>
            <w:tcW w:w="2551" w:type="dxa"/>
            <w:tcBorders>
              <w:top w:val="nil"/>
              <w:left w:val="nil"/>
              <w:bottom w:val="nil"/>
              <w:right w:val="nil"/>
            </w:tcBorders>
            <w:noWrap/>
            <w:vAlign w:val="bottom"/>
            <w:hideMark/>
          </w:tcPr>
          <w:p w14:paraId="2AE41007" w14:textId="77777777" w:rsidR="00985916" w:rsidRPr="00B5549F" w:rsidRDefault="00985916" w:rsidP="00985916">
            <w:pPr>
              <w:contextualSpacing/>
              <w:rPr>
                <w:rFonts w:ascii="Times New Roman" w:hAnsi="Times New Roman" w:cs="Times New Roman"/>
                <w:i/>
                <w:iCs/>
                <w:color w:val="000000" w:themeColor="text1"/>
                <w:sz w:val="20"/>
                <w:szCs w:val="20"/>
                <w:vertAlign w:val="subscript"/>
              </w:rPr>
            </w:pPr>
            <w:proofErr w:type="spellStart"/>
            <w:r w:rsidRPr="00B5549F">
              <w:rPr>
                <w:rFonts w:ascii="Times New Roman" w:hAnsi="Times New Roman" w:cs="Times New Roman"/>
                <w:i/>
                <w:iCs/>
                <w:color w:val="000000" w:themeColor="text1"/>
                <w:sz w:val="20"/>
                <w:szCs w:val="20"/>
              </w:rPr>
              <w:t>PercSeasideMunicipalities</w:t>
            </w:r>
            <w:r w:rsidRPr="00B5549F">
              <w:rPr>
                <w:rFonts w:ascii="Times New Roman" w:hAnsi="Times New Roman" w:cs="Times New Roman"/>
                <w:i/>
                <w:iCs/>
                <w:color w:val="000000" w:themeColor="text1"/>
                <w:sz w:val="20"/>
                <w:szCs w:val="20"/>
                <w:vertAlign w:val="subscript"/>
              </w:rPr>
              <w:t>p</w:t>
            </w:r>
            <w:proofErr w:type="spellEnd"/>
          </w:p>
        </w:tc>
        <w:tc>
          <w:tcPr>
            <w:tcW w:w="1480" w:type="dxa"/>
            <w:tcBorders>
              <w:top w:val="nil"/>
              <w:left w:val="nil"/>
              <w:bottom w:val="nil"/>
              <w:right w:val="nil"/>
            </w:tcBorders>
            <w:noWrap/>
            <w:vAlign w:val="bottom"/>
            <w:hideMark/>
          </w:tcPr>
          <w:p w14:paraId="0A47B842"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0.1605***</w:t>
            </w:r>
          </w:p>
        </w:tc>
        <w:tc>
          <w:tcPr>
            <w:tcW w:w="1580" w:type="dxa"/>
            <w:tcBorders>
              <w:top w:val="nil"/>
              <w:left w:val="nil"/>
              <w:bottom w:val="nil"/>
              <w:right w:val="nil"/>
            </w:tcBorders>
            <w:noWrap/>
            <w:vAlign w:val="bottom"/>
            <w:hideMark/>
          </w:tcPr>
          <w:p w14:paraId="7C747C09"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0.2532***</w:t>
            </w:r>
          </w:p>
        </w:tc>
        <w:tc>
          <w:tcPr>
            <w:tcW w:w="1480" w:type="dxa"/>
            <w:tcBorders>
              <w:top w:val="nil"/>
              <w:left w:val="nil"/>
              <w:bottom w:val="nil"/>
              <w:right w:val="nil"/>
            </w:tcBorders>
            <w:noWrap/>
            <w:vAlign w:val="bottom"/>
            <w:hideMark/>
          </w:tcPr>
          <w:p w14:paraId="1BC77117"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0.1603***</w:t>
            </w:r>
          </w:p>
        </w:tc>
        <w:tc>
          <w:tcPr>
            <w:tcW w:w="1480" w:type="dxa"/>
            <w:tcBorders>
              <w:top w:val="nil"/>
              <w:left w:val="nil"/>
              <w:bottom w:val="nil"/>
              <w:right w:val="nil"/>
            </w:tcBorders>
            <w:noWrap/>
            <w:vAlign w:val="bottom"/>
            <w:hideMark/>
          </w:tcPr>
          <w:p w14:paraId="4D4A30BC"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0.2587***</w:t>
            </w:r>
          </w:p>
        </w:tc>
        <w:tc>
          <w:tcPr>
            <w:tcW w:w="1560" w:type="dxa"/>
            <w:tcBorders>
              <w:top w:val="nil"/>
              <w:left w:val="nil"/>
              <w:bottom w:val="nil"/>
              <w:right w:val="nil"/>
            </w:tcBorders>
            <w:noWrap/>
            <w:vAlign w:val="bottom"/>
            <w:hideMark/>
          </w:tcPr>
          <w:p w14:paraId="323C6AAC"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-0.0302</w:t>
            </w:r>
          </w:p>
        </w:tc>
        <w:tc>
          <w:tcPr>
            <w:tcW w:w="1560" w:type="dxa"/>
            <w:tcBorders>
              <w:top w:val="nil"/>
              <w:left w:val="nil"/>
              <w:bottom w:val="nil"/>
              <w:right w:val="nil"/>
            </w:tcBorders>
            <w:noWrap/>
            <w:vAlign w:val="bottom"/>
            <w:hideMark/>
          </w:tcPr>
          <w:p w14:paraId="52D5222C"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0.0064</w:t>
            </w:r>
          </w:p>
        </w:tc>
        <w:tc>
          <w:tcPr>
            <w:tcW w:w="1560" w:type="dxa"/>
            <w:tcBorders>
              <w:top w:val="nil"/>
              <w:left w:val="nil"/>
              <w:bottom w:val="nil"/>
              <w:right w:val="nil"/>
            </w:tcBorders>
            <w:noWrap/>
            <w:vAlign w:val="bottom"/>
            <w:hideMark/>
          </w:tcPr>
          <w:p w14:paraId="558CDC15"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-0.0671</w:t>
            </w:r>
          </w:p>
        </w:tc>
        <w:tc>
          <w:tcPr>
            <w:tcW w:w="1560" w:type="dxa"/>
            <w:tcBorders>
              <w:top w:val="nil"/>
              <w:left w:val="nil"/>
              <w:bottom w:val="nil"/>
              <w:right w:val="nil"/>
            </w:tcBorders>
            <w:noWrap/>
            <w:vAlign w:val="bottom"/>
            <w:hideMark/>
          </w:tcPr>
          <w:p w14:paraId="17E3F343"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-0.0311</w:t>
            </w:r>
          </w:p>
        </w:tc>
      </w:tr>
      <w:tr w:rsidR="00B5549F" w:rsidRPr="00B5549F" w14:paraId="736DD280" w14:textId="77777777" w:rsidTr="00E02797">
        <w:trPr>
          <w:trHeight w:val="20"/>
          <w:jc w:val="center"/>
        </w:trPr>
        <w:tc>
          <w:tcPr>
            <w:tcW w:w="2551" w:type="dxa"/>
            <w:tcBorders>
              <w:top w:val="nil"/>
              <w:left w:val="nil"/>
              <w:bottom w:val="nil"/>
              <w:right w:val="nil"/>
            </w:tcBorders>
            <w:noWrap/>
            <w:vAlign w:val="bottom"/>
            <w:hideMark/>
          </w:tcPr>
          <w:p w14:paraId="2FC30AB9"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480" w:type="dxa"/>
            <w:tcBorders>
              <w:top w:val="nil"/>
              <w:left w:val="nil"/>
              <w:bottom w:val="nil"/>
              <w:right w:val="nil"/>
            </w:tcBorders>
            <w:noWrap/>
            <w:vAlign w:val="bottom"/>
            <w:hideMark/>
          </w:tcPr>
          <w:p w14:paraId="687F2A08"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(0.062)</w:t>
            </w:r>
          </w:p>
        </w:tc>
        <w:tc>
          <w:tcPr>
            <w:tcW w:w="1580" w:type="dxa"/>
            <w:tcBorders>
              <w:top w:val="nil"/>
              <w:left w:val="nil"/>
              <w:bottom w:val="nil"/>
              <w:right w:val="nil"/>
            </w:tcBorders>
            <w:noWrap/>
            <w:vAlign w:val="bottom"/>
            <w:hideMark/>
          </w:tcPr>
          <w:p w14:paraId="717C520A"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(0.091)</w:t>
            </w:r>
          </w:p>
        </w:tc>
        <w:tc>
          <w:tcPr>
            <w:tcW w:w="1480" w:type="dxa"/>
            <w:tcBorders>
              <w:top w:val="nil"/>
              <w:left w:val="nil"/>
              <w:bottom w:val="nil"/>
              <w:right w:val="nil"/>
            </w:tcBorders>
            <w:noWrap/>
            <w:vAlign w:val="bottom"/>
            <w:hideMark/>
          </w:tcPr>
          <w:p w14:paraId="4964415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(0.061)</w:t>
            </w:r>
          </w:p>
        </w:tc>
        <w:tc>
          <w:tcPr>
            <w:tcW w:w="1480" w:type="dxa"/>
            <w:tcBorders>
              <w:top w:val="nil"/>
              <w:left w:val="nil"/>
              <w:bottom w:val="nil"/>
              <w:right w:val="nil"/>
            </w:tcBorders>
            <w:noWrap/>
            <w:vAlign w:val="bottom"/>
            <w:hideMark/>
          </w:tcPr>
          <w:p w14:paraId="262C972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(0.099)</w:t>
            </w:r>
          </w:p>
        </w:tc>
        <w:tc>
          <w:tcPr>
            <w:tcW w:w="1560" w:type="dxa"/>
            <w:tcBorders>
              <w:top w:val="nil"/>
              <w:left w:val="nil"/>
              <w:bottom w:val="nil"/>
              <w:right w:val="nil"/>
            </w:tcBorders>
            <w:noWrap/>
            <w:vAlign w:val="bottom"/>
            <w:hideMark/>
          </w:tcPr>
          <w:p w14:paraId="17B085FF"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(0.080)</w:t>
            </w:r>
          </w:p>
        </w:tc>
        <w:tc>
          <w:tcPr>
            <w:tcW w:w="1560" w:type="dxa"/>
            <w:tcBorders>
              <w:top w:val="nil"/>
              <w:left w:val="nil"/>
              <w:bottom w:val="nil"/>
              <w:right w:val="nil"/>
            </w:tcBorders>
            <w:noWrap/>
            <w:vAlign w:val="bottom"/>
            <w:hideMark/>
          </w:tcPr>
          <w:p w14:paraId="6A1149A5"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(0.105)</w:t>
            </w:r>
          </w:p>
        </w:tc>
        <w:tc>
          <w:tcPr>
            <w:tcW w:w="1560" w:type="dxa"/>
            <w:tcBorders>
              <w:top w:val="nil"/>
              <w:left w:val="nil"/>
              <w:bottom w:val="nil"/>
              <w:right w:val="nil"/>
            </w:tcBorders>
            <w:noWrap/>
            <w:vAlign w:val="bottom"/>
            <w:hideMark/>
          </w:tcPr>
          <w:p w14:paraId="3443401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(0.099)</w:t>
            </w:r>
          </w:p>
        </w:tc>
        <w:tc>
          <w:tcPr>
            <w:tcW w:w="1560" w:type="dxa"/>
            <w:tcBorders>
              <w:top w:val="nil"/>
              <w:left w:val="nil"/>
              <w:bottom w:val="nil"/>
              <w:right w:val="nil"/>
            </w:tcBorders>
            <w:noWrap/>
            <w:vAlign w:val="bottom"/>
            <w:hideMark/>
          </w:tcPr>
          <w:p w14:paraId="12FF9E6F"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(0.094)</w:t>
            </w:r>
          </w:p>
        </w:tc>
      </w:tr>
      <w:tr w:rsidR="00B5549F" w:rsidRPr="00B5549F" w14:paraId="68C42793" w14:textId="77777777" w:rsidTr="00E02797">
        <w:trPr>
          <w:trHeight w:val="20"/>
          <w:jc w:val="center"/>
        </w:trPr>
        <w:tc>
          <w:tcPr>
            <w:tcW w:w="2551" w:type="dxa"/>
            <w:tcBorders>
              <w:top w:val="nil"/>
              <w:left w:val="nil"/>
              <w:bottom w:val="nil"/>
              <w:right w:val="nil"/>
            </w:tcBorders>
            <w:noWrap/>
            <w:vAlign w:val="bottom"/>
            <w:hideMark/>
          </w:tcPr>
          <w:p w14:paraId="573171F5" w14:textId="77777777" w:rsidR="00985916" w:rsidRPr="00B5549F" w:rsidRDefault="00985916" w:rsidP="00985916">
            <w:pPr>
              <w:contextualSpacing/>
              <w:rPr>
                <w:rFonts w:ascii="Times New Roman" w:hAnsi="Times New Roman" w:cs="Times New Roman"/>
                <w:color w:val="000000" w:themeColor="text1"/>
                <w:sz w:val="20"/>
                <w:szCs w:val="20"/>
                <w:vertAlign w:val="subscript"/>
              </w:rPr>
            </w:pPr>
            <w:r w:rsidRPr="00B5549F">
              <w:rPr>
                <w:rFonts w:ascii="Times New Roman" w:hAnsi="Times New Roman" w:cs="Times New Roman"/>
                <w:color w:val="000000" w:themeColor="text1"/>
                <w:sz w:val="20"/>
                <w:szCs w:val="20"/>
              </w:rPr>
              <w:t xml:space="preserve">ln </w:t>
            </w:r>
            <w:proofErr w:type="spellStart"/>
            <w:r w:rsidRPr="00B5549F">
              <w:rPr>
                <w:rFonts w:ascii="Times New Roman" w:hAnsi="Times New Roman" w:cs="Times New Roman"/>
                <w:i/>
                <w:iCs/>
                <w:color w:val="000000" w:themeColor="text1"/>
                <w:sz w:val="20"/>
                <w:szCs w:val="20"/>
              </w:rPr>
              <w:t>BedHotels</w:t>
            </w:r>
            <w:r w:rsidRPr="00B5549F">
              <w:rPr>
                <w:rFonts w:ascii="Times New Roman" w:hAnsi="Times New Roman" w:cs="Times New Roman"/>
                <w:i/>
                <w:iCs/>
                <w:color w:val="000000" w:themeColor="text1"/>
                <w:sz w:val="20"/>
                <w:szCs w:val="20"/>
                <w:vertAlign w:val="subscript"/>
              </w:rPr>
              <w:t>p</w:t>
            </w:r>
            <w:proofErr w:type="spellEnd"/>
          </w:p>
        </w:tc>
        <w:tc>
          <w:tcPr>
            <w:tcW w:w="1480" w:type="dxa"/>
            <w:tcBorders>
              <w:top w:val="nil"/>
              <w:left w:val="nil"/>
              <w:bottom w:val="nil"/>
              <w:right w:val="nil"/>
            </w:tcBorders>
            <w:noWrap/>
            <w:vAlign w:val="bottom"/>
            <w:hideMark/>
          </w:tcPr>
          <w:p w14:paraId="1EEDAEC7"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0.0585***</w:t>
            </w:r>
          </w:p>
        </w:tc>
        <w:tc>
          <w:tcPr>
            <w:tcW w:w="1580" w:type="dxa"/>
            <w:tcBorders>
              <w:top w:val="nil"/>
              <w:left w:val="nil"/>
              <w:bottom w:val="nil"/>
              <w:right w:val="nil"/>
            </w:tcBorders>
            <w:noWrap/>
            <w:vAlign w:val="bottom"/>
            <w:hideMark/>
          </w:tcPr>
          <w:p w14:paraId="1F56DBEA"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0.0890***</w:t>
            </w:r>
          </w:p>
        </w:tc>
        <w:tc>
          <w:tcPr>
            <w:tcW w:w="1480" w:type="dxa"/>
            <w:tcBorders>
              <w:top w:val="nil"/>
              <w:left w:val="nil"/>
              <w:bottom w:val="nil"/>
              <w:right w:val="nil"/>
            </w:tcBorders>
            <w:noWrap/>
            <w:vAlign w:val="bottom"/>
            <w:hideMark/>
          </w:tcPr>
          <w:p w14:paraId="623F6EC1"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0.0578***</w:t>
            </w:r>
          </w:p>
        </w:tc>
        <w:tc>
          <w:tcPr>
            <w:tcW w:w="1480" w:type="dxa"/>
            <w:tcBorders>
              <w:top w:val="nil"/>
              <w:left w:val="nil"/>
              <w:bottom w:val="nil"/>
              <w:right w:val="nil"/>
            </w:tcBorders>
            <w:noWrap/>
            <w:vAlign w:val="bottom"/>
            <w:hideMark/>
          </w:tcPr>
          <w:p w14:paraId="3688DEA5"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0.0909***</w:t>
            </w:r>
          </w:p>
        </w:tc>
        <w:tc>
          <w:tcPr>
            <w:tcW w:w="1560" w:type="dxa"/>
            <w:tcBorders>
              <w:top w:val="nil"/>
              <w:left w:val="nil"/>
              <w:bottom w:val="nil"/>
              <w:right w:val="nil"/>
            </w:tcBorders>
            <w:noWrap/>
            <w:vAlign w:val="bottom"/>
            <w:hideMark/>
          </w:tcPr>
          <w:p w14:paraId="3BD2356F"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0.0596***</w:t>
            </w:r>
          </w:p>
        </w:tc>
        <w:tc>
          <w:tcPr>
            <w:tcW w:w="1560" w:type="dxa"/>
            <w:tcBorders>
              <w:top w:val="nil"/>
              <w:left w:val="nil"/>
              <w:bottom w:val="nil"/>
              <w:right w:val="nil"/>
            </w:tcBorders>
            <w:noWrap/>
            <w:vAlign w:val="bottom"/>
            <w:hideMark/>
          </w:tcPr>
          <w:p w14:paraId="0A58C6D5"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0.0610**</w:t>
            </w:r>
          </w:p>
        </w:tc>
        <w:tc>
          <w:tcPr>
            <w:tcW w:w="1560" w:type="dxa"/>
            <w:tcBorders>
              <w:top w:val="nil"/>
              <w:left w:val="nil"/>
              <w:bottom w:val="nil"/>
              <w:right w:val="nil"/>
            </w:tcBorders>
            <w:noWrap/>
            <w:vAlign w:val="bottom"/>
            <w:hideMark/>
          </w:tcPr>
          <w:p w14:paraId="0AD09540"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0.0525**</w:t>
            </w:r>
          </w:p>
        </w:tc>
        <w:tc>
          <w:tcPr>
            <w:tcW w:w="1560" w:type="dxa"/>
            <w:tcBorders>
              <w:top w:val="nil"/>
              <w:left w:val="nil"/>
              <w:bottom w:val="nil"/>
              <w:right w:val="nil"/>
            </w:tcBorders>
            <w:noWrap/>
            <w:vAlign w:val="bottom"/>
            <w:hideMark/>
          </w:tcPr>
          <w:p w14:paraId="7EFA70B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0.0561**</w:t>
            </w:r>
          </w:p>
        </w:tc>
      </w:tr>
      <w:tr w:rsidR="00B5549F" w:rsidRPr="00B5549F" w14:paraId="55818E2F" w14:textId="77777777" w:rsidTr="00E02797">
        <w:trPr>
          <w:trHeight w:val="20"/>
          <w:jc w:val="center"/>
        </w:trPr>
        <w:tc>
          <w:tcPr>
            <w:tcW w:w="2551" w:type="dxa"/>
            <w:tcBorders>
              <w:top w:val="nil"/>
              <w:left w:val="nil"/>
              <w:bottom w:val="nil"/>
              <w:right w:val="nil"/>
            </w:tcBorders>
            <w:noWrap/>
            <w:vAlign w:val="bottom"/>
            <w:hideMark/>
          </w:tcPr>
          <w:p w14:paraId="482F2AA9"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480" w:type="dxa"/>
            <w:tcBorders>
              <w:top w:val="nil"/>
              <w:left w:val="nil"/>
              <w:bottom w:val="nil"/>
              <w:right w:val="nil"/>
            </w:tcBorders>
            <w:noWrap/>
            <w:vAlign w:val="bottom"/>
            <w:hideMark/>
          </w:tcPr>
          <w:p w14:paraId="548483B0"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(0.016)</w:t>
            </w:r>
          </w:p>
        </w:tc>
        <w:tc>
          <w:tcPr>
            <w:tcW w:w="1580" w:type="dxa"/>
            <w:tcBorders>
              <w:top w:val="nil"/>
              <w:left w:val="nil"/>
              <w:bottom w:val="nil"/>
              <w:right w:val="nil"/>
            </w:tcBorders>
            <w:noWrap/>
            <w:vAlign w:val="bottom"/>
            <w:hideMark/>
          </w:tcPr>
          <w:p w14:paraId="7ABCDF29"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(0.026)</w:t>
            </w:r>
          </w:p>
        </w:tc>
        <w:tc>
          <w:tcPr>
            <w:tcW w:w="1480" w:type="dxa"/>
            <w:tcBorders>
              <w:top w:val="nil"/>
              <w:left w:val="nil"/>
              <w:bottom w:val="nil"/>
              <w:right w:val="nil"/>
            </w:tcBorders>
            <w:noWrap/>
            <w:vAlign w:val="bottom"/>
            <w:hideMark/>
          </w:tcPr>
          <w:p w14:paraId="3ACA1B23"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(0.016)</w:t>
            </w:r>
          </w:p>
        </w:tc>
        <w:tc>
          <w:tcPr>
            <w:tcW w:w="1480" w:type="dxa"/>
            <w:tcBorders>
              <w:top w:val="nil"/>
              <w:left w:val="nil"/>
              <w:bottom w:val="nil"/>
              <w:right w:val="nil"/>
            </w:tcBorders>
            <w:noWrap/>
            <w:vAlign w:val="bottom"/>
            <w:hideMark/>
          </w:tcPr>
          <w:p w14:paraId="767FCF46"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(0.028)</w:t>
            </w:r>
          </w:p>
        </w:tc>
        <w:tc>
          <w:tcPr>
            <w:tcW w:w="1560" w:type="dxa"/>
            <w:tcBorders>
              <w:top w:val="nil"/>
              <w:left w:val="nil"/>
              <w:bottom w:val="nil"/>
              <w:right w:val="nil"/>
            </w:tcBorders>
            <w:noWrap/>
            <w:vAlign w:val="bottom"/>
            <w:hideMark/>
          </w:tcPr>
          <w:p w14:paraId="203FAE29"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(0.021)</w:t>
            </w:r>
          </w:p>
        </w:tc>
        <w:tc>
          <w:tcPr>
            <w:tcW w:w="1560" w:type="dxa"/>
            <w:tcBorders>
              <w:top w:val="nil"/>
              <w:left w:val="nil"/>
              <w:bottom w:val="nil"/>
              <w:right w:val="nil"/>
            </w:tcBorders>
            <w:noWrap/>
            <w:vAlign w:val="bottom"/>
            <w:hideMark/>
          </w:tcPr>
          <w:p w14:paraId="46092CF1"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(0.025)</w:t>
            </w:r>
          </w:p>
        </w:tc>
        <w:tc>
          <w:tcPr>
            <w:tcW w:w="1560" w:type="dxa"/>
            <w:tcBorders>
              <w:top w:val="nil"/>
              <w:left w:val="nil"/>
              <w:bottom w:val="nil"/>
              <w:right w:val="nil"/>
            </w:tcBorders>
            <w:noWrap/>
            <w:vAlign w:val="bottom"/>
            <w:hideMark/>
          </w:tcPr>
          <w:p w14:paraId="690DEF6B"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(0.024)</w:t>
            </w:r>
          </w:p>
        </w:tc>
        <w:tc>
          <w:tcPr>
            <w:tcW w:w="1560" w:type="dxa"/>
            <w:tcBorders>
              <w:top w:val="nil"/>
              <w:left w:val="nil"/>
              <w:bottom w:val="nil"/>
              <w:right w:val="nil"/>
            </w:tcBorders>
            <w:noWrap/>
            <w:vAlign w:val="bottom"/>
            <w:hideMark/>
          </w:tcPr>
          <w:p w14:paraId="56A6BBDA"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(0.026)</w:t>
            </w:r>
          </w:p>
        </w:tc>
      </w:tr>
      <w:tr w:rsidR="00B5549F" w:rsidRPr="00B5549F" w14:paraId="0D6C5623" w14:textId="77777777" w:rsidTr="00E02797">
        <w:trPr>
          <w:trHeight w:val="20"/>
          <w:jc w:val="center"/>
        </w:trPr>
        <w:tc>
          <w:tcPr>
            <w:tcW w:w="2551" w:type="dxa"/>
            <w:tcBorders>
              <w:top w:val="nil"/>
              <w:left w:val="nil"/>
              <w:bottom w:val="nil"/>
              <w:right w:val="nil"/>
            </w:tcBorders>
            <w:noWrap/>
            <w:vAlign w:val="bottom"/>
            <w:hideMark/>
          </w:tcPr>
          <w:p w14:paraId="663881CE" w14:textId="77777777" w:rsidR="00985916" w:rsidRPr="00B5549F" w:rsidRDefault="00985916" w:rsidP="00985916">
            <w:pPr>
              <w:contextualSpacing/>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Constant</w:t>
            </w:r>
          </w:p>
        </w:tc>
        <w:tc>
          <w:tcPr>
            <w:tcW w:w="1480" w:type="dxa"/>
            <w:tcBorders>
              <w:top w:val="nil"/>
              <w:left w:val="nil"/>
              <w:bottom w:val="nil"/>
              <w:right w:val="nil"/>
            </w:tcBorders>
            <w:noWrap/>
            <w:vAlign w:val="bottom"/>
            <w:hideMark/>
          </w:tcPr>
          <w:p w14:paraId="20D8A8C9"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-3.3175***</w:t>
            </w:r>
          </w:p>
        </w:tc>
        <w:tc>
          <w:tcPr>
            <w:tcW w:w="1580" w:type="dxa"/>
            <w:tcBorders>
              <w:top w:val="nil"/>
              <w:left w:val="nil"/>
              <w:bottom w:val="nil"/>
              <w:right w:val="nil"/>
            </w:tcBorders>
            <w:noWrap/>
            <w:vAlign w:val="bottom"/>
            <w:hideMark/>
          </w:tcPr>
          <w:p w14:paraId="32CFDE8B"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-4.8823***</w:t>
            </w:r>
          </w:p>
        </w:tc>
        <w:tc>
          <w:tcPr>
            <w:tcW w:w="1480" w:type="dxa"/>
            <w:tcBorders>
              <w:top w:val="nil"/>
              <w:left w:val="nil"/>
              <w:bottom w:val="nil"/>
              <w:right w:val="nil"/>
            </w:tcBorders>
            <w:noWrap/>
            <w:vAlign w:val="bottom"/>
            <w:hideMark/>
          </w:tcPr>
          <w:p w14:paraId="6B9944D3"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-3.3545***</w:t>
            </w:r>
          </w:p>
        </w:tc>
        <w:tc>
          <w:tcPr>
            <w:tcW w:w="1480" w:type="dxa"/>
            <w:tcBorders>
              <w:top w:val="nil"/>
              <w:left w:val="nil"/>
              <w:bottom w:val="nil"/>
              <w:right w:val="nil"/>
            </w:tcBorders>
            <w:noWrap/>
            <w:vAlign w:val="bottom"/>
            <w:hideMark/>
          </w:tcPr>
          <w:p w14:paraId="71F233AF"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-4.9632***</w:t>
            </w:r>
          </w:p>
        </w:tc>
        <w:tc>
          <w:tcPr>
            <w:tcW w:w="1560" w:type="dxa"/>
            <w:tcBorders>
              <w:top w:val="nil"/>
              <w:left w:val="nil"/>
              <w:bottom w:val="nil"/>
              <w:right w:val="nil"/>
            </w:tcBorders>
            <w:noWrap/>
            <w:vAlign w:val="bottom"/>
            <w:hideMark/>
          </w:tcPr>
          <w:p w14:paraId="73B5A31A"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-3.7009***</w:t>
            </w:r>
          </w:p>
        </w:tc>
        <w:tc>
          <w:tcPr>
            <w:tcW w:w="1560" w:type="dxa"/>
            <w:tcBorders>
              <w:top w:val="nil"/>
              <w:left w:val="nil"/>
              <w:bottom w:val="nil"/>
              <w:right w:val="nil"/>
            </w:tcBorders>
            <w:noWrap/>
            <w:vAlign w:val="bottom"/>
            <w:hideMark/>
          </w:tcPr>
          <w:p w14:paraId="1A3F1741"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-3.7952***</w:t>
            </w:r>
          </w:p>
        </w:tc>
        <w:tc>
          <w:tcPr>
            <w:tcW w:w="1560" w:type="dxa"/>
            <w:tcBorders>
              <w:top w:val="nil"/>
              <w:left w:val="nil"/>
              <w:bottom w:val="nil"/>
              <w:right w:val="nil"/>
            </w:tcBorders>
            <w:noWrap/>
            <w:vAlign w:val="bottom"/>
            <w:hideMark/>
          </w:tcPr>
          <w:p w14:paraId="016BE75E"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-3.3167***</w:t>
            </w:r>
          </w:p>
        </w:tc>
        <w:tc>
          <w:tcPr>
            <w:tcW w:w="1560" w:type="dxa"/>
            <w:tcBorders>
              <w:top w:val="nil"/>
              <w:left w:val="nil"/>
              <w:bottom w:val="nil"/>
              <w:right w:val="nil"/>
            </w:tcBorders>
            <w:noWrap/>
            <w:vAlign w:val="bottom"/>
            <w:hideMark/>
          </w:tcPr>
          <w:p w14:paraId="2397B0F4"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-2.6945***</w:t>
            </w:r>
          </w:p>
        </w:tc>
      </w:tr>
      <w:tr w:rsidR="00B5549F" w:rsidRPr="00B5549F" w14:paraId="05BE9033" w14:textId="77777777" w:rsidTr="00E02797">
        <w:trPr>
          <w:trHeight w:val="20"/>
          <w:jc w:val="center"/>
        </w:trPr>
        <w:tc>
          <w:tcPr>
            <w:tcW w:w="2551" w:type="dxa"/>
            <w:tcBorders>
              <w:top w:val="nil"/>
              <w:left w:val="nil"/>
              <w:bottom w:val="nil"/>
              <w:right w:val="nil"/>
            </w:tcBorders>
            <w:noWrap/>
            <w:vAlign w:val="bottom"/>
            <w:hideMark/>
          </w:tcPr>
          <w:p w14:paraId="1031455C"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480" w:type="dxa"/>
            <w:tcBorders>
              <w:top w:val="nil"/>
              <w:left w:val="nil"/>
              <w:bottom w:val="nil"/>
              <w:right w:val="nil"/>
            </w:tcBorders>
            <w:noWrap/>
            <w:vAlign w:val="bottom"/>
            <w:hideMark/>
          </w:tcPr>
          <w:p w14:paraId="4D3EA4F0"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(0.336)</w:t>
            </w:r>
          </w:p>
        </w:tc>
        <w:tc>
          <w:tcPr>
            <w:tcW w:w="1580" w:type="dxa"/>
            <w:tcBorders>
              <w:top w:val="nil"/>
              <w:left w:val="nil"/>
              <w:bottom w:val="nil"/>
              <w:right w:val="nil"/>
            </w:tcBorders>
            <w:noWrap/>
            <w:vAlign w:val="bottom"/>
            <w:hideMark/>
          </w:tcPr>
          <w:p w14:paraId="774A6A75"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(0.463)</w:t>
            </w:r>
          </w:p>
        </w:tc>
        <w:tc>
          <w:tcPr>
            <w:tcW w:w="1480" w:type="dxa"/>
            <w:tcBorders>
              <w:top w:val="nil"/>
              <w:left w:val="nil"/>
              <w:bottom w:val="nil"/>
              <w:right w:val="nil"/>
            </w:tcBorders>
            <w:noWrap/>
            <w:vAlign w:val="bottom"/>
            <w:hideMark/>
          </w:tcPr>
          <w:p w14:paraId="7CE2F5CC"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(0.338)</w:t>
            </w:r>
          </w:p>
        </w:tc>
        <w:tc>
          <w:tcPr>
            <w:tcW w:w="1480" w:type="dxa"/>
            <w:tcBorders>
              <w:top w:val="nil"/>
              <w:left w:val="nil"/>
              <w:bottom w:val="nil"/>
              <w:right w:val="nil"/>
            </w:tcBorders>
            <w:noWrap/>
            <w:vAlign w:val="bottom"/>
            <w:hideMark/>
          </w:tcPr>
          <w:p w14:paraId="29FC9782"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(0.495)</w:t>
            </w:r>
          </w:p>
        </w:tc>
        <w:tc>
          <w:tcPr>
            <w:tcW w:w="1560" w:type="dxa"/>
            <w:tcBorders>
              <w:top w:val="nil"/>
              <w:left w:val="nil"/>
              <w:bottom w:val="nil"/>
              <w:right w:val="nil"/>
            </w:tcBorders>
            <w:noWrap/>
            <w:vAlign w:val="bottom"/>
            <w:hideMark/>
          </w:tcPr>
          <w:p w14:paraId="5A4D2E91"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(0.388)</w:t>
            </w:r>
          </w:p>
        </w:tc>
        <w:tc>
          <w:tcPr>
            <w:tcW w:w="1560" w:type="dxa"/>
            <w:tcBorders>
              <w:top w:val="nil"/>
              <w:left w:val="nil"/>
              <w:bottom w:val="nil"/>
              <w:right w:val="nil"/>
            </w:tcBorders>
            <w:noWrap/>
            <w:vAlign w:val="bottom"/>
            <w:hideMark/>
          </w:tcPr>
          <w:p w14:paraId="5E00506F"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(0.592)</w:t>
            </w:r>
          </w:p>
        </w:tc>
        <w:tc>
          <w:tcPr>
            <w:tcW w:w="1560" w:type="dxa"/>
            <w:tcBorders>
              <w:top w:val="nil"/>
              <w:left w:val="nil"/>
              <w:bottom w:val="nil"/>
              <w:right w:val="nil"/>
            </w:tcBorders>
            <w:noWrap/>
            <w:vAlign w:val="bottom"/>
            <w:hideMark/>
          </w:tcPr>
          <w:p w14:paraId="4D1A9168"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(0.436)</w:t>
            </w:r>
          </w:p>
        </w:tc>
        <w:tc>
          <w:tcPr>
            <w:tcW w:w="1560" w:type="dxa"/>
            <w:tcBorders>
              <w:top w:val="nil"/>
              <w:left w:val="nil"/>
              <w:bottom w:val="nil"/>
              <w:right w:val="nil"/>
            </w:tcBorders>
            <w:noWrap/>
            <w:vAlign w:val="bottom"/>
            <w:hideMark/>
          </w:tcPr>
          <w:p w14:paraId="0F492FE1"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(0.501)</w:t>
            </w:r>
          </w:p>
        </w:tc>
      </w:tr>
      <w:tr w:rsidR="00B5549F" w:rsidRPr="00B5549F" w14:paraId="566E62DE" w14:textId="77777777" w:rsidTr="00E02797">
        <w:trPr>
          <w:trHeight w:val="20"/>
          <w:jc w:val="center"/>
        </w:trPr>
        <w:tc>
          <w:tcPr>
            <w:tcW w:w="2551" w:type="dxa"/>
            <w:tcBorders>
              <w:top w:val="nil"/>
              <w:left w:val="nil"/>
              <w:bottom w:val="nil"/>
              <w:right w:val="nil"/>
            </w:tcBorders>
            <w:noWrap/>
            <w:vAlign w:val="bottom"/>
          </w:tcPr>
          <w:p w14:paraId="7AAEB69C" w14:textId="77777777" w:rsidR="00985916" w:rsidRPr="00B5549F" w:rsidRDefault="00985916" w:rsidP="00985916">
            <w:pPr>
              <w:contextualSpacing/>
              <w:rPr>
                <w:rFonts w:ascii="Times New Roman" w:hAnsi="Times New Roman" w:cs="Times New Roman"/>
                <w:color w:val="000000" w:themeColor="text1"/>
                <w:sz w:val="20"/>
                <w:szCs w:val="20"/>
              </w:rPr>
            </w:pPr>
            <w:proofErr w:type="spellStart"/>
            <w:r w:rsidRPr="00B5549F">
              <w:rPr>
                <w:rFonts w:ascii="Times New Roman" w:hAnsi="Times New Roman" w:cs="Times New Roman"/>
                <w:color w:val="000000" w:themeColor="text1"/>
                <w:sz w:val="20"/>
                <w:szCs w:val="20"/>
              </w:rPr>
              <w:t>Month</w:t>
            </w:r>
            <w:proofErr w:type="spellEnd"/>
            <w:r w:rsidRPr="00B5549F">
              <w:rPr>
                <w:rFonts w:ascii="Times New Roman" w:hAnsi="Times New Roman" w:cs="Times New Roman"/>
                <w:color w:val="000000" w:themeColor="text1"/>
                <w:sz w:val="20"/>
                <w:szCs w:val="20"/>
              </w:rPr>
              <w:t xml:space="preserve"> fe</w:t>
            </w:r>
          </w:p>
        </w:tc>
        <w:tc>
          <w:tcPr>
            <w:tcW w:w="1480" w:type="dxa"/>
            <w:tcBorders>
              <w:top w:val="nil"/>
              <w:left w:val="nil"/>
              <w:bottom w:val="nil"/>
              <w:right w:val="nil"/>
            </w:tcBorders>
            <w:noWrap/>
            <w:vAlign w:val="bottom"/>
          </w:tcPr>
          <w:p w14:paraId="1BA086D2"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Yes</w:t>
            </w:r>
          </w:p>
        </w:tc>
        <w:tc>
          <w:tcPr>
            <w:tcW w:w="1580" w:type="dxa"/>
            <w:tcBorders>
              <w:top w:val="nil"/>
              <w:left w:val="nil"/>
              <w:bottom w:val="nil"/>
              <w:right w:val="nil"/>
            </w:tcBorders>
            <w:noWrap/>
            <w:vAlign w:val="bottom"/>
          </w:tcPr>
          <w:p w14:paraId="7860DB69"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Yes</w:t>
            </w:r>
          </w:p>
        </w:tc>
        <w:tc>
          <w:tcPr>
            <w:tcW w:w="1480" w:type="dxa"/>
            <w:tcBorders>
              <w:top w:val="nil"/>
              <w:left w:val="nil"/>
              <w:bottom w:val="nil"/>
              <w:right w:val="nil"/>
            </w:tcBorders>
            <w:noWrap/>
            <w:vAlign w:val="bottom"/>
          </w:tcPr>
          <w:p w14:paraId="36CE4308"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Yes</w:t>
            </w:r>
          </w:p>
        </w:tc>
        <w:tc>
          <w:tcPr>
            <w:tcW w:w="1480" w:type="dxa"/>
            <w:tcBorders>
              <w:top w:val="nil"/>
              <w:left w:val="nil"/>
              <w:bottom w:val="nil"/>
              <w:right w:val="nil"/>
            </w:tcBorders>
            <w:noWrap/>
            <w:vAlign w:val="bottom"/>
          </w:tcPr>
          <w:p w14:paraId="21EE555C"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Yes</w:t>
            </w:r>
          </w:p>
        </w:tc>
        <w:tc>
          <w:tcPr>
            <w:tcW w:w="1560" w:type="dxa"/>
            <w:tcBorders>
              <w:top w:val="nil"/>
              <w:left w:val="nil"/>
              <w:bottom w:val="nil"/>
              <w:right w:val="nil"/>
            </w:tcBorders>
            <w:noWrap/>
            <w:vAlign w:val="bottom"/>
          </w:tcPr>
          <w:p w14:paraId="4F4D80E3"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Yes</w:t>
            </w:r>
          </w:p>
        </w:tc>
        <w:tc>
          <w:tcPr>
            <w:tcW w:w="1560" w:type="dxa"/>
            <w:tcBorders>
              <w:top w:val="nil"/>
              <w:left w:val="nil"/>
              <w:bottom w:val="nil"/>
              <w:right w:val="nil"/>
            </w:tcBorders>
            <w:noWrap/>
            <w:vAlign w:val="bottom"/>
          </w:tcPr>
          <w:p w14:paraId="6B5675D4"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Yes</w:t>
            </w:r>
          </w:p>
        </w:tc>
        <w:tc>
          <w:tcPr>
            <w:tcW w:w="1560" w:type="dxa"/>
            <w:tcBorders>
              <w:top w:val="nil"/>
              <w:left w:val="nil"/>
              <w:bottom w:val="nil"/>
              <w:right w:val="nil"/>
            </w:tcBorders>
            <w:noWrap/>
            <w:vAlign w:val="bottom"/>
          </w:tcPr>
          <w:p w14:paraId="6EF33F66"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Yes</w:t>
            </w:r>
          </w:p>
        </w:tc>
        <w:tc>
          <w:tcPr>
            <w:tcW w:w="1560" w:type="dxa"/>
            <w:tcBorders>
              <w:top w:val="nil"/>
              <w:left w:val="nil"/>
              <w:bottom w:val="nil"/>
              <w:right w:val="nil"/>
            </w:tcBorders>
            <w:noWrap/>
            <w:vAlign w:val="bottom"/>
          </w:tcPr>
          <w:p w14:paraId="04D40FCA"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Yes</w:t>
            </w:r>
          </w:p>
        </w:tc>
      </w:tr>
      <w:tr w:rsidR="00B5549F" w:rsidRPr="00B5549F" w14:paraId="458D3000" w14:textId="77777777" w:rsidTr="00E02797">
        <w:trPr>
          <w:trHeight w:val="20"/>
          <w:jc w:val="center"/>
        </w:trPr>
        <w:tc>
          <w:tcPr>
            <w:tcW w:w="2551" w:type="dxa"/>
            <w:tcBorders>
              <w:top w:val="nil"/>
              <w:left w:val="nil"/>
              <w:bottom w:val="nil"/>
              <w:right w:val="nil"/>
            </w:tcBorders>
            <w:noWrap/>
            <w:vAlign w:val="bottom"/>
          </w:tcPr>
          <w:p w14:paraId="63D3B81C" w14:textId="77777777" w:rsidR="00985916" w:rsidRPr="00B5549F" w:rsidRDefault="00985916" w:rsidP="00985916">
            <w:pPr>
              <w:contextualSpacing/>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Time Trend</w:t>
            </w:r>
          </w:p>
        </w:tc>
        <w:tc>
          <w:tcPr>
            <w:tcW w:w="1480" w:type="dxa"/>
            <w:tcBorders>
              <w:top w:val="nil"/>
              <w:left w:val="nil"/>
              <w:bottom w:val="nil"/>
              <w:right w:val="nil"/>
            </w:tcBorders>
            <w:noWrap/>
            <w:vAlign w:val="bottom"/>
          </w:tcPr>
          <w:p w14:paraId="4C4B05BA"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Yes</w:t>
            </w:r>
          </w:p>
        </w:tc>
        <w:tc>
          <w:tcPr>
            <w:tcW w:w="1580" w:type="dxa"/>
            <w:tcBorders>
              <w:top w:val="nil"/>
              <w:left w:val="nil"/>
              <w:bottom w:val="nil"/>
              <w:right w:val="nil"/>
            </w:tcBorders>
            <w:noWrap/>
            <w:vAlign w:val="bottom"/>
          </w:tcPr>
          <w:p w14:paraId="75279E90"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Yes</w:t>
            </w:r>
          </w:p>
        </w:tc>
        <w:tc>
          <w:tcPr>
            <w:tcW w:w="1480" w:type="dxa"/>
            <w:tcBorders>
              <w:top w:val="nil"/>
              <w:left w:val="nil"/>
              <w:bottom w:val="nil"/>
              <w:right w:val="nil"/>
            </w:tcBorders>
            <w:noWrap/>
            <w:vAlign w:val="bottom"/>
          </w:tcPr>
          <w:p w14:paraId="0BFAED08"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Yes</w:t>
            </w:r>
          </w:p>
        </w:tc>
        <w:tc>
          <w:tcPr>
            <w:tcW w:w="1480" w:type="dxa"/>
            <w:tcBorders>
              <w:top w:val="nil"/>
              <w:left w:val="nil"/>
              <w:bottom w:val="nil"/>
              <w:right w:val="nil"/>
            </w:tcBorders>
            <w:noWrap/>
            <w:vAlign w:val="bottom"/>
          </w:tcPr>
          <w:p w14:paraId="346402FB"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Yes</w:t>
            </w:r>
          </w:p>
        </w:tc>
        <w:tc>
          <w:tcPr>
            <w:tcW w:w="1560" w:type="dxa"/>
            <w:tcBorders>
              <w:top w:val="nil"/>
              <w:left w:val="nil"/>
              <w:bottom w:val="nil"/>
              <w:right w:val="nil"/>
            </w:tcBorders>
            <w:noWrap/>
            <w:vAlign w:val="bottom"/>
          </w:tcPr>
          <w:p w14:paraId="7BD31E10"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Yes</w:t>
            </w:r>
          </w:p>
        </w:tc>
        <w:tc>
          <w:tcPr>
            <w:tcW w:w="1560" w:type="dxa"/>
            <w:tcBorders>
              <w:top w:val="nil"/>
              <w:left w:val="nil"/>
              <w:bottom w:val="nil"/>
              <w:right w:val="nil"/>
            </w:tcBorders>
            <w:noWrap/>
            <w:vAlign w:val="bottom"/>
          </w:tcPr>
          <w:p w14:paraId="6D354592"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Yes</w:t>
            </w:r>
          </w:p>
        </w:tc>
        <w:tc>
          <w:tcPr>
            <w:tcW w:w="1560" w:type="dxa"/>
            <w:tcBorders>
              <w:top w:val="nil"/>
              <w:left w:val="nil"/>
              <w:bottom w:val="nil"/>
              <w:right w:val="nil"/>
            </w:tcBorders>
            <w:noWrap/>
            <w:vAlign w:val="bottom"/>
          </w:tcPr>
          <w:p w14:paraId="2FBAD253"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Yes</w:t>
            </w:r>
          </w:p>
        </w:tc>
        <w:tc>
          <w:tcPr>
            <w:tcW w:w="1560" w:type="dxa"/>
            <w:tcBorders>
              <w:top w:val="nil"/>
              <w:left w:val="nil"/>
              <w:bottom w:val="nil"/>
              <w:right w:val="nil"/>
            </w:tcBorders>
            <w:noWrap/>
            <w:vAlign w:val="bottom"/>
          </w:tcPr>
          <w:p w14:paraId="2D237D5D"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Yes</w:t>
            </w:r>
          </w:p>
        </w:tc>
      </w:tr>
      <w:tr w:rsidR="00B5549F" w:rsidRPr="00B5549F" w14:paraId="5D79AE43" w14:textId="77777777" w:rsidTr="00E02797">
        <w:trPr>
          <w:trHeight w:val="20"/>
          <w:jc w:val="center"/>
        </w:trPr>
        <w:tc>
          <w:tcPr>
            <w:tcW w:w="2551" w:type="dxa"/>
            <w:tcBorders>
              <w:top w:val="nil"/>
              <w:left w:val="nil"/>
              <w:bottom w:val="nil"/>
              <w:right w:val="nil"/>
            </w:tcBorders>
            <w:noWrap/>
            <w:vAlign w:val="bottom"/>
            <w:hideMark/>
          </w:tcPr>
          <w:p w14:paraId="54775A53" w14:textId="77777777" w:rsidR="00985916" w:rsidRPr="00B5549F" w:rsidRDefault="00985916" w:rsidP="00985916">
            <w:pPr>
              <w:contextualSpacing/>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N</w:t>
            </w:r>
          </w:p>
        </w:tc>
        <w:tc>
          <w:tcPr>
            <w:tcW w:w="1480" w:type="dxa"/>
            <w:tcBorders>
              <w:top w:val="nil"/>
              <w:left w:val="nil"/>
              <w:bottom w:val="nil"/>
              <w:right w:val="nil"/>
            </w:tcBorders>
            <w:noWrap/>
            <w:vAlign w:val="bottom"/>
            <w:hideMark/>
          </w:tcPr>
          <w:p w14:paraId="01D0F254"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3060</w:t>
            </w:r>
          </w:p>
        </w:tc>
        <w:tc>
          <w:tcPr>
            <w:tcW w:w="1580" w:type="dxa"/>
            <w:tcBorders>
              <w:top w:val="nil"/>
              <w:left w:val="nil"/>
              <w:bottom w:val="nil"/>
              <w:right w:val="nil"/>
            </w:tcBorders>
            <w:noWrap/>
            <w:vAlign w:val="bottom"/>
            <w:hideMark/>
          </w:tcPr>
          <w:p w14:paraId="47ED41A1"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3060</w:t>
            </w:r>
          </w:p>
        </w:tc>
        <w:tc>
          <w:tcPr>
            <w:tcW w:w="1480" w:type="dxa"/>
            <w:tcBorders>
              <w:top w:val="nil"/>
              <w:left w:val="nil"/>
              <w:bottom w:val="nil"/>
              <w:right w:val="nil"/>
            </w:tcBorders>
            <w:noWrap/>
            <w:vAlign w:val="bottom"/>
            <w:hideMark/>
          </w:tcPr>
          <w:p w14:paraId="73FB9168"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3060</w:t>
            </w:r>
          </w:p>
        </w:tc>
        <w:tc>
          <w:tcPr>
            <w:tcW w:w="1480" w:type="dxa"/>
            <w:tcBorders>
              <w:top w:val="nil"/>
              <w:left w:val="nil"/>
              <w:bottom w:val="nil"/>
              <w:right w:val="nil"/>
            </w:tcBorders>
            <w:noWrap/>
            <w:vAlign w:val="bottom"/>
            <w:hideMark/>
          </w:tcPr>
          <w:p w14:paraId="15064469"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3060</w:t>
            </w:r>
          </w:p>
        </w:tc>
        <w:tc>
          <w:tcPr>
            <w:tcW w:w="1560" w:type="dxa"/>
            <w:tcBorders>
              <w:top w:val="nil"/>
              <w:left w:val="nil"/>
              <w:bottom w:val="nil"/>
              <w:right w:val="nil"/>
            </w:tcBorders>
            <w:noWrap/>
            <w:vAlign w:val="bottom"/>
            <w:hideMark/>
          </w:tcPr>
          <w:p w14:paraId="2C7B2CEA"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3060</w:t>
            </w:r>
          </w:p>
        </w:tc>
        <w:tc>
          <w:tcPr>
            <w:tcW w:w="1560" w:type="dxa"/>
            <w:tcBorders>
              <w:top w:val="nil"/>
              <w:left w:val="nil"/>
              <w:bottom w:val="nil"/>
              <w:right w:val="nil"/>
            </w:tcBorders>
            <w:noWrap/>
            <w:vAlign w:val="bottom"/>
            <w:hideMark/>
          </w:tcPr>
          <w:p w14:paraId="0C76CC67"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3060</w:t>
            </w:r>
          </w:p>
        </w:tc>
        <w:tc>
          <w:tcPr>
            <w:tcW w:w="1560" w:type="dxa"/>
            <w:tcBorders>
              <w:top w:val="nil"/>
              <w:left w:val="nil"/>
              <w:bottom w:val="nil"/>
              <w:right w:val="nil"/>
            </w:tcBorders>
            <w:noWrap/>
            <w:vAlign w:val="bottom"/>
            <w:hideMark/>
          </w:tcPr>
          <w:p w14:paraId="448C3228"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3060</w:t>
            </w:r>
          </w:p>
        </w:tc>
        <w:tc>
          <w:tcPr>
            <w:tcW w:w="1560" w:type="dxa"/>
            <w:tcBorders>
              <w:top w:val="nil"/>
              <w:left w:val="nil"/>
              <w:bottom w:val="nil"/>
              <w:right w:val="nil"/>
            </w:tcBorders>
            <w:noWrap/>
            <w:vAlign w:val="bottom"/>
            <w:hideMark/>
          </w:tcPr>
          <w:p w14:paraId="516CFED9"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3060</w:t>
            </w:r>
          </w:p>
        </w:tc>
      </w:tr>
      <w:tr w:rsidR="00B5549F" w:rsidRPr="00B5549F" w14:paraId="7EA67A09" w14:textId="77777777" w:rsidTr="00E02797">
        <w:trPr>
          <w:trHeight w:val="20"/>
          <w:jc w:val="center"/>
        </w:trPr>
        <w:tc>
          <w:tcPr>
            <w:tcW w:w="2551" w:type="dxa"/>
            <w:tcBorders>
              <w:top w:val="nil"/>
              <w:left w:val="nil"/>
              <w:bottom w:val="nil"/>
              <w:right w:val="nil"/>
            </w:tcBorders>
            <w:noWrap/>
            <w:vAlign w:val="bottom"/>
            <w:hideMark/>
          </w:tcPr>
          <w:p w14:paraId="201F1B9B" w14:textId="77777777" w:rsidR="00985916" w:rsidRPr="00B5549F" w:rsidRDefault="00985916" w:rsidP="00985916">
            <w:pPr>
              <w:contextualSpacing/>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Overall R2</w:t>
            </w:r>
          </w:p>
        </w:tc>
        <w:tc>
          <w:tcPr>
            <w:tcW w:w="1480" w:type="dxa"/>
            <w:tcBorders>
              <w:top w:val="nil"/>
              <w:left w:val="nil"/>
              <w:bottom w:val="nil"/>
              <w:right w:val="nil"/>
            </w:tcBorders>
            <w:noWrap/>
            <w:vAlign w:val="bottom"/>
            <w:hideMark/>
          </w:tcPr>
          <w:p w14:paraId="6472C5EC"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0.9153</w:t>
            </w:r>
          </w:p>
        </w:tc>
        <w:tc>
          <w:tcPr>
            <w:tcW w:w="1580" w:type="dxa"/>
            <w:tcBorders>
              <w:top w:val="nil"/>
              <w:left w:val="nil"/>
              <w:bottom w:val="nil"/>
              <w:right w:val="nil"/>
            </w:tcBorders>
            <w:noWrap/>
            <w:vAlign w:val="bottom"/>
            <w:hideMark/>
          </w:tcPr>
          <w:p w14:paraId="221FECEA"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480" w:type="dxa"/>
            <w:tcBorders>
              <w:top w:val="nil"/>
              <w:left w:val="nil"/>
              <w:bottom w:val="nil"/>
              <w:right w:val="nil"/>
            </w:tcBorders>
            <w:noWrap/>
            <w:vAlign w:val="bottom"/>
            <w:hideMark/>
          </w:tcPr>
          <w:p w14:paraId="3DD0A25A"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0.9150</w:t>
            </w:r>
          </w:p>
        </w:tc>
        <w:tc>
          <w:tcPr>
            <w:tcW w:w="1480" w:type="dxa"/>
            <w:tcBorders>
              <w:top w:val="nil"/>
              <w:left w:val="nil"/>
              <w:bottom w:val="nil"/>
              <w:right w:val="nil"/>
            </w:tcBorders>
            <w:noWrap/>
            <w:vAlign w:val="bottom"/>
            <w:hideMark/>
          </w:tcPr>
          <w:p w14:paraId="07F12C44"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560" w:type="dxa"/>
            <w:tcBorders>
              <w:top w:val="nil"/>
              <w:left w:val="nil"/>
              <w:bottom w:val="nil"/>
              <w:right w:val="nil"/>
            </w:tcBorders>
            <w:noWrap/>
            <w:vAlign w:val="bottom"/>
            <w:hideMark/>
          </w:tcPr>
          <w:p w14:paraId="4A3BF0D0"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0.8038</w:t>
            </w:r>
          </w:p>
        </w:tc>
        <w:tc>
          <w:tcPr>
            <w:tcW w:w="1560" w:type="dxa"/>
            <w:tcBorders>
              <w:top w:val="nil"/>
              <w:left w:val="nil"/>
              <w:bottom w:val="nil"/>
              <w:right w:val="nil"/>
            </w:tcBorders>
            <w:noWrap/>
            <w:vAlign w:val="bottom"/>
            <w:hideMark/>
          </w:tcPr>
          <w:p w14:paraId="789239AB"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560" w:type="dxa"/>
            <w:tcBorders>
              <w:top w:val="nil"/>
              <w:left w:val="nil"/>
              <w:bottom w:val="nil"/>
              <w:right w:val="nil"/>
            </w:tcBorders>
            <w:noWrap/>
            <w:vAlign w:val="bottom"/>
            <w:hideMark/>
          </w:tcPr>
          <w:p w14:paraId="1CBB5AB9"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0.7400</w:t>
            </w:r>
          </w:p>
        </w:tc>
        <w:tc>
          <w:tcPr>
            <w:tcW w:w="1560" w:type="dxa"/>
            <w:tcBorders>
              <w:top w:val="nil"/>
              <w:left w:val="nil"/>
              <w:bottom w:val="nil"/>
              <w:right w:val="nil"/>
            </w:tcBorders>
            <w:noWrap/>
            <w:vAlign w:val="bottom"/>
            <w:hideMark/>
          </w:tcPr>
          <w:p w14:paraId="5A941996"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r>
      <w:tr w:rsidR="00B5549F" w:rsidRPr="00B5549F" w14:paraId="7C0669CB" w14:textId="77777777" w:rsidTr="00E02797">
        <w:trPr>
          <w:trHeight w:val="20"/>
          <w:jc w:val="center"/>
        </w:trPr>
        <w:tc>
          <w:tcPr>
            <w:tcW w:w="2551" w:type="dxa"/>
            <w:tcBorders>
              <w:top w:val="nil"/>
              <w:left w:val="nil"/>
              <w:bottom w:val="nil"/>
              <w:right w:val="nil"/>
            </w:tcBorders>
            <w:noWrap/>
            <w:vAlign w:val="bottom"/>
            <w:hideMark/>
          </w:tcPr>
          <w:p w14:paraId="53A4B6B6" w14:textId="77777777" w:rsidR="00985916" w:rsidRPr="00B5549F" w:rsidRDefault="00985916" w:rsidP="00985916">
            <w:pPr>
              <w:contextualSpacing/>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Instruments</w:t>
            </w:r>
          </w:p>
        </w:tc>
        <w:tc>
          <w:tcPr>
            <w:tcW w:w="1480" w:type="dxa"/>
            <w:tcBorders>
              <w:top w:val="nil"/>
              <w:left w:val="nil"/>
              <w:bottom w:val="nil"/>
              <w:right w:val="nil"/>
            </w:tcBorders>
            <w:noWrap/>
            <w:vAlign w:val="bottom"/>
            <w:hideMark/>
          </w:tcPr>
          <w:p w14:paraId="71023F4D" w14:textId="77777777" w:rsidR="00985916" w:rsidRPr="00B5549F" w:rsidRDefault="00985916" w:rsidP="00985916">
            <w:pPr>
              <w:contextualSpacing/>
              <w:rPr>
                <w:rFonts w:ascii="Times New Roman" w:hAnsi="Times New Roman" w:cs="Times New Roman"/>
                <w:b/>
                <w:bCs/>
                <w:color w:val="000000" w:themeColor="text1"/>
                <w:sz w:val="20"/>
                <w:szCs w:val="20"/>
              </w:rPr>
            </w:pPr>
          </w:p>
        </w:tc>
        <w:tc>
          <w:tcPr>
            <w:tcW w:w="1580" w:type="dxa"/>
            <w:tcBorders>
              <w:top w:val="nil"/>
              <w:left w:val="nil"/>
              <w:bottom w:val="nil"/>
              <w:right w:val="nil"/>
            </w:tcBorders>
            <w:noWrap/>
            <w:vAlign w:val="bottom"/>
            <w:hideMark/>
          </w:tcPr>
          <w:p w14:paraId="7E436F58"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107</w:t>
            </w:r>
          </w:p>
        </w:tc>
        <w:tc>
          <w:tcPr>
            <w:tcW w:w="1480" w:type="dxa"/>
            <w:tcBorders>
              <w:top w:val="nil"/>
              <w:left w:val="nil"/>
              <w:bottom w:val="nil"/>
              <w:right w:val="nil"/>
            </w:tcBorders>
            <w:noWrap/>
            <w:vAlign w:val="bottom"/>
            <w:hideMark/>
          </w:tcPr>
          <w:p w14:paraId="7C138544"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480" w:type="dxa"/>
            <w:tcBorders>
              <w:top w:val="nil"/>
              <w:left w:val="nil"/>
              <w:bottom w:val="nil"/>
              <w:right w:val="nil"/>
            </w:tcBorders>
            <w:noWrap/>
            <w:vAlign w:val="bottom"/>
            <w:hideMark/>
          </w:tcPr>
          <w:p w14:paraId="13EC7D1D"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107</w:t>
            </w:r>
          </w:p>
        </w:tc>
        <w:tc>
          <w:tcPr>
            <w:tcW w:w="1560" w:type="dxa"/>
            <w:tcBorders>
              <w:top w:val="nil"/>
              <w:left w:val="nil"/>
              <w:bottom w:val="nil"/>
              <w:right w:val="nil"/>
            </w:tcBorders>
            <w:noWrap/>
            <w:vAlign w:val="bottom"/>
            <w:hideMark/>
          </w:tcPr>
          <w:p w14:paraId="72887B4D"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560" w:type="dxa"/>
            <w:tcBorders>
              <w:top w:val="nil"/>
              <w:left w:val="nil"/>
              <w:bottom w:val="nil"/>
              <w:right w:val="nil"/>
            </w:tcBorders>
            <w:noWrap/>
            <w:vAlign w:val="bottom"/>
            <w:hideMark/>
          </w:tcPr>
          <w:p w14:paraId="78EF3AE5"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109</w:t>
            </w:r>
          </w:p>
        </w:tc>
        <w:tc>
          <w:tcPr>
            <w:tcW w:w="1560" w:type="dxa"/>
            <w:tcBorders>
              <w:top w:val="nil"/>
              <w:left w:val="nil"/>
              <w:bottom w:val="nil"/>
              <w:right w:val="nil"/>
            </w:tcBorders>
            <w:noWrap/>
            <w:vAlign w:val="bottom"/>
            <w:hideMark/>
          </w:tcPr>
          <w:p w14:paraId="0CB36233"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560" w:type="dxa"/>
            <w:tcBorders>
              <w:top w:val="nil"/>
              <w:left w:val="nil"/>
              <w:bottom w:val="nil"/>
              <w:right w:val="nil"/>
            </w:tcBorders>
            <w:noWrap/>
            <w:vAlign w:val="bottom"/>
            <w:hideMark/>
          </w:tcPr>
          <w:p w14:paraId="58CAED82"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109</w:t>
            </w:r>
          </w:p>
        </w:tc>
      </w:tr>
      <w:tr w:rsidR="00B5549F" w:rsidRPr="00B5549F" w14:paraId="3812F776" w14:textId="77777777" w:rsidTr="00E02797">
        <w:trPr>
          <w:trHeight w:val="20"/>
          <w:jc w:val="center"/>
        </w:trPr>
        <w:tc>
          <w:tcPr>
            <w:tcW w:w="2551" w:type="dxa"/>
            <w:tcBorders>
              <w:top w:val="nil"/>
              <w:left w:val="nil"/>
              <w:bottom w:val="nil"/>
              <w:right w:val="nil"/>
            </w:tcBorders>
            <w:noWrap/>
            <w:vAlign w:val="bottom"/>
            <w:hideMark/>
          </w:tcPr>
          <w:p w14:paraId="1D157B39" w14:textId="77777777" w:rsidR="00985916" w:rsidRPr="00B5549F" w:rsidRDefault="00985916" w:rsidP="00985916">
            <w:pPr>
              <w:contextualSpacing/>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Instruments / p</w:t>
            </w:r>
          </w:p>
        </w:tc>
        <w:tc>
          <w:tcPr>
            <w:tcW w:w="1480" w:type="dxa"/>
            <w:tcBorders>
              <w:top w:val="nil"/>
              <w:left w:val="nil"/>
              <w:bottom w:val="nil"/>
              <w:right w:val="nil"/>
            </w:tcBorders>
            <w:noWrap/>
            <w:vAlign w:val="bottom"/>
            <w:hideMark/>
          </w:tcPr>
          <w:p w14:paraId="5C24F187" w14:textId="77777777" w:rsidR="00985916" w:rsidRPr="00B5549F" w:rsidRDefault="00985916" w:rsidP="00985916">
            <w:pPr>
              <w:contextualSpacing/>
              <w:rPr>
                <w:rFonts w:ascii="Times New Roman" w:hAnsi="Times New Roman" w:cs="Times New Roman"/>
                <w:b/>
                <w:bCs/>
                <w:color w:val="000000" w:themeColor="text1"/>
                <w:sz w:val="20"/>
                <w:szCs w:val="20"/>
              </w:rPr>
            </w:pPr>
          </w:p>
        </w:tc>
        <w:tc>
          <w:tcPr>
            <w:tcW w:w="1580" w:type="dxa"/>
            <w:tcBorders>
              <w:top w:val="nil"/>
              <w:left w:val="nil"/>
              <w:bottom w:val="nil"/>
              <w:right w:val="nil"/>
            </w:tcBorders>
            <w:noWrap/>
            <w:vAlign w:val="bottom"/>
            <w:hideMark/>
          </w:tcPr>
          <w:p w14:paraId="1052AE40"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1,05</w:t>
            </w:r>
          </w:p>
        </w:tc>
        <w:tc>
          <w:tcPr>
            <w:tcW w:w="1480" w:type="dxa"/>
            <w:tcBorders>
              <w:top w:val="nil"/>
              <w:left w:val="nil"/>
              <w:bottom w:val="nil"/>
              <w:right w:val="nil"/>
            </w:tcBorders>
            <w:noWrap/>
            <w:vAlign w:val="bottom"/>
            <w:hideMark/>
          </w:tcPr>
          <w:p w14:paraId="4EF3776F"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480" w:type="dxa"/>
            <w:tcBorders>
              <w:top w:val="nil"/>
              <w:left w:val="nil"/>
              <w:bottom w:val="nil"/>
              <w:right w:val="nil"/>
            </w:tcBorders>
            <w:noWrap/>
            <w:vAlign w:val="bottom"/>
            <w:hideMark/>
          </w:tcPr>
          <w:p w14:paraId="6D39C147"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1,05</w:t>
            </w:r>
          </w:p>
        </w:tc>
        <w:tc>
          <w:tcPr>
            <w:tcW w:w="1560" w:type="dxa"/>
            <w:tcBorders>
              <w:top w:val="nil"/>
              <w:left w:val="nil"/>
              <w:bottom w:val="nil"/>
              <w:right w:val="nil"/>
            </w:tcBorders>
            <w:noWrap/>
            <w:vAlign w:val="bottom"/>
            <w:hideMark/>
          </w:tcPr>
          <w:p w14:paraId="5BB8A678"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560" w:type="dxa"/>
            <w:tcBorders>
              <w:top w:val="nil"/>
              <w:left w:val="nil"/>
              <w:bottom w:val="nil"/>
              <w:right w:val="nil"/>
            </w:tcBorders>
            <w:noWrap/>
            <w:vAlign w:val="bottom"/>
            <w:hideMark/>
          </w:tcPr>
          <w:p w14:paraId="55D7362A"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1,07</w:t>
            </w:r>
          </w:p>
        </w:tc>
        <w:tc>
          <w:tcPr>
            <w:tcW w:w="1560" w:type="dxa"/>
            <w:tcBorders>
              <w:top w:val="nil"/>
              <w:left w:val="nil"/>
              <w:bottom w:val="nil"/>
              <w:right w:val="nil"/>
            </w:tcBorders>
            <w:noWrap/>
            <w:vAlign w:val="bottom"/>
            <w:hideMark/>
          </w:tcPr>
          <w:p w14:paraId="3C45CAAA"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560" w:type="dxa"/>
            <w:tcBorders>
              <w:top w:val="nil"/>
              <w:left w:val="nil"/>
              <w:bottom w:val="nil"/>
              <w:right w:val="nil"/>
            </w:tcBorders>
            <w:noWrap/>
            <w:vAlign w:val="bottom"/>
            <w:hideMark/>
          </w:tcPr>
          <w:p w14:paraId="5C7CBAB1"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1,07</w:t>
            </w:r>
          </w:p>
        </w:tc>
      </w:tr>
      <w:tr w:rsidR="00B5549F" w:rsidRPr="00B5549F" w14:paraId="38E436DB" w14:textId="77777777" w:rsidTr="00E02797">
        <w:trPr>
          <w:trHeight w:val="20"/>
          <w:jc w:val="center"/>
        </w:trPr>
        <w:tc>
          <w:tcPr>
            <w:tcW w:w="2551" w:type="dxa"/>
            <w:tcBorders>
              <w:top w:val="nil"/>
              <w:left w:val="nil"/>
              <w:bottom w:val="nil"/>
              <w:right w:val="nil"/>
            </w:tcBorders>
            <w:noWrap/>
            <w:vAlign w:val="bottom"/>
            <w:hideMark/>
          </w:tcPr>
          <w:p w14:paraId="4AAC3791" w14:textId="77777777" w:rsidR="00985916" w:rsidRPr="00B5549F" w:rsidRDefault="00985916" w:rsidP="00985916">
            <w:pPr>
              <w:contextualSpacing/>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 Instruments / N</w:t>
            </w:r>
          </w:p>
        </w:tc>
        <w:tc>
          <w:tcPr>
            <w:tcW w:w="1480" w:type="dxa"/>
            <w:tcBorders>
              <w:top w:val="nil"/>
              <w:left w:val="nil"/>
              <w:bottom w:val="nil"/>
              <w:right w:val="nil"/>
            </w:tcBorders>
            <w:noWrap/>
            <w:vAlign w:val="bottom"/>
            <w:hideMark/>
          </w:tcPr>
          <w:p w14:paraId="4BDC9D60" w14:textId="77777777" w:rsidR="00985916" w:rsidRPr="00B5549F" w:rsidRDefault="00985916" w:rsidP="00985916">
            <w:pPr>
              <w:contextualSpacing/>
              <w:rPr>
                <w:rFonts w:ascii="Times New Roman" w:hAnsi="Times New Roman" w:cs="Times New Roman"/>
                <w:b/>
                <w:bCs/>
                <w:color w:val="000000" w:themeColor="text1"/>
                <w:sz w:val="20"/>
                <w:szCs w:val="20"/>
              </w:rPr>
            </w:pPr>
          </w:p>
        </w:tc>
        <w:tc>
          <w:tcPr>
            <w:tcW w:w="1580" w:type="dxa"/>
            <w:tcBorders>
              <w:top w:val="nil"/>
              <w:left w:val="nil"/>
              <w:bottom w:val="nil"/>
              <w:right w:val="nil"/>
            </w:tcBorders>
            <w:noWrap/>
            <w:vAlign w:val="bottom"/>
            <w:hideMark/>
          </w:tcPr>
          <w:p w14:paraId="698E54B3"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0,03</w:t>
            </w:r>
          </w:p>
        </w:tc>
        <w:tc>
          <w:tcPr>
            <w:tcW w:w="1480" w:type="dxa"/>
            <w:tcBorders>
              <w:top w:val="nil"/>
              <w:left w:val="nil"/>
              <w:bottom w:val="nil"/>
              <w:right w:val="nil"/>
            </w:tcBorders>
            <w:noWrap/>
            <w:vAlign w:val="bottom"/>
            <w:hideMark/>
          </w:tcPr>
          <w:p w14:paraId="1454354A"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480" w:type="dxa"/>
            <w:tcBorders>
              <w:top w:val="nil"/>
              <w:left w:val="nil"/>
              <w:bottom w:val="nil"/>
              <w:right w:val="nil"/>
            </w:tcBorders>
            <w:noWrap/>
            <w:vAlign w:val="bottom"/>
            <w:hideMark/>
          </w:tcPr>
          <w:p w14:paraId="7D8D1EB0"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0,03</w:t>
            </w:r>
          </w:p>
        </w:tc>
        <w:tc>
          <w:tcPr>
            <w:tcW w:w="1560" w:type="dxa"/>
            <w:tcBorders>
              <w:top w:val="nil"/>
              <w:left w:val="nil"/>
              <w:bottom w:val="nil"/>
              <w:right w:val="nil"/>
            </w:tcBorders>
            <w:noWrap/>
            <w:vAlign w:val="bottom"/>
            <w:hideMark/>
          </w:tcPr>
          <w:p w14:paraId="29DF38BB"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560" w:type="dxa"/>
            <w:tcBorders>
              <w:top w:val="nil"/>
              <w:left w:val="nil"/>
              <w:bottom w:val="nil"/>
              <w:right w:val="nil"/>
            </w:tcBorders>
            <w:noWrap/>
            <w:vAlign w:val="bottom"/>
            <w:hideMark/>
          </w:tcPr>
          <w:p w14:paraId="73901BE5"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0,04</w:t>
            </w:r>
          </w:p>
        </w:tc>
        <w:tc>
          <w:tcPr>
            <w:tcW w:w="1560" w:type="dxa"/>
            <w:tcBorders>
              <w:top w:val="nil"/>
              <w:left w:val="nil"/>
              <w:bottom w:val="nil"/>
              <w:right w:val="nil"/>
            </w:tcBorders>
            <w:noWrap/>
            <w:vAlign w:val="bottom"/>
            <w:hideMark/>
          </w:tcPr>
          <w:p w14:paraId="7A8B28B5"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560" w:type="dxa"/>
            <w:tcBorders>
              <w:top w:val="nil"/>
              <w:left w:val="nil"/>
              <w:bottom w:val="nil"/>
              <w:right w:val="nil"/>
            </w:tcBorders>
            <w:noWrap/>
            <w:vAlign w:val="bottom"/>
            <w:hideMark/>
          </w:tcPr>
          <w:p w14:paraId="47A5A628"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0,04</w:t>
            </w:r>
          </w:p>
        </w:tc>
      </w:tr>
      <w:tr w:rsidR="00B5549F" w:rsidRPr="00B5549F" w14:paraId="55007269" w14:textId="77777777" w:rsidTr="00E02797">
        <w:trPr>
          <w:trHeight w:val="20"/>
          <w:jc w:val="center"/>
        </w:trPr>
        <w:tc>
          <w:tcPr>
            <w:tcW w:w="2551" w:type="dxa"/>
            <w:tcBorders>
              <w:top w:val="nil"/>
              <w:left w:val="nil"/>
              <w:bottom w:val="nil"/>
              <w:right w:val="nil"/>
            </w:tcBorders>
            <w:noWrap/>
            <w:vAlign w:val="bottom"/>
            <w:hideMark/>
          </w:tcPr>
          <w:p w14:paraId="26193FBC" w14:textId="77777777" w:rsidR="00985916" w:rsidRPr="00B5549F" w:rsidRDefault="00985916" w:rsidP="00985916">
            <w:pPr>
              <w:contextualSpacing/>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AR (1)</w:t>
            </w:r>
          </w:p>
        </w:tc>
        <w:tc>
          <w:tcPr>
            <w:tcW w:w="1480" w:type="dxa"/>
            <w:tcBorders>
              <w:top w:val="nil"/>
              <w:left w:val="nil"/>
              <w:bottom w:val="nil"/>
              <w:right w:val="nil"/>
            </w:tcBorders>
            <w:noWrap/>
            <w:vAlign w:val="bottom"/>
            <w:hideMark/>
          </w:tcPr>
          <w:p w14:paraId="31AED069" w14:textId="77777777" w:rsidR="00985916" w:rsidRPr="00B5549F" w:rsidRDefault="00985916" w:rsidP="00985916">
            <w:pPr>
              <w:contextualSpacing/>
              <w:rPr>
                <w:rFonts w:ascii="Times New Roman" w:hAnsi="Times New Roman" w:cs="Times New Roman"/>
                <w:b/>
                <w:bCs/>
                <w:color w:val="000000" w:themeColor="text1"/>
                <w:sz w:val="20"/>
                <w:szCs w:val="20"/>
              </w:rPr>
            </w:pPr>
          </w:p>
        </w:tc>
        <w:tc>
          <w:tcPr>
            <w:tcW w:w="1580" w:type="dxa"/>
            <w:tcBorders>
              <w:top w:val="nil"/>
              <w:left w:val="nil"/>
              <w:bottom w:val="nil"/>
              <w:right w:val="nil"/>
            </w:tcBorders>
            <w:noWrap/>
            <w:vAlign w:val="bottom"/>
            <w:hideMark/>
          </w:tcPr>
          <w:p w14:paraId="1A7E2011"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-5.22***</w:t>
            </w:r>
          </w:p>
        </w:tc>
        <w:tc>
          <w:tcPr>
            <w:tcW w:w="1480" w:type="dxa"/>
            <w:tcBorders>
              <w:top w:val="nil"/>
              <w:left w:val="nil"/>
              <w:bottom w:val="nil"/>
              <w:right w:val="nil"/>
            </w:tcBorders>
            <w:noWrap/>
            <w:vAlign w:val="bottom"/>
            <w:hideMark/>
          </w:tcPr>
          <w:p w14:paraId="73A0F06F"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480" w:type="dxa"/>
            <w:tcBorders>
              <w:top w:val="nil"/>
              <w:left w:val="nil"/>
              <w:bottom w:val="nil"/>
              <w:right w:val="nil"/>
            </w:tcBorders>
            <w:noWrap/>
            <w:vAlign w:val="bottom"/>
            <w:hideMark/>
          </w:tcPr>
          <w:p w14:paraId="0034BE60"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-4.99***</w:t>
            </w:r>
          </w:p>
        </w:tc>
        <w:tc>
          <w:tcPr>
            <w:tcW w:w="1560" w:type="dxa"/>
            <w:tcBorders>
              <w:top w:val="nil"/>
              <w:left w:val="nil"/>
              <w:bottom w:val="nil"/>
              <w:right w:val="nil"/>
            </w:tcBorders>
            <w:noWrap/>
            <w:vAlign w:val="bottom"/>
            <w:hideMark/>
          </w:tcPr>
          <w:p w14:paraId="027819A8"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560" w:type="dxa"/>
            <w:tcBorders>
              <w:top w:val="nil"/>
              <w:left w:val="nil"/>
              <w:bottom w:val="nil"/>
              <w:right w:val="nil"/>
            </w:tcBorders>
            <w:noWrap/>
            <w:vAlign w:val="bottom"/>
            <w:hideMark/>
          </w:tcPr>
          <w:p w14:paraId="547CFF06"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-5.57***</w:t>
            </w:r>
          </w:p>
        </w:tc>
        <w:tc>
          <w:tcPr>
            <w:tcW w:w="1560" w:type="dxa"/>
            <w:tcBorders>
              <w:top w:val="nil"/>
              <w:left w:val="nil"/>
              <w:bottom w:val="nil"/>
              <w:right w:val="nil"/>
            </w:tcBorders>
            <w:noWrap/>
            <w:vAlign w:val="bottom"/>
            <w:hideMark/>
          </w:tcPr>
          <w:p w14:paraId="5A506BD9"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560" w:type="dxa"/>
            <w:tcBorders>
              <w:top w:val="nil"/>
              <w:left w:val="nil"/>
              <w:bottom w:val="nil"/>
              <w:right w:val="nil"/>
            </w:tcBorders>
            <w:noWrap/>
            <w:vAlign w:val="bottom"/>
            <w:hideMark/>
          </w:tcPr>
          <w:p w14:paraId="5A464636"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-6.80***</w:t>
            </w:r>
          </w:p>
        </w:tc>
      </w:tr>
      <w:tr w:rsidR="00B5549F" w:rsidRPr="00B5549F" w14:paraId="293617C9" w14:textId="77777777" w:rsidTr="00E02797">
        <w:trPr>
          <w:trHeight w:val="20"/>
          <w:jc w:val="center"/>
        </w:trPr>
        <w:tc>
          <w:tcPr>
            <w:tcW w:w="2551" w:type="dxa"/>
            <w:tcBorders>
              <w:top w:val="nil"/>
              <w:left w:val="nil"/>
              <w:bottom w:val="nil"/>
              <w:right w:val="nil"/>
            </w:tcBorders>
            <w:noWrap/>
            <w:vAlign w:val="bottom"/>
            <w:hideMark/>
          </w:tcPr>
          <w:p w14:paraId="0D321C76" w14:textId="77777777" w:rsidR="00985916" w:rsidRPr="00B5549F" w:rsidRDefault="00985916" w:rsidP="00985916">
            <w:pPr>
              <w:contextualSpacing/>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AR (2)</w:t>
            </w:r>
          </w:p>
        </w:tc>
        <w:tc>
          <w:tcPr>
            <w:tcW w:w="1480" w:type="dxa"/>
            <w:tcBorders>
              <w:top w:val="nil"/>
              <w:left w:val="nil"/>
              <w:bottom w:val="nil"/>
              <w:right w:val="nil"/>
            </w:tcBorders>
            <w:noWrap/>
            <w:vAlign w:val="bottom"/>
            <w:hideMark/>
          </w:tcPr>
          <w:p w14:paraId="567A8713" w14:textId="77777777" w:rsidR="00985916" w:rsidRPr="00B5549F" w:rsidRDefault="00985916" w:rsidP="00985916">
            <w:pPr>
              <w:contextualSpacing/>
              <w:rPr>
                <w:rFonts w:ascii="Times New Roman" w:hAnsi="Times New Roman" w:cs="Times New Roman"/>
                <w:b/>
                <w:bCs/>
                <w:color w:val="000000" w:themeColor="text1"/>
                <w:sz w:val="20"/>
                <w:szCs w:val="20"/>
              </w:rPr>
            </w:pPr>
          </w:p>
        </w:tc>
        <w:tc>
          <w:tcPr>
            <w:tcW w:w="1580" w:type="dxa"/>
            <w:tcBorders>
              <w:top w:val="nil"/>
              <w:left w:val="nil"/>
              <w:bottom w:val="nil"/>
              <w:right w:val="nil"/>
            </w:tcBorders>
            <w:noWrap/>
            <w:vAlign w:val="bottom"/>
            <w:hideMark/>
          </w:tcPr>
          <w:p w14:paraId="359CC430"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3.03***</w:t>
            </w:r>
          </w:p>
        </w:tc>
        <w:tc>
          <w:tcPr>
            <w:tcW w:w="1480" w:type="dxa"/>
            <w:tcBorders>
              <w:top w:val="nil"/>
              <w:left w:val="nil"/>
              <w:bottom w:val="nil"/>
              <w:right w:val="nil"/>
            </w:tcBorders>
            <w:noWrap/>
            <w:vAlign w:val="bottom"/>
            <w:hideMark/>
          </w:tcPr>
          <w:p w14:paraId="5A1F2892"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480" w:type="dxa"/>
            <w:tcBorders>
              <w:top w:val="nil"/>
              <w:left w:val="nil"/>
              <w:bottom w:val="nil"/>
              <w:right w:val="nil"/>
            </w:tcBorders>
            <w:noWrap/>
            <w:vAlign w:val="bottom"/>
            <w:hideMark/>
          </w:tcPr>
          <w:p w14:paraId="78645FA6"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2.81***</w:t>
            </w:r>
          </w:p>
        </w:tc>
        <w:tc>
          <w:tcPr>
            <w:tcW w:w="1560" w:type="dxa"/>
            <w:tcBorders>
              <w:top w:val="nil"/>
              <w:left w:val="nil"/>
              <w:bottom w:val="nil"/>
              <w:right w:val="nil"/>
            </w:tcBorders>
            <w:noWrap/>
            <w:vAlign w:val="bottom"/>
            <w:hideMark/>
          </w:tcPr>
          <w:p w14:paraId="3DB651C0"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560" w:type="dxa"/>
            <w:tcBorders>
              <w:top w:val="nil"/>
              <w:left w:val="nil"/>
              <w:bottom w:val="nil"/>
              <w:right w:val="nil"/>
            </w:tcBorders>
            <w:noWrap/>
            <w:vAlign w:val="bottom"/>
            <w:hideMark/>
          </w:tcPr>
          <w:p w14:paraId="166B02B4"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2.47**</w:t>
            </w:r>
          </w:p>
        </w:tc>
        <w:tc>
          <w:tcPr>
            <w:tcW w:w="1560" w:type="dxa"/>
            <w:tcBorders>
              <w:top w:val="nil"/>
              <w:left w:val="nil"/>
              <w:bottom w:val="nil"/>
              <w:right w:val="nil"/>
            </w:tcBorders>
            <w:noWrap/>
            <w:vAlign w:val="bottom"/>
            <w:hideMark/>
          </w:tcPr>
          <w:p w14:paraId="22535F9A"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560" w:type="dxa"/>
            <w:tcBorders>
              <w:top w:val="nil"/>
              <w:left w:val="nil"/>
              <w:bottom w:val="nil"/>
              <w:right w:val="nil"/>
            </w:tcBorders>
            <w:noWrap/>
            <w:vAlign w:val="bottom"/>
            <w:hideMark/>
          </w:tcPr>
          <w:p w14:paraId="738750DD"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3.88***</w:t>
            </w:r>
          </w:p>
        </w:tc>
      </w:tr>
      <w:tr w:rsidR="00B5549F" w:rsidRPr="00B5549F" w14:paraId="26E0EFF6" w14:textId="77777777" w:rsidTr="00E02797">
        <w:trPr>
          <w:trHeight w:val="20"/>
          <w:jc w:val="center"/>
        </w:trPr>
        <w:tc>
          <w:tcPr>
            <w:tcW w:w="2551" w:type="dxa"/>
            <w:tcBorders>
              <w:top w:val="nil"/>
              <w:left w:val="nil"/>
              <w:bottom w:val="nil"/>
              <w:right w:val="nil"/>
            </w:tcBorders>
            <w:noWrap/>
            <w:vAlign w:val="bottom"/>
            <w:hideMark/>
          </w:tcPr>
          <w:p w14:paraId="1B3B4A45" w14:textId="77777777" w:rsidR="00985916" w:rsidRPr="00B5549F" w:rsidRDefault="00985916" w:rsidP="00985916">
            <w:pPr>
              <w:contextualSpacing/>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AR (3)</w:t>
            </w:r>
          </w:p>
        </w:tc>
        <w:tc>
          <w:tcPr>
            <w:tcW w:w="1480" w:type="dxa"/>
            <w:tcBorders>
              <w:top w:val="nil"/>
              <w:left w:val="nil"/>
              <w:bottom w:val="nil"/>
              <w:right w:val="nil"/>
            </w:tcBorders>
            <w:noWrap/>
            <w:vAlign w:val="bottom"/>
            <w:hideMark/>
          </w:tcPr>
          <w:p w14:paraId="4C9D0126" w14:textId="77777777" w:rsidR="00985916" w:rsidRPr="00B5549F" w:rsidRDefault="00985916" w:rsidP="00985916">
            <w:pPr>
              <w:contextualSpacing/>
              <w:rPr>
                <w:rFonts w:ascii="Times New Roman" w:hAnsi="Times New Roman" w:cs="Times New Roman"/>
                <w:b/>
                <w:bCs/>
                <w:color w:val="000000" w:themeColor="text1"/>
                <w:sz w:val="20"/>
                <w:szCs w:val="20"/>
              </w:rPr>
            </w:pPr>
          </w:p>
        </w:tc>
        <w:tc>
          <w:tcPr>
            <w:tcW w:w="1580" w:type="dxa"/>
            <w:tcBorders>
              <w:top w:val="nil"/>
              <w:left w:val="nil"/>
              <w:bottom w:val="nil"/>
              <w:right w:val="nil"/>
            </w:tcBorders>
            <w:noWrap/>
            <w:vAlign w:val="bottom"/>
            <w:hideMark/>
          </w:tcPr>
          <w:p w14:paraId="3E41DE9B"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-2.85***</w:t>
            </w:r>
          </w:p>
        </w:tc>
        <w:tc>
          <w:tcPr>
            <w:tcW w:w="1480" w:type="dxa"/>
            <w:tcBorders>
              <w:top w:val="nil"/>
              <w:left w:val="nil"/>
              <w:bottom w:val="nil"/>
              <w:right w:val="nil"/>
            </w:tcBorders>
            <w:noWrap/>
            <w:vAlign w:val="bottom"/>
            <w:hideMark/>
          </w:tcPr>
          <w:p w14:paraId="0005A4F2"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480" w:type="dxa"/>
            <w:tcBorders>
              <w:top w:val="nil"/>
              <w:left w:val="nil"/>
              <w:bottom w:val="nil"/>
              <w:right w:val="nil"/>
            </w:tcBorders>
            <w:noWrap/>
            <w:vAlign w:val="bottom"/>
            <w:hideMark/>
          </w:tcPr>
          <w:p w14:paraId="73959A13"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-2.93***</w:t>
            </w:r>
          </w:p>
        </w:tc>
        <w:tc>
          <w:tcPr>
            <w:tcW w:w="1560" w:type="dxa"/>
            <w:tcBorders>
              <w:top w:val="nil"/>
              <w:left w:val="nil"/>
              <w:bottom w:val="nil"/>
              <w:right w:val="nil"/>
            </w:tcBorders>
            <w:noWrap/>
            <w:vAlign w:val="bottom"/>
            <w:hideMark/>
          </w:tcPr>
          <w:p w14:paraId="4D44B3A7"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560" w:type="dxa"/>
            <w:tcBorders>
              <w:top w:val="nil"/>
              <w:left w:val="nil"/>
              <w:bottom w:val="nil"/>
              <w:right w:val="nil"/>
            </w:tcBorders>
            <w:noWrap/>
            <w:vAlign w:val="bottom"/>
            <w:hideMark/>
          </w:tcPr>
          <w:p w14:paraId="5FACF2E5"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-1.21</w:t>
            </w:r>
          </w:p>
        </w:tc>
        <w:tc>
          <w:tcPr>
            <w:tcW w:w="1560" w:type="dxa"/>
            <w:tcBorders>
              <w:top w:val="nil"/>
              <w:left w:val="nil"/>
              <w:bottom w:val="nil"/>
              <w:right w:val="nil"/>
            </w:tcBorders>
            <w:noWrap/>
            <w:vAlign w:val="bottom"/>
            <w:hideMark/>
          </w:tcPr>
          <w:p w14:paraId="08EF243F"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560" w:type="dxa"/>
            <w:tcBorders>
              <w:top w:val="nil"/>
              <w:left w:val="nil"/>
              <w:bottom w:val="nil"/>
              <w:right w:val="nil"/>
            </w:tcBorders>
            <w:noWrap/>
            <w:vAlign w:val="bottom"/>
            <w:hideMark/>
          </w:tcPr>
          <w:p w14:paraId="594E2B53"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-0.45</w:t>
            </w:r>
          </w:p>
        </w:tc>
      </w:tr>
      <w:tr w:rsidR="00B5549F" w:rsidRPr="00B5549F" w14:paraId="72834A96" w14:textId="77777777" w:rsidTr="00E02797">
        <w:trPr>
          <w:trHeight w:val="20"/>
          <w:jc w:val="center"/>
        </w:trPr>
        <w:tc>
          <w:tcPr>
            <w:tcW w:w="2551" w:type="dxa"/>
            <w:tcBorders>
              <w:top w:val="nil"/>
              <w:left w:val="nil"/>
              <w:right w:val="nil"/>
            </w:tcBorders>
            <w:noWrap/>
            <w:vAlign w:val="bottom"/>
            <w:hideMark/>
          </w:tcPr>
          <w:p w14:paraId="1E627DEC" w14:textId="77777777" w:rsidR="00985916" w:rsidRPr="00B5549F" w:rsidRDefault="00985916" w:rsidP="00985916">
            <w:pPr>
              <w:contextualSpacing/>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AR (4)</w:t>
            </w:r>
          </w:p>
        </w:tc>
        <w:tc>
          <w:tcPr>
            <w:tcW w:w="1480" w:type="dxa"/>
            <w:tcBorders>
              <w:top w:val="nil"/>
              <w:left w:val="nil"/>
              <w:right w:val="nil"/>
            </w:tcBorders>
            <w:noWrap/>
            <w:vAlign w:val="bottom"/>
            <w:hideMark/>
          </w:tcPr>
          <w:p w14:paraId="43857A23" w14:textId="77777777" w:rsidR="00985916" w:rsidRPr="00B5549F" w:rsidRDefault="00985916" w:rsidP="00985916">
            <w:pPr>
              <w:contextualSpacing/>
              <w:rPr>
                <w:rFonts w:ascii="Times New Roman" w:hAnsi="Times New Roman" w:cs="Times New Roman"/>
                <w:b/>
                <w:bCs/>
                <w:color w:val="000000" w:themeColor="text1"/>
                <w:sz w:val="20"/>
                <w:szCs w:val="20"/>
              </w:rPr>
            </w:pPr>
          </w:p>
        </w:tc>
        <w:tc>
          <w:tcPr>
            <w:tcW w:w="1580" w:type="dxa"/>
            <w:tcBorders>
              <w:top w:val="nil"/>
              <w:left w:val="nil"/>
              <w:right w:val="nil"/>
            </w:tcBorders>
            <w:noWrap/>
            <w:vAlign w:val="bottom"/>
            <w:hideMark/>
          </w:tcPr>
          <w:p w14:paraId="72AB5B6A"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0.88</w:t>
            </w:r>
          </w:p>
        </w:tc>
        <w:tc>
          <w:tcPr>
            <w:tcW w:w="1480" w:type="dxa"/>
            <w:tcBorders>
              <w:top w:val="nil"/>
              <w:left w:val="nil"/>
              <w:right w:val="nil"/>
            </w:tcBorders>
            <w:noWrap/>
            <w:vAlign w:val="bottom"/>
            <w:hideMark/>
          </w:tcPr>
          <w:p w14:paraId="32DEF562"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480" w:type="dxa"/>
            <w:tcBorders>
              <w:top w:val="nil"/>
              <w:left w:val="nil"/>
              <w:right w:val="nil"/>
            </w:tcBorders>
            <w:noWrap/>
            <w:vAlign w:val="bottom"/>
            <w:hideMark/>
          </w:tcPr>
          <w:p w14:paraId="2E787E74"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1.17</w:t>
            </w:r>
          </w:p>
        </w:tc>
        <w:tc>
          <w:tcPr>
            <w:tcW w:w="1560" w:type="dxa"/>
            <w:tcBorders>
              <w:top w:val="nil"/>
              <w:left w:val="nil"/>
              <w:right w:val="nil"/>
            </w:tcBorders>
            <w:noWrap/>
            <w:vAlign w:val="bottom"/>
            <w:hideMark/>
          </w:tcPr>
          <w:p w14:paraId="5F97F76A"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560" w:type="dxa"/>
            <w:tcBorders>
              <w:top w:val="nil"/>
              <w:left w:val="nil"/>
              <w:right w:val="nil"/>
            </w:tcBorders>
            <w:noWrap/>
            <w:vAlign w:val="bottom"/>
            <w:hideMark/>
          </w:tcPr>
          <w:p w14:paraId="63FB7E17"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w:t>
            </w:r>
          </w:p>
        </w:tc>
        <w:tc>
          <w:tcPr>
            <w:tcW w:w="1560" w:type="dxa"/>
            <w:tcBorders>
              <w:top w:val="nil"/>
              <w:left w:val="nil"/>
              <w:right w:val="nil"/>
            </w:tcBorders>
            <w:noWrap/>
            <w:vAlign w:val="bottom"/>
            <w:hideMark/>
          </w:tcPr>
          <w:p w14:paraId="4221175D"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560" w:type="dxa"/>
            <w:tcBorders>
              <w:top w:val="nil"/>
              <w:left w:val="nil"/>
              <w:right w:val="nil"/>
            </w:tcBorders>
            <w:noWrap/>
            <w:vAlign w:val="bottom"/>
            <w:hideMark/>
          </w:tcPr>
          <w:p w14:paraId="0A8A30EA"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w:t>
            </w:r>
          </w:p>
        </w:tc>
      </w:tr>
      <w:tr w:rsidR="00B5549F" w:rsidRPr="00B5549F" w14:paraId="39D43F4A" w14:textId="77777777" w:rsidTr="00E02797">
        <w:trPr>
          <w:trHeight w:val="20"/>
          <w:jc w:val="center"/>
        </w:trPr>
        <w:tc>
          <w:tcPr>
            <w:tcW w:w="2551" w:type="dxa"/>
            <w:tcBorders>
              <w:top w:val="nil"/>
              <w:left w:val="nil"/>
              <w:bottom w:val="single" w:sz="4" w:space="0" w:color="auto"/>
              <w:right w:val="nil"/>
            </w:tcBorders>
            <w:noWrap/>
            <w:vAlign w:val="bottom"/>
            <w:hideMark/>
          </w:tcPr>
          <w:p w14:paraId="31D14492"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Hansen Test J (p-value)</w:t>
            </w:r>
          </w:p>
        </w:tc>
        <w:tc>
          <w:tcPr>
            <w:tcW w:w="1480" w:type="dxa"/>
            <w:tcBorders>
              <w:top w:val="nil"/>
              <w:left w:val="nil"/>
              <w:bottom w:val="single" w:sz="4" w:space="0" w:color="auto"/>
              <w:right w:val="nil"/>
            </w:tcBorders>
            <w:noWrap/>
            <w:vAlign w:val="bottom"/>
            <w:hideMark/>
          </w:tcPr>
          <w:p w14:paraId="4440540E" w14:textId="77777777" w:rsidR="00985916" w:rsidRPr="00B5549F" w:rsidRDefault="00985916" w:rsidP="00985916">
            <w:pPr>
              <w:contextualSpacing/>
              <w:rPr>
                <w:rFonts w:ascii="Times New Roman" w:hAnsi="Times New Roman" w:cs="Times New Roman"/>
                <w:b/>
                <w:bCs/>
                <w:color w:val="000000" w:themeColor="text1"/>
                <w:sz w:val="20"/>
                <w:szCs w:val="20"/>
                <w:lang w:val="en-US"/>
              </w:rPr>
            </w:pPr>
          </w:p>
        </w:tc>
        <w:tc>
          <w:tcPr>
            <w:tcW w:w="1580" w:type="dxa"/>
            <w:tcBorders>
              <w:top w:val="nil"/>
              <w:left w:val="nil"/>
              <w:bottom w:val="single" w:sz="4" w:space="0" w:color="auto"/>
              <w:right w:val="nil"/>
            </w:tcBorders>
            <w:noWrap/>
            <w:vAlign w:val="bottom"/>
            <w:hideMark/>
          </w:tcPr>
          <w:p w14:paraId="72E56DB5"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100.38 (0.107)</w:t>
            </w:r>
          </w:p>
        </w:tc>
        <w:tc>
          <w:tcPr>
            <w:tcW w:w="1480" w:type="dxa"/>
            <w:tcBorders>
              <w:top w:val="nil"/>
              <w:left w:val="nil"/>
              <w:bottom w:val="single" w:sz="4" w:space="0" w:color="auto"/>
              <w:right w:val="nil"/>
            </w:tcBorders>
            <w:noWrap/>
            <w:vAlign w:val="bottom"/>
            <w:hideMark/>
          </w:tcPr>
          <w:p w14:paraId="66AEA3AD"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480" w:type="dxa"/>
            <w:tcBorders>
              <w:top w:val="nil"/>
              <w:left w:val="nil"/>
              <w:bottom w:val="single" w:sz="4" w:space="0" w:color="auto"/>
              <w:right w:val="nil"/>
            </w:tcBorders>
            <w:noWrap/>
            <w:vAlign w:val="bottom"/>
            <w:hideMark/>
          </w:tcPr>
          <w:p w14:paraId="54CA057A"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100.8 (0.111)</w:t>
            </w:r>
          </w:p>
        </w:tc>
        <w:tc>
          <w:tcPr>
            <w:tcW w:w="1560" w:type="dxa"/>
            <w:tcBorders>
              <w:top w:val="nil"/>
              <w:left w:val="nil"/>
              <w:bottom w:val="single" w:sz="4" w:space="0" w:color="auto"/>
              <w:right w:val="nil"/>
            </w:tcBorders>
            <w:noWrap/>
            <w:vAlign w:val="bottom"/>
            <w:hideMark/>
          </w:tcPr>
          <w:p w14:paraId="65410D28"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560" w:type="dxa"/>
            <w:tcBorders>
              <w:top w:val="nil"/>
              <w:left w:val="nil"/>
              <w:bottom w:val="single" w:sz="4" w:space="0" w:color="auto"/>
              <w:right w:val="nil"/>
            </w:tcBorders>
            <w:noWrap/>
            <w:vAlign w:val="bottom"/>
            <w:hideMark/>
          </w:tcPr>
          <w:p w14:paraId="0BA2B0B2" w14:textId="77777777" w:rsidR="00985916" w:rsidRPr="00B5549F" w:rsidRDefault="00985916" w:rsidP="00985916">
            <w:pPr>
              <w:contextualSpacing/>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95.38 (0.229)</w:t>
            </w:r>
          </w:p>
        </w:tc>
        <w:tc>
          <w:tcPr>
            <w:tcW w:w="1560" w:type="dxa"/>
            <w:tcBorders>
              <w:top w:val="nil"/>
              <w:left w:val="nil"/>
              <w:bottom w:val="single" w:sz="4" w:space="0" w:color="auto"/>
              <w:right w:val="nil"/>
            </w:tcBorders>
            <w:noWrap/>
            <w:vAlign w:val="bottom"/>
            <w:hideMark/>
          </w:tcPr>
          <w:p w14:paraId="7B61451F" w14:textId="77777777" w:rsidR="00985916" w:rsidRPr="00B5549F" w:rsidRDefault="00985916" w:rsidP="00985916">
            <w:pPr>
              <w:contextualSpacing/>
              <w:jc w:val="right"/>
              <w:rPr>
                <w:rFonts w:ascii="Times New Roman" w:hAnsi="Times New Roman" w:cs="Times New Roman"/>
                <w:color w:val="000000" w:themeColor="text1"/>
                <w:sz w:val="20"/>
                <w:szCs w:val="20"/>
              </w:rPr>
            </w:pPr>
          </w:p>
        </w:tc>
        <w:tc>
          <w:tcPr>
            <w:tcW w:w="1560" w:type="dxa"/>
            <w:tcBorders>
              <w:top w:val="nil"/>
              <w:left w:val="nil"/>
              <w:bottom w:val="single" w:sz="4" w:space="0" w:color="auto"/>
              <w:right w:val="nil"/>
            </w:tcBorders>
            <w:noWrap/>
            <w:vAlign w:val="bottom"/>
            <w:hideMark/>
          </w:tcPr>
          <w:p w14:paraId="5DA5B9C2" w14:textId="77777777" w:rsidR="00985916" w:rsidRPr="00B5549F" w:rsidRDefault="00985916" w:rsidP="00985916">
            <w:pPr>
              <w:pStyle w:val="Paragrafoelenco"/>
              <w:numPr>
                <w:ilvl w:val="1"/>
                <w:numId w:val="5"/>
              </w:numPr>
              <w:jc w:val="right"/>
              <w:rPr>
                <w:rFonts w:ascii="Times New Roman" w:hAnsi="Times New Roman" w:cs="Times New Roman"/>
                <w:color w:val="000000" w:themeColor="text1"/>
                <w:sz w:val="20"/>
                <w:szCs w:val="20"/>
              </w:rPr>
            </w:pPr>
            <w:r w:rsidRPr="00B5549F">
              <w:rPr>
                <w:rFonts w:ascii="Times New Roman" w:hAnsi="Times New Roman" w:cs="Times New Roman"/>
                <w:color w:val="000000" w:themeColor="text1"/>
                <w:sz w:val="20"/>
                <w:szCs w:val="20"/>
              </w:rPr>
              <w:t>0.438)</w:t>
            </w:r>
          </w:p>
        </w:tc>
      </w:tr>
    </w:tbl>
    <w:p w14:paraId="050CD393" w14:textId="30C3FEF4" w:rsidR="00985916" w:rsidRPr="00B5549F" w:rsidRDefault="00985916" w:rsidP="00985916">
      <w:pPr>
        <w:contextualSpacing/>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Notes: Robust standard errors are in parenthesis. *** p&lt;0.01; ** p&lt;0.05; * p&lt;0.10. Stata commands: </w:t>
      </w:r>
      <w:proofErr w:type="spellStart"/>
      <w:r w:rsidRPr="00B5549F">
        <w:rPr>
          <w:rFonts w:ascii="Times New Roman" w:hAnsi="Times New Roman" w:cs="Times New Roman"/>
          <w:color w:val="000000" w:themeColor="text1"/>
          <w:sz w:val="20"/>
          <w:szCs w:val="20"/>
          <w:lang w:val="en-US"/>
        </w:rPr>
        <w:t>xtreg</w:t>
      </w:r>
      <w:proofErr w:type="spellEnd"/>
      <w:r w:rsidRPr="00B5549F">
        <w:rPr>
          <w:rFonts w:ascii="Times New Roman" w:hAnsi="Times New Roman" w:cs="Times New Roman"/>
          <w:color w:val="000000" w:themeColor="text1"/>
          <w:sz w:val="20"/>
          <w:szCs w:val="20"/>
          <w:lang w:val="en-US"/>
        </w:rPr>
        <w:t xml:space="preserve"> and xtabond2. In GMM-SYS estimates, the instrument set is curtailed according to the Arellano-Bond AR (#) Test. e</w:t>
      </w:r>
      <w:r w:rsidRPr="00B5549F">
        <w:rPr>
          <w:rFonts w:ascii="Times New Roman" w:hAnsi="Times New Roman" w:cs="Times New Roman"/>
          <w:color w:val="000000" w:themeColor="text1"/>
          <w:sz w:val="20"/>
          <w:szCs w:val="20"/>
          <w:vertAlign w:val="superscript"/>
          <w:lang w:val="en-US"/>
        </w:rPr>
        <w:t>n</w:t>
      </w:r>
      <w:r w:rsidRPr="00B5549F">
        <w:rPr>
          <w:rFonts w:ascii="Times New Roman" w:hAnsi="Times New Roman" w:cs="Times New Roman"/>
          <w:color w:val="000000" w:themeColor="text1"/>
          <w:sz w:val="20"/>
          <w:szCs w:val="20"/>
          <w:vertAlign w:val="subscript"/>
          <w:lang w:val="en-US"/>
        </w:rPr>
        <w:t>SSEpt-1</w:t>
      </w:r>
      <w:r w:rsidRPr="00B5549F">
        <w:rPr>
          <w:rFonts w:ascii="Times New Roman" w:hAnsi="Times New Roman" w:cs="Times New Roman"/>
          <w:color w:val="000000" w:themeColor="text1"/>
          <w:sz w:val="20"/>
          <w:szCs w:val="20"/>
          <w:lang w:val="en-US"/>
        </w:rPr>
        <w:t xml:space="preserve"> is instrumented with lags [t-4;t-5]. e</w:t>
      </w:r>
      <w:r w:rsidRPr="00B5549F">
        <w:rPr>
          <w:rFonts w:ascii="Times New Roman" w:hAnsi="Times New Roman" w:cs="Times New Roman"/>
          <w:color w:val="000000" w:themeColor="text1"/>
          <w:sz w:val="20"/>
          <w:szCs w:val="20"/>
          <w:vertAlign w:val="superscript"/>
          <w:lang w:val="en-US"/>
        </w:rPr>
        <w:t>n</w:t>
      </w:r>
      <w:r w:rsidRPr="00B5549F">
        <w:rPr>
          <w:rFonts w:ascii="Times New Roman" w:hAnsi="Times New Roman" w:cs="Times New Roman"/>
          <w:color w:val="000000" w:themeColor="text1"/>
          <w:sz w:val="20"/>
          <w:szCs w:val="20"/>
          <w:vertAlign w:val="subscript"/>
          <w:lang w:val="en-US"/>
        </w:rPr>
        <w:t>LSEpt-1</w:t>
      </w:r>
      <w:r w:rsidRPr="00B5549F">
        <w:rPr>
          <w:rFonts w:ascii="Times New Roman" w:hAnsi="Times New Roman" w:cs="Times New Roman"/>
          <w:color w:val="000000" w:themeColor="text1"/>
          <w:sz w:val="20"/>
          <w:szCs w:val="20"/>
          <w:lang w:val="en-US"/>
        </w:rPr>
        <w:t xml:space="preserve"> is instrumented with lags [t-3;t-4]. GMM models adopt two-step estimations and have been corrected with the </w:t>
      </w:r>
      <w:proofErr w:type="spellStart"/>
      <w:r w:rsidRPr="00B5549F">
        <w:rPr>
          <w:rFonts w:ascii="Times New Roman" w:hAnsi="Times New Roman" w:cs="Times New Roman"/>
          <w:color w:val="000000" w:themeColor="text1"/>
          <w:sz w:val="20"/>
          <w:szCs w:val="20"/>
          <w:lang w:val="en-US"/>
        </w:rPr>
        <w:t>Windmeijer</w:t>
      </w:r>
      <w:proofErr w:type="spellEnd"/>
      <w:r w:rsidRPr="00B5549F">
        <w:rPr>
          <w:rFonts w:ascii="Times New Roman" w:hAnsi="Times New Roman" w:cs="Times New Roman"/>
          <w:color w:val="000000" w:themeColor="text1"/>
          <w:sz w:val="20"/>
          <w:szCs w:val="20"/>
          <w:lang w:val="en-US"/>
        </w:rPr>
        <w:t xml:space="preserve"> (2005) covariance matrix for finite samples.</w:t>
      </w:r>
    </w:p>
    <w:p w14:paraId="07D12B73" w14:textId="77777777" w:rsidR="001709F1" w:rsidRPr="00B5549F" w:rsidRDefault="001709F1" w:rsidP="00985916">
      <w:pPr>
        <w:spacing w:after="120"/>
        <w:contextualSpacing/>
        <w:jc w:val="both"/>
        <w:rPr>
          <w:rFonts w:ascii="Times New Roman" w:hAnsi="Times New Roman" w:cs="Times New Roman"/>
          <w:b/>
          <w:bCs/>
          <w:color w:val="000000" w:themeColor="text1"/>
          <w:lang w:val="en-US"/>
        </w:rPr>
      </w:pPr>
    </w:p>
    <w:p w14:paraId="09FFF595" w14:textId="77777777" w:rsidR="001709F1" w:rsidRPr="00B5549F" w:rsidRDefault="001709F1" w:rsidP="00985916">
      <w:pPr>
        <w:spacing w:after="120"/>
        <w:contextualSpacing/>
        <w:jc w:val="both"/>
        <w:rPr>
          <w:rFonts w:ascii="Times New Roman" w:hAnsi="Times New Roman" w:cs="Times New Roman"/>
          <w:b/>
          <w:bCs/>
          <w:color w:val="000000" w:themeColor="text1"/>
          <w:lang w:val="en-US"/>
        </w:rPr>
      </w:pPr>
    </w:p>
    <w:p w14:paraId="581D5716" w14:textId="7E7C84CF" w:rsidR="00985916" w:rsidRPr="00B5549F" w:rsidRDefault="00985916" w:rsidP="00985916">
      <w:pPr>
        <w:spacing w:after="120"/>
        <w:contextualSpacing/>
        <w:jc w:val="both"/>
        <w:rPr>
          <w:rFonts w:ascii="Times New Roman" w:hAnsi="Times New Roman" w:cs="Times New Roman"/>
          <w:color w:val="000000" w:themeColor="text1"/>
          <w:lang w:val="en-US"/>
        </w:rPr>
      </w:pPr>
      <w:r w:rsidRPr="00B5549F">
        <w:rPr>
          <w:rFonts w:ascii="Times New Roman" w:hAnsi="Times New Roman" w:cs="Times New Roman"/>
          <w:b/>
          <w:bCs/>
          <w:color w:val="000000" w:themeColor="text1"/>
          <w:lang w:val="en-US"/>
        </w:rPr>
        <w:lastRenderedPageBreak/>
        <w:t xml:space="preserve">Table 5. </w:t>
      </w:r>
      <w:r w:rsidRPr="00B5549F">
        <w:rPr>
          <w:rFonts w:ascii="Times New Roman" w:hAnsi="Times New Roman" w:cs="Times New Roman"/>
          <w:color w:val="000000" w:themeColor="text1"/>
          <w:lang w:val="en-US"/>
        </w:rPr>
        <w:t>Regression results testing for the role of concentration (HP3a, HP3b).</w:t>
      </w:r>
    </w:p>
    <w:tbl>
      <w:tblPr>
        <w:tblW w:w="13791" w:type="dxa"/>
        <w:jc w:val="center"/>
        <w:tblCellMar>
          <w:left w:w="70" w:type="dxa"/>
          <w:right w:w="70" w:type="dxa"/>
        </w:tblCellMar>
        <w:tblLook w:val="04A0" w:firstRow="1" w:lastRow="0" w:firstColumn="1" w:lastColumn="0" w:noHBand="0" w:noVBand="1"/>
      </w:tblPr>
      <w:tblGrid>
        <w:gridCol w:w="2551"/>
        <w:gridCol w:w="1380"/>
        <w:gridCol w:w="1400"/>
        <w:gridCol w:w="1380"/>
        <w:gridCol w:w="1400"/>
        <w:gridCol w:w="1420"/>
        <w:gridCol w:w="1420"/>
        <w:gridCol w:w="1420"/>
        <w:gridCol w:w="1420"/>
      </w:tblGrid>
      <w:tr w:rsidR="00B5549F" w:rsidRPr="00B5549F" w14:paraId="13BDA142" w14:textId="77777777" w:rsidTr="00E02797">
        <w:trPr>
          <w:trHeight w:val="20"/>
          <w:jc w:val="center"/>
        </w:trPr>
        <w:tc>
          <w:tcPr>
            <w:tcW w:w="2551" w:type="dxa"/>
            <w:tcBorders>
              <w:top w:val="single" w:sz="4" w:space="0" w:color="auto"/>
              <w:left w:val="nil"/>
              <w:bottom w:val="nil"/>
              <w:right w:val="nil"/>
            </w:tcBorders>
            <w:noWrap/>
            <w:vAlign w:val="bottom"/>
          </w:tcPr>
          <w:p w14:paraId="78A2D908" w14:textId="77777777" w:rsidR="00985916" w:rsidRPr="00B5549F" w:rsidRDefault="00985916" w:rsidP="00985916">
            <w:pPr>
              <w:contextualSpacing/>
              <w:rPr>
                <w:rFonts w:ascii="Times New Roman" w:hAnsi="Times New Roman" w:cs="Times New Roman"/>
                <w:color w:val="000000" w:themeColor="text1"/>
                <w:sz w:val="18"/>
                <w:szCs w:val="18"/>
                <w:lang w:val="en-US"/>
              </w:rPr>
            </w:pPr>
          </w:p>
        </w:tc>
        <w:tc>
          <w:tcPr>
            <w:tcW w:w="2780" w:type="dxa"/>
            <w:gridSpan w:val="2"/>
            <w:tcBorders>
              <w:top w:val="single" w:sz="4" w:space="0" w:color="auto"/>
              <w:left w:val="nil"/>
              <w:bottom w:val="nil"/>
              <w:right w:val="nil"/>
            </w:tcBorders>
            <w:noWrap/>
            <w:vAlign w:val="center"/>
          </w:tcPr>
          <w:p w14:paraId="1A6CF348" w14:textId="77777777" w:rsidR="00985916" w:rsidRPr="00B5549F" w:rsidRDefault="00985916" w:rsidP="00985916">
            <w:pPr>
              <w:contextualSpacing/>
              <w:jc w:val="center"/>
              <w:rPr>
                <w:rFonts w:ascii="Times New Roman" w:hAnsi="Times New Roman" w:cs="Times New Roman"/>
                <w:b/>
                <w:bCs/>
                <w:color w:val="000000" w:themeColor="text1"/>
                <w:sz w:val="18"/>
                <w:szCs w:val="18"/>
              </w:rPr>
            </w:pPr>
            <w:r w:rsidRPr="00B5549F">
              <w:rPr>
                <w:rFonts w:ascii="Times New Roman" w:hAnsi="Times New Roman" w:cs="Times New Roman"/>
                <w:b/>
                <w:bCs/>
                <w:color w:val="000000" w:themeColor="text1"/>
                <w:sz w:val="18"/>
                <w:szCs w:val="18"/>
              </w:rPr>
              <w:t xml:space="preserve">SSE [1-2 </w:t>
            </w:r>
            <w:proofErr w:type="spellStart"/>
            <w:r w:rsidRPr="00B5549F">
              <w:rPr>
                <w:rFonts w:ascii="Times New Roman" w:hAnsi="Times New Roman" w:cs="Times New Roman"/>
                <w:b/>
                <w:bCs/>
                <w:color w:val="000000" w:themeColor="text1"/>
                <w:sz w:val="18"/>
                <w:szCs w:val="18"/>
              </w:rPr>
              <w:t>listings</w:t>
            </w:r>
            <w:proofErr w:type="spellEnd"/>
            <w:r w:rsidRPr="00B5549F">
              <w:rPr>
                <w:rFonts w:ascii="Times New Roman" w:hAnsi="Times New Roman" w:cs="Times New Roman"/>
                <w:b/>
                <w:bCs/>
                <w:color w:val="000000" w:themeColor="text1"/>
                <w:sz w:val="18"/>
                <w:szCs w:val="18"/>
              </w:rPr>
              <w:t>]</w:t>
            </w:r>
          </w:p>
        </w:tc>
        <w:tc>
          <w:tcPr>
            <w:tcW w:w="2780" w:type="dxa"/>
            <w:gridSpan w:val="2"/>
            <w:tcBorders>
              <w:top w:val="single" w:sz="4" w:space="0" w:color="auto"/>
              <w:left w:val="nil"/>
              <w:bottom w:val="nil"/>
              <w:right w:val="nil"/>
            </w:tcBorders>
            <w:noWrap/>
            <w:vAlign w:val="center"/>
          </w:tcPr>
          <w:p w14:paraId="60BDCFDF" w14:textId="77777777" w:rsidR="00985916" w:rsidRPr="00B5549F" w:rsidRDefault="00985916" w:rsidP="00985916">
            <w:pPr>
              <w:contextualSpacing/>
              <w:jc w:val="center"/>
              <w:rPr>
                <w:rFonts w:ascii="Times New Roman" w:hAnsi="Times New Roman" w:cs="Times New Roman"/>
                <w:b/>
                <w:bCs/>
                <w:color w:val="000000" w:themeColor="text1"/>
                <w:sz w:val="18"/>
                <w:szCs w:val="18"/>
              </w:rPr>
            </w:pPr>
            <w:r w:rsidRPr="00B5549F">
              <w:rPr>
                <w:rFonts w:ascii="Times New Roman" w:hAnsi="Times New Roman" w:cs="Times New Roman"/>
                <w:b/>
                <w:bCs/>
                <w:color w:val="000000" w:themeColor="text1"/>
                <w:sz w:val="18"/>
                <w:szCs w:val="18"/>
              </w:rPr>
              <w:t>SSE</w:t>
            </w:r>
            <w:r w:rsidRPr="00B5549F" w:rsidDel="000F38DF">
              <w:rPr>
                <w:rFonts w:ascii="Times New Roman" w:hAnsi="Times New Roman" w:cs="Times New Roman"/>
                <w:b/>
                <w:bCs/>
                <w:color w:val="000000" w:themeColor="text1"/>
                <w:sz w:val="18"/>
                <w:szCs w:val="18"/>
              </w:rPr>
              <w:t xml:space="preserve"> </w:t>
            </w:r>
            <w:r w:rsidRPr="00B5549F">
              <w:rPr>
                <w:rFonts w:ascii="Times New Roman" w:hAnsi="Times New Roman" w:cs="Times New Roman"/>
                <w:b/>
                <w:bCs/>
                <w:color w:val="000000" w:themeColor="text1"/>
                <w:sz w:val="18"/>
                <w:szCs w:val="18"/>
              </w:rPr>
              <w:t xml:space="preserve">[1-3 </w:t>
            </w:r>
            <w:proofErr w:type="spellStart"/>
            <w:r w:rsidRPr="00B5549F">
              <w:rPr>
                <w:rFonts w:ascii="Times New Roman" w:hAnsi="Times New Roman" w:cs="Times New Roman"/>
                <w:b/>
                <w:bCs/>
                <w:color w:val="000000" w:themeColor="text1"/>
                <w:sz w:val="18"/>
                <w:szCs w:val="18"/>
              </w:rPr>
              <w:t>listings</w:t>
            </w:r>
            <w:proofErr w:type="spellEnd"/>
            <w:r w:rsidRPr="00B5549F">
              <w:rPr>
                <w:rFonts w:ascii="Times New Roman" w:hAnsi="Times New Roman" w:cs="Times New Roman"/>
                <w:b/>
                <w:bCs/>
                <w:color w:val="000000" w:themeColor="text1"/>
                <w:sz w:val="18"/>
                <w:szCs w:val="18"/>
              </w:rPr>
              <w:t>]</w:t>
            </w:r>
          </w:p>
        </w:tc>
        <w:tc>
          <w:tcPr>
            <w:tcW w:w="2840" w:type="dxa"/>
            <w:gridSpan w:val="2"/>
            <w:tcBorders>
              <w:top w:val="single" w:sz="4" w:space="0" w:color="auto"/>
              <w:left w:val="nil"/>
              <w:bottom w:val="nil"/>
              <w:right w:val="nil"/>
            </w:tcBorders>
            <w:noWrap/>
            <w:vAlign w:val="center"/>
          </w:tcPr>
          <w:p w14:paraId="6CDC791F" w14:textId="77777777" w:rsidR="00985916" w:rsidRPr="00B5549F" w:rsidRDefault="00985916" w:rsidP="00985916">
            <w:pPr>
              <w:contextualSpacing/>
              <w:jc w:val="center"/>
              <w:rPr>
                <w:rFonts w:ascii="Times New Roman" w:hAnsi="Times New Roman" w:cs="Times New Roman"/>
                <w:b/>
                <w:bCs/>
                <w:color w:val="000000" w:themeColor="text1"/>
                <w:sz w:val="18"/>
                <w:szCs w:val="18"/>
              </w:rPr>
            </w:pPr>
            <w:r w:rsidRPr="00B5549F">
              <w:rPr>
                <w:rFonts w:ascii="Times New Roman" w:hAnsi="Times New Roman" w:cs="Times New Roman"/>
                <w:b/>
                <w:bCs/>
                <w:color w:val="000000" w:themeColor="text1"/>
                <w:sz w:val="18"/>
                <w:szCs w:val="18"/>
              </w:rPr>
              <w:t xml:space="preserve">LSE [3-10 </w:t>
            </w:r>
            <w:proofErr w:type="spellStart"/>
            <w:r w:rsidRPr="00B5549F">
              <w:rPr>
                <w:rFonts w:ascii="Times New Roman" w:hAnsi="Times New Roman" w:cs="Times New Roman"/>
                <w:b/>
                <w:bCs/>
                <w:color w:val="000000" w:themeColor="text1"/>
                <w:sz w:val="18"/>
                <w:szCs w:val="18"/>
              </w:rPr>
              <w:t>listings</w:t>
            </w:r>
            <w:proofErr w:type="spellEnd"/>
            <w:r w:rsidRPr="00B5549F">
              <w:rPr>
                <w:rFonts w:ascii="Times New Roman" w:hAnsi="Times New Roman" w:cs="Times New Roman"/>
                <w:b/>
                <w:bCs/>
                <w:color w:val="000000" w:themeColor="text1"/>
                <w:sz w:val="18"/>
                <w:szCs w:val="18"/>
              </w:rPr>
              <w:t>]</w:t>
            </w:r>
          </w:p>
        </w:tc>
        <w:tc>
          <w:tcPr>
            <w:tcW w:w="2840" w:type="dxa"/>
            <w:gridSpan w:val="2"/>
            <w:tcBorders>
              <w:top w:val="single" w:sz="4" w:space="0" w:color="auto"/>
              <w:left w:val="nil"/>
              <w:bottom w:val="nil"/>
              <w:right w:val="nil"/>
            </w:tcBorders>
            <w:noWrap/>
            <w:vAlign w:val="center"/>
          </w:tcPr>
          <w:p w14:paraId="611F95AB" w14:textId="77777777" w:rsidR="00985916" w:rsidRPr="00B5549F" w:rsidRDefault="00985916" w:rsidP="00985916">
            <w:pPr>
              <w:contextualSpacing/>
              <w:jc w:val="center"/>
              <w:rPr>
                <w:rFonts w:ascii="Times New Roman" w:hAnsi="Times New Roman" w:cs="Times New Roman"/>
                <w:b/>
                <w:bCs/>
                <w:color w:val="000000" w:themeColor="text1"/>
                <w:sz w:val="18"/>
                <w:szCs w:val="18"/>
              </w:rPr>
            </w:pPr>
            <w:r w:rsidRPr="00B5549F">
              <w:rPr>
                <w:rFonts w:ascii="Times New Roman" w:hAnsi="Times New Roman" w:cs="Times New Roman"/>
                <w:b/>
                <w:bCs/>
                <w:color w:val="000000" w:themeColor="text1"/>
                <w:sz w:val="18"/>
                <w:szCs w:val="18"/>
              </w:rPr>
              <w:t xml:space="preserve">LSE [4-10 </w:t>
            </w:r>
            <w:proofErr w:type="spellStart"/>
            <w:r w:rsidRPr="00B5549F">
              <w:rPr>
                <w:rFonts w:ascii="Times New Roman" w:hAnsi="Times New Roman" w:cs="Times New Roman"/>
                <w:b/>
                <w:bCs/>
                <w:color w:val="000000" w:themeColor="text1"/>
                <w:sz w:val="18"/>
                <w:szCs w:val="18"/>
              </w:rPr>
              <w:t>listings</w:t>
            </w:r>
            <w:proofErr w:type="spellEnd"/>
            <w:r w:rsidRPr="00B5549F">
              <w:rPr>
                <w:rFonts w:ascii="Times New Roman" w:hAnsi="Times New Roman" w:cs="Times New Roman"/>
                <w:b/>
                <w:bCs/>
                <w:color w:val="000000" w:themeColor="text1"/>
                <w:sz w:val="18"/>
                <w:szCs w:val="18"/>
              </w:rPr>
              <w:t>]</w:t>
            </w:r>
          </w:p>
        </w:tc>
      </w:tr>
      <w:tr w:rsidR="00B5549F" w:rsidRPr="00B5549F" w14:paraId="6E8CFD53" w14:textId="77777777" w:rsidTr="00E02797">
        <w:trPr>
          <w:trHeight w:val="20"/>
          <w:jc w:val="center"/>
        </w:trPr>
        <w:tc>
          <w:tcPr>
            <w:tcW w:w="2551" w:type="dxa"/>
            <w:tcBorders>
              <w:top w:val="nil"/>
              <w:left w:val="nil"/>
              <w:bottom w:val="nil"/>
              <w:right w:val="nil"/>
            </w:tcBorders>
            <w:noWrap/>
            <w:vAlign w:val="bottom"/>
          </w:tcPr>
          <w:p w14:paraId="6CE0162C" w14:textId="77777777" w:rsidR="00985916" w:rsidRPr="00B5549F" w:rsidRDefault="00985916" w:rsidP="00985916">
            <w:pPr>
              <w:contextualSpacing/>
              <w:rPr>
                <w:rFonts w:ascii="Times New Roman" w:hAnsi="Times New Roman" w:cs="Times New Roman"/>
                <w:color w:val="000000" w:themeColor="text1"/>
                <w:sz w:val="18"/>
                <w:szCs w:val="18"/>
              </w:rPr>
            </w:pPr>
          </w:p>
        </w:tc>
        <w:tc>
          <w:tcPr>
            <w:tcW w:w="1380" w:type="dxa"/>
            <w:tcBorders>
              <w:top w:val="nil"/>
              <w:left w:val="nil"/>
              <w:bottom w:val="nil"/>
              <w:right w:val="nil"/>
            </w:tcBorders>
            <w:noWrap/>
            <w:vAlign w:val="center"/>
          </w:tcPr>
          <w:p w14:paraId="6BBF94D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RE</w:t>
            </w:r>
          </w:p>
        </w:tc>
        <w:tc>
          <w:tcPr>
            <w:tcW w:w="1400" w:type="dxa"/>
            <w:tcBorders>
              <w:top w:val="nil"/>
              <w:left w:val="nil"/>
              <w:bottom w:val="nil"/>
              <w:right w:val="nil"/>
            </w:tcBorders>
            <w:noWrap/>
            <w:vAlign w:val="center"/>
          </w:tcPr>
          <w:p w14:paraId="2FBDC38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GMM-SYS</w:t>
            </w:r>
          </w:p>
        </w:tc>
        <w:tc>
          <w:tcPr>
            <w:tcW w:w="1380" w:type="dxa"/>
            <w:tcBorders>
              <w:top w:val="nil"/>
              <w:left w:val="nil"/>
              <w:bottom w:val="nil"/>
              <w:right w:val="nil"/>
            </w:tcBorders>
            <w:noWrap/>
            <w:vAlign w:val="center"/>
          </w:tcPr>
          <w:p w14:paraId="1E02567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RE</w:t>
            </w:r>
          </w:p>
        </w:tc>
        <w:tc>
          <w:tcPr>
            <w:tcW w:w="1400" w:type="dxa"/>
            <w:tcBorders>
              <w:top w:val="nil"/>
              <w:left w:val="nil"/>
              <w:bottom w:val="nil"/>
              <w:right w:val="nil"/>
            </w:tcBorders>
            <w:noWrap/>
            <w:vAlign w:val="center"/>
          </w:tcPr>
          <w:p w14:paraId="5ABC50A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GMM-SYS</w:t>
            </w:r>
          </w:p>
        </w:tc>
        <w:tc>
          <w:tcPr>
            <w:tcW w:w="1420" w:type="dxa"/>
            <w:tcBorders>
              <w:top w:val="nil"/>
              <w:left w:val="nil"/>
              <w:bottom w:val="nil"/>
              <w:right w:val="nil"/>
            </w:tcBorders>
            <w:noWrap/>
            <w:vAlign w:val="center"/>
          </w:tcPr>
          <w:p w14:paraId="056ED15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RE</w:t>
            </w:r>
          </w:p>
        </w:tc>
        <w:tc>
          <w:tcPr>
            <w:tcW w:w="1420" w:type="dxa"/>
            <w:tcBorders>
              <w:top w:val="nil"/>
              <w:left w:val="nil"/>
              <w:bottom w:val="nil"/>
              <w:right w:val="nil"/>
            </w:tcBorders>
            <w:noWrap/>
            <w:vAlign w:val="center"/>
          </w:tcPr>
          <w:p w14:paraId="0761B2B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GMM-SYS</w:t>
            </w:r>
          </w:p>
        </w:tc>
        <w:tc>
          <w:tcPr>
            <w:tcW w:w="1420" w:type="dxa"/>
            <w:tcBorders>
              <w:top w:val="nil"/>
              <w:left w:val="nil"/>
              <w:bottom w:val="nil"/>
              <w:right w:val="nil"/>
            </w:tcBorders>
            <w:noWrap/>
            <w:vAlign w:val="center"/>
          </w:tcPr>
          <w:p w14:paraId="4A114A6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RE</w:t>
            </w:r>
          </w:p>
        </w:tc>
        <w:tc>
          <w:tcPr>
            <w:tcW w:w="1420" w:type="dxa"/>
            <w:tcBorders>
              <w:top w:val="nil"/>
              <w:left w:val="nil"/>
              <w:bottom w:val="nil"/>
              <w:right w:val="nil"/>
            </w:tcBorders>
            <w:noWrap/>
            <w:vAlign w:val="center"/>
          </w:tcPr>
          <w:p w14:paraId="146129C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GMM-SYS</w:t>
            </w:r>
          </w:p>
        </w:tc>
      </w:tr>
      <w:tr w:rsidR="00B5549F" w:rsidRPr="00B5549F" w14:paraId="4726C407" w14:textId="77777777" w:rsidTr="00E02797">
        <w:trPr>
          <w:trHeight w:val="20"/>
          <w:jc w:val="center"/>
        </w:trPr>
        <w:tc>
          <w:tcPr>
            <w:tcW w:w="2551" w:type="dxa"/>
            <w:tcBorders>
              <w:top w:val="nil"/>
              <w:left w:val="nil"/>
              <w:bottom w:val="single" w:sz="4" w:space="0" w:color="auto"/>
              <w:right w:val="nil"/>
            </w:tcBorders>
            <w:noWrap/>
            <w:vAlign w:val="bottom"/>
          </w:tcPr>
          <w:p w14:paraId="31DF5C47" w14:textId="77777777" w:rsidR="00985916" w:rsidRPr="00B5549F" w:rsidRDefault="00985916" w:rsidP="00985916">
            <w:pPr>
              <w:contextualSpacing/>
              <w:rPr>
                <w:rFonts w:ascii="Times New Roman" w:hAnsi="Times New Roman" w:cs="Times New Roman"/>
                <w:color w:val="000000" w:themeColor="text1"/>
                <w:sz w:val="18"/>
                <w:szCs w:val="18"/>
              </w:rPr>
            </w:pPr>
          </w:p>
        </w:tc>
        <w:tc>
          <w:tcPr>
            <w:tcW w:w="1380" w:type="dxa"/>
            <w:tcBorders>
              <w:top w:val="nil"/>
              <w:left w:val="nil"/>
              <w:bottom w:val="single" w:sz="4" w:space="0" w:color="auto"/>
              <w:right w:val="nil"/>
            </w:tcBorders>
            <w:noWrap/>
            <w:vAlign w:val="center"/>
          </w:tcPr>
          <w:p w14:paraId="60E3E4D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Y = e</w:t>
            </w:r>
            <w:r w:rsidRPr="00B5549F">
              <w:rPr>
                <w:rFonts w:ascii="Times New Roman" w:hAnsi="Times New Roman" w:cs="Times New Roman"/>
                <w:b/>
                <w:bCs/>
                <w:color w:val="000000" w:themeColor="text1"/>
                <w:sz w:val="18"/>
                <w:szCs w:val="18"/>
                <w:vertAlign w:val="superscript"/>
              </w:rPr>
              <w:t>2</w:t>
            </w:r>
            <w:r w:rsidRPr="00B5549F">
              <w:rPr>
                <w:rFonts w:ascii="Times New Roman" w:hAnsi="Times New Roman" w:cs="Times New Roman"/>
                <w:b/>
                <w:bCs/>
                <w:color w:val="000000" w:themeColor="text1"/>
                <w:sz w:val="18"/>
                <w:szCs w:val="18"/>
                <w:vertAlign w:val="subscript"/>
              </w:rPr>
              <w:t>SSE, p, t</w:t>
            </w:r>
          </w:p>
        </w:tc>
        <w:tc>
          <w:tcPr>
            <w:tcW w:w="1400" w:type="dxa"/>
            <w:tcBorders>
              <w:top w:val="nil"/>
              <w:left w:val="nil"/>
              <w:bottom w:val="single" w:sz="4" w:space="0" w:color="auto"/>
              <w:right w:val="nil"/>
            </w:tcBorders>
            <w:noWrap/>
            <w:vAlign w:val="center"/>
          </w:tcPr>
          <w:p w14:paraId="21CEC5C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Y = e</w:t>
            </w:r>
            <w:r w:rsidRPr="00B5549F">
              <w:rPr>
                <w:rFonts w:ascii="Times New Roman" w:hAnsi="Times New Roman" w:cs="Times New Roman"/>
                <w:b/>
                <w:bCs/>
                <w:color w:val="000000" w:themeColor="text1"/>
                <w:sz w:val="18"/>
                <w:szCs w:val="18"/>
                <w:vertAlign w:val="superscript"/>
              </w:rPr>
              <w:t>2</w:t>
            </w:r>
            <w:r w:rsidRPr="00B5549F">
              <w:rPr>
                <w:rFonts w:ascii="Times New Roman" w:hAnsi="Times New Roman" w:cs="Times New Roman"/>
                <w:b/>
                <w:bCs/>
                <w:color w:val="000000" w:themeColor="text1"/>
                <w:sz w:val="18"/>
                <w:szCs w:val="18"/>
                <w:vertAlign w:val="subscript"/>
              </w:rPr>
              <w:t>SSE, p, t</w:t>
            </w:r>
          </w:p>
        </w:tc>
        <w:tc>
          <w:tcPr>
            <w:tcW w:w="1380" w:type="dxa"/>
            <w:tcBorders>
              <w:top w:val="nil"/>
              <w:left w:val="nil"/>
              <w:bottom w:val="single" w:sz="4" w:space="0" w:color="auto"/>
              <w:right w:val="nil"/>
            </w:tcBorders>
            <w:noWrap/>
            <w:vAlign w:val="center"/>
          </w:tcPr>
          <w:p w14:paraId="14871E1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Y = e</w:t>
            </w:r>
            <w:r w:rsidRPr="00B5549F">
              <w:rPr>
                <w:rFonts w:ascii="Times New Roman" w:hAnsi="Times New Roman" w:cs="Times New Roman"/>
                <w:b/>
                <w:bCs/>
                <w:color w:val="000000" w:themeColor="text1"/>
                <w:sz w:val="18"/>
                <w:szCs w:val="18"/>
                <w:vertAlign w:val="superscript"/>
              </w:rPr>
              <w:t>3</w:t>
            </w:r>
            <w:r w:rsidRPr="00B5549F">
              <w:rPr>
                <w:rFonts w:ascii="Times New Roman" w:hAnsi="Times New Roman" w:cs="Times New Roman"/>
                <w:b/>
                <w:bCs/>
                <w:color w:val="000000" w:themeColor="text1"/>
                <w:sz w:val="18"/>
                <w:szCs w:val="18"/>
                <w:vertAlign w:val="subscript"/>
              </w:rPr>
              <w:t>SSE, p, t</w:t>
            </w:r>
          </w:p>
        </w:tc>
        <w:tc>
          <w:tcPr>
            <w:tcW w:w="1400" w:type="dxa"/>
            <w:tcBorders>
              <w:top w:val="nil"/>
              <w:left w:val="nil"/>
              <w:bottom w:val="single" w:sz="4" w:space="0" w:color="auto"/>
              <w:right w:val="nil"/>
            </w:tcBorders>
            <w:noWrap/>
            <w:vAlign w:val="center"/>
          </w:tcPr>
          <w:p w14:paraId="1E994EC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Y = e</w:t>
            </w:r>
            <w:r w:rsidRPr="00B5549F">
              <w:rPr>
                <w:rFonts w:ascii="Times New Roman" w:hAnsi="Times New Roman" w:cs="Times New Roman"/>
                <w:b/>
                <w:bCs/>
                <w:color w:val="000000" w:themeColor="text1"/>
                <w:sz w:val="18"/>
                <w:szCs w:val="18"/>
                <w:vertAlign w:val="superscript"/>
              </w:rPr>
              <w:t>3</w:t>
            </w:r>
            <w:r w:rsidRPr="00B5549F">
              <w:rPr>
                <w:rFonts w:ascii="Times New Roman" w:hAnsi="Times New Roman" w:cs="Times New Roman"/>
                <w:b/>
                <w:bCs/>
                <w:color w:val="000000" w:themeColor="text1"/>
                <w:sz w:val="18"/>
                <w:szCs w:val="18"/>
                <w:vertAlign w:val="subscript"/>
              </w:rPr>
              <w:t>SSE, p, t</w:t>
            </w:r>
          </w:p>
        </w:tc>
        <w:tc>
          <w:tcPr>
            <w:tcW w:w="1420" w:type="dxa"/>
            <w:tcBorders>
              <w:top w:val="nil"/>
              <w:left w:val="nil"/>
              <w:bottom w:val="single" w:sz="4" w:space="0" w:color="auto"/>
              <w:right w:val="nil"/>
            </w:tcBorders>
            <w:noWrap/>
            <w:vAlign w:val="center"/>
          </w:tcPr>
          <w:p w14:paraId="7A70625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Y = e</w:t>
            </w:r>
            <w:r w:rsidRPr="00B5549F">
              <w:rPr>
                <w:rFonts w:ascii="Times New Roman" w:hAnsi="Times New Roman" w:cs="Times New Roman"/>
                <w:b/>
                <w:bCs/>
                <w:color w:val="000000" w:themeColor="text1"/>
                <w:sz w:val="18"/>
                <w:szCs w:val="18"/>
                <w:vertAlign w:val="superscript"/>
              </w:rPr>
              <w:t>2</w:t>
            </w:r>
            <w:r w:rsidRPr="00B5549F">
              <w:rPr>
                <w:rFonts w:ascii="Times New Roman" w:hAnsi="Times New Roman" w:cs="Times New Roman"/>
                <w:b/>
                <w:bCs/>
                <w:color w:val="000000" w:themeColor="text1"/>
                <w:sz w:val="18"/>
                <w:szCs w:val="18"/>
                <w:vertAlign w:val="subscript"/>
              </w:rPr>
              <w:t>LSE, p, t</w:t>
            </w:r>
          </w:p>
        </w:tc>
        <w:tc>
          <w:tcPr>
            <w:tcW w:w="1420" w:type="dxa"/>
            <w:tcBorders>
              <w:top w:val="nil"/>
              <w:left w:val="nil"/>
              <w:bottom w:val="single" w:sz="4" w:space="0" w:color="auto"/>
              <w:right w:val="nil"/>
            </w:tcBorders>
            <w:noWrap/>
            <w:vAlign w:val="center"/>
          </w:tcPr>
          <w:p w14:paraId="44797DF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Y = e</w:t>
            </w:r>
            <w:r w:rsidRPr="00B5549F">
              <w:rPr>
                <w:rFonts w:ascii="Times New Roman" w:hAnsi="Times New Roman" w:cs="Times New Roman"/>
                <w:b/>
                <w:bCs/>
                <w:color w:val="000000" w:themeColor="text1"/>
                <w:sz w:val="18"/>
                <w:szCs w:val="18"/>
                <w:vertAlign w:val="superscript"/>
              </w:rPr>
              <w:t>2</w:t>
            </w:r>
            <w:r w:rsidRPr="00B5549F">
              <w:rPr>
                <w:rFonts w:ascii="Times New Roman" w:hAnsi="Times New Roman" w:cs="Times New Roman"/>
                <w:b/>
                <w:bCs/>
                <w:color w:val="000000" w:themeColor="text1"/>
                <w:sz w:val="18"/>
                <w:szCs w:val="18"/>
                <w:vertAlign w:val="subscript"/>
              </w:rPr>
              <w:t>LSE, p, t</w:t>
            </w:r>
          </w:p>
        </w:tc>
        <w:tc>
          <w:tcPr>
            <w:tcW w:w="1420" w:type="dxa"/>
            <w:tcBorders>
              <w:top w:val="nil"/>
              <w:left w:val="nil"/>
              <w:bottom w:val="single" w:sz="4" w:space="0" w:color="auto"/>
              <w:right w:val="nil"/>
            </w:tcBorders>
            <w:noWrap/>
            <w:vAlign w:val="center"/>
          </w:tcPr>
          <w:p w14:paraId="03E26F5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Y = e</w:t>
            </w:r>
            <w:r w:rsidRPr="00B5549F">
              <w:rPr>
                <w:rFonts w:ascii="Times New Roman" w:hAnsi="Times New Roman" w:cs="Times New Roman"/>
                <w:b/>
                <w:bCs/>
                <w:color w:val="000000" w:themeColor="text1"/>
                <w:sz w:val="18"/>
                <w:szCs w:val="18"/>
                <w:vertAlign w:val="superscript"/>
              </w:rPr>
              <w:t>3</w:t>
            </w:r>
            <w:r w:rsidRPr="00B5549F">
              <w:rPr>
                <w:rFonts w:ascii="Times New Roman" w:hAnsi="Times New Roman" w:cs="Times New Roman"/>
                <w:b/>
                <w:bCs/>
                <w:color w:val="000000" w:themeColor="text1"/>
                <w:sz w:val="18"/>
                <w:szCs w:val="18"/>
                <w:vertAlign w:val="subscript"/>
              </w:rPr>
              <w:t>LSE, p, t</w:t>
            </w:r>
          </w:p>
        </w:tc>
        <w:tc>
          <w:tcPr>
            <w:tcW w:w="1420" w:type="dxa"/>
            <w:tcBorders>
              <w:top w:val="nil"/>
              <w:left w:val="nil"/>
              <w:bottom w:val="single" w:sz="4" w:space="0" w:color="auto"/>
              <w:right w:val="nil"/>
            </w:tcBorders>
            <w:noWrap/>
            <w:vAlign w:val="center"/>
          </w:tcPr>
          <w:p w14:paraId="20D5DA5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Y = e</w:t>
            </w:r>
            <w:r w:rsidRPr="00B5549F">
              <w:rPr>
                <w:rFonts w:ascii="Times New Roman" w:hAnsi="Times New Roman" w:cs="Times New Roman"/>
                <w:b/>
                <w:bCs/>
                <w:color w:val="000000" w:themeColor="text1"/>
                <w:sz w:val="18"/>
                <w:szCs w:val="18"/>
                <w:vertAlign w:val="superscript"/>
              </w:rPr>
              <w:t>3</w:t>
            </w:r>
            <w:r w:rsidRPr="00B5549F">
              <w:rPr>
                <w:rFonts w:ascii="Times New Roman" w:hAnsi="Times New Roman" w:cs="Times New Roman"/>
                <w:b/>
                <w:bCs/>
                <w:color w:val="000000" w:themeColor="text1"/>
                <w:sz w:val="18"/>
                <w:szCs w:val="18"/>
                <w:vertAlign w:val="subscript"/>
              </w:rPr>
              <w:t>LSE, p, t</w:t>
            </w:r>
          </w:p>
        </w:tc>
      </w:tr>
      <w:tr w:rsidR="00B5549F" w:rsidRPr="00B5549F" w14:paraId="34A564E8" w14:textId="77777777" w:rsidTr="00E02797">
        <w:trPr>
          <w:trHeight w:val="20"/>
          <w:jc w:val="center"/>
        </w:trPr>
        <w:tc>
          <w:tcPr>
            <w:tcW w:w="2551" w:type="dxa"/>
            <w:tcBorders>
              <w:top w:val="single" w:sz="4" w:space="0" w:color="auto"/>
              <w:left w:val="nil"/>
              <w:bottom w:val="nil"/>
              <w:right w:val="nil"/>
            </w:tcBorders>
            <w:noWrap/>
            <w:vAlign w:val="bottom"/>
            <w:hideMark/>
          </w:tcPr>
          <w:p w14:paraId="353B1AC2"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ln Y (p, t-1)</w:t>
            </w:r>
          </w:p>
        </w:tc>
        <w:tc>
          <w:tcPr>
            <w:tcW w:w="1380" w:type="dxa"/>
            <w:tcBorders>
              <w:top w:val="single" w:sz="4" w:space="0" w:color="auto"/>
              <w:left w:val="nil"/>
              <w:bottom w:val="nil"/>
              <w:right w:val="nil"/>
            </w:tcBorders>
            <w:noWrap/>
            <w:vAlign w:val="bottom"/>
            <w:hideMark/>
          </w:tcPr>
          <w:p w14:paraId="377E52A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0.4204***</w:t>
            </w:r>
          </w:p>
        </w:tc>
        <w:tc>
          <w:tcPr>
            <w:tcW w:w="1400" w:type="dxa"/>
            <w:tcBorders>
              <w:top w:val="single" w:sz="4" w:space="0" w:color="auto"/>
              <w:left w:val="nil"/>
              <w:bottom w:val="nil"/>
              <w:right w:val="nil"/>
            </w:tcBorders>
            <w:noWrap/>
            <w:vAlign w:val="bottom"/>
            <w:hideMark/>
          </w:tcPr>
          <w:p w14:paraId="0434AF4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0.1631***</w:t>
            </w:r>
          </w:p>
        </w:tc>
        <w:tc>
          <w:tcPr>
            <w:tcW w:w="1380" w:type="dxa"/>
            <w:tcBorders>
              <w:top w:val="single" w:sz="4" w:space="0" w:color="auto"/>
              <w:left w:val="nil"/>
              <w:bottom w:val="nil"/>
              <w:right w:val="nil"/>
            </w:tcBorders>
            <w:noWrap/>
            <w:vAlign w:val="bottom"/>
            <w:hideMark/>
          </w:tcPr>
          <w:p w14:paraId="7434E08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0.4165***</w:t>
            </w:r>
          </w:p>
        </w:tc>
        <w:tc>
          <w:tcPr>
            <w:tcW w:w="1400" w:type="dxa"/>
            <w:tcBorders>
              <w:top w:val="single" w:sz="4" w:space="0" w:color="auto"/>
              <w:left w:val="nil"/>
              <w:bottom w:val="nil"/>
              <w:right w:val="nil"/>
            </w:tcBorders>
            <w:noWrap/>
            <w:vAlign w:val="bottom"/>
            <w:hideMark/>
          </w:tcPr>
          <w:p w14:paraId="2B967B8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0.1510**</w:t>
            </w:r>
          </w:p>
        </w:tc>
        <w:tc>
          <w:tcPr>
            <w:tcW w:w="1420" w:type="dxa"/>
            <w:tcBorders>
              <w:top w:val="single" w:sz="4" w:space="0" w:color="auto"/>
              <w:left w:val="nil"/>
              <w:bottom w:val="nil"/>
              <w:right w:val="nil"/>
            </w:tcBorders>
            <w:noWrap/>
            <w:vAlign w:val="bottom"/>
            <w:hideMark/>
          </w:tcPr>
          <w:p w14:paraId="470EA84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0.2193***</w:t>
            </w:r>
          </w:p>
        </w:tc>
        <w:tc>
          <w:tcPr>
            <w:tcW w:w="1420" w:type="dxa"/>
            <w:tcBorders>
              <w:top w:val="single" w:sz="4" w:space="0" w:color="auto"/>
              <w:left w:val="nil"/>
              <w:bottom w:val="nil"/>
              <w:right w:val="nil"/>
            </w:tcBorders>
            <w:noWrap/>
            <w:vAlign w:val="bottom"/>
            <w:hideMark/>
          </w:tcPr>
          <w:p w14:paraId="1859FC9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0.2239***</w:t>
            </w:r>
          </w:p>
        </w:tc>
        <w:tc>
          <w:tcPr>
            <w:tcW w:w="1420" w:type="dxa"/>
            <w:tcBorders>
              <w:top w:val="single" w:sz="4" w:space="0" w:color="auto"/>
              <w:left w:val="nil"/>
              <w:bottom w:val="nil"/>
              <w:right w:val="nil"/>
            </w:tcBorders>
            <w:noWrap/>
            <w:vAlign w:val="bottom"/>
            <w:hideMark/>
          </w:tcPr>
          <w:p w14:paraId="4F3BF60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0.2155***</w:t>
            </w:r>
          </w:p>
        </w:tc>
        <w:tc>
          <w:tcPr>
            <w:tcW w:w="1420" w:type="dxa"/>
            <w:tcBorders>
              <w:top w:val="single" w:sz="4" w:space="0" w:color="auto"/>
              <w:left w:val="nil"/>
              <w:bottom w:val="nil"/>
              <w:right w:val="nil"/>
            </w:tcBorders>
            <w:noWrap/>
            <w:vAlign w:val="bottom"/>
            <w:hideMark/>
          </w:tcPr>
          <w:p w14:paraId="4A5B890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0.3677***</w:t>
            </w:r>
          </w:p>
        </w:tc>
      </w:tr>
      <w:tr w:rsidR="00B5549F" w:rsidRPr="00B5549F" w14:paraId="37AC773D" w14:textId="77777777" w:rsidTr="00E02797">
        <w:trPr>
          <w:trHeight w:val="20"/>
          <w:jc w:val="center"/>
        </w:trPr>
        <w:tc>
          <w:tcPr>
            <w:tcW w:w="2551" w:type="dxa"/>
            <w:tcBorders>
              <w:top w:val="nil"/>
              <w:left w:val="nil"/>
              <w:bottom w:val="nil"/>
              <w:right w:val="nil"/>
            </w:tcBorders>
            <w:noWrap/>
            <w:vAlign w:val="bottom"/>
            <w:hideMark/>
          </w:tcPr>
          <w:p w14:paraId="481CE010"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380" w:type="dxa"/>
            <w:tcBorders>
              <w:top w:val="nil"/>
              <w:left w:val="nil"/>
              <w:bottom w:val="nil"/>
              <w:right w:val="nil"/>
            </w:tcBorders>
            <w:noWrap/>
            <w:vAlign w:val="bottom"/>
            <w:hideMark/>
          </w:tcPr>
          <w:p w14:paraId="16CCA01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(0.044)</w:t>
            </w:r>
          </w:p>
        </w:tc>
        <w:tc>
          <w:tcPr>
            <w:tcW w:w="1400" w:type="dxa"/>
            <w:tcBorders>
              <w:top w:val="nil"/>
              <w:left w:val="nil"/>
              <w:bottom w:val="nil"/>
              <w:right w:val="nil"/>
            </w:tcBorders>
            <w:noWrap/>
            <w:vAlign w:val="bottom"/>
            <w:hideMark/>
          </w:tcPr>
          <w:p w14:paraId="4326DA9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(0.061)</w:t>
            </w:r>
          </w:p>
        </w:tc>
        <w:tc>
          <w:tcPr>
            <w:tcW w:w="1380" w:type="dxa"/>
            <w:tcBorders>
              <w:top w:val="nil"/>
              <w:left w:val="nil"/>
              <w:bottom w:val="nil"/>
              <w:right w:val="nil"/>
            </w:tcBorders>
            <w:noWrap/>
            <w:vAlign w:val="bottom"/>
            <w:hideMark/>
          </w:tcPr>
          <w:p w14:paraId="449BAD5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(0.044)</w:t>
            </w:r>
          </w:p>
        </w:tc>
        <w:tc>
          <w:tcPr>
            <w:tcW w:w="1400" w:type="dxa"/>
            <w:tcBorders>
              <w:top w:val="nil"/>
              <w:left w:val="nil"/>
              <w:bottom w:val="nil"/>
              <w:right w:val="nil"/>
            </w:tcBorders>
            <w:noWrap/>
            <w:vAlign w:val="bottom"/>
            <w:hideMark/>
          </w:tcPr>
          <w:p w14:paraId="2355B31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(0.065)</w:t>
            </w:r>
          </w:p>
        </w:tc>
        <w:tc>
          <w:tcPr>
            <w:tcW w:w="1420" w:type="dxa"/>
            <w:tcBorders>
              <w:top w:val="nil"/>
              <w:left w:val="nil"/>
              <w:bottom w:val="nil"/>
              <w:right w:val="nil"/>
            </w:tcBorders>
            <w:noWrap/>
            <w:vAlign w:val="bottom"/>
            <w:hideMark/>
          </w:tcPr>
          <w:p w14:paraId="29C3E34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(0.026)</w:t>
            </w:r>
          </w:p>
        </w:tc>
        <w:tc>
          <w:tcPr>
            <w:tcW w:w="1420" w:type="dxa"/>
            <w:tcBorders>
              <w:top w:val="nil"/>
              <w:left w:val="nil"/>
              <w:bottom w:val="nil"/>
              <w:right w:val="nil"/>
            </w:tcBorders>
            <w:noWrap/>
            <w:vAlign w:val="bottom"/>
            <w:hideMark/>
          </w:tcPr>
          <w:p w14:paraId="5AF1F80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(0.085)</w:t>
            </w:r>
          </w:p>
        </w:tc>
        <w:tc>
          <w:tcPr>
            <w:tcW w:w="1420" w:type="dxa"/>
            <w:tcBorders>
              <w:top w:val="nil"/>
              <w:left w:val="nil"/>
              <w:bottom w:val="nil"/>
              <w:right w:val="nil"/>
            </w:tcBorders>
            <w:noWrap/>
            <w:vAlign w:val="bottom"/>
            <w:hideMark/>
          </w:tcPr>
          <w:p w14:paraId="0FC5D07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(0.027)</w:t>
            </w:r>
          </w:p>
        </w:tc>
        <w:tc>
          <w:tcPr>
            <w:tcW w:w="1420" w:type="dxa"/>
            <w:tcBorders>
              <w:top w:val="nil"/>
              <w:left w:val="nil"/>
              <w:bottom w:val="nil"/>
              <w:right w:val="nil"/>
            </w:tcBorders>
            <w:noWrap/>
            <w:vAlign w:val="bottom"/>
            <w:hideMark/>
          </w:tcPr>
          <w:p w14:paraId="32DBDCA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(0.072)</w:t>
            </w:r>
          </w:p>
        </w:tc>
      </w:tr>
      <w:tr w:rsidR="00B5549F" w:rsidRPr="00B5549F" w14:paraId="1CA09618" w14:textId="77777777" w:rsidTr="00E02797">
        <w:trPr>
          <w:trHeight w:val="20"/>
          <w:jc w:val="center"/>
        </w:trPr>
        <w:tc>
          <w:tcPr>
            <w:tcW w:w="2551" w:type="dxa"/>
            <w:tcBorders>
              <w:top w:val="nil"/>
              <w:left w:val="nil"/>
              <w:bottom w:val="nil"/>
              <w:right w:val="nil"/>
            </w:tcBorders>
            <w:noWrap/>
            <w:vAlign w:val="bottom"/>
            <w:hideMark/>
          </w:tcPr>
          <w:p w14:paraId="6E673C12" w14:textId="77777777" w:rsidR="00985916" w:rsidRPr="00B5549F" w:rsidRDefault="00985916" w:rsidP="00985916">
            <w:pPr>
              <w:contextualSpacing/>
              <w:rPr>
                <w:rFonts w:ascii="Times New Roman" w:hAnsi="Times New Roman" w:cs="Times New Roman"/>
                <w:i/>
                <w:iCs/>
                <w:color w:val="000000" w:themeColor="text1"/>
                <w:sz w:val="18"/>
                <w:szCs w:val="18"/>
              </w:rPr>
            </w:pPr>
            <w:r w:rsidRPr="00B5549F">
              <w:rPr>
                <w:rFonts w:ascii="Times New Roman" w:hAnsi="Times New Roman" w:cs="Times New Roman"/>
                <w:i/>
                <w:iCs/>
                <w:color w:val="000000" w:themeColor="text1"/>
                <w:sz w:val="18"/>
                <w:szCs w:val="18"/>
              </w:rPr>
              <w:t>ConcentrationProp</w:t>
            </w:r>
            <w:r w:rsidRPr="00B5549F">
              <w:rPr>
                <w:rFonts w:ascii="Times New Roman" w:hAnsi="Times New Roman" w:cs="Times New Roman"/>
                <w:i/>
                <w:iCs/>
                <w:color w:val="000000" w:themeColor="text1"/>
                <w:sz w:val="18"/>
                <w:szCs w:val="18"/>
                <w:vertAlign w:val="subscript"/>
              </w:rPr>
              <w:t>pt-1</w:t>
            </w:r>
            <w:r w:rsidRPr="00B5549F">
              <w:rPr>
                <w:rFonts w:ascii="Times New Roman" w:hAnsi="Times New Roman" w:cs="Times New Roman"/>
                <w:i/>
                <w:iCs/>
                <w:color w:val="000000" w:themeColor="text1"/>
                <w:sz w:val="18"/>
                <w:szCs w:val="18"/>
              </w:rPr>
              <w:t xml:space="preserve"> </w:t>
            </w:r>
          </w:p>
        </w:tc>
        <w:tc>
          <w:tcPr>
            <w:tcW w:w="1380" w:type="dxa"/>
            <w:tcBorders>
              <w:top w:val="nil"/>
              <w:left w:val="nil"/>
              <w:bottom w:val="nil"/>
              <w:right w:val="nil"/>
            </w:tcBorders>
            <w:noWrap/>
            <w:vAlign w:val="bottom"/>
            <w:hideMark/>
          </w:tcPr>
          <w:p w14:paraId="0978616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0.0087</w:t>
            </w:r>
          </w:p>
        </w:tc>
        <w:tc>
          <w:tcPr>
            <w:tcW w:w="1400" w:type="dxa"/>
            <w:tcBorders>
              <w:top w:val="nil"/>
              <w:left w:val="nil"/>
              <w:bottom w:val="nil"/>
              <w:right w:val="nil"/>
            </w:tcBorders>
            <w:noWrap/>
            <w:vAlign w:val="bottom"/>
            <w:hideMark/>
          </w:tcPr>
          <w:p w14:paraId="6A3C437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0.0019</w:t>
            </w:r>
          </w:p>
        </w:tc>
        <w:tc>
          <w:tcPr>
            <w:tcW w:w="1380" w:type="dxa"/>
            <w:tcBorders>
              <w:top w:val="nil"/>
              <w:left w:val="nil"/>
              <w:bottom w:val="nil"/>
              <w:right w:val="nil"/>
            </w:tcBorders>
            <w:noWrap/>
            <w:vAlign w:val="bottom"/>
            <w:hideMark/>
          </w:tcPr>
          <w:p w14:paraId="24F510C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0.0082</w:t>
            </w:r>
          </w:p>
        </w:tc>
        <w:tc>
          <w:tcPr>
            <w:tcW w:w="1400" w:type="dxa"/>
            <w:tcBorders>
              <w:top w:val="nil"/>
              <w:left w:val="nil"/>
              <w:bottom w:val="nil"/>
              <w:right w:val="nil"/>
            </w:tcBorders>
            <w:noWrap/>
            <w:vAlign w:val="bottom"/>
            <w:hideMark/>
          </w:tcPr>
          <w:p w14:paraId="6891BFB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0.0096</w:t>
            </w:r>
          </w:p>
        </w:tc>
        <w:tc>
          <w:tcPr>
            <w:tcW w:w="1420" w:type="dxa"/>
            <w:tcBorders>
              <w:top w:val="nil"/>
              <w:left w:val="nil"/>
              <w:bottom w:val="nil"/>
              <w:right w:val="nil"/>
            </w:tcBorders>
            <w:noWrap/>
            <w:vAlign w:val="bottom"/>
            <w:hideMark/>
          </w:tcPr>
          <w:p w14:paraId="3A74C15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0.0945***</w:t>
            </w:r>
          </w:p>
        </w:tc>
        <w:tc>
          <w:tcPr>
            <w:tcW w:w="1420" w:type="dxa"/>
            <w:tcBorders>
              <w:top w:val="nil"/>
              <w:left w:val="nil"/>
              <w:bottom w:val="nil"/>
              <w:right w:val="nil"/>
            </w:tcBorders>
            <w:noWrap/>
            <w:vAlign w:val="bottom"/>
            <w:hideMark/>
          </w:tcPr>
          <w:p w14:paraId="2C2B36F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0.1138***</w:t>
            </w:r>
          </w:p>
        </w:tc>
        <w:tc>
          <w:tcPr>
            <w:tcW w:w="1420" w:type="dxa"/>
            <w:tcBorders>
              <w:top w:val="nil"/>
              <w:left w:val="nil"/>
              <w:bottom w:val="nil"/>
              <w:right w:val="nil"/>
            </w:tcBorders>
            <w:noWrap/>
            <w:vAlign w:val="bottom"/>
            <w:hideMark/>
          </w:tcPr>
          <w:p w14:paraId="10E7CF2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0.1441***</w:t>
            </w:r>
          </w:p>
        </w:tc>
        <w:tc>
          <w:tcPr>
            <w:tcW w:w="1420" w:type="dxa"/>
            <w:tcBorders>
              <w:top w:val="nil"/>
              <w:left w:val="nil"/>
              <w:bottom w:val="nil"/>
              <w:right w:val="nil"/>
            </w:tcBorders>
            <w:noWrap/>
            <w:vAlign w:val="bottom"/>
            <w:hideMark/>
          </w:tcPr>
          <w:p w14:paraId="28032B4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0.1293***</w:t>
            </w:r>
          </w:p>
        </w:tc>
      </w:tr>
      <w:tr w:rsidR="00B5549F" w:rsidRPr="00B5549F" w14:paraId="25BC8DD0" w14:textId="77777777" w:rsidTr="00E02797">
        <w:trPr>
          <w:trHeight w:val="20"/>
          <w:jc w:val="center"/>
        </w:trPr>
        <w:tc>
          <w:tcPr>
            <w:tcW w:w="2551" w:type="dxa"/>
            <w:tcBorders>
              <w:top w:val="nil"/>
              <w:left w:val="nil"/>
              <w:bottom w:val="nil"/>
              <w:right w:val="nil"/>
            </w:tcBorders>
            <w:noWrap/>
            <w:vAlign w:val="bottom"/>
            <w:hideMark/>
          </w:tcPr>
          <w:p w14:paraId="57AAD2E3"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380" w:type="dxa"/>
            <w:tcBorders>
              <w:top w:val="nil"/>
              <w:left w:val="nil"/>
              <w:bottom w:val="nil"/>
              <w:right w:val="nil"/>
            </w:tcBorders>
            <w:noWrap/>
            <w:vAlign w:val="bottom"/>
            <w:hideMark/>
          </w:tcPr>
          <w:p w14:paraId="4F6922D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(0.023)</w:t>
            </w:r>
          </w:p>
        </w:tc>
        <w:tc>
          <w:tcPr>
            <w:tcW w:w="1400" w:type="dxa"/>
            <w:tcBorders>
              <w:top w:val="nil"/>
              <w:left w:val="nil"/>
              <w:bottom w:val="nil"/>
              <w:right w:val="nil"/>
            </w:tcBorders>
            <w:noWrap/>
            <w:vAlign w:val="bottom"/>
            <w:hideMark/>
          </w:tcPr>
          <w:p w14:paraId="0F6A337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(0.042)</w:t>
            </w:r>
          </w:p>
        </w:tc>
        <w:tc>
          <w:tcPr>
            <w:tcW w:w="1380" w:type="dxa"/>
            <w:tcBorders>
              <w:top w:val="nil"/>
              <w:left w:val="nil"/>
              <w:bottom w:val="nil"/>
              <w:right w:val="nil"/>
            </w:tcBorders>
            <w:noWrap/>
            <w:vAlign w:val="bottom"/>
            <w:hideMark/>
          </w:tcPr>
          <w:p w14:paraId="7844961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(0.023)</w:t>
            </w:r>
          </w:p>
        </w:tc>
        <w:tc>
          <w:tcPr>
            <w:tcW w:w="1400" w:type="dxa"/>
            <w:tcBorders>
              <w:top w:val="nil"/>
              <w:left w:val="nil"/>
              <w:bottom w:val="nil"/>
              <w:right w:val="nil"/>
            </w:tcBorders>
            <w:noWrap/>
            <w:vAlign w:val="bottom"/>
            <w:hideMark/>
          </w:tcPr>
          <w:p w14:paraId="7A3F165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(0.043)</w:t>
            </w:r>
          </w:p>
        </w:tc>
        <w:tc>
          <w:tcPr>
            <w:tcW w:w="1420" w:type="dxa"/>
            <w:tcBorders>
              <w:top w:val="nil"/>
              <w:left w:val="nil"/>
              <w:bottom w:val="nil"/>
              <w:right w:val="nil"/>
            </w:tcBorders>
            <w:noWrap/>
            <w:vAlign w:val="bottom"/>
            <w:hideMark/>
          </w:tcPr>
          <w:p w14:paraId="61482E8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(0.033)</w:t>
            </w:r>
          </w:p>
        </w:tc>
        <w:tc>
          <w:tcPr>
            <w:tcW w:w="1420" w:type="dxa"/>
            <w:tcBorders>
              <w:top w:val="nil"/>
              <w:left w:val="nil"/>
              <w:bottom w:val="nil"/>
              <w:right w:val="nil"/>
            </w:tcBorders>
            <w:noWrap/>
            <w:vAlign w:val="bottom"/>
            <w:hideMark/>
          </w:tcPr>
          <w:p w14:paraId="292D58F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(0.035)</w:t>
            </w:r>
          </w:p>
        </w:tc>
        <w:tc>
          <w:tcPr>
            <w:tcW w:w="1420" w:type="dxa"/>
            <w:tcBorders>
              <w:top w:val="nil"/>
              <w:left w:val="nil"/>
              <w:bottom w:val="nil"/>
              <w:right w:val="nil"/>
            </w:tcBorders>
            <w:noWrap/>
            <w:vAlign w:val="bottom"/>
            <w:hideMark/>
          </w:tcPr>
          <w:p w14:paraId="4BBBD65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(0.035)</w:t>
            </w:r>
          </w:p>
        </w:tc>
        <w:tc>
          <w:tcPr>
            <w:tcW w:w="1420" w:type="dxa"/>
            <w:tcBorders>
              <w:top w:val="nil"/>
              <w:left w:val="nil"/>
              <w:bottom w:val="nil"/>
              <w:right w:val="nil"/>
            </w:tcBorders>
            <w:noWrap/>
            <w:vAlign w:val="bottom"/>
            <w:hideMark/>
          </w:tcPr>
          <w:p w14:paraId="001AF88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(0.037)</w:t>
            </w:r>
          </w:p>
        </w:tc>
      </w:tr>
      <w:tr w:rsidR="00B5549F" w:rsidRPr="00B5549F" w14:paraId="4BDE72AD" w14:textId="77777777" w:rsidTr="00E02797">
        <w:trPr>
          <w:trHeight w:val="20"/>
          <w:jc w:val="center"/>
        </w:trPr>
        <w:tc>
          <w:tcPr>
            <w:tcW w:w="2551" w:type="dxa"/>
            <w:tcBorders>
              <w:top w:val="nil"/>
              <w:left w:val="nil"/>
              <w:bottom w:val="nil"/>
              <w:right w:val="nil"/>
            </w:tcBorders>
            <w:noWrap/>
            <w:vAlign w:val="bottom"/>
            <w:hideMark/>
          </w:tcPr>
          <w:p w14:paraId="4D991E55"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i/>
                <w:iCs/>
                <w:color w:val="000000" w:themeColor="text1"/>
                <w:sz w:val="18"/>
                <w:szCs w:val="18"/>
              </w:rPr>
              <w:t>ConcentrationProp</w:t>
            </w:r>
            <w:r w:rsidRPr="00B5549F">
              <w:rPr>
                <w:rFonts w:ascii="Times New Roman" w:hAnsi="Times New Roman" w:cs="Times New Roman"/>
                <w:i/>
                <w:iCs/>
                <w:color w:val="000000" w:themeColor="text1"/>
                <w:sz w:val="18"/>
                <w:szCs w:val="18"/>
                <w:vertAlign w:val="subscript"/>
              </w:rPr>
              <w:t>pt-1</w:t>
            </w:r>
            <w:r w:rsidRPr="00B5549F">
              <w:rPr>
                <w:rFonts w:ascii="Times New Roman" w:hAnsi="Times New Roman" w:cs="Times New Roman"/>
                <w:i/>
                <w:iCs/>
                <w:color w:val="000000" w:themeColor="text1"/>
                <w:sz w:val="18"/>
                <w:szCs w:val="18"/>
              </w:rPr>
              <w:t>^2</w:t>
            </w:r>
          </w:p>
        </w:tc>
        <w:tc>
          <w:tcPr>
            <w:tcW w:w="1380" w:type="dxa"/>
            <w:tcBorders>
              <w:top w:val="nil"/>
              <w:left w:val="nil"/>
              <w:bottom w:val="nil"/>
              <w:right w:val="nil"/>
            </w:tcBorders>
            <w:noWrap/>
            <w:vAlign w:val="bottom"/>
            <w:hideMark/>
          </w:tcPr>
          <w:p w14:paraId="062D8CD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0.0015</w:t>
            </w:r>
          </w:p>
        </w:tc>
        <w:tc>
          <w:tcPr>
            <w:tcW w:w="1400" w:type="dxa"/>
            <w:tcBorders>
              <w:top w:val="nil"/>
              <w:left w:val="nil"/>
              <w:bottom w:val="nil"/>
              <w:right w:val="nil"/>
            </w:tcBorders>
            <w:noWrap/>
            <w:vAlign w:val="bottom"/>
            <w:hideMark/>
          </w:tcPr>
          <w:p w14:paraId="1C8074B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0.0028</w:t>
            </w:r>
          </w:p>
        </w:tc>
        <w:tc>
          <w:tcPr>
            <w:tcW w:w="1380" w:type="dxa"/>
            <w:tcBorders>
              <w:top w:val="nil"/>
              <w:left w:val="nil"/>
              <w:bottom w:val="nil"/>
              <w:right w:val="nil"/>
            </w:tcBorders>
            <w:noWrap/>
            <w:vAlign w:val="bottom"/>
            <w:hideMark/>
          </w:tcPr>
          <w:p w14:paraId="070A3FD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0.0015</w:t>
            </w:r>
          </w:p>
        </w:tc>
        <w:tc>
          <w:tcPr>
            <w:tcW w:w="1400" w:type="dxa"/>
            <w:tcBorders>
              <w:top w:val="nil"/>
              <w:left w:val="nil"/>
              <w:bottom w:val="nil"/>
              <w:right w:val="nil"/>
            </w:tcBorders>
            <w:noWrap/>
            <w:vAlign w:val="bottom"/>
            <w:hideMark/>
          </w:tcPr>
          <w:p w14:paraId="2F3FC6C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0.0024</w:t>
            </w:r>
          </w:p>
        </w:tc>
        <w:tc>
          <w:tcPr>
            <w:tcW w:w="1420" w:type="dxa"/>
            <w:tcBorders>
              <w:top w:val="nil"/>
              <w:left w:val="nil"/>
              <w:bottom w:val="nil"/>
              <w:right w:val="nil"/>
            </w:tcBorders>
            <w:noWrap/>
            <w:vAlign w:val="bottom"/>
            <w:hideMark/>
          </w:tcPr>
          <w:p w14:paraId="3CBA094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-0.0049**</w:t>
            </w:r>
          </w:p>
        </w:tc>
        <w:tc>
          <w:tcPr>
            <w:tcW w:w="1420" w:type="dxa"/>
            <w:tcBorders>
              <w:top w:val="nil"/>
              <w:left w:val="nil"/>
              <w:bottom w:val="nil"/>
              <w:right w:val="nil"/>
            </w:tcBorders>
            <w:noWrap/>
            <w:vAlign w:val="bottom"/>
            <w:hideMark/>
          </w:tcPr>
          <w:p w14:paraId="4801BC3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-0.0061***</w:t>
            </w:r>
          </w:p>
        </w:tc>
        <w:tc>
          <w:tcPr>
            <w:tcW w:w="1420" w:type="dxa"/>
            <w:tcBorders>
              <w:top w:val="nil"/>
              <w:left w:val="nil"/>
              <w:bottom w:val="nil"/>
              <w:right w:val="nil"/>
            </w:tcBorders>
            <w:noWrap/>
            <w:vAlign w:val="bottom"/>
            <w:hideMark/>
          </w:tcPr>
          <w:p w14:paraId="059F176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-0.0077***</w:t>
            </w:r>
          </w:p>
        </w:tc>
        <w:tc>
          <w:tcPr>
            <w:tcW w:w="1420" w:type="dxa"/>
            <w:tcBorders>
              <w:top w:val="nil"/>
              <w:left w:val="nil"/>
              <w:bottom w:val="nil"/>
              <w:right w:val="nil"/>
            </w:tcBorders>
            <w:noWrap/>
            <w:vAlign w:val="bottom"/>
            <w:hideMark/>
          </w:tcPr>
          <w:p w14:paraId="43526AF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-0.0072***</w:t>
            </w:r>
          </w:p>
        </w:tc>
      </w:tr>
      <w:tr w:rsidR="00B5549F" w:rsidRPr="00B5549F" w14:paraId="4932422C" w14:textId="77777777" w:rsidTr="00E02797">
        <w:trPr>
          <w:trHeight w:val="20"/>
          <w:jc w:val="center"/>
        </w:trPr>
        <w:tc>
          <w:tcPr>
            <w:tcW w:w="2551" w:type="dxa"/>
            <w:tcBorders>
              <w:top w:val="nil"/>
              <w:left w:val="nil"/>
              <w:bottom w:val="nil"/>
              <w:right w:val="nil"/>
            </w:tcBorders>
            <w:noWrap/>
            <w:vAlign w:val="bottom"/>
            <w:hideMark/>
          </w:tcPr>
          <w:p w14:paraId="2FE234BC"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380" w:type="dxa"/>
            <w:tcBorders>
              <w:top w:val="nil"/>
              <w:left w:val="nil"/>
              <w:bottom w:val="nil"/>
              <w:right w:val="nil"/>
            </w:tcBorders>
            <w:noWrap/>
            <w:vAlign w:val="bottom"/>
            <w:hideMark/>
          </w:tcPr>
          <w:p w14:paraId="140DDAA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(0.001)</w:t>
            </w:r>
          </w:p>
        </w:tc>
        <w:tc>
          <w:tcPr>
            <w:tcW w:w="1400" w:type="dxa"/>
            <w:tcBorders>
              <w:top w:val="nil"/>
              <w:left w:val="nil"/>
              <w:bottom w:val="nil"/>
              <w:right w:val="nil"/>
            </w:tcBorders>
            <w:noWrap/>
            <w:vAlign w:val="bottom"/>
            <w:hideMark/>
          </w:tcPr>
          <w:p w14:paraId="72890D2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(0.003)</w:t>
            </w:r>
          </w:p>
        </w:tc>
        <w:tc>
          <w:tcPr>
            <w:tcW w:w="1380" w:type="dxa"/>
            <w:tcBorders>
              <w:top w:val="nil"/>
              <w:left w:val="nil"/>
              <w:bottom w:val="nil"/>
              <w:right w:val="nil"/>
            </w:tcBorders>
            <w:noWrap/>
            <w:vAlign w:val="bottom"/>
            <w:hideMark/>
          </w:tcPr>
          <w:p w14:paraId="0ECA99F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(0.001)</w:t>
            </w:r>
          </w:p>
        </w:tc>
        <w:tc>
          <w:tcPr>
            <w:tcW w:w="1400" w:type="dxa"/>
            <w:tcBorders>
              <w:top w:val="nil"/>
              <w:left w:val="nil"/>
              <w:bottom w:val="nil"/>
              <w:right w:val="nil"/>
            </w:tcBorders>
            <w:noWrap/>
            <w:vAlign w:val="bottom"/>
            <w:hideMark/>
          </w:tcPr>
          <w:p w14:paraId="0D824C7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(0.003)</w:t>
            </w:r>
          </w:p>
        </w:tc>
        <w:tc>
          <w:tcPr>
            <w:tcW w:w="1420" w:type="dxa"/>
            <w:tcBorders>
              <w:top w:val="nil"/>
              <w:left w:val="nil"/>
              <w:bottom w:val="nil"/>
              <w:right w:val="nil"/>
            </w:tcBorders>
            <w:noWrap/>
            <w:vAlign w:val="bottom"/>
            <w:hideMark/>
          </w:tcPr>
          <w:p w14:paraId="5ABC24A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(0.002)</w:t>
            </w:r>
          </w:p>
        </w:tc>
        <w:tc>
          <w:tcPr>
            <w:tcW w:w="1420" w:type="dxa"/>
            <w:tcBorders>
              <w:top w:val="nil"/>
              <w:left w:val="nil"/>
              <w:bottom w:val="nil"/>
              <w:right w:val="nil"/>
            </w:tcBorders>
            <w:noWrap/>
            <w:vAlign w:val="bottom"/>
            <w:hideMark/>
          </w:tcPr>
          <w:p w14:paraId="7ED6258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(0.002)</w:t>
            </w:r>
          </w:p>
        </w:tc>
        <w:tc>
          <w:tcPr>
            <w:tcW w:w="1420" w:type="dxa"/>
            <w:tcBorders>
              <w:top w:val="nil"/>
              <w:left w:val="nil"/>
              <w:bottom w:val="nil"/>
              <w:right w:val="nil"/>
            </w:tcBorders>
            <w:noWrap/>
            <w:vAlign w:val="bottom"/>
            <w:hideMark/>
          </w:tcPr>
          <w:p w14:paraId="786B961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(0.002)</w:t>
            </w:r>
          </w:p>
        </w:tc>
        <w:tc>
          <w:tcPr>
            <w:tcW w:w="1420" w:type="dxa"/>
            <w:tcBorders>
              <w:top w:val="nil"/>
              <w:left w:val="nil"/>
              <w:bottom w:val="nil"/>
              <w:right w:val="nil"/>
            </w:tcBorders>
            <w:noWrap/>
            <w:vAlign w:val="bottom"/>
            <w:hideMark/>
          </w:tcPr>
          <w:p w14:paraId="526A0AE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(0.002)</w:t>
            </w:r>
          </w:p>
        </w:tc>
      </w:tr>
      <w:tr w:rsidR="00B5549F" w:rsidRPr="00B5549F" w14:paraId="3BE56DB4" w14:textId="77777777" w:rsidTr="00E02797">
        <w:trPr>
          <w:trHeight w:val="20"/>
          <w:jc w:val="center"/>
        </w:trPr>
        <w:tc>
          <w:tcPr>
            <w:tcW w:w="2551" w:type="dxa"/>
            <w:tcBorders>
              <w:top w:val="nil"/>
              <w:left w:val="nil"/>
              <w:bottom w:val="nil"/>
              <w:right w:val="nil"/>
            </w:tcBorders>
            <w:noWrap/>
            <w:vAlign w:val="bottom"/>
            <w:hideMark/>
          </w:tcPr>
          <w:p w14:paraId="28217989"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 xml:space="preserve">ln </w:t>
            </w:r>
            <w:r w:rsidRPr="00B5549F">
              <w:rPr>
                <w:rFonts w:ascii="Times New Roman" w:hAnsi="Times New Roman" w:cs="Times New Roman"/>
                <w:i/>
                <w:iCs/>
                <w:color w:val="000000" w:themeColor="text1"/>
                <w:sz w:val="18"/>
                <w:szCs w:val="18"/>
              </w:rPr>
              <w:t>MarketClimate</w:t>
            </w:r>
            <w:r w:rsidRPr="00B5549F">
              <w:rPr>
                <w:rFonts w:ascii="Times New Roman" w:hAnsi="Times New Roman" w:cs="Times New Roman"/>
                <w:i/>
                <w:iCs/>
                <w:color w:val="000000" w:themeColor="text1"/>
                <w:sz w:val="18"/>
                <w:szCs w:val="18"/>
                <w:vertAlign w:val="superscript"/>
              </w:rPr>
              <w:t>3</w:t>
            </w:r>
            <w:r w:rsidRPr="00B5549F">
              <w:rPr>
                <w:rFonts w:ascii="Times New Roman" w:hAnsi="Times New Roman" w:cs="Times New Roman"/>
                <w:i/>
                <w:iCs/>
                <w:color w:val="000000" w:themeColor="text1"/>
                <w:sz w:val="18"/>
                <w:szCs w:val="18"/>
                <w:vertAlign w:val="subscript"/>
              </w:rPr>
              <w:t>pt</w:t>
            </w:r>
          </w:p>
        </w:tc>
        <w:tc>
          <w:tcPr>
            <w:tcW w:w="1380" w:type="dxa"/>
            <w:tcBorders>
              <w:top w:val="nil"/>
              <w:left w:val="nil"/>
              <w:bottom w:val="nil"/>
              <w:right w:val="nil"/>
            </w:tcBorders>
            <w:noWrap/>
            <w:vAlign w:val="bottom"/>
            <w:hideMark/>
          </w:tcPr>
          <w:p w14:paraId="274057A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0.3418***</w:t>
            </w:r>
          </w:p>
        </w:tc>
        <w:tc>
          <w:tcPr>
            <w:tcW w:w="1400" w:type="dxa"/>
            <w:tcBorders>
              <w:top w:val="nil"/>
              <w:left w:val="nil"/>
              <w:bottom w:val="nil"/>
              <w:right w:val="nil"/>
            </w:tcBorders>
            <w:noWrap/>
            <w:vAlign w:val="bottom"/>
            <w:hideMark/>
          </w:tcPr>
          <w:p w14:paraId="6A6FAE8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0.4980***</w:t>
            </w:r>
          </w:p>
        </w:tc>
        <w:tc>
          <w:tcPr>
            <w:tcW w:w="1380" w:type="dxa"/>
            <w:tcBorders>
              <w:top w:val="nil"/>
              <w:left w:val="nil"/>
              <w:bottom w:val="nil"/>
              <w:right w:val="nil"/>
            </w:tcBorders>
            <w:noWrap/>
            <w:vAlign w:val="bottom"/>
            <w:hideMark/>
          </w:tcPr>
          <w:p w14:paraId="598783D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0.3452***</w:t>
            </w:r>
          </w:p>
        </w:tc>
        <w:tc>
          <w:tcPr>
            <w:tcW w:w="1400" w:type="dxa"/>
            <w:tcBorders>
              <w:top w:val="nil"/>
              <w:left w:val="nil"/>
              <w:bottom w:val="nil"/>
              <w:right w:val="nil"/>
            </w:tcBorders>
            <w:noWrap/>
            <w:vAlign w:val="bottom"/>
            <w:hideMark/>
          </w:tcPr>
          <w:p w14:paraId="3ED92F7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0.5016***</w:t>
            </w:r>
          </w:p>
        </w:tc>
        <w:tc>
          <w:tcPr>
            <w:tcW w:w="1420" w:type="dxa"/>
            <w:tcBorders>
              <w:top w:val="nil"/>
              <w:left w:val="nil"/>
              <w:bottom w:val="nil"/>
              <w:right w:val="nil"/>
            </w:tcBorders>
            <w:noWrap/>
            <w:vAlign w:val="bottom"/>
            <w:hideMark/>
          </w:tcPr>
          <w:p w14:paraId="2CFF8F3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0.4257***</w:t>
            </w:r>
          </w:p>
        </w:tc>
        <w:tc>
          <w:tcPr>
            <w:tcW w:w="1420" w:type="dxa"/>
            <w:tcBorders>
              <w:top w:val="nil"/>
              <w:left w:val="nil"/>
              <w:bottom w:val="nil"/>
              <w:right w:val="nil"/>
            </w:tcBorders>
            <w:noWrap/>
            <w:vAlign w:val="bottom"/>
            <w:hideMark/>
          </w:tcPr>
          <w:p w14:paraId="63265C1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0.4044***</w:t>
            </w:r>
          </w:p>
        </w:tc>
        <w:tc>
          <w:tcPr>
            <w:tcW w:w="1420" w:type="dxa"/>
            <w:tcBorders>
              <w:top w:val="nil"/>
              <w:left w:val="nil"/>
              <w:bottom w:val="nil"/>
              <w:right w:val="nil"/>
            </w:tcBorders>
            <w:noWrap/>
            <w:vAlign w:val="bottom"/>
            <w:hideMark/>
          </w:tcPr>
          <w:p w14:paraId="51A8BFA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0.3583***</w:t>
            </w:r>
          </w:p>
        </w:tc>
        <w:tc>
          <w:tcPr>
            <w:tcW w:w="1420" w:type="dxa"/>
            <w:tcBorders>
              <w:top w:val="nil"/>
              <w:left w:val="nil"/>
              <w:bottom w:val="nil"/>
              <w:right w:val="nil"/>
            </w:tcBorders>
            <w:noWrap/>
            <w:vAlign w:val="bottom"/>
            <w:hideMark/>
          </w:tcPr>
          <w:p w14:paraId="51CCE12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0.2693***</w:t>
            </w:r>
          </w:p>
        </w:tc>
      </w:tr>
      <w:tr w:rsidR="00B5549F" w:rsidRPr="00B5549F" w14:paraId="786FEEC9" w14:textId="77777777" w:rsidTr="00E02797">
        <w:trPr>
          <w:trHeight w:val="20"/>
          <w:jc w:val="center"/>
        </w:trPr>
        <w:tc>
          <w:tcPr>
            <w:tcW w:w="2551" w:type="dxa"/>
            <w:tcBorders>
              <w:top w:val="nil"/>
              <w:left w:val="nil"/>
              <w:bottom w:val="nil"/>
              <w:right w:val="nil"/>
            </w:tcBorders>
            <w:noWrap/>
            <w:vAlign w:val="bottom"/>
            <w:hideMark/>
          </w:tcPr>
          <w:p w14:paraId="6BAE6D80"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380" w:type="dxa"/>
            <w:tcBorders>
              <w:top w:val="nil"/>
              <w:left w:val="nil"/>
              <w:bottom w:val="nil"/>
              <w:right w:val="nil"/>
            </w:tcBorders>
            <w:noWrap/>
            <w:vAlign w:val="bottom"/>
            <w:hideMark/>
          </w:tcPr>
          <w:p w14:paraId="1DABC2E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(0.031)</w:t>
            </w:r>
          </w:p>
        </w:tc>
        <w:tc>
          <w:tcPr>
            <w:tcW w:w="1400" w:type="dxa"/>
            <w:tcBorders>
              <w:top w:val="nil"/>
              <w:left w:val="nil"/>
              <w:bottom w:val="nil"/>
              <w:right w:val="nil"/>
            </w:tcBorders>
            <w:noWrap/>
            <w:vAlign w:val="bottom"/>
            <w:hideMark/>
          </w:tcPr>
          <w:p w14:paraId="61611E6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(0.047)</w:t>
            </w:r>
          </w:p>
        </w:tc>
        <w:tc>
          <w:tcPr>
            <w:tcW w:w="1380" w:type="dxa"/>
            <w:tcBorders>
              <w:top w:val="nil"/>
              <w:left w:val="nil"/>
              <w:bottom w:val="nil"/>
              <w:right w:val="nil"/>
            </w:tcBorders>
            <w:noWrap/>
            <w:vAlign w:val="bottom"/>
            <w:hideMark/>
          </w:tcPr>
          <w:p w14:paraId="65D8A41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(0.032)</w:t>
            </w:r>
          </w:p>
        </w:tc>
        <w:tc>
          <w:tcPr>
            <w:tcW w:w="1400" w:type="dxa"/>
            <w:tcBorders>
              <w:top w:val="nil"/>
              <w:left w:val="nil"/>
              <w:bottom w:val="nil"/>
              <w:right w:val="nil"/>
            </w:tcBorders>
            <w:noWrap/>
            <w:vAlign w:val="bottom"/>
            <w:hideMark/>
          </w:tcPr>
          <w:p w14:paraId="431B1F0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(0.047)</w:t>
            </w:r>
          </w:p>
        </w:tc>
        <w:tc>
          <w:tcPr>
            <w:tcW w:w="1420" w:type="dxa"/>
            <w:tcBorders>
              <w:top w:val="nil"/>
              <w:left w:val="nil"/>
              <w:bottom w:val="nil"/>
              <w:right w:val="nil"/>
            </w:tcBorders>
            <w:noWrap/>
            <w:vAlign w:val="bottom"/>
            <w:hideMark/>
          </w:tcPr>
          <w:p w14:paraId="02823D3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(0.031)</w:t>
            </w:r>
          </w:p>
        </w:tc>
        <w:tc>
          <w:tcPr>
            <w:tcW w:w="1420" w:type="dxa"/>
            <w:tcBorders>
              <w:top w:val="nil"/>
              <w:left w:val="nil"/>
              <w:bottom w:val="nil"/>
              <w:right w:val="nil"/>
            </w:tcBorders>
            <w:noWrap/>
            <w:vAlign w:val="bottom"/>
            <w:hideMark/>
          </w:tcPr>
          <w:p w14:paraId="5974240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(0.060)</w:t>
            </w:r>
          </w:p>
        </w:tc>
        <w:tc>
          <w:tcPr>
            <w:tcW w:w="1420" w:type="dxa"/>
            <w:tcBorders>
              <w:top w:val="nil"/>
              <w:left w:val="nil"/>
              <w:bottom w:val="nil"/>
              <w:right w:val="nil"/>
            </w:tcBorders>
            <w:noWrap/>
            <w:vAlign w:val="bottom"/>
            <w:hideMark/>
          </w:tcPr>
          <w:p w14:paraId="579601D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(0.032)</w:t>
            </w:r>
          </w:p>
        </w:tc>
        <w:tc>
          <w:tcPr>
            <w:tcW w:w="1420" w:type="dxa"/>
            <w:tcBorders>
              <w:top w:val="nil"/>
              <w:left w:val="nil"/>
              <w:bottom w:val="nil"/>
              <w:right w:val="nil"/>
            </w:tcBorders>
            <w:noWrap/>
            <w:vAlign w:val="bottom"/>
            <w:hideMark/>
          </w:tcPr>
          <w:p w14:paraId="30D1B74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(0.043)</w:t>
            </w:r>
          </w:p>
        </w:tc>
      </w:tr>
      <w:tr w:rsidR="00B5549F" w:rsidRPr="00B5549F" w14:paraId="58BF3463" w14:textId="77777777" w:rsidTr="00E02797">
        <w:trPr>
          <w:trHeight w:val="20"/>
          <w:jc w:val="center"/>
        </w:trPr>
        <w:tc>
          <w:tcPr>
            <w:tcW w:w="2551" w:type="dxa"/>
            <w:tcBorders>
              <w:top w:val="nil"/>
              <w:left w:val="nil"/>
              <w:bottom w:val="nil"/>
              <w:right w:val="nil"/>
            </w:tcBorders>
            <w:noWrap/>
            <w:vAlign w:val="bottom"/>
            <w:hideMark/>
          </w:tcPr>
          <w:p w14:paraId="79287B5E"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 xml:space="preserve">ln </w:t>
            </w:r>
            <w:proofErr w:type="spellStart"/>
            <w:r w:rsidRPr="00B5549F">
              <w:rPr>
                <w:rFonts w:ascii="Times New Roman" w:hAnsi="Times New Roman" w:cs="Times New Roman"/>
                <w:i/>
                <w:iCs/>
                <w:color w:val="000000" w:themeColor="text1"/>
                <w:sz w:val="18"/>
                <w:szCs w:val="18"/>
              </w:rPr>
              <w:t>UnoccupiedDwellings</w:t>
            </w:r>
            <w:r w:rsidRPr="00B5549F">
              <w:rPr>
                <w:rFonts w:ascii="Times New Roman" w:hAnsi="Times New Roman" w:cs="Times New Roman"/>
                <w:i/>
                <w:iCs/>
                <w:color w:val="000000" w:themeColor="text1"/>
                <w:sz w:val="18"/>
                <w:szCs w:val="18"/>
                <w:vertAlign w:val="subscript"/>
              </w:rPr>
              <w:t>p</w:t>
            </w:r>
            <w:proofErr w:type="spellEnd"/>
          </w:p>
        </w:tc>
        <w:tc>
          <w:tcPr>
            <w:tcW w:w="1380" w:type="dxa"/>
            <w:tcBorders>
              <w:top w:val="nil"/>
              <w:left w:val="nil"/>
              <w:bottom w:val="nil"/>
              <w:right w:val="nil"/>
            </w:tcBorders>
            <w:noWrap/>
            <w:vAlign w:val="bottom"/>
            <w:hideMark/>
          </w:tcPr>
          <w:p w14:paraId="2111CA2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0.1174***</w:t>
            </w:r>
          </w:p>
        </w:tc>
        <w:tc>
          <w:tcPr>
            <w:tcW w:w="1400" w:type="dxa"/>
            <w:tcBorders>
              <w:top w:val="nil"/>
              <w:left w:val="nil"/>
              <w:bottom w:val="nil"/>
              <w:right w:val="nil"/>
            </w:tcBorders>
            <w:noWrap/>
            <w:vAlign w:val="bottom"/>
            <w:hideMark/>
          </w:tcPr>
          <w:p w14:paraId="4284D72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0.1631***</w:t>
            </w:r>
          </w:p>
        </w:tc>
        <w:tc>
          <w:tcPr>
            <w:tcW w:w="1380" w:type="dxa"/>
            <w:tcBorders>
              <w:top w:val="nil"/>
              <w:left w:val="nil"/>
              <w:bottom w:val="nil"/>
              <w:right w:val="nil"/>
            </w:tcBorders>
            <w:noWrap/>
            <w:vAlign w:val="bottom"/>
            <w:hideMark/>
          </w:tcPr>
          <w:p w14:paraId="7D3F4B6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0.1177***</w:t>
            </w:r>
          </w:p>
        </w:tc>
        <w:tc>
          <w:tcPr>
            <w:tcW w:w="1400" w:type="dxa"/>
            <w:tcBorders>
              <w:top w:val="nil"/>
              <w:left w:val="nil"/>
              <w:bottom w:val="nil"/>
              <w:right w:val="nil"/>
            </w:tcBorders>
            <w:noWrap/>
            <w:vAlign w:val="bottom"/>
            <w:hideMark/>
          </w:tcPr>
          <w:p w14:paraId="003CDD3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0.1670***</w:t>
            </w:r>
          </w:p>
        </w:tc>
        <w:tc>
          <w:tcPr>
            <w:tcW w:w="1420" w:type="dxa"/>
            <w:tcBorders>
              <w:top w:val="nil"/>
              <w:left w:val="nil"/>
              <w:bottom w:val="nil"/>
              <w:right w:val="nil"/>
            </w:tcBorders>
            <w:noWrap/>
            <w:vAlign w:val="bottom"/>
            <w:hideMark/>
          </w:tcPr>
          <w:p w14:paraId="39FFCB1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0.0105</w:t>
            </w:r>
          </w:p>
        </w:tc>
        <w:tc>
          <w:tcPr>
            <w:tcW w:w="1420" w:type="dxa"/>
            <w:tcBorders>
              <w:top w:val="nil"/>
              <w:left w:val="nil"/>
              <w:bottom w:val="nil"/>
              <w:right w:val="nil"/>
            </w:tcBorders>
            <w:noWrap/>
            <w:vAlign w:val="bottom"/>
            <w:hideMark/>
          </w:tcPr>
          <w:p w14:paraId="251E329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0.0192</w:t>
            </w:r>
          </w:p>
        </w:tc>
        <w:tc>
          <w:tcPr>
            <w:tcW w:w="1420" w:type="dxa"/>
            <w:tcBorders>
              <w:top w:val="nil"/>
              <w:left w:val="nil"/>
              <w:bottom w:val="nil"/>
              <w:right w:val="nil"/>
            </w:tcBorders>
            <w:noWrap/>
            <w:vAlign w:val="bottom"/>
            <w:hideMark/>
          </w:tcPr>
          <w:p w14:paraId="1287331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0.0069</w:t>
            </w:r>
          </w:p>
        </w:tc>
        <w:tc>
          <w:tcPr>
            <w:tcW w:w="1420" w:type="dxa"/>
            <w:tcBorders>
              <w:top w:val="nil"/>
              <w:left w:val="nil"/>
              <w:bottom w:val="nil"/>
              <w:right w:val="nil"/>
            </w:tcBorders>
            <w:noWrap/>
            <w:vAlign w:val="bottom"/>
            <w:hideMark/>
          </w:tcPr>
          <w:p w14:paraId="67C0566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-0.0003</w:t>
            </w:r>
          </w:p>
        </w:tc>
      </w:tr>
      <w:tr w:rsidR="00B5549F" w:rsidRPr="00B5549F" w14:paraId="31EEE21E" w14:textId="77777777" w:rsidTr="00E02797">
        <w:trPr>
          <w:trHeight w:val="20"/>
          <w:jc w:val="center"/>
        </w:trPr>
        <w:tc>
          <w:tcPr>
            <w:tcW w:w="2551" w:type="dxa"/>
            <w:tcBorders>
              <w:top w:val="nil"/>
              <w:left w:val="nil"/>
              <w:bottom w:val="nil"/>
              <w:right w:val="nil"/>
            </w:tcBorders>
            <w:noWrap/>
            <w:vAlign w:val="bottom"/>
            <w:hideMark/>
          </w:tcPr>
          <w:p w14:paraId="3A498FAF"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380" w:type="dxa"/>
            <w:tcBorders>
              <w:top w:val="nil"/>
              <w:left w:val="nil"/>
              <w:bottom w:val="nil"/>
              <w:right w:val="nil"/>
            </w:tcBorders>
            <w:noWrap/>
            <w:vAlign w:val="bottom"/>
            <w:hideMark/>
          </w:tcPr>
          <w:p w14:paraId="3319FE9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(0.024)</w:t>
            </w:r>
          </w:p>
        </w:tc>
        <w:tc>
          <w:tcPr>
            <w:tcW w:w="1400" w:type="dxa"/>
            <w:tcBorders>
              <w:top w:val="nil"/>
              <w:left w:val="nil"/>
              <w:bottom w:val="nil"/>
              <w:right w:val="nil"/>
            </w:tcBorders>
            <w:noWrap/>
            <w:vAlign w:val="bottom"/>
            <w:hideMark/>
          </w:tcPr>
          <w:p w14:paraId="0749EFA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(0.044)</w:t>
            </w:r>
          </w:p>
        </w:tc>
        <w:tc>
          <w:tcPr>
            <w:tcW w:w="1380" w:type="dxa"/>
            <w:tcBorders>
              <w:top w:val="nil"/>
              <w:left w:val="nil"/>
              <w:bottom w:val="nil"/>
              <w:right w:val="nil"/>
            </w:tcBorders>
            <w:noWrap/>
            <w:vAlign w:val="bottom"/>
            <w:hideMark/>
          </w:tcPr>
          <w:p w14:paraId="3A7AD37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(0.024)</w:t>
            </w:r>
          </w:p>
        </w:tc>
        <w:tc>
          <w:tcPr>
            <w:tcW w:w="1400" w:type="dxa"/>
            <w:tcBorders>
              <w:top w:val="nil"/>
              <w:left w:val="nil"/>
              <w:bottom w:val="nil"/>
              <w:right w:val="nil"/>
            </w:tcBorders>
            <w:noWrap/>
            <w:vAlign w:val="bottom"/>
            <w:hideMark/>
          </w:tcPr>
          <w:p w14:paraId="150F969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(0.046)</w:t>
            </w:r>
          </w:p>
        </w:tc>
        <w:tc>
          <w:tcPr>
            <w:tcW w:w="1420" w:type="dxa"/>
            <w:tcBorders>
              <w:top w:val="nil"/>
              <w:left w:val="nil"/>
              <w:bottom w:val="nil"/>
              <w:right w:val="nil"/>
            </w:tcBorders>
            <w:noWrap/>
            <w:vAlign w:val="bottom"/>
            <w:hideMark/>
          </w:tcPr>
          <w:p w14:paraId="1210B2D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(0.036)</w:t>
            </w:r>
          </w:p>
        </w:tc>
        <w:tc>
          <w:tcPr>
            <w:tcW w:w="1420" w:type="dxa"/>
            <w:tcBorders>
              <w:top w:val="nil"/>
              <w:left w:val="nil"/>
              <w:bottom w:val="nil"/>
              <w:right w:val="nil"/>
            </w:tcBorders>
            <w:noWrap/>
            <w:vAlign w:val="bottom"/>
            <w:hideMark/>
          </w:tcPr>
          <w:p w14:paraId="25AA8ED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(0.042)</w:t>
            </w:r>
          </w:p>
        </w:tc>
        <w:tc>
          <w:tcPr>
            <w:tcW w:w="1420" w:type="dxa"/>
            <w:tcBorders>
              <w:top w:val="nil"/>
              <w:left w:val="nil"/>
              <w:bottom w:val="nil"/>
              <w:right w:val="nil"/>
            </w:tcBorders>
            <w:noWrap/>
            <w:vAlign w:val="bottom"/>
            <w:hideMark/>
          </w:tcPr>
          <w:p w14:paraId="1B37B88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(0.043)</w:t>
            </w:r>
          </w:p>
        </w:tc>
        <w:tc>
          <w:tcPr>
            <w:tcW w:w="1420" w:type="dxa"/>
            <w:tcBorders>
              <w:top w:val="nil"/>
              <w:left w:val="nil"/>
              <w:bottom w:val="nil"/>
              <w:right w:val="nil"/>
            </w:tcBorders>
            <w:noWrap/>
            <w:vAlign w:val="bottom"/>
            <w:hideMark/>
          </w:tcPr>
          <w:p w14:paraId="43AF2A1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(0.040)</w:t>
            </w:r>
          </w:p>
        </w:tc>
      </w:tr>
      <w:tr w:rsidR="00B5549F" w:rsidRPr="00B5549F" w14:paraId="020C28F7" w14:textId="77777777" w:rsidTr="00E02797">
        <w:trPr>
          <w:trHeight w:val="20"/>
          <w:jc w:val="center"/>
        </w:trPr>
        <w:tc>
          <w:tcPr>
            <w:tcW w:w="2551" w:type="dxa"/>
            <w:tcBorders>
              <w:top w:val="nil"/>
              <w:left w:val="nil"/>
              <w:bottom w:val="nil"/>
              <w:right w:val="nil"/>
            </w:tcBorders>
            <w:noWrap/>
            <w:vAlign w:val="bottom"/>
            <w:hideMark/>
          </w:tcPr>
          <w:p w14:paraId="346554FE" w14:textId="77777777" w:rsidR="00985916" w:rsidRPr="00B5549F" w:rsidRDefault="00985916" w:rsidP="00985916">
            <w:pPr>
              <w:contextualSpacing/>
              <w:rPr>
                <w:rFonts w:ascii="Times New Roman" w:hAnsi="Times New Roman" w:cs="Times New Roman"/>
                <w:color w:val="000000" w:themeColor="text1"/>
                <w:sz w:val="18"/>
                <w:szCs w:val="18"/>
              </w:rPr>
            </w:pPr>
            <w:proofErr w:type="spellStart"/>
            <w:r w:rsidRPr="00B5549F">
              <w:rPr>
                <w:rFonts w:ascii="Times New Roman" w:hAnsi="Times New Roman" w:cs="Times New Roman"/>
                <w:i/>
                <w:iCs/>
                <w:color w:val="000000" w:themeColor="text1"/>
                <w:sz w:val="18"/>
                <w:szCs w:val="18"/>
              </w:rPr>
              <w:t>UnemplRate</w:t>
            </w:r>
            <w:r w:rsidRPr="00B5549F">
              <w:rPr>
                <w:rFonts w:ascii="Times New Roman" w:hAnsi="Times New Roman" w:cs="Times New Roman"/>
                <w:i/>
                <w:iCs/>
                <w:color w:val="000000" w:themeColor="text1"/>
                <w:sz w:val="18"/>
                <w:szCs w:val="18"/>
                <w:vertAlign w:val="subscript"/>
              </w:rPr>
              <w:t>pt</w:t>
            </w:r>
            <w:proofErr w:type="spellEnd"/>
          </w:p>
        </w:tc>
        <w:tc>
          <w:tcPr>
            <w:tcW w:w="1380" w:type="dxa"/>
            <w:tcBorders>
              <w:top w:val="nil"/>
              <w:left w:val="nil"/>
              <w:bottom w:val="nil"/>
              <w:right w:val="nil"/>
            </w:tcBorders>
            <w:noWrap/>
            <w:vAlign w:val="bottom"/>
            <w:hideMark/>
          </w:tcPr>
          <w:p w14:paraId="2E7A61A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1.1709***</w:t>
            </w:r>
          </w:p>
        </w:tc>
        <w:tc>
          <w:tcPr>
            <w:tcW w:w="1400" w:type="dxa"/>
            <w:tcBorders>
              <w:top w:val="nil"/>
              <w:left w:val="nil"/>
              <w:bottom w:val="nil"/>
              <w:right w:val="nil"/>
            </w:tcBorders>
            <w:noWrap/>
            <w:vAlign w:val="bottom"/>
            <w:hideMark/>
          </w:tcPr>
          <w:p w14:paraId="2801F5A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1.6911***</w:t>
            </w:r>
          </w:p>
        </w:tc>
        <w:tc>
          <w:tcPr>
            <w:tcW w:w="1380" w:type="dxa"/>
            <w:tcBorders>
              <w:top w:val="nil"/>
              <w:left w:val="nil"/>
              <w:bottom w:val="nil"/>
              <w:right w:val="nil"/>
            </w:tcBorders>
            <w:noWrap/>
            <w:vAlign w:val="bottom"/>
            <w:hideMark/>
          </w:tcPr>
          <w:p w14:paraId="6E3AC0C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1.1561***</w:t>
            </w:r>
          </w:p>
        </w:tc>
        <w:tc>
          <w:tcPr>
            <w:tcW w:w="1400" w:type="dxa"/>
            <w:tcBorders>
              <w:top w:val="nil"/>
              <w:left w:val="nil"/>
              <w:bottom w:val="nil"/>
              <w:right w:val="nil"/>
            </w:tcBorders>
            <w:noWrap/>
            <w:vAlign w:val="bottom"/>
            <w:hideMark/>
          </w:tcPr>
          <w:p w14:paraId="5F03088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1.6208***</w:t>
            </w:r>
          </w:p>
        </w:tc>
        <w:tc>
          <w:tcPr>
            <w:tcW w:w="1420" w:type="dxa"/>
            <w:tcBorders>
              <w:top w:val="nil"/>
              <w:left w:val="nil"/>
              <w:bottom w:val="nil"/>
              <w:right w:val="nil"/>
            </w:tcBorders>
            <w:noWrap/>
            <w:vAlign w:val="bottom"/>
            <w:hideMark/>
          </w:tcPr>
          <w:p w14:paraId="126A384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2.7008***</w:t>
            </w:r>
          </w:p>
        </w:tc>
        <w:tc>
          <w:tcPr>
            <w:tcW w:w="1420" w:type="dxa"/>
            <w:tcBorders>
              <w:top w:val="nil"/>
              <w:left w:val="nil"/>
              <w:bottom w:val="nil"/>
              <w:right w:val="nil"/>
            </w:tcBorders>
            <w:noWrap/>
            <w:vAlign w:val="bottom"/>
            <w:hideMark/>
          </w:tcPr>
          <w:p w14:paraId="0FFD8F2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2.5328***</w:t>
            </w:r>
          </w:p>
        </w:tc>
        <w:tc>
          <w:tcPr>
            <w:tcW w:w="1420" w:type="dxa"/>
            <w:tcBorders>
              <w:top w:val="nil"/>
              <w:left w:val="nil"/>
              <w:bottom w:val="nil"/>
              <w:right w:val="nil"/>
            </w:tcBorders>
            <w:noWrap/>
            <w:vAlign w:val="bottom"/>
            <w:hideMark/>
          </w:tcPr>
          <w:p w14:paraId="0D68933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2.3461***</w:t>
            </w:r>
          </w:p>
        </w:tc>
        <w:tc>
          <w:tcPr>
            <w:tcW w:w="1420" w:type="dxa"/>
            <w:tcBorders>
              <w:top w:val="nil"/>
              <w:left w:val="nil"/>
              <w:bottom w:val="nil"/>
              <w:right w:val="nil"/>
            </w:tcBorders>
            <w:noWrap/>
            <w:vAlign w:val="bottom"/>
            <w:hideMark/>
          </w:tcPr>
          <w:p w14:paraId="7FE4A7F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1.6785***</w:t>
            </w:r>
          </w:p>
        </w:tc>
      </w:tr>
      <w:tr w:rsidR="00B5549F" w:rsidRPr="00B5549F" w14:paraId="51D26CC0" w14:textId="77777777" w:rsidTr="00E02797">
        <w:trPr>
          <w:trHeight w:val="20"/>
          <w:jc w:val="center"/>
        </w:trPr>
        <w:tc>
          <w:tcPr>
            <w:tcW w:w="2551" w:type="dxa"/>
            <w:tcBorders>
              <w:top w:val="nil"/>
              <w:left w:val="nil"/>
              <w:bottom w:val="nil"/>
              <w:right w:val="nil"/>
            </w:tcBorders>
            <w:noWrap/>
            <w:vAlign w:val="bottom"/>
            <w:hideMark/>
          </w:tcPr>
          <w:p w14:paraId="278C3FCF"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380" w:type="dxa"/>
            <w:tcBorders>
              <w:top w:val="nil"/>
              <w:left w:val="nil"/>
              <w:bottom w:val="nil"/>
              <w:right w:val="nil"/>
            </w:tcBorders>
            <w:noWrap/>
            <w:vAlign w:val="bottom"/>
            <w:hideMark/>
          </w:tcPr>
          <w:p w14:paraId="4A78A4E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(0.309)</w:t>
            </w:r>
          </w:p>
        </w:tc>
        <w:tc>
          <w:tcPr>
            <w:tcW w:w="1400" w:type="dxa"/>
            <w:tcBorders>
              <w:top w:val="nil"/>
              <w:left w:val="nil"/>
              <w:bottom w:val="nil"/>
              <w:right w:val="nil"/>
            </w:tcBorders>
            <w:noWrap/>
            <w:vAlign w:val="bottom"/>
            <w:hideMark/>
          </w:tcPr>
          <w:p w14:paraId="115AB49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(0.558)</w:t>
            </w:r>
          </w:p>
        </w:tc>
        <w:tc>
          <w:tcPr>
            <w:tcW w:w="1380" w:type="dxa"/>
            <w:tcBorders>
              <w:top w:val="nil"/>
              <w:left w:val="nil"/>
              <w:bottom w:val="nil"/>
              <w:right w:val="nil"/>
            </w:tcBorders>
            <w:noWrap/>
            <w:vAlign w:val="bottom"/>
            <w:hideMark/>
          </w:tcPr>
          <w:p w14:paraId="5FCFD98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(0.319)</w:t>
            </w:r>
          </w:p>
        </w:tc>
        <w:tc>
          <w:tcPr>
            <w:tcW w:w="1400" w:type="dxa"/>
            <w:tcBorders>
              <w:top w:val="nil"/>
              <w:left w:val="nil"/>
              <w:bottom w:val="nil"/>
              <w:right w:val="nil"/>
            </w:tcBorders>
            <w:noWrap/>
            <w:vAlign w:val="bottom"/>
            <w:hideMark/>
          </w:tcPr>
          <w:p w14:paraId="43D9F35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(0.576)</w:t>
            </w:r>
          </w:p>
        </w:tc>
        <w:tc>
          <w:tcPr>
            <w:tcW w:w="1420" w:type="dxa"/>
            <w:tcBorders>
              <w:top w:val="nil"/>
              <w:left w:val="nil"/>
              <w:bottom w:val="nil"/>
              <w:right w:val="nil"/>
            </w:tcBorders>
            <w:noWrap/>
            <w:vAlign w:val="bottom"/>
            <w:hideMark/>
          </w:tcPr>
          <w:p w14:paraId="1B59AA9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(0.406)</w:t>
            </w:r>
          </w:p>
        </w:tc>
        <w:tc>
          <w:tcPr>
            <w:tcW w:w="1420" w:type="dxa"/>
            <w:tcBorders>
              <w:top w:val="nil"/>
              <w:left w:val="nil"/>
              <w:bottom w:val="nil"/>
              <w:right w:val="nil"/>
            </w:tcBorders>
            <w:noWrap/>
            <w:vAlign w:val="bottom"/>
            <w:hideMark/>
          </w:tcPr>
          <w:p w14:paraId="59F18BF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(0.602)</w:t>
            </w:r>
          </w:p>
        </w:tc>
        <w:tc>
          <w:tcPr>
            <w:tcW w:w="1420" w:type="dxa"/>
            <w:tcBorders>
              <w:top w:val="nil"/>
              <w:left w:val="nil"/>
              <w:bottom w:val="nil"/>
              <w:right w:val="nil"/>
            </w:tcBorders>
            <w:noWrap/>
            <w:vAlign w:val="bottom"/>
            <w:hideMark/>
          </w:tcPr>
          <w:p w14:paraId="22925B6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(0.462)</w:t>
            </w:r>
          </w:p>
        </w:tc>
        <w:tc>
          <w:tcPr>
            <w:tcW w:w="1420" w:type="dxa"/>
            <w:tcBorders>
              <w:top w:val="nil"/>
              <w:left w:val="nil"/>
              <w:bottom w:val="nil"/>
              <w:right w:val="nil"/>
            </w:tcBorders>
            <w:noWrap/>
            <w:vAlign w:val="bottom"/>
            <w:hideMark/>
          </w:tcPr>
          <w:p w14:paraId="63C9DA8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(0.439)</w:t>
            </w:r>
          </w:p>
        </w:tc>
      </w:tr>
      <w:tr w:rsidR="00B5549F" w:rsidRPr="00B5549F" w14:paraId="0F01C087" w14:textId="77777777" w:rsidTr="00E02797">
        <w:trPr>
          <w:trHeight w:val="20"/>
          <w:jc w:val="center"/>
        </w:trPr>
        <w:tc>
          <w:tcPr>
            <w:tcW w:w="2551" w:type="dxa"/>
            <w:tcBorders>
              <w:top w:val="nil"/>
              <w:left w:val="nil"/>
              <w:bottom w:val="nil"/>
              <w:right w:val="nil"/>
            </w:tcBorders>
            <w:noWrap/>
            <w:vAlign w:val="bottom"/>
            <w:hideMark/>
          </w:tcPr>
          <w:p w14:paraId="10A2E290" w14:textId="113CDDB0" w:rsidR="00985916" w:rsidRPr="00B5549F" w:rsidRDefault="00985916" w:rsidP="00985916">
            <w:pPr>
              <w:contextualSpacing/>
              <w:rPr>
                <w:rFonts w:ascii="Times New Roman" w:hAnsi="Times New Roman" w:cs="Times New Roman"/>
                <w:color w:val="000000" w:themeColor="text1"/>
                <w:sz w:val="18"/>
                <w:szCs w:val="18"/>
              </w:rPr>
            </w:pPr>
            <w:proofErr w:type="spellStart"/>
            <w:r w:rsidRPr="00B5549F">
              <w:rPr>
                <w:rFonts w:ascii="Times New Roman" w:hAnsi="Times New Roman" w:cs="Times New Roman"/>
                <w:i/>
                <w:iCs/>
                <w:color w:val="000000" w:themeColor="text1"/>
                <w:sz w:val="18"/>
                <w:szCs w:val="18"/>
              </w:rPr>
              <w:t>High</w:t>
            </w:r>
            <w:r w:rsidR="00761CB1" w:rsidRPr="00B5549F">
              <w:rPr>
                <w:rFonts w:ascii="Times New Roman" w:hAnsi="Times New Roman" w:cs="Times New Roman"/>
                <w:i/>
                <w:iCs/>
                <w:color w:val="000000" w:themeColor="text1"/>
                <w:sz w:val="18"/>
                <w:szCs w:val="18"/>
              </w:rPr>
              <w:t>End</w:t>
            </w:r>
            <w:r w:rsidRPr="00B5549F">
              <w:rPr>
                <w:rFonts w:ascii="Times New Roman" w:hAnsi="Times New Roman" w:cs="Times New Roman"/>
                <w:i/>
                <w:iCs/>
                <w:color w:val="000000" w:themeColor="text1"/>
                <w:sz w:val="18"/>
                <w:szCs w:val="18"/>
              </w:rPr>
              <w:t>Specialized</w:t>
            </w:r>
            <w:r w:rsidRPr="00B5549F">
              <w:rPr>
                <w:rFonts w:ascii="Times New Roman" w:hAnsi="Times New Roman" w:cs="Times New Roman"/>
                <w:i/>
                <w:iCs/>
                <w:color w:val="000000" w:themeColor="text1"/>
                <w:sz w:val="18"/>
                <w:szCs w:val="18"/>
                <w:vertAlign w:val="subscript"/>
              </w:rPr>
              <w:t>p</w:t>
            </w:r>
            <w:proofErr w:type="spellEnd"/>
          </w:p>
        </w:tc>
        <w:tc>
          <w:tcPr>
            <w:tcW w:w="1380" w:type="dxa"/>
            <w:tcBorders>
              <w:top w:val="nil"/>
              <w:left w:val="nil"/>
              <w:bottom w:val="nil"/>
              <w:right w:val="nil"/>
            </w:tcBorders>
            <w:noWrap/>
            <w:vAlign w:val="bottom"/>
            <w:hideMark/>
          </w:tcPr>
          <w:p w14:paraId="53DA558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0.0332</w:t>
            </w:r>
          </w:p>
        </w:tc>
        <w:tc>
          <w:tcPr>
            <w:tcW w:w="1400" w:type="dxa"/>
            <w:tcBorders>
              <w:top w:val="nil"/>
              <w:left w:val="nil"/>
              <w:bottom w:val="nil"/>
              <w:right w:val="nil"/>
            </w:tcBorders>
            <w:noWrap/>
            <w:vAlign w:val="bottom"/>
            <w:hideMark/>
          </w:tcPr>
          <w:p w14:paraId="7A0EE94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0.0546</w:t>
            </w:r>
          </w:p>
        </w:tc>
        <w:tc>
          <w:tcPr>
            <w:tcW w:w="1380" w:type="dxa"/>
            <w:tcBorders>
              <w:top w:val="nil"/>
              <w:left w:val="nil"/>
              <w:bottom w:val="nil"/>
              <w:right w:val="nil"/>
            </w:tcBorders>
            <w:noWrap/>
            <w:vAlign w:val="bottom"/>
            <w:hideMark/>
          </w:tcPr>
          <w:p w14:paraId="2917A06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0.0317</w:t>
            </w:r>
          </w:p>
        </w:tc>
        <w:tc>
          <w:tcPr>
            <w:tcW w:w="1400" w:type="dxa"/>
            <w:tcBorders>
              <w:top w:val="nil"/>
              <w:left w:val="nil"/>
              <w:bottom w:val="nil"/>
              <w:right w:val="nil"/>
            </w:tcBorders>
            <w:noWrap/>
            <w:vAlign w:val="bottom"/>
            <w:hideMark/>
          </w:tcPr>
          <w:p w14:paraId="0A71935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0.0470</w:t>
            </w:r>
          </w:p>
        </w:tc>
        <w:tc>
          <w:tcPr>
            <w:tcW w:w="1420" w:type="dxa"/>
            <w:tcBorders>
              <w:top w:val="nil"/>
              <w:left w:val="nil"/>
              <w:bottom w:val="nil"/>
              <w:right w:val="nil"/>
            </w:tcBorders>
            <w:noWrap/>
            <w:vAlign w:val="bottom"/>
            <w:hideMark/>
          </w:tcPr>
          <w:p w14:paraId="422F51F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0.0821**</w:t>
            </w:r>
          </w:p>
        </w:tc>
        <w:tc>
          <w:tcPr>
            <w:tcW w:w="1420" w:type="dxa"/>
            <w:tcBorders>
              <w:top w:val="nil"/>
              <w:left w:val="nil"/>
              <w:bottom w:val="nil"/>
              <w:right w:val="nil"/>
            </w:tcBorders>
            <w:noWrap/>
            <w:vAlign w:val="bottom"/>
            <w:hideMark/>
          </w:tcPr>
          <w:p w14:paraId="2C68624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0.0800</w:t>
            </w:r>
          </w:p>
        </w:tc>
        <w:tc>
          <w:tcPr>
            <w:tcW w:w="1420" w:type="dxa"/>
            <w:tcBorders>
              <w:top w:val="nil"/>
              <w:left w:val="nil"/>
              <w:bottom w:val="nil"/>
              <w:right w:val="nil"/>
            </w:tcBorders>
            <w:noWrap/>
            <w:vAlign w:val="bottom"/>
            <w:hideMark/>
          </w:tcPr>
          <w:p w14:paraId="3B8DEBD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0.0961**</w:t>
            </w:r>
          </w:p>
        </w:tc>
        <w:tc>
          <w:tcPr>
            <w:tcW w:w="1420" w:type="dxa"/>
            <w:tcBorders>
              <w:top w:val="nil"/>
              <w:left w:val="nil"/>
              <w:bottom w:val="nil"/>
              <w:right w:val="nil"/>
            </w:tcBorders>
            <w:noWrap/>
            <w:vAlign w:val="bottom"/>
            <w:hideMark/>
          </w:tcPr>
          <w:p w14:paraId="4E9D98F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0.1019**</w:t>
            </w:r>
          </w:p>
        </w:tc>
      </w:tr>
      <w:tr w:rsidR="00B5549F" w:rsidRPr="00B5549F" w14:paraId="65A0F31E" w14:textId="77777777" w:rsidTr="00E02797">
        <w:trPr>
          <w:trHeight w:val="20"/>
          <w:jc w:val="center"/>
        </w:trPr>
        <w:tc>
          <w:tcPr>
            <w:tcW w:w="2551" w:type="dxa"/>
            <w:tcBorders>
              <w:top w:val="nil"/>
              <w:left w:val="nil"/>
              <w:bottom w:val="nil"/>
              <w:right w:val="nil"/>
            </w:tcBorders>
            <w:noWrap/>
            <w:vAlign w:val="bottom"/>
            <w:hideMark/>
          </w:tcPr>
          <w:p w14:paraId="5143C67F"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380" w:type="dxa"/>
            <w:tcBorders>
              <w:top w:val="nil"/>
              <w:left w:val="nil"/>
              <w:bottom w:val="nil"/>
              <w:right w:val="nil"/>
            </w:tcBorders>
            <w:noWrap/>
            <w:vAlign w:val="bottom"/>
            <w:hideMark/>
          </w:tcPr>
          <w:p w14:paraId="3022CC9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(0.026)</w:t>
            </w:r>
          </w:p>
        </w:tc>
        <w:tc>
          <w:tcPr>
            <w:tcW w:w="1400" w:type="dxa"/>
            <w:tcBorders>
              <w:top w:val="nil"/>
              <w:left w:val="nil"/>
              <w:bottom w:val="nil"/>
              <w:right w:val="nil"/>
            </w:tcBorders>
            <w:noWrap/>
            <w:vAlign w:val="bottom"/>
            <w:hideMark/>
          </w:tcPr>
          <w:p w14:paraId="4210215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(0.043)</w:t>
            </w:r>
          </w:p>
        </w:tc>
        <w:tc>
          <w:tcPr>
            <w:tcW w:w="1380" w:type="dxa"/>
            <w:tcBorders>
              <w:top w:val="nil"/>
              <w:left w:val="nil"/>
              <w:bottom w:val="nil"/>
              <w:right w:val="nil"/>
            </w:tcBorders>
            <w:noWrap/>
            <w:vAlign w:val="bottom"/>
            <w:hideMark/>
          </w:tcPr>
          <w:p w14:paraId="7FDACD1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(0.026)</w:t>
            </w:r>
          </w:p>
        </w:tc>
        <w:tc>
          <w:tcPr>
            <w:tcW w:w="1400" w:type="dxa"/>
            <w:tcBorders>
              <w:top w:val="nil"/>
              <w:left w:val="nil"/>
              <w:bottom w:val="nil"/>
              <w:right w:val="nil"/>
            </w:tcBorders>
            <w:noWrap/>
            <w:vAlign w:val="bottom"/>
            <w:hideMark/>
          </w:tcPr>
          <w:p w14:paraId="07FA825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(0.046)</w:t>
            </w:r>
          </w:p>
        </w:tc>
        <w:tc>
          <w:tcPr>
            <w:tcW w:w="1420" w:type="dxa"/>
            <w:tcBorders>
              <w:top w:val="nil"/>
              <w:left w:val="nil"/>
              <w:bottom w:val="nil"/>
              <w:right w:val="nil"/>
            </w:tcBorders>
            <w:noWrap/>
            <w:vAlign w:val="bottom"/>
            <w:hideMark/>
          </w:tcPr>
          <w:p w14:paraId="3067D44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(0.039)</w:t>
            </w:r>
          </w:p>
        </w:tc>
        <w:tc>
          <w:tcPr>
            <w:tcW w:w="1420" w:type="dxa"/>
            <w:tcBorders>
              <w:top w:val="nil"/>
              <w:left w:val="nil"/>
              <w:bottom w:val="nil"/>
              <w:right w:val="nil"/>
            </w:tcBorders>
            <w:noWrap/>
            <w:vAlign w:val="bottom"/>
            <w:hideMark/>
          </w:tcPr>
          <w:p w14:paraId="1A47348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(0.050)</w:t>
            </w:r>
          </w:p>
        </w:tc>
        <w:tc>
          <w:tcPr>
            <w:tcW w:w="1420" w:type="dxa"/>
            <w:tcBorders>
              <w:top w:val="nil"/>
              <w:left w:val="nil"/>
              <w:bottom w:val="nil"/>
              <w:right w:val="nil"/>
            </w:tcBorders>
            <w:noWrap/>
            <w:vAlign w:val="bottom"/>
            <w:hideMark/>
          </w:tcPr>
          <w:p w14:paraId="38B71A9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(0.041)</w:t>
            </w:r>
          </w:p>
        </w:tc>
        <w:tc>
          <w:tcPr>
            <w:tcW w:w="1420" w:type="dxa"/>
            <w:tcBorders>
              <w:top w:val="nil"/>
              <w:left w:val="nil"/>
              <w:bottom w:val="nil"/>
              <w:right w:val="nil"/>
            </w:tcBorders>
            <w:noWrap/>
            <w:vAlign w:val="bottom"/>
            <w:hideMark/>
          </w:tcPr>
          <w:p w14:paraId="63844D9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(0.040)</w:t>
            </w:r>
          </w:p>
        </w:tc>
      </w:tr>
      <w:tr w:rsidR="00B5549F" w:rsidRPr="00B5549F" w14:paraId="782D164D" w14:textId="77777777" w:rsidTr="00E02797">
        <w:trPr>
          <w:trHeight w:val="20"/>
          <w:jc w:val="center"/>
        </w:trPr>
        <w:tc>
          <w:tcPr>
            <w:tcW w:w="2551" w:type="dxa"/>
            <w:tcBorders>
              <w:top w:val="nil"/>
              <w:left w:val="nil"/>
              <w:bottom w:val="nil"/>
              <w:right w:val="nil"/>
            </w:tcBorders>
            <w:noWrap/>
            <w:vAlign w:val="bottom"/>
            <w:hideMark/>
          </w:tcPr>
          <w:p w14:paraId="6A9BA342"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 xml:space="preserve">ln </w:t>
            </w:r>
            <w:proofErr w:type="spellStart"/>
            <w:r w:rsidRPr="00B5549F">
              <w:rPr>
                <w:rFonts w:ascii="Times New Roman" w:hAnsi="Times New Roman" w:cs="Times New Roman"/>
                <w:i/>
                <w:iCs/>
                <w:color w:val="000000" w:themeColor="text1"/>
                <w:sz w:val="18"/>
                <w:szCs w:val="18"/>
              </w:rPr>
              <w:t>AVGRent</w:t>
            </w:r>
            <w:r w:rsidRPr="00B5549F">
              <w:rPr>
                <w:rFonts w:ascii="Times New Roman" w:hAnsi="Times New Roman" w:cs="Times New Roman"/>
                <w:i/>
                <w:iCs/>
                <w:color w:val="000000" w:themeColor="text1"/>
                <w:sz w:val="18"/>
                <w:szCs w:val="18"/>
                <w:vertAlign w:val="subscript"/>
              </w:rPr>
              <w:t>pt</w:t>
            </w:r>
            <w:proofErr w:type="spellEnd"/>
          </w:p>
        </w:tc>
        <w:tc>
          <w:tcPr>
            <w:tcW w:w="1380" w:type="dxa"/>
            <w:tcBorders>
              <w:top w:val="nil"/>
              <w:left w:val="nil"/>
              <w:bottom w:val="nil"/>
              <w:right w:val="nil"/>
            </w:tcBorders>
            <w:noWrap/>
            <w:vAlign w:val="bottom"/>
            <w:hideMark/>
          </w:tcPr>
          <w:p w14:paraId="6FD3014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-0.0253</w:t>
            </w:r>
          </w:p>
        </w:tc>
        <w:tc>
          <w:tcPr>
            <w:tcW w:w="1400" w:type="dxa"/>
            <w:tcBorders>
              <w:top w:val="nil"/>
              <w:left w:val="nil"/>
              <w:bottom w:val="nil"/>
              <w:right w:val="nil"/>
            </w:tcBorders>
            <w:noWrap/>
            <w:vAlign w:val="bottom"/>
            <w:hideMark/>
          </w:tcPr>
          <w:p w14:paraId="0CE3F22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-0.0428</w:t>
            </w:r>
          </w:p>
        </w:tc>
        <w:tc>
          <w:tcPr>
            <w:tcW w:w="1380" w:type="dxa"/>
            <w:tcBorders>
              <w:top w:val="nil"/>
              <w:left w:val="nil"/>
              <w:bottom w:val="nil"/>
              <w:right w:val="nil"/>
            </w:tcBorders>
            <w:noWrap/>
            <w:vAlign w:val="bottom"/>
            <w:hideMark/>
          </w:tcPr>
          <w:p w14:paraId="1FCCBBD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-0.0243</w:t>
            </w:r>
          </w:p>
        </w:tc>
        <w:tc>
          <w:tcPr>
            <w:tcW w:w="1400" w:type="dxa"/>
            <w:tcBorders>
              <w:top w:val="nil"/>
              <w:left w:val="nil"/>
              <w:bottom w:val="nil"/>
              <w:right w:val="nil"/>
            </w:tcBorders>
            <w:noWrap/>
            <w:vAlign w:val="bottom"/>
            <w:hideMark/>
          </w:tcPr>
          <w:p w14:paraId="0C4E4D5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-0.0443</w:t>
            </w:r>
          </w:p>
        </w:tc>
        <w:tc>
          <w:tcPr>
            <w:tcW w:w="1420" w:type="dxa"/>
            <w:tcBorders>
              <w:top w:val="nil"/>
              <w:left w:val="nil"/>
              <w:bottom w:val="nil"/>
              <w:right w:val="nil"/>
            </w:tcBorders>
            <w:noWrap/>
            <w:vAlign w:val="bottom"/>
            <w:hideMark/>
          </w:tcPr>
          <w:p w14:paraId="32F9EB9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-0.0662</w:t>
            </w:r>
          </w:p>
        </w:tc>
        <w:tc>
          <w:tcPr>
            <w:tcW w:w="1420" w:type="dxa"/>
            <w:tcBorders>
              <w:top w:val="nil"/>
              <w:left w:val="nil"/>
              <w:bottom w:val="nil"/>
              <w:right w:val="nil"/>
            </w:tcBorders>
            <w:noWrap/>
            <w:vAlign w:val="bottom"/>
            <w:hideMark/>
          </w:tcPr>
          <w:p w14:paraId="38CF78F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-0.0758</w:t>
            </w:r>
          </w:p>
        </w:tc>
        <w:tc>
          <w:tcPr>
            <w:tcW w:w="1420" w:type="dxa"/>
            <w:tcBorders>
              <w:top w:val="nil"/>
              <w:left w:val="nil"/>
              <w:bottom w:val="nil"/>
              <w:right w:val="nil"/>
            </w:tcBorders>
            <w:noWrap/>
            <w:vAlign w:val="bottom"/>
            <w:hideMark/>
          </w:tcPr>
          <w:p w14:paraId="0A605A4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-0.0411</w:t>
            </w:r>
          </w:p>
        </w:tc>
        <w:tc>
          <w:tcPr>
            <w:tcW w:w="1420" w:type="dxa"/>
            <w:tcBorders>
              <w:top w:val="nil"/>
              <w:left w:val="nil"/>
              <w:bottom w:val="nil"/>
              <w:right w:val="nil"/>
            </w:tcBorders>
            <w:noWrap/>
            <w:vAlign w:val="bottom"/>
            <w:hideMark/>
          </w:tcPr>
          <w:p w14:paraId="2D74E2C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-0.0412</w:t>
            </w:r>
          </w:p>
        </w:tc>
      </w:tr>
      <w:tr w:rsidR="00B5549F" w:rsidRPr="00B5549F" w14:paraId="43915DA5" w14:textId="77777777" w:rsidTr="00E02797">
        <w:trPr>
          <w:trHeight w:val="20"/>
          <w:jc w:val="center"/>
        </w:trPr>
        <w:tc>
          <w:tcPr>
            <w:tcW w:w="2551" w:type="dxa"/>
            <w:tcBorders>
              <w:top w:val="nil"/>
              <w:left w:val="nil"/>
              <w:bottom w:val="nil"/>
              <w:right w:val="nil"/>
            </w:tcBorders>
            <w:noWrap/>
            <w:vAlign w:val="bottom"/>
            <w:hideMark/>
          </w:tcPr>
          <w:p w14:paraId="74BD8DA4"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380" w:type="dxa"/>
            <w:tcBorders>
              <w:top w:val="nil"/>
              <w:left w:val="nil"/>
              <w:bottom w:val="nil"/>
              <w:right w:val="nil"/>
            </w:tcBorders>
            <w:noWrap/>
            <w:vAlign w:val="bottom"/>
            <w:hideMark/>
          </w:tcPr>
          <w:p w14:paraId="26EFCE9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(0.031)</w:t>
            </w:r>
          </w:p>
        </w:tc>
        <w:tc>
          <w:tcPr>
            <w:tcW w:w="1400" w:type="dxa"/>
            <w:tcBorders>
              <w:top w:val="nil"/>
              <w:left w:val="nil"/>
              <w:bottom w:val="nil"/>
              <w:right w:val="nil"/>
            </w:tcBorders>
            <w:noWrap/>
            <w:vAlign w:val="bottom"/>
            <w:hideMark/>
          </w:tcPr>
          <w:p w14:paraId="58D4E34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(0.057)</w:t>
            </w:r>
          </w:p>
        </w:tc>
        <w:tc>
          <w:tcPr>
            <w:tcW w:w="1380" w:type="dxa"/>
            <w:tcBorders>
              <w:top w:val="nil"/>
              <w:left w:val="nil"/>
              <w:bottom w:val="nil"/>
              <w:right w:val="nil"/>
            </w:tcBorders>
            <w:noWrap/>
            <w:vAlign w:val="bottom"/>
            <w:hideMark/>
          </w:tcPr>
          <w:p w14:paraId="7A20CB2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(0.030)</w:t>
            </w:r>
          </w:p>
        </w:tc>
        <w:tc>
          <w:tcPr>
            <w:tcW w:w="1400" w:type="dxa"/>
            <w:tcBorders>
              <w:top w:val="nil"/>
              <w:left w:val="nil"/>
              <w:bottom w:val="nil"/>
              <w:right w:val="nil"/>
            </w:tcBorders>
            <w:noWrap/>
            <w:vAlign w:val="bottom"/>
            <w:hideMark/>
          </w:tcPr>
          <w:p w14:paraId="571E6A4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(0.052)</w:t>
            </w:r>
          </w:p>
        </w:tc>
        <w:tc>
          <w:tcPr>
            <w:tcW w:w="1420" w:type="dxa"/>
            <w:tcBorders>
              <w:top w:val="nil"/>
              <w:left w:val="nil"/>
              <w:bottom w:val="nil"/>
              <w:right w:val="nil"/>
            </w:tcBorders>
            <w:noWrap/>
            <w:vAlign w:val="bottom"/>
            <w:hideMark/>
          </w:tcPr>
          <w:p w14:paraId="44DF771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(0.044)</w:t>
            </w:r>
          </w:p>
        </w:tc>
        <w:tc>
          <w:tcPr>
            <w:tcW w:w="1420" w:type="dxa"/>
            <w:tcBorders>
              <w:top w:val="nil"/>
              <w:left w:val="nil"/>
              <w:bottom w:val="nil"/>
              <w:right w:val="nil"/>
            </w:tcBorders>
            <w:noWrap/>
            <w:vAlign w:val="bottom"/>
            <w:hideMark/>
          </w:tcPr>
          <w:p w14:paraId="4BE9672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(0.049)</w:t>
            </w:r>
          </w:p>
        </w:tc>
        <w:tc>
          <w:tcPr>
            <w:tcW w:w="1420" w:type="dxa"/>
            <w:tcBorders>
              <w:top w:val="nil"/>
              <w:left w:val="nil"/>
              <w:bottom w:val="nil"/>
              <w:right w:val="nil"/>
            </w:tcBorders>
            <w:noWrap/>
            <w:vAlign w:val="bottom"/>
            <w:hideMark/>
          </w:tcPr>
          <w:p w14:paraId="5427384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(0.048)</w:t>
            </w:r>
          </w:p>
        </w:tc>
        <w:tc>
          <w:tcPr>
            <w:tcW w:w="1420" w:type="dxa"/>
            <w:tcBorders>
              <w:top w:val="nil"/>
              <w:left w:val="nil"/>
              <w:bottom w:val="nil"/>
              <w:right w:val="nil"/>
            </w:tcBorders>
            <w:noWrap/>
            <w:vAlign w:val="bottom"/>
            <w:hideMark/>
          </w:tcPr>
          <w:p w14:paraId="7FA6F85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(0.043)</w:t>
            </w:r>
          </w:p>
        </w:tc>
      </w:tr>
      <w:tr w:rsidR="00B5549F" w:rsidRPr="00B5549F" w14:paraId="16523823" w14:textId="77777777" w:rsidTr="00E02797">
        <w:trPr>
          <w:trHeight w:val="20"/>
          <w:jc w:val="center"/>
        </w:trPr>
        <w:tc>
          <w:tcPr>
            <w:tcW w:w="2551" w:type="dxa"/>
            <w:tcBorders>
              <w:top w:val="nil"/>
              <w:left w:val="nil"/>
              <w:bottom w:val="nil"/>
              <w:right w:val="nil"/>
            </w:tcBorders>
            <w:noWrap/>
            <w:vAlign w:val="bottom"/>
            <w:hideMark/>
          </w:tcPr>
          <w:p w14:paraId="3AC26686"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 xml:space="preserve">ln </w:t>
            </w:r>
            <w:proofErr w:type="spellStart"/>
            <w:r w:rsidRPr="00B5549F">
              <w:rPr>
                <w:rFonts w:ascii="Times New Roman" w:hAnsi="Times New Roman" w:cs="Times New Roman"/>
                <w:i/>
                <w:iCs/>
                <w:color w:val="000000" w:themeColor="text1"/>
                <w:sz w:val="18"/>
                <w:szCs w:val="18"/>
              </w:rPr>
              <w:t>Altitude</w:t>
            </w:r>
            <w:r w:rsidRPr="00B5549F">
              <w:rPr>
                <w:rFonts w:ascii="Times New Roman" w:hAnsi="Times New Roman" w:cs="Times New Roman"/>
                <w:i/>
                <w:iCs/>
                <w:color w:val="000000" w:themeColor="text1"/>
                <w:sz w:val="18"/>
                <w:szCs w:val="18"/>
                <w:vertAlign w:val="subscript"/>
              </w:rPr>
              <w:t>p</w:t>
            </w:r>
            <w:proofErr w:type="spellEnd"/>
          </w:p>
        </w:tc>
        <w:tc>
          <w:tcPr>
            <w:tcW w:w="1380" w:type="dxa"/>
            <w:tcBorders>
              <w:top w:val="nil"/>
              <w:left w:val="nil"/>
              <w:bottom w:val="nil"/>
              <w:right w:val="nil"/>
            </w:tcBorders>
            <w:noWrap/>
            <w:vAlign w:val="bottom"/>
            <w:hideMark/>
          </w:tcPr>
          <w:p w14:paraId="4EE3E58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0.0571***</w:t>
            </w:r>
          </w:p>
        </w:tc>
        <w:tc>
          <w:tcPr>
            <w:tcW w:w="1400" w:type="dxa"/>
            <w:tcBorders>
              <w:top w:val="nil"/>
              <w:left w:val="nil"/>
              <w:bottom w:val="nil"/>
              <w:right w:val="nil"/>
            </w:tcBorders>
            <w:noWrap/>
            <w:vAlign w:val="bottom"/>
            <w:hideMark/>
          </w:tcPr>
          <w:p w14:paraId="17E8D3B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0.0787***</w:t>
            </w:r>
          </w:p>
        </w:tc>
        <w:tc>
          <w:tcPr>
            <w:tcW w:w="1380" w:type="dxa"/>
            <w:tcBorders>
              <w:top w:val="nil"/>
              <w:left w:val="nil"/>
              <w:bottom w:val="nil"/>
              <w:right w:val="nil"/>
            </w:tcBorders>
            <w:noWrap/>
            <w:vAlign w:val="bottom"/>
            <w:hideMark/>
          </w:tcPr>
          <w:p w14:paraId="5A0E05D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0.0562***</w:t>
            </w:r>
          </w:p>
        </w:tc>
        <w:tc>
          <w:tcPr>
            <w:tcW w:w="1400" w:type="dxa"/>
            <w:tcBorders>
              <w:top w:val="nil"/>
              <w:left w:val="nil"/>
              <w:bottom w:val="nil"/>
              <w:right w:val="nil"/>
            </w:tcBorders>
            <w:noWrap/>
            <w:vAlign w:val="bottom"/>
            <w:hideMark/>
          </w:tcPr>
          <w:p w14:paraId="6703E3F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0.0816***</w:t>
            </w:r>
          </w:p>
        </w:tc>
        <w:tc>
          <w:tcPr>
            <w:tcW w:w="1420" w:type="dxa"/>
            <w:tcBorders>
              <w:top w:val="nil"/>
              <w:left w:val="nil"/>
              <w:bottom w:val="nil"/>
              <w:right w:val="nil"/>
            </w:tcBorders>
            <w:noWrap/>
            <w:vAlign w:val="bottom"/>
            <w:hideMark/>
          </w:tcPr>
          <w:p w14:paraId="1B4CB40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0.0234</w:t>
            </w:r>
          </w:p>
        </w:tc>
        <w:tc>
          <w:tcPr>
            <w:tcW w:w="1420" w:type="dxa"/>
            <w:tcBorders>
              <w:top w:val="nil"/>
              <w:left w:val="nil"/>
              <w:bottom w:val="nil"/>
              <w:right w:val="nil"/>
            </w:tcBorders>
            <w:noWrap/>
            <w:vAlign w:val="bottom"/>
            <w:hideMark/>
          </w:tcPr>
          <w:p w14:paraId="68A22BD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0.0237</w:t>
            </w:r>
          </w:p>
        </w:tc>
        <w:tc>
          <w:tcPr>
            <w:tcW w:w="1420" w:type="dxa"/>
            <w:tcBorders>
              <w:top w:val="nil"/>
              <w:left w:val="nil"/>
              <w:bottom w:val="nil"/>
              <w:right w:val="nil"/>
            </w:tcBorders>
            <w:noWrap/>
            <w:vAlign w:val="bottom"/>
            <w:hideMark/>
          </w:tcPr>
          <w:p w14:paraId="307951D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0.0234</w:t>
            </w:r>
          </w:p>
        </w:tc>
        <w:tc>
          <w:tcPr>
            <w:tcW w:w="1420" w:type="dxa"/>
            <w:tcBorders>
              <w:top w:val="nil"/>
              <w:left w:val="nil"/>
              <w:bottom w:val="nil"/>
              <w:right w:val="nil"/>
            </w:tcBorders>
            <w:noWrap/>
            <w:vAlign w:val="bottom"/>
            <w:hideMark/>
          </w:tcPr>
          <w:p w14:paraId="39448FE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0.0268</w:t>
            </w:r>
          </w:p>
        </w:tc>
      </w:tr>
      <w:tr w:rsidR="00B5549F" w:rsidRPr="00B5549F" w14:paraId="33194954" w14:textId="77777777" w:rsidTr="00E02797">
        <w:trPr>
          <w:trHeight w:val="20"/>
          <w:jc w:val="center"/>
        </w:trPr>
        <w:tc>
          <w:tcPr>
            <w:tcW w:w="2551" w:type="dxa"/>
            <w:tcBorders>
              <w:top w:val="nil"/>
              <w:left w:val="nil"/>
              <w:bottom w:val="nil"/>
              <w:right w:val="nil"/>
            </w:tcBorders>
            <w:noWrap/>
            <w:vAlign w:val="bottom"/>
            <w:hideMark/>
          </w:tcPr>
          <w:p w14:paraId="6B4063AA"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380" w:type="dxa"/>
            <w:tcBorders>
              <w:top w:val="nil"/>
              <w:left w:val="nil"/>
              <w:bottom w:val="nil"/>
              <w:right w:val="nil"/>
            </w:tcBorders>
            <w:noWrap/>
            <w:vAlign w:val="bottom"/>
            <w:hideMark/>
          </w:tcPr>
          <w:p w14:paraId="203C5F8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(0.013)</w:t>
            </w:r>
          </w:p>
        </w:tc>
        <w:tc>
          <w:tcPr>
            <w:tcW w:w="1400" w:type="dxa"/>
            <w:tcBorders>
              <w:top w:val="nil"/>
              <w:left w:val="nil"/>
              <w:bottom w:val="nil"/>
              <w:right w:val="nil"/>
            </w:tcBorders>
            <w:noWrap/>
            <w:vAlign w:val="bottom"/>
            <w:hideMark/>
          </w:tcPr>
          <w:p w14:paraId="47289D5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(0.022)</w:t>
            </w:r>
          </w:p>
        </w:tc>
        <w:tc>
          <w:tcPr>
            <w:tcW w:w="1380" w:type="dxa"/>
            <w:tcBorders>
              <w:top w:val="nil"/>
              <w:left w:val="nil"/>
              <w:bottom w:val="nil"/>
              <w:right w:val="nil"/>
            </w:tcBorders>
            <w:noWrap/>
            <w:vAlign w:val="bottom"/>
            <w:hideMark/>
          </w:tcPr>
          <w:p w14:paraId="7C283B3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(0.012)</w:t>
            </w:r>
          </w:p>
        </w:tc>
        <w:tc>
          <w:tcPr>
            <w:tcW w:w="1400" w:type="dxa"/>
            <w:tcBorders>
              <w:top w:val="nil"/>
              <w:left w:val="nil"/>
              <w:bottom w:val="nil"/>
              <w:right w:val="nil"/>
            </w:tcBorders>
            <w:noWrap/>
            <w:vAlign w:val="bottom"/>
            <w:hideMark/>
          </w:tcPr>
          <w:p w14:paraId="2E7574F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(0.022)</w:t>
            </w:r>
          </w:p>
        </w:tc>
        <w:tc>
          <w:tcPr>
            <w:tcW w:w="1420" w:type="dxa"/>
            <w:tcBorders>
              <w:top w:val="nil"/>
              <w:left w:val="nil"/>
              <w:bottom w:val="nil"/>
              <w:right w:val="nil"/>
            </w:tcBorders>
            <w:noWrap/>
            <w:vAlign w:val="bottom"/>
            <w:hideMark/>
          </w:tcPr>
          <w:p w14:paraId="6B141D0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(0.021)</w:t>
            </w:r>
          </w:p>
        </w:tc>
        <w:tc>
          <w:tcPr>
            <w:tcW w:w="1420" w:type="dxa"/>
            <w:tcBorders>
              <w:top w:val="nil"/>
              <w:left w:val="nil"/>
              <w:bottom w:val="nil"/>
              <w:right w:val="nil"/>
            </w:tcBorders>
            <w:noWrap/>
            <w:vAlign w:val="bottom"/>
            <w:hideMark/>
          </w:tcPr>
          <w:p w14:paraId="7DAADA2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(0.023)</w:t>
            </w:r>
          </w:p>
        </w:tc>
        <w:tc>
          <w:tcPr>
            <w:tcW w:w="1420" w:type="dxa"/>
            <w:tcBorders>
              <w:top w:val="nil"/>
              <w:left w:val="nil"/>
              <w:bottom w:val="nil"/>
              <w:right w:val="nil"/>
            </w:tcBorders>
            <w:noWrap/>
            <w:vAlign w:val="bottom"/>
            <w:hideMark/>
          </w:tcPr>
          <w:p w14:paraId="1E7FFBF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(0.023)</w:t>
            </w:r>
          </w:p>
        </w:tc>
        <w:tc>
          <w:tcPr>
            <w:tcW w:w="1420" w:type="dxa"/>
            <w:tcBorders>
              <w:top w:val="nil"/>
              <w:left w:val="nil"/>
              <w:bottom w:val="nil"/>
              <w:right w:val="nil"/>
            </w:tcBorders>
            <w:noWrap/>
            <w:vAlign w:val="bottom"/>
            <w:hideMark/>
          </w:tcPr>
          <w:p w14:paraId="2EF2C91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(0.023)</w:t>
            </w:r>
          </w:p>
        </w:tc>
      </w:tr>
      <w:tr w:rsidR="00B5549F" w:rsidRPr="00B5549F" w14:paraId="38199D0F" w14:textId="77777777" w:rsidTr="00E02797">
        <w:trPr>
          <w:trHeight w:val="20"/>
          <w:jc w:val="center"/>
        </w:trPr>
        <w:tc>
          <w:tcPr>
            <w:tcW w:w="2551" w:type="dxa"/>
            <w:tcBorders>
              <w:top w:val="nil"/>
              <w:left w:val="nil"/>
              <w:bottom w:val="nil"/>
              <w:right w:val="nil"/>
            </w:tcBorders>
            <w:noWrap/>
            <w:vAlign w:val="bottom"/>
            <w:hideMark/>
          </w:tcPr>
          <w:p w14:paraId="6C1EEA6A" w14:textId="77777777" w:rsidR="00985916" w:rsidRPr="00B5549F" w:rsidRDefault="00985916" w:rsidP="00985916">
            <w:pPr>
              <w:contextualSpacing/>
              <w:rPr>
                <w:rFonts w:ascii="Times New Roman" w:hAnsi="Times New Roman" w:cs="Times New Roman"/>
                <w:color w:val="000000" w:themeColor="text1"/>
                <w:sz w:val="18"/>
                <w:szCs w:val="18"/>
              </w:rPr>
            </w:pPr>
            <w:proofErr w:type="spellStart"/>
            <w:r w:rsidRPr="00B5549F">
              <w:rPr>
                <w:rFonts w:ascii="Times New Roman" w:hAnsi="Times New Roman" w:cs="Times New Roman"/>
                <w:i/>
                <w:iCs/>
                <w:color w:val="000000" w:themeColor="text1"/>
                <w:sz w:val="18"/>
                <w:szCs w:val="18"/>
              </w:rPr>
              <w:t>PercSeasideMunicipalities</w:t>
            </w:r>
            <w:r w:rsidRPr="00B5549F">
              <w:rPr>
                <w:rFonts w:ascii="Times New Roman" w:hAnsi="Times New Roman" w:cs="Times New Roman"/>
                <w:i/>
                <w:iCs/>
                <w:color w:val="000000" w:themeColor="text1"/>
                <w:sz w:val="18"/>
                <w:szCs w:val="18"/>
                <w:vertAlign w:val="subscript"/>
              </w:rPr>
              <w:t>p</w:t>
            </w:r>
            <w:proofErr w:type="spellEnd"/>
          </w:p>
        </w:tc>
        <w:tc>
          <w:tcPr>
            <w:tcW w:w="1380" w:type="dxa"/>
            <w:tcBorders>
              <w:top w:val="nil"/>
              <w:left w:val="nil"/>
              <w:bottom w:val="nil"/>
              <w:right w:val="nil"/>
            </w:tcBorders>
            <w:noWrap/>
            <w:vAlign w:val="bottom"/>
            <w:hideMark/>
          </w:tcPr>
          <w:p w14:paraId="7913C89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0.1645**</w:t>
            </w:r>
          </w:p>
        </w:tc>
        <w:tc>
          <w:tcPr>
            <w:tcW w:w="1400" w:type="dxa"/>
            <w:tcBorders>
              <w:top w:val="nil"/>
              <w:left w:val="nil"/>
              <w:bottom w:val="nil"/>
              <w:right w:val="nil"/>
            </w:tcBorders>
            <w:noWrap/>
            <w:vAlign w:val="bottom"/>
            <w:hideMark/>
          </w:tcPr>
          <w:p w14:paraId="0703FC4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0.2738**</w:t>
            </w:r>
          </w:p>
        </w:tc>
        <w:tc>
          <w:tcPr>
            <w:tcW w:w="1380" w:type="dxa"/>
            <w:tcBorders>
              <w:top w:val="nil"/>
              <w:left w:val="nil"/>
              <w:bottom w:val="nil"/>
              <w:right w:val="nil"/>
            </w:tcBorders>
            <w:noWrap/>
            <w:vAlign w:val="bottom"/>
            <w:hideMark/>
          </w:tcPr>
          <w:p w14:paraId="3EF260D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0.1643**</w:t>
            </w:r>
          </w:p>
        </w:tc>
        <w:tc>
          <w:tcPr>
            <w:tcW w:w="1400" w:type="dxa"/>
            <w:tcBorders>
              <w:top w:val="nil"/>
              <w:left w:val="nil"/>
              <w:bottom w:val="nil"/>
              <w:right w:val="nil"/>
            </w:tcBorders>
            <w:noWrap/>
            <w:vAlign w:val="bottom"/>
            <w:hideMark/>
          </w:tcPr>
          <w:p w14:paraId="737A46F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0.2631**</w:t>
            </w:r>
          </w:p>
        </w:tc>
        <w:tc>
          <w:tcPr>
            <w:tcW w:w="1420" w:type="dxa"/>
            <w:tcBorders>
              <w:top w:val="nil"/>
              <w:left w:val="nil"/>
              <w:bottom w:val="nil"/>
              <w:right w:val="nil"/>
            </w:tcBorders>
            <w:noWrap/>
            <w:vAlign w:val="bottom"/>
            <w:hideMark/>
          </w:tcPr>
          <w:p w14:paraId="35022FC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-0.1589*</w:t>
            </w:r>
          </w:p>
        </w:tc>
        <w:tc>
          <w:tcPr>
            <w:tcW w:w="1420" w:type="dxa"/>
            <w:tcBorders>
              <w:top w:val="nil"/>
              <w:left w:val="nil"/>
              <w:bottom w:val="nil"/>
              <w:right w:val="nil"/>
            </w:tcBorders>
            <w:noWrap/>
            <w:vAlign w:val="bottom"/>
            <w:hideMark/>
          </w:tcPr>
          <w:p w14:paraId="2FF0A7D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-0.1731</w:t>
            </w:r>
          </w:p>
        </w:tc>
        <w:tc>
          <w:tcPr>
            <w:tcW w:w="1420" w:type="dxa"/>
            <w:tcBorders>
              <w:top w:val="nil"/>
              <w:left w:val="nil"/>
              <w:bottom w:val="nil"/>
              <w:right w:val="nil"/>
            </w:tcBorders>
            <w:noWrap/>
            <w:vAlign w:val="bottom"/>
            <w:hideMark/>
          </w:tcPr>
          <w:p w14:paraId="3E647B5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-0.2662**</w:t>
            </w:r>
          </w:p>
        </w:tc>
        <w:tc>
          <w:tcPr>
            <w:tcW w:w="1420" w:type="dxa"/>
            <w:tcBorders>
              <w:top w:val="nil"/>
              <w:left w:val="nil"/>
              <w:bottom w:val="nil"/>
              <w:right w:val="nil"/>
            </w:tcBorders>
            <w:noWrap/>
            <w:vAlign w:val="bottom"/>
            <w:hideMark/>
          </w:tcPr>
          <w:p w14:paraId="2FDC78F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-0.2290**</w:t>
            </w:r>
          </w:p>
        </w:tc>
      </w:tr>
      <w:tr w:rsidR="00B5549F" w:rsidRPr="00B5549F" w14:paraId="6FB60B31" w14:textId="77777777" w:rsidTr="00E02797">
        <w:trPr>
          <w:trHeight w:val="20"/>
          <w:jc w:val="center"/>
        </w:trPr>
        <w:tc>
          <w:tcPr>
            <w:tcW w:w="2551" w:type="dxa"/>
            <w:tcBorders>
              <w:top w:val="nil"/>
              <w:left w:val="nil"/>
              <w:bottom w:val="nil"/>
              <w:right w:val="nil"/>
            </w:tcBorders>
            <w:noWrap/>
            <w:vAlign w:val="bottom"/>
            <w:hideMark/>
          </w:tcPr>
          <w:p w14:paraId="49AB0F8E"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380" w:type="dxa"/>
            <w:tcBorders>
              <w:top w:val="nil"/>
              <w:left w:val="nil"/>
              <w:bottom w:val="nil"/>
              <w:right w:val="nil"/>
            </w:tcBorders>
            <w:noWrap/>
            <w:vAlign w:val="bottom"/>
            <w:hideMark/>
          </w:tcPr>
          <w:p w14:paraId="4280A2E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(0.069)</w:t>
            </w:r>
          </w:p>
        </w:tc>
        <w:tc>
          <w:tcPr>
            <w:tcW w:w="1400" w:type="dxa"/>
            <w:tcBorders>
              <w:top w:val="nil"/>
              <w:left w:val="nil"/>
              <w:bottom w:val="nil"/>
              <w:right w:val="nil"/>
            </w:tcBorders>
            <w:noWrap/>
            <w:vAlign w:val="bottom"/>
            <w:hideMark/>
          </w:tcPr>
          <w:p w14:paraId="5BF5B24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(0.116)</w:t>
            </w:r>
          </w:p>
        </w:tc>
        <w:tc>
          <w:tcPr>
            <w:tcW w:w="1380" w:type="dxa"/>
            <w:tcBorders>
              <w:top w:val="nil"/>
              <w:left w:val="nil"/>
              <w:bottom w:val="nil"/>
              <w:right w:val="nil"/>
            </w:tcBorders>
            <w:noWrap/>
            <w:vAlign w:val="bottom"/>
            <w:hideMark/>
          </w:tcPr>
          <w:p w14:paraId="7BC6645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(0.068)</w:t>
            </w:r>
          </w:p>
        </w:tc>
        <w:tc>
          <w:tcPr>
            <w:tcW w:w="1400" w:type="dxa"/>
            <w:tcBorders>
              <w:top w:val="nil"/>
              <w:left w:val="nil"/>
              <w:bottom w:val="nil"/>
              <w:right w:val="nil"/>
            </w:tcBorders>
            <w:noWrap/>
            <w:vAlign w:val="bottom"/>
            <w:hideMark/>
          </w:tcPr>
          <w:p w14:paraId="0504C0D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(0.132)</w:t>
            </w:r>
          </w:p>
        </w:tc>
        <w:tc>
          <w:tcPr>
            <w:tcW w:w="1420" w:type="dxa"/>
            <w:tcBorders>
              <w:top w:val="nil"/>
              <w:left w:val="nil"/>
              <w:bottom w:val="nil"/>
              <w:right w:val="nil"/>
            </w:tcBorders>
            <w:noWrap/>
            <w:vAlign w:val="bottom"/>
            <w:hideMark/>
          </w:tcPr>
          <w:p w14:paraId="2267B4F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(0.096)</w:t>
            </w:r>
          </w:p>
        </w:tc>
        <w:tc>
          <w:tcPr>
            <w:tcW w:w="1420" w:type="dxa"/>
            <w:tcBorders>
              <w:top w:val="nil"/>
              <w:left w:val="nil"/>
              <w:bottom w:val="nil"/>
              <w:right w:val="nil"/>
            </w:tcBorders>
            <w:noWrap/>
            <w:vAlign w:val="bottom"/>
            <w:hideMark/>
          </w:tcPr>
          <w:p w14:paraId="7F96BAB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(0.117)</w:t>
            </w:r>
          </w:p>
        </w:tc>
        <w:tc>
          <w:tcPr>
            <w:tcW w:w="1420" w:type="dxa"/>
            <w:tcBorders>
              <w:top w:val="nil"/>
              <w:left w:val="nil"/>
              <w:bottom w:val="nil"/>
              <w:right w:val="nil"/>
            </w:tcBorders>
            <w:noWrap/>
            <w:vAlign w:val="bottom"/>
            <w:hideMark/>
          </w:tcPr>
          <w:p w14:paraId="54865E9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(0.115)</w:t>
            </w:r>
          </w:p>
        </w:tc>
        <w:tc>
          <w:tcPr>
            <w:tcW w:w="1420" w:type="dxa"/>
            <w:tcBorders>
              <w:top w:val="nil"/>
              <w:left w:val="nil"/>
              <w:bottom w:val="nil"/>
              <w:right w:val="nil"/>
            </w:tcBorders>
            <w:noWrap/>
            <w:vAlign w:val="bottom"/>
            <w:hideMark/>
          </w:tcPr>
          <w:p w14:paraId="41E7ABC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(0.115)</w:t>
            </w:r>
          </w:p>
        </w:tc>
      </w:tr>
      <w:tr w:rsidR="00B5549F" w:rsidRPr="00B5549F" w14:paraId="30828421" w14:textId="77777777" w:rsidTr="00E02797">
        <w:trPr>
          <w:trHeight w:val="20"/>
          <w:jc w:val="center"/>
        </w:trPr>
        <w:tc>
          <w:tcPr>
            <w:tcW w:w="2551" w:type="dxa"/>
            <w:tcBorders>
              <w:top w:val="nil"/>
              <w:left w:val="nil"/>
              <w:bottom w:val="nil"/>
              <w:right w:val="nil"/>
            </w:tcBorders>
            <w:noWrap/>
            <w:vAlign w:val="bottom"/>
            <w:hideMark/>
          </w:tcPr>
          <w:p w14:paraId="35D85A73"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 xml:space="preserve">ln </w:t>
            </w:r>
            <w:proofErr w:type="spellStart"/>
            <w:r w:rsidRPr="00B5549F">
              <w:rPr>
                <w:rFonts w:ascii="Times New Roman" w:hAnsi="Times New Roman" w:cs="Times New Roman"/>
                <w:i/>
                <w:iCs/>
                <w:color w:val="000000" w:themeColor="text1"/>
                <w:sz w:val="18"/>
                <w:szCs w:val="18"/>
              </w:rPr>
              <w:t>BedHotels</w:t>
            </w:r>
            <w:r w:rsidRPr="00B5549F">
              <w:rPr>
                <w:rFonts w:ascii="Times New Roman" w:hAnsi="Times New Roman" w:cs="Times New Roman"/>
                <w:i/>
                <w:iCs/>
                <w:color w:val="000000" w:themeColor="text1"/>
                <w:sz w:val="18"/>
                <w:szCs w:val="18"/>
                <w:vertAlign w:val="subscript"/>
              </w:rPr>
              <w:t>p</w:t>
            </w:r>
            <w:proofErr w:type="spellEnd"/>
          </w:p>
        </w:tc>
        <w:tc>
          <w:tcPr>
            <w:tcW w:w="1380" w:type="dxa"/>
            <w:tcBorders>
              <w:top w:val="nil"/>
              <w:left w:val="nil"/>
              <w:bottom w:val="nil"/>
              <w:right w:val="nil"/>
            </w:tcBorders>
            <w:noWrap/>
            <w:vAlign w:val="bottom"/>
            <w:hideMark/>
          </w:tcPr>
          <w:p w14:paraId="4812CD2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0.0586***</w:t>
            </w:r>
          </w:p>
        </w:tc>
        <w:tc>
          <w:tcPr>
            <w:tcW w:w="1400" w:type="dxa"/>
            <w:tcBorders>
              <w:top w:val="nil"/>
              <w:left w:val="nil"/>
              <w:bottom w:val="nil"/>
              <w:right w:val="nil"/>
            </w:tcBorders>
            <w:noWrap/>
            <w:vAlign w:val="bottom"/>
            <w:hideMark/>
          </w:tcPr>
          <w:p w14:paraId="1455808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0.0934***</w:t>
            </w:r>
          </w:p>
        </w:tc>
        <w:tc>
          <w:tcPr>
            <w:tcW w:w="1380" w:type="dxa"/>
            <w:tcBorders>
              <w:top w:val="nil"/>
              <w:left w:val="nil"/>
              <w:bottom w:val="nil"/>
              <w:right w:val="nil"/>
            </w:tcBorders>
            <w:noWrap/>
            <w:vAlign w:val="bottom"/>
            <w:hideMark/>
          </w:tcPr>
          <w:p w14:paraId="2F2F89D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0.0577***</w:t>
            </w:r>
          </w:p>
        </w:tc>
        <w:tc>
          <w:tcPr>
            <w:tcW w:w="1400" w:type="dxa"/>
            <w:tcBorders>
              <w:top w:val="nil"/>
              <w:left w:val="nil"/>
              <w:bottom w:val="nil"/>
              <w:right w:val="nil"/>
            </w:tcBorders>
            <w:noWrap/>
            <w:vAlign w:val="bottom"/>
            <w:hideMark/>
          </w:tcPr>
          <w:p w14:paraId="4DC7C0B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0.0915***</w:t>
            </w:r>
          </w:p>
        </w:tc>
        <w:tc>
          <w:tcPr>
            <w:tcW w:w="1420" w:type="dxa"/>
            <w:tcBorders>
              <w:top w:val="nil"/>
              <w:left w:val="nil"/>
              <w:bottom w:val="nil"/>
              <w:right w:val="nil"/>
            </w:tcBorders>
            <w:noWrap/>
            <w:vAlign w:val="bottom"/>
            <w:hideMark/>
          </w:tcPr>
          <w:p w14:paraId="03381A0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0.0725***</w:t>
            </w:r>
          </w:p>
        </w:tc>
        <w:tc>
          <w:tcPr>
            <w:tcW w:w="1420" w:type="dxa"/>
            <w:tcBorders>
              <w:top w:val="nil"/>
              <w:left w:val="nil"/>
              <w:bottom w:val="nil"/>
              <w:right w:val="nil"/>
            </w:tcBorders>
            <w:noWrap/>
            <w:vAlign w:val="bottom"/>
            <w:hideMark/>
          </w:tcPr>
          <w:p w14:paraId="1A4A215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0.0783***</w:t>
            </w:r>
          </w:p>
        </w:tc>
        <w:tc>
          <w:tcPr>
            <w:tcW w:w="1420" w:type="dxa"/>
            <w:tcBorders>
              <w:top w:val="nil"/>
              <w:left w:val="nil"/>
              <w:bottom w:val="nil"/>
              <w:right w:val="nil"/>
            </w:tcBorders>
            <w:noWrap/>
            <w:vAlign w:val="bottom"/>
            <w:hideMark/>
          </w:tcPr>
          <w:p w14:paraId="28EE721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0.0727***</w:t>
            </w:r>
          </w:p>
        </w:tc>
        <w:tc>
          <w:tcPr>
            <w:tcW w:w="1420" w:type="dxa"/>
            <w:tcBorders>
              <w:top w:val="nil"/>
              <w:left w:val="nil"/>
              <w:bottom w:val="nil"/>
              <w:right w:val="nil"/>
            </w:tcBorders>
            <w:noWrap/>
            <w:vAlign w:val="bottom"/>
            <w:hideMark/>
          </w:tcPr>
          <w:p w14:paraId="5E9C62A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0.0792***</w:t>
            </w:r>
          </w:p>
        </w:tc>
      </w:tr>
      <w:tr w:rsidR="00B5549F" w:rsidRPr="00B5549F" w14:paraId="16E500C1" w14:textId="77777777" w:rsidTr="00E02797">
        <w:trPr>
          <w:trHeight w:val="20"/>
          <w:jc w:val="center"/>
        </w:trPr>
        <w:tc>
          <w:tcPr>
            <w:tcW w:w="2551" w:type="dxa"/>
            <w:tcBorders>
              <w:top w:val="nil"/>
              <w:left w:val="nil"/>
              <w:bottom w:val="nil"/>
              <w:right w:val="nil"/>
            </w:tcBorders>
            <w:noWrap/>
            <w:vAlign w:val="bottom"/>
            <w:hideMark/>
          </w:tcPr>
          <w:p w14:paraId="1A13B471"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380" w:type="dxa"/>
            <w:tcBorders>
              <w:top w:val="nil"/>
              <w:left w:val="nil"/>
              <w:bottom w:val="nil"/>
              <w:right w:val="nil"/>
            </w:tcBorders>
            <w:noWrap/>
            <w:vAlign w:val="bottom"/>
            <w:hideMark/>
          </w:tcPr>
          <w:p w14:paraId="00FE0D5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(0.015)</w:t>
            </w:r>
          </w:p>
        </w:tc>
        <w:tc>
          <w:tcPr>
            <w:tcW w:w="1400" w:type="dxa"/>
            <w:tcBorders>
              <w:top w:val="nil"/>
              <w:left w:val="nil"/>
              <w:bottom w:val="nil"/>
              <w:right w:val="nil"/>
            </w:tcBorders>
            <w:noWrap/>
            <w:vAlign w:val="bottom"/>
            <w:hideMark/>
          </w:tcPr>
          <w:p w14:paraId="2D52CEF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(0.026)</w:t>
            </w:r>
          </w:p>
        </w:tc>
        <w:tc>
          <w:tcPr>
            <w:tcW w:w="1380" w:type="dxa"/>
            <w:tcBorders>
              <w:top w:val="nil"/>
              <w:left w:val="nil"/>
              <w:bottom w:val="nil"/>
              <w:right w:val="nil"/>
            </w:tcBorders>
            <w:noWrap/>
            <w:vAlign w:val="bottom"/>
            <w:hideMark/>
          </w:tcPr>
          <w:p w14:paraId="5CD9FBE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(0.015)</w:t>
            </w:r>
          </w:p>
        </w:tc>
        <w:tc>
          <w:tcPr>
            <w:tcW w:w="1400" w:type="dxa"/>
            <w:tcBorders>
              <w:top w:val="nil"/>
              <w:left w:val="nil"/>
              <w:bottom w:val="nil"/>
              <w:right w:val="nil"/>
            </w:tcBorders>
            <w:noWrap/>
            <w:vAlign w:val="bottom"/>
            <w:hideMark/>
          </w:tcPr>
          <w:p w14:paraId="31A2623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(0.026)</w:t>
            </w:r>
          </w:p>
        </w:tc>
        <w:tc>
          <w:tcPr>
            <w:tcW w:w="1420" w:type="dxa"/>
            <w:tcBorders>
              <w:top w:val="nil"/>
              <w:left w:val="nil"/>
              <w:bottom w:val="nil"/>
              <w:right w:val="nil"/>
            </w:tcBorders>
            <w:noWrap/>
            <w:vAlign w:val="bottom"/>
            <w:hideMark/>
          </w:tcPr>
          <w:p w14:paraId="3D9DBEA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(0.021)</w:t>
            </w:r>
          </w:p>
        </w:tc>
        <w:tc>
          <w:tcPr>
            <w:tcW w:w="1420" w:type="dxa"/>
            <w:tcBorders>
              <w:top w:val="nil"/>
              <w:left w:val="nil"/>
              <w:bottom w:val="nil"/>
              <w:right w:val="nil"/>
            </w:tcBorders>
            <w:noWrap/>
            <w:vAlign w:val="bottom"/>
            <w:hideMark/>
          </w:tcPr>
          <w:p w14:paraId="67A8DA9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(0.027)</w:t>
            </w:r>
          </w:p>
        </w:tc>
        <w:tc>
          <w:tcPr>
            <w:tcW w:w="1420" w:type="dxa"/>
            <w:tcBorders>
              <w:top w:val="nil"/>
              <w:left w:val="nil"/>
              <w:bottom w:val="nil"/>
              <w:right w:val="nil"/>
            </w:tcBorders>
            <w:noWrap/>
            <w:vAlign w:val="bottom"/>
            <w:hideMark/>
          </w:tcPr>
          <w:p w14:paraId="53D7F58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(0.022)</w:t>
            </w:r>
          </w:p>
        </w:tc>
        <w:tc>
          <w:tcPr>
            <w:tcW w:w="1420" w:type="dxa"/>
            <w:tcBorders>
              <w:top w:val="nil"/>
              <w:left w:val="nil"/>
              <w:bottom w:val="nil"/>
              <w:right w:val="nil"/>
            </w:tcBorders>
            <w:noWrap/>
            <w:vAlign w:val="bottom"/>
            <w:hideMark/>
          </w:tcPr>
          <w:p w14:paraId="1EF422B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(0.024)</w:t>
            </w:r>
          </w:p>
        </w:tc>
      </w:tr>
      <w:tr w:rsidR="00B5549F" w:rsidRPr="00B5549F" w14:paraId="3737DF30" w14:textId="77777777" w:rsidTr="00E02797">
        <w:trPr>
          <w:trHeight w:val="20"/>
          <w:jc w:val="center"/>
        </w:trPr>
        <w:tc>
          <w:tcPr>
            <w:tcW w:w="2551" w:type="dxa"/>
            <w:tcBorders>
              <w:top w:val="nil"/>
              <w:left w:val="nil"/>
              <w:bottom w:val="nil"/>
              <w:right w:val="nil"/>
            </w:tcBorders>
            <w:noWrap/>
            <w:vAlign w:val="bottom"/>
            <w:hideMark/>
          </w:tcPr>
          <w:p w14:paraId="6A5AB504"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Constant</w:t>
            </w:r>
          </w:p>
        </w:tc>
        <w:tc>
          <w:tcPr>
            <w:tcW w:w="1380" w:type="dxa"/>
            <w:tcBorders>
              <w:top w:val="nil"/>
              <w:left w:val="nil"/>
              <w:bottom w:val="nil"/>
              <w:right w:val="nil"/>
            </w:tcBorders>
            <w:noWrap/>
            <w:vAlign w:val="bottom"/>
            <w:hideMark/>
          </w:tcPr>
          <w:p w14:paraId="34DF508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-3.3957***</w:t>
            </w:r>
          </w:p>
        </w:tc>
        <w:tc>
          <w:tcPr>
            <w:tcW w:w="1400" w:type="dxa"/>
            <w:tcBorders>
              <w:top w:val="nil"/>
              <w:left w:val="nil"/>
              <w:bottom w:val="nil"/>
              <w:right w:val="nil"/>
            </w:tcBorders>
            <w:noWrap/>
            <w:vAlign w:val="bottom"/>
            <w:hideMark/>
          </w:tcPr>
          <w:p w14:paraId="7621A22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-4.8880***</w:t>
            </w:r>
          </w:p>
        </w:tc>
        <w:tc>
          <w:tcPr>
            <w:tcW w:w="1380" w:type="dxa"/>
            <w:tcBorders>
              <w:top w:val="nil"/>
              <w:left w:val="nil"/>
              <w:bottom w:val="nil"/>
              <w:right w:val="nil"/>
            </w:tcBorders>
            <w:noWrap/>
            <w:vAlign w:val="bottom"/>
            <w:hideMark/>
          </w:tcPr>
          <w:p w14:paraId="0356EB8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-3.4251***</w:t>
            </w:r>
          </w:p>
        </w:tc>
        <w:tc>
          <w:tcPr>
            <w:tcW w:w="1400" w:type="dxa"/>
            <w:tcBorders>
              <w:top w:val="nil"/>
              <w:left w:val="nil"/>
              <w:bottom w:val="nil"/>
              <w:right w:val="nil"/>
            </w:tcBorders>
            <w:noWrap/>
            <w:vAlign w:val="bottom"/>
            <w:hideMark/>
          </w:tcPr>
          <w:p w14:paraId="3896F5A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-4.9419***</w:t>
            </w:r>
          </w:p>
        </w:tc>
        <w:tc>
          <w:tcPr>
            <w:tcW w:w="1420" w:type="dxa"/>
            <w:tcBorders>
              <w:top w:val="nil"/>
              <w:left w:val="nil"/>
              <w:bottom w:val="nil"/>
              <w:right w:val="nil"/>
            </w:tcBorders>
            <w:noWrap/>
            <w:vAlign w:val="bottom"/>
            <w:hideMark/>
          </w:tcPr>
          <w:p w14:paraId="125B16C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-3.7750***</w:t>
            </w:r>
          </w:p>
        </w:tc>
        <w:tc>
          <w:tcPr>
            <w:tcW w:w="1420" w:type="dxa"/>
            <w:tcBorders>
              <w:top w:val="nil"/>
              <w:left w:val="nil"/>
              <w:bottom w:val="nil"/>
              <w:right w:val="nil"/>
            </w:tcBorders>
            <w:noWrap/>
            <w:vAlign w:val="bottom"/>
            <w:hideMark/>
          </w:tcPr>
          <w:p w14:paraId="4B85CDF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-3.7535***</w:t>
            </w:r>
          </w:p>
        </w:tc>
        <w:tc>
          <w:tcPr>
            <w:tcW w:w="1420" w:type="dxa"/>
            <w:tcBorders>
              <w:top w:val="nil"/>
              <w:left w:val="nil"/>
              <w:bottom w:val="nil"/>
              <w:right w:val="nil"/>
            </w:tcBorders>
            <w:noWrap/>
            <w:vAlign w:val="bottom"/>
            <w:hideMark/>
          </w:tcPr>
          <w:p w14:paraId="673AAE3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-3.4514***</w:t>
            </w:r>
          </w:p>
        </w:tc>
        <w:tc>
          <w:tcPr>
            <w:tcW w:w="1420" w:type="dxa"/>
            <w:tcBorders>
              <w:top w:val="nil"/>
              <w:left w:val="nil"/>
              <w:bottom w:val="nil"/>
              <w:right w:val="nil"/>
            </w:tcBorders>
            <w:noWrap/>
            <w:vAlign w:val="bottom"/>
            <w:hideMark/>
          </w:tcPr>
          <w:p w14:paraId="5139F34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-2.8552***</w:t>
            </w:r>
          </w:p>
        </w:tc>
      </w:tr>
      <w:tr w:rsidR="00B5549F" w:rsidRPr="00B5549F" w14:paraId="19097ED4" w14:textId="77777777" w:rsidTr="00E02797">
        <w:trPr>
          <w:trHeight w:val="20"/>
          <w:jc w:val="center"/>
        </w:trPr>
        <w:tc>
          <w:tcPr>
            <w:tcW w:w="2551" w:type="dxa"/>
            <w:tcBorders>
              <w:top w:val="nil"/>
              <w:left w:val="nil"/>
              <w:bottom w:val="nil"/>
              <w:right w:val="nil"/>
            </w:tcBorders>
            <w:noWrap/>
            <w:vAlign w:val="bottom"/>
            <w:hideMark/>
          </w:tcPr>
          <w:p w14:paraId="757A04D5"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380" w:type="dxa"/>
            <w:tcBorders>
              <w:top w:val="nil"/>
              <w:left w:val="nil"/>
              <w:bottom w:val="nil"/>
              <w:right w:val="nil"/>
            </w:tcBorders>
            <w:noWrap/>
            <w:vAlign w:val="bottom"/>
            <w:hideMark/>
          </w:tcPr>
          <w:p w14:paraId="65185BC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(0.339)</w:t>
            </w:r>
          </w:p>
        </w:tc>
        <w:tc>
          <w:tcPr>
            <w:tcW w:w="1400" w:type="dxa"/>
            <w:tcBorders>
              <w:top w:val="nil"/>
              <w:left w:val="nil"/>
              <w:bottom w:val="nil"/>
              <w:right w:val="nil"/>
            </w:tcBorders>
            <w:noWrap/>
            <w:vAlign w:val="bottom"/>
            <w:hideMark/>
          </w:tcPr>
          <w:p w14:paraId="72850F6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(0.472)</w:t>
            </w:r>
          </w:p>
        </w:tc>
        <w:tc>
          <w:tcPr>
            <w:tcW w:w="1380" w:type="dxa"/>
            <w:tcBorders>
              <w:top w:val="nil"/>
              <w:left w:val="nil"/>
              <w:bottom w:val="nil"/>
              <w:right w:val="nil"/>
            </w:tcBorders>
            <w:noWrap/>
            <w:vAlign w:val="bottom"/>
            <w:hideMark/>
          </w:tcPr>
          <w:p w14:paraId="75AC816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(0.342)</w:t>
            </w:r>
          </w:p>
        </w:tc>
        <w:tc>
          <w:tcPr>
            <w:tcW w:w="1400" w:type="dxa"/>
            <w:tcBorders>
              <w:top w:val="nil"/>
              <w:left w:val="nil"/>
              <w:bottom w:val="nil"/>
              <w:right w:val="nil"/>
            </w:tcBorders>
            <w:noWrap/>
            <w:vAlign w:val="bottom"/>
            <w:hideMark/>
          </w:tcPr>
          <w:p w14:paraId="75EE875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(0.508)</w:t>
            </w:r>
          </w:p>
        </w:tc>
        <w:tc>
          <w:tcPr>
            <w:tcW w:w="1420" w:type="dxa"/>
            <w:tcBorders>
              <w:top w:val="nil"/>
              <w:left w:val="nil"/>
              <w:bottom w:val="nil"/>
              <w:right w:val="nil"/>
            </w:tcBorders>
            <w:noWrap/>
            <w:vAlign w:val="bottom"/>
            <w:hideMark/>
          </w:tcPr>
          <w:p w14:paraId="5ACA225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(0.352)</w:t>
            </w:r>
          </w:p>
        </w:tc>
        <w:tc>
          <w:tcPr>
            <w:tcW w:w="1420" w:type="dxa"/>
            <w:tcBorders>
              <w:top w:val="nil"/>
              <w:left w:val="nil"/>
              <w:bottom w:val="nil"/>
              <w:right w:val="nil"/>
            </w:tcBorders>
            <w:noWrap/>
            <w:vAlign w:val="bottom"/>
            <w:hideMark/>
          </w:tcPr>
          <w:p w14:paraId="17943D7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(0.564)</w:t>
            </w:r>
          </w:p>
        </w:tc>
        <w:tc>
          <w:tcPr>
            <w:tcW w:w="1420" w:type="dxa"/>
            <w:tcBorders>
              <w:top w:val="nil"/>
              <w:left w:val="nil"/>
              <w:bottom w:val="nil"/>
              <w:right w:val="nil"/>
            </w:tcBorders>
            <w:noWrap/>
            <w:vAlign w:val="bottom"/>
            <w:hideMark/>
          </w:tcPr>
          <w:p w14:paraId="2D06101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(0.389)</w:t>
            </w:r>
          </w:p>
        </w:tc>
        <w:tc>
          <w:tcPr>
            <w:tcW w:w="1420" w:type="dxa"/>
            <w:tcBorders>
              <w:top w:val="nil"/>
              <w:left w:val="nil"/>
              <w:bottom w:val="nil"/>
              <w:right w:val="nil"/>
            </w:tcBorders>
            <w:noWrap/>
            <w:vAlign w:val="bottom"/>
            <w:hideMark/>
          </w:tcPr>
          <w:p w14:paraId="5CA3F56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(0.430)</w:t>
            </w:r>
          </w:p>
        </w:tc>
      </w:tr>
      <w:tr w:rsidR="00B5549F" w:rsidRPr="00B5549F" w14:paraId="7D845E57" w14:textId="77777777" w:rsidTr="00E02797">
        <w:trPr>
          <w:trHeight w:val="20"/>
          <w:jc w:val="center"/>
        </w:trPr>
        <w:tc>
          <w:tcPr>
            <w:tcW w:w="2551" w:type="dxa"/>
            <w:tcBorders>
              <w:top w:val="nil"/>
              <w:left w:val="nil"/>
              <w:bottom w:val="nil"/>
              <w:right w:val="nil"/>
            </w:tcBorders>
            <w:noWrap/>
            <w:vAlign w:val="bottom"/>
          </w:tcPr>
          <w:p w14:paraId="1C5356C5" w14:textId="77777777" w:rsidR="00985916" w:rsidRPr="00B5549F" w:rsidRDefault="00985916" w:rsidP="00985916">
            <w:pPr>
              <w:contextualSpacing/>
              <w:rPr>
                <w:rFonts w:ascii="Times New Roman" w:hAnsi="Times New Roman" w:cs="Times New Roman"/>
                <w:color w:val="000000" w:themeColor="text1"/>
                <w:sz w:val="18"/>
                <w:szCs w:val="18"/>
              </w:rPr>
            </w:pPr>
            <w:proofErr w:type="spellStart"/>
            <w:r w:rsidRPr="00B5549F">
              <w:rPr>
                <w:rFonts w:ascii="Times New Roman" w:hAnsi="Times New Roman" w:cs="Times New Roman"/>
                <w:color w:val="000000" w:themeColor="text1"/>
                <w:sz w:val="18"/>
                <w:szCs w:val="18"/>
              </w:rPr>
              <w:t>Month</w:t>
            </w:r>
            <w:proofErr w:type="spellEnd"/>
            <w:r w:rsidRPr="00B5549F">
              <w:rPr>
                <w:rFonts w:ascii="Times New Roman" w:hAnsi="Times New Roman" w:cs="Times New Roman"/>
                <w:color w:val="000000" w:themeColor="text1"/>
                <w:sz w:val="18"/>
                <w:szCs w:val="18"/>
              </w:rPr>
              <w:t xml:space="preserve"> fe</w:t>
            </w:r>
          </w:p>
        </w:tc>
        <w:tc>
          <w:tcPr>
            <w:tcW w:w="1380" w:type="dxa"/>
            <w:tcBorders>
              <w:top w:val="nil"/>
              <w:left w:val="nil"/>
              <w:bottom w:val="nil"/>
              <w:right w:val="nil"/>
            </w:tcBorders>
            <w:noWrap/>
            <w:vAlign w:val="bottom"/>
          </w:tcPr>
          <w:p w14:paraId="44348F8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400" w:type="dxa"/>
            <w:tcBorders>
              <w:top w:val="nil"/>
              <w:left w:val="nil"/>
              <w:bottom w:val="nil"/>
              <w:right w:val="nil"/>
            </w:tcBorders>
            <w:noWrap/>
            <w:vAlign w:val="bottom"/>
          </w:tcPr>
          <w:p w14:paraId="2F73A86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380" w:type="dxa"/>
            <w:tcBorders>
              <w:top w:val="nil"/>
              <w:left w:val="nil"/>
              <w:bottom w:val="nil"/>
              <w:right w:val="nil"/>
            </w:tcBorders>
            <w:noWrap/>
            <w:vAlign w:val="bottom"/>
          </w:tcPr>
          <w:p w14:paraId="030F65C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400" w:type="dxa"/>
            <w:tcBorders>
              <w:top w:val="nil"/>
              <w:left w:val="nil"/>
              <w:bottom w:val="nil"/>
              <w:right w:val="nil"/>
            </w:tcBorders>
            <w:noWrap/>
            <w:vAlign w:val="bottom"/>
          </w:tcPr>
          <w:p w14:paraId="00BF992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420" w:type="dxa"/>
            <w:tcBorders>
              <w:top w:val="nil"/>
              <w:left w:val="nil"/>
              <w:bottom w:val="nil"/>
              <w:right w:val="nil"/>
            </w:tcBorders>
            <w:noWrap/>
            <w:vAlign w:val="bottom"/>
          </w:tcPr>
          <w:p w14:paraId="5162055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420" w:type="dxa"/>
            <w:tcBorders>
              <w:top w:val="nil"/>
              <w:left w:val="nil"/>
              <w:bottom w:val="nil"/>
              <w:right w:val="nil"/>
            </w:tcBorders>
            <w:noWrap/>
            <w:vAlign w:val="bottom"/>
          </w:tcPr>
          <w:p w14:paraId="3873CB9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420" w:type="dxa"/>
            <w:tcBorders>
              <w:top w:val="nil"/>
              <w:left w:val="nil"/>
              <w:bottom w:val="nil"/>
              <w:right w:val="nil"/>
            </w:tcBorders>
            <w:noWrap/>
            <w:vAlign w:val="bottom"/>
          </w:tcPr>
          <w:p w14:paraId="4D5649A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420" w:type="dxa"/>
            <w:tcBorders>
              <w:top w:val="nil"/>
              <w:left w:val="nil"/>
              <w:bottom w:val="nil"/>
              <w:right w:val="nil"/>
            </w:tcBorders>
            <w:noWrap/>
            <w:vAlign w:val="bottom"/>
          </w:tcPr>
          <w:p w14:paraId="025477C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r>
      <w:tr w:rsidR="00B5549F" w:rsidRPr="00B5549F" w14:paraId="363E5D65" w14:textId="77777777" w:rsidTr="00E02797">
        <w:trPr>
          <w:trHeight w:val="20"/>
          <w:jc w:val="center"/>
        </w:trPr>
        <w:tc>
          <w:tcPr>
            <w:tcW w:w="2551" w:type="dxa"/>
            <w:tcBorders>
              <w:top w:val="nil"/>
              <w:left w:val="nil"/>
              <w:bottom w:val="nil"/>
              <w:right w:val="nil"/>
            </w:tcBorders>
            <w:noWrap/>
            <w:vAlign w:val="bottom"/>
          </w:tcPr>
          <w:p w14:paraId="5A242744"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Time Trend</w:t>
            </w:r>
          </w:p>
        </w:tc>
        <w:tc>
          <w:tcPr>
            <w:tcW w:w="1380" w:type="dxa"/>
            <w:tcBorders>
              <w:top w:val="nil"/>
              <w:left w:val="nil"/>
              <w:bottom w:val="nil"/>
              <w:right w:val="nil"/>
            </w:tcBorders>
            <w:noWrap/>
            <w:vAlign w:val="bottom"/>
          </w:tcPr>
          <w:p w14:paraId="38034F9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400" w:type="dxa"/>
            <w:tcBorders>
              <w:top w:val="nil"/>
              <w:left w:val="nil"/>
              <w:bottom w:val="nil"/>
              <w:right w:val="nil"/>
            </w:tcBorders>
            <w:noWrap/>
            <w:vAlign w:val="bottom"/>
          </w:tcPr>
          <w:p w14:paraId="72123A2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380" w:type="dxa"/>
            <w:tcBorders>
              <w:top w:val="nil"/>
              <w:left w:val="nil"/>
              <w:bottom w:val="nil"/>
              <w:right w:val="nil"/>
            </w:tcBorders>
            <w:noWrap/>
            <w:vAlign w:val="bottom"/>
          </w:tcPr>
          <w:p w14:paraId="404E27F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400" w:type="dxa"/>
            <w:tcBorders>
              <w:top w:val="nil"/>
              <w:left w:val="nil"/>
              <w:bottom w:val="nil"/>
              <w:right w:val="nil"/>
            </w:tcBorders>
            <w:noWrap/>
            <w:vAlign w:val="bottom"/>
          </w:tcPr>
          <w:p w14:paraId="115FE5F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420" w:type="dxa"/>
            <w:tcBorders>
              <w:top w:val="nil"/>
              <w:left w:val="nil"/>
              <w:bottom w:val="nil"/>
              <w:right w:val="nil"/>
            </w:tcBorders>
            <w:noWrap/>
            <w:vAlign w:val="bottom"/>
          </w:tcPr>
          <w:p w14:paraId="2705967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420" w:type="dxa"/>
            <w:tcBorders>
              <w:top w:val="nil"/>
              <w:left w:val="nil"/>
              <w:bottom w:val="nil"/>
              <w:right w:val="nil"/>
            </w:tcBorders>
            <w:noWrap/>
            <w:vAlign w:val="bottom"/>
          </w:tcPr>
          <w:p w14:paraId="1C69F80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420" w:type="dxa"/>
            <w:tcBorders>
              <w:top w:val="nil"/>
              <w:left w:val="nil"/>
              <w:bottom w:val="nil"/>
              <w:right w:val="nil"/>
            </w:tcBorders>
            <w:noWrap/>
            <w:vAlign w:val="bottom"/>
          </w:tcPr>
          <w:p w14:paraId="285CB8C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420" w:type="dxa"/>
            <w:tcBorders>
              <w:top w:val="nil"/>
              <w:left w:val="nil"/>
              <w:bottom w:val="nil"/>
              <w:right w:val="nil"/>
            </w:tcBorders>
            <w:noWrap/>
            <w:vAlign w:val="bottom"/>
          </w:tcPr>
          <w:p w14:paraId="08295F6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r>
      <w:tr w:rsidR="00B5549F" w:rsidRPr="00B5549F" w14:paraId="55932CCD" w14:textId="77777777" w:rsidTr="00E02797">
        <w:trPr>
          <w:trHeight w:val="20"/>
          <w:jc w:val="center"/>
        </w:trPr>
        <w:tc>
          <w:tcPr>
            <w:tcW w:w="2551" w:type="dxa"/>
            <w:tcBorders>
              <w:top w:val="nil"/>
              <w:left w:val="nil"/>
              <w:bottom w:val="nil"/>
              <w:right w:val="nil"/>
            </w:tcBorders>
            <w:noWrap/>
            <w:vAlign w:val="bottom"/>
            <w:hideMark/>
          </w:tcPr>
          <w:p w14:paraId="1191B726"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N</w:t>
            </w:r>
          </w:p>
        </w:tc>
        <w:tc>
          <w:tcPr>
            <w:tcW w:w="1380" w:type="dxa"/>
            <w:tcBorders>
              <w:top w:val="nil"/>
              <w:left w:val="nil"/>
              <w:bottom w:val="nil"/>
              <w:right w:val="nil"/>
            </w:tcBorders>
            <w:noWrap/>
            <w:vAlign w:val="bottom"/>
            <w:hideMark/>
          </w:tcPr>
          <w:p w14:paraId="1E2BDCE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3060</w:t>
            </w:r>
          </w:p>
        </w:tc>
        <w:tc>
          <w:tcPr>
            <w:tcW w:w="1400" w:type="dxa"/>
            <w:tcBorders>
              <w:top w:val="nil"/>
              <w:left w:val="nil"/>
              <w:bottom w:val="nil"/>
              <w:right w:val="nil"/>
            </w:tcBorders>
            <w:noWrap/>
            <w:vAlign w:val="bottom"/>
            <w:hideMark/>
          </w:tcPr>
          <w:p w14:paraId="13C6A1A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3060</w:t>
            </w:r>
          </w:p>
        </w:tc>
        <w:tc>
          <w:tcPr>
            <w:tcW w:w="1380" w:type="dxa"/>
            <w:tcBorders>
              <w:top w:val="nil"/>
              <w:left w:val="nil"/>
              <w:bottom w:val="nil"/>
              <w:right w:val="nil"/>
            </w:tcBorders>
            <w:noWrap/>
            <w:vAlign w:val="bottom"/>
            <w:hideMark/>
          </w:tcPr>
          <w:p w14:paraId="4634305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3060</w:t>
            </w:r>
          </w:p>
        </w:tc>
        <w:tc>
          <w:tcPr>
            <w:tcW w:w="1400" w:type="dxa"/>
            <w:tcBorders>
              <w:top w:val="nil"/>
              <w:left w:val="nil"/>
              <w:bottom w:val="nil"/>
              <w:right w:val="nil"/>
            </w:tcBorders>
            <w:noWrap/>
            <w:vAlign w:val="bottom"/>
            <w:hideMark/>
          </w:tcPr>
          <w:p w14:paraId="5B2EC3E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3060</w:t>
            </w:r>
          </w:p>
        </w:tc>
        <w:tc>
          <w:tcPr>
            <w:tcW w:w="1420" w:type="dxa"/>
            <w:tcBorders>
              <w:top w:val="nil"/>
              <w:left w:val="nil"/>
              <w:bottom w:val="nil"/>
              <w:right w:val="nil"/>
            </w:tcBorders>
            <w:noWrap/>
            <w:vAlign w:val="bottom"/>
            <w:hideMark/>
          </w:tcPr>
          <w:p w14:paraId="2C1D85E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3060</w:t>
            </w:r>
          </w:p>
        </w:tc>
        <w:tc>
          <w:tcPr>
            <w:tcW w:w="1420" w:type="dxa"/>
            <w:tcBorders>
              <w:top w:val="nil"/>
              <w:left w:val="nil"/>
              <w:bottom w:val="nil"/>
              <w:right w:val="nil"/>
            </w:tcBorders>
            <w:noWrap/>
            <w:vAlign w:val="bottom"/>
            <w:hideMark/>
          </w:tcPr>
          <w:p w14:paraId="03A5B4E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3060</w:t>
            </w:r>
          </w:p>
        </w:tc>
        <w:tc>
          <w:tcPr>
            <w:tcW w:w="1420" w:type="dxa"/>
            <w:tcBorders>
              <w:top w:val="nil"/>
              <w:left w:val="nil"/>
              <w:bottom w:val="nil"/>
              <w:right w:val="nil"/>
            </w:tcBorders>
            <w:noWrap/>
            <w:vAlign w:val="bottom"/>
            <w:hideMark/>
          </w:tcPr>
          <w:p w14:paraId="0718A85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3060</w:t>
            </w:r>
          </w:p>
        </w:tc>
        <w:tc>
          <w:tcPr>
            <w:tcW w:w="1420" w:type="dxa"/>
            <w:tcBorders>
              <w:top w:val="nil"/>
              <w:left w:val="nil"/>
              <w:bottom w:val="nil"/>
              <w:right w:val="nil"/>
            </w:tcBorders>
            <w:noWrap/>
            <w:vAlign w:val="bottom"/>
            <w:hideMark/>
          </w:tcPr>
          <w:p w14:paraId="57FE65C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3060</w:t>
            </w:r>
          </w:p>
        </w:tc>
      </w:tr>
      <w:tr w:rsidR="00B5549F" w:rsidRPr="00B5549F" w14:paraId="33ED5A31" w14:textId="77777777" w:rsidTr="00E02797">
        <w:trPr>
          <w:trHeight w:val="20"/>
          <w:jc w:val="center"/>
        </w:trPr>
        <w:tc>
          <w:tcPr>
            <w:tcW w:w="2551" w:type="dxa"/>
            <w:tcBorders>
              <w:top w:val="nil"/>
              <w:left w:val="nil"/>
              <w:bottom w:val="nil"/>
              <w:right w:val="nil"/>
            </w:tcBorders>
            <w:noWrap/>
            <w:vAlign w:val="bottom"/>
            <w:hideMark/>
          </w:tcPr>
          <w:p w14:paraId="0A2AA671"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Overall R2</w:t>
            </w:r>
          </w:p>
        </w:tc>
        <w:tc>
          <w:tcPr>
            <w:tcW w:w="1380" w:type="dxa"/>
            <w:tcBorders>
              <w:top w:val="nil"/>
              <w:left w:val="nil"/>
              <w:bottom w:val="nil"/>
              <w:right w:val="nil"/>
            </w:tcBorders>
            <w:noWrap/>
            <w:vAlign w:val="bottom"/>
            <w:hideMark/>
          </w:tcPr>
          <w:p w14:paraId="213FFB1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0.9165</w:t>
            </w:r>
          </w:p>
        </w:tc>
        <w:tc>
          <w:tcPr>
            <w:tcW w:w="1400" w:type="dxa"/>
            <w:tcBorders>
              <w:top w:val="nil"/>
              <w:left w:val="nil"/>
              <w:bottom w:val="nil"/>
              <w:right w:val="nil"/>
            </w:tcBorders>
            <w:noWrap/>
            <w:vAlign w:val="bottom"/>
            <w:hideMark/>
          </w:tcPr>
          <w:p w14:paraId="2E908A7B"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380" w:type="dxa"/>
            <w:tcBorders>
              <w:top w:val="nil"/>
              <w:left w:val="nil"/>
              <w:bottom w:val="nil"/>
              <w:right w:val="nil"/>
            </w:tcBorders>
            <w:noWrap/>
            <w:vAlign w:val="bottom"/>
            <w:hideMark/>
          </w:tcPr>
          <w:p w14:paraId="7A1D647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0.9160</w:t>
            </w:r>
          </w:p>
        </w:tc>
        <w:tc>
          <w:tcPr>
            <w:tcW w:w="1400" w:type="dxa"/>
            <w:tcBorders>
              <w:top w:val="nil"/>
              <w:left w:val="nil"/>
              <w:bottom w:val="nil"/>
              <w:right w:val="nil"/>
            </w:tcBorders>
            <w:noWrap/>
            <w:vAlign w:val="bottom"/>
            <w:hideMark/>
          </w:tcPr>
          <w:p w14:paraId="54A392D3"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20" w:type="dxa"/>
            <w:tcBorders>
              <w:top w:val="nil"/>
              <w:left w:val="nil"/>
              <w:bottom w:val="nil"/>
              <w:right w:val="nil"/>
            </w:tcBorders>
            <w:noWrap/>
            <w:vAlign w:val="bottom"/>
            <w:hideMark/>
          </w:tcPr>
          <w:p w14:paraId="22449D0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0.8065</w:t>
            </w:r>
          </w:p>
        </w:tc>
        <w:tc>
          <w:tcPr>
            <w:tcW w:w="1420" w:type="dxa"/>
            <w:tcBorders>
              <w:top w:val="nil"/>
              <w:left w:val="nil"/>
              <w:bottom w:val="nil"/>
              <w:right w:val="nil"/>
            </w:tcBorders>
            <w:noWrap/>
            <w:vAlign w:val="bottom"/>
            <w:hideMark/>
          </w:tcPr>
          <w:p w14:paraId="3D487FAA"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20" w:type="dxa"/>
            <w:tcBorders>
              <w:top w:val="nil"/>
              <w:left w:val="nil"/>
              <w:bottom w:val="nil"/>
              <w:right w:val="nil"/>
            </w:tcBorders>
            <w:noWrap/>
            <w:vAlign w:val="bottom"/>
            <w:hideMark/>
          </w:tcPr>
          <w:p w14:paraId="2156751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0.7465</w:t>
            </w:r>
          </w:p>
        </w:tc>
        <w:tc>
          <w:tcPr>
            <w:tcW w:w="1420" w:type="dxa"/>
            <w:tcBorders>
              <w:top w:val="nil"/>
              <w:left w:val="nil"/>
              <w:bottom w:val="nil"/>
              <w:right w:val="nil"/>
            </w:tcBorders>
            <w:noWrap/>
            <w:vAlign w:val="bottom"/>
            <w:hideMark/>
          </w:tcPr>
          <w:p w14:paraId="0CD71FD8"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r>
      <w:tr w:rsidR="00B5549F" w:rsidRPr="00B5549F" w14:paraId="16572E87" w14:textId="77777777" w:rsidTr="00E02797">
        <w:trPr>
          <w:trHeight w:val="20"/>
          <w:jc w:val="center"/>
        </w:trPr>
        <w:tc>
          <w:tcPr>
            <w:tcW w:w="2551" w:type="dxa"/>
            <w:tcBorders>
              <w:top w:val="nil"/>
              <w:left w:val="nil"/>
              <w:bottom w:val="nil"/>
              <w:right w:val="nil"/>
            </w:tcBorders>
            <w:noWrap/>
            <w:vAlign w:val="bottom"/>
            <w:hideMark/>
          </w:tcPr>
          <w:p w14:paraId="33A9D089"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 Instruments</w:t>
            </w:r>
          </w:p>
        </w:tc>
        <w:tc>
          <w:tcPr>
            <w:tcW w:w="1380" w:type="dxa"/>
            <w:tcBorders>
              <w:top w:val="nil"/>
              <w:left w:val="nil"/>
              <w:bottom w:val="nil"/>
              <w:right w:val="nil"/>
            </w:tcBorders>
            <w:noWrap/>
            <w:vAlign w:val="bottom"/>
            <w:hideMark/>
          </w:tcPr>
          <w:p w14:paraId="14B1DD3B" w14:textId="77777777" w:rsidR="00985916" w:rsidRPr="00B5549F" w:rsidRDefault="00985916" w:rsidP="00985916">
            <w:pPr>
              <w:contextualSpacing/>
              <w:rPr>
                <w:rFonts w:ascii="Times New Roman" w:hAnsi="Times New Roman" w:cs="Times New Roman"/>
                <w:b/>
                <w:bCs/>
                <w:color w:val="000000" w:themeColor="text1"/>
                <w:sz w:val="18"/>
                <w:szCs w:val="18"/>
              </w:rPr>
            </w:pPr>
          </w:p>
        </w:tc>
        <w:tc>
          <w:tcPr>
            <w:tcW w:w="1400" w:type="dxa"/>
            <w:tcBorders>
              <w:top w:val="nil"/>
              <w:left w:val="nil"/>
              <w:bottom w:val="nil"/>
              <w:right w:val="nil"/>
            </w:tcBorders>
            <w:noWrap/>
            <w:vAlign w:val="bottom"/>
            <w:hideMark/>
          </w:tcPr>
          <w:p w14:paraId="0680E28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109</w:t>
            </w:r>
          </w:p>
        </w:tc>
        <w:tc>
          <w:tcPr>
            <w:tcW w:w="1380" w:type="dxa"/>
            <w:tcBorders>
              <w:top w:val="nil"/>
              <w:left w:val="nil"/>
              <w:bottom w:val="nil"/>
              <w:right w:val="nil"/>
            </w:tcBorders>
            <w:noWrap/>
            <w:vAlign w:val="bottom"/>
            <w:hideMark/>
          </w:tcPr>
          <w:p w14:paraId="197EEA1A"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00" w:type="dxa"/>
            <w:tcBorders>
              <w:top w:val="nil"/>
              <w:left w:val="nil"/>
              <w:bottom w:val="nil"/>
              <w:right w:val="nil"/>
            </w:tcBorders>
            <w:noWrap/>
            <w:vAlign w:val="bottom"/>
            <w:hideMark/>
          </w:tcPr>
          <w:p w14:paraId="34E79C7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109</w:t>
            </w:r>
          </w:p>
        </w:tc>
        <w:tc>
          <w:tcPr>
            <w:tcW w:w="1420" w:type="dxa"/>
            <w:tcBorders>
              <w:top w:val="nil"/>
              <w:left w:val="nil"/>
              <w:bottom w:val="nil"/>
              <w:right w:val="nil"/>
            </w:tcBorders>
            <w:noWrap/>
            <w:vAlign w:val="bottom"/>
            <w:hideMark/>
          </w:tcPr>
          <w:p w14:paraId="346B7EB1"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20" w:type="dxa"/>
            <w:tcBorders>
              <w:top w:val="nil"/>
              <w:left w:val="nil"/>
              <w:bottom w:val="nil"/>
              <w:right w:val="nil"/>
            </w:tcBorders>
            <w:noWrap/>
            <w:vAlign w:val="bottom"/>
            <w:hideMark/>
          </w:tcPr>
          <w:p w14:paraId="1AE81BE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111</w:t>
            </w:r>
          </w:p>
        </w:tc>
        <w:tc>
          <w:tcPr>
            <w:tcW w:w="1420" w:type="dxa"/>
            <w:tcBorders>
              <w:top w:val="nil"/>
              <w:left w:val="nil"/>
              <w:bottom w:val="nil"/>
              <w:right w:val="nil"/>
            </w:tcBorders>
            <w:noWrap/>
            <w:vAlign w:val="bottom"/>
            <w:hideMark/>
          </w:tcPr>
          <w:p w14:paraId="55823677"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20" w:type="dxa"/>
            <w:tcBorders>
              <w:top w:val="nil"/>
              <w:left w:val="nil"/>
              <w:bottom w:val="nil"/>
              <w:right w:val="nil"/>
            </w:tcBorders>
            <w:noWrap/>
            <w:vAlign w:val="bottom"/>
            <w:hideMark/>
          </w:tcPr>
          <w:p w14:paraId="7F70681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111</w:t>
            </w:r>
          </w:p>
        </w:tc>
      </w:tr>
      <w:tr w:rsidR="00B5549F" w:rsidRPr="00B5549F" w14:paraId="19E15D43" w14:textId="77777777" w:rsidTr="00E02797">
        <w:trPr>
          <w:trHeight w:val="20"/>
          <w:jc w:val="center"/>
        </w:trPr>
        <w:tc>
          <w:tcPr>
            <w:tcW w:w="2551" w:type="dxa"/>
            <w:tcBorders>
              <w:top w:val="nil"/>
              <w:left w:val="nil"/>
              <w:bottom w:val="nil"/>
              <w:right w:val="nil"/>
            </w:tcBorders>
            <w:noWrap/>
            <w:vAlign w:val="bottom"/>
            <w:hideMark/>
          </w:tcPr>
          <w:p w14:paraId="29A0AC9D"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 Instruments / p</w:t>
            </w:r>
          </w:p>
        </w:tc>
        <w:tc>
          <w:tcPr>
            <w:tcW w:w="1380" w:type="dxa"/>
            <w:tcBorders>
              <w:top w:val="nil"/>
              <w:left w:val="nil"/>
              <w:bottom w:val="nil"/>
              <w:right w:val="nil"/>
            </w:tcBorders>
            <w:noWrap/>
            <w:vAlign w:val="bottom"/>
            <w:hideMark/>
          </w:tcPr>
          <w:p w14:paraId="140AC606" w14:textId="77777777" w:rsidR="00985916" w:rsidRPr="00B5549F" w:rsidRDefault="00985916" w:rsidP="00985916">
            <w:pPr>
              <w:contextualSpacing/>
              <w:rPr>
                <w:rFonts w:ascii="Times New Roman" w:hAnsi="Times New Roman" w:cs="Times New Roman"/>
                <w:b/>
                <w:bCs/>
                <w:color w:val="000000" w:themeColor="text1"/>
                <w:sz w:val="18"/>
                <w:szCs w:val="18"/>
              </w:rPr>
            </w:pPr>
          </w:p>
        </w:tc>
        <w:tc>
          <w:tcPr>
            <w:tcW w:w="1400" w:type="dxa"/>
            <w:tcBorders>
              <w:top w:val="nil"/>
              <w:left w:val="nil"/>
              <w:bottom w:val="nil"/>
              <w:right w:val="nil"/>
            </w:tcBorders>
            <w:noWrap/>
            <w:vAlign w:val="bottom"/>
            <w:hideMark/>
          </w:tcPr>
          <w:p w14:paraId="7C5B967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1,07</w:t>
            </w:r>
          </w:p>
        </w:tc>
        <w:tc>
          <w:tcPr>
            <w:tcW w:w="1380" w:type="dxa"/>
            <w:tcBorders>
              <w:top w:val="nil"/>
              <w:left w:val="nil"/>
              <w:bottom w:val="nil"/>
              <w:right w:val="nil"/>
            </w:tcBorders>
            <w:noWrap/>
            <w:vAlign w:val="bottom"/>
            <w:hideMark/>
          </w:tcPr>
          <w:p w14:paraId="60A93018"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00" w:type="dxa"/>
            <w:tcBorders>
              <w:top w:val="nil"/>
              <w:left w:val="nil"/>
              <w:bottom w:val="nil"/>
              <w:right w:val="nil"/>
            </w:tcBorders>
            <w:noWrap/>
            <w:vAlign w:val="bottom"/>
            <w:hideMark/>
          </w:tcPr>
          <w:p w14:paraId="55A6FE2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1,07</w:t>
            </w:r>
          </w:p>
        </w:tc>
        <w:tc>
          <w:tcPr>
            <w:tcW w:w="1420" w:type="dxa"/>
            <w:tcBorders>
              <w:top w:val="nil"/>
              <w:left w:val="nil"/>
              <w:bottom w:val="nil"/>
              <w:right w:val="nil"/>
            </w:tcBorders>
            <w:noWrap/>
            <w:vAlign w:val="bottom"/>
            <w:hideMark/>
          </w:tcPr>
          <w:p w14:paraId="02702A09"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20" w:type="dxa"/>
            <w:tcBorders>
              <w:top w:val="nil"/>
              <w:left w:val="nil"/>
              <w:bottom w:val="nil"/>
              <w:right w:val="nil"/>
            </w:tcBorders>
            <w:noWrap/>
            <w:vAlign w:val="bottom"/>
            <w:hideMark/>
          </w:tcPr>
          <w:p w14:paraId="240939E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1,09</w:t>
            </w:r>
          </w:p>
        </w:tc>
        <w:tc>
          <w:tcPr>
            <w:tcW w:w="1420" w:type="dxa"/>
            <w:tcBorders>
              <w:top w:val="nil"/>
              <w:left w:val="nil"/>
              <w:bottom w:val="nil"/>
              <w:right w:val="nil"/>
            </w:tcBorders>
            <w:noWrap/>
            <w:vAlign w:val="bottom"/>
            <w:hideMark/>
          </w:tcPr>
          <w:p w14:paraId="10FFAB04"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20" w:type="dxa"/>
            <w:tcBorders>
              <w:top w:val="nil"/>
              <w:left w:val="nil"/>
              <w:bottom w:val="nil"/>
              <w:right w:val="nil"/>
            </w:tcBorders>
            <w:noWrap/>
            <w:vAlign w:val="bottom"/>
            <w:hideMark/>
          </w:tcPr>
          <w:p w14:paraId="3B507D3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1,09</w:t>
            </w:r>
          </w:p>
        </w:tc>
      </w:tr>
      <w:tr w:rsidR="00B5549F" w:rsidRPr="00B5549F" w14:paraId="007BBB35" w14:textId="77777777" w:rsidTr="00E02797">
        <w:trPr>
          <w:trHeight w:val="20"/>
          <w:jc w:val="center"/>
        </w:trPr>
        <w:tc>
          <w:tcPr>
            <w:tcW w:w="2551" w:type="dxa"/>
            <w:tcBorders>
              <w:top w:val="nil"/>
              <w:left w:val="nil"/>
              <w:bottom w:val="nil"/>
              <w:right w:val="nil"/>
            </w:tcBorders>
            <w:noWrap/>
            <w:vAlign w:val="bottom"/>
            <w:hideMark/>
          </w:tcPr>
          <w:p w14:paraId="75C38D7B"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 Instruments / N</w:t>
            </w:r>
          </w:p>
        </w:tc>
        <w:tc>
          <w:tcPr>
            <w:tcW w:w="1380" w:type="dxa"/>
            <w:tcBorders>
              <w:top w:val="nil"/>
              <w:left w:val="nil"/>
              <w:bottom w:val="nil"/>
              <w:right w:val="nil"/>
            </w:tcBorders>
            <w:noWrap/>
            <w:vAlign w:val="bottom"/>
            <w:hideMark/>
          </w:tcPr>
          <w:p w14:paraId="6A17A616" w14:textId="77777777" w:rsidR="00985916" w:rsidRPr="00B5549F" w:rsidRDefault="00985916" w:rsidP="00985916">
            <w:pPr>
              <w:contextualSpacing/>
              <w:rPr>
                <w:rFonts w:ascii="Times New Roman" w:hAnsi="Times New Roman" w:cs="Times New Roman"/>
                <w:b/>
                <w:bCs/>
                <w:color w:val="000000" w:themeColor="text1"/>
                <w:sz w:val="18"/>
                <w:szCs w:val="18"/>
              </w:rPr>
            </w:pPr>
          </w:p>
        </w:tc>
        <w:tc>
          <w:tcPr>
            <w:tcW w:w="1400" w:type="dxa"/>
            <w:tcBorders>
              <w:top w:val="nil"/>
              <w:left w:val="nil"/>
              <w:bottom w:val="nil"/>
              <w:right w:val="nil"/>
            </w:tcBorders>
            <w:noWrap/>
            <w:vAlign w:val="bottom"/>
            <w:hideMark/>
          </w:tcPr>
          <w:p w14:paraId="284B845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w:t>
            </w:r>
          </w:p>
        </w:tc>
        <w:tc>
          <w:tcPr>
            <w:tcW w:w="1380" w:type="dxa"/>
            <w:tcBorders>
              <w:top w:val="nil"/>
              <w:left w:val="nil"/>
              <w:bottom w:val="nil"/>
              <w:right w:val="nil"/>
            </w:tcBorders>
            <w:noWrap/>
            <w:vAlign w:val="bottom"/>
            <w:hideMark/>
          </w:tcPr>
          <w:p w14:paraId="741FE799"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00" w:type="dxa"/>
            <w:tcBorders>
              <w:top w:val="nil"/>
              <w:left w:val="nil"/>
              <w:bottom w:val="nil"/>
              <w:right w:val="nil"/>
            </w:tcBorders>
            <w:noWrap/>
            <w:vAlign w:val="bottom"/>
            <w:hideMark/>
          </w:tcPr>
          <w:p w14:paraId="0704C01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w:t>
            </w:r>
          </w:p>
        </w:tc>
        <w:tc>
          <w:tcPr>
            <w:tcW w:w="1420" w:type="dxa"/>
            <w:tcBorders>
              <w:top w:val="nil"/>
              <w:left w:val="nil"/>
              <w:bottom w:val="nil"/>
              <w:right w:val="nil"/>
            </w:tcBorders>
            <w:noWrap/>
            <w:vAlign w:val="bottom"/>
            <w:hideMark/>
          </w:tcPr>
          <w:p w14:paraId="5C48D371"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20" w:type="dxa"/>
            <w:tcBorders>
              <w:top w:val="nil"/>
              <w:left w:val="nil"/>
              <w:bottom w:val="nil"/>
              <w:right w:val="nil"/>
            </w:tcBorders>
            <w:noWrap/>
            <w:vAlign w:val="bottom"/>
            <w:hideMark/>
          </w:tcPr>
          <w:p w14:paraId="70E487A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w:t>
            </w:r>
          </w:p>
        </w:tc>
        <w:tc>
          <w:tcPr>
            <w:tcW w:w="1420" w:type="dxa"/>
            <w:tcBorders>
              <w:top w:val="nil"/>
              <w:left w:val="nil"/>
              <w:bottom w:val="nil"/>
              <w:right w:val="nil"/>
            </w:tcBorders>
            <w:noWrap/>
            <w:vAlign w:val="bottom"/>
            <w:hideMark/>
          </w:tcPr>
          <w:p w14:paraId="0A348682"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20" w:type="dxa"/>
            <w:tcBorders>
              <w:top w:val="nil"/>
              <w:left w:val="nil"/>
              <w:bottom w:val="nil"/>
              <w:right w:val="nil"/>
            </w:tcBorders>
            <w:noWrap/>
            <w:vAlign w:val="bottom"/>
            <w:hideMark/>
          </w:tcPr>
          <w:p w14:paraId="1C18DA4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w:t>
            </w:r>
          </w:p>
        </w:tc>
      </w:tr>
      <w:tr w:rsidR="00B5549F" w:rsidRPr="00B5549F" w14:paraId="6A8F3AFC" w14:textId="77777777" w:rsidTr="00E02797">
        <w:trPr>
          <w:trHeight w:val="20"/>
          <w:jc w:val="center"/>
        </w:trPr>
        <w:tc>
          <w:tcPr>
            <w:tcW w:w="2551" w:type="dxa"/>
            <w:tcBorders>
              <w:top w:val="nil"/>
              <w:left w:val="nil"/>
              <w:bottom w:val="nil"/>
              <w:right w:val="nil"/>
            </w:tcBorders>
            <w:noWrap/>
            <w:vAlign w:val="bottom"/>
            <w:hideMark/>
          </w:tcPr>
          <w:p w14:paraId="25C97DB4"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AR1 (p-value)</w:t>
            </w:r>
          </w:p>
        </w:tc>
        <w:tc>
          <w:tcPr>
            <w:tcW w:w="1380" w:type="dxa"/>
            <w:tcBorders>
              <w:top w:val="nil"/>
              <w:left w:val="nil"/>
              <w:bottom w:val="nil"/>
              <w:right w:val="nil"/>
            </w:tcBorders>
            <w:noWrap/>
            <w:vAlign w:val="bottom"/>
            <w:hideMark/>
          </w:tcPr>
          <w:p w14:paraId="3DE824A1" w14:textId="77777777" w:rsidR="00985916" w:rsidRPr="00B5549F" w:rsidRDefault="00985916" w:rsidP="00985916">
            <w:pPr>
              <w:contextualSpacing/>
              <w:rPr>
                <w:rFonts w:ascii="Times New Roman" w:hAnsi="Times New Roman" w:cs="Times New Roman"/>
                <w:b/>
                <w:bCs/>
                <w:color w:val="000000" w:themeColor="text1"/>
                <w:sz w:val="18"/>
                <w:szCs w:val="18"/>
              </w:rPr>
            </w:pPr>
          </w:p>
        </w:tc>
        <w:tc>
          <w:tcPr>
            <w:tcW w:w="1400" w:type="dxa"/>
            <w:tcBorders>
              <w:top w:val="nil"/>
              <w:left w:val="nil"/>
              <w:bottom w:val="nil"/>
              <w:right w:val="nil"/>
            </w:tcBorders>
            <w:noWrap/>
            <w:vAlign w:val="bottom"/>
            <w:hideMark/>
          </w:tcPr>
          <w:p w14:paraId="0DD2095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-5.16***</w:t>
            </w:r>
          </w:p>
        </w:tc>
        <w:tc>
          <w:tcPr>
            <w:tcW w:w="1380" w:type="dxa"/>
            <w:tcBorders>
              <w:top w:val="nil"/>
              <w:left w:val="nil"/>
              <w:bottom w:val="nil"/>
              <w:right w:val="nil"/>
            </w:tcBorders>
            <w:noWrap/>
            <w:vAlign w:val="bottom"/>
            <w:hideMark/>
          </w:tcPr>
          <w:p w14:paraId="4DBD56D3"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00" w:type="dxa"/>
            <w:tcBorders>
              <w:top w:val="nil"/>
              <w:left w:val="nil"/>
              <w:bottom w:val="nil"/>
              <w:right w:val="nil"/>
            </w:tcBorders>
            <w:noWrap/>
            <w:vAlign w:val="bottom"/>
            <w:hideMark/>
          </w:tcPr>
          <w:p w14:paraId="73B8BF0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-4.96***</w:t>
            </w:r>
          </w:p>
        </w:tc>
        <w:tc>
          <w:tcPr>
            <w:tcW w:w="1420" w:type="dxa"/>
            <w:tcBorders>
              <w:top w:val="nil"/>
              <w:left w:val="nil"/>
              <w:bottom w:val="nil"/>
              <w:right w:val="nil"/>
            </w:tcBorders>
            <w:noWrap/>
            <w:vAlign w:val="bottom"/>
            <w:hideMark/>
          </w:tcPr>
          <w:p w14:paraId="118582B5"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20" w:type="dxa"/>
            <w:tcBorders>
              <w:top w:val="nil"/>
              <w:left w:val="nil"/>
              <w:bottom w:val="nil"/>
              <w:right w:val="nil"/>
            </w:tcBorders>
            <w:noWrap/>
            <w:vAlign w:val="bottom"/>
            <w:hideMark/>
          </w:tcPr>
          <w:p w14:paraId="49F4035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-5.57***</w:t>
            </w:r>
          </w:p>
        </w:tc>
        <w:tc>
          <w:tcPr>
            <w:tcW w:w="1420" w:type="dxa"/>
            <w:tcBorders>
              <w:top w:val="nil"/>
              <w:left w:val="nil"/>
              <w:bottom w:val="nil"/>
              <w:right w:val="nil"/>
            </w:tcBorders>
            <w:noWrap/>
            <w:vAlign w:val="bottom"/>
            <w:hideMark/>
          </w:tcPr>
          <w:p w14:paraId="3130F32D"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20" w:type="dxa"/>
            <w:tcBorders>
              <w:top w:val="nil"/>
              <w:left w:val="nil"/>
              <w:bottom w:val="nil"/>
              <w:right w:val="nil"/>
            </w:tcBorders>
            <w:noWrap/>
            <w:vAlign w:val="bottom"/>
            <w:hideMark/>
          </w:tcPr>
          <w:p w14:paraId="3DEDE5A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-6.76***</w:t>
            </w:r>
          </w:p>
        </w:tc>
      </w:tr>
      <w:tr w:rsidR="00B5549F" w:rsidRPr="00B5549F" w14:paraId="3E487693" w14:textId="77777777" w:rsidTr="00E02797">
        <w:trPr>
          <w:trHeight w:val="20"/>
          <w:jc w:val="center"/>
        </w:trPr>
        <w:tc>
          <w:tcPr>
            <w:tcW w:w="2551" w:type="dxa"/>
            <w:tcBorders>
              <w:top w:val="nil"/>
              <w:left w:val="nil"/>
              <w:bottom w:val="nil"/>
              <w:right w:val="nil"/>
            </w:tcBorders>
            <w:noWrap/>
            <w:vAlign w:val="bottom"/>
            <w:hideMark/>
          </w:tcPr>
          <w:p w14:paraId="13D6CC29"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AR2 (p-value)</w:t>
            </w:r>
          </w:p>
        </w:tc>
        <w:tc>
          <w:tcPr>
            <w:tcW w:w="1380" w:type="dxa"/>
            <w:tcBorders>
              <w:top w:val="nil"/>
              <w:left w:val="nil"/>
              <w:bottom w:val="nil"/>
              <w:right w:val="nil"/>
            </w:tcBorders>
            <w:noWrap/>
            <w:vAlign w:val="bottom"/>
            <w:hideMark/>
          </w:tcPr>
          <w:p w14:paraId="326308FA" w14:textId="77777777" w:rsidR="00985916" w:rsidRPr="00B5549F" w:rsidRDefault="00985916" w:rsidP="00985916">
            <w:pPr>
              <w:contextualSpacing/>
              <w:rPr>
                <w:rFonts w:ascii="Times New Roman" w:hAnsi="Times New Roman" w:cs="Times New Roman"/>
                <w:b/>
                <w:bCs/>
                <w:color w:val="000000" w:themeColor="text1"/>
                <w:sz w:val="18"/>
                <w:szCs w:val="18"/>
              </w:rPr>
            </w:pPr>
          </w:p>
        </w:tc>
        <w:tc>
          <w:tcPr>
            <w:tcW w:w="1400" w:type="dxa"/>
            <w:tcBorders>
              <w:top w:val="nil"/>
              <w:left w:val="nil"/>
              <w:bottom w:val="nil"/>
              <w:right w:val="nil"/>
            </w:tcBorders>
            <w:noWrap/>
            <w:vAlign w:val="bottom"/>
            <w:hideMark/>
          </w:tcPr>
          <w:p w14:paraId="1C5C2E9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2.94***</w:t>
            </w:r>
          </w:p>
        </w:tc>
        <w:tc>
          <w:tcPr>
            <w:tcW w:w="1380" w:type="dxa"/>
            <w:tcBorders>
              <w:top w:val="nil"/>
              <w:left w:val="nil"/>
              <w:bottom w:val="nil"/>
              <w:right w:val="nil"/>
            </w:tcBorders>
            <w:noWrap/>
            <w:vAlign w:val="bottom"/>
            <w:hideMark/>
          </w:tcPr>
          <w:p w14:paraId="17754E66"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00" w:type="dxa"/>
            <w:tcBorders>
              <w:top w:val="nil"/>
              <w:left w:val="nil"/>
              <w:bottom w:val="nil"/>
              <w:right w:val="nil"/>
            </w:tcBorders>
            <w:noWrap/>
            <w:vAlign w:val="bottom"/>
            <w:hideMark/>
          </w:tcPr>
          <w:p w14:paraId="0A4D613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2.76***</w:t>
            </w:r>
          </w:p>
        </w:tc>
        <w:tc>
          <w:tcPr>
            <w:tcW w:w="1420" w:type="dxa"/>
            <w:tcBorders>
              <w:top w:val="nil"/>
              <w:left w:val="nil"/>
              <w:bottom w:val="nil"/>
              <w:right w:val="nil"/>
            </w:tcBorders>
            <w:noWrap/>
            <w:vAlign w:val="bottom"/>
            <w:hideMark/>
          </w:tcPr>
          <w:p w14:paraId="559763BB"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20" w:type="dxa"/>
            <w:tcBorders>
              <w:top w:val="nil"/>
              <w:left w:val="nil"/>
              <w:bottom w:val="nil"/>
              <w:right w:val="nil"/>
            </w:tcBorders>
            <w:noWrap/>
            <w:vAlign w:val="bottom"/>
            <w:hideMark/>
          </w:tcPr>
          <w:p w14:paraId="2BD9D43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2.45**</w:t>
            </w:r>
          </w:p>
        </w:tc>
        <w:tc>
          <w:tcPr>
            <w:tcW w:w="1420" w:type="dxa"/>
            <w:tcBorders>
              <w:top w:val="nil"/>
              <w:left w:val="nil"/>
              <w:bottom w:val="nil"/>
              <w:right w:val="nil"/>
            </w:tcBorders>
            <w:noWrap/>
            <w:vAlign w:val="bottom"/>
            <w:hideMark/>
          </w:tcPr>
          <w:p w14:paraId="5EAF7FFF"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20" w:type="dxa"/>
            <w:tcBorders>
              <w:top w:val="nil"/>
              <w:left w:val="nil"/>
              <w:bottom w:val="nil"/>
              <w:right w:val="nil"/>
            </w:tcBorders>
            <w:noWrap/>
            <w:vAlign w:val="bottom"/>
            <w:hideMark/>
          </w:tcPr>
          <w:p w14:paraId="0DCE4C0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3.79***</w:t>
            </w:r>
          </w:p>
        </w:tc>
      </w:tr>
      <w:tr w:rsidR="00B5549F" w:rsidRPr="00B5549F" w14:paraId="5C6567DC" w14:textId="77777777" w:rsidTr="00E02797">
        <w:trPr>
          <w:trHeight w:val="20"/>
          <w:jc w:val="center"/>
        </w:trPr>
        <w:tc>
          <w:tcPr>
            <w:tcW w:w="2551" w:type="dxa"/>
            <w:tcBorders>
              <w:top w:val="nil"/>
              <w:left w:val="nil"/>
              <w:bottom w:val="nil"/>
              <w:right w:val="nil"/>
            </w:tcBorders>
            <w:noWrap/>
            <w:vAlign w:val="bottom"/>
            <w:hideMark/>
          </w:tcPr>
          <w:p w14:paraId="7CF9B5CC"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AR3 (p-value)</w:t>
            </w:r>
          </w:p>
        </w:tc>
        <w:tc>
          <w:tcPr>
            <w:tcW w:w="1380" w:type="dxa"/>
            <w:tcBorders>
              <w:top w:val="nil"/>
              <w:left w:val="nil"/>
              <w:bottom w:val="nil"/>
              <w:right w:val="nil"/>
            </w:tcBorders>
            <w:noWrap/>
            <w:vAlign w:val="bottom"/>
            <w:hideMark/>
          </w:tcPr>
          <w:p w14:paraId="12C04F7E" w14:textId="77777777" w:rsidR="00985916" w:rsidRPr="00B5549F" w:rsidRDefault="00985916" w:rsidP="00985916">
            <w:pPr>
              <w:contextualSpacing/>
              <w:rPr>
                <w:rFonts w:ascii="Times New Roman" w:hAnsi="Times New Roman" w:cs="Times New Roman"/>
                <w:b/>
                <w:bCs/>
                <w:color w:val="000000" w:themeColor="text1"/>
                <w:sz w:val="18"/>
                <w:szCs w:val="18"/>
              </w:rPr>
            </w:pPr>
          </w:p>
        </w:tc>
        <w:tc>
          <w:tcPr>
            <w:tcW w:w="1400" w:type="dxa"/>
            <w:tcBorders>
              <w:top w:val="nil"/>
              <w:left w:val="nil"/>
              <w:bottom w:val="nil"/>
              <w:right w:val="nil"/>
            </w:tcBorders>
            <w:noWrap/>
            <w:vAlign w:val="bottom"/>
            <w:hideMark/>
          </w:tcPr>
          <w:p w14:paraId="76B65C5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2.86***</w:t>
            </w:r>
          </w:p>
        </w:tc>
        <w:tc>
          <w:tcPr>
            <w:tcW w:w="1380" w:type="dxa"/>
            <w:tcBorders>
              <w:top w:val="nil"/>
              <w:left w:val="nil"/>
              <w:bottom w:val="nil"/>
              <w:right w:val="nil"/>
            </w:tcBorders>
            <w:noWrap/>
            <w:vAlign w:val="bottom"/>
            <w:hideMark/>
          </w:tcPr>
          <w:p w14:paraId="4D00EE43"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00" w:type="dxa"/>
            <w:tcBorders>
              <w:top w:val="nil"/>
              <w:left w:val="nil"/>
              <w:bottom w:val="nil"/>
              <w:right w:val="nil"/>
            </w:tcBorders>
            <w:noWrap/>
            <w:vAlign w:val="bottom"/>
            <w:hideMark/>
          </w:tcPr>
          <w:p w14:paraId="37C161F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-2.93***</w:t>
            </w:r>
          </w:p>
        </w:tc>
        <w:tc>
          <w:tcPr>
            <w:tcW w:w="1420" w:type="dxa"/>
            <w:tcBorders>
              <w:top w:val="nil"/>
              <w:left w:val="nil"/>
              <w:bottom w:val="nil"/>
              <w:right w:val="nil"/>
            </w:tcBorders>
            <w:noWrap/>
            <w:vAlign w:val="bottom"/>
            <w:hideMark/>
          </w:tcPr>
          <w:p w14:paraId="10D85AF0"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20" w:type="dxa"/>
            <w:tcBorders>
              <w:top w:val="nil"/>
              <w:left w:val="nil"/>
              <w:bottom w:val="nil"/>
              <w:right w:val="nil"/>
            </w:tcBorders>
            <w:noWrap/>
            <w:vAlign w:val="bottom"/>
            <w:hideMark/>
          </w:tcPr>
          <w:p w14:paraId="5725559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-1.19</w:t>
            </w:r>
          </w:p>
        </w:tc>
        <w:tc>
          <w:tcPr>
            <w:tcW w:w="1420" w:type="dxa"/>
            <w:tcBorders>
              <w:top w:val="nil"/>
              <w:left w:val="nil"/>
              <w:bottom w:val="nil"/>
              <w:right w:val="nil"/>
            </w:tcBorders>
            <w:noWrap/>
            <w:vAlign w:val="bottom"/>
            <w:hideMark/>
          </w:tcPr>
          <w:p w14:paraId="4E528396"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20" w:type="dxa"/>
            <w:tcBorders>
              <w:top w:val="nil"/>
              <w:left w:val="nil"/>
              <w:bottom w:val="nil"/>
              <w:right w:val="nil"/>
            </w:tcBorders>
            <w:noWrap/>
            <w:vAlign w:val="bottom"/>
            <w:hideMark/>
          </w:tcPr>
          <w:p w14:paraId="4E8EEEA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-0.46</w:t>
            </w:r>
          </w:p>
        </w:tc>
      </w:tr>
      <w:tr w:rsidR="00B5549F" w:rsidRPr="00B5549F" w14:paraId="0CE05569" w14:textId="77777777" w:rsidTr="00E02797">
        <w:trPr>
          <w:trHeight w:val="20"/>
          <w:jc w:val="center"/>
        </w:trPr>
        <w:tc>
          <w:tcPr>
            <w:tcW w:w="2551" w:type="dxa"/>
            <w:tcBorders>
              <w:top w:val="nil"/>
              <w:left w:val="nil"/>
              <w:right w:val="nil"/>
            </w:tcBorders>
            <w:noWrap/>
            <w:vAlign w:val="bottom"/>
            <w:hideMark/>
          </w:tcPr>
          <w:p w14:paraId="394E46CD"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AR4 (p-value)</w:t>
            </w:r>
          </w:p>
        </w:tc>
        <w:tc>
          <w:tcPr>
            <w:tcW w:w="1380" w:type="dxa"/>
            <w:tcBorders>
              <w:top w:val="nil"/>
              <w:left w:val="nil"/>
              <w:right w:val="nil"/>
            </w:tcBorders>
            <w:noWrap/>
            <w:vAlign w:val="bottom"/>
            <w:hideMark/>
          </w:tcPr>
          <w:p w14:paraId="0AFF0530" w14:textId="77777777" w:rsidR="00985916" w:rsidRPr="00B5549F" w:rsidRDefault="00985916" w:rsidP="00985916">
            <w:pPr>
              <w:contextualSpacing/>
              <w:rPr>
                <w:rFonts w:ascii="Times New Roman" w:hAnsi="Times New Roman" w:cs="Times New Roman"/>
                <w:b/>
                <w:bCs/>
                <w:color w:val="000000" w:themeColor="text1"/>
                <w:sz w:val="18"/>
                <w:szCs w:val="18"/>
              </w:rPr>
            </w:pPr>
          </w:p>
        </w:tc>
        <w:tc>
          <w:tcPr>
            <w:tcW w:w="1400" w:type="dxa"/>
            <w:tcBorders>
              <w:top w:val="nil"/>
              <w:left w:val="nil"/>
              <w:right w:val="nil"/>
            </w:tcBorders>
            <w:noWrap/>
            <w:vAlign w:val="bottom"/>
            <w:hideMark/>
          </w:tcPr>
          <w:p w14:paraId="7476A65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0.85</w:t>
            </w:r>
          </w:p>
        </w:tc>
        <w:tc>
          <w:tcPr>
            <w:tcW w:w="1380" w:type="dxa"/>
            <w:tcBorders>
              <w:top w:val="nil"/>
              <w:left w:val="nil"/>
              <w:right w:val="nil"/>
            </w:tcBorders>
            <w:noWrap/>
            <w:vAlign w:val="bottom"/>
            <w:hideMark/>
          </w:tcPr>
          <w:p w14:paraId="06D7BE95"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00" w:type="dxa"/>
            <w:tcBorders>
              <w:top w:val="nil"/>
              <w:left w:val="nil"/>
              <w:right w:val="nil"/>
            </w:tcBorders>
            <w:noWrap/>
            <w:vAlign w:val="bottom"/>
            <w:hideMark/>
          </w:tcPr>
          <w:p w14:paraId="1DB71A7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1.16</w:t>
            </w:r>
          </w:p>
        </w:tc>
        <w:tc>
          <w:tcPr>
            <w:tcW w:w="1420" w:type="dxa"/>
            <w:tcBorders>
              <w:top w:val="nil"/>
              <w:left w:val="nil"/>
              <w:right w:val="nil"/>
            </w:tcBorders>
            <w:noWrap/>
            <w:vAlign w:val="bottom"/>
            <w:hideMark/>
          </w:tcPr>
          <w:p w14:paraId="14802EBD"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20" w:type="dxa"/>
            <w:tcBorders>
              <w:top w:val="nil"/>
              <w:left w:val="nil"/>
              <w:right w:val="nil"/>
            </w:tcBorders>
            <w:noWrap/>
            <w:vAlign w:val="bottom"/>
            <w:hideMark/>
          </w:tcPr>
          <w:p w14:paraId="148DCFC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w:t>
            </w:r>
          </w:p>
        </w:tc>
        <w:tc>
          <w:tcPr>
            <w:tcW w:w="1420" w:type="dxa"/>
            <w:tcBorders>
              <w:top w:val="nil"/>
              <w:left w:val="nil"/>
              <w:right w:val="nil"/>
            </w:tcBorders>
            <w:noWrap/>
            <w:vAlign w:val="bottom"/>
            <w:hideMark/>
          </w:tcPr>
          <w:p w14:paraId="1F687A81"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20" w:type="dxa"/>
            <w:tcBorders>
              <w:top w:val="nil"/>
              <w:left w:val="nil"/>
              <w:right w:val="nil"/>
            </w:tcBorders>
            <w:noWrap/>
            <w:vAlign w:val="bottom"/>
            <w:hideMark/>
          </w:tcPr>
          <w:p w14:paraId="06307AB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w:t>
            </w:r>
          </w:p>
        </w:tc>
      </w:tr>
      <w:tr w:rsidR="00B5549F" w:rsidRPr="00B5549F" w14:paraId="36B6A5E0" w14:textId="77777777" w:rsidTr="00E02797">
        <w:trPr>
          <w:trHeight w:val="20"/>
          <w:jc w:val="center"/>
        </w:trPr>
        <w:tc>
          <w:tcPr>
            <w:tcW w:w="2551" w:type="dxa"/>
            <w:tcBorders>
              <w:top w:val="nil"/>
              <w:left w:val="nil"/>
              <w:bottom w:val="single" w:sz="4" w:space="0" w:color="auto"/>
              <w:right w:val="nil"/>
            </w:tcBorders>
            <w:noWrap/>
            <w:vAlign w:val="bottom"/>
            <w:hideMark/>
          </w:tcPr>
          <w:p w14:paraId="153966F4" w14:textId="77777777" w:rsidR="00985916" w:rsidRPr="00B5549F" w:rsidRDefault="00985916" w:rsidP="00985916">
            <w:pPr>
              <w:contextualSpacing/>
              <w:rPr>
                <w:rFonts w:ascii="Times New Roman" w:hAnsi="Times New Roman" w:cs="Times New Roman"/>
                <w:color w:val="000000" w:themeColor="text1"/>
                <w:sz w:val="18"/>
                <w:szCs w:val="18"/>
                <w:lang w:val="en-US"/>
              </w:rPr>
            </w:pPr>
            <w:r w:rsidRPr="00B5549F">
              <w:rPr>
                <w:rFonts w:ascii="Times New Roman" w:hAnsi="Times New Roman" w:cs="Times New Roman"/>
                <w:color w:val="000000" w:themeColor="text1"/>
                <w:sz w:val="18"/>
                <w:szCs w:val="18"/>
                <w:lang w:val="en-US"/>
              </w:rPr>
              <w:t>Hansen Test J (p-value)</w:t>
            </w:r>
          </w:p>
        </w:tc>
        <w:tc>
          <w:tcPr>
            <w:tcW w:w="1380" w:type="dxa"/>
            <w:tcBorders>
              <w:top w:val="nil"/>
              <w:left w:val="nil"/>
              <w:bottom w:val="single" w:sz="4" w:space="0" w:color="auto"/>
              <w:right w:val="nil"/>
            </w:tcBorders>
            <w:noWrap/>
            <w:vAlign w:val="bottom"/>
            <w:hideMark/>
          </w:tcPr>
          <w:p w14:paraId="562F4EE5" w14:textId="77777777" w:rsidR="00985916" w:rsidRPr="00B5549F" w:rsidRDefault="00985916" w:rsidP="00985916">
            <w:pPr>
              <w:contextualSpacing/>
              <w:rPr>
                <w:rFonts w:ascii="Times New Roman" w:hAnsi="Times New Roman" w:cs="Times New Roman"/>
                <w:b/>
                <w:bCs/>
                <w:color w:val="000000" w:themeColor="text1"/>
                <w:sz w:val="18"/>
                <w:szCs w:val="18"/>
                <w:lang w:val="en-US"/>
              </w:rPr>
            </w:pPr>
          </w:p>
        </w:tc>
        <w:tc>
          <w:tcPr>
            <w:tcW w:w="1400" w:type="dxa"/>
            <w:tcBorders>
              <w:top w:val="nil"/>
              <w:left w:val="nil"/>
              <w:bottom w:val="single" w:sz="4" w:space="0" w:color="auto"/>
              <w:right w:val="nil"/>
            </w:tcBorders>
            <w:noWrap/>
            <w:vAlign w:val="bottom"/>
            <w:hideMark/>
          </w:tcPr>
          <w:p w14:paraId="6FF2802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99.39 (0.120)</w:t>
            </w:r>
          </w:p>
        </w:tc>
        <w:tc>
          <w:tcPr>
            <w:tcW w:w="1380" w:type="dxa"/>
            <w:tcBorders>
              <w:top w:val="nil"/>
              <w:left w:val="nil"/>
              <w:bottom w:val="single" w:sz="4" w:space="0" w:color="auto"/>
              <w:right w:val="nil"/>
            </w:tcBorders>
            <w:noWrap/>
            <w:vAlign w:val="bottom"/>
            <w:hideMark/>
          </w:tcPr>
          <w:p w14:paraId="452A6321"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00" w:type="dxa"/>
            <w:tcBorders>
              <w:top w:val="nil"/>
              <w:left w:val="nil"/>
              <w:bottom w:val="single" w:sz="4" w:space="0" w:color="auto"/>
              <w:right w:val="nil"/>
            </w:tcBorders>
            <w:noWrap/>
            <w:vAlign w:val="bottom"/>
            <w:hideMark/>
          </w:tcPr>
          <w:p w14:paraId="0629CD9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99.58 (0.118)</w:t>
            </w:r>
          </w:p>
        </w:tc>
        <w:tc>
          <w:tcPr>
            <w:tcW w:w="1420" w:type="dxa"/>
            <w:tcBorders>
              <w:top w:val="nil"/>
              <w:left w:val="nil"/>
              <w:bottom w:val="single" w:sz="4" w:space="0" w:color="auto"/>
              <w:right w:val="nil"/>
            </w:tcBorders>
            <w:noWrap/>
            <w:vAlign w:val="bottom"/>
            <w:hideMark/>
          </w:tcPr>
          <w:p w14:paraId="0CC1FE11"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20" w:type="dxa"/>
            <w:tcBorders>
              <w:top w:val="nil"/>
              <w:left w:val="nil"/>
              <w:bottom w:val="single" w:sz="4" w:space="0" w:color="auto"/>
              <w:right w:val="nil"/>
            </w:tcBorders>
            <w:noWrap/>
            <w:vAlign w:val="bottom"/>
            <w:hideMark/>
          </w:tcPr>
          <w:p w14:paraId="093C999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93.80 (0.265)</w:t>
            </w:r>
          </w:p>
        </w:tc>
        <w:tc>
          <w:tcPr>
            <w:tcW w:w="1420" w:type="dxa"/>
            <w:tcBorders>
              <w:top w:val="nil"/>
              <w:left w:val="nil"/>
              <w:bottom w:val="single" w:sz="4" w:space="0" w:color="auto"/>
              <w:right w:val="nil"/>
            </w:tcBorders>
            <w:noWrap/>
            <w:vAlign w:val="bottom"/>
            <w:hideMark/>
          </w:tcPr>
          <w:p w14:paraId="74DCC6F0"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420" w:type="dxa"/>
            <w:tcBorders>
              <w:top w:val="nil"/>
              <w:left w:val="nil"/>
              <w:bottom w:val="single" w:sz="4" w:space="0" w:color="auto"/>
              <w:right w:val="nil"/>
            </w:tcBorders>
            <w:noWrap/>
            <w:vAlign w:val="bottom"/>
            <w:hideMark/>
          </w:tcPr>
          <w:p w14:paraId="54C8CEE9" w14:textId="77777777" w:rsidR="00985916" w:rsidRPr="00B5549F" w:rsidRDefault="00985916" w:rsidP="00985916">
            <w:pPr>
              <w:pStyle w:val="Paragrafoelenco"/>
              <w:numPr>
                <w:ilvl w:val="1"/>
                <w:numId w:val="6"/>
              </w:numPr>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0.401)</w:t>
            </w:r>
          </w:p>
        </w:tc>
      </w:tr>
    </w:tbl>
    <w:p w14:paraId="2B4B35B9" w14:textId="77777777" w:rsidR="00985916" w:rsidRPr="00B5549F" w:rsidRDefault="00985916" w:rsidP="00985916">
      <w:pPr>
        <w:contextualSpacing/>
        <w:jc w:val="both"/>
        <w:rPr>
          <w:rFonts w:ascii="Times New Roman" w:hAnsi="Times New Roman" w:cs="Times New Roman"/>
          <w:color w:val="000000" w:themeColor="text1"/>
          <w:sz w:val="20"/>
          <w:szCs w:val="20"/>
          <w:lang w:val="en-US"/>
        </w:rPr>
        <w:sectPr w:rsidR="00985916" w:rsidRPr="00B5549F" w:rsidSect="005E2B22">
          <w:pgSz w:w="16840" w:h="11900" w:orient="landscape"/>
          <w:pgMar w:top="1134" w:right="1134" w:bottom="1134" w:left="1417" w:header="708" w:footer="708" w:gutter="0"/>
          <w:cols w:space="708"/>
          <w:docGrid w:linePitch="360"/>
        </w:sectPr>
      </w:pPr>
      <w:r w:rsidRPr="00B5549F">
        <w:rPr>
          <w:rFonts w:ascii="Times New Roman" w:hAnsi="Times New Roman" w:cs="Times New Roman"/>
          <w:color w:val="000000" w:themeColor="text1"/>
          <w:sz w:val="20"/>
          <w:szCs w:val="20"/>
          <w:lang w:val="en-US"/>
        </w:rPr>
        <w:t xml:space="preserve">Notes: Robust standard errors are in parenthesis. *** p&lt;0.01; ** p&lt;0.05; * p&lt;0.10. Stata commands: </w:t>
      </w:r>
      <w:proofErr w:type="spellStart"/>
      <w:r w:rsidRPr="00B5549F">
        <w:rPr>
          <w:rFonts w:ascii="Times New Roman" w:hAnsi="Times New Roman" w:cs="Times New Roman"/>
          <w:color w:val="000000" w:themeColor="text1"/>
          <w:sz w:val="20"/>
          <w:szCs w:val="20"/>
          <w:lang w:val="en-US"/>
        </w:rPr>
        <w:t>xtreg</w:t>
      </w:r>
      <w:proofErr w:type="spellEnd"/>
      <w:r w:rsidRPr="00B5549F">
        <w:rPr>
          <w:rFonts w:ascii="Times New Roman" w:hAnsi="Times New Roman" w:cs="Times New Roman"/>
          <w:color w:val="000000" w:themeColor="text1"/>
          <w:sz w:val="20"/>
          <w:szCs w:val="20"/>
          <w:lang w:val="en-US"/>
        </w:rPr>
        <w:t xml:space="preserve"> and xtabond2. In GMM-SYS estimates, the instrument set is curtailed according to the Arellano-Bond AR (#) Test. e</w:t>
      </w:r>
      <w:r w:rsidRPr="00B5549F">
        <w:rPr>
          <w:rFonts w:ascii="Times New Roman" w:hAnsi="Times New Roman" w:cs="Times New Roman"/>
          <w:color w:val="000000" w:themeColor="text1"/>
          <w:sz w:val="20"/>
          <w:szCs w:val="20"/>
          <w:vertAlign w:val="superscript"/>
          <w:lang w:val="en-US"/>
        </w:rPr>
        <w:t>n</w:t>
      </w:r>
      <w:r w:rsidRPr="00B5549F">
        <w:rPr>
          <w:rFonts w:ascii="Times New Roman" w:hAnsi="Times New Roman" w:cs="Times New Roman"/>
          <w:color w:val="000000" w:themeColor="text1"/>
          <w:sz w:val="20"/>
          <w:szCs w:val="20"/>
          <w:vertAlign w:val="subscript"/>
          <w:lang w:val="en-US"/>
        </w:rPr>
        <w:t>SSEpt-1</w:t>
      </w:r>
      <w:r w:rsidRPr="00B5549F">
        <w:rPr>
          <w:rFonts w:ascii="Times New Roman" w:hAnsi="Times New Roman" w:cs="Times New Roman"/>
          <w:color w:val="000000" w:themeColor="text1"/>
          <w:sz w:val="20"/>
          <w:szCs w:val="20"/>
          <w:lang w:val="en-US"/>
        </w:rPr>
        <w:t xml:space="preserve"> is instrumented with lags [t-4;t-5]. e</w:t>
      </w:r>
      <w:r w:rsidRPr="00B5549F">
        <w:rPr>
          <w:rFonts w:ascii="Times New Roman" w:hAnsi="Times New Roman" w:cs="Times New Roman"/>
          <w:color w:val="000000" w:themeColor="text1"/>
          <w:sz w:val="20"/>
          <w:szCs w:val="20"/>
          <w:vertAlign w:val="superscript"/>
          <w:lang w:val="en-US"/>
        </w:rPr>
        <w:t>n</w:t>
      </w:r>
      <w:r w:rsidRPr="00B5549F">
        <w:rPr>
          <w:rFonts w:ascii="Times New Roman" w:hAnsi="Times New Roman" w:cs="Times New Roman"/>
          <w:color w:val="000000" w:themeColor="text1"/>
          <w:sz w:val="20"/>
          <w:szCs w:val="20"/>
          <w:vertAlign w:val="subscript"/>
          <w:lang w:val="en-US"/>
        </w:rPr>
        <w:t>LSEpt-1</w:t>
      </w:r>
      <w:r w:rsidRPr="00B5549F">
        <w:rPr>
          <w:rFonts w:ascii="Times New Roman" w:hAnsi="Times New Roman" w:cs="Times New Roman"/>
          <w:color w:val="000000" w:themeColor="text1"/>
          <w:sz w:val="20"/>
          <w:szCs w:val="20"/>
          <w:lang w:val="en-US"/>
        </w:rPr>
        <w:t xml:space="preserve"> is instrumented with lags [t-3;t-4]. GMM models adopt two-step estimations and have been corrected with the </w:t>
      </w:r>
      <w:proofErr w:type="spellStart"/>
      <w:r w:rsidRPr="00B5549F">
        <w:rPr>
          <w:rFonts w:ascii="Times New Roman" w:hAnsi="Times New Roman" w:cs="Times New Roman"/>
          <w:color w:val="000000" w:themeColor="text1"/>
          <w:sz w:val="20"/>
          <w:szCs w:val="20"/>
          <w:lang w:val="en-US"/>
        </w:rPr>
        <w:t>Windmeijer</w:t>
      </w:r>
      <w:proofErr w:type="spellEnd"/>
      <w:r w:rsidRPr="00B5549F">
        <w:rPr>
          <w:rFonts w:ascii="Times New Roman" w:hAnsi="Times New Roman" w:cs="Times New Roman"/>
          <w:color w:val="000000" w:themeColor="text1"/>
          <w:sz w:val="20"/>
          <w:szCs w:val="20"/>
          <w:lang w:val="en-US"/>
        </w:rPr>
        <w:t xml:space="preserve"> (2005) covariance matrix for finite samples. </w:t>
      </w:r>
    </w:p>
    <w:p w14:paraId="2369836D" w14:textId="77777777" w:rsidR="00985916" w:rsidRPr="00B5549F" w:rsidRDefault="00985916" w:rsidP="00985916">
      <w:pPr>
        <w:spacing w:after="120"/>
        <w:contextualSpacing/>
        <w:jc w:val="both"/>
        <w:rPr>
          <w:rFonts w:ascii="Times New Roman" w:hAnsi="Times New Roman" w:cs="Times New Roman"/>
          <w:color w:val="000000" w:themeColor="text1"/>
          <w:lang w:val="en-US"/>
        </w:rPr>
      </w:pPr>
      <w:r w:rsidRPr="00B5549F">
        <w:rPr>
          <w:rFonts w:ascii="Times New Roman" w:hAnsi="Times New Roman" w:cs="Times New Roman"/>
          <w:b/>
          <w:bCs/>
          <w:color w:val="000000" w:themeColor="text1"/>
          <w:lang w:val="en-US"/>
        </w:rPr>
        <w:lastRenderedPageBreak/>
        <w:t xml:space="preserve">Table 6. </w:t>
      </w:r>
      <w:r w:rsidRPr="00B5549F">
        <w:rPr>
          <w:rFonts w:ascii="Times New Roman" w:hAnsi="Times New Roman" w:cs="Times New Roman"/>
          <w:color w:val="000000" w:themeColor="text1"/>
          <w:lang w:val="en-US"/>
        </w:rPr>
        <w:t xml:space="preserve">Predicted maximum of </w:t>
      </w:r>
      <w:r w:rsidRPr="00B5549F">
        <w:rPr>
          <w:rFonts w:ascii="Times New Roman" w:hAnsi="Times New Roman" w:cs="Times New Roman"/>
          <w:i/>
          <w:iCs/>
          <w:color w:val="000000" w:themeColor="text1"/>
          <w:lang w:val="en-US"/>
        </w:rPr>
        <w:t>ConcentrationProp</w:t>
      </w:r>
      <w:r w:rsidRPr="00B5549F">
        <w:rPr>
          <w:rFonts w:ascii="Times New Roman" w:hAnsi="Times New Roman" w:cs="Times New Roman"/>
          <w:i/>
          <w:iCs/>
          <w:color w:val="000000" w:themeColor="text1"/>
          <w:vertAlign w:val="subscript"/>
          <w:lang w:val="en-US"/>
        </w:rPr>
        <w:t>p,t-1</w:t>
      </w:r>
      <w:r w:rsidRPr="00B5549F">
        <w:rPr>
          <w:rFonts w:ascii="Times New Roman" w:hAnsi="Times New Roman" w:cs="Times New Roman"/>
          <w:color w:val="000000" w:themeColor="text1"/>
          <w:lang w:val="en-US"/>
        </w:rPr>
        <w:t xml:space="preserve"> in relationship with entries of large-scale entrepreneurs.</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1814"/>
        <w:gridCol w:w="1814"/>
      </w:tblGrid>
      <w:tr w:rsidR="00B5549F" w:rsidRPr="00B5549F" w14:paraId="4EF44D2B" w14:textId="77777777" w:rsidTr="00E02797">
        <w:trPr>
          <w:jc w:val="center"/>
        </w:trPr>
        <w:tc>
          <w:tcPr>
            <w:tcW w:w="3402" w:type="dxa"/>
            <w:tcBorders>
              <w:top w:val="single" w:sz="4" w:space="0" w:color="auto"/>
              <w:bottom w:val="single" w:sz="4" w:space="0" w:color="auto"/>
            </w:tcBorders>
          </w:tcPr>
          <w:p w14:paraId="21E3BB20" w14:textId="77777777" w:rsidR="00985916" w:rsidRPr="00B5549F" w:rsidRDefault="00985916" w:rsidP="00985916">
            <w:pPr>
              <w:contextualSpacing/>
              <w:jc w:val="center"/>
              <w:rPr>
                <w:rFonts w:ascii="Times New Roman" w:hAnsi="Times New Roman" w:cs="Times New Roman"/>
                <w:color w:val="000000" w:themeColor="text1"/>
                <w:sz w:val="20"/>
                <w:szCs w:val="20"/>
                <w:lang w:val="en-US"/>
              </w:rPr>
            </w:pPr>
          </w:p>
        </w:tc>
        <w:tc>
          <w:tcPr>
            <w:tcW w:w="1814" w:type="dxa"/>
            <w:tcBorders>
              <w:top w:val="single" w:sz="4" w:space="0" w:color="auto"/>
              <w:bottom w:val="single" w:sz="4" w:space="0" w:color="auto"/>
            </w:tcBorders>
          </w:tcPr>
          <w:p w14:paraId="388E7BE3" w14:textId="77777777" w:rsidR="00985916" w:rsidRPr="00B5549F" w:rsidRDefault="00985916" w:rsidP="00985916">
            <w:pPr>
              <w:contextualSpacing/>
              <w:jc w:val="center"/>
              <w:rPr>
                <w:rFonts w:ascii="Times New Roman" w:hAnsi="Times New Roman" w:cs="Times New Roman"/>
                <w:b/>
                <w:bCs/>
                <w:color w:val="000000" w:themeColor="text1"/>
                <w:sz w:val="20"/>
                <w:szCs w:val="20"/>
                <w:lang w:val="en-US"/>
              </w:rPr>
            </w:pPr>
            <w:r w:rsidRPr="00B5549F">
              <w:rPr>
                <w:rFonts w:ascii="Times New Roman" w:hAnsi="Times New Roman" w:cs="Times New Roman"/>
                <w:b/>
                <w:bCs/>
                <w:color w:val="000000" w:themeColor="text1"/>
                <w:sz w:val="20"/>
                <w:szCs w:val="20"/>
                <w:lang w:val="en-US"/>
              </w:rPr>
              <w:t>LSE [3-10 listings]</w:t>
            </w:r>
          </w:p>
        </w:tc>
        <w:tc>
          <w:tcPr>
            <w:tcW w:w="1814" w:type="dxa"/>
            <w:tcBorders>
              <w:top w:val="single" w:sz="4" w:space="0" w:color="auto"/>
              <w:bottom w:val="single" w:sz="4" w:space="0" w:color="auto"/>
            </w:tcBorders>
          </w:tcPr>
          <w:p w14:paraId="4D339552" w14:textId="77777777" w:rsidR="00985916" w:rsidRPr="00B5549F" w:rsidRDefault="00985916" w:rsidP="00985916">
            <w:pPr>
              <w:contextualSpacing/>
              <w:jc w:val="center"/>
              <w:rPr>
                <w:rFonts w:ascii="Times New Roman" w:hAnsi="Times New Roman" w:cs="Times New Roman"/>
                <w:b/>
                <w:bCs/>
                <w:color w:val="000000" w:themeColor="text1"/>
                <w:sz w:val="20"/>
                <w:szCs w:val="20"/>
                <w:lang w:val="en-US"/>
              </w:rPr>
            </w:pPr>
            <w:r w:rsidRPr="00B5549F">
              <w:rPr>
                <w:rFonts w:ascii="Times New Roman" w:hAnsi="Times New Roman" w:cs="Times New Roman"/>
                <w:b/>
                <w:bCs/>
                <w:color w:val="000000" w:themeColor="text1"/>
                <w:sz w:val="20"/>
                <w:szCs w:val="20"/>
                <w:lang w:val="en-US"/>
              </w:rPr>
              <w:t>LSE</w:t>
            </w:r>
            <w:r w:rsidRPr="00B5549F" w:rsidDel="000F38DF">
              <w:rPr>
                <w:rFonts w:ascii="Times New Roman" w:hAnsi="Times New Roman" w:cs="Times New Roman"/>
                <w:b/>
                <w:bCs/>
                <w:color w:val="000000" w:themeColor="text1"/>
                <w:sz w:val="20"/>
                <w:szCs w:val="20"/>
                <w:lang w:val="en-US"/>
              </w:rPr>
              <w:t xml:space="preserve"> </w:t>
            </w:r>
            <w:r w:rsidRPr="00B5549F">
              <w:rPr>
                <w:rFonts w:ascii="Times New Roman" w:hAnsi="Times New Roman" w:cs="Times New Roman"/>
                <w:b/>
                <w:bCs/>
                <w:color w:val="000000" w:themeColor="text1"/>
                <w:sz w:val="20"/>
                <w:szCs w:val="20"/>
                <w:lang w:val="en-US"/>
              </w:rPr>
              <w:t>[4-10 listings]</w:t>
            </w:r>
          </w:p>
        </w:tc>
      </w:tr>
      <w:tr w:rsidR="00B5549F" w:rsidRPr="00B5549F" w14:paraId="4D9D0534" w14:textId="77777777" w:rsidTr="00E02797">
        <w:trPr>
          <w:jc w:val="center"/>
        </w:trPr>
        <w:tc>
          <w:tcPr>
            <w:tcW w:w="3402" w:type="dxa"/>
            <w:tcBorders>
              <w:top w:val="single" w:sz="4" w:space="0" w:color="auto"/>
            </w:tcBorders>
          </w:tcPr>
          <w:p w14:paraId="0D41576C"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Predicted Maximum (-</w:t>
            </w:r>
            <m:oMath>
              <m:sSub>
                <m:sSubPr>
                  <m:ctrlPr>
                    <w:rPr>
                      <w:rFonts w:ascii="Cambria Math" w:hAnsi="Cambria Math" w:cs="Times New Roman"/>
                      <w:color w:val="000000" w:themeColor="text1"/>
                      <w:sz w:val="20"/>
                      <w:szCs w:val="20"/>
                      <w:lang w:val="en-US"/>
                    </w:rPr>
                  </m:ctrlPr>
                </m:sSubPr>
                <m:e>
                  <m:r>
                    <m:rPr>
                      <m:sty m:val="p"/>
                    </m:rPr>
                    <w:rPr>
                      <w:rFonts w:ascii="Cambria Math" w:hAnsi="Cambria Math" w:cs="Times New Roman"/>
                      <w:color w:val="000000" w:themeColor="text1"/>
                      <w:sz w:val="20"/>
                      <w:szCs w:val="20"/>
                      <w:lang w:val="en-US"/>
                    </w:rPr>
                    <m:t>γ</m:t>
                  </m:r>
                </m:e>
                <m:sub>
                  <m:r>
                    <m:rPr>
                      <m:sty m:val="p"/>
                    </m:rPr>
                    <w:rPr>
                      <w:rFonts w:ascii="Cambria Math" w:hAnsi="Cambria Math" w:cs="Times New Roman"/>
                      <w:color w:val="000000" w:themeColor="text1"/>
                      <w:sz w:val="20"/>
                      <w:szCs w:val="20"/>
                      <w:lang w:val="en-US"/>
                    </w:rPr>
                    <m:t>1,LSE</m:t>
                  </m:r>
                </m:sub>
              </m:sSub>
            </m:oMath>
            <w:r w:rsidRPr="00B5549F">
              <w:rPr>
                <w:rFonts w:ascii="Times New Roman" w:hAnsi="Times New Roman" w:cs="Times New Roman"/>
                <w:color w:val="000000" w:themeColor="text1"/>
                <w:sz w:val="20"/>
                <w:szCs w:val="20"/>
                <w:lang w:val="en-US"/>
              </w:rPr>
              <w:t>/2*</w:t>
            </w:r>
            <m:oMath>
              <m:sSub>
                <m:sSubPr>
                  <m:ctrlPr>
                    <w:rPr>
                      <w:rFonts w:ascii="Cambria Math" w:hAnsi="Cambria Math" w:cs="Times New Roman"/>
                      <w:color w:val="000000" w:themeColor="text1"/>
                      <w:sz w:val="20"/>
                      <w:szCs w:val="20"/>
                      <w:lang w:val="en-US"/>
                    </w:rPr>
                  </m:ctrlPr>
                </m:sSubPr>
                <m:e>
                  <m:r>
                    <m:rPr>
                      <m:sty m:val="p"/>
                    </m:rPr>
                    <w:rPr>
                      <w:rFonts w:ascii="Cambria Math" w:hAnsi="Cambria Math" w:cs="Times New Roman"/>
                      <w:color w:val="000000" w:themeColor="text1"/>
                      <w:sz w:val="20"/>
                      <w:szCs w:val="20"/>
                      <w:lang w:val="en-US"/>
                    </w:rPr>
                    <m:t>γ</m:t>
                  </m:r>
                </m:e>
                <m:sub>
                  <m:r>
                    <m:rPr>
                      <m:sty m:val="p"/>
                    </m:rPr>
                    <w:rPr>
                      <w:rFonts w:ascii="Cambria Math" w:hAnsi="Cambria Math" w:cs="Times New Roman"/>
                      <w:color w:val="000000" w:themeColor="text1"/>
                      <w:sz w:val="20"/>
                      <w:szCs w:val="20"/>
                      <w:lang w:val="en-US"/>
                    </w:rPr>
                    <m:t>2,LSE</m:t>
                  </m:r>
                </m:sub>
              </m:sSub>
            </m:oMath>
            <w:r w:rsidRPr="00B5549F">
              <w:rPr>
                <w:rFonts w:ascii="Times New Roman" w:hAnsi="Times New Roman" w:cs="Times New Roman"/>
                <w:color w:val="000000" w:themeColor="text1"/>
                <w:sz w:val="20"/>
                <w:szCs w:val="20"/>
                <w:lang w:val="en-US"/>
              </w:rPr>
              <w:t>)</w:t>
            </w:r>
          </w:p>
        </w:tc>
        <w:tc>
          <w:tcPr>
            <w:tcW w:w="1814" w:type="dxa"/>
            <w:tcBorders>
              <w:top w:val="single" w:sz="4" w:space="0" w:color="auto"/>
            </w:tcBorders>
          </w:tcPr>
          <w:p w14:paraId="1EC373D2"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9.33</w:t>
            </w:r>
          </w:p>
        </w:tc>
        <w:tc>
          <w:tcPr>
            <w:tcW w:w="1814" w:type="dxa"/>
            <w:tcBorders>
              <w:top w:val="single" w:sz="4" w:space="0" w:color="auto"/>
            </w:tcBorders>
          </w:tcPr>
          <w:p w14:paraId="4B3F11DC"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8.95</w:t>
            </w:r>
          </w:p>
        </w:tc>
      </w:tr>
      <w:tr w:rsidR="00B5549F" w:rsidRPr="00B5549F" w14:paraId="63E91AA1" w14:textId="77777777" w:rsidTr="00E02797">
        <w:trPr>
          <w:jc w:val="center"/>
        </w:trPr>
        <w:tc>
          <w:tcPr>
            <w:tcW w:w="3402" w:type="dxa"/>
          </w:tcPr>
          <w:p w14:paraId="1BDD8564"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Std. Error Maximum</w:t>
            </w:r>
          </w:p>
        </w:tc>
        <w:tc>
          <w:tcPr>
            <w:tcW w:w="1814" w:type="dxa"/>
          </w:tcPr>
          <w:p w14:paraId="1C531D94"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0.78</w:t>
            </w:r>
          </w:p>
        </w:tc>
        <w:tc>
          <w:tcPr>
            <w:tcW w:w="1814" w:type="dxa"/>
          </w:tcPr>
          <w:p w14:paraId="3BA27ED9"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0.51</w:t>
            </w:r>
          </w:p>
        </w:tc>
      </w:tr>
      <w:tr w:rsidR="00B5549F" w:rsidRPr="00B5549F" w14:paraId="12BBC324" w14:textId="77777777" w:rsidTr="00E02797">
        <w:trPr>
          <w:jc w:val="center"/>
        </w:trPr>
        <w:tc>
          <w:tcPr>
            <w:tcW w:w="3402" w:type="dxa"/>
          </w:tcPr>
          <w:p w14:paraId="00AF7D7D"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95% CI Lower Bound</w:t>
            </w:r>
          </w:p>
        </w:tc>
        <w:tc>
          <w:tcPr>
            <w:tcW w:w="1814" w:type="dxa"/>
          </w:tcPr>
          <w:p w14:paraId="676DE692"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7.80</w:t>
            </w:r>
          </w:p>
        </w:tc>
        <w:tc>
          <w:tcPr>
            <w:tcW w:w="1814" w:type="dxa"/>
          </w:tcPr>
          <w:p w14:paraId="7E3357C9"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7.95</w:t>
            </w:r>
          </w:p>
        </w:tc>
      </w:tr>
      <w:tr w:rsidR="00B5549F" w:rsidRPr="00B5549F" w14:paraId="4A8103A0" w14:textId="77777777" w:rsidTr="00E02797">
        <w:trPr>
          <w:jc w:val="center"/>
        </w:trPr>
        <w:tc>
          <w:tcPr>
            <w:tcW w:w="3402" w:type="dxa"/>
          </w:tcPr>
          <w:p w14:paraId="4839FF24"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95% CI Upper Bound</w:t>
            </w:r>
          </w:p>
        </w:tc>
        <w:tc>
          <w:tcPr>
            <w:tcW w:w="1814" w:type="dxa"/>
          </w:tcPr>
          <w:p w14:paraId="73FDD15B"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10.87</w:t>
            </w:r>
          </w:p>
        </w:tc>
        <w:tc>
          <w:tcPr>
            <w:tcW w:w="1814" w:type="dxa"/>
          </w:tcPr>
          <w:p w14:paraId="6B55829F"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9.96</w:t>
            </w:r>
          </w:p>
        </w:tc>
      </w:tr>
      <w:tr w:rsidR="00B5549F" w:rsidRPr="00B5549F" w14:paraId="33474DA2" w14:textId="77777777" w:rsidTr="00E02797">
        <w:trPr>
          <w:jc w:val="center"/>
        </w:trPr>
        <w:tc>
          <w:tcPr>
            <w:tcW w:w="3402" w:type="dxa"/>
            <w:tcBorders>
              <w:bottom w:val="single" w:sz="4" w:space="0" w:color="auto"/>
            </w:tcBorders>
          </w:tcPr>
          <w:p w14:paraId="5274E053" w14:textId="77777777"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Percentage Observation after max</w:t>
            </w:r>
          </w:p>
        </w:tc>
        <w:tc>
          <w:tcPr>
            <w:tcW w:w="1814" w:type="dxa"/>
            <w:tcBorders>
              <w:bottom w:val="single" w:sz="4" w:space="0" w:color="auto"/>
            </w:tcBorders>
          </w:tcPr>
          <w:p w14:paraId="68CEA9C4"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2.2%</w:t>
            </w:r>
          </w:p>
        </w:tc>
        <w:tc>
          <w:tcPr>
            <w:tcW w:w="1814" w:type="dxa"/>
            <w:tcBorders>
              <w:bottom w:val="single" w:sz="4" w:space="0" w:color="auto"/>
            </w:tcBorders>
          </w:tcPr>
          <w:p w14:paraId="5B53A755" w14:textId="77777777" w:rsidR="00985916" w:rsidRPr="00B5549F" w:rsidRDefault="00985916" w:rsidP="00985916">
            <w:pPr>
              <w:contextualSpacing/>
              <w:jc w:val="right"/>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2.3%</w:t>
            </w:r>
          </w:p>
        </w:tc>
      </w:tr>
    </w:tbl>
    <w:p w14:paraId="58F7146F" w14:textId="452CD798" w:rsidR="00985916" w:rsidRPr="00B5549F" w:rsidRDefault="00985916" w:rsidP="00985916">
      <w:pPr>
        <w:contextualSpacing/>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 xml:space="preserve">Notes. Standard errors and confidence intervals are obtained through the Stata Command </w:t>
      </w:r>
      <w:proofErr w:type="spellStart"/>
      <w:r w:rsidRPr="00B5549F">
        <w:rPr>
          <w:rFonts w:ascii="Times New Roman" w:hAnsi="Times New Roman" w:cs="Times New Roman"/>
          <w:i/>
          <w:iCs/>
          <w:color w:val="000000" w:themeColor="text1"/>
          <w:sz w:val="20"/>
          <w:szCs w:val="20"/>
          <w:lang w:val="en-US"/>
        </w:rPr>
        <w:t>nlcom</w:t>
      </w:r>
      <w:proofErr w:type="spellEnd"/>
      <w:r w:rsidRPr="00B5549F">
        <w:rPr>
          <w:rFonts w:ascii="Times New Roman" w:hAnsi="Times New Roman" w:cs="Times New Roman"/>
          <w:color w:val="000000" w:themeColor="text1"/>
          <w:sz w:val="20"/>
          <w:szCs w:val="20"/>
          <w:lang w:val="en-US"/>
        </w:rPr>
        <w:t>. Results are based on the GMM-SYS estimate in Table 5 (columns 6 and 8).</w:t>
      </w:r>
    </w:p>
    <w:p w14:paraId="6457CA84" w14:textId="1701242A" w:rsidR="00985916" w:rsidRPr="00B5549F" w:rsidRDefault="00985916" w:rsidP="00985916">
      <w:pPr>
        <w:contextualSpacing/>
        <w:rPr>
          <w:rFonts w:ascii="Times New Roman" w:hAnsi="Times New Roman" w:cs="Times New Roman"/>
          <w:color w:val="000000" w:themeColor="text1"/>
          <w:sz w:val="20"/>
          <w:szCs w:val="20"/>
          <w:lang w:val="en-US"/>
        </w:rPr>
      </w:pPr>
    </w:p>
    <w:p w14:paraId="07B51708" w14:textId="77777777" w:rsidR="00985916" w:rsidRPr="00B5549F" w:rsidRDefault="00985916" w:rsidP="00985916">
      <w:pPr>
        <w:contextualSpacing/>
        <w:rPr>
          <w:rFonts w:ascii="Times New Roman" w:hAnsi="Times New Roman" w:cs="Times New Roman"/>
          <w:color w:val="000000" w:themeColor="text1"/>
          <w:sz w:val="20"/>
          <w:szCs w:val="20"/>
          <w:lang w:val="en-US"/>
        </w:rPr>
        <w:sectPr w:rsidR="00985916" w:rsidRPr="00B5549F" w:rsidSect="005E2B22">
          <w:pgSz w:w="11900" w:h="16840"/>
          <w:pgMar w:top="1417" w:right="1134" w:bottom="1134" w:left="1134" w:header="708" w:footer="708" w:gutter="0"/>
          <w:cols w:space="708"/>
          <w:docGrid w:linePitch="360"/>
        </w:sectPr>
      </w:pPr>
    </w:p>
    <w:p w14:paraId="7FFD055E" w14:textId="77777777" w:rsidR="00985916" w:rsidRPr="00B5549F" w:rsidRDefault="00985916" w:rsidP="00985916">
      <w:pPr>
        <w:spacing w:after="120"/>
        <w:contextualSpacing/>
        <w:jc w:val="both"/>
        <w:rPr>
          <w:rFonts w:ascii="Times New Roman" w:hAnsi="Times New Roman" w:cs="Times New Roman"/>
          <w:color w:val="000000" w:themeColor="text1"/>
          <w:lang w:val="en-US"/>
        </w:rPr>
      </w:pPr>
      <w:r w:rsidRPr="00B5549F">
        <w:rPr>
          <w:rFonts w:ascii="Times New Roman" w:hAnsi="Times New Roman" w:cs="Times New Roman"/>
          <w:b/>
          <w:bCs/>
          <w:color w:val="000000" w:themeColor="text1"/>
          <w:lang w:val="en-US"/>
        </w:rPr>
        <w:lastRenderedPageBreak/>
        <w:t xml:space="preserve">Table 7. </w:t>
      </w:r>
      <w:r w:rsidRPr="00B5549F">
        <w:rPr>
          <w:rFonts w:ascii="Times New Roman" w:hAnsi="Times New Roman" w:cs="Times New Roman"/>
          <w:color w:val="000000" w:themeColor="text1"/>
          <w:lang w:val="en-US"/>
        </w:rPr>
        <w:t>Regression results for the different entry ways of large-scale entrepreneurs: staged entry and brand-new entry (HP4).</w:t>
      </w:r>
    </w:p>
    <w:tbl>
      <w:tblPr>
        <w:tblW w:w="13017" w:type="dxa"/>
        <w:tblCellMar>
          <w:left w:w="70" w:type="dxa"/>
          <w:right w:w="70" w:type="dxa"/>
        </w:tblCellMar>
        <w:tblLook w:val="04A0" w:firstRow="1" w:lastRow="0" w:firstColumn="1" w:lastColumn="0" w:noHBand="0" w:noVBand="1"/>
      </w:tblPr>
      <w:tblGrid>
        <w:gridCol w:w="3081"/>
        <w:gridCol w:w="1242"/>
        <w:gridCol w:w="1242"/>
        <w:gridCol w:w="1242"/>
        <w:gridCol w:w="1242"/>
        <w:gridCol w:w="1242"/>
        <w:gridCol w:w="1242"/>
        <w:gridCol w:w="1242"/>
        <w:gridCol w:w="1242"/>
      </w:tblGrid>
      <w:tr w:rsidR="00B5549F" w:rsidRPr="00B5549F" w14:paraId="5B7A5BA6" w14:textId="77777777" w:rsidTr="00E02797">
        <w:trPr>
          <w:trHeight w:val="20"/>
        </w:trPr>
        <w:tc>
          <w:tcPr>
            <w:tcW w:w="3081" w:type="dxa"/>
            <w:tcBorders>
              <w:top w:val="single" w:sz="4" w:space="0" w:color="auto"/>
              <w:left w:val="nil"/>
              <w:right w:val="nil"/>
            </w:tcBorders>
            <w:noWrap/>
            <w:vAlign w:val="bottom"/>
          </w:tcPr>
          <w:p w14:paraId="28C3F3DE" w14:textId="77777777" w:rsidR="00985916" w:rsidRPr="00B5549F" w:rsidRDefault="00985916" w:rsidP="00985916">
            <w:pPr>
              <w:contextualSpacing/>
              <w:jc w:val="right"/>
              <w:rPr>
                <w:rFonts w:ascii="Times New Roman" w:hAnsi="Times New Roman" w:cs="Times New Roman"/>
                <w:color w:val="000000" w:themeColor="text1"/>
                <w:sz w:val="18"/>
                <w:szCs w:val="18"/>
                <w:lang w:val="en-GB"/>
              </w:rPr>
            </w:pPr>
          </w:p>
        </w:tc>
        <w:tc>
          <w:tcPr>
            <w:tcW w:w="2484" w:type="dxa"/>
            <w:gridSpan w:val="2"/>
            <w:tcBorders>
              <w:top w:val="single" w:sz="4" w:space="0" w:color="auto"/>
              <w:left w:val="nil"/>
              <w:right w:val="nil"/>
            </w:tcBorders>
            <w:noWrap/>
            <w:vAlign w:val="center"/>
          </w:tcPr>
          <w:p w14:paraId="006F43EC" w14:textId="16DB22F0" w:rsidR="00985916" w:rsidRPr="00B5549F" w:rsidRDefault="00985916" w:rsidP="00985916">
            <w:pPr>
              <w:contextualSpacing/>
              <w:jc w:val="center"/>
              <w:rPr>
                <w:rFonts w:ascii="Times New Roman" w:hAnsi="Times New Roman" w:cs="Times New Roman"/>
                <w:b/>
                <w:bCs/>
                <w:color w:val="000000" w:themeColor="text1"/>
                <w:sz w:val="18"/>
                <w:szCs w:val="18"/>
              </w:rPr>
            </w:pPr>
            <w:r w:rsidRPr="00B5549F">
              <w:rPr>
                <w:rFonts w:ascii="Times New Roman" w:hAnsi="Times New Roman" w:cs="Times New Roman"/>
                <w:b/>
                <w:bCs/>
                <w:color w:val="000000" w:themeColor="text1"/>
                <w:sz w:val="18"/>
                <w:szCs w:val="18"/>
              </w:rPr>
              <w:t>Brand New LSE [</w:t>
            </w:r>
            <w:r w:rsidR="009D5349" w:rsidRPr="00B5549F">
              <w:rPr>
                <w:rFonts w:ascii="Times New Roman" w:hAnsi="Times New Roman" w:cs="Times New Roman"/>
                <w:b/>
                <w:bCs/>
                <w:color w:val="000000" w:themeColor="text1"/>
                <w:sz w:val="18"/>
                <w:szCs w:val="18"/>
              </w:rPr>
              <w:t>n=2</w:t>
            </w:r>
            <w:r w:rsidRPr="00B5549F">
              <w:rPr>
                <w:rFonts w:ascii="Times New Roman" w:hAnsi="Times New Roman" w:cs="Times New Roman"/>
                <w:b/>
                <w:bCs/>
                <w:color w:val="000000" w:themeColor="text1"/>
                <w:sz w:val="18"/>
                <w:szCs w:val="18"/>
              </w:rPr>
              <w:t>]</w:t>
            </w:r>
          </w:p>
        </w:tc>
        <w:tc>
          <w:tcPr>
            <w:tcW w:w="2484" w:type="dxa"/>
            <w:gridSpan w:val="2"/>
            <w:tcBorders>
              <w:top w:val="single" w:sz="4" w:space="0" w:color="auto"/>
              <w:left w:val="nil"/>
              <w:right w:val="nil"/>
            </w:tcBorders>
            <w:vAlign w:val="center"/>
          </w:tcPr>
          <w:p w14:paraId="478D7805" w14:textId="324A36E9" w:rsidR="00985916" w:rsidRPr="00B5549F" w:rsidRDefault="00985916" w:rsidP="00985916">
            <w:pPr>
              <w:contextualSpacing/>
              <w:jc w:val="center"/>
              <w:rPr>
                <w:rFonts w:ascii="Times New Roman" w:hAnsi="Times New Roman" w:cs="Times New Roman"/>
                <w:b/>
                <w:bCs/>
                <w:color w:val="000000" w:themeColor="text1"/>
                <w:sz w:val="18"/>
                <w:szCs w:val="18"/>
              </w:rPr>
            </w:pPr>
            <w:r w:rsidRPr="00B5549F">
              <w:rPr>
                <w:rFonts w:ascii="Times New Roman" w:hAnsi="Times New Roman" w:cs="Times New Roman"/>
                <w:b/>
                <w:bCs/>
                <w:color w:val="000000" w:themeColor="text1"/>
                <w:sz w:val="18"/>
                <w:szCs w:val="18"/>
              </w:rPr>
              <w:t>Brand New LSE [</w:t>
            </w:r>
            <w:r w:rsidR="009D5349" w:rsidRPr="00B5549F">
              <w:rPr>
                <w:rFonts w:ascii="Times New Roman" w:hAnsi="Times New Roman" w:cs="Times New Roman"/>
                <w:b/>
                <w:bCs/>
                <w:color w:val="000000" w:themeColor="text1"/>
                <w:sz w:val="18"/>
                <w:szCs w:val="18"/>
              </w:rPr>
              <w:t>n=3</w:t>
            </w:r>
            <w:r w:rsidRPr="00B5549F">
              <w:rPr>
                <w:rFonts w:ascii="Times New Roman" w:hAnsi="Times New Roman" w:cs="Times New Roman"/>
                <w:b/>
                <w:bCs/>
                <w:color w:val="000000" w:themeColor="text1"/>
                <w:sz w:val="18"/>
                <w:szCs w:val="18"/>
              </w:rPr>
              <w:t>]</w:t>
            </w:r>
          </w:p>
        </w:tc>
        <w:tc>
          <w:tcPr>
            <w:tcW w:w="2484" w:type="dxa"/>
            <w:gridSpan w:val="2"/>
            <w:tcBorders>
              <w:top w:val="single" w:sz="4" w:space="0" w:color="auto"/>
              <w:left w:val="nil"/>
              <w:right w:val="nil"/>
            </w:tcBorders>
            <w:vAlign w:val="center"/>
          </w:tcPr>
          <w:p w14:paraId="19423601" w14:textId="77777777" w:rsidR="00985916" w:rsidRPr="00B5549F" w:rsidRDefault="00985916" w:rsidP="00985916">
            <w:pPr>
              <w:contextualSpacing/>
              <w:jc w:val="center"/>
              <w:rPr>
                <w:rFonts w:ascii="Times New Roman" w:hAnsi="Times New Roman" w:cs="Times New Roman"/>
                <w:b/>
                <w:bCs/>
                <w:color w:val="000000" w:themeColor="text1"/>
                <w:sz w:val="18"/>
                <w:szCs w:val="18"/>
              </w:rPr>
            </w:pPr>
            <w:r w:rsidRPr="00B5549F">
              <w:rPr>
                <w:rFonts w:ascii="Times New Roman" w:hAnsi="Times New Roman" w:cs="Times New Roman"/>
                <w:b/>
                <w:bCs/>
                <w:color w:val="000000" w:themeColor="text1"/>
                <w:sz w:val="18"/>
                <w:szCs w:val="18"/>
              </w:rPr>
              <w:t>SSE to LSE [n = 2]</w:t>
            </w:r>
          </w:p>
        </w:tc>
        <w:tc>
          <w:tcPr>
            <w:tcW w:w="2484" w:type="dxa"/>
            <w:gridSpan w:val="2"/>
            <w:tcBorders>
              <w:top w:val="single" w:sz="4" w:space="0" w:color="auto"/>
              <w:left w:val="nil"/>
              <w:right w:val="nil"/>
            </w:tcBorders>
            <w:noWrap/>
            <w:vAlign w:val="center"/>
          </w:tcPr>
          <w:p w14:paraId="1C1E8FAB" w14:textId="77777777" w:rsidR="00985916" w:rsidRPr="00B5549F" w:rsidRDefault="00985916" w:rsidP="00985916">
            <w:pPr>
              <w:contextualSpacing/>
              <w:jc w:val="center"/>
              <w:rPr>
                <w:rFonts w:ascii="Times New Roman" w:hAnsi="Times New Roman" w:cs="Times New Roman"/>
                <w:b/>
                <w:bCs/>
                <w:color w:val="000000" w:themeColor="text1"/>
                <w:sz w:val="18"/>
                <w:szCs w:val="18"/>
              </w:rPr>
            </w:pPr>
            <w:r w:rsidRPr="00B5549F">
              <w:rPr>
                <w:rFonts w:ascii="Times New Roman" w:hAnsi="Times New Roman" w:cs="Times New Roman"/>
                <w:b/>
                <w:bCs/>
                <w:color w:val="000000" w:themeColor="text1"/>
                <w:sz w:val="18"/>
                <w:szCs w:val="18"/>
              </w:rPr>
              <w:t>SSE to LSE [n = 3]</w:t>
            </w:r>
          </w:p>
        </w:tc>
      </w:tr>
      <w:tr w:rsidR="00B5549F" w:rsidRPr="00B5549F" w14:paraId="13924AFA" w14:textId="77777777" w:rsidTr="00E02797">
        <w:trPr>
          <w:trHeight w:val="20"/>
        </w:trPr>
        <w:tc>
          <w:tcPr>
            <w:tcW w:w="3081" w:type="dxa"/>
            <w:tcBorders>
              <w:top w:val="nil"/>
              <w:left w:val="nil"/>
              <w:right w:val="nil"/>
            </w:tcBorders>
            <w:noWrap/>
            <w:vAlign w:val="bottom"/>
            <w:hideMark/>
          </w:tcPr>
          <w:p w14:paraId="001AE8EB" w14:textId="77777777" w:rsidR="00985916" w:rsidRPr="00B5549F" w:rsidRDefault="00985916" w:rsidP="00985916">
            <w:pPr>
              <w:contextualSpacing/>
              <w:jc w:val="right"/>
              <w:rPr>
                <w:rFonts w:ascii="Times New Roman" w:hAnsi="Times New Roman" w:cs="Times New Roman"/>
                <w:color w:val="000000" w:themeColor="text1"/>
                <w:sz w:val="18"/>
                <w:szCs w:val="18"/>
                <w:lang w:val="en-GB"/>
              </w:rPr>
            </w:pPr>
          </w:p>
        </w:tc>
        <w:tc>
          <w:tcPr>
            <w:tcW w:w="1242" w:type="dxa"/>
            <w:tcBorders>
              <w:top w:val="nil"/>
              <w:left w:val="nil"/>
              <w:right w:val="nil"/>
            </w:tcBorders>
            <w:noWrap/>
            <w:vAlign w:val="bottom"/>
            <w:hideMark/>
          </w:tcPr>
          <w:p w14:paraId="23662B48" w14:textId="77777777" w:rsidR="00985916" w:rsidRPr="00B5549F" w:rsidRDefault="00985916" w:rsidP="00985916">
            <w:pPr>
              <w:contextualSpacing/>
              <w:jc w:val="right"/>
              <w:rPr>
                <w:rFonts w:ascii="Times New Roman" w:hAnsi="Times New Roman" w:cs="Times New Roman"/>
                <w:b/>
                <w:bCs/>
                <w:color w:val="000000" w:themeColor="text1"/>
                <w:sz w:val="18"/>
                <w:szCs w:val="18"/>
              </w:rPr>
            </w:pPr>
            <w:r w:rsidRPr="00B5549F">
              <w:rPr>
                <w:rFonts w:ascii="Times New Roman" w:hAnsi="Times New Roman" w:cs="Times New Roman"/>
                <w:b/>
                <w:bCs/>
                <w:color w:val="000000" w:themeColor="text1"/>
                <w:sz w:val="18"/>
                <w:szCs w:val="18"/>
              </w:rPr>
              <w:t>RE</w:t>
            </w:r>
          </w:p>
        </w:tc>
        <w:tc>
          <w:tcPr>
            <w:tcW w:w="1242" w:type="dxa"/>
            <w:tcBorders>
              <w:top w:val="nil"/>
              <w:left w:val="nil"/>
              <w:right w:val="nil"/>
            </w:tcBorders>
            <w:noWrap/>
            <w:vAlign w:val="bottom"/>
            <w:hideMark/>
          </w:tcPr>
          <w:p w14:paraId="21972D92" w14:textId="77777777" w:rsidR="00985916" w:rsidRPr="00B5549F" w:rsidRDefault="00985916" w:rsidP="00985916">
            <w:pPr>
              <w:contextualSpacing/>
              <w:jc w:val="right"/>
              <w:rPr>
                <w:rFonts w:ascii="Times New Roman" w:hAnsi="Times New Roman" w:cs="Times New Roman"/>
                <w:b/>
                <w:bCs/>
                <w:color w:val="000000" w:themeColor="text1"/>
                <w:sz w:val="18"/>
                <w:szCs w:val="18"/>
              </w:rPr>
            </w:pPr>
            <w:r w:rsidRPr="00B5549F">
              <w:rPr>
                <w:rFonts w:ascii="Times New Roman" w:hAnsi="Times New Roman" w:cs="Times New Roman"/>
                <w:b/>
                <w:bCs/>
                <w:color w:val="000000" w:themeColor="text1"/>
                <w:sz w:val="18"/>
                <w:szCs w:val="18"/>
              </w:rPr>
              <w:t>GMM-SYS</w:t>
            </w:r>
          </w:p>
        </w:tc>
        <w:tc>
          <w:tcPr>
            <w:tcW w:w="1242" w:type="dxa"/>
            <w:tcBorders>
              <w:top w:val="nil"/>
              <w:left w:val="nil"/>
              <w:right w:val="nil"/>
            </w:tcBorders>
            <w:vAlign w:val="bottom"/>
          </w:tcPr>
          <w:p w14:paraId="3FBBF5AF" w14:textId="77777777" w:rsidR="00985916" w:rsidRPr="00B5549F" w:rsidRDefault="00985916" w:rsidP="00985916">
            <w:pPr>
              <w:contextualSpacing/>
              <w:jc w:val="right"/>
              <w:rPr>
                <w:rFonts w:ascii="Times New Roman" w:hAnsi="Times New Roman" w:cs="Times New Roman"/>
                <w:b/>
                <w:bCs/>
                <w:color w:val="000000" w:themeColor="text1"/>
                <w:sz w:val="18"/>
                <w:szCs w:val="18"/>
              </w:rPr>
            </w:pPr>
            <w:r w:rsidRPr="00B5549F">
              <w:rPr>
                <w:rFonts w:ascii="Times New Roman" w:hAnsi="Times New Roman" w:cs="Times New Roman"/>
                <w:b/>
                <w:bCs/>
                <w:color w:val="000000" w:themeColor="text1"/>
                <w:sz w:val="18"/>
                <w:szCs w:val="18"/>
              </w:rPr>
              <w:t>RE</w:t>
            </w:r>
          </w:p>
        </w:tc>
        <w:tc>
          <w:tcPr>
            <w:tcW w:w="1242" w:type="dxa"/>
            <w:tcBorders>
              <w:top w:val="nil"/>
              <w:left w:val="nil"/>
              <w:right w:val="nil"/>
            </w:tcBorders>
            <w:vAlign w:val="bottom"/>
          </w:tcPr>
          <w:p w14:paraId="28CD0488" w14:textId="77777777" w:rsidR="00985916" w:rsidRPr="00B5549F" w:rsidRDefault="00985916" w:rsidP="00985916">
            <w:pPr>
              <w:contextualSpacing/>
              <w:jc w:val="right"/>
              <w:rPr>
                <w:rFonts w:ascii="Times New Roman" w:hAnsi="Times New Roman" w:cs="Times New Roman"/>
                <w:b/>
                <w:bCs/>
                <w:color w:val="000000" w:themeColor="text1"/>
                <w:sz w:val="18"/>
                <w:szCs w:val="18"/>
              </w:rPr>
            </w:pPr>
            <w:r w:rsidRPr="00B5549F">
              <w:rPr>
                <w:rFonts w:ascii="Times New Roman" w:hAnsi="Times New Roman" w:cs="Times New Roman"/>
                <w:b/>
                <w:bCs/>
                <w:color w:val="000000" w:themeColor="text1"/>
                <w:sz w:val="18"/>
                <w:szCs w:val="18"/>
              </w:rPr>
              <w:t>GMM-SYS</w:t>
            </w:r>
          </w:p>
        </w:tc>
        <w:tc>
          <w:tcPr>
            <w:tcW w:w="1242" w:type="dxa"/>
            <w:tcBorders>
              <w:top w:val="nil"/>
              <w:left w:val="nil"/>
              <w:right w:val="nil"/>
            </w:tcBorders>
            <w:vAlign w:val="bottom"/>
          </w:tcPr>
          <w:p w14:paraId="5C339398" w14:textId="77777777" w:rsidR="00985916" w:rsidRPr="00B5549F" w:rsidRDefault="00985916" w:rsidP="00985916">
            <w:pPr>
              <w:contextualSpacing/>
              <w:jc w:val="right"/>
              <w:rPr>
                <w:rFonts w:ascii="Times New Roman" w:hAnsi="Times New Roman" w:cs="Times New Roman"/>
                <w:b/>
                <w:bCs/>
                <w:color w:val="000000" w:themeColor="text1"/>
                <w:sz w:val="18"/>
                <w:szCs w:val="18"/>
              </w:rPr>
            </w:pPr>
            <w:r w:rsidRPr="00B5549F">
              <w:rPr>
                <w:rFonts w:ascii="Times New Roman" w:hAnsi="Times New Roman" w:cs="Times New Roman"/>
                <w:b/>
                <w:bCs/>
                <w:color w:val="000000" w:themeColor="text1"/>
                <w:sz w:val="18"/>
                <w:szCs w:val="18"/>
              </w:rPr>
              <w:t>RE</w:t>
            </w:r>
          </w:p>
        </w:tc>
        <w:tc>
          <w:tcPr>
            <w:tcW w:w="1242" w:type="dxa"/>
            <w:tcBorders>
              <w:top w:val="nil"/>
              <w:left w:val="nil"/>
              <w:right w:val="nil"/>
            </w:tcBorders>
            <w:vAlign w:val="bottom"/>
          </w:tcPr>
          <w:p w14:paraId="41B22548" w14:textId="77777777" w:rsidR="00985916" w:rsidRPr="00B5549F" w:rsidRDefault="00985916" w:rsidP="00985916">
            <w:pPr>
              <w:contextualSpacing/>
              <w:jc w:val="right"/>
              <w:rPr>
                <w:rFonts w:ascii="Times New Roman" w:hAnsi="Times New Roman" w:cs="Times New Roman"/>
                <w:b/>
                <w:bCs/>
                <w:color w:val="000000" w:themeColor="text1"/>
                <w:sz w:val="18"/>
                <w:szCs w:val="18"/>
              </w:rPr>
            </w:pPr>
            <w:r w:rsidRPr="00B5549F">
              <w:rPr>
                <w:rFonts w:ascii="Times New Roman" w:hAnsi="Times New Roman" w:cs="Times New Roman"/>
                <w:b/>
                <w:bCs/>
                <w:color w:val="000000" w:themeColor="text1"/>
                <w:sz w:val="18"/>
                <w:szCs w:val="18"/>
              </w:rPr>
              <w:t>GMM-SYS</w:t>
            </w:r>
          </w:p>
        </w:tc>
        <w:tc>
          <w:tcPr>
            <w:tcW w:w="1242" w:type="dxa"/>
            <w:tcBorders>
              <w:top w:val="nil"/>
              <w:left w:val="nil"/>
              <w:right w:val="nil"/>
            </w:tcBorders>
            <w:noWrap/>
            <w:vAlign w:val="bottom"/>
            <w:hideMark/>
          </w:tcPr>
          <w:p w14:paraId="6A4D06AF" w14:textId="77777777" w:rsidR="00985916" w:rsidRPr="00B5549F" w:rsidRDefault="00985916" w:rsidP="00985916">
            <w:pPr>
              <w:contextualSpacing/>
              <w:jc w:val="right"/>
              <w:rPr>
                <w:rFonts w:ascii="Times New Roman" w:hAnsi="Times New Roman" w:cs="Times New Roman"/>
                <w:b/>
                <w:bCs/>
                <w:color w:val="000000" w:themeColor="text1"/>
                <w:sz w:val="18"/>
                <w:szCs w:val="18"/>
              </w:rPr>
            </w:pPr>
            <w:r w:rsidRPr="00B5549F">
              <w:rPr>
                <w:rFonts w:ascii="Times New Roman" w:hAnsi="Times New Roman" w:cs="Times New Roman"/>
                <w:b/>
                <w:bCs/>
                <w:color w:val="000000" w:themeColor="text1"/>
                <w:sz w:val="18"/>
                <w:szCs w:val="18"/>
              </w:rPr>
              <w:t>RE</w:t>
            </w:r>
          </w:p>
        </w:tc>
        <w:tc>
          <w:tcPr>
            <w:tcW w:w="1242" w:type="dxa"/>
            <w:tcBorders>
              <w:top w:val="nil"/>
              <w:left w:val="nil"/>
              <w:right w:val="nil"/>
            </w:tcBorders>
            <w:noWrap/>
            <w:vAlign w:val="bottom"/>
            <w:hideMark/>
          </w:tcPr>
          <w:p w14:paraId="28064503" w14:textId="77777777" w:rsidR="00985916" w:rsidRPr="00B5549F" w:rsidRDefault="00985916" w:rsidP="00985916">
            <w:pPr>
              <w:contextualSpacing/>
              <w:jc w:val="right"/>
              <w:rPr>
                <w:rFonts w:ascii="Times New Roman" w:hAnsi="Times New Roman" w:cs="Times New Roman"/>
                <w:b/>
                <w:bCs/>
                <w:color w:val="000000" w:themeColor="text1"/>
                <w:sz w:val="18"/>
                <w:szCs w:val="18"/>
              </w:rPr>
            </w:pPr>
            <w:r w:rsidRPr="00B5549F">
              <w:rPr>
                <w:rFonts w:ascii="Times New Roman" w:hAnsi="Times New Roman" w:cs="Times New Roman"/>
                <w:b/>
                <w:bCs/>
                <w:color w:val="000000" w:themeColor="text1"/>
                <w:sz w:val="18"/>
                <w:szCs w:val="18"/>
              </w:rPr>
              <w:t>GMM-SYS</w:t>
            </w:r>
          </w:p>
        </w:tc>
      </w:tr>
      <w:tr w:rsidR="00B5549F" w:rsidRPr="00B5549F" w14:paraId="4F08012D" w14:textId="77777777" w:rsidTr="00E02797">
        <w:trPr>
          <w:trHeight w:val="20"/>
        </w:trPr>
        <w:tc>
          <w:tcPr>
            <w:tcW w:w="3081" w:type="dxa"/>
            <w:tcBorders>
              <w:left w:val="nil"/>
              <w:bottom w:val="single" w:sz="4" w:space="0" w:color="auto"/>
              <w:right w:val="nil"/>
            </w:tcBorders>
            <w:noWrap/>
            <w:vAlign w:val="bottom"/>
          </w:tcPr>
          <w:p w14:paraId="6E5305DA" w14:textId="77777777" w:rsidR="00985916" w:rsidRPr="00B5549F" w:rsidRDefault="00985916" w:rsidP="00985916">
            <w:pPr>
              <w:contextualSpacing/>
              <w:jc w:val="right"/>
              <w:rPr>
                <w:rFonts w:ascii="Times New Roman" w:hAnsi="Times New Roman" w:cs="Times New Roman"/>
                <w:color w:val="000000" w:themeColor="text1"/>
                <w:sz w:val="18"/>
                <w:szCs w:val="18"/>
                <w:lang w:val="en-GB"/>
              </w:rPr>
            </w:pPr>
          </w:p>
        </w:tc>
        <w:tc>
          <w:tcPr>
            <w:tcW w:w="1242" w:type="dxa"/>
            <w:tcBorders>
              <w:left w:val="nil"/>
              <w:bottom w:val="single" w:sz="4" w:space="0" w:color="auto"/>
              <w:right w:val="nil"/>
            </w:tcBorders>
            <w:noWrap/>
            <w:vAlign w:val="center"/>
          </w:tcPr>
          <w:p w14:paraId="02145C6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Y = new</w:t>
            </w:r>
            <w:r w:rsidRPr="00B5549F">
              <w:rPr>
                <w:rFonts w:ascii="Times New Roman" w:hAnsi="Times New Roman" w:cs="Times New Roman"/>
                <w:b/>
                <w:bCs/>
                <w:color w:val="000000" w:themeColor="text1"/>
                <w:sz w:val="18"/>
                <w:szCs w:val="18"/>
                <w:vertAlign w:val="superscript"/>
              </w:rPr>
              <w:t>2</w:t>
            </w:r>
            <w:r w:rsidRPr="00B5549F">
              <w:rPr>
                <w:rFonts w:ascii="Times New Roman" w:hAnsi="Times New Roman" w:cs="Times New Roman"/>
                <w:b/>
                <w:bCs/>
                <w:color w:val="000000" w:themeColor="text1"/>
                <w:sz w:val="18"/>
                <w:szCs w:val="18"/>
                <w:vertAlign w:val="subscript"/>
              </w:rPr>
              <w:t>LSE,p,t</w:t>
            </w:r>
          </w:p>
        </w:tc>
        <w:tc>
          <w:tcPr>
            <w:tcW w:w="1242" w:type="dxa"/>
            <w:tcBorders>
              <w:left w:val="nil"/>
              <w:bottom w:val="single" w:sz="4" w:space="0" w:color="auto"/>
              <w:right w:val="nil"/>
            </w:tcBorders>
            <w:noWrap/>
            <w:vAlign w:val="bottom"/>
          </w:tcPr>
          <w:p w14:paraId="6229BDF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Y = new</w:t>
            </w:r>
            <w:r w:rsidRPr="00B5549F">
              <w:rPr>
                <w:rFonts w:ascii="Times New Roman" w:hAnsi="Times New Roman" w:cs="Times New Roman"/>
                <w:b/>
                <w:bCs/>
                <w:color w:val="000000" w:themeColor="text1"/>
                <w:sz w:val="18"/>
                <w:szCs w:val="18"/>
                <w:vertAlign w:val="superscript"/>
              </w:rPr>
              <w:t>2</w:t>
            </w:r>
            <w:r w:rsidRPr="00B5549F">
              <w:rPr>
                <w:rFonts w:ascii="Times New Roman" w:hAnsi="Times New Roman" w:cs="Times New Roman"/>
                <w:b/>
                <w:bCs/>
                <w:color w:val="000000" w:themeColor="text1"/>
                <w:sz w:val="18"/>
                <w:szCs w:val="18"/>
                <w:vertAlign w:val="subscript"/>
              </w:rPr>
              <w:t>LSE,p,t</w:t>
            </w:r>
          </w:p>
        </w:tc>
        <w:tc>
          <w:tcPr>
            <w:tcW w:w="1242" w:type="dxa"/>
            <w:tcBorders>
              <w:left w:val="nil"/>
              <w:bottom w:val="single" w:sz="4" w:space="0" w:color="auto"/>
              <w:right w:val="nil"/>
            </w:tcBorders>
            <w:vAlign w:val="bottom"/>
          </w:tcPr>
          <w:p w14:paraId="7668E7A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Y = new</w:t>
            </w:r>
            <w:r w:rsidRPr="00B5549F">
              <w:rPr>
                <w:rFonts w:ascii="Times New Roman" w:hAnsi="Times New Roman" w:cs="Times New Roman"/>
                <w:b/>
                <w:bCs/>
                <w:color w:val="000000" w:themeColor="text1"/>
                <w:sz w:val="18"/>
                <w:szCs w:val="18"/>
                <w:vertAlign w:val="superscript"/>
              </w:rPr>
              <w:t>3</w:t>
            </w:r>
            <w:r w:rsidRPr="00B5549F">
              <w:rPr>
                <w:rFonts w:ascii="Times New Roman" w:hAnsi="Times New Roman" w:cs="Times New Roman"/>
                <w:b/>
                <w:bCs/>
                <w:color w:val="000000" w:themeColor="text1"/>
                <w:sz w:val="18"/>
                <w:szCs w:val="18"/>
                <w:vertAlign w:val="subscript"/>
              </w:rPr>
              <w:t>LSE,p,t</w:t>
            </w:r>
          </w:p>
        </w:tc>
        <w:tc>
          <w:tcPr>
            <w:tcW w:w="1242" w:type="dxa"/>
            <w:tcBorders>
              <w:left w:val="nil"/>
              <w:bottom w:val="single" w:sz="4" w:space="0" w:color="auto"/>
              <w:right w:val="nil"/>
            </w:tcBorders>
            <w:vAlign w:val="bottom"/>
          </w:tcPr>
          <w:p w14:paraId="318BAA0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Y = new</w:t>
            </w:r>
            <w:r w:rsidRPr="00B5549F">
              <w:rPr>
                <w:rFonts w:ascii="Times New Roman" w:hAnsi="Times New Roman" w:cs="Times New Roman"/>
                <w:b/>
                <w:bCs/>
                <w:color w:val="000000" w:themeColor="text1"/>
                <w:sz w:val="18"/>
                <w:szCs w:val="18"/>
                <w:vertAlign w:val="superscript"/>
              </w:rPr>
              <w:t>3</w:t>
            </w:r>
            <w:r w:rsidRPr="00B5549F">
              <w:rPr>
                <w:rFonts w:ascii="Times New Roman" w:hAnsi="Times New Roman" w:cs="Times New Roman"/>
                <w:b/>
                <w:bCs/>
                <w:color w:val="000000" w:themeColor="text1"/>
                <w:sz w:val="18"/>
                <w:szCs w:val="18"/>
                <w:vertAlign w:val="subscript"/>
              </w:rPr>
              <w:t>LSE,p,t</w:t>
            </w:r>
          </w:p>
        </w:tc>
        <w:tc>
          <w:tcPr>
            <w:tcW w:w="1242" w:type="dxa"/>
            <w:tcBorders>
              <w:left w:val="nil"/>
              <w:bottom w:val="single" w:sz="4" w:space="0" w:color="auto"/>
              <w:right w:val="nil"/>
            </w:tcBorders>
            <w:vAlign w:val="bottom"/>
          </w:tcPr>
          <w:p w14:paraId="560625B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Y = t</w:t>
            </w:r>
            <w:r w:rsidRPr="00B5549F">
              <w:rPr>
                <w:rFonts w:ascii="Times New Roman" w:hAnsi="Times New Roman" w:cs="Times New Roman"/>
                <w:b/>
                <w:bCs/>
                <w:color w:val="000000" w:themeColor="text1"/>
                <w:sz w:val="18"/>
                <w:szCs w:val="18"/>
                <w:vertAlign w:val="superscript"/>
              </w:rPr>
              <w:t>2</w:t>
            </w:r>
            <w:r w:rsidRPr="00B5549F">
              <w:rPr>
                <w:rFonts w:ascii="Times New Roman" w:hAnsi="Times New Roman" w:cs="Times New Roman"/>
                <w:b/>
                <w:bCs/>
                <w:color w:val="000000" w:themeColor="text1"/>
                <w:sz w:val="18"/>
                <w:szCs w:val="18"/>
                <w:vertAlign w:val="subscript"/>
              </w:rPr>
              <w:t>p, t</w:t>
            </w:r>
          </w:p>
        </w:tc>
        <w:tc>
          <w:tcPr>
            <w:tcW w:w="1242" w:type="dxa"/>
            <w:tcBorders>
              <w:left w:val="nil"/>
              <w:bottom w:val="single" w:sz="4" w:space="0" w:color="auto"/>
              <w:right w:val="nil"/>
            </w:tcBorders>
            <w:vAlign w:val="bottom"/>
          </w:tcPr>
          <w:p w14:paraId="44E16AD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Y = t</w:t>
            </w:r>
            <w:r w:rsidRPr="00B5549F">
              <w:rPr>
                <w:rFonts w:ascii="Times New Roman" w:hAnsi="Times New Roman" w:cs="Times New Roman"/>
                <w:b/>
                <w:bCs/>
                <w:color w:val="000000" w:themeColor="text1"/>
                <w:sz w:val="18"/>
                <w:szCs w:val="18"/>
                <w:vertAlign w:val="superscript"/>
              </w:rPr>
              <w:t>2</w:t>
            </w:r>
            <w:r w:rsidRPr="00B5549F">
              <w:rPr>
                <w:rFonts w:ascii="Times New Roman" w:hAnsi="Times New Roman" w:cs="Times New Roman"/>
                <w:b/>
                <w:bCs/>
                <w:color w:val="000000" w:themeColor="text1"/>
                <w:sz w:val="18"/>
                <w:szCs w:val="18"/>
                <w:vertAlign w:val="subscript"/>
              </w:rPr>
              <w:t>p, t</w:t>
            </w:r>
          </w:p>
        </w:tc>
        <w:tc>
          <w:tcPr>
            <w:tcW w:w="1242" w:type="dxa"/>
            <w:tcBorders>
              <w:left w:val="nil"/>
              <w:bottom w:val="single" w:sz="4" w:space="0" w:color="auto"/>
              <w:right w:val="nil"/>
            </w:tcBorders>
            <w:noWrap/>
            <w:vAlign w:val="bottom"/>
          </w:tcPr>
          <w:p w14:paraId="16CBBA8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Y = t</w:t>
            </w:r>
            <w:r w:rsidRPr="00B5549F">
              <w:rPr>
                <w:rFonts w:ascii="Times New Roman" w:hAnsi="Times New Roman" w:cs="Times New Roman"/>
                <w:b/>
                <w:bCs/>
                <w:color w:val="000000" w:themeColor="text1"/>
                <w:sz w:val="18"/>
                <w:szCs w:val="18"/>
                <w:vertAlign w:val="superscript"/>
              </w:rPr>
              <w:t>3</w:t>
            </w:r>
            <w:r w:rsidRPr="00B5549F">
              <w:rPr>
                <w:rFonts w:ascii="Times New Roman" w:hAnsi="Times New Roman" w:cs="Times New Roman"/>
                <w:b/>
                <w:bCs/>
                <w:color w:val="000000" w:themeColor="text1"/>
                <w:sz w:val="18"/>
                <w:szCs w:val="18"/>
                <w:vertAlign w:val="subscript"/>
              </w:rPr>
              <w:t>p, t</w:t>
            </w:r>
          </w:p>
        </w:tc>
        <w:tc>
          <w:tcPr>
            <w:tcW w:w="1242" w:type="dxa"/>
            <w:tcBorders>
              <w:left w:val="nil"/>
              <w:bottom w:val="single" w:sz="4" w:space="0" w:color="auto"/>
              <w:right w:val="nil"/>
            </w:tcBorders>
            <w:noWrap/>
            <w:vAlign w:val="bottom"/>
          </w:tcPr>
          <w:p w14:paraId="20BEB3E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b/>
                <w:bCs/>
                <w:color w:val="000000" w:themeColor="text1"/>
                <w:sz w:val="18"/>
                <w:szCs w:val="18"/>
              </w:rPr>
              <w:t>Y = t</w:t>
            </w:r>
            <w:r w:rsidRPr="00B5549F">
              <w:rPr>
                <w:rFonts w:ascii="Times New Roman" w:hAnsi="Times New Roman" w:cs="Times New Roman"/>
                <w:b/>
                <w:bCs/>
                <w:color w:val="000000" w:themeColor="text1"/>
                <w:sz w:val="18"/>
                <w:szCs w:val="18"/>
                <w:vertAlign w:val="superscript"/>
              </w:rPr>
              <w:t>3</w:t>
            </w:r>
            <w:r w:rsidRPr="00B5549F">
              <w:rPr>
                <w:rFonts w:ascii="Times New Roman" w:hAnsi="Times New Roman" w:cs="Times New Roman"/>
                <w:b/>
                <w:bCs/>
                <w:color w:val="000000" w:themeColor="text1"/>
                <w:sz w:val="18"/>
                <w:szCs w:val="18"/>
                <w:vertAlign w:val="subscript"/>
              </w:rPr>
              <w:t>p, t</w:t>
            </w:r>
          </w:p>
        </w:tc>
      </w:tr>
      <w:tr w:rsidR="00B5549F" w:rsidRPr="00B5549F" w14:paraId="5E01542E" w14:textId="77777777" w:rsidTr="00E02797">
        <w:trPr>
          <w:trHeight w:val="20"/>
        </w:trPr>
        <w:tc>
          <w:tcPr>
            <w:tcW w:w="3081" w:type="dxa"/>
            <w:tcBorders>
              <w:top w:val="single" w:sz="4" w:space="0" w:color="auto"/>
              <w:left w:val="nil"/>
              <w:bottom w:val="nil"/>
              <w:right w:val="nil"/>
            </w:tcBorders>
            <w:noWrap/>
            <w:vAlign w:val="bottom"/>
            <w:hideMark/>
          </w:tcPr>
          <w:p w14:paraId="012202E7"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ln Y</w:t>
            </w:r>
            <w:r w:rsidRPr="00B5549F">
              <w:rPr>
                <w:rFonts w:ascii="Times New Roman" w:hAnsi="Times New Roman" w:cs="Times New Roman"/>
                <w:color w:val="000000" w:themeColor="text1"/>
                <w:sz w:val="18"/>
                <w:szCs w:val="18"/>
                <w:vertAlign w:val="subscript"/>
              </w:rPr>
              <w:t>p,t-1</w:t>
            </w:r>
          </w:p>
        </w:tc>
        <w:tc>
          <w:tcPr>
            <w:tcW w:w="1242" w:type="dxa"/>
            <w:tcBorders>
              <w:top w:val="single" w:sz="4" w:space="0" w:color="auto"/>
              <w:left w:val="nil"/>
              <w:bottom w:val="nil"/>
              <w:right w:val="nil"/>
            </w:tcBorders>
            <w:noWrap/>
            <w:vAlign w:val="bottom"/>
            <w:hideMark/>
          </w:tcPr>
          <w:p w14:paraId="10D60C7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0.2211***</w:t>
            </w:r>
          </w:p>
        </w:tc>
        <w:tc>
          <w:tcPr>
            <w:tcW w:w="1242" w:type="dxa"/>
            <w:tcBorders>
              <w:top w:val="single" w:sz="4" w:space="0" w:color="auto"/>
              <w:left w:val="nil"/>
              <w:bottom w:val="nil"/>
              <w:right w:val="nil"/>
            </w:tcBorders>
            <w:noWrap/>
            <w:vAlign w:val="bottom"/>
            <w:hideMark/>
          </w:tcPr>
          <w:p w14:paraId="7EA8318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0.3054***</w:t>
            </w:r>
          </w:p>
        </w:tc>
        <w:tc>
          <w:tcPr>
            <w:tcW w:w="1242" w:type="dxa"/>
            <w:tcBorders>
              <w:top w:val="single" w:sz="4" w:space="0" w:color="auto"/>
              <w:left w:val="nil"/>
              <w:bottom w:val="nil"/>
              <w:right w:val="nil"/>
            </w:tcBorders>
            <w:vAlign w:val="bottom"/>
          </w:tcPr>
          <w:p w14:paraId="1581E62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0.2158***</w:t>
            </w:r>
          </w:p>
        </w:tc>
        <w:tc>
          <w:tcPr>
            <w:tcW w:w="1242" w:type="dxa"/>
            <w:tcBorders>
              <w:top w:val="single" w:sz="4" w:space="0" w:color="auto"/>
              <w:left w:val="nil"/>
              <w:bottom w:val="nil"/>
              <w:right w:val="nil"/>
            </w:tcBorders>
            <w:vAlign w:val="bottom"/>
          </w:tcPr>
          <w:p w14:paraId="3366FBA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0.3083***</w:t>
            </w:r>
          </w:p>
        </w:tc>
        <w:tc>
          <w:tcPr>
            <w:tcW w:w="1242" w:type="dxa"/>
            <w:tcBorders>
              <w:top w:val="single" w:sz="4" w:space="0" w:color="auto"/>
              <w:left w:val="nil"/>
              <w:bottom w:val="nil"/>
              <w:right w:val="nil"/>
            </w:tcBorders>
            <w:vAlign w:val="bottom"/>
          </w:tcPr>
          <w:p w14:paraId="10D1D45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0.2221***</w:t>
            </w:r>
          </w:p>
        </w:tc>
        <w:tc>
          <w:tcPr>
            <w:tcW w:w="1242" w:type="dxa"/>
            <w:tcBorders>
              <w:top w:val="single" w:sz="4" w:space="0" w:color="auto"/>
              <w:left w:val="nil"/>
              <w:bottom w:val="nil"/>
              <w:right w:val="nil"/>
            </w:tcBorders>
            <w:vAlign w:val="bottom"/>
          </w:tcPr>
          <w:p w14:paraId="5CCC0C2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0.5855***</w:t>
            </w:r>
          </w:p>
        </w:tc>
        <w:tc>
          <w:tcPr>
            <w:tcW w:w="1242" w:type="dxa"/>
            <w:tcBorders>
              <w:top w:val="single" w:sz="4" w:space="0" w:color="auto"/>
              <w:left w:val="nil"/>
              <w:bottom w:val="nil"/>
              <w:right w:val="nil"/>
            </w:tcBorders>
            <w:noWrap/>
            <w:vAlign w:val="bottom"/>
            <w:hideMark/>
          </w:tcPr>
          <w:p w14:paraId="1AFB52B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0.2100***</w:t>
            </w:r>
          </w:p>
        </w:tc>
        <w:tc>
          <w:tcPr>
            <w:tcW w:w="1242" w:type="dxa"/>
            <w:tcBorders>
              <w:top w:val="single" w:sz="4" w:space="0" w:color="auto"/>
              <w:left w:val="nil"/>
              <w:bottom w:val="nil"/>
              <w:right w:val="nil"/>
            </w:tcBorders>
            <w:noWrap/>
            <w:vAlign w:val="bottom"/>
            <w:hideMark/>
          </w:tcPr>
          <w:p w14:paraId="36A11DC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0.3186***</w:t>
            </w:r>
          </w:p>
        </w:tc>
      </w:tr>
      <w:tr w:rsidR="00B5549F" w:rsidRPr="00B5549F" w14:paraId="18C7120E" w14:textId="77777777" w:rsidTr="00E02797">
        <w:trPr>
          <w:trHeight w:val="20"/>
        </w:trPr>
        <w:tc>
          <w:tcPr>
            <w:tcW w:w="3081" w:type="dxa"/>
            <w:tcBorders>
              <w:top w:val="nil"/>
              <w:left w:val="nil"/>
              <w:bottom w:val="nil"/>
              <w:right w:val="nil"/>
            </w:tcBorders>
            <w:noWrap/>
            <w:vAlign w:val="bottom"/>
            <w:hideMark/>
          </w:tcPr>
          <w:p w14:paraId="74075B93"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noWrap/>
            <w:vAlign w:val="bottom"/>
            <w:hideMark/>
          </w:tcPr>
          <w:p w14:paraId="595101B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(0.029)</w:t>
            </w:r>
          </w:p>
        </w:tc>
        <w:tc>
          <w:tcPr>
            <w:tcW w:w="1242" w:type="dxa"/>
            <w:tcBorders>
              <w:top w:val="nil"/>
              <w:left w:val="nil"/>
              <w:bottom w:val="nil"/>
              <w:right w:val="nil"/>
            </w:tcBorders>
            <w:noWrap/>
            <w:vAlign w:val="bottom"/>
            <w:hideMark/>
          </w:tcPr>
          <w:p w14:paraId="13BB0E1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(0.085)</w:t>
            </w:r>
          </w:p>
        </w:tc>
        <w:tc>
          <w:tcPr>
            <w:tcW w:w="1242" w:type="dxa"/>
            <w:tcBorders>
              <w:top w:val="nil"/>
              <w:left w:val="nil"/>
              <w:bottom w:val="nil"/>
              <w:right w:val="nil"/>
            </w:tcBorders>
            <w:vAlign w:val="bottom"/>
          </w:tcPr>
          <w:p w14:paraId="0A17541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(0.030)</w:t>
            </w:r>
          </w:p>
        </w:tc>
        <w:tc>
          <w:tcPr>
            <w:tcW w:w="1242" w:type="dxa"/>
            <w:tcBorders>
              <w:top w:val="nil"/>
              <w:left w:val="nil"/>
              <w:bottom w:val="nil"/>
              <w:right w:val="nil"/>
            </w:tcBorders>
            <w:vAlign w:val="bottom"/>
          </w:tcPr>
          <w:p w14:paraId="3C015C0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(0.086)</w:t>
            </w:r>
          </w:p>
        </w:tc>
        <w:tc>
          <w:tcPr>
            <w:tcW w:w="1242" w:type="dxa"/>
            <w:tcBorders>
              <w:top w:val="nil"/>
              <w:left w:val="nil"/>
              <w:bottom w:val="nil"/>
              <w:right w:val="nil"/>
            </w:tcBorders>
            <w:vAlign w:val="bottom"/>
          </w:tcPr>
          <w:p w14:paraId="1B35684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(0.029)</w:t>
            </w:r>
          </w:p>
        </w:tc>
        <w:tc>
          <w:tcPr>
            <w:tcW w:w="1242" w:type="dxa"/>
            <w:tcBorders>
              <w:top w:val="nil"/>
              <w:left w:val="nil"/>
              <w:bottom w:val="nil"/>
              <w:right w:val="nil"/>
            </w:tcBorders>
            <w:vAlign w:val="bottom"/>
          </w:tcPr>
          <w:p w14:paraId="6AEECB9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(0.084)</w:t>
            </w:r>
          </w:p>
        </w:tc>
        <w:tc>
          <w:tcPr>
            <w:tcW w:w="1242" w:type="dxa"/>
            <w:tcBorders>
              <w:top w:val="nil"/>
              <w:left w:val="nil"/>
              <w:bottom w:val="nil"/>
              <w:right w:val="nil"/>
            </w:tcBorders>
            <w:noWrap/>
            <w:vAlign w:val="bottom"/>
            <w:hideMark/>
          </w:tcPr>
          <w:p w14:paraId="6605C24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(0.027)</w:t>
            </w:r>
          </w:p>
        </w:tc>
        <w:tc>
          <w:tcPr>
            <w:tcW w:w="1242" w:type="dxa"/>
            <w:tcBorders>
              <w:top w:val="nil"/>
              <w:left w:val="nil"/>
              <w:bottom w:val="nil"/>
              <w:right w:val="nil"/>
            </w:tcBorders>
            <w:noWrap/>
            <w:vAlign w:val="bottom"/>
            <w:hideMark/>
          </w:tcPr>
          <w:p w14:paraId="05FB67B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(0.090)</w:t>
            </w:r>
          </w:p>
        </w:tc>
      </w:tr>
      <w:tr w:rsidR="00B5549F" w:rsidRPr="00B5549F" w14:paraId="3229768E" w14:textId="77777777" w:rsidTr="00E02797">
        <w:trPr>
          <w:trHeight w:val="20"/>
        </w:trPr>
        <w:tc>
          <w:tcPr>
            <w:tcW w:w="3081" w:type="dxa"/>
            <w:tcBorders>
              <w:top w:val="nil"/>
              <w:left w:val="nil"/>
              <w:bottom w:val="nil"/>
              <w:right w:val="nil"/>
            </w:tcBorders>
            <w:noWrap/>
            <w:vAlign w:val="bottom"/>
            <w:hideMark/>
          </w:tcPr>
          <w:p w14:paraId="280C6181" w14:textId="77777777" w:rsidR="00985916" w:rsidRPr="00B5549F" w:rsidRDefault="00985916" w:rsidP="00985916">
            <w:pPr>
              <w:contextualSpacing/>
              <w:rPr>
                <w:rFonts w:ascii="Times New Roman" w:hAnsi="Times New Roman" w:cs="Times New Roman"/>
                <w:i/>
                <w:color w:val="000000" w:themeColor="text1"/>
                <w:sz w:val="18"/>
                <w:szCs w:val="18"/>
              </w:rPr>
            </w:pPr>
            <w:r w:rsidRPr="00B5549F">
              <w:rPr>
                <w:rFonts w:ascii="Times New Roman" w:hAnsi="Times New Roman" w:cs="Times New Roman"/>
                <w:i/>
                <w:color w:val="000000" w:themeColor="text1"/>
                <w:sz w:val="18"/>
                <w:szCs w:val="18"/>
              </w:rPr>
              <w:t>ConcentrationProp</w:t>
            </w:r>
            <w:r w:rsidRPr="00B5549F">
              <w:rPr>
                <w:rFonts w:ascii="Times New Roman" w:hAnsi="Times New Roman" w:cs="Times New Roman"/>
                <w:i/>
                <w:color w:val="000000" w:themeColor="text1"/>
                <w:sz w:val="18"/>
                <w:szCs w:val="18"/>
                <w:vertAlign w:val="subscript"/>
              </w:rPr>
              <w:t>p,t-1</w:t>
            </w:r>
          </w:p>
        </w:tc>
        <w:tc>
          <w:tcPr>
            <w:tcW w:w="1242" w:type="dxa"/>
            <w:tcBorders>
              <w:top w:val="nil"/>
              <w:left w:val="nil"/>
              <w:bottom w:val="nil"/>
              <w:right w:val="nil"/>
            </w:tcBorders>
            <w:noWrap/>
            <w:vAlign w:val="bottom"/>
            <w:hideMark/>
          </w:tcPr>
          <w:p w14:paraId="7E05511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0.1195***</w:t>
            </w:r>
          </w:p>
        </w:tc>
        <w:tc>
          <w:tcPr>
            <w:tcW w:w="1242" w:type="dxa"/>
            <w:tcBorders>
              <w:top w:val="nil"/>
              <w:left w:val="nil"/>
              <w:bottom w:val="nil"/>
              <w:right w:val="nil"/>
            </w:tcBorders>
            <w:noWrap/>
            <w:vAlign w:val="bottom"/>
            <w:hideMark/>
          </w:tcPr>
          <w:p w14:paraId="2D0537F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0.1025**</w:t>
            </w:r>
          </w:p>
        </w:tc>
        <w:tc>
          <w:tcPr>
            <w:tcW w:w="1242" w:type="dxa"/>
            <w:tcBorders>
              <w:top w:val="nil"/>
              <w:left w:val="nil"/>
              <w:bottom w:val="nil"/>
              <w:right w:val="nil"/>
            </w:tcBorders>
            <w:vAlign w:val="bottom"/>
          </w:tcPr>
          <w:p w14:paraId="3C412A1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0.1126***</w:t>
            </w:r>
          </w:p>
        </w:tc>
        <w:tc>
          <w:tcPr>
            <w:tcW w:w="1242" w:type="dxa"/>
            <w:tcBorders>
              <w:top w:val="nil"/>
              <w:left w:val="nil"/>
              <w:bottom w:val="nil"/>
              <w:right w:val="nil"/>
            </w:tcBorders>
            <w:vAlign w:val="bottom"/>
          </w:tcPr>
          <w:p w14:paraId="2AF89E0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0.0904**</w:t>
            </w:r>
          </w:p>
        </w:tc>
        <w:tc>
          <w:tcPr>
            <w:tcW w:w="1242" w:type="dxa"/>
            <w:tcBorders>
              <w:top w:val="nil"/>
              <w:left w:val="nil"/>
              <w:bottom w:val="nil"/>
              <w:right w:val="nil"/>
            </w:tcBorders>
            <w:vAlign w:val="bottom"/>
          </w:tcPr>
          <w:p w14:paraId="1ED26A8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0.1553***</w:t>
            </w:r>
          </w:p>
        </w:tc>
        <w:tc>
          <w:tcPr>
            <w:tcW w:w="1242" w:type="dxa"/>
            <w:tcBorders>
              <w:top w:val="nil"/>
              <w:left w:val="nil"/>
              <w:bottom w:val="nil"/>
              <w:right w:val="nil"/>
            </w:tcBorders>
            <w:vAlign w:val="bottom"/>
          </w:tcPr>
          <w:p w14:paraId="094E631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0.0774***</w:t>
            </w:r>
          </w:p>
        </w:tc>
        <w:tc>
          <w:tcPr>
            <w:tcW w:w="1242" w:type="dxa"/>
            <w:tcBorders>
              <w:top w:val="nil"/>
              <w:left w:val="nil"/>
              <w:bottom w:val="nil"/>
              <w:right w:val="nil"/>
            </w:tcBorders>
            <w:noWrap/>
            <w:vAlign w:val="bottom"/>
            <w:hideMark/>
          </w:tcPr>
          <w:p w14:paraId="1F3B2D5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0.1309***</w:t>
            </w:r>
          </w:p>
        </w:tc>
        <w:tc>
          <w:tcPr>
            <w:tcW w:w="1242" w:type="dxa"/>
            <w:tcBorders>
              <w:top w:val="nil"/>
              <w:left w:val="nil"/>
              <w:bottom w:val="nil"/>
              <w:right w:val="nil"/>
            </w:tcBorders>
            <w:noWrap/>
            <w:vAlign w:val="bottom"/>
            <w:hideMark/>
          </w:tcPr>
          <w:p w14:paraId="3C48066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0.1139***</w:t>
            </w:r>
          </w:p>
        </w:tc>
      </w:tr>
      <w:tr w:rsidR="00B5549F" w:rsidRPr="00B5549F" w14:paraId="589ACAAE" w14:textId="77777777" w:rsidTr="00E02797">
        <w:trPr>
          <w:trHeight w:val="20"/>
        </w:trPr>
        <w:tc>
          <w:tcPr>
            <w:tcW w:w="3081" w:type="dxa"/>
            <w:tcBorders>
              <w:top w:val="nil"/>
              <w:left w:val="nil"/>
              <w:bottom w:val="nil"/>
              <w:right w:val="nil"/>
            </w:tcBorders>
            <w:noWrap/>
            <w:vAlign w:val="bottom"/>
            <w:hideMark/>
          </w:tcPr>
          <w:p w14:paraId="7BB5EBB7" w14:textId="77777777" w:rsidR="00985916" w:rsidRPr="00B5549F" w:rsidRDefault="00985916" w:rsidP="00985916">
            <w:pPr>
              <w:contextualSpacing/>
              <w:jc w:val="right"/>
              <w:rPr>
                <w:rFonts w:ascii="Times New Roman" w:hAnsi="Times New Roman" w:cs="Times New Roman"/>
                <w:i/>
                <w:color w:val="000000" w:themeColor="text1"/>
                <w:sz w:val="18"/>
                <w:szCs w:val="18"/>
              </w:rPr>
            </w:pPr>
          </w:p>
        </w:tc>
        <w:tc>
          <w:tcPr>
            <w:tcW w:w="1242" w:type="dxa"/>
            <w:tcBorders>
              <w:top w:val="nil"/>
              <w:left w:val="nil"/>
              <w:bottom w:val="nil"/>
              <w:right w:val="nil"/>
            </w:tcBorders>
            <w:noWrap/>
            <w:vAlign w:val="bottom"/>
            <w:hideMark/>
          </w:tcPr>
          <w:p w14:paraId="0D20CC4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(0.044)</w:t>
            </w:r>
          </w:p>
        </w:tc>
        <w:tc>
          <w:tcPr>
            <w:tcW w:w="1242" w:type="dxa"/>
            <w:tcBorders>
              <w:top w:val="nil"/>
              <w:left w:val="nil"/>
              <w:bottom w:val="nil"/>
              <w:right w:val="nil"/>
            </w:tcBorders>
            <w:noWrap/>
            <w:vAlign w:val="bottom"/>
            <w:hideMark/>
          </w:tcPr>
          <w:p w14:paraId="3E49C94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(0.043)</w:t>
            </w:r>
          </w:p>
        </w:tc>
        <w:tc>
          <w:tcPr>
            <w:tcW w:w="1242" w:type="dxa"/>
            <w:tcBorders>
              <w:top w:val="nil"/>
              <w:left w:val="nil"/>
              <w:bottom w:val="nil"/>
              <w:right w:val="nil"/>
            </w:tcBorders>
            <w:vAlign w:val="bottom"/>
          </w:tcPr>
          <w:p w14:paraId="2FBBDB4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(0.034)</w:t>
            </w:r>
          </w:p>
        </w:tc>
        <w:tc>
          <w:tcPr>
            <w:tcW w:w="1242" w:type="dxa"/>
            <w:tcBorders>
              <w:top w:val="nil"/>
              <w:left w:val="nil"/>
              <w:bottom w:val="nil"/>
              <w:right w:val="nil"/>
            </w:tcBorders>
            <w:vAlign w:val="bottom"/>
          </w:tcPr>
          <w:p w14:paraId="54D7D98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(0.036)</w:t>
            </w:r>
          </w:p>
        </w:tc>
        <w:tc>
          <w:tcPr>
            <w:tcW w:w="1242" w:type="dxa"/>
            <w:tcBorders>
              <w:top w:val="nil"/>
              <w:left w:val="nil"/>
              <w:bottom w:val="nil"/>
              <w:right w:val="nil"/>
            </w:tcBorders>
            <w:vAlign w:val="bottom"/>
          </w:tcPr>
          <w:p w14:paraId="77C10CB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(0.035)</w:t>
            </w:r>
          </w:p>
        </w:tc>
        <w:tc>
          <w:tcPr>
            <w:tcW w:w="1242" w:type="dxa"/>
            <w:tcBorders>
              <w:top w:val="nil"/>
              <w:left w:val="nil"/>
              <w:bottom w:val="nil"/>
              <w:right w:val="nil"/>
            </w:tcBorders>
            <w:vAlign w:val="bottom"/>
          </w:tcPr>
          <w:p w14:paraId="4411F8A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0.030)</w:t>
            </w:r>
          </w:p>
        </w:tc>
        <w:tc>
          <w:tcPr>
            <w:tcW w:w="1242" w:type="dxa"/>
            <w:tcBorders>
              <w:top w:val="nil"/>
              <w:left w:val="nil"/>
              <w:bottom w:val="nil"/>
              <w:right w:val="nil"/>
            </w:tcBorders>
            <w:noWrap/>
            <w:vAlign w:val="bottom"/>
            <w:hideMark/>
          </w:tcPr>
          <w:p w14:paraId="007C608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(0.041)</w:t>
            </w:r>
          </w:p>
        </w:tc>
        <w:tc>
          <w:tcPr>
            <w:tcW w:w="1242" w:type="dxa"/>
            <w:tcBorders>
              <w:top w:val="nil"/>
              <w:left w:val="nil"/>
              <w:bottom w:val="nil"/>
              <w:right w:val="nil"/>
            </w:tcBorders>
            <w:noWrap/>
            <w:vAlign w:val="bottom"/>
            <w:hideMark/>
          </w:tcPr>
          <w:p w14:paraId="3E90EB2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(0.040)</w:t>
            </w:r>
          </w:p>
        </w:tc>
      </w:tr>
      <w:tr w:rsidR="00B5549F" w:rsidRPr="00B5549F" w14:paraId="5A8DECB0" w14:textId="77777777" w:rsidTr="00E02797">
        <w:trPr>
          <w:trHeight w:val="20"/>
        </w:trPr>
        <w:tc>
          <w:tcPr>
            <w:tcW w:w="3081" w:type="dxa"/>
            <w:tcBorders>
              <w:top w:val="nil"/>
              <w:left w:val="nil"/>
              <w:bottom w:val="nil"/>
              <w:right w:val="nil"/>
            </w:tcBorders>
            <w:noWrap/>
            <w:vAlign w:val="bottom"/>
            <w:hideMark/>
          </w:tcPr>
          <w:p w14:paraId="455E5665" w14:textId="77777777" w:rsidR="00985916" w:rsidRPr="00B5549F" w:rsidRDefault="00985916" w:rsidP="00985916">
            <w:pPr>
              <w:contextualSpacing/>
              <w:rPr>
                <w:rFonts w:ascii="Times New Roman" w:hAnsi="Times New Roman" w:cs="Times New Roman"/>
                <w:i/>
                <w:color w:val="000000" w:themeColor="text1"/>
                <w:sz w:val="18"/>
                <w:szCs w:val="18"/>
              </w:rPr>
            </w:pPr>
            <w:r w:rsidRPr="00B5549F">
              <w:rPr>
                <w:rFonts w:ascii="Times New Roman" w:hAnsi="Times New Roman" w:cs="Times New Roman"/>
                <w:i/>
                <w:color w:val="000000" w:themeColor="text1"/>
                <w:sz w:val="18"/>
                <w:szCs w:val="18"/>
              </w:rPr>
              <w:t>ConcentrationProp</w:t>
            </w:r>
            <w:r w:rsidRPr="00B5549F">
              <w:rPr>
                <w:rFonts w:ascii="Times New Roman" w:hAnsi="Times New Roman" w:cs="Times New Roman"/>
                <w:i/>
                <w:color w:val="000000" w:themeColor="text1"/>
                <w:sz w:val="18"/>
                <w:szCs w:val="18"/>
                <w:vertAlign w:val="superscript"/>
              </w:rPr>
              <w:t>2</w:t>
            </w:r>
            <w:r w:rsidRPr="00B5549F">
              <w:rPr>
                <w:rFonts w:ascii="Times New Roman" w:hAnsi="Times New Roman" w:cs="Times New Roman"/>
                <w:i/>
                <w:color w:val="000000" w:themeColor="text1"/>
                <w:sz w:val="18"/>
                <w:szCs w:val="18"/>
                <w:vertAlign w:val="subscript"/>
              </w:rPr>
              <w:t>p,t-1</w:t>
            </w:r>
          </w:p>
        </w:tc>
        <w:tc>
          <w:tcPr>
            <w:tcW w:w="1242" w:type="dxa"/>
            <w:tcBorders>
              <w:top w:val="nil"/>
              <w:left w:val="nil"/>
              <w:bottom w:val="nil"/>
              <w:right w:val="nil"/>
            </w:tcBorders>
            <w:noWrap/>
            <w:vAlign w:val="bottom"/>
            <w:hideMark/>
          </w:tcPr>
          <w:p w14:paraId="4F252AB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-0.0066**</w:t>
            </w:r>
          </w:p>
        </w:tc>
        <w:tc>
          <w:tcPr>
            <w:tcW w:w="1242" w:type="dxa"/>
            <w:tcBorders>
              <w:top w:val="nil"/>
              <w:left w:val="nil"/>
              <w:bottom w:val="nil"/>
              <w:right w:val="nil"/>
            </w:tcBorders>
            <w:noWrap/>
            <w:vAlign w:val="bottom"/>
            <w:hideMark/>
          </w:tcPr>
          <w:p w14:paraId="5FE4C05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-0.0056**</w:t>
            </w:r>
          </w:p>
        </w:tc>
        <w:tc>
          <w:tcPr>
            <w:tcW w:w="1242" w:type="dxa"/>
            <w:tcBorders>
              <w:top w:val="nil"/>
              <w:left w:val="nil"/>
              <w:bottom w:val="nil"/>
              <w:right w:val="nil"/>
            </w:tcBorders>
            <w:vAlign w:val="bottom"/>
          </w:tcPr>
          <w:p w14:paraId="65B4A2B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-0.0054**</w:t>
            </w:r>
          </w:p>
        </w:tc>
        <w:tc>
          <w:tcPr>
            <w:tcW w:w="1242" w:type="dxa"/>
            <w:tcBorders>
              <w:top w:val="nil"/>
              <w:left w:val="nil"/>
              <w:bottom w:val="nil"/>
              <w:right w:val="nil"/>
            </w:tcBorders>
            <w:vAlign w:val="bottom"/>
          </w:tcPr>
          <w:p w14:paraId="5DD3857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-0.0043*</w:t>
            </w:r>
          </w:p>
        </w:tc>
        <w:tc>
          <w:tcPr>
            <w:tcW w:w="1242" w:type="dxa"/>
            <w:tcBorders>
              <w:top w:val="nil"/>
              <w:left w:val="nil"/>
              <w:bottom w:val="nil"/>
              <w:right w:val="nil"/>
            </w:tcBorders>
            <w:vAlign w:val="bottom"/>
          </w:tcPr>
          <w:p w14:paraId="16B44CE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-0.0080***</w:t>
            </w:r>
          </w:p>
        </w:tc>
        <w:tc>
          <w:tcPr>
            <w:tcW w:w="1242" w:type="dxa"/>
            <w:tcBorders>
              <w:top w:val="nil"/>
              <w:left w:val="nil"/>
              <w:bottom w:val="nil"/>
              <w:right w:val="nil"/>
            </w:tcBorders>
            <w:vAlign w:val="bottom"/>
          </w:tcPr>
          <w:p w14:paraId="1DF5DFA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-0.0040**</w:t>
            </w:r>
          </w:p>
        </w:tc>
        <w:tc>
          <w:tcPr>
            <w:tcW w:w="1242" w:type="dxa"/>
            <w:tcBorders>
              <w:top w:val="nil"/>
              <w:left w:val="nil"/>
              <w:bottom w:val="nil"/>
              <w:right w:val="nil"/>
            </w:tcBorders>
            <w:noWrap/>
            <w:vAlign w:val="bottom"/>
            <w:hideMark/>
          </w:tcPr>
          <w:p w14:paraId="7C91DEE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-0.0071***</w:t>
            </w:r>
          </w:p>
        </w:tc>
        <w:tc>
          <w:tcPr>
            <w:tcW w:w="1242" w:type="dxa"/>
            <w:tcBorders>
              <w:top w:val="nil"/>
              <w:left w:val="nil"/>
              <w:bottom w:val="nil"/>
              <w:right w:val="nil"/>
            </w:tcBorders>
            <w:noWrap/>
            <w:vAlign w:val="bottom"/>
            <w:hideMark/>
          </w:tcPr>
          <w:p w14:paraId="03226BC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-0.0061**</w:t>
            </w:r>
          </w:p>
        </w:tc>
      </w:tr>
      <w:tr w:rsidR="00B5549F" w:rsidRPr="00B5549F" w14:paraId="5C80E3B6" w14:textId="77777777" w:rsidTr="00E02797">
        <w:trPr>
          <w:trHeight w:val="20"/>
        </w:trPr>
        <w:tc>
          <w:tcPr>
            <w:tcW w:w="3081" w:type="dxa"/>
            <w:tcBorders>
              <w:top w:val="nil"/>
              <w:left w:val="nil"/>
              <w:bottom w:val="nil"/>
              <w:right w:val="nil"/>
            </w:tcBorders>
            <w:noWrap/>
            <w:vAlign w:val="bottom"/>
            <w:hideMark/>
          </w:tcPr>
          <w:p w14:paraId="11BE00A6" w14:textId="77777777" w:rsidR="00985916" w:rsidRPr="00B5549F" w:rsidRDefault="00985916" w:rsidP="00985916">
            <w:pPr>
              <w:contextualSpacing/>
              <w:jc w:val="right"/>
              <w:rPr>
                <w:rFonts w:ascii="Times New Roman" w:hAnsi="Times New Roman" w:cs="Times New Roman"/>
                <w:i/>
                <w:color w:val="000000" w:themeColor="text1"/>
                <w:sz w:val="18"/>
                <w:szCs w:val="18"/>
              </w:rPr>
            </w:pPr>
          </w:p>
        </w:tc>
        <w:tc>
          <w:tcPr>
            <w:tcW w:w="1242" w:type="dxa"/>
            <w:tcBorders>
              <w:top w:val="nil"/>
              <w:left w:val="nil"/>
              <w:bottom w:val="nil"/>
              <w:right w:val="nil"/>
            </w:tcBorders>
            <w:noWrap/>
            <w:vAlign w:val="bottom"/>
            <w:hideMark/>
          </w:tcPr>
          <w:p w14:paraId="412B893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(0.003)</w:t>
            </w:r>
          </w:p>
        </w:tc>
        <w:tc>
          <w:tcPr>
            <w:tcW w:w="1242" w:type="dxa"/>
            <w:tcBorders>
              <w:top w:val="nil"/>
              <w:left w:val="nil"/>
              <w:bottom w:val="nil"/>
              <w:right w:val="nil"/>
            </w:tcBorders>
            <w:noWrap/>
            <w:vAlign w:val="bottom"/>
            <w:hideMark/>
          </w:tcPr>
          <w:p w14:paraId="3E3BE39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(0.003)</w:t>
            </w:r>
          </w:p>
        </w:tc>
        <w:tc>
          <w:tcPr>
            <w:tcW w:w="1242" w:type="dxa"/>
            <w:tcBorders>
              <w:top w:val="nil"/>
              <w:left w:val="nil"/>
              <w:bottom w:val="nil"/>
              <w:right w:val="nil"/>
            </w:tcBorders>
            <w:vAlign w:val="bottom"/>
          </w:tcPr>
          <w:p w14:paraId="1A95EA5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(0.002)</w:t>
            </w:r>
          </w:p>
        </w:tc>
        <w:tc>
          <w:tcPr>
            <w:tcW w:w="1242" w:type="dxa"/>
            <w:tcBorders>
              <w:top w:val="nil"/>
              <w:left w:val="nil"/>
              <w:bottom w:val="nil"/>
              <w:right w:val="nil"/>
            </w:tcBorders>
            <w:vAlign w:val="bottom"/>
          </w:tcPr>
          <w:p w14:paraId="044B31E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(0.002)</w:t>
            </w:r>
          </w:p>
        </w:tc>
        <w:tc>
          <w:tcPr>
            <w:tcW w:w="1242" w:type="dxa"/>
            <w:tcBorders>
              <w:top w:val="nil"/>
              <w:left w:val="nil"/>
              <w:bottom w:val="nil"/>
              <w:right w:val="nil"/>
            </w:tcBorders>
            <w:vAlign w:val="bottom"/>
          </w:tcPr>
          <w:p w14:paraId="53C6CDF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(0.002)</w:t>
            </w:r>
          </w:p>
        </w:tc>
        <w:tc>
          <w:tcPr>
            <w:tcW w:w="1242" w:type="dxa"/>
            <w:tcBorders>
              <w:top w:val="nil"/>
              <w:left w:val="nil"/>
              <w:bottom w:val="nil"/>
              <w:right w:val="nil"/>
            </w:tcBorders>
            <w:vAlign w:val="bottom"/>
          </w:tcPr>
          <w:p w14:paraId="0CD7CB5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(0.002)</w:t>
            </w:r>
          </w:p>
        </w:tc>
        <w:tc>
          <w:tcPr>
            <w:tcW w:w="1242" w:type="dxa"/>
            <w:tcBorders>
              <w:top w:val="nil"/>
              <w:left w:val="nil"/>
              <w:bottom w:val="nil"/>
              <w:right w:val="nil"/>
            </w:tcBorders>
            <w:noWrap/>
            <w:vAlign w:val="bottom"/>
            <w:hideMark/>
          </w:tcPr>
          <w:p w14:paraId="4DA120F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(0.003)</w:t>
            </w:r>
          </w:p>
        </w:tc>
        <w:tc>
          <w:tcPr>
            <w:tcW w:w="1242" w:type="dxa"/>
            <w:tcBorders>
              <w:top w:val="nil"/>
              <w:left w:val="nil"/>
              <w:bottom w:val="nil"/>
              <w:right w:val="nil"/>
            </w:tcBorders>
            <w:noWrap/>
            <w:vAlign w:val="bottom"/>
            <w:hideMark/>
          </w:tcPr>
          <w:p w14:paraId="397BC6A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(0.003)</w:t>
            </w:r>
          </w:p>
        </w:tc>
      </w:tr>
      <w:tr w:rsidR="00B5549F" w:rsidRPr="00B5549F" w14:paraId="7270C8E4" w14:textId="77777777" w:rsidTr="00E02797">
        <w:trPr>
          <w:trHeight w:val="20"/>
        </w:trPr>
        <w:tc>
          <w:tcPr>
            <w:tcW w:w="3081" w:type="dxa"/>
            <w:tcBorders>
              <w:top w:val="nil"/>
              <w:left w:val="nil"/>
              <w:bottom w:val="nil"/>
              <w:right w:val="nil"/>
            </w:tcBorders>
            <w:noWrap/>
            <w:vAlign w:val="bottom"/>
            <w:hideMark/>
          </w:tcPr>
          <w:p w14:paraId="57AC9E4C" w14:textId="77777777" w:rsidR="00985916" w:rsidRPr="00B5549F" w:rsidRDefault="00985916" w:rsidP="00985916">
            <w:pPr>
              <w:contextualSpacing/>
              <w:rPr>
                <w:rFonts w:ascii="Times New Roman" w:hAnsi="Times New Roman" w:cs="Times New Roman"/>
                <w:i/>
                <w:color w:val="000000" w:themeColor="text1"/>
                <w:sz w:val="18"/>
                <w:szCs w:val="18"/>
              </w:rPr>
            </w:pPr>
            <w:r w:rsidRPr="00B5549F">
              <w:rPr>
                <w:rFonts w:ascii="Times New Roman" w:hAnsi="Times New Roman" w:cs="Times New Roman"/>
                <w:color w:val="000000" w:themeColor="text1"/>
                <w:sz w:val="18"/>
                <w:szCs w:val="18"/>
              </w:rPr>
              <w:t>ln</w:t>
            </w:r>
            <w:r w:rsidRPr="00B5549F">
              <w:rPr>
                <w:rFonts w:ascii="Times New Roman" w:hAnsi="Times New Roman" w:cs="Times New Roman"/>
                <w:i/>
                <w:color w:val="000000" w:themeColor="text1"/>
                <w:sz w:val="18"/>
                <w:szCs w:val="18"/>
              </w:rPr>
              <w:t xml:space="preserve"> MarketClimate</w:t>
            </w:r>
            <w:r w:rsidRPr="00B5549F">
              <w:rPr>
                <w:rFonts w:ascii="Times New Roman" w:hAnsi="Times New Roman" w:cs="Times New Roman"/>
                <w:i/>
                <w:color w:val="000000" w:themeColor="text1"/>
                <w:sz w:val="18"/>
                <w:szCs w:val="18"/>
                <w:vertAlign w:val="superscript"/>
              </w:rPr>
              <w:t>3</w:t>
            </w:r>
            <w:r w:rsidRPr="00B5549F">
              <w:rPr>
                <w:rFonts w:ascii="Times New Roman" w:hAnsi="Times New Roman" w:cs="Times New Roman"/>
                <w:i/>
                <w:color w:val="000000" w:themeColor="text1"/>
                <w:sz w:val="18"/>
                <w:szCs w:val="18"/>
                <w:vertAlign w:val="subscript"/>
              </w:rPr>
              <w:t>p,t</w:t>
            </w:r>
          </w:p>
        </w:tc>
        <w:tc>
          <w:tcPr>
            <w:tcW w:w="1242" w:type="dxa"/>
            <w:tcBorders>
              <w:top w:val="nil"/>
              <w:left w:val="nil"/>
              <w:bottom w:val="nil"/>
              <w:right w:val="nil"/>
            </w:tcBorders>
            <w:noWrap/>
            <w:vAlign w:val="bottom"/>
            <w:hideMark/>
          </w:tcPr>
          <w:p w14:paraId="1441BA0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0.2315***</w:t>
            </w:r>
          </w:p>
        </w:tc>
        <w:tc>
          <w:tcPr>
            <w:tcW w:w="1242" w:type="dxa"/>
            <w:tcBorders>
              <w:top w:val="nil"/>
              <w:left w:val="nil"/>
              <w:bottom w:val="nil"/>
              <w:right w:val="nil"/>
            </w:tcBorders>
            <w:noWrap/>
            <w:vAlign w:val="bottom"/>
            <w:hideMark/>
          </w:tcPr>
          <w:p w14:paraId="38897D8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0.1930***</w:t>
            </w:r>
          </w:p>
        </w:tc>
        <w:tc>
          <w:tcPr>
            <w:tcW w:w="1242" w:type="dxa"/>
            <w:tcBorders>
              <w:top w:val="nil"/>
              <w:left w:val="nil"/>
              <w:bottom w:val="nil"/>
              <w:right w:val="nil"/>
            </w:tcBorders>
            <w:vAlign w:val="bottom"/>
          </w:tcPr>
          <w:p w14:paraId="0DA14A4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0.3543***</w:t>
            </w:r>
          </w:p>
        </w:tc>
        <w:tc>
          <w:tcPr>
            <w:tcW w:w="1242" w:type="dxa"/>
            <w:tcBorders>
              <w:top w:val="nil"/>
              <w:left w:val="nil"/>
              <w:bottom w:val="nil"/>
              <w:right w:val="nil"/>
            </w:tcBorders>
            <w:vAlign w:val="bottom"/>
          </w:tcPr>
          <w:p w14:paraId="7FAA91E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0.3064***</w:t>
            </w:r>
          </w:p>
        </w:tc>
        <w:tc>
          <w:tcPr>
            <w:tcW w:w="1242" w:type="dxa"/>
            <w:tcBorders>
              <w:top w:val="nil"/>
              <w:left w:val="nil"/>
              <w:bottom w:val="nil"/>
              <w:right w:val="nil"/>
            </w:tcBorders>
            <w:vAlign w:val="bottom"/>
          </w:tcPr>
          <w:p w14:paraId="4DAB3EA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0.2796***</w:t>
            </w:r>
          </w:p>
        </w:tc>
        <w:tc>
          <w:tcPr>
            <w:tcW w:w="1242" w:type="dxa"/>
            <w:tcBorders>
              <w:top w:val="nil"/>
              <w:left w:val="nil"/>
              <w:bottom w:val="nil"/>
              <w:right w:val="nil"/>
            </w:tcBorders>
            <w:vAlign w:val="bottom"/>
          </w:tcPr>
          <w:p w14:paraId="3D8F654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0.1416***</w:t>
            </w:r>
          </w:p>
        </w:tc>
        <w:tc>
          <w:tcPr>
            <w:tcW w:w="1242" w:type="dxa"/>
            <w:tcBorders>
              <w:top w:val="nil"/>
              <w:left w:val="nil"/>
              <w:bottom w:val="nil"/>
              <w:right w:val="nil"/>
            </w:tcBorders>
            <w:noWrap/>
            <w:vAlign w:val="bottom"/>
            <w:hideMark/>
          </w:tcPr>
          <w:p w14:paraId="412E5CF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0.1310***</w:t>
            </w:r>
          </w:p>
        </w:tc>
        <w:tc>
          <w:tcPr>
            <w:tcW w:w="1242" w:type="dxa"/>
            <w:tcBorders>
              <w:top w:val="nil"/>
              <w:left w:val="nil"/>
              <w:bottom w:val="nil"/>
              <w:right w:val="nil"/>
            </w:tcBorders>
            <w:noWrap/>
            <w:vAlign w:val="bottom"/>
            <w:hideMark/>
          </w:tcPr>
          <w:p w14:paraId="2AB164B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0.0974***</w:t>
            </w:r>
          </w:p>
        </w:tc>
      </w:tr>
      <w:tr w:rsidR="00B5549F" w:rsidRPr="00B5549F" w14:paraId="51246298" w14:textId="77777777" w:rsidTr="00E02797">
        <w:trPr>
          <w:trHeight w:val="20"/>
        </w:trPr>
        <w:tc>
          <w:tcPr>
            <w:tcW w:w="3081" w:type="dxa"/>
            <w:tcBorders>
              <w:top w:val="nil"/>
              <w:left w:val="nil"/>
              <w:bottom w:val="nil"/>
              <w:right w:val="nil"/>
            </w:tcBorders>
            <w:noWrap/>
            <w:vAlign w:val="bottom"/>
            <w:hideMark/>
          </w:tcPr>
          <w:p w14:paraId="6BD7D6ED" w14:textId="77777777" w:rsidR="00985916" w:rsidRPr="00B5549F" w:rsidRDefault="00985916" w:rsidP="00985916">
            <w:pPr>
              <w:contextualSpacing/>
              <w:jc w:val="right"/>
              <w:rPr>
                <w:rFonts w:ascii="Times New Roman" w:hAnsi="Times New Roman" w:cs="Times New Roman"/>
                <w:i/>
                <w:color w:val="000000" w:themeColor="text1"/>
                <w:sz w:val="18"/>
                <w:szCs w:val="18"/>
              </w:rPr>
            </w:pPr>
          </w:p>
        </w:tc>
        <w:tc>
          <w:tcPr>
            <w:tcW w:w="1242" w:type="dxa"/>
            <w:tcBorders>
              <w:top w:val="nil"/>
              <w:left w:val="nil"/>
              <w:bottom w:val="nil"/>
              <w:right w:val="nil"/>
            </w:tcBorders>
            <w:noWrap/>
            <w:vAlign w:val="bottom"/>
            <w:hideMark/>
          </w:tcPr>
          <w:p w14:paraId="525D24E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(0.029)</w:t>
            </w:r>
          </w:p>
        </w:tc>
        <w:tc>
          <w:tcPr>
            <w:tcW w:w="1242" w:type="dxa"/>
            <w:tcBorders>
              <w:top w:val="nil"/>
              <w:left w:val="nil"/>
              <w:bottom w:val="nil"/>
              <w:right w:val="nil"/>
            </w:tcBorders>
            <w:noWrap/>
            <w:vAlign w:val="bottom"/>
            <w:hideMark/>
          </w:tcPr>
          <w:p w14:paraId="5A5E886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(0.036)</w:t>
            </w:r>
          </w:p>
        </w:tc>
        <w:tc>
          <w:tcPr>
            <w:tcW w:w="1242" w:type="dxa"/>
            <w:tcBorders>
              <w:top w:val="nil"/>
              <w:left w:val="nil"/>
              <w:bottom w:val="nil"/>
              <w:right w:val="nil"/>
            </w:tcBorders>
            <w:vAlign w:val="bottom"/>
          </w:tcPr>
          <w:p w14:paraId="77A42F0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(0.031)</w:t>
            </w:r>
          </w:p>
        </w:tc>
        <w:tc>
          <w:tcPr>
            <w:tcW w:w="1242" w:type="dxa"/>
            <w:tcBorders>
              <w:top w:val="nil"/>
              <w:left w:val="nil"/>
              <w:bottom w:val="nil"/>
              <w:right w:val="nil"/>
            </w:tcBorders>
            <w:vAlign w:val="bottom"/>
          </w:tcPr>
          <w:p w14:paraId="70AE498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(0.051)</w:t>
            </w:r>
          </w:p>
        </w:tc>
        <w:tc>
          <w:tcPr>
            <w:tcW w:w="1242" w:type="dxa"/>
            <w:tcBorders>
              <w:top w:val="nil"/>
              <w:left w:val="nil"/>
              <w:bottom w:val="nil"/>
              <w:right w:val="nil"/>
            </w:tcBorders>
            <w:vAlign w:val="bottom"/>
          </w:tcPr>
          <w:p w14:paraId="6946F23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(0.031)</w:t>
            </w:r>
          </w:p>
        </w:tc>
        <w:tc>
          <w:tcPr>
            <w:tcW w:w="1242" w:type="dxa"/>
            <w:tcBorders>
              <w:top w:val="nil"/>
              <w:left w:val="nil"/>
              <w:bottom w:val="nil"/>
              <w:right w:val="nil"/>
            </w:tcBorders>
            <w:vAlign w:val="bottom"/>
          </w:tcPr>
          <w:p w14:paraId="61C6264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(0.036)</w:t>
            </w:r>
          </w:p>
        </w:tc>
        <w:tc>
          <w:tcPr>
            <w:tcW w:w="1242" w:type="dxa"/>
            <w:tcBorders>
              <w:top w:val="nil"/>
              <w:left w:val="nil"/>
              <w:bottom w:val="nil"/>
              <w:right w:val="nil"/>
            </w:tcBorders>
            <w:noWrap/>
            <w:vAlign w:val="bottom"/>
            <w:hideMark/>
          </w:tcPr>
          <w:p w14:paraId="09B761E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(0.025)</w:t>
            </w:r>
          </w:p>
        </w:tc>
        <w:tc>
          <w:tcPr>
            <w:tcW w:w="1242" w:type="dxa"/>
            <w:tcBorders>
              <w:top w:val="nil"/>
              <w:left w:val="nil"/>
              <w:bottom w:val="nil"/>
              <w:right w:val="nil"/>
            </w:tcBorders>
            <w:noWrap/>
            <w:vAlign w:val="bottom"/>
            <w:hideMark/>
          </w:tcPr>
          <w:p w14:paraId="5B33111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(0.024)</w:t>
            </w:r>
          </w:p>
        </w:tc>
      </w:tr>
      <w:tr w:rsidR="00B5549F" w:rsidRPr="00B5549F" w14:paraId="756FA358" w14:textId="77777777" w:rsidTr="00E02797">
        <w:trPr>
          <w:trHeight w:val="20"/>
        </w:trPr>
        <w:tc>
          <w:tcPr>
            <w:tcW w:w="3081" w:type="dxa"/>
            <w:tcBorders>
              <w:top w:val="nil"/>
              <w:left w:val="nil"/>
              <w:bottom w:val="nil"/>
              <w:right w:val="nil"/>
            </w:tcBorders>
            <w:noWrap/>
            <w:vAlign w:val="bottom"/>
            <w:hideMark/>
          </w:tcPr>
          <w:p w14:paraId="7BE751FC" w14:textId="77777777" w:rsidR="00985916" w:rsidRPr="00B5549F" w:rsidRDefault="00985916" w:rsidP="00985916">
            <w:pPr>
              <w:contextualSpacing/>
              <w:rPr>
                <w:rFonts w:ascii="Times New Roman" w:hAnsi="Times New Roman" w:cs="Times New Roman"/>
                <w:i/>
                <w:color w:val="000000" w:themeColor="text1"/>
                <w:sz w:val="18"/>
                <w:szCs w:val="18"/>
              </w:rPr>
            </w:pPr>
            <w:r w:rsidRPr="00B5549F">
              <w:rPr>
                <w:rFonts w:ascii="Times New Roman" w:hAnsi="Times New Roman" w:cs="Times New Roman"/>
                <w:color w:val="000000" w:themeColor="text1"/>
                <w:sz w:val="18"/>
                <w:szCs w:val="18"/>
              </w:rPr>
              <w:t>ln</w:t>
            </w:r>
            <w:r w:rsidRPr="00B5549F">
              <w:rPr>
                <w:rFonts w:ascii="Times New Roman" w:hAnsi="Times New Roman" w:cs="Times New Roman"/>
                <w:i/>
                <w:color w:val="000000" w:themeColor="text1"/>
                <w:sz w:val="18"/>
                <w:szCs w:val="18"/>
              </w:rPr>
              <w:t xml:space="preserve"> </w:t>
            </w:r>
            <w:proofErr w:type="spellStart"/>
            <w:r w:rsidRPr="00B5549F">
              <w:rPr>
                <w:rFonts w:ascii="Times New Roman" w:hAnsi="Times New Roman" w:cs="Times New Roman"/>
                <w:i/>
                <w:color w:val="000000" w:themeColor="text1"/>
                <w:sz w:val="18"/>
                <w:szCs w:val="18"/>
              </w:rPr>
              <w:t>UnoccupiedDwellings</w:t>
            </w:r>
            <w:r w:rsidRPr="00B5549F">
              <w:rPr>
                <w:rFonts w:ascii="Times New Roman" w:hAnsi="Times New Roman" w:cs="Times New Roman"/>
                <w:i/>
                <w:color w:val="000000" w:themeColor="text1"/>
                <w:sz w:val="18"/>
                <w:szCs w:val="18"/>
                <w:vertAlign w:val="subscript"/>
              </w:rPr>
              <w:t>p</w:t>
            </w:r>
            <w:proofErr w:type="spellEnd"/>
          </w:p>
        </w:tc>
        <w:tc>
          <w:tcPr>
            <w:tcW w:w="1242" w:type="dxa"/>
            <w:tcBorders>
              <w:top w:val="nil"/>
              <w:left w:val="nil"/>
              <w:bottom w:val="nil"/>
              <w:right w:val="nil"/>
            </w:tcBorders>
            <w:noWrap/>
            <w:vAlign w:val="bottom"/>
            <w:hideMark/>
          </w:tcPr>
          <w:p w14:paraId="7441188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0.0115</w:t>
            </w:r>
          </w:p>
        </w:tc>
        <w:tc>
          <w:tcPr>
            <w:tcW w:w="1242" w:type="dxa"/>
            <w:tcBorders>
              <w:top w:val="nil"/>
              <w:left w:val="nil"/>
              <w:bottom w:val="nil"/>
              <w:right w:val="nil"/>
            </w:tcBorders>
            <w:noWrap/>
            <w:vAlign w:val="bottom"/>
            <w:hideMark/>
          </w:tcPr>
          <w:p w14:paraId="0057913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0.0145</w:t>
            </w:r>
          </w:p>
        </w:tc>
        <w:tc>
          <w:tcPr>
            <w:tcW w:w="1242" w:type="dxa"/>
            <w:tcBorders>
              <w:top w:val="nil"/>
              <w:left w:val="nil"/>
              <w:bottom w:val="nil"/>
              <w:right w:val="nil"/>
            </w:tcBorders>
            <w:vAlign w:val="bottom"/>
          </w:tcPr>
          <w:p w14:paraId="3A69F90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0.0290</w:t>
            </w:r>
          </w:p>
        </w:tc>
        <w:tc>
          <w:tcPr>
            <w:tcW w:w="1242" w:type="dxa"/>
            <w:tcBorders>
              <w:top w:val="nil"/>
              <w:left w:val="nil"/>
              <w:bottom w:val="nil"/>
              <w:right w:val="nil"/>
            </w:tcBorders>
            <w:vAlign w:val="bottom"/>
          </w:tcPr>
          <w:p w14:paraId="0E82DDB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0.0242</w:t>
            </w:r>
          </w:p>
        </w:tc>
        <w:tc>
          <w:tcPr>
            <w:tcW w:w="1242" w:type="dxa"/>
            <w:tcBorders>
              <w:top w:val="nil"/>
              <w:left w:val="nil"/>
              <w:bottom w:val="nil"/>
              <w:right w:val="nil"/>
            </w:tcBorders>
            <w:vAlign w:val="bottom"/>
          </w:tcPr>
          <w:p w14:paraId="4D81178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0.0322</w:t>
            </w:r>
          </w:p>
        </w:tc>
        <w:tc>
          <w:tcPr>
            <w:tcW w:w="1242" w:type="dxa"/>
            <w:tcBorders>
              <w:top w:val="nil"/>
              <w:left w:val="nil"/>
              <w:bottom w:val="nil"/>
              <w:right w:val="nil"/>
            </w:tcBorders>
            <w:vAlign w:val="bottom"/>
          </w:tcPr>
          <w:p w14:paraId="6C70E35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0.0208</w:t>
            </w:r>
          </w:p>
        </w:tc>
        <w:tc>
          <w:tcPr>
            <w:tcW w:w="1242" w:type="dxa"/>
            <w:tcBorders>
              <w:top w:val="nil"/>
              <w:left w:val="nil"/>
              <w:bottom w:val="nil"/>
              <w:right w:val="nil"/>
            </w:tcBorders>
            <w:noWrap/>
            <w:vAlign w:val="bottom"/>
            <w:hideMark/>
          </w:tcPr>
          <w:p w14:paraId="41CE9B7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0.0073</w:t>
            </w:r>
          </w:p>
        </w:tc>
        <w:tc>
          <w:tcPr>
            <w:tcW w:w="1242" w:type="dxa"/>
            <w:tcBorders>
              <w:top w:val="nil"/>
              <w:left w:val="nil"/>
              <w:bottom w:val="nil"/>
              <w:right w:val="nil"/>
            </w:tcBorders>
            <w:noWrap/>
            <w:vAlign w:val="bottom"/>
            <w:hideMark/>
          </w:tcPr>
          <w:p w14:paraId="2E2FA8E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-0.0051</w:t>
            </w:r>
          </w:p>
        </w:tc>
      </w:tr>
      <w:tr w:rsidR="00B5549F" w:rsidRPr="00B5549F" w14:paraId="3B76E346" w14:textId="77777777" w:rsidTr="00E02797">
        <w:trPr>
          <w:trHeight w:val="20"/>
        </w:trPr>
        <w:tc>
          <w:tcPr>
            <w:tcW w:w="3081" w:type="dxa"/>
            <w:tcBorders>
              <w:top w:val="nil"/>
              <w:left w:val="nil"/>
              <w:bottom w:val="nil"/>
              <w:right w:val="nil"/>
            </w:tcBorders>
            <w:noWrap/>
            <w:vAlign w:val="bottom"/>
            <w:hideMark/>
          </w:tcPr>
          <w:p w14:paraId="56DA69B8" w14:textId="77777777" w:rsidR="00985916" w:rsidRPr="00B5549F" w:rsidRDefault="00985916" w:rsidP="00985916">
            <w:pPr>
              <w:contextualSpacing/>
              <w:jc w:val="right"/>
              <w:rPr>
                <w:rFonts w:ascii="Times New Roman" w:hAnsi="Times New Roman" w:cs="Times New Roman"/>
                <w:i/>
                <w:color w:val="000000" w:themeColor="text1"/>
                <w:sz w:val="18"/>
                <w:szCs w:val="18"/>
              </w:rPr>
            </w:pPr>
          </w:p>
        </w:tc>
        <w:tc>
          <w:tcPr>
            <w:tcW w:w="1242" w:type="dxa"/>
            <w:tcBorders>
              <w:top w:val="nil"/>
              <w:left w:val="nil"/>
              <w:bottom w:val="nil"/>
              <w:right w:val="nil"/>
            </w:tcBorders>
            <w:noWrap/>
            <w:vAlign w:val="bottom"/>
            <w:hideMark/>
          </w:tcPr>
          <w:p w14:paraId="1416905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(0.042)</w:t>
            </w:r>
          </w:p>
        </w:tc>
        <w:tc>
          <w:tcPr>
            <w:tcW w:w="1242" w:type="dxa"/>
            <w:tcBorders>
              <w:top w:val="nil"/>
              <w:left w:val="nil"/>
              <w:bottom w:val="nil"/>
              <w:right w:val="nil"/>
            </w:tcBorders>
            <w:noWrap/>
            <w:vAlign w:val="bottom"/>
            <w:hideMark/>
          </w:tcPr>
          <w:p w14:paraId="40ABFA9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(0.046)</w:t>
            </w:r>
          </w:p>
        </w:tc>
        <w:tc>
          <w:tcPr>
            <w:tcW w:w="1242" w:type="dxa"/>
            <w:tcBorders>
              <w:top w:val="nil"/>
              <w:left w:val="nil"/>
              <w:bottom w:val="nil"/>
              <w:right w:val="nil"/>
            </w:tcBorders>
            <w:vAlign w:val="bottom"/>
          </w:tcPr>
          <w:p w14:paraId="20B8B03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(0.036)</w:t>
            </w:r>
          </w:p>
        </w:tc>
        <w:tc>
          <w:tcPr>
            <w:tcW w:w="1242" w:type="dxa"/>
            <w:tcBorders>
              <w:top w:val="nil"/>
              <w:left w:val="nil"/>
              <w:bottom w:val="nil"/>
              <w:right w:val="nil"/>
            </w:tcBorders>
            <w:vAlign w:val="bottom"/>
          </w:tcPr>
          <w:p w14:paraId="684E285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(0.039)</w:t>
            </w:r>
          </w:p>
        </w:tc>
        <w:tc>
          <w:tcPr>
            <w:tcW w:w="1242" w:type="dxa"/>
            <w:tcBorders>
              <w:top w:val="nil"/>
              <w:left w:val="nil"/>
              <w:bottom w:val="nil"/>
              <w:right w:val="nil"/>
            </w:tcBorders>
            <w:vAlign w:val="bottom"/>
          </w:tcPr>
          <w:p w14:paraId="196F82E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(0.039)</w:t>
            </w:r>
          </w:p>
        </w:tc>
        <w:tc>
          <w:tcPr>
            <w:tcW w:w="1242" w:type="dxa"/>
            <w:tcBorders>
              <w:top w:val="nil"/>
              <w:left w:val="nil"/>
              <w:bottom w:val="nil"/>
              <w:right w:val="nil"/>
            </w:tcBorders>
            <w:vAlign w:val="bottom"/>
          </w:tcPr>
          <w:p w14:paraId="65FEA3B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(0.028)</w:t>
            </w:r>
          </w:p>
        </w:tc>
        <w:tc>
          <w:tcPr>
            <w:tcW w:w="1242" w:type="dxa"/>
            <w:tcBorders>
              <w:top w:val="nil"/>
              <w:left w:val="nil"/>
              <w:bottom w:val="nil"/>
              <w:right w:val="nil"/>
            </w:tcBorders>
            <w:noWrap/>
            <w:vAlign w:val="bottom"/>
            <w:hideMark/>
          </w:tcPr>
          <w:p w14:paraId="74DAEF8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(0.040)</w:t>
            </w:r>
          </w:p>
        </w:tc>
        <w:tc>
          <w:tcPr>
            <w:tcW w:w="1242" w:type="dxa"/>
            <w:tcBorders>
              <w:top w:val="nil"/>
              <w:left w:val="nil"/>
              <w:bottom w:val="nil"/>
              <w:right w:val="nil"/>
            </w:tcBorders>
            <w:noWrap/>
            <w:vAlign w:val="bottom"/>
            <w:hideMark/>
          </w:tcPr>
          <w:p w14:paraId="0E24F92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(0.033)</w:t>
            </w:r>
          </w:p>
        </w:tc>
      </w:tr>
      <w:tr w:rsidR="00B5549F" w:rsidRPr="00B5549F" w14:paraId="0466E31C" w14:textId="77777777" w:rsidTr="00E02797">
        <w:trPr>
          <w:trHeight w:val="20"/>
        </w:trPr>
        <w:tc>
          <w:tcPr>
            <w:tcW w:w="3081" w:type="dxa"/>
            <w:tcBorders>
              <w:top w:val="nil"/>
              <w:left w:val="nil"/>
              <w:bottom w:val="nil"/>
              <w:right w:val="nil"/>
            </w:tcBorders>
            <w:noWrap/>
            <w:vAlign w:val="bottom"/>
            <w:hideMark/>
          </w:tcPr>
          <w:p w14:paraId="5AF9BE4F" w14:textId="77777777" w:rsidR="00985916" w:rsidRPr="00B5549F" w:rsidRDefault="00985916" w:rsidP="00985916">
            <w:pPr>
              <w:contextualSpacing/>
              <w:rPr>
                <w:rFonts w:ascii="Times New Roman" w:hAnsi="Times New Roman" w:cs="Times New Roman"/>
                <w:i/>
                <w:color w:val="000000" w:themeColor="text1"/>
                <w:sz w:val="18"/>
                <w:szCs w:val="18"/>
              </w:rPr>
            </w:pPr>
            <w:proofErr w:type="spellStart"/>
            <w:r w:rsidRPr="00B5549F">
              <w:rPr>
                <w:rFonts w:ascii="Times New Roman" w:hAnsi="Times New Roman" w:cs="Times New Roman"/>
                <w:i/>
                <w:color w:val="000000" w:themeColor="text1"/>
                <w:sz w:val="18"/>
                <w:szCs w:val="18"/>
              </w:rPr>
              <w:t>UnemplRate</w:t>
            </w:r>
            <w:r w:rsidRPr="00B5549F">
              <w:rPr>
                <w:rFonts w:ascii="Times New Roman" w:hAnsi="Times New Roman" w:cs="Times New Roman"/>
                <w:i/>
                <w:color w:val="000000" w:themeColor="text1"/>
                <w:sz w:val="18"/>
                <w:szCs w:val="18"/>
                <w:vertAlign w:val="subscript"/>
              </w:rPr>
              <w:t>p,t</w:t>
            </w:r>
            <w:proofErr w:type="spellEnd"/>
          </w:p>
        </w:tc>
        <w:tc>
          <w:tcPr>
            <w:tcW w:w="1242" w:type="dxa"/>
            <w:tcBorders>
              <w:top w:val="nil"/>
              <w:left w:val="nil"/>
              <w:bottom w:val="nil"/>
              <w:right w:val="nil"/>
            </w:tcBorders>
            <w:noWrap/>
            <w:vAlign w:val="bottom"/>
            <w:hideMark/>
          </w:tcPr>
          <w:p w14:paraId="3A06BA4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1.9621***</w:t>
            </w:r>
          </w:p>
        </w:tc>
        <w:tc>
          <w:tcPr>
            <w:tcW w:w="1242" w:type="dxa"/>
            <w:tcBorders>
              <w:top w:val="nil"/>
              <w:left w:val="nil"/>
              <w:bottom w:val="nil"/>
              <w:right w:val="nil"/>
            </w:tcBorders>
            <w:noWrap/>
            <w:vAlign w:val="bottom"/>
            <w:hideMark/>
          </w:tcPr>
          <w:p w14:paraId="2F25575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1.6236***</w:t>
            </w:r>
          </w:p>
        </w:tc>
        <w:tc>
          <w:tcPr>
            <w:tcW w:w="1242" w:type="dxa"/>
            <w:tcBorders>
              <w:top w:val="nil"/>
              <w:left w:val="nil"/>
              <w:bottom w:val="nil"/>
              <w:right w:val="nil"/>
            </w:tcBorders>
            <w:vAlign w:val="bottom"/>
          </w:tcPr>
          <w:p w14:paraId="46946FC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2.2881***</w:t>
            </w:r>
          </w:p>
        </w:tc>
        <w:tc>
          <w:tcPr>
            <w:tcW w:w="1242" w:type="dxa"/>
            <w:tcBorders>
              <w:top w:val="nil"/>
              <w:left w:val="nil"/>
              <w:bottom w:val="nil"/>
              <w:right w:val="nil"/>
            </w:tcBorders>
            <w:vAlign w:val="bottom"/>
          </w:tcPr>
          <w:p w14:paraId="4790466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1.7264***</w:t>
            </w:r>
          </w:p>
        </w:tc>
        <w:tc>
          <w:tcPr>
            <w:tcW w:w="1242" w:type="dxa"/>
            <w:tcBorders>
              <w:top w:val="nil"/>
              <w:left w:val="nil"/>
              <w:bottom w:val="nil"/>
              <w:right w:val="nil"/>
            </w:tcBorders>
            <w:vAlign w:val="bottom"/>
          </w:tcPr>
          <w:p w14:paraId="04EAEBD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2.0133***</w:t>
            </w:r>
          </w:p>
        </w:tc>
        <w:tc>
          <w:tcPr>
            <w:tcW w:w="1242" w:type="dxa"/>
            <w:tcBorders>
              <w:top w:val="nil"/>
              <w:left w:val="nil"/>
              <w:bottom w:val="nil"/>
              <w:right w:val="nil"/>
            </w:tcBorders>
            <w:vAlign w:val="bottom"/>
          </w:tcPr>
          <w:p w14:paraId="43655C1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0.8864**</w:t>
            </w:r>
          </w:p>
        </w:tc>
        <w:tc>
          <w:tcPr>
            <w:tcW w:w="1242" w:type="dxa"/>
            <w:tcBorders>
              <w:top w:val="nil"/>
              <w:left w:val="nil"/>
              <w:bottom w:val="nil"/>
              <w:right w:val="nil"/>
            </w:tcBorders>
            <w:noWrap/>
            <w:vAlign w:val="bottom"/>
            <w:hideMark/>
          </w:tcPr>
          <w:p w14:paraId="228A837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1.4222***</w:t>
            </w:r>
          </w:p>
        </w:tc>
        <w:tc>
          <w:tcPr>
            <w:tcW w:w="1242" w:type="dxa"/>
            <w:tcBorders>
              <w:top w:val="nil"/>
              <w:left w:val="nil"/>
              <w:bottom w:val="nil"/>
              <w:right w:val="nil"/>
            </w:tcBorders>
            <w:noWrap/>
            <w:vAlign w:val="bottom"/>
            <w:hideMark/>
          </w:tcPr>
          <w:p w14:paraId="36E182E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1.0833***</w:t>
            </w:r>
          </w:p>
        </w:tc>
      </w:tr>
      <w:tr w:rsidR="00B5549F" w:rsidRPr="00B5549F" w14:paraId="3CD765AC" w14:textId="77777777" w:rsidTr="00E02797">
        <w:trPr>
          <w:trHeight w:val="20"/>
        </w:trPr>
        <w:tc>
          <w:tcPr>
            <w:tcW w:w="3081" w:type="dxa"/>
            <w:tcBorders>
              <w:top w:val="nil"/>
              <w:left w:val="nil"/>
              <w:bottom w:val="nil"/>
              <w:right w:val="nil"/>
            </w:tcBorders>
            <w:noWrap/>
            <w:vAlign w:val="bottom"/>
            <w:hideMark/>
          </w:tcPr>
          <w:p w14:paraId="7A2355D3" w14:textId="77777777" w:rsidR="00985916" w:rsidRPr="00B5549F" w:rsidRDefault="00985916" w:rsidP="00985916">
            <w:pPr>
              <w:contextualSpacing/>
              <w:jc w:val="right"/>
              <w:rPr>
                <w:rFonts w:ascii="Times New Roman" w:hAnsi="Times New Roman" w:cs="Times New Roman"/>
                <w:i/>
                <w:color w:val="000000" w:themeColor="text1"/>
                <w:sz w:val="18"/>
                <w:szCs w:val="18"/>
              </w:rPr>
            </w:pPr>
          </w:p>
        </w:tc>
        <w:tc>
          <w:tcPr>
            <w:tcW w:w="1242" w:type="dxa"/>
            <w:tcBorders>
              <w:top w:val="nil"/>
              <w:left w:val="nil"/>
              <w:bottom w:val="nil"/>
              <w:right w:val="nil"/>
            </w:tcBorders>
            <w:noWrap/>
            <w:vAlign w:val="bottom"/>
            <w:hideMark/>
          </w:tcPr>
          <w:p w14:paraId="38A089B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(0.354)</w:t>
            </w:r>
          </w:p>
        </w:tc>
        <w:tc>
          <w:tcPr>
            <w:tcW w:w="1242" w:type="dxa"/>
            <w:tcBorders>
              <w:top w:val="nil"/>
              <w:left w:val="nil"/>
              <w:bottom w:val="nil"/>
              <w:right w:val="nil"/>
            </w:tcBorders>
            <w:noWrap/>
            <w:vAlign w:val="bottom"/>
            <w:hideMark/>
          </w:tcPr>
          <w:p w14:paraId="01D1353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(0.447)</w:t>
            </w:r>
          </w:p>
        </w:tc>
        <w:tc>
          <w:tcPr>
            <w:tcW w:w="1242" w:type="dxa"/>
            <w:tcBorders>
              <w:top w:val="nil"/>
              <w:left w:val="nil"/>
              <w:bottom w:val="nil"/>
              <w:right w:val="nil"/>
            </w:tcBorders>
            <w:vAlign w:val="bottom"/>
          </w:tcPr>
          <w:p w14:paraId="51F4184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(0.416)</w:t>
            </w:r>
          </w:p>
        </w:tc>
        <w:tc>
          <w:tcPr>
            <w:tcW w:w="1242" w:type="dxa"/>
            <w:tcBorders>
              <w:top w:val="nil"/>
              <w:left w:val="nil"/>
              <w:bottom w:val="nil"/>
              <w:right w:val="nil"/>
            </w:tcBorders>
            <w:vAlign w:val="bottom"/>
          </w:tcPr>
          <w:p w14:paraId="1C53978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(0.465)</w:t>
            </w:r>
          </w:p>
        </w:tc>
        <w:tc>
          <w:tcPr>
            <w:tcW w:w="1242" w:type="dxa"/>
            <w:tcBorders>
              <w:top w:val="nil"/>
              <w:left w:val="nil"/>
              <w:bottom w:val="nil"/>
              <w:right w:val="nil"/>
            </w:tcBorders>
            <w:vAlign w:val="bottom"/>
          </w:tcPr>
          <w:p w14:paraId="4DE9416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(0.432)</w:t>
            </w:r>
          </w:p>
        </w:tc>
        <w:tc>
          <w:tcPr>
            <w:tcW w:w="1242" w:type="dxa"/>
            <w:tcBorders>
              <w:top w:val="nil"/>
              <w:left w:val="nil"/>
              <w:bottom w:val="nil"/>
              <w:right w:val="nil"/>
            </w:tcBorders>
            <w:vAlign w:val="bottom"/>
          </w:tcPr>
          <w:p w14:paraId="087EF61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(0.421)</w:t>
            </w:r>
          </w:p>
        </w:tc>
        <w:tc>
          <w:tcPr>
            <w:tcW w:w="1242" w:type="dxa"/>
            <w:tcBorders>
              <w:top w:val="nil"/>
              <w:left w:val="nil"/>
              <w:bottom w:val="nil"/>
              <w:right w:val="nil"/>
            </w:tcBorders>
            <w:noWrap/>
            <w:vAlign w:val="bottom"/>
            <w:hideMark/>
          </w:tcPr>
          <w:p w14:paraId="09B2C85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(0.315)</w:t>
            </w:r>
          </w:p>
        </w:tc>
        <w:tc>
          <w:tcPr>
            <w:tcW w:w="1242" w:type="dxa"/>
            <w:tcBorders>
              <w:top w:val="nil"/>
              <w:left w:val="nil"/>
              <w:bottom w:val="nil"/>
              <w:right w:val="nil"/>
            </w:tcBorders>
            <w:noWrap/>
            <w:vAlign w:val="bottom"/>
            <w:hideMark/>
          </w:tcPr>
          <w:p w14:paraId="2ABD57A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(0.333)</w:t>
            </w:r>
          </w:p>
        </w:tc>
      </w:tr>
      <w:tr w:rsidR="00B5549F" w:rsidRPr="00B5549F" w14:paraId="4CDBC0E0" w14:textId="77777777" w:rsidTr="00E02797">
        <w:trPr>
          <w:trHeight w:val="20"/>
        </w:trPr>
        <w:tc>
          <w:tcPr>
            <w:tcW w:w="3081" w:type="dxa"/>
            <w:tcBorders>
              <w:top w:val="nil"/>
              <w:left w:val="nil"/>
              <w:bottom w:val="nil"/>
              <w:right w:val="nil"/>
            </w:tcBorders>
            <w:noWrap/>
            <w:vAlign w:val="bottom"/>
            <w:hideMark/>
          </w:tcPr>
          <w:p w14:paraId="2E645B71" w14:textId="1C2261CF" w:rsidR="00985916" w:rsidRPr="00B5549F" w:rsidRDefault="00985916" w:rsidP="00985916">
            <w:pPr>
              <w:contextualSpacing/>
              <w:rPr>
                <w:rFonts w:ascii="Times New Roman" w:hAnsi="Times New Roman" w:cs="Times New Roman"/>
                <w:i/>
                <w:color w:val="000000" w:themeColor="text1"/>
                <w:sz w:val="18"/>
                <w:szCs w:val="18"/>
              </w:rPr>
            </w:pPr>
            <w:proofErr w:type="spellStart"/>
            <w:r w:rsidRPr="00B5549F">
              <w:rPr>
                <w:rFonts w:ascii="Times New Roman" w:hAnsi="Times New Roman" w:cs="Times New Roman"/>
                <w:i/>
                <w:color w:val="000000" w:themeColor="text1"/>
                <w:sz w:val="18"/>
                <w:szCs w:val="18"/>
              </w:rPr>
              <w:t>High</w:t>
            </w:r>
            <w:r w:rsidR="00761CB1" w:rsidRPr="00B5549F">
              <w:rPr>
                <w:rFonts w:ascii="Times New Roman" w:hAnsi="Times New Roman" w:cs="Times New Roman"/>
                <w:i/>
                <w:color w:val="000000" w:themeColor="text1"/>
                <w:sz w:val="18"/>
                <w:szCs w:val="18"/>
              </w:rPr>
              <w:t>End</w:t>
            </w:r>
            <w:r w:rsidRPr="00B5549F">
              <w:rPr>
                <w:rFonts w:ascii="Times New Roman" w:hAnsi="Times New Roman" w:cs="Times New Roman"/>
                <w:i/>
                <w:color w:val="000000" w:themeColor="text1"/>
                <w:sz w:val="18"/>
                <w:szCs w:val="18"/>
              </w:rPr>
              <w:t>Specialized</w:t>
            </w:r>
            <w:r w:rsidRPr="00B5549F">
              <w:rPr>
                <w:rFonts w:ascii="Times New Roman" w:hAnsi="Times New Roman" w:cs="Times New Roman"/>
                <w:i/>
                <w:color w:val="000000" w:themeColor="text1"/>
                <w:sz w:val="18"/>
                <w:szCs w:val="18"/>
                <w:vertAlign w:val="subscript"/>
              </w:rPr>
              <w:t>p</w:t>
            </w:r>
            <w:proofErr w:type="spellEnd"/>
          </w:p>
        </w:tc>
        <w:tc>
          <w:tcPr>
            <w:tcW w:w="1242" w:type="dxa"/>
            <w:tcBorders>
              <w:top w:val="nil"/>
              <w:left w:val="nil"/>
              <w:bottom w:val="nil"/>
              <w:right w:val="nil"/>
            </w:tcBorders>
            <w:noWrap/>
            <w:vAlign w:val="bottom"/>
            <w:hideMark/>
          </w:tcPr>
          <w:p w14:paraId="5B14BD5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0.1000***</w:t>
            </w:r>
          </w:p>
        </w:tc>
        <w:tc>
          <w:tcPr>
            <w:tcW w:w="1242" w:type="dxa"/>
            <w:tcBorders>
              <w:top w:val="nil"/>
              <w:left w:val="nil"/>
              <w:bottom w:val="nil"/>
              <w:right w:val="nil"/>
            </w:tcBorders>
            <w:noWrap/>
            <w:vAlign w:val="bottom"/>
            <w:hideMark/>
          </w:tcPr>
          <w:p w14:paraId="45B1854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0.0856**</w:t>
            </w:r>
          </w:p>
        </w:tc>
        <w:tc>
          <w:tcPr>
            <w:tcW w:w="1242" w:type="dxa"/>
            <w:tcBorders>
              <w:top w:val="nil"/>
              <w:left w:val="nil"/>
              <w:bottom w:val="nil"/>
              <w:right w:val="nil"/>
            </w:tcBorders>
            <w:vAlign w:val="bottom"/>
          </w:tcPr>
          <w:p w14:paraId="4652F59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0.1071***</w:t>
            </w:r>
          </w:p>
        </w:tc>
        <w:tc>
          <w:tcPr>
            <w:tcW w:w="1242" w:type="dxa"/>
            <w:tcBorders>
              <w:top w:val="nil"/>
              <w:left w:val="nil"/>
              <w:bottom w:val="nil"/>
              <w:right w:val="nil"/>
            </w:tcBorders>
            <w:vAlign w:val="bottom"/>
          </w:tcPr>
          <w:p w14:paraId="77A4AB4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0.1003**</w:t>
            </w:r>
          </w:p>
        </w:tc>
        <w:tc>
          <w:tcPr>
            <w:tcW w:w="1242" w:type="dxa"/>
            <w:tcBorders>
              <w:top w:val="nil"/>
              <w:left w:val="nil"/>
              <w:bottom w:val="nil"/>
              <w:right w:val="nil"/>
            </w:tcBorders>
            <w:vAlign w:val="bottom"/>
          </w:tcPr>
          <w:p w14:paraId="034B7B3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0.1058***</w:t>
            </w:r>
          </w:p>
        </w:tc>
        <w:tc>
          <w:tcPr>
            <w:tcW w:w="1242" w:type="dxa"/>
            <w:tcBorders>
              <w:top w:val="nil"/>
              <w:left w:val="nil"/>
              <w:bottom w:val="nil"/>
              <w:right w:val="nil"/>
            </w:tcBorders>
            <w:vAlign w:val="bottom"/>
          </w:tcPr>
          <w:p w14:paraId="01C2BE4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0.0595**</w:t>
            </w:r>
          </w:p>
        </w:tc>
        <w:tc>
          <w:tcPr>
            <w:tcW w:w="1242" w:type="dxa"/>
            <w:tcBorders>
              <w:top w:val="nil"/>
              <w:left w:val="nil"/>
              <w:bottom w:val="nil"/>
              <w:right w:val="nil"/>
            </w:tcBorders>
            <w:noWrap/>
            <w:vAlign w:val="bottom"/>
            <w:hideMark/>
          </w:tcPr>
          <w:p w14:paraId="270A86B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0.0672**</w:t>
            </w:r>
          </w:p>
        </w:tc>
        <w:tc>
          <w:tcPr>
            <w:tcW w:w="1242" w:type="dxa"/>
            <w:tcBorders>
              <w:top w:val="nil"/>
              <w:left w:val="nil"/>
              <w:bottom w:val="nil"/>
              <w:right w:val="nil"/>
            </w:tcBorders>
            <w:noWrap/>
            <w:vAlign w:val="bottom"/>
            <w:hideMark/>
          </w:tcPr>
          <w:p w14:paraId="59DEA13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0.0568*</w:t>
            </w:r>
          </w:p>
        </w:tc>
      </w:tr>
      <w:tr w:rsidR="00B5549F" w:rsidRPr="00B5549F" w14:paraId="0C43C762" w14:textId="77777777" w:rsidTr="00E02797">
        <w:trPr>
          <w:trHeight w:val="20"/>
        </w:trPr>
        <w:tc>
          <w:tcPr>
            <w:tcW w:w="3081" w:type="dxa"/>
            <w:tcBorders>
              <w:top w:val="nil"/>
              <w:left w:val="nil"/>
              <w:bottom w:val="nil"/>
              <w:right w:val="nil"/>
            </w:tcBorders>
            <w:noWrap/>
            <w:vAlign w:val="bottom"/>
            <w:hideMark/>
          </w:tcPr>
          <w:p w14:paraId="258341EB" w14:textId="77777777" w:rsidR="00985916" w:rsidRPr="00B5549F" w:rsidRDefault="00985916" w:rsidP="00985916">
            <w:pPr>
              <w:contextualSpacing/>
              <w:jc w:val="right"/>
              <w:rPr>
                <w:rFonts w:ascii="Times New Roman" w:hAnsi="Times New Roman" w:cs="Times New Roman"/>
                <w:i/>
                <w:color w:val="000000" w:themeColor="text1"/>
                <w:sz w:val="18"/>
                <w:szCs w:val="18"/>
              </w:rPr>
            </w:pPr>
          </w:p>
        </w:tc>
        <w:tc>
          <w:tcPr>
            <w:tcW w:w="1242" w:type="dxa"/>
            <w:tcBorders>
              <w:top w:val="nil"/>
              <w:left w:val="nil"/>
              <w:bottom w:val="nil"/>
              <w:right w:val="nil"/>
            </w:tcBorders>
            <w:noWrap/>
            <w:vAlign w:val="bottom"/>
            <w:hideMark/>
          </w:tcPr>
          <w:p w14:paraId="3784A77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(0.037)</w:t>
            </w:r>
          </w:p>
        </w:tc>
        <w:tc>
          <w:tcPr>
            <w:tcW w:w="1242" w:type="dxa"/>
            <w:tcBorders>
              <w:top w:val="nil"/>
              <w:left w:val="nil"/>
              <w:bottom w:val="nil"/>
              <w:right w:val="nil"/>
            </w:tcBorders>
            <w:noWrap/>
            <w:vAlign w:val="bottom"/>
            <w:hideMark/>
          </w:tcPr>
          <w:p w14:paraId="77196AE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(0.040)</w:t>
            </w:r>
          </w:p>
        </w:tc>
        <w:tc>
          <w:tcPr>
            <w:tcW w:w="1242" w:type="dxa"/>
            <w:tcBorders>
              <w:top w:val="nil"/>
              <w:left w:val="nil"/>
              <w:bottom w:val="nil"/>
              <w:right w:val="nil"/>
            </w:tcBorders>
            <w:vAlign w:val="bottom"/>
          </w:tcPr>
          <w:p w14:paraId="2527F91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(0.039)</w:t>
            </w:r>
          </w:p>
        </w:tc>
        <w:tc>
          <w:tcPr>
            <w:tcW w:w="1242" w:type="dxa"/>
            <w:tcBorders>
              <w:top w:val="nil"/>
              <w:left w:val="nil"/>
              <w:bottom w:val="nil"/>
              <w:right w:val="nil"/>
            </w:tcBorders>
            <w:vAlign w:val="bottom"/>
          </w:tcPr>
          <w:p w14:paraId="098CA07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(0.041)</w:t>
            </w:r>
          </w:p>
        </w:tc>
        <w:tc>
          <w:tcPr>
            <w:tcW w:w="1242" w:type="dxa"/>
            <w:tcBorders>
              <w:top w:val="nil"/>
              <w:left w:val="nil"/>
              <w:bottom w:val="nil"/>
              <w:right w:val="nil"/>
            </w:tcBorders>
            <w:vAlign w:val="bottom"/>
          </w:tcPr>
          <w:p w14:paraId="72F56B7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(0.038)</w:t>
            </w:r>
          </w:p>
        </w:tc>
        <w:tc>
          <w:tcPr>
            <w:tcW w:w="1242" w:type="dxa"/>
            <w:tcBorders>
              <w:top w:val="nil"/>
              <w:left w:val="nil"/>
              <w:bottom w:val="nil"/>
              <w:right w:val="nil"/>
            </w:tcBorders>
            <w:vAlign w:val="bottom"/>
          </w:tcPr>
          <w:p w14:paraId="4C27C94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(0.025)</w:t>
            </w:r>
          </w:p>
        </w:tc>
        <w:tc>
          <w:tcPr>
            <w:tcW w:w="1242" w:type="dxa"/>
            <w:tcBorders>
              <w:top w:val="nil"/>
              <w:left w:val="nil"/>
              <w:bottom w:val="nil"/>
              <w:right w:val="nil"/>
            </w:tcBorders>
            <w:noWrap/>
            <w:vAlign w:val="bottom"/>
            <w:hideMark/>
          </w:tcPr>
          <w:p w14:paraId="2D62ADE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(0.032)</w:t>
            </w:r>
          </w:p>
        </w:tc>
        <w:tc>
          <w:tcPr>
            <w:tcW w:w="1242" w:type="dxa"/>
            <w:tcBorders>
              <w:top w:val="nil"/>
              <w:left w:val="nil"/>
              <w:bottom w:val="nil"/>
              <w:right w:val="nil"/>
            </w:tcBorders>
            <w:noWrap/>
            <w:vAlign w:val="bottom"/>
            <w:hideMark/>
          </w:tcPr>
          <w:p w14:paraId="3DB60DF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(0.032)</w:t>
            </w:r>
          </w:p>
        </w:tc>
      </w:tr>
      <w:tr w:rsidR="00B5549F" w:rsidRPr="00B5549F" w14:paraId="1880E305" w14:textId="77777777" w:rsidTr="00E02797">
        <w:trPr>
          <w:trHeight w:val="20"/>
        </w:trPr>
        <w:tc>
          <w:tcPr>
            <w:tcW w:w="3081" w:type="dxa"/>
            <w:tcBorders>
              <w:top w:val="nil"/>
              <w:left w:val="nil"/>
              <w:bottom w:val="nil"/>
              <w:right w:val="nil"/>
            </w:tcBorders>
            <w:noWrap/>
            <w:vAlign w:val="bottom"/>
            <w:hideMark/>
          </w:tcPr>
          <w:p w14:paraId="1F44A29E" w14:textId="77777777" w:rsidR="00985916" w:rsidRPr="00B5549F" w:rsidRDefault="00985916" w:rsidP="00985916">
            <w:pPr>
              <w:contextualSpacing/>
              <w:rPr>
                <w:rFonts w:ascii="Times New Roman" w:hAnsi="Times New Roman" w:cs="Times New Roman"/>
                <w:i/>
                <w:color w:val="000000" w:themeColor="text1"/>
                <w:sz w:val="18"/>
                <w:szCs w:val="18"/>
              </w:rPr>
            </w:pPr>
            <w:r w:rsidRPr="00B5549F">
              <w:rPr>
                <w:rFonts w:ascii="Times New Roman" w:hAnsi="Times New Roman" w:cs="Times New Roman"/>
                <w:color w:val="000000" w:themeColor="text1"/>
                <w:sz w:val="18"/>
                <w:szCs w:val="18"/>
              </w:rPr>
              <w:t>ln</w:t>
            </w:r>
            <w:r w:rsidRPr="00B5549F">
              <w:rPr>
                <w:rFonts w:ascii="Times New Roman" w:hAnsi="Times New Roman" w:cs="Times New Roman"/>
                <w:i/>
                <w:color w:val="000000" w:themeColor="text1"/>
                <w:sz w:val="18"/>
                <w:szCs w:val="18"/>
              </w:rPr>
              <w:t xml:space="preserve"> </w:t>
            </w:r>
            <w:proofErr w:type="spellStart"/>
            <w:r w:rsidRPr="00B5549F">
              <w:rPr>
                <w:rFonts w:ascii="Times New Roman" w:hAnsi="Times New Roman" w:cs="Times New Roman"/>
                <w:i/>
                <w:color w:val="000000" w:themeColor="text1"/>
                <w:sz w:val="18"/>
                <w:szCs w:val="18"/>
              </w:rPr>
              <w:t>AVGRent</w:t>
            </w:r>
            <w:r w:rsidRPr="00B5549F">
              <w:rPr>
                <w:rFonts w:ascii="Times New Roman" w:hAnsi="Times New Roman" w:cs="Times New Roman"/>
                <w:i/>
                <w:color w:val="000000" w:themeColor="text1"/>
                <w:sz w:val="18"/>
                <w:szCs w:val="18"/>
                <w:vertAlign w:val="subscript"/>
              </w:rPr>
              <w:t>p,t</w:t>
            </w:r>
            <w:proofErr w:type="spellEnd"/>
          </w:p>
        </w:tc>
        <w:tc>
          <w:tcPr>
            <w:tcW w:w="1242" w:type="dxa"/>
            <w:tcBorders>
              <w:top w:val="nil"/>
              <w:left w:val="nil"/>
              <w:bottom w:val="nil"/>
              <w:right w:val="nil"/>
            </w:tcBorders>
            <w:noWrap/>
            <w:vAlign w:val="bottom"/>
            <w:hideMark/>
          </w:tcPr>
          <w:p w14:paraId="271F3AB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-0.0535</w:t>
            </w:r>
          </w:p>
        </w:tc>
        <w:tc>
          <w:tcPr>
            <w:tcW w:w="1242" w:type="dxa"/>
            <w:tcBorders>
              <w:top w:val="nil"/>
              <w:left w:val="nil"/>
              <w:bottom w:val="nil"/>
              <w:right w:val="nil"/>
            </w:tcBorders>
            <w:noWrap/>
            <w:vAlign w:val="bottom"/>
            <w:hideMark/>
          </w:tcPr>
          <w:p w14:paraId="741CB54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-0.0401</w:t>
            </w:r>
          </w:p>
        </w:tc>
        <w:tc>
          <w:tcPr>
            <w:tcW w:w="1242" w:type="dxa"/>
            <w:tcBorders>
              <w:top w:val="nil"/>
              <w:left w:val="nil"/>
              <w:bottom w:val="nil"/>
              <w:right w:val="nil"/>
            </w:tcBorders>
            <w:vAlign w:val="bottom"/>
          </w:tcPr>
          <w:p w14:paraId="0C6452F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-0.0797*</w:t>
            </w:r>
          </w:p>
        </w:tc>
        <w:tc>
          <w:tcPr>
            <w:tcW w:w="1242" w:type="dxa"/>
            <w:tcBorders>
              <w:top w:val="nil"/>
              <w:left w:val="nil"/>
              <w:bottom w:val="nil"/>
              <w:right w:val="nil"/>
            </w:tcBorders>
            <w:vAlign w:val="bottom"/>
          </w:tcPr>
          <w:p w14:paraId="7FCFC1A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-0.0757*</w:t>
            </w:r>
          </w:p>
        </w:tc>
        <w:tc>
          <w:tcPr>
            <w:tcW w:w="1242" w:type="dxa"/>
            <w:tcBorders>
              <w:top w:val="nil"/>
              <w:left w:val="nil"/>
              <w:bottom w:val="nil"/>
              <w:right w:val="nil"/>
            </w:tcBorders>
            <w:vAlign w:val="bottom"/>
          </w:tcPr>
          <w:p w14:paraId="6044B0B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-0.0532</w:t>
            </w:r>
          </w:p>
        </w:tc>
        <w:tc>
          <w:tcPr>
            <w:tcW w:w="1242" w:type="dxa"/>
            <w:tcBorders>
              <w:top w:val="nil"/>
              <w:left w:val="nil"/>
              <w:bottom w:val="nil"/>
              <w:right w:val="nil"/>
            </w:tcBorders>
            <w:vAlign w:val="bottom"/>
          </w:tcPr>
          <w:p w14:paraId="463BDA9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-0.0289</w:t>
            </w:r>
          </w:p>
        </w:tc>
        <w:tc>
          <w:tcPr>
            <w:tcW w:w="1242" w:type="dxa"/>
            <w:tcBorders>
              <w:top w:val="nil"/>
              <w:left w:val="nil"/>
              <w:bottom w:val="nil"/>
              <w:right w:val="nil"/>
            </w:tcBorders>
            <w:noWrap/>
            <w:vAlign w:val="bottom"/>
            <w:hideMark/>
          </w:tcPr>
          <w:p w14:paraId="013E57C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-0.0384</w:t>
            </w:r>
          </w:p>
        </w:tc>
        <w:tc>
          <w:tcPr>
            <w:tcW w:w="1242" w:type="dxa"/>
            <w:tcBorders>
              <w:top w:val="nil"/>
              <w:left w:val="nil"/>
              <w:bottom w:val="nil"/>
              <w:right w:val="nil"/>
            </w:tcBorders>
            <w:noWrap/>
            <w:vAlign w:val="bottom"/>
            <w:hideMark/>
          </w:tcPr>
          <w:p w14:paraId="4FB9731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-0.0478</w:t>
            </w:r>
          </w:p>
        </w:tc>
      </w:tr>
      <w:tr w:rsidR="00B5549F" w:rsidRPr="00B5549F" w14:paraId="5347890A" w14:textId="77777777" w:rsidTr="00E02797">
        <w:trPr>
          <w:trHeight w:val="20"/>
        </w:trPr>
        <w:tc>
          <w:tcPr>
            <w:tcW w:w="3081" w:type="dxa"/>
            <w:tcBorders>
              <w:top w:val="nil"/>
              <w:left w:val="nil"/>
              <w:bottom w:val="nil"/>
              <w:right w:val="nil"/>
            </w:tcBorders>
            <w:noWrap/>
            <w:vAlign w:val="bottom"/>
            <w:hideMark/>
          </w:tcPr>
          <w:p w14:paraId="2391F575" w14:textId="77777777" w:rsidR="00985916" w:rsidRPr="00B5549F" w:rsidRDefault="00985916" w:rsidP="00985916">
            <w:pPr>
              <w:contextualSpacing/>
              <w:jc w:val="right"/>
              <w:rPr>
                <w:rFonts w:ascii="Times New Roman" w:hAnsi="Times New Roman" w:cs="Times New Roman"/>
                <w:i/>
                <w:color w:val="000000" w:themeColor="text1"/>
                <w:sz w:val="18"/>
                <w:szCs w:val="18"/>
              </w:rPr>
            </w:pPr>
          </w:p>
        </w:tc>
        <w:tc>
          <w:tcPr>
            <w:tcW w:w="1242" w:type="dxa"/>
            <w:tcBorders>
              <w:top w:val="nil"/>
              <w:left w:val="nil"/>
              <w:bottom w:val="nil"/>
              <w:right w:val="nil"/>
            </w:tcBorders>
            <w:noWrap/>
            <w:vAlign w:val="bottom"/>
            <w:hideMark/>
          </w:tcPr>
          <w:p w14:paraId="31825DA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(0.046)</w:t>
            </w:r>
          </w:p>
        </w:tc>
        <w:tc>
          <w:tcPr>
            <w:tcW w:w="1242" w:type="dxa"/>
            <w:tcBorders>
              <w:top w:val="nil"/>
              <w:left w:val="nil"/>
              <w:bottom w:val="nil"/>
              <w:right w:val="nil"/>
            </w:tcBorders>
            <w:noWrap/>
            <w:vAlign w:val="bottom"/>
            <w:hideMark/>
          </w:tcPr>
          <w:p w14:paraId="714F827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(0.049)</w:t>
            </w:r>
          </w:p>
        </w:tc>
        <w:tc>
          <w:tcPr>
            <w:tcW w:w="1242" w:type="dxa"/>
            <w:tcBorders>
              <w:top w:val="nil"/>
              <w:left w:val="nil"/>
              <w:bottom w:val="nil"/>
              <w:right w:val="nil"/>
            </w:tcBorders>
            <w:vAlign w:val="bottom"/>
          </w:tcPr>
          <w:p w14:paraId="124D154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(0.047)</w:t>
            </w:r>
          </w:p>
        </w:tc>
        <w:tc>
          <w:tcPr>
            <w:tcW w:w="1242" w:type="dxa"/>
            <w:tcBorders>
              <w:top w:val="nil"/>
              <w:left w:val="nil"/>
              <w:bottom w:val="nil"/>
              <w:right w:val="nil"/>
            </w:tcBorders>
            <w:vAlign w:val="bottom"/>
          </w:tcPr>
          <w:p w14:paraId="32361CF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(0.042)</w:t>
            </w:r>
          </w:p>
        </w:tc>
        <w:tc>
          <w:tcPr>
            <w:tcW w:w="1242" w:type="dxa"/>
            <w:tcBorders>
              <w:top w:val="nil"/>
              <w:left w:val="nil"/>
              <w:bottom w:val="nil"/>
              <w:right w:val="nil"/>
            </w:tcBorders>
            <w:vAlign w:val="bottom"/>
          </w:tcPr>
          <w:p w14:paraId="6102C15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(0.045)</w:t>
            </w:r>
          </w:p>
        </w:tc>
        <w:tc>
          <w:tcPr>
            <w:tcW w:w="1242" w:type="dxa"/>
            <w:tcBorders>
              <w:top w:val="nil"/>
              <w:left w:val="nil"/>
              <w:bottom w:val="nil"/>
              <w:right w:val="nil"/>
            </w:tcBorders>
            <w:vAlign w:val="bottom"/>
          </w:tcPr>
          <w:p w14:paraId="41C11A7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(0.031)</w:t>
            </w:r>
          </w:p>
        </w:tc>
        <w:tc>
          <w:tcPr>
            <w:tcW w:w="1242" w:type="dxa"/>
            <w:tcBorders>
              <w:top w:val="nil"/>
              <w:left w:val="nil"/>
              <w:bottom w:val="nil"/>
              <w:right w:val="nil"/>
            </w:tcBorders>
            <w:noWrap/>
            <w:vAlign w:val="bottom"/>
            <w:hideMark/>
          </w:tcPr>
          <w:p w14:paraId="2821804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(0.040)</w:t>
            </w:r>
          </w:p>
        </w:tc>
        <w:tc>
          <w:tcPr>
            <w:tcW w:w="1242" w:type="dxa"/>
            <w:tcBorders>
              <w:top w:val="nil"/>
              <w:left w:val="nil"/>
              <w:bottom w:val="nil"/>
              <w:right w:val="nil"/>
            </w:tcBorders>
            <w:noWrap/>
            <w:vAlign w:val="bottom"/>
            <w:hideMark/>
          </w:tcPr>
          <w:p w14:paraId="2843FCD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(0.039)</w:t>
            </w:r>
          </w:p>
        </w:tc>
      </w:tr>
      <w:tr w:rsidR="00B5549F" w:rsidRPr="00B5549F" w14:paraId="1DDDE289" w14:textId="77777777" w:rsidTr="00E02797">
        <w:trPr>
          <w:trHeight w:val="20"/>
        </w:trPr>
        <w:tc>
          <w:tcPr>
            <w:tcW w:w="3081" w:type="dxa"/>
            <w:tcBorders>
              <w:top w:val="nil"/>
              <w:left w:val="nil"/>
              <w:bottom w:val="nil"/>
              <w:right w:val="nil"/>
            </w:tcBorders>
            <w:noWrap/>
            <w:vAlign w:val="bottom"/>
            <w:hideMark/>
          </w:tcPr>
          <w:p w14:paraId="7A6122AA" w14:textId="77777777" w:rsidR="00985916" w:rsidRPr="00B5549F" w:rsidRDefault="00985916" w:rsidP="00985916">
            <w:pPr>
              <w:contextualSpacing/>
              <w:rPr>
                <w:rFonts w:ascii="Times New Roman" w:hAnsi="Times New Roman" w:cs="Times New Roman"/>
                <w:i/>
                <w:color w:val="000000" w:themeColor="text1"/>
                <w:sz w:val="18"/>
                <w:szCs w:val="18"/>
              </w:rPr>
            </w:pPr>
            <w:r w:rsidRPr="00B5549F">
              <w:rPr>
                <w:rFonts w:ascii="Times New Roman" w:hAnsi="Times New Roman" w:cs="Times New Roman"/>
                <w:color w:val="000000" w:themeColor="text1"/>
                <w:sz w:val="18"/>
                <w:szCs w:val="18"/>
              </w:rPr>
              <w:t>ln</w:t>
            </w:r>
            <w:r w:rsidRPr="00B5549F">
              <w:rPr>
                <w:rFonts w:ascii="Times New Roman" w:hAnsi="Times New Roman" w:cs="Times New Roman"/>
                <w:i/>
                <w:color w:val="000000" w:themeColor="text1"/>
                <w:sz w:val="18"/>
                <w:szCs w:val="18"/>
              </w:rPr>
              <w:t xml:space="preserve"> </w:t>
            </w:r>
            <w:proofErr w:type="spellStart"/>
            <w:r w:rsidRPr="00B5549F">
              <w:rPr>
                <w:rFonts w:ascii="Times New Roman" w:hAnsi="Times New Roman" w:cs="Times New Roman"/>
                <w:i/>
                <w:color w:val="000000" w:themeColor="text1"/>
                <w:sz w:val="18"/>
                <w:szCs w:val="18"/>
              </w:rPr>
              <w:t>Altitude</w:t>
            </w:r>
            <w:r w:rsidRPr="00B5549F">
              <w:rPr>
                <w:rFonts w:ascii="Times New Roman" w:hAnsi="Times New Roman" w:cs="Times New Roman"/>
                <w:i/>
                <w:color w:val="000000" w:themeColor="text1"/>
                <w:sz w:val="18"/>
                <w:szCs w:val="18"/>
                <w:vertAlign w:val="subscript"/>
              </w:rPr>
              <w:t>p</w:t>
            </w:r>
            <w:proofErr w:type="spellEnd"/>
          </w:p>
        </w:tc>
        <w:tc>
          <w:tcPr>
            <w:tcW w:w="1242" w:type="dxa"/>
            <w:tcBorders>
              <w:top w:val="nil"/>
              <w:left w:val="nil"/>
              <w:bottom w:val="nil"/>
              <w:right w:val="nil"/>
            </w:tcBorders>
            <w:noWrap/>
            <w:vAlign w:val="bottom"/>
            <w:hideMark/>
          </w:tcPr>
          <w:p w14:paraId="7B7BD26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-0.0082</w:t>
            </w:r>
          </w:p>
        </w:tc>
        <w:tc>
          <w:tcPr>
            <w:tcW w:w="1242" w:type="dxa"/>
            <w:tcBorders>
              <w:top w:val="nil"/>
              <w:left w:val="nil"/>
              <w:bottom w:val="nil"/>
              <w:right w:val="nil"/>
            </w:tcBorders>
            <w:noWrap/>
            <w:vAlign w:val="bottom"/>
            <w:hideMark/>
          </w:tcPr>
          <w:p w14:paraId="5842F8E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-0.0021</w:t>
            </w:r>
          </w:p>
        </w:tc>
        <w:tc>
          <w:tcPr>
            <w:tcW w:w="1242" w:type="dxa"/>
            <w:tcBorders>
              <w:top w:val="nil"/>
              <w:left w:val="nil"/>
              <w:bottom w:val="nil"/>
              <w:right w:val="nil"/>
            </w:tcBorders>
            <w:vAlign w:val="bottom"/>
          </w:tcPr>
          <w:p w14:paraId="1C53A72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0.0300*</w:t>
            </w:r>
          </w:p>
        </w:tc>
        <w:tc>
          <w:tcPr>
            <w:tcW w:w="1242" w:type="dxa"/>
            <w:tcBorders>
              <w:top w:val="nil"/>
              <w:left w:val="nil"/>
              <w:bottom w:val="nil"/>
              <w:right w:val="nil"/>
            </w:tcBorders>
            <w:vAlign w:val="bottom"/>
          </w:tcPr>
          <w:p w14:paraId="503FAEC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0.0274*</w:t>
            </w:r>
          </w:p>
        </w:tc>
        <w:tc>
          <w:tcPr>
            <w:tcW w:w="1242" w:type="dxa"/>
            <w:tcBorders>
              <w:top w:val="nil"/>
              <w:left w:val="nil"/>
              <w:bottom w:val="nil"/>
              <w:right w:val="nil"/>
            </w:tcBorders>
            <w:vAlign w:val="bottom"/>
          </w:tcPr>
          <w:p w14:paraId="3621B41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0.0179</w:t>
            </w:r>
          </w:p>
        </w:tc>
        <w:tc>
          <w:tcPr>
            <w:tcW w:w="1242" w:type="dxa"/>
            <w:tcBorders>
              <w:top w:val="nil"/>
              <w:left w:val="nil"/>
              <w:bottom w:val="nil"/>
              <w:right w:val="nil"/>
            </w:tcBorders>
            <w:vAlign w:val="bottom"/>
          </w:tcPr>
          <w:p w14:paraId="460659A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0.0112</w:t>
            </w:r>
          </w:p>
        </w:tc>
        <w:tc>
          <w:tcPr>
            <w:tcW w:w="1242" w:type="dxa"/>
            <w:tcBorders>
              <w:top w:val="nil"/>
              <w:left w:val="nil"/>
              <w:bottom w:val="nil"/>
              <w:right w:val="nil"/>
            </w:tcBorders>
            <w:noWrap/>
            <w:vAlign w:val="bottom"/>
            <w:hideMark/>
          </w:tcPr>
          <w:p w14:paraId="7CAA353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-0.0152</w:t>
            </w:r>
          </w:p>
        </w:tc>
        <w:tc>
          <w:tcPr>
            <w:tcW w:w="1242" w:type="dxa"/>
            <w:tcBorders>
              <w:top w:val="nil"/>
              <w:left w:val="nil"/>
              <w:bottom w:val="nil"/>
              <w:right w:val="nil"/>
            </w:tcBorders>
            <w:noWrap/>
            <w:vAlign w:val="bottom"/>
            <w:hideMark/>
          </w:tcPr>
          <w:p w14:paraId="28C80E6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-0.0088</w:t>
            </w:r>
          </w:p>
        </w:tc>
      </w:tr>
      <w:tr w:rsidR="00B5549F" w:rsidRPr="00B5549F" w14:paraId="427425AB" w14:textId="77777777" w:rsidTr="00E02797">
        <w:trPr>
          <w:trHeight w:val="20"/>
        </w:trPr>
        <w:tc>
          <w:tcPr>
            <w:tcW w:w="3081" w:type="dxa"/>
            <w:tcBorders>
              <w:top w:val="nil"/>
              <w:left w:val="nil"/>
              <w:bottom w:val="nil"/>
              <w:right w:val="nil"/>
            </w:tcBorders>
            <w:noWrap/>
            <w:vAlign w:val="bottom"/>
            <w:hideMark/>
          </w:tcPr>
          <w:p w14:paraId="64485611" w14:textId="77777777" w:rsidR="00985916" w:rsidRPr="00B5549F" w:rsidRDefault="00985916" w:rsidP="00985916">
            <w:pPr>
              <w:contextualSpacing/>
              <w:jc w:val="right"/>
              <w:rPr>
                <w:rFonts w:ascii="Times New Roman" w:hAnsi="Times New Roman" w:cs="Times New Roman"/>
                <w:i/>
                <w:color w:val="000000" w:themeColor="text1"/>
                <w:sz w:val="18"/>
                <w:szCs w:val="18"/>
              </w:rPr>
            </w:pPr>
          </w:p>
        </w:tc>
        <w:tc>
          <w:tcPr>
            <w:tcW w:w="1242" w:type="dxa"/>
            <w:tcBorders>
              <w:top w:val="nil"/>
              <w:left w:val="nil"/>
              <w:bottom w:val="nil"/>
              <w:right w:val="nil"/>
            </w:tcBorders>
            <w:noWrap/>
            <w:vAlign w:val="bottom"/>
            <w:hideMark/>
          </w:tcPr>
          <w:p w14:paraId="461AC22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(0.020)</w:t>
            </w:r>
          </w:p>
        </w:tc>
        <w:tc>
          <w:tcPr>
            <w:tcW w:w="1242" w:type="dxa"/>
            <w:tcBorders>
              <w:top w:val="nil"/>
              <w:left w:val="nil"/>
              <w:bottom w:val="nil"/>
              <w:right w:val="nil"/>
            </w:tcBorders>
            <w:noWrap/>
            <w:vAlign w:val="bottom"/>
            <w:hideMark/>
          </w:tcPr>
          <w:p w14:paraId="0B968B2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(0.021)</w:t>
            </w:r>
          </w:p>
        </w:tc>
        <w:tc>
          <w:tcPr>
            <w:tcW w:w="1242" w:type="dxa"/>
            <w:tcBorders>
              <w:top w:val="nil"/>
              <w:left w:val="nil"/>
              <w:bottom w:val="nil"/>
              <w:right w:val="nil"/>
            </w:tcBorders>
            <w:vAlign w:val="bottom"/>
          </w:tcPr>
          <w:p w14:paraId="2964901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(0.017)</w:t>
            </w:r>
          </w:p>
        </w:tc>
        <w:tc>
          <w:tcPr>
            <w:tcW w:w="1242" w:type="dxa"/>
            <w:tcBorders>
              <w:top w:val="nil"/>
              <w:left w:val="nil"/>
              <w:bottom w:val="nil"/>
              <w:right w:val="nil"/>
            </w:tcBorders>
            <w:vAlign w:val="bottom"/>
          </w:tcPr>
          <w:p w14:paraId="11F7813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(0.016)</w:t>
            </w:r>
          </w:p>
        </w:tc>
        <w:tc>
          <w:tcPr>
            <w:tcW w:w="1242" w:type="dxa"/>
            <w:tcBorders>
              <w:top w:val="nil"/>
              <w:left w:val="nil"/>
              <w:bottom w:val="nil"/>
              <w:right w:val="nil"/>
            </w:tcBorders>
            <w:vAlign w:val="bottom"/>
          </w:tcPr>
          <w:p w14:paraId="5F24044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(0.019)</w:t>
            </w:r>
          </w:p>
        </w:tc>
        <w:tc>
          <w:tcPr>
            <w:tcW w:w="1242" w:type="dxa"/>
            <w:tcBorders>
              <w:top w:val="nil"/>
              <w:left w:val="nil"/>
              <w:bottom w:val="nil"/>
              <w:right w:val="nil"/>
            </w:tcBorders>
            <w:vAlign w:val="bottom"/>
          </w:tcPr>
          <w:p w14:paraId="03C5CD1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(0.013)</w:t>
            </w:r>
          </w:p>
        </w:tc>
        <w:tc>
          <w:tcPr>
            <w:tcW w:w="1242" w:type="dxa"/>
            <w:tcBorders>
              <w:top w:val="nil"/>
              <w:left w:val="nil"/>
              <w:bottom w:val="nil"/>
              <w:right w:val="nil"/>
            </w:tcBorders>
            <w:noWrap/>
            <w:vAlign w:val="bottom"/>
            <w:hideMark/>
          </w:tcPr>
          <w:p w14:paraId="565A0AB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(0.017)</w:t>
            </w:r>
          </w:p>
        </w:tc>
        <w:tc>
          <w:tcPr>
            <w:tcW w:w="1242" w:type="dxa"/>
            <w:tcBorders>
              <w:top w:val="nil"/>
              <w:left w:val="nil"/>
              <w:bottom w:val="nil"/>
              <w:right w:val="nil"/>
            </w:tcBorders>
            <w:noWrap/>
            <w:vAlign w:val="bottom"/>
            <w:hideMark/>
          </w:tcPr>
          <w:p w14:paraId="575A68D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(0.013)</w:t>
            </w:r>
          </w:p>
        </w:tc>
      </w:tr>
      <w:tr w:rsidR="00B5549F" w:rsidRPr="00B5549F" w14:paraId="46367C44" w14:textId="77777777" w:rsidTr="00E02797">
        <w:trPr>
          <w:trHeight w:val="20"/>
        </w:trPr>
        <w:tc>
          <w:tcPr>
            <w:tcW w:w="3081" w:type="dxa"/>
            <w:tcBorders>
              <w:top w:val="nil"/>
              <w:left w:val="nil"/>
              <w:bottom w:val="nil"/>
              <w:right w:val="nil"/>
            </w:tcBorders>
            <w:noWrap/>
            <w:vAlign w:val="bottom"/>
            <w:hideMark/>
          </w:tcPr>
          <w:p w14:paraId="7CD5E1BE" w14:textId="77777777" w:rsidR="00985916" w:rsidRPr="00B5549F" w:rsidRDefault="00985916" w:rsidP="00985916">
            <w:pPr>
              <w:contextualSpacing/>
              <w:rPr>
                <w:rFonts w:ascii="Times New Roman" w:hAnsi="Times New Roman" w:cs="Times New Roman"/>
                <w:i/>
                <w:color w:val="000000" w:themeColor="text1"/>
                <w:sz w:val="18"/>
                <w:szCs w:val="18"/>
              </w:rPr>
            </w:pPr>
            <w:proofErr w:type="spellStart"/>
            <w:r w:rsidRPr="00B5549F">
              <w:rPr>
                <w:rFonts w:ascii="Times New Roman" w:hAnsi="Times New Roman" w:cs="Times New Roman"/>
                <w:i/>
                <w:color w:val="000000" w:themeColor="text1"/>
                <w:sz w:val="18"/>
                <w:szCs w:val="18"/>
              </w:rPr>
              <w:t>PercSeasideMunicipalities</w:t>
            </w:r>
            <w:r w:rsidRPr="00B5549F">
              <w:rPr>
                <w:rFonts w:ascii="Times New Roman" w:hAnsi="Times New Roman" w:cs="Times New Roman"/>
                <w:i/>
                <w:color w:val="000000" w:themeColor="text1"/>
                <w:sz w:val="18"/>
                <w:szCs w:val="18"/>
                <w:vertAlign w:val="subscript"/>
              </w:rPr>
              <w:t>p</w:t>
            </w:r>
            <w:proofErr w:type="spellEnd"/>
          </w:p>
        </w:tc>
        <w:tc>
          <w:tcPr>
            <w:tcW w:w="1242" w:type="dxa"/>
            <w:tcBorders>
              <w:top w:val="nil"/>
              <w:left w:val="nil"/>
              <w:bottom w:val="nil"/>
              <w:right w:val="nil"/>
            </w:tcBorders>
            <w:noWrap/>
            <w:vAlign w:val="bottom"/>
            <w:hideMark/>
          </w:tcPr>
          <w:p w14:paraId="344220F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-0.2832***</w:t>
            </w:r>
          </w:p>
        </w:tc>
        <w:tc>
          <w:tcPr>
            <w:tcW w:w="1242" w:type="dxa"/>
            <w:tcBorders>
              <w:top w:val="nil"/>
              <w:left w:val="nil"/>
              <w:bottom w:val="nil"/>
              <w:right w:val="nil"/>
            </w:tcBorders>
            <w:noWrap/>
            <w:vAlign w:val="bottom"/>
            <w:hideMark/>
          </w:tcPr>
          <w:p w14:paraId="67F6C58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-0.1928*</w:t>
            </w:r>
          </w:p>
        </w:tc>
        <w:tc>
          <w:tcPr>
            <w:tcW w:w="1242" w:type="dxa"/>
            <w:tcBorders>
              <w:top w:val="nil"/>
              <w:left w:val="nil"/>
              <w:bottom w:val="nil"/>
              <w:right w:val="nil"/>
            </w:tcBorders>
            <w:vAlign w:val="bottom"/>
          </w:tcPr>
          <w:p w14:paraId="0105595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-0.1409</w:t>
            </w:r>
          </w:p>
        </w:tc>
        <w:tc>
          <w:tcPr>
            <w:tcW w:w="1242" w:type="dxa"/>
            <w:tcBorders>
              <w:top w:val="nil"/>
              <w:left w:val="nil"/>
              <w:bottom w:val="nil"/>
              <w:right w:val="nil"/>
            </w:tcBorders>
            <w:vAlign w:val="bottom"/>
          </w:tcPr>
          <w:p w14:paraId="45410B0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-0.0931</w:t>
            </w:r>
          </w:p>
        </w:tc>
        <w:tc>
          <w:tcPr>
            <w:tcW w:w="1242" w:type="dxa"/>
            <w:tcBorders>
              <w:top w:val="nil"/>
              <w:left w:val="nil"/>
              <w:bottom w:val="nil"/>
              <w:right w:val="nil"/>
            </w:tcBorders>
            <w:vAlign w:val="bottom"/>
          </w:tcPr>
          <w:p w14:paraId="6B514D7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-0.2734**</w:t>
            </w:r>
          </w:p>
        </w:tc>
        <w:tc>
          <w:tcPr>
            <w:tcW w:w="1242" w:type="dxa"/>
            <w:tcBorders>
              <w:top w:val="nil"/>
              <w:left w:val="nil"/>
              <w:bottom w:val="nil"/>
              <w:right w:val="nil"/>
            </w:tcBorders>
            <w:vAlign w:val="bottom"/>
          </w:tcPr>
          <w:p w14:paraId="29156A1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-0.1154</w:t>
            </w:r>
          </w:p>
        </w:tc>
        <w:tc>
          <w:tcPr>
            <w:tcW w:w="1242" w:type="dxa"/>
            <w:tcBorders>
              <w:top w:val="nil"/>
              <w:left w:val="nil"/>
              <w:bottom w:val="nil"/>
              <w:right w:val="nil"/>
            </w:tcBorders>
            <w:noWrap/>
            <w:vAlign w:val="bottom"/>
            <w:hideMark/>
          </w:tcPr>
          <w:p w14:paraId="3594572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-0.3670***</w:t>
            </w:r>
          </w:p>
        </w:tc>
        <w:tc>
          <w:tcPr>
            <w:tcW w:w="1242" w:type="dxa"/>
            <w:tcBorders>
              <w:top w:val="nil"/>
              <w:left w:val="nil"/>
              <w:bottom w:val="nil"/>
              <w:right w:val="nil"/>
            </w:tcBorders>
            <w:noWrap/>
            <w:vAlign w:val="bottom"/>
            <w:hideMark/>
          </w:tcPr>
          <w:p w14:paraId="16E0B96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-0.2914**</w:t>
            </w:r>
          </w:p>
        </w:tc>
      </w:tr>
      <w:tr w:rsidR="00B5549F" w:rsidRPr="00B5549F" w14:paraId="31DDACEE" w14:textId="77777777" w:rsidTr="00E02797">
        <w:trPr>
          <w:trHeight w:val="20"/>
        </w:trPr>
        <w:tc>
          <w:tcPr>
            <w:tcW w:w="3081" w:type="dxa"/>
            <w:tcBorders>
              <w:top w:val="nil"/>
              <w:left w:val="nil"/>
              <w:bottom w:val="nil"/>
              <w:right w:val="nil"/>
            </w:tcBorders>
            <w:noWrap/>
            <w:vAlign w:val="bottom"/>
            <w:hideMark/>
          </w:tcPr>
          <w:p w14:paraId="334A053C" w14:textId="77777777" w:rsidR="00985916" w:rsidRPr="00B5549F" w:rsidRDefault="00985916" w:rsidP="00985916">
            <w:pPr>
              <w:contextualSpacing/>
              <w:jc w:val="right"/>
              <w:rPr>
                <w:rFonts w:ascii="Times New Roman" w:hAnsi="Times New Roman" w:cs="Times New Roman"/>
                <w:i/>
                <w:color w:val="000000" w:themeColor="text1"/>
                <w:sz w:val="18"/>
                <w:szCs w:val="18"/>
              </w:rPr>
            </w:pPr>
          </w:p>
        </w:tc>
        <w:tc>
          <w:tcPr>
            <w:tcW w:w="1242" w:type="dxa"/>
            <w:tcBorders>
              <w:top w:val="nil"/>
              <w:left w:val="nil"/>
              <w:bottom w:val="nil"/>
              <w:right w:val="nil"/>
            </w:tcBorders>
            <w:noWrap/>
            <w:vAlign w:val="bottom"/>
            <w:hideMark/>
          </w:tcPr>
          <w:p w14:paraId="39B7A20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(0.109)</w:t>
            </w:r>
          </w:p>
        </w:tc>
        <w:tc>
          <w:tcPr>
            <w:tcW w:w="1242" w:type="dxa"/>
            <w:tcBorders>
              <w:top w:val="nil"/>
              <w:left w:val="nil"/>
              <w:bottom w:val="nil"/>
              <w:right w:val="nil"/>
            </w:tcBorders>
            <w:noWrap/>
            <w:vAlign w:val="bottom"/>
            <w:hideMark/>
          </w:tcPr>
          <w:p w14:paraId="54D0524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(0.117)</w:t>
            </w:r>
          </w:p>
        </w:tc>
        <w:tc>
          <w:tcPr>
            <w:tcW w:w="1242" w:type="dxa"/>
            <w:tcBorders>
              <w:top w:val="nil"/>
              <w:left w:val="nil"/>
              <w:bottom w:val="nil"/>
              <w:right w:val="nil"/>
            </w:tcBorders>
            <w:vAlign w:val="bottom"/>
          </w:tcPr>
          <w:p w14:paraId="56F0E57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(0.094)</w:t>
            </w:r>
          </w:p>
        </w:tc>
        <w:tc>
          <w:tcPr>
            <w:tcW w:w="1242" w:type="dxa"/>
            <w:tcBorders>
              <w:top w:val="nil"/>
              <w:left w:val="nil"/>
              <w:bottom w:val="nil"/>
              <w:right w:val="nil"/>
            </w:tcBorders>
            <w:vAlign w:val="bottom"/>
          </w:tcPr>
          <w:p w14:paraId="72A04CF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(0.092)</w:t>
            </w:r>
          </w:p>
        </w:tc>
        <w:tc>
          <w:tcPr>
            <w:tcW w:w="1242" w:type="dxa"/>
            <w:tcBorders>
              <w:top w:val="nil"/>
              <w:left w:val="nil"/>
              <w:bottom w:val="nil"/>
              <w:right w:val="nil"/>
            </w:tcBorders>
            <w:vAlign w:val="bottom"/>
          </w:tcPr>
          <w:p w14:paraId="0AB4884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(0.107)</w:t>
            </w:r>
          </w:p>
        </w:tc>
        <w:tc>
          <w:tcPr>
            <w:tcW w:w="1242" w:type="dxa"/>
            <w:tcBorders>
              <w:top w:val="nil"/>
              <w:left w:val="nil"/>
              <w:bottom w:val="nil"/>
              <w:right w:val="nil"/>
            </w:tcBorders>
            <w:vAlign w:val="bottom"/>
          </w:tcPr>
          <w:p w14:paraId="4ADDC83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(0.077)</w:t>
            </w:r>
          </w:p>
        </w:tc>
        <w:tc>
          <w:tcPr>
            <w:tcW w:w="1242" w:type="dxa"/>
            <w:tcBorders>
              <w:top w:val="nil"/>
              <w:left w:val="nil"/>
              <w:bottom w:val="nil"/>
              <w:right w:val="nil"/>
            </w:tcBorders>
            <w:noWrap/>
            <w:vAlign w:val="bottom"/>
            <w:hideMark/>
          </w:tcPr>
          <w:p w14:paraId="3956C27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(0.108)</w:t>
            </w:r>
          </w:p>
        </w:tc>
        <w:tc>
          <w:tcPr>
            <w:tcW w:w="1242" w:type="dxa"/>
            <w:tcBorders>
              <w:top w:val="nil"/>
              <w:left w:val="nil"/>
              <w:bottom w:val="nil"/>
              <w:right w:val="nil"/>
            </w:tcBorders>
            <w:noWrap/>
            <w:vAlign w:val="bottom"/>
            <w:hideMark/>
          </w:tcPr>
          <w:p w14:paraId="506E486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(0.118)</w:t>
            </w:r>
          </w:p>
        </w:tc>
      </w:tr>
      <w:tr w:rsidR="00B5549F" w:rsidRPr="00B5549F" w14:paraId="1CC72BC9" w14:textId="77777777" w:rsidTr="00E02797">
        <w:trPr>
          <w:trHeight w:val="20"/>
        </w:trPr>
        <w:tc>
          <w:tcPr>
            <w:tcW w:w="3081" w:type="dxa"/>
            <w:tcBorders>
              <w:top w:val="nil"/>
              <w:left w:val="nil"/>
              <w:bottom w:val="nil"/>
              <w:right w:val="nil"/>
            </w:tcBorders>
            <w:noWrap/>
            <w:vAlign w:val="bottom"/>
            <w:hideMark/>
          </w:tcPr>
          <w:p w14:paraId="204001CD" w14:textId="77777777" w:rsidR="00985916" w:rsidRPr="00B5549F" w:rsidRDefault="00985916" w:rsidP="00985916">
            <w:pPr>
              <w:contextualSpacing/>
              <w:rPr>
                <w:rFonts w:ascii="Times New Roman" w:hAnsi="Times New Roman" w:cs="Times New Roman"/>
                <w:i/>
                <w:color w:val="000000" w:themeColor="text1"/>
                <w:sz w:val="18"/>
                <w:szCs w:val="18"/>
              </w:rPr>
            </w:pPr>
            <w:r w:rsidRPr="00B5549F">
              <w:rPr>
                <w:rFonts w:ascii="Times New Roman" w:hAnsi="Times New Roman" w:cs="Times New Roman"/>
                <w:color w:val="000000" w:themeColor="text1"/>
                <w:sz w:val="18"/>
                <w:szCs w:val="18"/>
              </w:rPr>
              <w:t>ln</w:t>
            </w:r>
            <w:r w:rsidRPr="00B5549F">
              <w:rPr>
                <w:rFonts w:ascii="Times New Roman" w:hAnsi="Times New Roman" w:cs="Times New Roman"/>
                <w:i/>
                <w:color w:val="000000" w:themeColor="text1"/>
                <w:sz w:val="18"/>
                <w:szCs w:val="18"/>
              </w:rPr>
              <w:t xml:space="preserve"> </w:t>
            </w:r>
            <w:proofErr w:type="spellStart"/>
            <w:r w:rsidRPr="00B5549F">
              <w:rPr>
                <w:rFonts w:ascii="Times New Roman" w:hAnsi="Times New Roman" w:cs="Times New Roman"/>
                <w:i/>
                <w:color w:val="000000" w:themeColor="text1"/>
                <w:sz w:val="18"/>
                <w:szCs w:val="18"/>
              </w:rPr>
              <w:t>BedHotels</w:t>
            </w:r>
            <w:r w:rsidRPr="00B5549F">
              <w:rPr>
                <w:rFonts w:ascii="Times New Roman" w:hAnsi="Times New Roman" w:cs="Times New Roman"/>
                <w:i/>
                <w:color w:val="000000" w:themeColor="text1"/>
                <w:sz w:val="18"/>
                <w:szCs w:val="18"/>
                <w:vertAlign w:val="subscript"/>
              </w:rPr>
              <w:t>p</w:t>
            </w:r>
            <w:proofErr w:type="spellEnd"/>
          </w:p>
        </w:tc>
        <w:tc>
          <w:tcPr>
            <w:tcW w:w="1242" w:type="dxa"/>
            <w:tcBorders>
              <w:top w:val="nil"/>
              <w:left w:val="nil"/>
              <w:bottom w:val="nil"/>
              <w:right w:val="nil"/>
            </w:tcBorders>
            <w:noWrap/>
            <w:vAlign w:val="bottom"/>
            <w:hideMark/>
          </w:tcPr>
          <w:p w14:paraId="5291D90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0.0682***</w:t>
            </w:r>
          </w:p>
        </w:tc>
        <w:tc>
          <w:tcPr>
            <w:tcW w:w="1242" w:type="dxa"/>
            <w:tcBorders>
              <w:top w:val="nil"/>
              <w:left w:val="nil"/>
              <w:bottom w:val="nil"/>
              <w:right w:val="nil"/>
            </w:tcBorders>
            <w:noWrap/>
            <w:vAlign w:val="bottom"/>
            <w:hideMark/>
          </w:tcPr>
          <w:p w14:paraId="4040E82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0.0646**</w:t>
            </w:r>
          </w:p>
        </w:tc>
        <w:tc>
          <w:tcPr>
            <w:tcW w:w="1242" w:type="dxa"/>
            <w:tcBorders>
              <w:top w:val="nil"/>
              <w:left w:val="nil"/>
              <w:bottom w:val="nil"/>
              <w:right w:val="nil"/>
            </w:tcBorders>
            <w:vAlign w:val="bottom"/>
          </w:tcPr>
          <w:p w14:paraId="1516A92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0.0718***</w:t>
            </w:r>
          </w:p>
        </w:tc>
        <w:tc>
          <w:tcPr>
            <w:tcW w:w="1242" w:type="dxa"/>
            <w:tcBorders>
              <w:top w:val="nil"/>
              <w:left w:val="nil"/>
              <w:bottom w:val="nil"/>
              <w:right w:val="nil"/>
            </w:tcBorders>
            <w:vAlign w:val="bottom"/>
          </w:tcPr>
          <w:p w14:paraId="21645BF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0.0674***</w:t>
            </w:r>
          </w:p>
        </w:tc>
        <w:tc>
          <w:tcPr>
            <w:tcW w:w="1242" w:type="dxa"/>
            <w:tcBorders>
              <w:top w:val="nil"/>
              <w:left w:val="nil"/>
              <w:bottom w:val="nil"/>
              <w:right w:val="nil"/>
            </w:tcBorders>
            <w:vAlign w:val="bottom"/>
          </w:tcPr>
          <w:p w14:paraId="2228026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0.0669***</w:t>
            </w:r>
          </w:p>
        </w:tc>
        <w:tc>
          <w:tcPr>
            <w:tcW w:w="1242" w:type="dxa"/>
            <w:tcBorders>
              <w:top w:val="nil"/>
              <w:left w:val="nil"/>
              <w:bottom w:val="nil"/>
              <w:right w:val="nil"/>
            </w:tcBorders>
            <w:vAlign w:val="bottom"/>
          </w:tcPr>
          <w:p w14:paraId="73F1A2D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0.0384**</w:t>
            </w:r>
          </w:p>
        </w:tc>
        <w:tc>
          <w:tcPr>
            <w:tcW w:w="1242" w:type="dxa"/>
            <w:tcBorders>
              <w:top w:val="nil"/>
              <w:left w:val="nil"/>
              <w:bottom w:val="nil"/>
              <w:right w:val="nil"/>
            </w:tcBorders>
            <w:noWrap/>
            <w:vAlign w:val="bottom"/>
            <w:hideMark/>
          </w:tcPr>
          <w:p w14:paraId="1801793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0.0602**</w:t>
            </w:r>
          </w:p>
        </w:tc>
        <w:tc>
          <w:tcPr>
            <w:tcW w:w="1242" w:type="dxa"/>
            <w:tcBorders>
              <w:top w:val="nil"/>
              <w:left w:val="nil"/>
              <w:bottom w:val="nil"/>
              <w:right w:val="nil"/>
            </w:tcBorders>
            <w:noWrap/>
            <w:vAlign w:val="bottom"/>
            <w:hideMark/>
          </w:tcPr>
          <w:p w14:paraId="0B92E0C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0.0602**</w:t>
            </w:r>
          </w:p>
        </w:tc>
      </w:tr>
      <w:tr w:rsidR="00B5549F" w:rsidRPr="00B5549F" w14:paraId="0B3A009A" w14:textId="77777777" w:rsidTr="00E02797">
        <w:trPr>
          <w:trHeight w:val="20"/>
        </w:trPr>
        <w:tc>
          <w:tcPr>
            <w:tcW w:w="3081" w:type="dxa"/>
            <w:tcBorders>
              <w:top w:val="nil"/>
              <w:left w:val="nil"/>
              <w:bottom w:val="nil"/>
              <w:right w:val="nil"/>
            </w:tcBorders>
            <w:noWrap/>
            <w:vAlign w:val="bottom"/>
            <w:hideMark/>
          </w:tcPr>
          <w:p w14:paraId="1FE7758B" w14:textId="77777777" w:rsidR="00985916" w:rsidRPr="00B5549F" w:rsidRDefault="00985916" w:rsidP="00985916">
            <w:pPr>
              <w:contextualSpacing/>
              <w:jc w:val="right"/>
              <w:rPr>
                <w:rFonts w:ascii="Times New Roman" w:hAnsi="Times New Roman" w:cs="Times New Roman"/>
                <w:i/>
                <w:color w:val="000000" w:themeColor="text1"/>
                <w:sz w:val="18"/>
                <w:szCs w:val="18"/>
              </w:rPr>
            </w:pPr>
          </w:p>
        </w:tc>
        <w:tc>
          <w:tcPr>
            <w:tcW w:w="1242" w:type="dxa"/>
            <w:tcBorders>
              <w:top w:val="nil"/>
              <w:left w:val="nil"/>
              <w:bottom w:val="nil"/>
              <w:right w:val="nil"/>
            </w:tcBorders>
            <w:noWrap/>
            <w:vAlign w:val="bottom"/>
            <w:hideMark/>
          </w:tcPr>
          <w:p w14:paraId="0D951FD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(0.026)</w:t>
            </w:r>
          </w:p>
        </w:tc>
        <w:tc>
          <w:tcPr>
            <w:tcW w:w="1242" w:type="dxa"/>
            <w:tcBorders>
              <w:top w:val="nil"/>
              <w:left w:val="nil"/>
              <w:bottom w:val="nil"/>
              <w:right w:val="nil"/>
            </w:tcBorders>
            <w:noWrap/>
            <w:vAlign w:val="bottom"/>
            <w:hideMark/>
          </w:tcPr>
          <w:p w14:paraId="2CF2C2B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(0.029)</w:t>
            </w:r>
          </w:p>
        </w:tc>
        <w:tc>
          <w:tcPr>
            <w:tcW w:w="1242" w:type="dxa"/>
            <w:tcBorders>
              <w:top w:val="nil"/>
              <w:left w:val="nil"/>
              <w:bottom w:val="nil"/>
              <w:right w:val="nil"/>
            </w:tcBorders>
            <w:vAlign w:val="bottom"/>
          </w:tcPr>
          <w:p w14:paraId="7823960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(0.022)</w:t>
            </w:r>
          </w:p>
        </w:tc>
        <w:tc>
          <w:tcPr>
            <w:tcW w:w="1242" w:type="dxa"/>
            <w:tcBorders>
              <w:top w:val="nil"/>
              <w:left w:val="nil"/>
              <w:bottom w:val="nil"/>
              <w:right w:val="nil"/>
            </w:tcBorders>
            <w:vAlign w:val="bottom"/>
          </w:tcPr>
          <w:p w14:paraId="083F7E5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(0.023)</w:t>
            </w:r>
          </w:p>
        </w:tc>
        <w:tc>
          <w:tcPr>
            <w:tcW w:w="1242" w:type="dxa"/>
            <w:tcBorders>
              <w:top w:val="nil"/>
              <w:left w:val="nil"/>
              <w:bottom w:val="nil"/>
              <w:right w:val="nil"/>
            </w:tcBorders>
            <w:vAlign w:val="bottom"/>
          </w:tcPr>
          <w:p w14:paraId="06DD689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(0.022)</w:t>
            </w:r>
          </w:p>
        </w:tc>
        <w:tc>
          <w:tcPr>
            <w:tcW w:w="1242" w:type="dxa"/>
            <w:tcBorders>
              <w:top w:val="nil"/>
              <w:left w:val="nil"/>
              <w:bottom w:val="nil"/>
              <w:right w:val="nil"/>
            </w:tcBorders>
            <w:vAlign w:val="bottom"/>
          </w:tcPr>
          <w:p w14:paraId="7702B5D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(0.016)</w:t>
            </w:r>
          </w:p>
        </w:tc>
        <w:tc>
          <w:tcPr>
            <w:tcW w:w="1242" w:type="dxa"/>
            <w:tcBorders>
              <w:top w:val="nil"/>
              <w:left w:val="nil"/>
              <w:bottom w:val="nil"/>
              <w:right w:val="nil"/>
            </w:tcBorders>
            <w:noWrap/>
            <w:vAlign w:val="bottom"/>
            <w:hideMark/>
          </w:tcPr>
          <w:p w14:paraId="3E07919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(0.026)</w:t>
            </w:r>
          </w:p>
        </w:tc>
        <w:tc>
          <w:tcPr>
            <w:tcW w:w="1242" w:type="dxa"/>
            <w:tcBorders>
              <w:top w:val="nil"/>
              <w:left w:val="nil"/>
              <w:bottom w:val="nil"/>
              <w:right w:val="nil"/>
            </w:tcBorders>
            <w:noWrap/>
            <w:vAlign w:val="bottom"/>
            <w:hideMark/>
          </w:tcPr>
          <w:p w14:paraId="436816A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(0.024)</w:t>
            </w:r>
          </w:p>
        </w:tc>
      </w:tr>
      <w:tr w:rsidR="00B5549F" w:rsidRPr="00B5549F" w14:paraId="181CE61C" w14:textId="77777777" w:rsidTr="00E02797">
        <w:trPr>
          <w:trHeight w:val="20"/>
        </w:trPr>
        <w:tc>
          <w:tcPr>
            <w:tcW w:w="3081" w:type="dxa"/>
            <w:tcBorders>
              <w:top w:val="nil"/>
              <w:left w:val="nil"/>
              <w:bottom w:val="nil"/>
              <w:right w:val="nil"/>
            </w:tcBorders>
            <w:noWrap/>
            <w:vAlign w:val="bottom"/>
            <w:hideMark/>
          </w:tcPr>
          <w:p w14:paraId="4B35D80E"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Constant</w:t>
            </w:r>
          </w:p>
        </w:tc>
        <w:tc>
          <w:tcPr>
            <w:tcW w:w="1242" w:type="dxa"/>
            <w:tcBorders>
              <w:top w:val="nil"/>
              <w:left w:val="nil"/>
              <w:bottom w:val="nil"/>
              <w:right w:val="nil"/>
            </w:tcBorders>
            <w:noWrap/>
            <w:vAlign w:val="bottom"/>
            <w:hideMark/>
          </w:tcPr>
          <w:p w14:paraId="6BAE6F3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-2.5232***</w:t>
            </w:r>
          </w:p>
        </w:tc>
        <w:tc>
          <w:tcPr>
            <w:tcW w:w="1242" w:type="dxa"/>
            <w:tcBorders>
              <w:top w:val="nil"/>
              <w:left w:val="nil"/>
              <w:bottom w:val="nil"/>
              <w:right w:val="nil"/>
            </w:tcBorders>
            <w:noWrap/>
            <w:vAlign w:val="bottom"/>
            <w:hideMark/>
          </w:tcPr>
          <w:p w14:paraId="1DECB06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-2.3055***</w:t>
            </w:r>
          </w:p>
        </w:tc>
        <w:tc>
          <w:tcPr>
            <w:tcW w:w="1242" w:type="dxa"/>
            <w:tcBorders>
              <w:top w:val="nil"/>
              <w:left w:val="nil"/>
              <w:bottom w:val="nil"/>
              <w:right w:val="nil"/>
            </w:tcBorders>
            <w:vAlign w:val="bottom"/>
          </w:tcPr>
          <w:p w14:paraId="1C380DC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242" w:type="dxa"/>
            <w:tcBorders>
              <w:top w:val="nil"/>
              <w:left w:val="nil"/>
              <w:bottom w:val="nil"/>
              <w:right w:val="nil"/>
            </w:tcBorders>
            <w:vAlign w:val="bottom"/>
          </w:tcPr>
          <w:p w14:paraId="2D7635A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242" w:type="dxa"/>
            <w:tcBorders>
              <w:top w:val="nil"/>
              <w:left w:val="nil"/>
              <w:bottom w:val="nil"/>
              <w:right w:val="nil"/>
            </w:tcBorders>
            <w:vAlign w:val="bottom"/>
          </w:tcPr>
          <w:p w14:paraId="2AF5531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242" w:type="dxa"/>
            <w:tcBorders>
              <w:top w:val="nil"/>
              <w:left w:val="nil"/>
              <w:bottom w:val="nil"/>
              <w:right w:val="nil"/>
            </w:tcBorders>
            <w:vAlign w:val="bottom"/>
          </w:tcPr>
          <w:p w14:paraId="2082344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242" w:type="dxa"/>
            <w:tcBorders>
              <w:top w:val="nil"/>
              <w:left w:val="nil"/>
              <w:bottom w:val="nil"/>
              <w:right w:val="nil"/>
            </w:tcBorders>
            <w:noWrap/>
            <w:vAlign w:val="bottom"/>
            <w:hideMark/>
          </w:tcPr>
          <w:p w14:paraId="3E1CA99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-1.6631***</w:t>
            </w:r>
          </w:p>
        </w:tc>
        <w:tc>
          <w:tcPr>
            <w:tcW w:w="1242" w:type="dxa"/>
            <w:tcBorders>
              <w:top w:val="nil"/>
              <w:left w:val="nil"/>
              <w:bottom w:val="nil"/>
              <w:right w:val="nil"/>
            </w:tcBorders>
            <w:noWrap/>
            <w:vAlign w:val="bottom"/>
            <w:hideMark/>
          </w:tcPr>
          <w:p w14:paraId="6CA1D95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-1.2722***</w:t>
            </w:r>
          </w:p>
        </w:tc>
      </w:tr>
      <w:tr w:rsidR="00B5549F" w:rsidRPr="00B5549F" w14:paraId="3327B6CC" w14:textId="77777777" w:rsidTr="00E02797">
        <w:trPr>
          <w:trHeight w:val="20"/>
        </w:trPr>
        <w:tc>
          <w:tcPr>
            <w:tcW w:w="3081" w:type="dxa"/>
            <w:tcBorders>
              <w:top w:val="nil"/>
              <w:left w:val="nil"/>
              <w:bottom w:val="nil"/>
              <w:right w:val="nil"/>
            </w:tcBorders>
            <w:noWrap/>
            <w:vAlign w:val="bottom"/>
            <w:hideMark/>
          </w:tcPr>
          <w:p w14:paraId="27B4767F"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noWrap/>
            <w:vAlign w:val="bottom"/>
            <w:hideMark/>
          </w:tcPr>
          <w:p w14:paraId="5132B41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(0.333)</w:t>
            </w:r>
          </w:p>
        </w:tc>
        <w:tc>
          <w:tcPr>
            <w:tcW w:w="1242" w:type="dxa"/>
            <w:tcBorders>
              <w:top w:val="nil"/>
              <w:left w:val="nil"/>
              <w:bottom w:val="nil"/>
              <w:right w:val="nil"/>
            </w:tcBorders>
            <w:noWrap/>
            <w:vAlign w:val="bottom"/>
            <w:hideMark/>
          </w:tcPr>
          <w:p w14:paraId="2132A00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(0.451)</w:t>
            </w:r>
          </w:p>
        </w:tc>
        <w:tc>
          <w:tcPr>
            <w:tcW w:w="1242" w:type="dxa"/>
            <w:tcBorders>
              <w:top w:val="nil"/>
              <w:left w:val="nil"/>
              <w:bottom w:val="nil"/>
              <w:right w:val="nil"/>
            </w:tcBorders>
            <w:vAlign w:val="bottom"/>
          </w:tcPr>
          <w:p w14:paraId="2E33158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242" w:type="dxa"/>
            <w:tcBorders>
              <w:top w:val="nil"/>
              <w:left w:val="nil"/>
              <w:bottom w:val="nil"/>
              <w:right w:val="nil"/>
            </w:tcBorders>
            <w:vAlign w:val="bottom"/>
          </w:tcPr>
          <w:p w14:paraId="78CE7B3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242" w:type="dxa"/>
            <w:tcBorders>
              <w:top w:val="nil"/>
              <w:left w:val="nil"/>
              <w:bottom w:val="nil"/>
              <w:right w:val="nil"/>
            </w:tcBorders>
            <w:vAlign w:val="bottom"/>
          </w:tcPr>
          <w:p w14:paraId="245ADC2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242" w:type="dxa"/>
            <w:tcBorders>
              <w:top w:val="nil"/>
              <w:left w:val="nil"/>
              <w:bottom w:val="nil"/>
              <w:right w:val="nil"/>
            </w:tcBorders>
            <w:vAlign w:val="bottom"/>
          </w:tcPr>
          <w:p w14:paraId="4CBBB95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242" w:type="dxa"/>
            <w:tcBorders>
              <w:top w:val="nil"/>
              <w:left w:val="nil"/>
              <w:bottom w:val="nil"/>
              <w:right w:val="nil"/>
            </w:tcBorders>
            <w:noWrap/>
            <w:vAlign w:val="bottom"/>
            <w:hideMark/>
          </w:tcPr>
          <w:p w14:paraId="58C18F1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(0.328)</w:t>
            </w:r>
          </w:p>
        </w:tc>
        <w:tc>
          <w:tcPr>
            <w:tcW w:w="1242" w:type="dxa"/>
            <w:tcBorders>
              <w:top w:val="nil"/>
              <w:left w:val="nil"/>
              <w:bottom w:val="nil"/>
              <w:right w:val="nil"/>
            </w:tcBorders>
            <w:noWrap/>
            <w:vAlign w:val="bottom"/>
            <w:hideMark/>
          </w:tcPr>
          <w:p w14:paraId="149BAC2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(0.338)</w:t>
            </w:r>
          </w:p>
        </w:tc>
      </w:tr>
      <w:tr w:rsidR="00B5549F" w:rsidRPr="00B5549F" w14:paraId="1ADBE6E3" w14:textId="77777777" w:rsidTr="00E02797">
        <w:trPr>
          <w:trHeight w:val="20"/>
        </w:trPr>
        <w:tc>
          <w:tcPr>
            <w:tcW w:w="3081" w:type="dxa"/>
            <w:tcBorders>
              <w:top w:val="nil"/>
              <w:left w:val="nil"/>
              <w:bottom w:val="nil"/>
              <w:right w:val="nil"/>
            </w:tcBorders>
            <w:noWrap/>
            <w:vAlign w:val="bottom"/>
          </w:tcPr>
          <w:p w14:paraId="159C8229" w14:textId="77777777" w:rsidR="00985916" w:rsidRPr="00B5549F" w:rsidRDefault="00985916" w:rsidP="00985916">
            <w:pPr>
              <w:contextualSpacing/>
              <w:rPr>
                <w:rFonts w:ascii="Times New Roman" w:hAnsi="Times New Roman" w:cs="Times New Roman"/>
                <w:color w:val="000000" w:themeColor="text1"/>
                <w:sz w:val="18"/>
                <w:szCs w:val="18"/>
              </w:rPr>
            </w:pPr>
            <w:proofErr w:type="spellStart"/>
            <w:r w:rsidRPr="00B5549F">
              <w:rPr>
                <w:rFonts w:ascii="Times New Roman" w:hAnsi="Times New Roman" w:cs="Times New Roman"/>
                <w:color w:val="000000" w:themeColor="text1"/>
                <w:sz w:val="18"/>
                <w:szCs w:val="18"/>
              </w:rPr>
              <w:t>Month</w:t>
            </w:r>
            <w:proofErr w:type="spellEnd"/>
            <w:r w:rsidRPr="00B5549F">
              <w:rPr>
                <w:rFonts w:ascii="Times New Roman" w:hAnsi="Times New Roman" w:cs="Times New Roman"/>
                <w:color w:val="000000" w:themeColor="text1"/>
                <w:sz w:val="18"/>
                <w:szCs w:val="18"/>
              </w:rPr>
              <w:t xml:space="preserve"> fe</w:t>
            </w:r>
          </w:p>
        </w:tc>
        <w:tc>
          <w:tcPr>
            <w:tcW w:w="1242" w:type="dxa"/>
            <w:tcBorders>
              <w:top w:val="nil"/>
              <w:left w:val="nil"/>
              <w:bottom w:val="nil"/>
              <w:right w:val="nil"/>
            </w:tcBorders>
            <w:noWrap/>
            <w:vAlign w:val="bottom"/>
          </w:tcPr>
          <w:p w14:paraId="303A0E6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242" w:type="dxa"/>
            <w:tcBorders>
              <w:top w:val="nil"/>
              <w:left w:val="nil"/>
              <w:bottom w:val="nil"/>
              <w:right w:val="nil"/>
            </w:tcBorders>
            <w:noWrap/>
            <w:vAlign w:val="bottom"/>
          </w:tcPr>
          <w:p w14:paraId="3E473F0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242" w:type="dxa"/>
            <w:tcBorders>
              <w:top w:val="nil"/>
              <w:left w:val="nil"/>
              <w:bottom w:val="nil"/>
              <w:right w:val="nil"/>
            </w:tcBorders>
            <w:vAlign w:val="bottom"/>
          </w:tcPr>
          <w:p w14:paraId="4E4A304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-3.6277***</w:t>
            </w:r>
          </w:p>
        </w:tc>
        <w:tc>
          <w:tcPr>
            <w:tcW w:w="1242" w:type="dxa"/>
            <w:tcBorders>
              <w:top w:val="nil"/>
              <w:left w:val="nil"/>
              <w:bottom w:val="nil"/>
              <w:right w:val="nil"/>
            </w:tcBorders>
            <w:vAlign w:val="bottom"/>
          </w:tcPr>
          <w:p w14:paraId="0F2A34B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-3.1455***</w:t>
            </w:r>
          </w:p>
        </w:tc>
        <w:tc>
          <w:tcPr>
            <w:tcW w:w="1242" w:type="dxa"/>
            <w:tcBorders>
              <w:top w:val="nil"/>
              <w:left w:val="nil"/>
              <w:bottom w:val="nil"/>
              <w:right w:val="nil"/>
            </w:tcBorders>
            <w:vAlign w:val="bottom"/>
          </w:tcPr>
          <w:p w14:paraId="6134F0B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-3.1644***</w:t>
            </w:r>
          </w:p>
        </w:tc>
        <w:tc>
          <w:tcPr>
            <w:tcW w:w="1242" w:type="dxa"/>
            <w:tcBorders>
              <w:top w:val="nil"/>
              <w:left w:val="nil"/>
              <w:bottom w:val="nil"/>
              <w:right w:val="nil"/>
            </w:tcBorders>
            <w:vAlign w:val="bottom"/>
          </w:tcPr>
          <w:p w14:paraId="4702E0E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-1.7552***</w:t>
            </w:r>
          </w:p>
        </w:tc>
        <w:tc>
          <w:tcPr>
            <w:tcW w:w="1242" w:type="dxa"/>
            <w:tcBorders>
              <w:top w:val="nil"/>
              <w:left w:val="nil"/>
              <w:bottom w:val="nil"/>
              <w:right w:val="nil"/>
            </w:tcBorders>
            <w:noWrap/>
            <w:vAlign w:val="bottom"/>
          </w:tcPr>
          <w:p w14:paraId="547B3B5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242" w:type="dxa"/>
            <w:tcBorders>
              <w:top w:val="nil"/>
              <w:left w:val="nil"/>
              <w:bottom w:val="nil"/>
              <w:right w:val="nil"/>
            </w:tcBorders>
            <w:noWrap/>
            <w:vAlign w:val="bottom"/>
          </w:tcPr>
          <w:p w14:paraId="16A0334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r>
      <w:tr w:rsidR="00B5549F" w:rsidRPr="00B5549F" w14:paraId="5EF31BB7" w14:textId="77777777" w:rsidTr="00E02797">
        <w:trPr>
          <w:trHeight w:val="20"/>
        </w:trPr>
        <w:tc>
          <w:tcPr>
            <w:tcW w:w="3081" w:type="dxa"/>
            <w:tcBorders>
              <w:top w:val="nil"/>
              <w:left w:val="nil"/>
              <w:bottom w:val="nil"/>
              <w:right w:val="nil"/>
            </w:tcBorders>
            <w:noWrap/>
            <w:vAlign w:val="bottom"/>
          </w:tcPr>
          <w:p w14:paraId="01355FDF"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Time Trend</w:t>
            </w:r>
          </w:p>
        </w:tc>
        <w:tc>
          <w:tcPr>
            <w:tcW w:w="1242" w:type="dxa"/>
            <w:tcBorders>
              <w:top w:val="nil"/>
              <w:left w:val="nil"/>
              <w:bottom w:val="nil"/>
              <w:right w:val="nil"/>
            </w:tcBorders>
            <w:noWrap/>
            <w:vAlign w:val="bottom"/>
          </w:tcPr>
          <w:p w14:paraId="77AB937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242" w:type="dxa"/>
            <w:tcBorders>
              <w:top w:val="nil"/>
              <w:left w:val="nil"/>
              <w:bottom w:val="nil"/>
              <w:right w:val="nil"/>
            </w:tcBorders>
            <w:noWrap/>
            <w:vAlign w:val="bottom"/>
          </w:tcPr>
          <w:p w14:paraId="0C458245"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242" w:type="dxa"/>
            <w:tcBorders>
              <w:top w:val="nil"/>
              <w:left w:val="nil"/>
              <w:bottom w:val="nil"/>
              <w:right w:val="nil"/>
            </w:tcBorders>
            <w:vAlign w:val="bottom"/>
          </w:tcPr>
          <w:p w14:paraId="61A3531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(0.378)</w:t>
            </w:r>
          </w:p>
        </w:tc>
        <w:tc>
          <w:tcPr>
            <w:tcW w:w="1242" w:type="dxa"/>
            <w:tcBorders>
              <w:top w:val="nil"/>
              <w:left w:val="nil"/>
              <w:bottom w:val="nil"/>
              <w:right w:val="nil"/>
            </w:tcBorders>
            <w:vAlign w:val="bottom"/>
          </w:tcPr>
          <w:p w14:paraId="51B7011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(0.499)</w:t>
            </w:r>
          </w:p>
        </w:tc>
        <w:tc>
          <w:tcPr>
            <w:tcW w:w="1242" w:type="dxa"/>
            <w:tcBorders>
              <w:top w:val="nil"/>
              <w:left w:val="nil"/>
              <w:bottom w:val="nil"/>
              <w:right w:val="nil"/>
            </w:tcBorders>
            <w:vAlign w:val="bottom"/>
          </w:tcPr>
          <w:p w14:paraId="74B13BC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(0.378)</w:t>
            </w:r>
          </w:p>
        </w:tc>
        <w:tc>
          <w:tcPr>
            <w:tcW w:w="1242" w:type="dxa"/>
            <w:tcBorders>
              <w:top w:val="nil"/>
              <w:left w:val="nil"/>
              <w:bottom w:val="nil"/>
              <w:right w:val="nil"/>
            </w:tcBorders>
            <w:vAlign w:val="bottom"/>
          </w:tcPr>
          <w:p w14:paraId="4E4FF1A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(0.375)</w:t>
            </w:r>
          </w:p>
        </w:tc>
        <w:tc>
          <w:tcPr>
            <w:tcW w:w="1242" w:type="dxa"/>
            <w:tcBorders>
              <w:top w:val="nil"/>
              <w:left w:val="nil"/>
              <w:bottom w:val="nil"/>
              <w:right w:val="nil"/>
            </w:tcBorders>
            <w:noWrap/>
            <w:vAlign w:val="bottom"/>
          </w:tcPr>
          <w:p w14:paraId="6BF666E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c>
          <w:tcPr>
            <w:tcW w:w="1242" w:type="dxa"/>
            <w:tcBorders>
              <w:top w:val="nil"/>
              <w:left w:val="nil"/>
              <w:bottom w:val="nil"/>
              <w:right w:val="nil"/>
            </w:tcBorders>
            <w:noWrap/>
            <w:vAlign w:val="bottom"/>
          </w:tcPr>
          <w:p w14:paraId="66D6F14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Yes</w:t>
            </w:r>
          </w:p>
        </w:tc>
      </w:tr>
      <w:tr w:rsidR="00B5549F" w:rsidRPr="00B5549F" w14:paraId="0955B2B0" w14:textId="77777777" w:rsidTr="00E02797">
        <w:trPr>
          <w:trHeight w:val="20"/>
        </w:trPr>
        <w:tc>
          <w:tcPr>
            <w:tcW w:w="3081" w:type="dxa"/>
            <w:tcBorders>
              <w:top w:val="nil"/>
              <w:left w:val="nil"/>
              <w:bottom w:val="nil"/>
              <w:right w:val="nil"/>
            </w:tcBorders>
            <w:noWrap/>
            <w:vAlign w:val="bottom"/>
            <w:hideMark/>
          </w:tcPr>
          <w:p w14:paraId="2F7B1D0A"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N</w:t>
            </w:r>
          </w:p>
        </w:tc>
        <w:tc>
          <w:tcPr>
            <w:tcW w:w="1242" w:type="dxa"/>
            <w:tcBorders>
              <w:top w:val="nil"/>
              <w:left w:val="nil"/>
              <w:bottom w:val="nil"/>
              <w:right w:val="nil"/>
            </w:tcBorders>
            <w:noWrap/>
            <w:vAlign w:val="bottom"/>
            <w:hideMark/>
          </w:tcPr>
          <w:p w14:paraId="2115CF2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3060</w:t>
            </w:r>
          </w:p>
        </w:tc>
        <w:tc>
          <w:tcPr>
            <w:tcW w:w="1242" w:type="dxa"/>
            <w:tcBorders>
              <w:top w:val="nil"/>
              <w:left w:val="nil"/>
              <w:bottom w:val="nil"/>
              <w:right w:val="nil"/>
            </w:tcBorders>
            <w:noWrap/>
            <w:vAlign w:val="bottom"/>
            <w:hideMark/>
          </w:tcPr>
          <w:p w14:paraId="5CB86EF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3060</w:t>
            </w:r>
          </w:p>
        </w:tc>
        <w:tc>
          <w:tcPr>
            <w:tcW w:w="1242" w:type="dxa"/>
            <w:tcBorders>
              <w:top w:val="nil"/>
              <w:left w:val="nil"/>
              <w:bottom w:val="nil"/>
              <w:right w:val="nil"/>
            </w:tcBorders>
            <w:vAlign w:val="bottom"/>
          </w:tcPr>
          <w:p w14:paraId="2A86FB1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3060</w:t>
            </w:r>
          </w:p>
        </w:tc>
        <w:tc>
          <w:tcPr>
            <w:tcW w:w="1242" w:type="dxa"/>
            <w:tcBorders>
              <w:top w:val="nil"/>
              <w:left w:val="nil"/>
              <w:bottom w:val="nil"/>
              <w:right w:val="nil"/>
            </w:tcBorders>
            <w:vAlign w:val="bottom"/>
          </w:tcPr>
          <w:p w14:paraId="175B5BA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3060</w:t>
            </w:r>
          </w:p>
        </w:tc>
        <w:tc>
          <w:tcPr>
            <w:tcW w:w="1242" w:type="dxa"/>
            <w:tcBorders>
              <w:top w:val="nil"/>
              <w:left w:val="nil"/>
              <w:bottom w:val="nil"/>
              <w:right w:val="nil"/>
            </w:tcBorders>
            <w:vAlign w:val="bottom"/>
          </w:tcPr>
          <w:p w14:paraId="26D7D54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3060</w:t>
            </w:r>
          </w:p>
        </w:tc>
        <w:tc>
          <w:tcPr>
            <w:tcW w:w="1242" w:type="dxa"/>
            <w:tcBorders>
              <w:top w:val="nil"/>
              <w:left w:val="nil"/>
              <w:bottom w:val="nil"/>
              <w:right w:val="nil"/>
            </w:tcBorders>
            <w:vAlign w:val="bottom"/>
          </w:tcPr>
          <w:p w14:paraId="411E0D2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3060</w:t>
            </w:r>
          </w:p>
        </w:tc>
        <w:tc>
          <w:tcPr>
            <w:tcW w:w="1242" w:type="dxa"/>
            <w:tcBorders>
              <w:top w:val="nil"/>
              <w:left w:val="nil"/>
              <w:bottom w:val="nil"/>
              <w:right w:val="nil"/>
            </w:tcBorders>
            <w:noWrap/>
            <w:vAlign w:val="bottom"/>
            <w:hideMark/>
          </w:tcPr>
          <w:p w14:paraId="38EBCE3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3060</w:t>
            </w:r>
          </w:p>
        </w:tc>
        <w:tc>
          <w:tcPr>
            <w:tcW w:w="1242" w:type="dxa"/>
            <w:tcBorders>
              <w:top w:val="nil"/>
              <w:left w:val="nil"/>
              <w:bottom w:val="nil"/>
              <w:right w:val="nil"/>
            </w:tcBorders>
            <w:noWrap/>
            <w:vAlign w:val="bottom"/>
            <w:hideMark/>
          </w:tcPr>
          <w:p w14:paraId="4952D22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3060</w:t>
            </w:r>
          </w:p>
        </w:tc>
      </w:tr>
      <w:tr w:rsidR="00B5549F" w:rsidRPr="00B5549F" w14:paraId="3DE649A2" w14:textId="77777777" w:rsidTr="00E02797">
        <w:trPr>
          <w:trHeight w:val="20"/>
        </w:trPr>
        <w:tc>
          <w:tcPr>
            <w:tcW w:w="3081" w:type="dxa"/>
            <w:tcBorders>
              <w:top w:val="nil"/>
              <w:left w:val="nil"/>
              <w:bottom w:val="nil"/>
              <w:right w:val="nil"/>
            </w:tcBorders>
            <w:noWrap/>
            <w:vAlign w:val="bottom"/>
            <w:hideMark/>
          </w:tcPr>
          <w:p w14:paraId="37B4AF1A"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Overall R2</w:t>
            </w:r>
          </w:p>
        </w:tc>
        <w:tc>
          <w:tcPr>
            <w:tcW w:w="1242" w:type="dxa"/>
            <w:tcBorders>
              <w:top w:val="nil"/>
              <w:left w:val="nil"/>
              <w:bottom w:val="nil"/>
              <w:right w:val="nil"/>
            </w:tcBorders>
            <w:noWrap/>
            <w:vAlign w:val="bottom"/>
            <w:hideMark/>
          </w:tcPr>
          <w:p w14:paraId="29AE55E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0.630</w:t>
            </w:r>
          </w:p>
        </w:tc>
        <w:tc>
          <w:tcPr>
            <w:tcW w:w="1242" w:type="dxa"/>
            <w:tcBorders>
              <w:top w:val="nil"/>
              <w:left w:val="nil"/>
              <w:bottom w:val="nil"/>
              <w:right w:val="nil"/>
            </w:tcBorders>
            <w:noWrap/>
            <w:vAlign w:val="bottom"/>
            <w:hideMark/>
          </w:tcPr>
          <w:p w14:paraId="202185FC"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vAlign w:val="bottom"/>
          </w:tcPr>
          <w:p w14:paraId="411DE7F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0.777</w:t>
            </w:r>
          </w:p>
        </w:tc>
        <w:tc>
          <w:tcPr>
            <w:tcW w:w="1242" w:type="dxa"/>
            <w:tcBorders>
              <w:top w:val="nil"/>
              <w:left w:val="nil"/>
              <w:bottom w:val="nil"/>
              <w:right w:val="nil"/>
            </w:tcBorders>
            <w:vAlign w:val="bottom"/>
          </w:tcPr>
          <w:p w14:paraId="3357E8C3"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vAlign w:val="bottom"/>
          </w:tcPr>
          <w:p w14:paraId="4E893D0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0.713</w:t>
            </w:r>
          </w:p>
        </w:tc>
        <w:tc>
          <w:tcPr>
            <w:tcW w:w="1242" w:type="dxa"/>
            <w:tcBorders>
              <w:top w:val="nil"/>
              <w:left w:val="nil"/>
              <w:bottom w:val="nil"/>
              <w:right w:val="nil"/>
            </w:tcBorders>
            <w:vAlign w:val="bottom"/>
          </w:tcPr>
          <w:p w14:paraId="01F64A1A"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noWrap/>
            <w:vAlign w:val="bottom"/>
            <w:hideMark/>
          </w:tcPr>
          <w:p w14:paraId="608568C9"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0.496</w:t>
            </w:r>
          </w:p>
        </w:tc>
        <w:tc>
          <w:tcPr>
            <w:tcW w:w="1242" w:type="dxa"/>
            <w:tcBorders>
              <w:top w:val="nil"/>
              <w:left w:val="nil"/>
              <w:bottom w:val="nil"/>
              <w:right w:val="nil"/>
            </w:tcBorders>
            <w:noWrap/>
            <w:vAlign w:val="bottom"/>
            <w:hideMark/>
          </w:tcPr>
          <w:p w14:paraId="7911E0B4"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r>
      <w:tr w:rsidR="00B5549F" w:rsidRPr="00B5549F" w14:paraId="6B67DCD2" w14:textId="77777777" w:rsidTr="00E02797">
        <w:trPr>
          <w:trHeight w:val="20"/>
        </w:trPr>
        <w:tc>
          <w:tcPr>
            <w:tcW w:w="3081" w:type="dxa"/>
            <w:tcBorders>
              <w:top w:val="nil"/>
              <w:left w:val="nil"/>
              <w:bottom w:val="nil"/>
              <w:right w:val="nil"/>
            </w:tcBorders>
            <w:noWrap/>
            <w:vAlign w:val="bottom"/>
            <w:hideMark/>
          </w:tcPr>
          <w:p w14:paraId="46A3A996"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 Instruments</w:t>
            </w:r>
          </w:p>
        </w:tc>
        <w:tc>
          <w:tcPr>
            <w:tcW w:w="1242" w:type="dxa"/>
            <w:tcBorders>
              <w:top w:val="nil"/>
              <w:left w:val="nil"/>
              <w:bottom w:val="nil"/>
              <w:right w:val="nil"/>
            </w:tcBorders>
            <w:noWrap/>
            <w:vAlign w:val="bottom"/>
            <w:hideMark/>
          </w:tcPr>
          <w:p w14:paraId="0FADC240" w14:textId="77777777" w:rsidR="00985916" w:rsidRPr="00B5549F" w:rsidRDefault="00985916" w:rsidP="00985916">
            <w:pPr>
              <w:contextualSpacing/>
              <w:rPr>
                <w:rFonts w:ascii="Times New Roman" w:hAnsi="Times New Roman" w:cs="Times New Roman"/>
                <w:color w:val="000000" w:themeColor="text1"/>
                <w:sz w:val="18"/>
                <w:szCs w:val="18"/>
              </w:rPr>
            </w:pPr>
          </w:p>
        </w:tc>
        <w:tc>
          <w:tcPr>
            <w:tcW w:w="1242" w:type="dxa"/>
            <w:tcBorders>
              <w:top w:val="nil"/>
              <w:left w:val="nil"/>
              <w:bottom w:val="nil"/>
              <w:right w:val="nil"/>
            </w:tcBorders>
            <w:noWrap/>
            <w:vAlign w:val="bottom"/>
            <w:hideMark/>
          </w:tcPr>
          <w:p w14:paraId="1801D42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111</w:t>
            </w:r>
          </w:p>
        </w:tc>
        <w:tc>
          <w:tcPr>
            <w:tcW w:w="1242" w:type="dxa"/>
            <w:tcBorders>
              <w:top w:val="nil"/>
              <w:left w:val="nil"/>
              <w:bottom w:val="nil"/>
              <w:right w:val="nil"/>
            </w:tcBorders>
            <w:vAlign w:val="bottom"/>
          </w:tcPr>
          <w:p w14:paraId="19350A9B"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vAlign w:val="bottom"/>
          </w:tcPr>
          <w:p w14:paraId="22E48A6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111</w:t>
            </w:r>
          </w:p>
        </w:tc>
        <w:tc>
          <w:tcPr>
            <w:tcW w:w="1242" w:type="dxa"/>
            <w:tcBorders>
              <w:top w:val="nil"/>
              <w:left w:val="nil"/>
              <w:bottom w:val="nil"/>
              <w:right w:val="nil"/>
            </w:tcBorders>
            <w:vAlign w:val="bottom"/>
          </w:tcPr>
          <w:p w14:paraId="349DED01"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vAlign w:val="bottom"/>
          </w:tcPr>
          <w:p w14:paraId="299A0E9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111</w:t>
            </w:r>
          </w:p>
        </w:tc>
        <w:tc>
          <w:tcPr>
            <w:tcW w:w="1242" w:type="dxa"/>
            <w:tcBorders>
              <w:top w:val="nil"/>
              <w:left w:val="nil"/>
              <w:bottom w:val="nil"/>
              <w:right w:val="nil"/>
            </w:tcBorders>
            <w:noWrap/>
            <w:vAlign w:val="bottom"/>
            <w:hideMark/>
          </w:tcPr>
          <w:p w14:paraId="162D83EE"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noWrap/>
            <w:vAlign w:val="bottom"/>
            <w:hideMark/>
          </w:tcPr>
          <w:p w14:paraId="6B2AFE3A"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111</w:t>
            </w:r>
          </w:p>
        </w:tc>
      </w:tr>
      <w:tr w:rsidR="00B5549F" w:rsidRPr="00B5549F" w14:paraId="47D5EC21" w14:textId="77777777" w:rsidTr="00E02797">
        <w:trPr>
          <w:trHeight w:val="20"/>
        </w:trPr>
        <w:tc>
          <w:tcPr>
            <w:tcW w:w="3081" w:type="dxa"/>
            <w:tcBorders>
              <w:top w:val="nil"/>
              <w:left w:val="nil"/>
              <w:bottom w:val="nil"/>
              <w:right w:val="nil"/>
            </w:tcBorders>
            <w:noWrap/>
            <w:vAlign w:val="bottom"/>
            <w:hideMark/>
          </w:tcPr>
          <w:p w14:paraId="0A8F57E8"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 Instruments / p</w:t>
            </w:r>
          </w:p>
        </w:tc>
        <w:tc>
          <w:tcPr>
            <w:tcW w:w="1242" w:type="dxa"/>
            <w:tcBorders>
              <w:top w:val="nil"/>
              <w:left w:val="nil"/>
              <w:bottom w:val="nil"/>
              <w:right w:val="nil"/>
            </w:tcBorders>
            <w:noWrap/>
            <w:vAlign w:val="bottom"/>
            <w:hideMark/>
          </w:tcPr>
          <w:p w14:paraId="382C1D3F" w14:textId="77777777" w:rsidR="00985916" w:rsidRPr="00B5549F" w:rsidRDefault="00985916" w:rsidP="00985916">
            <w:pPr>
              <w:contextualSpacing/>
              <w:rPr>
                <w:rFonts w:ascii="Times New Roman" w:hAnsi="Times New Roman" w:cs="Times New Roman"/>
                <w:color w:val="000000" w:themeColor="text1"/>
                <w:sz w:val="18"/>
                <w:szCs w:val="18"/>
              </w:rPr>
            </w:pPr>
          </w:p>
        </w:tc>
        <w:tc>
          <w:tcPr>
            <w:tcW w:w="1242" w:type="dxa"/>
            <w:tcBorders>
              <w:top w:val="nil"/>
              <w:left w:val="nil"/>
              <w:bottom w:val="nil"/>
              <w:right w:val="nil"/>
            </w:tcBorders>
            <w:noWrap/>
            <w:vAlign w:val="bottom"/>
            <w:hideMark/>
          </w:tcPr>
          <w:p w14:paraId="0F6ADC0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1,09</w:t>
            </w:r>
          </w:p>
        </w:tc>
        <w:tc>
          <w:tcPr>
            <w:tcW w:w="1242" w:type="dxa"/>
            <w:tcBorders>
              <w:top w:val="nil"/>
              <w:left w:val="nil"/>
              <w:bottom w:val="nil"/>
              <w:right w:val="nil"/>
            </w:tcBorders>
            <w:vAlign w:val="bottom"/>
          </w:tcPr>
          <w:p w14:paraId="118869E4"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vAlign w:val="bottom"/>
          </w:tcPr>
          <w:p w14:paraId="395305C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1,09</w:t>
            </w:r>
          </w:p>
        </w:tc>
        <w:tc>
          <w:tcPr>
            <w:tcW w:w="1242" w:type="dxa"/>
            <w:tcBorders>
              <w:top w:val="nil"/>
              <w:left w:val="nil"/>
              <w:bottom w:val="nil"/>
              <w:right w:val="nil"/>
            </w:tcBorders>
            <w:vAlign w:val="bottom"/>
          </w:tcPr>
          <w:p w14:paraId="411174BE"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vAlign w:val="bottom"/>
          </w:tcPr>
          <w:p w14:paraId="55B8618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1,09</w:t>
            </w:r>
          </w:p>
        </w:tc>
        <w:tc>
          <w:tcPr>
            <w:tcW w:w="1242" w:type="dxa"/>
            <w:tcBorders>
              <w:top w:val="nil"/>
              <w:left w:val="nil"/>
              <w:bottom w:val="nil"/>
              <w:right w:val="nil"/>
            </w:tcBorders>
            <w:noWrap/>
            <w:vAlign w:val="bottom"/>
            <w:hideMark/>
          </w:tcPr>
          <w:p w14:paraId="1D8192D1"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noWrap/>
            <w:vAlign w:val="bottom"/>
            <w:hideMark/>
          </w:tcPr>
          <w:p w14:paraId="0EEA268F"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1,09</w:t>
            </w:r>
          </w:p>
        </w:tc>
      </w:tr>
      <w:tr w:rsidR="00B5549F" w:rsidRPr="00B5549F" w14:paraId="02B0165B" w14:textId="77777777" w:rsidTr="00E02797">
        <w:trPr>
          <w:trHeight w:val="20"/>
        </w:trPr>
        <w:tc>
          <w:tcPr>
            <w:tcW w:w="3081" w:type="dxa"/>
            <w:tcBorders>
              <w:top w:val="nil"/>
              <w:left w:val="nil"/>
              <w:bottom w:val="nil"/>
              <w:right w:val="nil"/>
            </w:tcBorders>
            <w:noWrap/>
            <w:vAlign w:val="bottom"/>
            <w:hideMark/>
          </w:tcPr>
          <w:p w14:paraId="74D07FF5"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 Instruments / N</w:t>
            </w:r>
          </w:p>
        </w:tc>
        <w:tc>
          <w:tcPr>
            <w:tcW w:w="1242" w:type="dxa"/>
            <w:tcBorders>
              <w:top w:val="nil"/>
              <w:left w:val="nil"/>
              <w:bottom w:val="nil"/>
              <w:right w:val="nil"/>
            </w:tcBorders>
            <w:noWrap/>
            <w:vAlign w:val="bottom"/>
            <w:hideMark/>
          </w:tcPr>
          <w:p w14:paraId="7DC9CF43" w14:textId="77777777" w:rsidR="00985916" w:rsidRPr="00B5549F" w:rsidRDefault="00985916" w:rsidP="00985916">
            <w:pPr>
              <w:contextualSpacing/>
              <w:rPr>
                <w:rFonts w:ascii="Times New Roman" w:hAnsi="Times New Roman" w:cs="Times New Roman"/>
                <w:color w:val="000000" w:themeColor="text1"/>
                <w:sz w:val="18"/>
                <w:szCs w:val="18"/>
              </w:rPr>
            </w:pPr>
          </w:p>
        </w:tc>
        <w:tc>
          <w:tcPr>
            <w:tcW w:w="1242" w:type="dxa"/>
            <w:tcBorders>
              <w:top w:val="nil"/>
              <w:left w:val="nil"/>
              <w:bottom w:val="nil"/>
              <w:right w:val="nil"/>
            </w:tcBorders>
            <w:noWrap/>
            <w:vAlign w:val="bottom"/>
            <w:hideMark/>
          </w:tcPr>
          <w:p w14:paraId="422147E2"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w:t>
            </w:r>
          </w:p>
        </w:tc>
        <w:tc>
          <w:tcPr>
            <w:tcW w:w="1242" w:type="dxa"/>
            <w:tcBorders>
              <w:top w:val="nil"/>
              <w:left w:val="nil"/>
              <w:bottom w:val="nil"/>
              <w:right w:val="nil"/>
            </w:tcBorders>
            <w:vAlign w:val="bottom"/>
          </w:tcPr>
          <w:p w14:paraId="11CF7D66"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vAlign w:val="bottom"/>
          </w:tcPr>
          <w:p w14:paraId="600A72CB"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w:t>
            </w:r>
          </w:p>
        </w:tc>
        <w:tc>
          <w:tcPr>
            <w:tcW w:w="1242" w:type="dxa"/>
            <w:tcBorders>
              <w:top w:val="nil"/>
              <w:left w:val="nil"/>
              <w:bottom w:val="nil"/>
              <w:right w:val="nil"/>
            </w:tcBorders>
            <w:vAlign w:val="bottom"/>
          </w:tcPr>
          <w:p w14:paraId="0BE2AD31"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vAlign w:val="bottom"/>
          </w:tcPr>
          <w:p w14:paraId="121AE34E"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w:t>
            </w:r>
          </w:p>
        </w:tc>
        <w:tc>
          <w:tcPr>
            <w:tcW w:w="1242" w:type="dxa"/>
            <w:tcBorders>
              <w:top w:val="nil"/>
              <w:left w:val="nil"/>
              <w:bottom w:val="nil"/>
              <w:right w:val="nil"/>
            </w:tcBorders>
            <w:noWrap/>
            <w:vAlign w:val="bottom"/>
            <w:hideMark/>
          </w:tcPr>
          <w:p w14:paraId="2C8EEB26"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noWrap/>
            <w:vAlign w:val="bottom"/>
            <w:hideMark/>
          </w:tcPr>
          <w:p w14:paraId="01DFD30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0,04</w:t>
            </w:r>
          </w:p>
        </w:tc>
      </w:tr>
      <w:tr w:rsidR="00B5549F" w:rsidRPr="00B5549F" w14:paraId="347EB268" w14:textId="77777777" w:rsidTr="00E02797">
        <w:trPr>
          <w:trHeight w:val="20"/>
        </w:trPr>
        <w:tc>
          <w:tcPr>
            <w:tcW w:w="3081" w:type="dxa"/>
            <w:tcBorders>
              <w:top w:val="nil"/>
              <w:left w:val="nil"/>
              <w:bottom w:val="nil"/>
              <w:right w:val="nil"/>
            </w:tcBorders>
            <w:noWrap/>
            <w:vAlign w:val="bottom"/>
            <w:hideMark/>
          </w:tcPr>
          <w:p w14:paraId="38564DDE"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AR1 (p-value)</w:t>
            </w:r>
          </w:p>
        </w:tc>
        <w:tc>
          <w:tcPr>
            <w:tcW w:w="1242" w:type="dxa"/>
            <w:tcBorders>
              <w:top w:val="nil"/>
              <w:left w:val="nil"/>
              <w:bottom w:val="nil"/>
              <w:right w:val="nil"/>
            </w:tcBorders>
            <w:noWrap/>
            <w:vAlign w:val="bottom"/>
            <w:hideMark/>
          </w:tcPr>
          <w:p w14:paraId="61F61FF3" w14:textId="77777777" w:rsidR="00985916" w:rsidRPr="00B5549F" w:rsidRDefault="00985916" w:rsidP="00985916">
            <w:pPr>
              <w:contextualSpacing/>
              <w:rPr>
                <w:rFonts w:ascii="Times New Roman" w:hAnsi="Times New Roman" w:cs="Times New Roman"/>
                <w:color w:val="000000" w:themeColor="text1"/>
                <w:sz w:val="18"/>
                <w:szCs w:val="18"/>
              </w:rPr>
            </w:pPr>
          </w:p>
        </w:tc>
        <w:tc>
          <w:tcPr>
            <w:tcW w:w="1242" w:type="dxa"/>
            <w:tcBorders>
              <w:top w:val="nil"/>
              <w:left w:val="nil"/>
              <w:bottom w:val="nil"/>
              <w:right w:val="nil"/>
            </w:tcBorders>
            <w:noWrap/>
            <w:vAlign w:val="bottom"/>
            <w:hideMark/>
          </w:tcPr>
          <w:p w14:paraId="3A348B7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-6.15***</w:t>
            </w:r>
          </w:p>
        </w:tc>
        <w:tc>
          <w:tcPr>
            <w:tcW w:w="1242" w:type="dxa"/>
            <w:tcBorders>
              <w:top w:val="nil"/>
              <w:left w:val="nil"/>
              <w:bottom w:val="nil"/>
              <w:right w:val="nil"/>
            </w:tcBorders>
            <w:vAlign w:val="bottom"/>
          </w:tcPr>
          <w:p w14:paraId="0CD71413"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vAlign w:val="bottom"/>
          </w:tcPr>
          <w:p w14:paraId="3229C71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-6.12***</w:t>
            </w:r>
          </w:p>
        </w:tc>
        <w:tc>
          <w:tcPr>
            <w:tcW w:w="1242" w:type="dxa"/>
            <w:tcBorders>
              <w:top w:val="nil"/>
              <w:left w:val="nil"/>
              <w:bottom w:val="nil"/>
              <w:right w:val="nil"/>
            </w:tcBorders>
            <w:vAlign w:val="bottom"/>
          </w:tcPr>
          <w:p w14:paraId="07C77AF3"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vAlign w:val="bottom"/>
          </w:tcPr>
          <w:p w14:paraId="0AC47B98"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-7.07***</w:t>
            </w:r>
          </w:p>
        </w:tc>
        <w:tc>
          <w:tcPr>
            <w:tcW w:w="1242" w:type="dxa"/>
            <w:tcBorders>
              <w:top w:val="nil"/>
              <w:left w:val="nil"/>
              <w:bottom w:val="nil"/>
              <w:right w:val="nil"/>
            </w:tcBorders>
            <w:noWrap/>
            <w:vAlign w:val="bottom"/>
            <w:hideMark/>
          </w:tcPr>
          <w:p w14:paraId="2EC63C5A"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noWrap/>
            <w:vAlign w:val="bottom"/>
            <w:hideMark/>
          </w:tcPr>
          <w:p w14:paraId="0606232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-5.73***</w:t>
            </w:r>
          </w:p>
        </w:tc>
      </w:tr>
      <w:tr w:rsidR="00B5549F" w:rsidRPr="00B5549F" w14:paraId="7794CE0E" w14:textId="77777777" w:rsidTr="00E02797">
        <w:trPr>
          <w:trHeight w:val="20"/>
        </w:trPr>
        <w:tc>
          <w:tcPr>
            <w:tcW w:w="3081" w:type="dxa"/>
            <w:tcBorders>
              <w:top w:val="nil"/>
              <w:left w:val="nil"/>
              <w:bottom w:val="nil"/>
              <w:right w:val="nil"/>
            </w:tcBorders>
            <w:noWrap/>
            <w:vAlign w:val="bottom"/>
            <w:hideMark/>
          </w:tcPr>
          <w:p w14:paraId="7B8F1E90"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AR2 (p-value)</w:t>
            </w:r>
          </w:p>
        </w:tc>
        <w:tc>
          <w:tcPr>
            <w:tcW w:w="1242" w:type="dxa"/>
            <w:tcBorders>
              <w:top w:val="nil"/>
              <w:left w:val="nil"/>
              <w:bottom w:val="nil"/>
              <w:right w:val="nil"/>
            </w:tcBorders>
            <w:noWrap/>
            <w:vAlign w:val="bottom"/>
            <w:hideMark/>
          </w:tcPr>
          <w:p w14:paraId="3C9471E6" w14:textId="77777777" w:rsidR="00985916" w:rsidRPr="00B5549F" w:rsidRDefault="00985916" w:rsidP="00985916">
            <w:pPr>
              <w:contextualSpacing/>
              <w:rPr>
                <w:rFonts w:ascii="Times New Roman" w:hAnsi="Times New Roman" w:cs="Times New Roman"/>
                <w:color w:val="000000" w:themeColor="text1"/>
                <w:sz w:val="18"/>
                <w:szCs w:val="18"/>
              </w:rPr>
            </w:pPr>
          </w:p>
        </w:tc>
        <w:tc>
          <w:tcPr>
            <w:tcW w:w="1242" w:type="dxa"/>
            <w:tcBorders>
              <w:top w:val="nil"/>
              <w:left w:val="nil"/>
              <w:bottom w:val="nil"/>
              <w:right w:val="nil"/>
            </w:tcBorders>
            <w:noWrap/>
            <w:vAlign w:val="bottom"/>
            <w:hideMark/>
          </w:tcPr>
          <w:p w14:paraId="25E25A8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2.24**</w:t>
            </w:r>
          </w:p>
        </w:tc>
        <w:tc>
          <w:tcPr>
            <w:tcW w:w="1242" w:type="dxa"/>
            <w:tcBorders>
              <w:top w:val="nil"/>
              <w:left w:val="nil"/>
              <w:bottom w:val="nil"/>
              <w:right w:val="nil"/>
            </w:tcBorders>
            <w:vAlign w:val="bottom"/>
          </w:tcPr>
          <w:p w14:paraId="77B6A116"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vAlign w:val="bottom"/>
          </w:tcPr>
          <w:p w14:paraId="344EB8D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3.60***</w:t>
            </w:r>
          </w:p>
        </w:tc>
        <w:tc>
          <w:tcPr>
            <w:tcW w:w="1242" w:type="dxa"/>
            <w:tcBorders>
              <w:top w:val="nil"/>
              <w:left w:val="nil"/>
              <w:bottom w:val="nil"/>
              <w:right w:val="nil"/>
            </w:tcBorders>
            <w:vAlign w:val="bottom"/>
          </w:tcPr>
          <w:p w14:paraId="4B16B11B"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vAlign w:val="bottom"/>
          </w:tcPr>
          <w:p w14:paraId="409522D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4.60***</w:t>
            </w:r>
          </w:p>
        </w:tc>
        <w:tc>
          <w:tcPr>
            <w:tcW w:w="1242" w:type="dxa"/>
            <w:tcBorders>
              <w:top w:val="nil"/>
              <w:left w:val="nil"/>
              <w:bottom w:val="nil"/>
              <w:right w:val="nil"/>
            </w:tcBorders>
            <w:noWrap/>
            <w:vAlign w:val="bottom"/>
            <w:hideMark/>
          </w:tcPr>
          <w:p w14:paraId="34665744"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noWrap/>
            <w:vAlign w:val="bottom"/>
            <w:hideMark/>
          </w:tcPr>
          <w:p w14:paraId="552E984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1.72*</w:t>
            </w:r>
          </w:p>
        </w:tc>
      </w:tr>
      <w:tr w:rsidR="00B5549F" w:rsidRPr="00B5549F" w14:paraId="229DE849" w14:textId="77777777" w:rsidTr="00E02797">
        <w:trPr>
          <w:trHeight w:val="20"/>
        </w:trPr>
        <w:tc>
          <w:tcPr>
            <w:tcW w:w="3081" w:type="dxa"/>
            <w:tcBorders>
              <w:top w:val="nil"/>
              <w:left w:val="nil"/>
              <w:bottom w:val="nil"/>
              <w:right w:val="nil"/>
            </w:tcBorders>
            <w:noWrap/>
            <w:vAlign w:val="bottom"/>
            <w:hideMark/>
          </w:tcPr>
          <w:p w14:paraId="22B1EF5E" w14:textId="77777777" w:rsidR="00985916" w:rsidRPr="00B5549F" w:rsidRDefault="00985916" w:rsidP="00985916">
            <w:pPr>
              <w:contextualSpacing/>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AR3 (p-value)</w:t>
            </w:r>
          </w:p>
        </w:tc>
        <w:tc>
          <w:tcPr>
            <w:tcW w:w="1242" w:type="dxa"/>
            <w:tcBorders>
              <w:top w:val="nil"/>
              <w:left w:val="nil"/>
              <w:bottom w:val="nil"/>
              <w:right w:val="nil"/>
            </w:tcBorders>
            <w:noWrap/>
            <w:vAlign w:val="bottom"/>
            <w:hideMark/>
          </w:tcPr>
          <w:p w14:paraId="1F389B6D" w14:textId="77777777" w:rsidR="00985916" w:rsidRPr="00B5549F" w:rsidRDefault="00985916" w:rsidP="00985916">
            <w:pPr>
              <w:contextualSpacing/>
              <w:rPr>
                <w:rFonts w:ascii="Times New Roman" w:hAnsi="Times New Roman" w:cs="Times New Roman"/>
                <w:color w:val="000000" w:themeColor="text1"/>
                <w:sz w:val="18"/>
                <w:szCs w:val="18"/>
              </w:rPr>
            </w:pPr>
          </w:p>
        </w:tc>
        <w:tc>
          <w:tcPr>
            <w:tcW w:w="1242" w:type="dxa"/>
            <w:tcBorders>
              <w:top w:val="nil"/>
              <w:left w:val="nil"/>
              <w:bottom w:val="nil"/>
              <w:right w:val="nil"/>
            </w:tcBorders>
            <w:noWrap/>
            <w:vAlign w:val="bottom"/>
            <w:hideMark/>
          </w:tcPr>
          <w:p w14:paraId="59AF79DD"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1.01</w:t>
            </w:r>
          </w:p>
        </w:tc>
        <w:tc>
          <w:tcPr>
            <w:tcW w:w="1242" w:type="dxa"/>
            <w:tcBorders>
              <w:top w:val="nil"/>
              <w:left w:val="nil"/>
              <w:bottom w:val="nil"/>
              <w:right w:val="nil"/>
            </w:tcBorders>
            <w:vAlign w:val="bottom"/>
          </w:tcPr>
          <w:p w14:paraId="3BE30840"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vAlign w:val="bottom"/>
          </w:tcPr>
          <w:p w14:paraId="0FC0477C"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-1.22</w:t>
            </w:r>
          </w:p>
        </w:tc>
        <w:tc>
          <w:tcPr>
            <w:tcW w:w="1242" w:type="dxa"/>
            <w:tcBorders>
              <w:top w:val="nil"/>
              <w:left w:val="nil"/>
              <w:bottom w:val="nil"/>
              <w:right w:val="nil"/>
            </w:tcBorders>
            <w:vAlign w:val="bottom"/>
          </w:tcPr>
          <w:p w14:paraId="5E83176B"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vAlign w:val="bottom"/>
          </w:tcPr>
          <w:p w14:paraId="662646A0"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-1.15</w:t>
            </w:r>
          </w:p>
        </w:tc>
        <w:tc>
          <w:tcPr>
            <w:tcW w:w="1242" w:type="dxa"/>
            <w:tcBorders>
              <w:top w:val="nil"/>
              <w:left w:val="nil"/>
              <w:bottom w:val="nil"/>
              <w:right w:val="nil"/>
            </w:tcBorders>
            <w:noWrap/>
            <w:vAlign w:val="bottom"/>
            <w:hideMark/>
          </w:tcPr>
          <w:p w14:paraId="65705166"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nil"/>
              <w:right w:val="nil"/>
            </w:tcBorders>
            <w:noWrap/>
            <w:vAlign w:val="bottom"/>
            <w:hideMark/>
          </w:tcPr>
          <w:p w14:paraId="20EF97C3"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0.95</w:t>
            </w:r>
          </w:p>
        </w:tc>
      </w:tr>
      <w:tr w:rsidR="00B5549F" w:rsidRPr="00B5549F" w14:paraId="00269781" w14:textId="77777777" w:rsidTr="00E02797">
        <w:trPr>
          <w:trHeight w:val="20"/>
        </w:trPr>
        <w:tc>
          <w:tcPr>
            <w:tcW w:w="3081" w:type="dxa"/>
            <w:tcBorders>
              <w:top w:val="nil"/>
              <w:left w:val="nil"/>
              <w:bottom w:val="single" w:sz="4" w:space="0" w:color="auto"/>
              <w:right w:val="nil"/>
            </w:tcBorders>
            <w:noWrap/>
            <w:vAlign w:val="bottom"/>
            <w:hideMark/>
          </w:tcPr>
          <w:p w14:paraId="1EE50732" w14:textId="77777777" w:rsidR="00985916" w:rsidRPr="00B5549F" w:rsidRDefault="00985916" w:rsidP="00985916">
            <w:pPr>
              <w:contextualSpacing/>
              <w:rPr>
                <w:rFonts w:ascii="Times New Roman" w:hAnsi="Times New Roman" w:cs="Times New Roman"/>
                <w:color w:val="000000" w:themeColor="text1"/>
                <w:sz w:val="18"/>
                <w:szCs w:val="18"/>
                <w:lang w:val="en-US"/>
              </w:rPr>
            </w:pPr>
            <w:r w:rsidRPr="00B5549F">
              <w:rPr>
                <w:rFonts w:ascii="Times New Roman" w:hAnsi="Times New Roman" w:cs="Times New Roman"/>
                <w:color w:val="000000" w:themeColor="text1"/>
                <w:sz w:val="18"/>
                <w:szCs w:val="18"/>
                <w:lang w:val="en-US"/>
              </w:rPr>
              <w:t>Hansen Test J (p-value)</w:t>
            </w:r>
          </w:p>
        </w:tc>
        <w:tc>
          <w:tcPr>
            <w:tcW w:w="1242" w:type="dxa"/>
            <w:tcBorders>
              <w:top w:val="nil"/>
              <w:left w:val="nil"/>
              <w:bottom w:val="single" w:sz="4" w:space="0" w:color="auto"/>
              <w:right w:val="nil"/>
            </w:tcBorders>
            <w:noWrap/>
            <w:vAlign w:val="bottom"/>
            <w:hideMark/>
          </w:tcPr>
          <w:p w14:paraId="5351D85D" w14:textId="77777777" w:rsidR="00985916" w:rsidRPr="00B5549F" w:rsidRDefault="00985916" w:rsidP="00985916">
            <w:pPr>
              <w:contextualSpacing/>
              <w:rPr>
                <w:rFonts w:ascii="Times New Roman" w:hAnsi="Times New Roman" w:cs="Times New Roman"/>
                <w:color w:val="000000" w:themeColor="text1"/>
                <w:sz w:val="18"/>
                <w:szCs w:val="18"/>
                <w:lang w:val="en-US"/>
              </w:rPr>
            </w:pPr>
          </w:p>
        </w:tc>
        <w:tc>
          <w:tcPr>
            <w:tcW w:w="1242" w:type="dxa"/>
            <w:tcBorders>
              <w:top w:val="nil"/>
              <w:left w:val="nil"/>
              <w:bottom w:val="single" w:sz="4" w:space="0" w:color="auto"/>
              <w:right w:val="nil"/>
            </w:tcBorders>
            <w:noWrap/>
            <w:vAlign w:val="bottom"/>
            <w:hideMark/>
          </w:tcPr>
          <w:p w14:paraId="05E64167"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88.74 (0.428)</w:t>
            </w:r>
          </w:p>
        </w:tc>
        <w:tc>
          <w:tcPr>
            <w:tcW w:w="1242" w:type="dxa"/>
            <w:tcBorders>
              <w:top w:val="nil"/>
              <w:left w:val="nil"/>
              <w:bottom w:val="single" w:sz="4" w:space="0" w:color="auto"/>
              <w:right w:val="nil"/>
            </w:tcBorders>
            <w:vAlign w:val="bottom"/>
          </w:tcPr>
          <w:p w14:paraId="6D67C92F"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single" w:sz="4" w:space="0" w:color="auto"/>
              <w:right w:val="nil"/>
            </w:tcBorders>
            <w:vAlign w:val="bottom"/>
          </w:tcPr>
          <w:p w14:paraId="419DF5D4"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86.10 (0.507)</w:t>
            </w:r>
          </w:p>
        </w:tc>
        <w:tc>
          <w:tcPr>
            <w:tcW w:w="1242" w:type="dxa"/>
            <w:tcBorders>
              <w:top w:val="nil"/>
              <w:left w:val="nil"/>
              <w:bottom w:val="single" w:sz="4" w:space="0" w:color="auto"/>
              <w:right w:val="nil"/>
            </w:tcBorders>
            <w:vAlign w:val="bottom"/>
          </w:tcPr>
          <w:p w14:paraId="63EC9344"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single" w:sz="4" w:space="0" w:color="auto"/>
              <w:right w:val="nil"/>
            </w:tcBorders>
            <w:vAlign w:val="bottom"/>
          </w:tcPr>
          <w:p w14:paraId="05DA7BF6"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84.26 (0.563)</w:t>
            </w:r>
          </w:p>
        </w:tc>
        <w:tc>
          <w:tcPr>
            <w:tcW w:w="1242" w:type="dxa"/>
            <w:tcBorders>
              <w:top w:val="nil"/>
              <w:left w:val="nil"/>
              <w:bottom w:val="single" w:sz="4" w:space="0" w:color="auto"/>
              <w:right w:val="nil"/>
            </w:tcBorders>
            <w:noWrap/>
            <w:vAlign w:val="bottom"/>
            <w:hideMark/>
          </w:tcPr>
          <w:p w14:paraId="29D24131" w14:textId="77777777" w:rsidR="00985916" w:rsidRPr="00B5549F" w:rsidRDefault="00985916" w:rsidP="00985916">
            <w:pPr>
              <w:contextualSpacing/>
              <w:jc w:val="right"/>
              <w:rPr>
                <w:rFonts w:ascii="Times New Roman" w:hAnsi="Times New Roman" w:cs="Times New Roman"/>
                <w:color w:val="000000" w:themeColor="text1"/>
                <w:sz w:val="18"/>
                <w:szCs w:val="18"/>
              </w:rPr>
            </w:pPr>
          </w:p>
        </w:tc>
        <w:tc>
          <w:tcPr>
            <w:tcW w:w="1242" w:type="dxa"/>
            <w:tcBorders>
              <w:top w:val="nil"/>
              <w:left w:val="nil"/>
              <w:bottom w:val="single" w:sz="4" w:space="0" w:color="auto"/>
              <w:right w:val="nil"/>
            </w:tcBorders>
            <w:noWrap/>
            <w:vAlign w:val="bottom"/>
            <w:hideMark/>
          </w:tcPr>
          <w:p w14:paraId="021BD0D1" w14:textId="77777777" w:rsidR="00985916" w:rsidRPr="00B5549F" w:rsidRDefault="00985916" w:rsidP="00985916">
            <w:pPr>
              <w:contextualSpacing/>
              <w:jc w:val="right"/>
              <w:rPr>
                <w:rFonts w:ascii="Times New Roman" w:hAnsi="Times New Roman" w:cs="Times New Roman"/>
                <w:color w:val="000000" w:themeColor="text1"/>
                <w:sz w:val="18"/>
                <w:szCs w:val="18"/>
              </w:rPr>
            </w:pPr>
            <w:r w:rsidRPr="00B5549F">
              <w:rPr>
                <w:rFonts w:ascii="Times New Roman" w:hAnsi="Times New Roman" w:cs="Times New Roman"/>
                <w:color w:val="000000" w:themeColor="text1"/>
                <w:sz w:val="18"/>
                <w:szCs w:val="18"/>
              </w:rPr>
              <w:t>84.59 (0.553)</w:t>
            </w:r>
          </w:p>
        </w:tc>
      </w:tr>
    </w:tbl>
    <w:p w14:paraId="7C45F125" w14:textId="77777777" w:rsidR="001B48EA" w:rsidRPr="00B5549F" w:rsidRDefault="00985916" w:rsidP="00985916">
      <w:pPr>
        <w:contextualSpacing/>
        <w:jc w:val="both"/>
        <w:rPr>
          <w:rFonts w:ascii="Times New Roman" w:hAnsi="Times New Roman" w:cs="Times New Roman"/>
          <w:color w:val="000000" w:themeColor="text1"/>
          <w:sz w:val="20"/>
          <w:szCs w:val="20"/>
          <w:lang w:val="en-US"/>
        </w:rPr>
        <w:sectPr w:rsidR="001B48EA" w:rsidRPr="00B5549F" w:rsidSect="005E2B22">
          <w:pgSz w:w="16838" w:h="11906" w:orient="landscape"/>
          <w:pgMar w:top="1134" w:right="1134" w:bottom="1134" w:left="1417" w:header="708" w:footer="708" w:gutter="0"/>
          <w:cols w:space="708"/>
          <w:docGrid w:linePitch="360"/>
        </w:sectPr>
      </w:pPr>
      <w:r w:rsidRPr="00B5549F">
        <w:rPr>
          <w:rFonts w:ascii="Times New Roman" w:hAnsi="Times New Roman" w:cs="Times New Roman"/>
          <w:color w:val="000000" w:themeColor="text1"/>
          <w:sz w:val="20"/>
          <w:szCs w:val="20"/>
          <w:lang w:val="en-US"/>
        </w:rPr>
        <w:t xml:space="preserve">Notes: Robust standard errors are in parenthesis. *** p&lt;0.01; ** p&lt;0.05; * p&lt;0.10. Stata commands: </w:t>
      </w:r>
      <w:proofErr w:type="spellStart"/>
      <w:r w:rsidRPr="00B5549F">
        <w:rPr>
          <w:rFonts w:ascii="Times New Roman" w:hAnsi="Times New Roman" w:cs="Times New Roman"/>
          <w:color w:val="000000" w:themeColor="text1"/>
          <w:sz w:val="20"/>
          <w:szCs w:val="20"/>
          <w:lang w:val="en-US"/>
        </w:rPr>
        <w:t>xtreg</w:t>
      </w:r>
      <w:proofErr w:type="spellEnd"/>
      <w:r w:rsidRPr="00B5549F">
        <w:rPr>
          <w:rFonts w:ascii="Times New Roman" w:hAnsi="Times New Roman" w:cs="Times New Roman"/>
          <w:color w:val="000000" w:themeColor="text1"/>
          <w:sz w:val="20"/>
          <w:szCs w:val="20"/>
          <w:lang w:val="en-US"/>
        </w:rPr>
        <w:t xml:space="preserve"> and xtabond2. In GMM-SYS estimates, the instrument set is curtailed according to the Arellano-Bond AR (#) Test. Both new</w:t>
      </w:r>
      <w:r w:rsidRPr="00B5549F">
        <w:rPr>
          <w:rFonts w:ascii="Times New Roman" w:hAnsi="Times New Roman" w:cs="Times New Roman"/>
          <w:color w:val="000000" w:themeColor="text1"/>
          <w:sz w:val="20"/>
          <w:szCs w:val="20"/>
          <w:vertAlign w:val="superscript"/>
          <w:lang w:val="en-US"/>
        </w:rPr>
        <w:t>n</w:t>
      </w:r>
      <w:r w:rsidRPr="00B5549F">
        <w:rPr>
          <w:rFonts w:ascii="Times New Roman" w:hAnsi="Times New Roman" w:cs="Times New Roman"/>
          <w:color w:val="000000" w:themeColor="text1"/>
          <w:sz w:val="20"/>
          <w:szCs w:val="20"/>
          <w:vertAlign w:val="subscript"/>
          <w:lang w:val="en-US"/>
        </w:rPr>
        <w:t>LSEpt-1</w:t>
      </w:r>
      <w:r w:rsidRPr="00B5549F">
        <w:rPr>
          <w:rFonts w:ascii="Times New Roman" w:hAnsi="Times New Roman" w:cs="Times New Roman"/>
          <w:color w:val="000000" w:themeColor="text1"/>
          <w:sz w:val="20"/>
          <w:szCs w:val="20"/>
          <w:lang w:val="en-US"/>
        </w:rPr>
        <w:t xml:space="preserve"> and t</w:t>
      </w:r>
      <w:r w:rsidRPr="00B5549F">
        <w:rPr>
          <w:rFonts w:ascii="Times New Roman" w:hAnsi="Times New Roman" w:cs="Times New Roman"/>
          <w:color w:val="000000" w:themeColor="text1"/>
          <w:sz w:val="20"/>
          <w:szCs w:val="20"/>
          <w:vertAlign w:val="superscript"/>
          <w:lang w:val="en-US"/>
        </w:rPr>
        <w:t>n</w:t>
      </w:r>
      <w:r w:rsidRPr="00B5549F">
        <w:rPr>
          <w:rFonts w:ascii="Times New Roman" w:hAnsi="Times New Roman" w:cs="Times New Roman"/>
          <w:color w:val="000000" w:themeColor="text1"/>
          <w:sz w:val="20"/>
          <w:szCs w:val="20"/>
          <w:vertAlign w:val="subscript"/>
          <w:lang w:val="en-US"/>
        </w:rPr>
        <w:t>pt-1</w:t>
      </w:r>
      <w:r w:rsidRPr="00B5549F">
        <w:rPr>
          <w:rFonts w:ascii="Times New Roman" w:hAnsi="Times New Roman" w:cs="Times New Roman"/>
          <w:color w:val="000000" w:themeColor="text1"/>
          <w:sz w:val="20"/>
          <w:szCs w:val="20"/>
          <w:lang w:val="en-US"/>
        </w:rPr>
        <w:t xml:space="preserve"> are instrumented with lags [t-3;t-4]. GMM models adopt two-step estimations and have been corrected with the </w:t>
      </w:r>
      <w:proofErr w:type="spellStart"/>
      <w:r w:rsidRPr="00B5549F">
        <w:rPr>
          <w:rFonts w:ascii="Times New Roman" w:hAnsi="Times New Roman" w:cs="Times New Roman"/>
          <w:color w:val="000000" w:themeColor="text1"/>
          <w:sz w:val="20"/>
          <w:szCs w:val="20"/>
          <w:lang w:val="en-US"/>
        </w:rPr>
        <w:t>Windmeijer</w:t>
      </w:r>
      <w:proofErr w:type="spellEnd"/>
      <w:r w:rsidRPr="00B5549F">
        <w:rPr>
          <w:rFonts w:ascii="Times New Roman" w:hAnsi="Times New Roman" w:cs="Times New Roman"/>
          <w:color w:val="000000" w:themeColor="text1"/>
          <w:sz w:val="20"/>
          <w:szCs w:val="20"/>
          <w:lang w:val="en-US"/>
        </w:rPr>
        <w:t xml:space="preserve"> (2005) covariance matrix for finite sample</w:t>
      </w:r>
      <w:r w:rsidR="00FB1441" w:rsidRPr="00B5549F">
        <w:rPr>
          <w:rFonts w:ascii="Times New Roman" w:hAnsi="Times New Roman" w:cs="Times New Roman"/>
          <w:color w:val="000000" w:themeColor="text1"/>
          <w:sz w:val="20"/>
          <w:szCs w:val="20"/>
          <w:lang w:val="en-US"/>
        </w:rPr>
        <w:t xml:space="preserve">. </w:t>
      </w:r>
    </w:p>
    <w:p w14:paraId="6877652E" w14:textId="77777777" w:rsidR="001B48EA" w:rsidRPr="00B5549F" w:rsidRDefault="001B48EA" w:rsidP="001B48EA">
      <w:pPr>
        <w:rPr>
          <w:rFonts w:ascii="Times New Roman" w:hAnsi="Times New Roman" w:cs="Times New Roman"/>
          <w:b/>
          <w:bCs/>
          <w:color w:val="000000" w:themeColor="text1"/>
          <w:lang w:val="en-US"/>
        </w:rPr>
      </w:pPr>
      <w:r w:rsidRPr="00B5549F">
        <w:rPr>
          <w:rFonts w:ascii="Times New Roman" w:hAnsi="Times New Roman" w:cs="Times New Roman"/>
          <w:b/>
          <w:bCs/>
          <w:color w:val="000000" w:themeColor="text1"/>
          <w:lang w:val="en-US"/>
        </w:rPr>
        <w:lastRenderedPageBreak/>
        <w:t>Figures</w:t>
      </w:r>
    </w:p>
    <w:p w14:paraId="4771717F" w14:textId="77777777" w:rsidR="001B48EA" w:rsidRPr="00B5549F" w:rsidRDefault="001B48EA" w:rsidP="001B48EA">
      <w:pPr>
        <w:rPr>
          <w:rFonts w:ascii="Times New Roman" w:hAnsi="Times New Roman" w:cs="Times New Roman"/>
          <w:b/>
          <w:bCs/>
          <w:color w:val="000000" w:themeColor="text1"/>
          <w:lang w:val="en-US"/>
        </w:rPr>
      </w:pPr>
    </w:p>
    <w:p w14:paraId="661C0288" w14:textId="77777777" w:rsidR="001B48EA" w:rsidRPr="00B5549F" w:rsidRDefault="001B48EA" w:rsidP="001B48EA">
      <w:pPr>
        <w:spacing w:after="120"/>
        <w:contextualSpacing/>
        <w:jc w:val="both"/>
        <w:rPr>
          <w:rFonts w:ascii="Times New Roman" w:hAnsi="Times New Roman" w:cs="Times New Roman"/>
          <w:color w:val="000000" w:themeColor="text1"/>
          <w:lang w:val="en-US"/>
        </w:rPr>
      </w:pPr>
      <w:r w:rsidRPr="00B5549F">
        <w:rPr>
          <w:rFonts w:ascii="Times New Roman" w:hAnsi="Times New Roman" w:cs="Times New Roman"/>
          <w:b/>
          <w:bCs/>
          <w:color w:val="000000" w:themeColor="text1"/>
          <w:lang w:val="en-US"/>
        </w:rPr>
        <w:t xml:space="preserve">Figure 1. </w:t>
      </w:r>
      <w:r w:rsidRPr="00B5549F">
        <w:rPr>
          <w:rFonts w:ascii="Times New Roman" w:hAnsi="Times New Roman" w:cs="Times New Roman"/>
          <w:color w:val="000000" w:themeColor="text1"/>
          <w:lang w:val="en-US"/>
        </w:rPr>
        <w:t>Entries by category.</w:t>
      </w:r>
    </w:p>
    <w:p w14:paraId="5B99FCBD" w14:textId="77777777" w:rsidR="001B48EA" w:rsidRPr="00B5549F" w:rsidRDefault="001B48EA" w:rsidP="001B48EA">
      <w:pPr>
        <w:contextualSpacing/>
        <w:jc w:val="center"/>
        <w:rPr>
          <w:rFonts w:ascii="Times New Roman" w:hAnsi="Times New Roman" w:cs="Times New Roman"/>
          <w:color w:val="000000" w:themeColor="text1"/>
          <w:lang w:val="en-US"/>
        </w:rPr>
      </w:pPr>
      <w:r w:rsidRPr="00B5549F">
        <w:rPr>
          <w:rFonts w:ascii="Times New Roman" w:hAnsi="Times New Roman" w:cs="Times New Roman"/>
          <w:noProof/>
          <w:color w:val="000000" w:themeColor="text1"/>
          <w:lang w:val="en-GB" w:eastAsia="en-GB"/>
        </w:rPr>
        <w:drawing>
          <wp:inline distT="0" distB="0" distL="0" distR="0" wp14:anchorId="68DF48E2" wp14:editId="58FBECD4">
            <wp:extent cx="4977589" cy="2715519"/>
            <wp:effectExtent l="12700" t="12700" r="13970" b="15240"/>
            <wp:docPr id="1" name="Immagine 1" descr="Immagine che contiene line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linea, Diagramma, diagramma&#10;&#10;Descrizione generata automaticament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065177" cy="2763303"/>
                    </a:xfrm>
                    <a:prstGeom prst="rect">
                      <a:avLst/>
                    </a:prstGeom>
                    <a:ln>
                      <a:solidFill>
                        <a:schemeClr val="tx1"/>
                      </a:solidFill>
                    </a:ln>
                  </pic:spPr>
                </pic:pic>
              </a:graphicData>
            </a:graphic>
          </wp:inline>
        </w:drawing>
      </w:r>
    </w:p>
    <w:p w14:paraId="3D81B6A0" w14:textId="77777777" w:rsidR="001B48EA" w:rsidRPr="00B5549F" w:rsidRDefault="001B48EA" w:rsidP="001B48EA">
      <w:pPr>
        <w:contextualSpacing/>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Notes: Time span: January 2017 – December 2019. Small-scale entrepreneurs (SSE) own 1-2 listings, large-scale entrepreneurs (LSE) own 3-10 listings, large firms own more than 10 listings.</w:t>
      </w:r>
      <w:r w:rsidRPr="00B5549F">
        <w:rPr>
          <w:rFonts w:ascii="Times New Roman" w:hAnsi="Times New Roman" w:cs="Times New Roman"/>
          <w:b/>
          <w:bCs/>
          <w:color w:val="000000" w:themeColor="text1"/>
          <w:lang w:val="en-US"/>
        </w:rPr>
        <w:t xml:space="preserve"> </w:t>
      </w:r>
    </w:p>
    <w:p w14:paraId="3447FB68" w14:textId="77777777" w:rsidR="001B48EA" w:rsidRPr="00B5549F" w:rsidRDefault="001B48EA" w:rsidP="001B48EA">
      <w:pPr>
        <w:contextualSpacing/>
        <w:jc w:val="both"/>
        <w:rPr>
          <w:rFonts w:ascii="Times New Roman" w:hAnsi="Times New Roman" w:cs="Times New Roman"/>
          <w:b/>
          <w:bCs/>
          <w:color w:val="000000" w:themeColor="text1"/>
          <w:lang w:val="en-US"/>
        </w:rPr>
      </w:pPr>
    </w:p>
    <w:p w14:paraId="4884921B" w14:textId="77777777" w:rsidR="001B48EA" w:rsidRPr="00B5549F" w:rsidRDefault="001B48EA" w:rsidP="001B48EA">
      <w:pPr>
        <w:contextualSpacing/>
        <w:jc w:val="both"/>
        <w:rPr>
          <w:rFonts w:ascii="Times New Roman" w:hAnsi="Times New Roman" w:cs="Times New Roman"/>
          <w:b/>
          <w:bCs/>
          <w:color w:val="000000" w:themeColor="text1"/>
          <w:lang w:val="en-US"/>
        </w:rPr>
      </w:pPr>
    </w:p>
    <w:p w14:paraId="20E60108" w14:textId="77777777" w:rsidR="001B48EA" w:rsidRPr="00B5549F" w:rsidRDefault="001B48EA" w:rsidP="001B48EA">
      <w:pPr>
        <w:spacing w:after="120"/>
        <w:contextualSpacing/>
        <w:jc w:val="both"/>
        <w:rPr>
          <w:rFonts w:ascii="Times New Roman" w:hAnsi="Times New Roman" w:cs="Times New Roman"/>
          <w:color w:val="000000" w:themeColor="text1"/>
          <w:lang w:val="en-US"/>
        </w:rPr>
      </w:pPr>
      <w:r w:rsidRPr="00B5549F">
        <w:rPr>
          <w:rFonts w:ascii="Times New Roman" w:hAnsi="Times New Roman" w:cs="Times New Roman"/>
          <w:b/>
          <w:bCs/>
          <w:color w:val="000000" w:themeColor="text1"/>
          <w:lang w:val="en-US"/>
        </w:rPr>
        <w:t xml:space="preserve">Figure 2. </w:t>
      </w:r>
      <w:r w:rsidRPr="00B5549F">
        <w:rPr>
          <w:rFonts w:ascii="Times New Roman" w:hAnsi="Times New Roman" w:cs="Times New Roman"/>
          <w:color w:val="000000" w:themeColor="text1"/>
          <w:lang w:val="en-US"/>
        </w:rPr>
        <w:t>Predicted entries and concentration: small-scale [ln(e</w:t>
      </w:r>
      <w:r w:rsidRPr="00B5549F">
        <w:rPr>
          <w:rFonts w:ascii="Times New Roman" w:hAnsi="Times New Roman" w:cs="Times New Roman"/>
          <w:color w:val="000000" w:themeColor="text1"/>
          <w:vertAlign w:val="superscript"/>
          <w:lang w:val="en-US"/>
        </w:rPr>
        <w:t>2</w:t>
      </w:r>
      <w:r w:rsidRPr="00B5549F">
        <w:rPr>
          <w:rFonts w:ascii="Times New Roman" w:hAnsi="Times New Roman" w:cs="Times New Roman"/>
          <w:color w:val="000000" w:themeColor="text1"/>
          <w:vertAlign w:val="subscript"/>
          <w:lang w:val="en-US"/>
        </w:rPr>
        <w:t>SSEpt</w:t>
      </w:r>
      <w:r w:rsidRPr="00B5549F">
        <w:rPr>
          <w:rFonts w:ascii="Times New Roman" w:hAnsi="Times New Roman" w:cs="Times New Roman"/>
          <w:color w:val="000000" w:themeColor="text1"/>
          <w:lang w:val="en-US"/>
        </w:rPr>
        <w:t>)] vs large-scale [ln(e</w:t>
      </w:r>
      <w:r w:rsidRPr="00B5549F">
        <w:rPr>
          <w:rFonts w:ascii="Times New Roman" w:hAnsi="Times New Roman" w:cs="Times New Roman"/>
          <w:color w:val="000000" w:themeColor="text1"/>
          <w:vertAlign w:val="superscript"/>
          <w:lang w:val="en-US"/>
        </w:rPr>
        <w:t>2</w:t>
      </w:r>
      <w:r w:rsidRPr="00B5549F">
        <w:rPr>
          <w:rFonts w:ascii="Times New Roman" w:hAnsi="Times New Roman" w:cs="Times New Roman"/>
          <w:color w:val="000000" w:themeColor="text1"/>
          <w:vertAlign w:val="subscript"/>
          <w:lang w:val="en-US"/>
        </w:rPr>
        <w:t>LSEpt</w:t>
      </w:r>
      <w:r w:rsidRPr="00B5549F">
        <w:rPr>
          <w:rFonts w:ascii="Times New Roman" w:hAnsi="Times New Roman" w:cs="Times New Roman"/>
          <w:color w:val="000000" w:themeColor="text1"/>
          <w:lang w:val="en-US"/>
        </w:rPr>
        <w:t>)] entrepreneurs.</w:t>
      </w:r>
    </w:p>
    <w:p w14:paraId="32C266F9" w14:textId="77777777" w:rsidR="001B48EA" w:rsidRPr="00B5549F" w:rsidRDefault="001B48EA" w:rsidP="001B48EA">
      <w:pPr>
        <w:contextualSpacing/>
        <w:jc w:val="center"/>
        <w:rPr>
          <w:rFonts w:ascii="Times New Roman" w:hAnsi="Times New Roman" w:cs="Times New Roman"/>
          <w:color w:val="000000" w:themeColor="text1"/>
          <w:lang w:val="en-US"/>
        </w:rPr>
      </w:pPr>
      <w:r w:rsidRPr="00B5549F">
        <w:rPr>
          <w:rFonts w:ascii="Times New Roman" w:hAnsi="Times New Roman" w:cs="Times New Roman"/>
          <w:noProof/>
          <w:color w:val="000000" w:themeColor="text1"/>
          <w:lang w:val="en-GB" w:eastAsia="en-GB"/>
        </w:rPr>
        <w:drawing>
          <wp:inline distT="0" distB="0" distL="0" distR="0" wp14:anchorId="53B95BFA" wp14:editId="090A734B">
            <wp:extent cx="4257742" cy="3096339"/>
            <wp:effectExtent l="12700" t="12700" r="9525" b="15240"/>
            <wp:docPr id="2" name="Immagine 2" descr="Immagine che contiene linea, Diagramma, testo,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descr="Immagine che contiene linea, Diagramma, testo, diagramma&#10;&#10;Descrizione generata automaticament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522737" cy="3289050"/>
                    </a:xfrm>
                    <a:prstGeom prst="rect">
                      <a:avLst/>
                    </a:prstGeom>
                    <a:ln>
                      <a:solidFill>
                        <a:schemeClr val="tx1"/>
                      </a:solidFill>
                    </a:ln>
                  </pic:spPr>
                </pic:pic>
              </a:graphicData>
            </a:graphic>
          </wp:inline>
        </w:drawing>
      </w:r>
    </w:p>
    <w:p w14:paraId="66F53AD7" w14:textId="77777777" w:rsidR="001B48EA" w:rsidRPr="00B5549F" w:rsidRDefault="001B48EA" w:rsidP="001B48EA">
      <w:pPr>
        <w:contextualSpacing/>
        <w:jc w:val="both"/>
        <w:rPr>
          <w:rFonts w:ascii="Times New Roman" w:hAnsi="Times New Roman" w:cs="Times New Roman"/>
          <w:color w:val="000000" w:themeColor="text1"/>
          <w:sz w:val="20"/>
          <w:szCs w:val="20"/>
          <w:lang w:val="en-US"/>
        </w:rPr>
      </w:pPr>
      <w:r w:rsidRPr="00B5549F">
        <w:rPr>
          <w:rFonts w:ascii="Times New Roman" w:hAnsi="Times New Roman" w:cs="Times New Roman"/>
          <w:color w:val="000000" w:themeColor="text1"/>
          <w:sz w:val="20"/>
          <w:szCs w:val="20"/>
          <w:lang w:val="en-US"/>
        </w:rPr>
        <w:t>Notes: Marginal predictions are calculated according to different values of ConcentrationProp</w:t>
      </w:r>
      <w:r w:rsidRPr="00B5549F">
        <w:rPr>
          <w:rFonts w:ascii="Times New Roman" w:hAnsi="Times New Roman" w:cs="Times New Roman"/>
          <w:color w:val="000000" w:themeColor="text1"/>
          <w:sz w:val="20"/>
          <w:szCs w:val="20"/>
          <w:vertAlign w:val="subscript"/>
          <w:lang w:val="en-US"/>
        </w:rPr>
        <w:t>pt-1</w:t>
      </w:r>
      <w:r w:rsidRPr="00B5549F">
        <w:rPr>
          <w:rFonts w:ascii="Times New Roman" w:hAnsi="Times New Roman" w:cs="Times New Roman"/>
          <w:color w:val="000000" w:themeColor="text1"/>
          <w:sz w:val="20"/>
          <w:szCs w:val="20"/>
          <w:lang w:val="en-US"/>
        </w:rPr>
        <w:t>, varying from very low, 0.5, to very high, 16, (see Table 3), keeping all other covariates at their mean value. Predictions are estimated according to the GMM-SYS estimates shown in Table 5 (2nd and 6th columns). Small-scale entrepreneurs (SSE) own 1-2 listings, large-scale entrepreneurs (LSE) own 3-10 listings.</w:t>
      </w:r>
    </w:p>
    <w:p w14:paraId="2EAE477C" w14:textId="7B20872E" w:rsidR="00985916" w:rsidRPr="00B5549F" w:rsidRDefault="00985916" w:rsidP="00985916">
      <w:pPr>
        <w:contextualSpacing/>
        <w:jc w:val="both"/>
        <w:rPr>
          <w:rFonts w:ascii="Times New Roman" w:hAnsi="Times New Roman" w:cs="Times New Roman"/>
          <w:color w:val="000000" w:themeColor="text1"/>
          <w:sz w:val="20"/>
          <w:szCs w:val="20"/>
          <w:lang w:val="en-US"/>
        </w:rPr>
      </w:pPr>
    </w:p>
    <w:sectPr w:rsidR="00985916" w:rsidRPr="00B5549F" w:rsidSect="001B48EA">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65D6FC" w14:textId="77777777" w:rsidR="000A3E2B" w:rsidRDefault="000A3E2B" w:rsidP="00090278">
      <w:r>
        <w:separator/>
      </w:r>
    </w:p>
  </w:endnote>
  <w:endnote w:type="continuationSeparator" w:id="0">
    <w:p w14:paraId="57DD4EE4" w14:textId="77777777" w:rsidR="000A3E2B" w:rsidRDefault="000A3E2B" w:rsidP="000902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2120132058"/>
      <w:docPartObj>
        <w:docPartGallery w:val="Page Numbers (Bottom of Page)"/>
        <w:docPartUnique/>
      </w:docPartObj>
    </w:sdtPr>
    <w:sdtEndPr>
      <w:rPr>
        <w:rStyle w:val="Numeropagina"/>
      </w:rPr>
    </w:sdtEndPr>
    <w:sdtContent>
      <w:p w14:paraId="5445FC29" w14:textId="19520BC2" w:rsidR="00460D55" w:rsidRDefault="00460D55" w:rsidP="00E02797">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37</w:t>
        </w:r>
        <w:r>
          <w:rPr>
            <w:rStyle w:val="Numeropagina"/>
          </w:rPr>
          <w:fldChar w:fldCharType="end"/>
        </w:r>
      </w:p>
    </w:sdtContent>
  </w:sdt>
  <w:p w14:paraId="45E9F6FA" w14:textId="77777777" w:rsidR="00460D55" w:rsidRDefault="00460D55" w:rsidP="006932D2">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1762254754"/>
      <w:docPartObj>
        <w:docPartGallery w:val="Page Numbers (Bottom of Page)"/>
        <w:docPartUnique/>
      </w:docPartObj>
    </w:sdtPr>
    <w:sdtEndPr>
      <w:rPr>
        <w:rStyle w:val="Numeropagina"/>
        <w:rFonts w:ascii="Times New Roman" w:hAnsi="Times New Roman" w:cs="Times New Roman"/>
      </w:rPr>
    </w:sdtEndPr>
    <w:sdtContent>
      <w:p w14:paraId="621D62CD" w14:textId="6B933CE2" w:rsidR="00460D55" w:rsidRPr="000255A0" w:rsidRDefault="00460D55" w:rsidP="00E02797">
        <w:pPr>
          <w:pStyle w:val="Pidipagina"/>
          <w:framePr w:wrap="none" w:vAnchor="text" w:hAnchor="margin" w:xAlign="right" w:y="1"/>
          <w:rPr>
            <w:rStyle w:val="Numeropagina"/>
            <w:rFonts w:ascii="Times New Roman" w:hAnsi="Times New Roman" w:cs="Times New Roman"/>
          </w:rPr>
        </w:pPr>
        <w:r w:rsidRPr="000255A0">
          <w:rPr>
            <w:rStyle w:val="Numeropagina"/>
            <w:rFonts w:ascii="Times New Roman" w:hAnsi="Times New Roman" w:cs="Times New Roman"/>
          </w:rPr>
          <w:fldChar w:fldCharType="begin"/>
        </w:r>
        <w:r w:rsidRPr="000255A0">
          <w:rPr>
            <w:rStyle w:val="Numeropagina"/>
            <w:rFonts w:ascii="Times New Roman" w:hAnsi="Times New Roman" w:cs="Times New Roman"/>
          </w:rPr>
          <w:instrText xml:space="preserve"> PAGE </w:instrText>
        </w:r>
        <w:r w:rsidRPr="000255A0">
          <w:rPr>
            <w:rStyle w:val="Numeropagina"/>
            <w:rFonts w:ascii="Times New Roman" w:hAnsi="Times New Roman" w:cs="Times New Roman"/>
          </w:rPr>
          <w:fldChar w:fldCharType="separate"/>
        </w:r>
        <w:r w:rsidR="006B63E1">
          <w:rPr>
            <w:rStyle w:val="Numeropagina"/>
            <w:rFonts w:ascii="Times New Roman" w:hAnsi="Times New Roman" w:cs="Times New Roman"/>
            <w:noProof/>
          </w:rPr>
          <w:t>1</w:t>
        </w:r>
        <w:r w:rsidRPr="000255A0">
          <w:rPr>
            <w:rStyle w:val="Numeropagina"/>
            <w:rFonts w:ascii="Times New Roman" w:hAnsi="Times New Roman" w:cs="Times New Roman"/>
          </w:rPr>
          <w:fldChar w:fldCharType="end"/>
        </w:r>
      </w:p>
    </w:sdtContent>
  </w:sdt>
  <w:p w14:paraId="205ABB83" w14:textId="77777777" w:rsidR="00460D55" w:rsidRPr="006932D2" w:rsidRDefault="00460D55" w:rsidP="006932D2">
    <w:pPr>
      <w:pStyle w:val="Pidipagina"/>
      <w:ind w:right="360"/>
      <w:rPr>
        <w:rFonts w:asciiTheme="majorHAnsi" w:hAnsiTheme="majorHAnsi" w:cstheme="maj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E86F72" w14:textId="77777777" w:rsidR="000A3E2B" w:rsidRDefault="000A3E2B" w:rsidP="00090278">
      <w:r>
        <w:separator/>
      </w:r>
    </w:p>
  </w:footnote>
  <w:footnote w:type="continuationSeparator" w:id="0">
    <w:p w14:paraId="7DC92CFA" w14:textId="77777777" w:rsidR="000A3E2B" w:rsidRDefault="000A3E2B" w:rsidP="00090278">
      <w:r>
        <w:continuationSeparator/>
      </w:r>
    </w:p>
  </w:footnote>
  <w:footnote w:id="1">
    <w:p w14:paraId="7DB066B5" w14:textId="55F1AB7B" w:rsidR="00460D55" w:rsidRPr="001709F1" w:rsidRDefault="00460D55" w:rsidP="00090278">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lang w:val="en-US"/>
        </w:rPr>
        <w:footnoteRef/>
      </w:r>
      <w:r w:rsidRPr="001709F1">
        <w:rPr>
          <w:rFonts w:ascii="Times New Roman" w:hAnsi="Times New Roman" w:cs="Times New Roman"/>
          <w:lang w:val="en-US"/>
        </w:rPr>
        <w:t xml:space="preserve"> For example, in the case of Airbnb, available rooms/apartments cannot be easily placed on the rental market if the supply of empty dwellings is high.</w:t>
      </w:r>
      <w:r>
        <w:rPr>
          <w:rFonts w:ascii="Times New Roman" w:hAnsi="Times New Roman" w:cs="Times New Roman"/>
          <w:lang w:val="en-US"/>
        </w:rPr>
        <w:t xml:space="preserve"> </w:t>
      </w:r>
    </w:p>
  </w:footnote>
  <w:footnote w:id="2">
    <w:p w14:paraId="3AAA9CBE" w14:textId="7E53B474" w:rsidR="00460D55" w:rsidRPr="003F7D2C" w:rsidRDefault="00460D55" w:rsidP="00090278">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lang w:val="en-US"/>
        </w:rPr>
        <w:footnoteRef/>
      </w:r>
      <w:r w:rsidRPr="001709F1">
        <w:rPr>
          <w:rFonts w:ascii="Times New Roman" w:hAnsi="Times New Roman" w:cs="Times New Roman"/>
          <w:lang w:val="en-US"/>
        </w:rPr>
        <w:t xml:space="preserve"> Consistent with this, for example, the empirical literature analysing the short-term accommodation market, tries to understand whether the competition of Airbnb hosts is more effective in the segment of low- or high-category hotels (Chang &amp; Sokol, 2020). Zervas et al. (2017) analyse the case of Texas and provide evidence of a negative effect on revenues in the hotel industry caused by competition from Airbnb provision; however, this effect is largely concentrated in the low category hotels. Farronato &amp; Fradkin (2018) estimate, using data from 50 big American cities, that the entry of Airbnb entrepreneurs has a significant influence on hotel prices (more than on the occupancy rate), especially when demand is more elastic and the hotel supply is capacity-constrained, which happens more consistently in the segment of higher category hotels. Dogru et al. (2019) demonstrate that in ten major U.S. hotel markets the (negative) impact of Airbnb on hotel performance is significant across various hotel class segments. These blurred findings are likely to be associated with the differentiated Airbnb supply and with the co-existence of various types of entrepreneurs. Chen et al. (202</w:t>
      </w:r>
      <w:r>
        <w:rPr>
          <w:rFonts w:ascii="Times New Roman" w:hAnsi="Times New Roman" w:cs="Times New Roman"/>
          <w:lang w:val="en-US"/>
        </w:rPr>
        <w:t>3</w:t>
      </w:r>
      <w:r w:rsidRPr="001709F1">
        <w:rPr>
          <w:rFonts w:ascii="Times New Roman" w:hAnsi="Times New Roman" w:cs="Times New Roman"/>
          <w:lang w:val="en-US"/>
        </w:rPr>
        <w:t>) test whether large-scale and small-scale entrepreneurs compete in the same segments of local markets; they find that professional hosts' properties are on average more expensive and their properties have superior characteristics, but in most markets large-scale hosts compete directly with their non-professional counterparts.</w:t>
      </w:r>
    </w:p>
  </w:footnote>
  <w:footnote w:id="3">
    <w:p w14:paraId="4974A227" w14:textId="4E06444D" w:rsidR="00460D55" w:rsidRPr="001709F1" w:rsidRDefault="00460D55" w:rsidP="00734E66">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lang w:val="en-US"/>
        </w:rPr>
        <w:footnoteRef/>
      </w:r>
      <w:r w:rsidRPr="001709F1">
        <w:rPr>
          <w:rFonts w:ascii="Times New Roman" w:hAnsi="Times New Roman" w:cs="Times New Roman"/>
          <w:lang w:val="en-US"/>
        </w:rPr>
        <w:t xml:space="preserve"> In particular, the empirical literature on the tourism sector confirms the presence of both differentiation and learning advantages of agglomeration. In the hotel industry, Baum &amp; Haveman (1997) document potential consumers' preference for a sufficiently differentiated offer in the area where they plan to stay; Xie et al. (2020) show that a critical mass of physically close Airbnb properties could more easily convince individuals on the demand side to choose that location. Moreover, the literature on tourism districts (e.g., Chung &amp; Kalnins, 2001; McCann &amp; Vroom, 2010; Marco-Lajara, 2014) shows that small firms offering tourism services choose their location not only for proximity to natural resources or other amenities, but also to capture the valuable effects of localized knowledge spillovers.</w:t>
      </w:r>
    </w:p>
  </w:footnote>
  <w:footnote w:id="4">
    <w:p w14:paraId="3A79BC2B" w14:textId="2A657B43" w:rsidR="00460D55" w:rsidRPr="001709F1" w:rsidRDefault="00460D55" w:rsidP="00734E66">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rPr>
        <w:footnoteRef/>
      </w:r>
      <w:r w:rsidRPr="001709F1">
        <w:rPr>
          <w:rFonts w:ascii="Times New Roman" w:hAnsi="Times New Roman" w:cs="Times New Roman"/>
          <w:lang w:val="en-US"/>
        </w:rPr>
        <w:t xml:space="preserve"> For evidence on the importance of managerial competences of new entrants in the tourism industry see Lerner &amp; Haber (2001).</w:t>
      </w:r>
    </w:p>
  </w:footnote>
  <w:footnote w:id="5">
    <w:p w14:paraId="79234E14" w14:textId="6E51E298" w:rsidR="00460D55" w:rsidRPr="001709F1" w:rsidRDefault="00460D55" w:rsidP="00734E66">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rPr>
        <w:footnoteRef/>
      </w:r>
      <w:r w:rsidRPr="001709F1">
        <w:rPr>
          <w:rFonts w:ascii="Times New Roman" w:hAnsi="Times New Roman" w:cs="Times New Roman"/>
          <w:lang w:val="en-US"/>
        </w:rPr>
        <w:t xml:space="preserve"> The complete database is accessible at </w:t>
      </w:r>
      <w:hyperlink r:id="rId1" w:history="1">
        <w:r w:rsidRPr="001709F1">
          <w:rPr>
            <w:rStyle w:val="Collegamentoipertestuale"/>
            <w:rFonts w:ascii="Times New Roman" w:hAnsi="Times New Roman" w:cs="Times New Roman"/>
            <w:lang w:val="en-US"/>
          </w:rPr>
          <w:t>http://dati.istat.it</w:t>
        </w:r>
      </w:hyperlink>
      <w:r w:rsidRPr="001709F1">
        <w:rPr>
          <w:rFonts w:ascii="Times New Roman" w:hAnsi="Times New Roman" w:cs="Times New Roman"/>
          <w:lang w:val="en-US"/>
        </w:rPr>
        <w:t xml:space="preserve">. </w:t>
      </w:r>
    </w:p>
  </w:footnote>
  <w:footnote w:id="6">
    <w:p w14:paraId="7C8FABEE" w14:textId="2DE1ACCD" w:rsidR="00460D55" w:rsidRPr="001709F1" w:rsidRDefault="00460D55" w:rsidP="00734E66">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rPr>
        <w:footnoteRef/>
      </w:r>
      <w:r w:rsidRPr="001709F1">
        <w:rPr>
          <w:rFonts w:ascii="Times New Roman" w:hAnsi="Times New Roman" w:cs="Times New Roman"/>
          <w:lang w:val="en-US"/>
        </w:rPr>
        <w:t xml:space="preserve"> We decided to measure these variables considering the geographical distribution of hotels in 2011, before the entry of Airbnb on the Italian market; in this respect, the presence of traditional establishments can be considered a (non- endogenous) structural proxy of the short-term accommodation supply.</w:t>
      </w:r>
    </w:p>
  </w:footnote>
  <w:footnote w:id="7">
    <w:p w14:paraId="52BBA308" w14:textId="4712A44C" w:rsidR="00460D55" w:rsidRPr="001709F1" w:rsidRDefault="00460D55" w:rsidP="00734E66">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rPr>
        <w:footnoteRef/>
      </w:r>
      <w:r w:rsidRPr="001709F1">
        <w:rPr>
          <w:rFonts w:ascii="Times New Roman" w:hAnsi="Times New Roman" w:cs="Times New Roman"/>
          <w:lang w:val="en-US"/>
        </w:rPr>
        <w:t xml:space="preserve"> See </w:t>
      </w:r>
      <w:hyperlink r:id="rId2" w:history="1">
        <w:r w:rsidR="00966EC4" w:rsidRPr="005D26FD">
          <w:rPr>
            <w:rStyle w:val="Collegamentoipertestuale"/>
            <w:rFonts w:ascii="Times New Roman" w:hAnsi="Times New Roman" w:cs="Times New Roman"/>
            <w:lang w:val="en-US"/>
          </w:rPr>
          <w:t>https://www.agenziaentrate.gov.it/portale/web/english</w:t>
        </w:r>
      </w:hyperlink>
      <w:r w:rsidR="00966EC4">
        <w:rPr>
          <w:rFonts w:ascii="Times New Roman" w:hAnsi="Times New Roman" w:cs="Times New Roman"/>
          <w:lang w:val="en-US"/>
        </w:rPr>
        <w:t>.</w:t>
      </w:r>
    </w:p>
  </w:footnote>
  <w:footnote w:id="8">
    <w:p w14:paraId="64493E7B" w14:textId="7907567B" w:rsidR="00460D55" w:rsidRPr="001709F1" w:rsidRDefault="00460D55" w:rsidP="00734E66">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rPr>
        <w:footnoteRef/>
      </w:r>
      <w:r w:rsidRPr="001709F1">
        <w:rPr>
          <w:rFonts w:ascii="Times New Roman" w:hAnsi="Times New Roman" w:cs="Times New Roman"/>
          <w:lang w:val="en-US"/>
        </w:rPr>
        <w:t xml:space="preserve"> Some robustness checks using alternative thresholds will be provided in the following empirical analysis. There are several examples of thresholds used in literature for distinguishing different host types. Dogru et al. (2020a) use the quartiles of the distribution of managed properties in order to provide a comprehensive overview of the multi-unit hosts phenomenon on Airbnb. Kwok &amp; Xie (2019), Gibbs et al. (2018) and Chen et al. (202</w:t>
      </w:r>
      <w:r>
        <w:rPr>
          <w:rFonts w:ascii="Times New Roman" w:hAnsi="Times New Roman" w:cs="Times New Roman"/>
          <w:lang w:val="en-US"/>
        </w:rPr>
        <w:t>3</w:t>
      </w:r>
      <w:r w:rsidRPr="001709F1">
        <w:rPr>
          <w:rFonts w:ascii="Times New Roman" w:hAnsi="Times New Roman" w:cs="Times New Roman"/>
          <w:lang w:val="en-US"/>
        </w:rPr>
        <w:t xml:space="preserve">) in determining the pricing behavior of multi-unit hosts, distinguish between single-owners and multi-unit </w:t>
      </w:r>
      <w:r w:rsidRPr="009701D9">
        <w:rPr>
          <w:rFonts w:ascii="Times New Roman" w:hAnsi="Times New Roman" w:cs="Times New Roman"/>
          <w:lang w:val="en-US"/>
        </w:rPr>
        <w:t>owners. Deboosere et al. (2019) show</w:t>
      </w:r>
      <w:r w:rsidRPr="001709F1">
        <w:rPr>
          <w:rFonts w:ascii="Times New Roman" w:hAnsi="Times New Roman" w:cs="Times New Roman"/>
          <w:lang w:val="en-US"/>
        </w:rPr>
        <w:t xml:space="preserve"> the differences in prices and profitability between hosts managing up to ten listings and those managing more.</w:t>
      </w:r>
    </w:p>
  </w:footnote>
  <w:footnote w:id="9">
    <w:p w14:paraId="18435D9F" w14:textId="6AD7E3F2" w:rsidR="00460D55" w:rsidRPr="001709F1" w:rsidRDefault="00460D55" w:rsidP="00734E66">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rPr>
        <w:footnoteRef/>
      </w:r>
      <w:r w:rsidRPr="001709F1">
        <w:rPr>
          <w:rFonts w:ascii="Times New Roman" w:hAnsi="Times New Roman" w:cs="Times New Roman"/>
          <w:lang w:val="en-US"/>
        </w:rPr>
        <w:t xml:space="preserve"> For the sake of simplicity, in the following tables and formulas small-scale entrepreneur is abbreviated to SSE and large- scale entrepreneur to LSE.</w:t>
      </w:r>
    </w:p>
  </w:footnote>
  <w:footnote w:id="10">
    <w:p w14:paraId="506F9F8E" w14:textId="77777777" w:rsidR="00460D55" w:rsidRPr="001709F1" w:rsidRDefault="00460D55" w:rsidP="00A04755">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rPr>
        <w:footnoteRef/>
      </w:r>
      <w:r w:rsidRPr="001709F1">
        <w:rPr>
          <w:rFonts w:ascii="Times New Roman" w:hAnsi="Times New Roman" w:cs="Times New Roman"/>
          <w:lang w:val="en-US"/>
        </w:rPr>
        <w:t xml:space="preserve"> For reference purposes, the monthly average households’ income in Italy in 2018 has been equal to € 2.637 (source:</w:t>
      </w:r>
    </w:p>
    <w:p w14:paraId="0D1C0A29" w14:textId="6548DF41" w:rsidR="00460D55" w:rsidRPr="001709F1" w:rsidRDefault="00460D55" w:rsidP="00A04755">
      <w:pPr>
        <w:pStyle w:val="Testonotaapidipagina"/>
        <w:jc w:val="both"/>
        <w:rPr>
          <w:rFonts w:ascii="Times New Roman" w:hAnsi="Times New Roman" w:cs="Times New Roman"/>
          <w:lang w:val="en-US"/>
        </w:rPr>
      </w:pPr>
      <w:r w:rsidRPr="001709F1">
        <w:rPr>
          <w:rFonts w:ascii="Times New Roman" w:hAnsi="Times New Roman" w:cs="Times New Roman"/>
          <w:lang w:val="en-US"/>
        </w:rPr>
        <w:t>European Union Statistics on Income and Living Conditions).</w:t>
      </w:r>
    </w:p>
  </w:footnote>
  <w:footnote w:id="11">
    <w:p w14:paraId="32F48F58" w14:textId="7BACC604" w:rsidR="00460D55" w:rsidRPr="001709F1" w:rsidRDefault="00460D55" w:rsidP="00A04755">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rPr>
        <w:footnoteRef/>
      </w:r>
      <w:r w:rsidRPr="001709F1">
        <w:rPr>
          <w:rFonts w:ascii="Times New Roman" w:hAnsi="Times New Roman" w:cs="Times New Roman"/>
          <w:lang w:val="en-US"/>
        </w:rPr>
        <w:t xml:space="preserve"> A similar variable defining entry, still considering single-unit hosts only, but distinguishing between entire apartments and shared accommodations, has been used by Gerwe et al. (2022) to account for different levels of social interaction between hosts and guests.</w:t>
      </w:r>
    </w:p>
  </w:footnote>
  <w:footnote w:id="12">
    <w:p w14:paraId="6D77A655" w14:textId="6C4C82AF" w:rsidR="00460D55" w:rsidRPr="00F57D83" w:rsidRDefault="00460D55" w:rsidP="00D21416">
      <w:pPr>
        <w:pStyle w:val="Testonotaapidipagina"/>
        <w:jc w:val="both"/>
        <w:rPr>
          <w:rFonts w:ascii="Times New Roman" w:hAnsi="Times New Roman" w:cs="Times New Roman"/>
          <w:lang w:val="en-US"/>
        </w:rPr>
      </w:pPr>
      <w:r w:rsidRPr="00B5549F">
        <w:rPr>
          <w:rStyle w:val="Rimandonotaapidipagina"/>
          <w:rFonts w:ascii="Times New Roman" w:hAnsi="Times New Roman" w:cs="Times New Roman"/>
        </w:rPr>
        <w:footnoteRef/>
      </w:r>
      <w:r w:rsidRPr="00B5549F">
        <w:rPr>
          <w:rFonts w:ascii="Times New Roman" w:hAnsi="Times New Roman" w:cs="Times New Roman"/>
          <w:lang w:val="en-US"/>
        </w:rPr>
        <w:t xml:space="preserve"> Like variable </w:t>
      </w:r>
      <w:r w:rsidRPr="00B5549F">
        <w:rPr>
          <w:rFonts w:ascii="Times New Roman" w:hAnsi="Times New Roman" w:cs="Times New Roman"/>
          <w:i/>
          <w:iCs/>
          <w:lang w:val="en-US"/>
        </w:rPr>
        <w:t>e</w:t>
      </w:r>
      <w:r w:rsidRPr="00B5549F">
        <w:rPr>
          <w:rFonts w:ascii="Times New Roman" w:hAnsi="Times New Roman" w:cs="Times New Roman"/>
          <w:i/>
          <w:iCs/>
          <w:vertAlign w:val="superscript"/>
          <w:lang w:val="en-US"/>
        </w:rPr>
        <w:t>n</w:t>
      </w:r>
      <w:r w:rsidRPr="00B5549F">
        <w:rPr>
          <w:rFonts w:ascii="Times New Roman" w:hAnsi="Times New Roman" w:cs="Times New Roman"/>
          <w:i/>
          <w:iCs/>
          <w:vertAlign w:val="subscript"/>
          <w:lang w:val="en-US"/>
        </w:rPr>
        <w:t>kpt</w:t>
      </w:r>
      <w:r w:rsidRPr="00B5549F">
        <w:rPr>
          <w:rFonts w:ascii="Times New Roman" w:hAnsi="Times New Roman" w:cs="Times New Roman"/>
          <w:lang w:val="en-US"/>
        </w:rPr>
        <w:t xml:space="preserve">, both variables </w:t>
      </w:r>
      <w:r w:rsidRPr="00B5549F">
        <w:rPr>
          <w:rFonts w:ascii="Times New Roman" w:hAnsi="Times New Roman" w:cs="Times New Roman"/>
          <w:i/>
          <w:iCs/>
          <w:lang w:val="en-US"/>
        </w:rPr>
        <w:t>t</w:t>
      </w:r>
      <w:r w:rsidRPr="00B5549F">
        <w:rPr>
          <w:rFonts w:ascii="Times New Roman" w:hAnsi="Times New Roman" w:cs="Times New Roman"/>
          <w:i/>
          <w:iCs/>
          <w:vertAlign w:val="superscript"/>
          <w:lang w:val="en-US"/>
        </w:rPr>
        <w:t>n</w:t>
      </w:r>
      <w:r w:rsidRPr="00B5549F">
        <w:rPr>
          <w:rFonts w:ascii="Times New Roman" w:hAnsi="Times New Roman" w:cs="Times New Roman"/>
          <w:i/>
          <w:iCs/>
          <w:vertAlign w:val="subscript"/>
          <w:lang w:val="en-US"/>
        </w:rPr>
        <w:t>pt</w:t>
      </w:r>
      <w:r w:rsidRPr="00B5549F">
        <w:rPr>
          <w:rFonts w:ascii="Times New Roman" w:hAnsi="Times New Roman" w:cs="Times New Roman"/>
          <w:i/>
          <w:iCs/>
          <w:lang w:val="en-US"/>
        </w:rPr>
        <w:t xml:space="preserve"> </w:t>
      </w:r>
      <w:r w:rsidRPr="00B5549F">
        <w:rPr>
          <w:rFonts w:ascii="Times New Roman" w:hAnsi="Times New Roman" w:cs="Times New Roman"/>
          <w:lang w:val="en-US"/>
        </w:rPr>
        <w:t xml:space="preserve">and </w:t>
      </w:r>
      <w:r w:rsidRPr="00B5549F">
        <w:rPr>
          <w:rFonts w:ascii="Times New Roman" w:hAnsi="Times New Roman" w:cs="Times New Roman"/>
          <w:i/>
          <w:iCs/>
          <w:lang w:val="en-US"/>
        </w:rPr>
        <w:t>new</w:t>
      </w:r>
      <w:r w:rsidRPr="00B5549F">
        <w:rPr>
          <w:rFonts w:ascii="Times New Roman" w:hAnsi="Times New Roman" w:cs="Times New Roman"/>
          <w:i/>
          <w:iCs/>
          <w:vertAlign w:val="superscript"/>
          <w:lang w:val="en-US"/>
        </w:rPr>
        <w:t>n</w:t>
      </w:r>
      <w:r w:rsidRPr="00B5549F">
        <w:rPr>
          <w:rFonts w:ascii="Times New Roman" w:hAnsi="Times New Roman" w:cs="Times New Roman"/>
          <w:i/>
          <w:iCs/>
          <w:vertAlign w:val="subscript"/>
          <w:lang w:val="en-US"/>
        </w:rPr>
        <w:t>LSEpt</w:t>
      </w:r>
      <w:r w:rsidRPr="00B5549F">
        <w:rPr>
          <w:rFonts w:ascii="Times New Roman" w:hAnsi="Times New Roman" w:cs="Times New Roman"/>
          <w:lang w:val="en-US"/>
        </w:rPr>
        <w:t xml:space="preserve"> are defined for the full panel because if in each province </w:t>
      </w:r>
      <w:r w:rsidRPr="00B5549F">
        <w:rPr>
          <w:rFonts w:ascii="Times New Roman" w:hAnsi="Times New Roman" w:cs="Times New Roman"/>
          <w:i/>
          <w:iCs/>
          <w:lang w:val="en-US"/>
        </w:rPr>
        <w:t>p</w:t>
      </w:r>
      <w:r w:rsidRPr="00B5549F">
        <w:rPr>
          <w:rFonts w:ascii="Times New Roman" w:hAnsi="Times New Roman" w:cs="Times New Roman"/>
          <w:lang w:val="en-US"/>
        </w:rPr>
        <w:t xml:space="preserve"> at a given month </w:t>
      </w:r>
      <w:r w:rsidRPr="00B5549F">
        <w:rPr>
          <w:rFonts w:ascii="Times New Roman" w:hAnsi="Times New Roman" w:cs="Times New Roman"/>
          <w:i/>
          <w:iCs/>
          <w:lang w:val="en-US"/>
        </w:rPr>
        <w:t>t</w:t>
      </w:r>
      <w:r w:rsidRPr="00B5549F">
        <w:rPr>
          <w:rFonts w:ascii="Times New Roman" w:hAnsi="Times New Roman" w:cs="Times New Roman"/>
          <w:lang w:val="en-US"/>
        </w:rPr>
        <w:t xml:space="preserve"> neither transitions nor brand new entries are registered, the corresponding value is set to 0. In this way, we do not lose observations in our estimation sample. For the sake of clarity, in the estimation sample composed of 3,060 observations, the variable </w:t>
      </w:r>
      <w:r w:rsidRPr="00B5549F">
        <w:rPr>
          <w:rFonts w:ascii="Times New Roman" w:hAnsi="Times New Roman" w:cs="Times New Roman"/>
          <w:i/>
          <w:iCs/>
          <w:lang w:val="en-US"/>
        </w:rPr>
        <w:t>t</w:t>
      </w:r>
      <w:r w:rsidRPr="00B5549F">
        <w:rPr>
          <w:rFonts w:ascii="Times New Roman" w:hAnsi="Times New Roman" w:cs="Times New Roman"/>
          <w:i/>
          <w:iCs/>
          <w:vertAlign w:val="superscript"/>
          <w:lang w:val="en-US"/>
        </w:rPr>
        <w:t>2</w:t>
      </w:r>
      <w:r w:rsidRPr="00B5549F">
        <w:rPr>
          <w:rFonts w:ascii="Times New Roman" w:hAnsi="Times New Roman" w:cs="Times New Roman"/>
          <w:i/>
          <w:iCs/>
          <w:vertAlign w:val="subscript"/>
          <w:lang w:val="en-US"/>
        </w:rPr>
        <w:t>pt</w:t>
      </w:r>
      <w:r w:rsidRPr="00B5549F">
        <w:rPr>
          <w:rFonts w:ascii="Times New Roman" w:hAnsi="Times New Roman" w:cs="Times New Roman"/>
          <w:lang w:val="en-US"/>
        </w:rPr>
        <w:t xml:space="preserve"> takes the value of 0 for 508 times (16.60%), </w:t>
      </w:r>
      <w:r w:rsidRPr="00B5549F">
        <w:rPr>
          <w:rFonts w:ascii="Times New Roman" w:hAnsi="Times New Roman" w:cs="Times New Roman"/>
          <w:i/>
          <w:iCs/>
          <w:lang w:val="en-US"/>
        </w:rPr>
        <w:t>t</w:t>
      </w:r>
      <w:r w:rsidRPr="00B5549F">
        <w:rPr>
          <w:rFonts w:ascii="Times New Roman" w:hAnsi="Times New Roman" w:cs="Times New Roman"/>
          <w:i/>
          <w:iCs/>
          <w:vertAlign w:val="superscript"/>
          <w:lang w:val="en-US"/>
        </w:rPr>
        <w:t>3</w:t>
      </w:r>
      <w:r w:rsidRPr="00B5549F">
        <w:rPr>
          <w:rFonts w:ascii="Times New Roman" w:hAnsi="Times New Roman" w:cs="Times New Roman"/>
          <w:i/>
          <w:iCs/>
          <w:vertAlign w:val="subscript"/>
          <w:lang w:val="en-US"/>
        </w:rPr>
        <w:t>pt</w:t>
      </w:r>
      <w:r w:rsidRPr="00B5549F">
        <w:rPr>
          <w:rFonts w:ascii="Times New Roman" w:hAnsi="Times New Roman" w:cs="Times New Roman"/>
          <w:lang w:val="en-US"/>
        </w:rPr>
        <w:t xml:space="preserve"> for 811 times (26.50%), </w:t>
      </w:r>
      <w:r w:rsidRPr="00B5549F">
        <w:rPr>
          <w:rFonts w:ascii="Times New Roman" w:hAnsi="Times New Roman" w:cs="Times New Roman"/>
          <w:i/>
          <w:iCs/>
          <w:lang w:val="en-US"/>
        </w:rPr>
        <w:t>new</w:t>
      </w:r>
      <w:r w:rsidRPr="00B5549F">
        <w:rPr>
          <w:rFonts w:ascii="Times New Roman" w:hAnsi="Times New Roman" w:cs="Times New Roman"/>
          <w:i/>
          <w:iCs/>
          <w:vertAlign w:val="superscript"/>
          <w:lang w:val="en-US"/>
        </w:rPr>
        <w:t>2</w:t>
      </w:r>
      <w:r w:rsidRPr="00B5549F">
        <w:rPr>
          <w:rFonts w:ascii="Times New Roman" w:hAnsi="Times New Roman" w:cs="Times New Roman"/>
          <w:i/>
          <w:iCs/>
          <w:vertAlign w:val="subscript"/>
          <w:lang w:val="en-US"/>
        </w:rPr>
        <w:t>LSEpt</w:t>
      </w:r>
      <w:r w:rsidRPr="00B5549F">
        <w:rPr>
          <w:rFonts w:ascii="Times New Roman" w:hAnsi="Times New Roman" w:cs="Times New Roman"/>
          <w:lang w:val="en-US"/>
        </w:rPr>
        <w:t xml:space="preserve"> for 1,049 times (34.28%) and </w:t>
      </w:r>
      <w:r w:rsidRPr="00B5549F">
        <w:rPr>
          <w:rFonts w:ascii="Times New Roman" w:hAnsi="Times New Roman" w:cs="Times New Roman"/>
          <w:i/>
          <w:iCs/>
          <w:lang w:val="en-US"/>
        </w:rPr>
        <w:t>new</w:t>
      </w:r>
      <w:r w:rsidRPr="00B5549F">
        <w:rPr>
          <w:rFonts w:ascii="Times New Roman" w:hAnsi="Times New Roman" w:cs="Times New Roman"/>
          <w:i/>
          <w:iCs/>
          <w:vertAlign w:val="superscript"/>
          <w:lang w:val="en-US"/>
        </w:rPr>
        <w:t>3</w:t>
      </w:r>
      <w:r w:rsidRPr="00B5549F">
        <w:rPr>
          <w:rFonts w:ascii="Times New Roman" w:hAnsi="Times New Roman" w:cs="Times New Roman"/>
          <w:i/>
          <w:iCs/>
          <w:vertAlign w:val="subscript"/>
          <w:lang w:val="en-US"/>
        </w:rPr>
        <w:t>LSEpt</w:t>
      </w:r>
      <w:r w:rsidRPr="00B5549F">
        <w:rPr>
          <w:rFonts w:ascii="Times New Roman" w:hAnsi="Times New Roman" w:cs="Times New Roman"/>
          <w:lang w:val="en-US"/>
        </w:rPr>
        <w:t xml:space="preserve"> for 1,654 times (54.05%). </w:t>
      </w:r>
      <w:r w:rsidRPr="00514887">
        <w:rPr>
          <w:rFonts w:ascii="Times New Roman" w:hAnsi="Times New Roman" w:cs="Times New Roman"/>
          <w:lang w:val="en-US"/>
        </w:rPr>
        <w:t>It is important to note that the number of observations where the dependent variable is zero, particularly in the latter two cases, is not negligible; however, it remains well below the threshold that would typically suggest estimating zero-inflated models.</w:t>
      </w:r>
      <w:r w:rsidRPr="00B5549F">
        <w:rPr>
          <w:rFonts w:ascii="Times New Roman" w:hAnsi="Times New Roman" w:cs="Times New Roman"/>
          <w:lang w:val="en-US"/>
        </w:rPr>
        <w:t xml:space="preserve">  </w:t>
      </w:r>
    </w:p>
  </w:footnote>
  <w:footnote w:id="13">
    <w:p w14:paraId="67A5E3EB" w14:textId="50DB7845" w:rsidR="00460D55" w:rsidRPr="001709F1" w:rsidRDefault="00460D55" w:rsidP="006A15E9">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rPr>
        <w:footnoteRef/>
      </w:r>
      <w:r w:rsidRPr="001709F1">
        <w:rPr>
          <w:rFonts w:ascii="Times New Roman" w:hAnsi="Times New Roman" w:cs="Times New Roman"/>
          <w:lang w:val="en-US"/>
        </w:rPr>
        <w:t xml:space="preserve"> The average lag between booking date and overnight stay in our sample is 71.1 days (with a standard deviation of 84.4 days), while the median value is 39 days. These statistics have been calculated on the basis of the availability of booking dates and overnight stay dates per each reservation booked in Italy on Airbnb within our time span.</w:t>
      </w:r>
    </w:p>
  </w:footnote>
  <w:footnote w:id="14">
    <w:p w14:paraId="73C0FA80" w14:textId="4D201F7B" w:rsidR="00460D55" w:rsidRPr="001709F1" w:rsidRDefault="00460D55" w:rsidP="006A15E9">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rPr>
        <w:footnoteRef/>
      </w:r>
      <w:r w:rsidRPr="001709F1">
        <w:rPr>
          <w:rFonts w:ascii="Times New Roman" w:hAnsi="Times New Roman" w:cs="Times New Roman"/>
          <w:lang w:val="en-US"/>
        </w:rPr>
        <w:t xml:space="preserve"> Our proxies for the opportunity costs of time and physical assets are likely to be correlated with the demand for accommodation. In fact, i) the number of unoccupied dwellings (that we use as a proxy for an excess of supply in the residential rental market) also indicate a relevant presence of second homes, i.e., the touristic vocation of the area, and ii) the unemployment rate (that we use as a proxy for depressed labour market conditions) is higher where we also expect a poor demand for business tourism services. Both variables can then be only considered as proxies of the level of opportunity costs ceteris paribus, i.e., after controlling for the perceived market demand (</w:t>
      </w:r>
      <w:r w:rsidRPr="001709F1">
        <w:rPr>
          <w:rFonts w:ascii="Times New Roman" w:hAnsi="Times New Roman" w:cs="Times New Roman"/>
          <w:i/>
          <w:iCs/>
          <w:lang w:val="en-US"/>
        </w:rPr>
        <w:t>MarketClimate</w:t>
      </w:r>
      <w:r w:rsidRPr="001709F1">
        <w:rPr>
          <w:rFonts w:ascii="Times New Roman" w:hAnsi="Times New Roman" w:cs="Times New Roman"/>
          <w:lang w:val="en-US"/>
        </w:rPr>
        <w:t>).</w:t>
      </w:r>
    </w:p>
  </w:footnote>
  <w:footnote w:id="15">
    <w:p w14:paraId="7C8D65B6" w14:textId="26F7AF46" w:rsidR="00460D55" w:rsidRPr="001709F1" w:rsidRDefault="00460D55" w:rsidP="006A15E9">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rPr>
        <w:footnoteRef/>
      </w:r>
      <w:r w:rsidRPr="001709F1">
        <w:rPr>
          <w:rFonts w:ascii="Times New Roman" w:hAnsi="Times New Roman" w:cs="Times New Roman"/>
          <w:lang w:val="en-US"/>
        </w:rPr>
        <w:t xml:space="preserve"> </w:t>
      </w:r>
      <w:r w:rsidRPr="001709F1">
        <w:rPr>
          <w:rFonts w:ascii="Times New Roman" w:hAnsi="Times New Roman" w:cs="Times New Roman"/>
          <w:i/>
          <w:iCs/>
          <w:lang w:val="en-US"/>
        </w:rPr>
        <w:t>ConcentrationProp</w:t>
      </w:r>
      <w:r w:rsidRPr="001709F1">
        <w:rPr>
          <w:rFonts w:ascii="Times New Roman" w:hAnsi="Times New Roman" w:cs="Times New Roman"/>
          <w:lang w:val="en-US"/>
        </w:rPr>
        <w:t xml:space="preserve"> is a measure of supply density. We also tried a measure of </w:t>
      </w:r>
      <w:r w:rsidRPr="001709F1">
        <w:rPr>
          <w:rFonts w:ascii="Times New Roman" w:hAnsi="Times New Roman" w:cs="Times New Roman"/>
          <w:i/>
          <w:iCs/>
          <w:lang w:val="en-US"/>
        </w:rPr>
        <w:t>entrepreneurs</w:t>
      </w:r>
      <w:r w:rsidRPr="001709F1">
        <w:rPr>
          <w:rFonts w:ascii="Times New Roman" w:hAnsi="Times New Roman" w:cs="Times New Roman"/>
          <w:lang w:val="en-US"/>
        </w:rPr>
        <w:t xml:space="preserve"> density (as the number of hosts per surface unit) and our analyses produced very similar results to those that will be shown.</w:t>
      </w:r>
    </w:p>
  </w:footnote>
  <w:footnote w:id="16">
    <w:p w14:paraId="650944D6" w14:textId="67C9E510" w:rsidR="00460D55" w:rsidRPr="001709F1" w:rsidRDefault="00460D55" w:rsidP="00B619EE">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rPr>
        <w:footnoteRef/>
      </w:r>
      <w:r w:rsidRPr="001709F1">
        <w:rPr>
          <w:rFonts w:ascii="Times New Roman" w:hAnsi="Times New Roman" w:cs="Times New Roman"/>
          <w:lang w:val="en-US"/>
        </w:rPr>
        <w:t xml:space="preserve"> Values have been augmented by one unit since there are few cases in which our dependent variable has a value of zero.</w:t>
      </w:r>
    </w:p>
  </w:footnote>
  <w:footnote w:id="17">
    <w:p w14:paraId="72D8109E" w14:textId="15540F9E" w:rsidR="00460D55" w:rsidRPr="001709F1" w:rsidRDefault="00460D55" w:rsidP="00B619EE">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rPr>
        <w:footnoteRef/>
      </w:r>
      <w:r w:rsidRPr="001709F1">
        <w:rPr>
          <w:rFonts w:ascii="Times New Roman" w:hAnsi="Times New Roman" w:cs="Times New Roman"/>
          <w:lang w:val="en-US"/>
        </w:rPr>
        <w:t xml:space="preserve"> </w:t>
      </w:r>
      <w:r w:rsidRPr="001709F1">
        <w:rPr>
          <w:rFonts w:ascii="Times New Roman" w:hAnsi="Times New Roman" w:cs="Times New Roman"/>
          <w:i/>
          <w:iCs/>
          <w:lang w:val="en-US"/>
        </w:rPr>
        <w:t>Osservatorio del Mercato Immobiliare (OMI)</w:t>
      </w:r>
      <w:r w:rsidRPr="001709F1">
        <w:rPr>
          <w:rFonts w:ascii="Times New Roman" w:hAnsi="Times New Roman" w:cs="Times New Roman"/>
          <w:lang w:val="en-US"/>
        </w:rPr>
        <w:t xml:space="preserve"> data is released at a sub-city level (OMI zones) on a half-yearly basis. It provides the minimum and maximum monthly rent per square meter for different types of residential and commercial units. We have calculated our variable as the mid-point between average minimum and average maximum rents (only considering dwellings, apartments and villas) in each specific province.</w:t>
      </w:r>
    </w:p>
  </w:footnote>
  <w:footnote w:id="18">
    <w:p w14:paraId="492BF810" w14:textId="5A68D37A" w:rsidR="00460D55" w:rsidRPr="001709F1" w:rsidRDefault="00460D55" w:rsidP="00B619EE">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rPr>
        <w:footnoteRef/>
      </w:r>
      <w:r w:rsidRPr="001709F1">
        <w:rPr>
          <w:rFonts w:ascii="Times New Roman" w:hAnsi="Times New Roman" w:cs="Times New Roman"/>
          <w:lang w:val="en-US"/>
        </w:rPr>
        <w:t xml:space="preserve"> We have included both control variables for giving an account of seaside or mountain touristic attractions in a specific sub-market that attract specific demand segments. It is worth noting that 44% of the provinces are non-coastal and 50% have an average altitude of less than 306 meters (sample median). In fact, only 10% of the provinces have an average altitude above 650 meters. To better clarify the role of these variables within our econometric model we run an additional robustness check in the dedicated subsection.</w:t>
      </w:r>
    </w:p>
  </w:footnote>
  <w:footnote w:id="19">
    <w:p w14:paraId="4DF30202" w14:textId="5E38AF94" w:rsidR="00460D55" w:rsidRPr="001709F1" w:rsidRDefault="00460D55" w:rsidP="00B619EE">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rPr>
        <w:footnoteRef/>
      </w:r>
      <w:r w:rsidRPr="001709F1">
        <w:rPr>
          <w:rFonts w:ascii="Times New Roman" w:hAnsi="Times New Roman" w:cs="Times New Roman"/>
          <w:lang w:val="en-US"/>
        </w:rPr>
        <w:t xml:space="preserve"> Similar to the definition of the variable </w:t>
      </w:r>
      <w:r w:rsidRPr="001709F1">
        <w:rPr>
          <w:rFonts w:ascii="Times New Roman" w:hAnsi="Times New Roman" w:cs="Times New Roman"/>
          <w:i/>
          <w:iCs/>
          <w:lang w:val="en-US"/>
        </w:rPr>
        <w:t>HighQuality</w:t>
      </w:r>
      <w:r w:rsidRPr="001709F1">
        <w:rPr>
          <w:rFonts w:ascii="Times New Roman" w:hAnsi="Times New Roman" w:cs="Times New Roman"/>
          <w:i/>
          <w:iCs/>
          <w:vertAlign w:val="subscript"/>
          <w:lang w:val="en-US"/>
        </w:rPr>
        <w:t>p</w:t>
      </w:r>
      <w:r w:rsidRPr="001709F1">
        <w:rPr>
          <w:rFonts w:ascii="Times New Roman" w:hAnsi="Times New Roman" w:cs="Times New Roman"/>
          <w:lang w:val="en-US"/>
        </w:rPr>
        <w:t>, we refer to the number of hotels beds in 2011 in order to limit possible endogeneity concerns.</w:t>
      </w:r>
    </w:p>
  </w:footnote>
  <w:footnote w:id="20">
    <w:p w14:paraId="5E9E91BB" w14:textId="4DE2FF1C" w:rsidR="00460D55" w:rsidRPr="001709F1" w:rsidRDefault="00460D55" w:rsidP="00B619EE">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rPr>
        <w:footnoteRef/>
      </w:r>
      <w:r w:rsidRPr="001709F1">
        <w:rPr>
          <w:rFonts w:ascii="Times New Roman" w:hAnsi="Times New Roman" w:cs="Times New Roman"/>
          <w:lang w:val="en-US"/>
        </w:rPr>
        <w:t xml:space="preserve"> Note that in all GMM-SYS estimates the ratio between the number of instruments and the observations is far below one (0.04). Moreover, the Hansen Test for Overidentifying Restrictions, besides not rejecting the null hypotheses of instrument validity in all estimates, never displays the implausible p-value of 1.000 (which may easily occur when the number of instruments is too large) suggesting that the restriction in the number of instruments correctly avoids instrument proliferation issues. Furthermore, this p-value is always in line and comparable with those suggested by Roodman (2009).</w:t>
      </w:r>
    </w:p>
  </w:footnote>
  <w:footnote w:id="21">
    <w:p w14:paraId="27F9EC8F" w14:textId="306C8836" w:rsidR="00460D55" w:rsidRPr="001709F1" w:rsidRDefault="00460D55" w:rsidP="00212127">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rPr>
        <w:footnoteRef/>
      </w:r>
      <w:r w:rsidRPr="001709F1">
        <w:rPr>
          <w:rFonts w:ascii="Times New Roman" w:hAnsi="Times New Roman" w:cs="Times New Roman"/>
          <w:lang w:val="en-US"/>
        </w:rPr>
        <w:t xml:space="preserve"> The dynamic nature of the model due to the inclusion of the lagged dependent variable not surprisingly leads to very large values for the R2 (from about 74% to more than 91%, see Tables 4 and 5). We have thus conducted an additional inspection employing a Shapley Value competitive decomposition of the R2 (Chavez Juarez, 2012). The decomposition shows that about 30% of the R2 in the small-scale entrepreneurs’ entries equation and about 26% of the large-scale entrepreneurs’ entries equation are explained by the lagged dependent variable. Appendix A2 provides the tables in support of this decomposition.</w:t>
      </w:r>
    </w:p>
  </w:footnote>
  <w:footnote w:id="22">
    <w:p w14:paraId="014C08D1" w14:textId="5E249E51" w:rsidR="00460D55" w:rsidRPr="001709F1" w:rsidRDefault="00460D55">
      <w:pPr>
        <w:pStyle w:val="Testonotaapidipagina"/>
        <w:rPr>
          <w:rFonts w:ascii="Times New Roman" w:hAnsi="Times New Roman" w:cs="Times New Roman"/>
          <w:lang w:val="en-US"/>
        </w:rPr>
      </w:pPr>
      <w:r w:rsidRPr="001709F1">
        <w:rPr>
          <w:rStyle w:val="Rimandonotaapidipagina"/>
          <w:rFonts w:ascii="Times New Roman" w:hAnsi="Times New Roman" w:cs="Times New Roman"/>
        </w:rPr>
        <w:footnoteRef/>
      </w:r>
      <w:r w:rsidRPr="001709F1">
        <w:rPr>
          <w:rFonts w:ascii="Times New Roman" w:hAnsi="Times New Roman" w:cs="Times New Roman"/>
          <w:lang w:val="en-US"/>
        </w:rPr>
        <w:t xml:space="preserve"> Note that all evidence reported in Table 4 is fully confirmed in Table 5 when the variables </w:t>
      </w:r>
      <w:r w:rsidRPr="001709F1">
        <w:rPr>
          <w:rFonts w:ascii="Times New Roman" w:hAnsi="Times New Roman" w:cs="Times New Roman"/>
          <w:i/>
          <w:iCs/>
          <w:lang w:val="en-US"/>
        </w:rPr>
        <w:t>ConcentrationProp</w:t>
      </w:r>
      <w:r w:rsidRPr="001709F1">
        <w:rPr>
          <w:rFonts w:ascii="Times New Roman" w:hAnsi="Times New Roman" w:cs="Times New Roman"/>
          <w:i/>
          <w:iCs/>
          <w:vertAlign w:val="subscript"/>
          <w:lang w:val="en-US"/>
        </w:rPr>
        <w:t>pt-1</w:t>
      </w:r>
      <w:r w:rsidRPr="001709F1">
        <w:rPr>
          <w:rFonts w:ascii="Times New Roman" w:hAnsi="Times New Roman" w:cs="Times New Roman"/>
          <w:lang w:val="en-US"/>
        </w:rPr>
        <w:t xml:space="preserve"> and </w:t>
      </w:r>
      <w:r w:rsidRPr="001709F1">
        <w:rPr>
          <w:rFonts w:ascii="Times New Roman" w:hAnsi="Times New Roman" w:cs="Times New Roman"/>
          <w:i/>
          <w:iCs/>
          <w:lang w:val="en-US"/>
        </w:rPr>
        <w:t>ConcentrationProp</w:t>
      </w:r>
      <w:r w:rsidRPr="001709F1">
        <w:rPr>
          <w:rFonts w:ascii="Times New Roman" w:hAnsi="Times New Roman" w:cs="Times New Roman"/>
          <w:i/>
          <w:iCs/>
          <w:vertAlign w:val="superscript"/>
          <w:lang w:val="en-US"/>
        </w:rPr>
        <w:t>2</w:t>
      </w:r>
      <w:r w:rsidRPr="001709F1">
        <w:rPr>
          <w:rFonts w:ascii="Times New Roman" w:hAnsi="Times New Roman" w:cs="Times New Roman"/>
          <w:i/>
          <w:iCs/>
          <w:vertAlign w:val="subscript"/>
          <w:lang w:val="en-US"/>
        </w:rPr>
        <w:t>pt-1</w:t>
      </w:r>
      <w:r w:rsidRPr="001709F1">
        <w:rPr>
          <w:rFonts w:ascii="Times New Roman" w:hAnsi="Times New Roman" w:cs="Times New Roman"/>
          <w:lang w:val="en-US"/>
        </w:rPr>
        <w:t xml:space="preserve"> are included in the model.</w:t>
      </w:r>
    </w:p>
  </w:footnote>
  <w:footnote w:id="23">
    <w:p w14:paraId="74D11191" w14:textId="3664CA12" w:rsidR="00460D55" w:rsidRPr="001709F1" w:rsidRDefault="00460D55" w:rsidP="004D1177">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rPr>
        <w:footnoteRef/>
      </w:r>
      <w:r w:rsidRPr="001709F1">
        <w:rPr>
          <w:rFonts w:ascii="Times New Roman" w:hAnsi="Times New Roman" w:cs="Times New Roman"/>
          <w:lang w:val="en-US"/>
        </w:rPr>
        <w:t xml:space="preserve"> Figure 2 shows the marginal predicted values of </w:t>
      </w:r>
      <w:r w:rsidRPr="001709F1">
        <w:rPr>
          <w:rFonts w:ascii="Times New Roman" w:hAnsi="Times New Roman" w:cs="Times New Roman"/>
          <w:i/>
          <w:iCs/>
          <w:lang w:val="en-US"/>
        </w:rPr>
        <w:t>e</w:t>
      </w:r>
      <w:r w:rsidRPr="001709F1">
        <w:rPr>
          <w:rFonts w:ascii="Times New Roman" w:hAnsi="Times New Roman" w:cs="Times New Roman"/>
          <w:i/>
          <w:iCs/>
          <w:vertAlign w:val="superscript"/>
          <w:lang w:val="en-US"/>
        </w:rPr>
        <w:t>2</w:t>
      </w:r>
      <w:r w:rsidRPr="001709F1">
        <w:rPr>
          <w:rFonts w:ascii="Times New Roman" w:hAnsi="Times New Roman" w:cs="Times New Roman"/>
          <w:i/>
          <w:iCs/>
          <w:vertAlign w:val="subscript"/>
          <w:lang w:val="en-US"/>
        </w:rPr>
        <w:t>kpt</w:t>
      </w:r>
      <w:r w:rsidRPr="001709F1">
        <w:rPr>
          <w:rFonts w:ascii="Times New Roman" w:hAnsi="Times New Roman" w:cs="Times New Roman"/>
          <w:lang w:val="en-US"/>
        </w:rPr>
        <w:t xml:space="preserve"> according to different values of </w:t>
      </w:r>
      <w:r w:rsidRPr="001709F1">
        <w:rPr>
          <w:rFonts w:ascii="Times New Roman" w:hAnsi="Times New Roman" w:cs="Times New Roman"/>
          <w:i/>
          <w:iCs/>
          <w:lang w:val="en-US"/>
        </w:rPr>
        <w:t>ConcentrationProp</w:t>
      </w:r>
      <w:r w:rsidRPr="001709F1">
        <w:rPr>
          <w:rFonts w:ascii="Times New Roman" w:hAnsi="Times New Roman" w:cs="Times New Roman"/>
          <w:i/>
          <w:iCs/>
          <w:vertAlign w:val="subscript"/>
          <w:lang w:val="en-US"/>
        </w:rPr>
        <w:t>pt-1</w:t>
      </w:r>
      <w:r w:rsidRPr="001709F1">
        <w:rPr>
          <w:rFonts w:ascii="Times New Roman" w:hAnsi="Times New Roman" w:cs="Times New Roman"/>
          <w:lang w:val="en-US"/>
        </w:rPr>
        <w:t xml:space="preserve">. The marginal predicted value is calculated varying the </w:t>
      </w:r>
      <w:r w:rsidRPr="001709F1">
        <w:rPr>
          <w:rFonts w:ascii="Times New Roman" w:hAnsi="Times New Roman" w:cs="Times New Roman"/>
          <w:i/>
          <w:iCs/>
          <w:lang w:val="en-US"/>
        </w:rPr>
        <w:t>ConcentrationProp</w:t>
      </w:r>
      <w:r w:rsidRPr="001709F1">
        <w:rPr>
          <w:rFonts w:ascii="Times New Roman" w:hAnsi="Times New Roman" w:cs="Times New Roman"/>
          <w:i/>
          <w:iCs/>
          <w:vertAlign w:val="subscript"/>
          <w:lang w:val="en-US"/>
        </w:rPr>
        <w:t>pt-1</w:t>
      </w:r>
      <w:r w:rsidRPr="001709F1">
        <w:rPr>
          <w:rFonts w:ascii="Times New Roman" w:hAnsi="Times New Roman" w:cs="Times New Roman"/>
          <w:lang w:val="en-US"/>
        </w:rPr>
        <w:t>variable from 0.05 to 15.97 (see Table 3), while all the other model’s covariates are kept at their respective mean.</w:t>
      </w:r>
    </w:p>
  </w:footnote>
  <w:footnote w:id="24">
    <w:p w14:paraId="3869CE67" w14:textId="4CED85FD" w:rsidR="00460D55" w:rsidRPr="001709F1" w:rsidRDefault="00460D55" w:rsidP="004669DD">
      <w:pPr>
        <w:pStyle w:val="Testonotaapidipagina"/>
        <w:jc w:val="both"/>
        <w:rPr>
          <w:rFonts w:ascii="Times New Roman" w:hAnsi="Times New Roman" w:cs="Times New Roman"/>
          <w:lang w:val="en-US"/>
        </w:rPr>
      </w:pPr>
      <w:r w:rsidRPr="001709F1">
        <w:rPr>
          <w:rStyle w:val="Rimandonotaapidipagina"/>
          <w:rFonts w:ascii="Times New Roman" w:hAnsi="Times New Roman" w:cs="Times New Roman"/>
        </w:rPr>
        <w:footnoteRef/>
      </w:r>
      <w:r w:rsidRPr="001709F1">
        <w:rPr>
          <w:rFonts w:ascii="Times New Roman" w:hAnsi="Times New Roman" w:cs="Times New Roman"/>
          <w:lang w:val="en-US"/>
        </w:rPr>
        <w:t xml:space="preserve"> The analysis is performed according to two thresholds (n=2 and n=3). In other words, an active small-scale entrepreneur turns to large-scale if he/she scales the number of properties managed from n or less to n+1 or more, while he/she enters ex-novo if he/she starts operating with n+1 or more properties simultaneously.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722B08"/>
    <w:multiLevelType w:val="hybridMultilevel"/>
    <w:tmpl w:val="CC14D814"/>
    <w:lvl w:ilvl="0" w:tplc="E55C8FB0">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392872E9"/>
    <w:multiLevelType w:val="multilevel"/>
    <w:tmpl w:val="6868BC16"/>
    <w:lvl w:ilvl="0">
      <w:start w:val="87"/>
      <w:numFmt w:val="decimal"/>
      <w:lvlText w:val="%1"/>
      <w:lvlJc w:val="left"/>
      <w:pPr>
        <w:ind w:left="380" w:hanging="380"/>
      </w:pPr>
      <w:rPr>
        <w:rFonts w:hint="default"/>
      </w:rPr>
    </w:lvl>
    <w:lvl w:ilvl="1">
      <w:start w:val="48"/>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4FEF4C4D"/>
    <w:multiLevelType w:val="hybridMultilevel"/>
    <w:tmpl w:val="F5A4382A"/>
    <w:lvl w:ilvl="0" w:tplc="FA7E7B3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61D57E7B"/>
    <w:multiLevelType w:val="hybridMultilevel"/>
    <w:tmpl w:val="927AC0EC"/>
    <w:lvl w:ilvl="0" w:tplc="B90A6E72">
      <w:start w:val="1"/>
      <w:numFmt w:val="upperLetter"/>
      <w:lvlText w:val="%1."/>
      <w:lvlJc w:val="left"/>
      <w:pPr>
        <w:ind w:left="360" w:hanging="360"/>
      </w:pPr>
      <w:rPr>
        <w:rFonts w:hint="default"/>
        <w:b/>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 w15:restartNumberingAfterBreak="0">
    <w:nsid w:val="67FB4271"/>
    <w:multiLevelType w:val="multilevel"/>
    <w:tmpl w:val="EFC4F2B2"/>
    <w:lvl w:ilvl="0">
      <w:start w:val="1"/>
      <w:numFmt w:val="decimal"/>
      <w:lvlText w:val="%1."/>
      <w:lvlJc w:val="left"/>
      <w:pPr>
        <w:ind w:left="720" w:hanging="360"/>
      </w:pPr>
      <w:rPr>
        <w:rFonts w:hint="default"/>
        <w:b/>
      </w:rPr>
    </w:lvl>
    <w:lvl w:ilvl="1">
      <w:start w:val="2"/>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5" w15:restartNumberingAfterBreak="0">
    <w:nsid w:val="69524CA2"/>
    <w:multiLevelType w:val="multilevel"/>
    <w:tmpl w:val="40E87506"/>
    <w:lvl w:ilvl="0">
      <w:start w:val="88"/>
      <w:numFmt w:val="decimal"/>
      <w:lvlText w:val="%1"/>
      <w:lvlJc w:val="left"/>
      <w:pPr>
        <w:ind w:left="380" w:hanging="380"/>
      </w:pPr>
      <w:rPr>
        <w:rFonts w:hint="default"/>
      </w:rPr>
    </w:lvl>
    <w:lvl w:ilvl="1">
      <w:start w:val="64"/>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7C674090"/>
    <w:multiLevelType w:val="hybridMultilevel"/>
    <w:tmpl w:val="46A82398"/>
    <w:lvl w:ilvl="0" w:tplc="C22203F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526528374">
    <w:abstractNumId w:val="0"/>
  </w:num>
  <w:num w:numId="2" w16cid:durableId="102968113">
    <w:abstractNumId w:val="3"/>
  </w:num>
  <w:num w:numId="3" w16cid:durableId="1161115299">
    <w:abstractNumId w:val="6"/>
  </w:num>
  <w:num w:numId="4" w16cid:durableId="1187980623">
    <w:abstractNumId w:val="2"/>
  </w:num>
  <w:num w:numId="5" w16cid:durableId="1843423520">
    <w:abstractNumId w:val="1"/>
  </w:num>
  <w:num w:numId="6" w16cid:durableId="1832795982">
    <w:abstractNumId w:val="5"/>
  </w:num>
  <w:num w:numId="7" w16cid:durableId="15943608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0278"/>
    <w:rsid w:val="000163E3"/>
    <w:rsid w:val="000255A0"/>
    <w:rsid w:val="00061600"/>
    <w:rsid w:val="0008153B"/>
    <w:rsid w:val="00090278"/>
    <w:rsid w:val="00091FBF"/>
    <w:rsid w:val="000A1124"/>
    <w:rsid w:val="000A34B3"/>
    <w:rsid w:val="000A3E2B"/>
    <w:rsid w:val="000A3F2A"/>
    <w:rsid w:val="000A600E"/>
    <w:rsid w:val="000A6D37"/>
    <w:rsid w:val="000F2FA6"/>
    <w:rsid w:val="000F3ACA"/>
    <w:rsid w:val="00112029"/>
    <w:rsid w:val="00150261"/>
    <w:rsid w:val="001535BE"/>
    <w:rsid w:val="00167ECF"/>
    <w:rsid w:val="001709F1"/>
    <w:rsid w:val="00176EBB"/>
    <w:rsid w:val="0018742A"/>
    <w:rsid w:val="001A6AD1"/>
    <w:rsid w:val="001A729C"/>
    <w:rsid w:val="001B48EA"/>
    <w:rsid w:val="001C625D"/>
    <w:rsid w:val="001D5D8C"/>
    <w:rsid w:val="001E041A"/>
    <w:rsid w:val="0021009B"/>
    <w:rsid w:val="00211B83"/>
    <w:rsid w:val="00212127"/>
    <w:rsid w:val="002138EC"/>
    <w:rsid w:val="00220E4D"/>
    <w:rsid w:val="00242EE8"/>
    <w:rsid w:val="0024356F"/>
    <w:rsid w:val="00244E93"/>
    <w:rsid w:val="00277ABE"/>
    <w:rsid w:val="002B0F53"/>
    <w:rsid w:val="002C674C"/>
    <w:rsid w:val="002D3431"/>
    <w:rsid w:val="002D59B2"/>
    <w:rsid w:val="003002D7"/>
    <w:rsid w:val="003165C3"/>
    <w:rsid w:val="003261D5"/>
    <w:rsid w:val="00326AEF"/>
    <w:rsid w:val="00350790"/>
    <w:rsid w:val="00352E07"/>
    <w:rsid w:val="00353776"/>
    <w:rsid w:val="003842DF"/>
    <w:rsid w:val="00393538"/>
    <w:rsid w:val="0039685A"/>
    <w:rsid w:val="003E08C7"/>
    <w:rsid w:val="003F5EB1"/>
    <w:rsid w:val="003F7565"/>
    <w:rsid w:val="003F7660"/>
    <w:rsid w:val="003F7D2C"/>
    <w:rsid w:val="0042093C"/>
    <w:rsid w:val="004331A6"/>
    <w:rsid w:val="0043699B"/>
    <w:rsid w:val="0043733E"/>
    <w:rsid w:val="004433B7"/>
    <w:rsid w:val="00460D55"/>
    <w:rsid w:val="004669DD"/>
    <w:rsid w:val="004840C5"/>
    <w:rsid w:val="0048743A"/>
    <w:rsid w:val="004B5348"/>
    <w:rsid w:val="004C345A"/>
    <w:rsid w:val="004D1177"/>
    <w:rsid w:val="004E487D"/>
    <w:rsid w:val="00512FF0"/>
    <w:rsid w:val="005132F8"/>
    <w:rsid w:val="00514887"/>
    <w:rsid w:val="00515B2E"/>
    <w:rsid w:val="00533FC5"/>
    <w:rsid w:val="00547E5F"/>
    <w:rsid w:val="00553DFF"/>
    <w:rsid w:val="005837A5"/>
    <w:rsid w:val="005876C5"/>
    <w:rsid w:val="005A60EB"/>
    <w:rsid w:val="005A7210"/>
    <w:rsid w:val="005B165C"/>
    <w:rsid w:val="005E2B22"/>
    <w:rsid w:val="005F5CAD"/>
    <w:rsid w:val="0060326E"/>
    <w:rsid w:val="00604E3E"/>
    <w:rsid w:val="00631D11"/>
    <w:rsid w:val="006476E5"/>
    <w:rsid w:val="006630EE"/>
    <w:rsid w:val="0067514C"/>
    <w:rsid w:val="006932D2"/>
    <w:rsid w:val="006A15E9"/>
    <w:rsid w:val="006B5934"/>
    <w:rsid w:val="006B63E1"/>
    <w:rsid w:val="006B77B8"/>
    <w:rsid w:val="006C0992"/>
    <w:rsid w:val="006C528C"/>
    <w:rsid w:val="006D0826"/>
    <w:rsid w:val="006D1E4E"/>
    <w:rsid w:val="006D213E"/>
    <w:rsid w:val="006F28E4"/>
    <w:rsid w:val="00712FA2"/>
    <w:rsid w:val="007342E8"/>
    <w:rsid w:val="00734E66"/>
    <w:rsid w:val="007503E5"/>
    <w:rsid w:val="00757D1E"/>
    <w:rsid w:val="00761CB1"/>
    <w:rsid w:val="00763921"/>
    <w:rsid w:val="00763DB9"/>
    <w:rsid w:val="007B2205"/>
    <w:rsid w:val="007C386D"/>
    <w:rsid w:val="00804C28"/>
    <w:rsid w:val="00816F66"/>
    <w:rsid w:val="00820806"/>
    <w:rsid w:val="0082106E"/>
    <w:rsid w:val="00824BC6"/>
    <w:rsid w:val="0084376B"/>
    <w:rsid w:val="0086074D"/>
    <w:rsid w:val="00865605"/>
    <w:rsid w:val="0088656A"/>
    <w:rsid w:val="00887289"/>
    <w:rsid w:val="0089653E"/>
    <w:rsid w:val="008B21F3"/>
    <w:rsid w:val="008C6FD4"/>
    <w:rsid w:val="008D5888"/>
    <w:rsid w:val="008F6FD8"/>
    <w:rsid w:val="0093085C"/>
    <w:rsid w:val="00935096"/>
    <w:rsid w:val="00936C0F"/>
    <w:rsid w:val="00937267"/>
    <w:rsid w:val="009429FE"/>
    <w:rsid w:val="0096691F"/>
    <w:rsid w:val="00966EC4"/>
    <w:rsid w:val="009701D9"/>
    <w:rsid w:val="00972D9F"/>
    <w:rsid w:val="009742C8"/>
    <w:rsid w:val="00980437"/>
    <w:rsid w:val="00985916"/>
    <w:rsid w:val="00994A2D"/>
    <w:rsid w:val="009A0734"/>
    <w:rsid w:val="009A5D83"/>
    <w:rsid w:val="009B4419"/>
    <w:rsid w:val="009B6650"/>
    <w:rsid w:val="009B69E8"/>
    <w:rsid w:val="009D5349"/>
    <w:rsid w:val="00A01D60"/>
    <w:rsid w:val="00A04075"/>
    <w:rsid w:val="00A04755"/>
    <w:rsid w:val="00A17BC9"/>
    <w:rsid w:val="00A364E6"/>
    <w:rsid w:val="00A82916"/>
    <w:rsid w:val="00AA44EE"/>
    <w:rsid w:val="00B11B93"/>
    <w:rsid w:val="00B147DB"/>
    <w:rsid w:val="00B2390E"/>
    <w:rsid w:val="00B37874"/>
    <w:rsid w:val="00B43BB6"/>
    <w:rsid w:val="00B504EF"/>
    <w:rsid w:val="00B5549F"/>
    <w:rsid w:val="00B619EE"/>
    <w:rsid w:val="00B71DEB"/>
    <w:rsid w:val="00B93959"/>
    <w:rsid w:val="00BA0D5E"/>
    <w:rsid w:val="00BD3730"/>
    <w:rsid w:val="00BD423E"/>
    <w:rsid w:val="00BE4379"/>
    <w:rsid w:val="00BF2EEF"/>
    <w:rsid w:val="00C072A9"/>
    <w:rsid w:val="00C22A9B"/>
    <w:rsid w:val="00C43C1C"/>
    <w:rsid w:val="00C460E8"/>
    <w:rsid w:val="00C562F9"/>
    <w:rsid w:val="00C72D52"/>
    <w:rsid w:val="00C76B8F"/>
    <w:rsid w:val="00CA5196"/>
    <w:rsid w:val="00CC3499"/>
    <w:rsid w:val="00CE44C7"/>
    <w:rsid w:val="00CF106D"/>
    <w:rsid w:val="00CF36F2"/>
    <w:rsid w:val="00CF574E"/>
    <w:rsid w:val="00D078B5"/>
    <w:rsid w:val="00D21416"/>
    <w:rsid w:val="00D300AF"/>
    <w:rsid w:val="00D366A6"/>
    <w:rsid w:val="00D42646"/>
    <w:rsid w:val="00D85199"/>
    <w:rsid w:val="00D859EC"/>
    <w:rsid w:val="00DA605A"/>
    <w:rsid w:val="00DA6E15"/>
    <w:rsid w:val="00DB2CE0"/>
    <w:rsid w:val="00DD00AA"/>
    <w:rsid w:val="00DF6F0A"/>
    <w:rsid w:val="00E026EE"/>
    <w:rsid w:val="00E02797"/>
    <w:rsid w:val="00E160E8"/>
    <w:rsid w:val="00E20F11"/>
    <w:rsid w:val="00E21D47"/>
    <w:rsid w:val="00E248CB"/>
    <w:rsid w:val="00E372C9"/>
    <w:rsid w:val="00E511CB"/>
    <w:rsid w:val="00E64E8B"/>
    <w:rsid w:val="00E817AC"/>
    <w:rsid w:val="00E95A86"/>
    <w:rsid w:val="00EB7152"/>
    <w:rsid w:val="00EC1A7C"/>
    <w:rsid w:val="00EE75F2"/>
    <w:rsid w:val="00EF03D2"/>
    <w:rsid w:val="00EF5F86"/>
    <w:rsid w:val="00F038AA"/>
    <w:rsid w:val="00F158C2"/>
    <w:rsid w:val="00F21607"/>
    <w:rsid w:val="00F24EFF"/>
    <w:rsid w:val="00F2519C"/>
    <w:rsid w:val="00F40362"/>
    <w:rsid w:val="00F57D83"/>
    <w:rsid w:val="00FA6910"/>
    <w:rsid w:val="00FB13A9"/>
    <w:rsid w:val="00FB144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25469C"/>
  <w15:chartTrackingRefBased/>
  <w15:docId w15:val="{9AE12792-6FC9-4C40-AE51-D4C4A0315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90278"/>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semiHidden/>
    <w:unhideWhenUsed/>
    <w:rsid w:val="00090278"/>
    <w:rPr>
      <w:sz w:val="20"/>
      <w:szCs w:val="20"/>
    </w:rPr>
  </w:style>
  <w:style w:type="character" w:customStyle="1" w:styleId="TestonotaapidipaginaCarattere">
    <w:name w:val="Testo nota a piè di pagina Carattere"/>
    <w:basedOn w:val="Carpredefinitoparagrafo"/>
    <w:link w:val="Testonotaapidipagina"/>
    <w:uiPriority w:val="99"/>
    <w:semiHidden/>
    <w:rsid w:val="00090278"/>
    <w:rPr>
      <w:sz w:val="20"/>
      <w:szCs w:val="20"/>
    </w:rPr>
  </w:style>
  <w:style w:type="character" w:styleId="Rimandonotaapidipagina">
    <w:name w:val="footnote reference"/>
    <w:basedOn w:val="Carpredefinitoparagrafo"/>
    <w:uiPriority w:val="99"/>
    <w:semiHidden/>
    <w:unhideWhenUsed/>
    <w:rsid w:val="00090278"/>
    <w:rPr>
      <w:vertAlign w:val="superscript"/>
    </w:rPr>
  </w:style>
  <w:style w:type="paragraph" w:styleId="NormaleWeb">
    <w:name w:val="Normal (Web)"/>
    <w:basedOn w:val="Normale"/>
    <w:uiPriority w:val="99"/>
    <w:unhideWhenUsed/>
    <w:rsid w:val="00090278"/>
    <w:pPr>
      <w:spacing w:before="100" w:beforeAutospacing="1" w:after="100" w:afterAutospacing="1"/>
    </w:pPr>
    <w:rPr>
      <w:rFonts w:ascii="Times New Roman" w:eastAsia="Times New Roman" w:hAnsi="Times New Roman" w:cs="Times New Roman"/>
      <w:lang w:eastAsia="it-IT"/>
    </w:rPr>
  </w:style>
  <w:style w:type="paragraph" w:styleId="Paragrafoelenco">
    <w:name w:val="List Paragraph"/>
    <w:basedOn w:val="Normale"/>
    <w:uiPriority w:val="34"/>
    <w:qFormat/>
    <w:rsid w:val="00090278"/>
    <w:pPr>
      <w:ind w:left="720"/>
      <w:contextualSpacing/>
    </w:pPr>
  </w:style>
  <w:style w:type="character" w:styleId="Collegamentoipertestuale">
    <w:name w:val="Hyperlink"/>
    <w:basedOn w:val="Carpredefinitoparagrafo"/>
    <w:uiPriority w:val="99"/>
    <w:unhideWhenUsed/>
    <w:rsid w:val="00734E66"/>
    <w:rPr>
      <w:color w:val="0563C1" w:themeColor="hyperlink"/>
      <w:u w:val="single"/>
    </w:rPr>
  </w:style>
  <w:style w:type="character" w:customStyle="1" w:styleId="Menzionenonrisolta1">
    <w:name w:val="Menzione non risolta1"/>
    <w:basedOn w:val="Carpredefinitoparagrafo"/>
    <w:uiPriority w:val="99"/>
    <w:semiHidden/>
    <w:unhideWhenUsed/>
    <w:rsid w:val="00734E66"/>
    <w:rPr>
      <w:color w:val="605E5C"/>
      <w:shd w:val="clear" w:color="auto" w:fill="E1DFDD"/>
    </w:rPr>
  </w:style>
  <w:style w:type="character" w:styleId="Testosegnaposto">
    <w:name w:val="Placeholder Text"/>
    <w:basedOn w:val="Carpredefinitoparagrafo"/>
    <w:uiPriority w:val="99"/>
    <w:semiHidden/>
    <w:rsid w:val="00A04755"/>
    <w:rPr>
      <w:color w:val="808080"/>
    </w:rPr>
  </w:style>
  <w:style w:type="table" w:styleId="Tabellaelenco1chiara">
    <w:name w:val="List Table 1 Light"/>
    <w:basedOn w:val="Tabellanormale"/>
    <w:uiPriority w:val="46"/>
    <w:rsid w:val="00985916"/>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gliatabella">
    <w:name w:val="Table Grid"/>
    <w:basedOn w:val="Tabellanormale"/>
    <w:uiPriority w:val="39"/>
    <w:rsid w:val="009859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6932D2"/>
    <w:pPr>
      <w:tabs>
        <w:tab w:val="center" w:pos="4819"/>
        <w:tab w:val="right" w:pos="9638"/>
      </w:tabs>
    </w:pPr>
  </w:style>
  <w:style w:type="character" w:customStyle="1" w:styleId="IntestazioneCarattere">
    <w:name w:val="Intestazione Carattere"/>
    <w:basedOn w:val="Carpredefinitoparagrafo"/>
    <w:link w:val="Intestazione"/>
    <w:uiPriority w:val="99"/>
    <w:rsid w:val="006932D2"/>
  </w:style>
  <w:style w:type="paragraph" w:styleId="Pidipagina">
    <w:name w:val="footer"/>
    <w:basedOn w:val="Normale"/>
    <w:link w:val="PidipaginaCarattere"/>
    <w:uiPriority w:val="99"/>
    <w:unhideWhenUsed/>
    <w:rsid w:val="006932D2"/>
    <w:pPr>
      <w:tabs>
        <w:tab w:val="center" w:pos="4819"/>
        <w:tab w:val="right" w:pos="9638"/>
      </w:tabs>
    </w:pPr>
  </w:style>
  <w:style w:type="character" w:customStyle="1" w:styleId="PidipaginaCarattere">
    <w:name w:val="Piè di pagina Carattere"/>
    <w:basedOn w:val="Carpredefinitoparagrafo"/>
    <w:link w:val="Pidipagina"/>
    <w:uiPriority w:val="99"/>
    <w:rsid w:val="006932D2"/>
  </w:style>
  <w:style w:type="character" w:styleId="Numeropagina">
    <w:name w:val="page number"/>
    <w:basedOn w:val="Carpredefinitoparagrafo"/>
    <w:uiPriority w:val="99"/>
    <w:semiHidden/>
    <w:unhideWhenUsed/>
    <w:rsid w:val="006932D2"/>
  </w:style>
  <w:style w:type="character" w:styleId="Rimandocommento">
    <w:name w:val="annotation reference"/>
    <w:basedOn w:val="Carpredefinitoparagrafo"/>
    <w:uiPriority w:val="99"/>
    <w:semiHidden/>
    <w:unhideWhenUsed/>
    <w:rsid w:val="00E02797"/>
    <w:rPr>
      <w:sz w:val="16"/>
      <w:szCs w:val="16"/>
    </w:rPr>
  </w:style>
  <w:style w:type="paragraph" w:styleId="Testocommento">
    <w:name w:val="annotation text"/>
    <w:basedOn w:val="Normale"/>
    <w:link w:val="TestocommentoCarattere"/>
    <w:uiPriority w:val="99"/>
    <w:unhideWhenUsed/>
    <w:rsid w:val="00E02797"/>
    <w:rPr>
      <w:sz w:val="20"/>
      <w:szCs w:val="20"/>
    </w:rPr>
  </w:style>
  <w:style w:type="character" w:customStyle="1" w:styleId="TestocommentoCarattere">
    <w:name w:val="Testo commento Carattere"/>
    <w:basedOn w:val="Carpredefinitoparagrafo"/>
    <w:link w:val="Testocommento"/>
    <w:uiPriority w:val="99"/>
    <w:rsid w:val="00E02797"/>
    <w:rPr>
      <w:sz w:val="20"/>
      <w:szCs w:val="20"/>
    </w:rPr>
  </w:style>
  <w:style w:type="paragraph" w:styleId="Soggettocommento">
    <w:name w:val="annotation subject"/>
    <w:basedOn w:val="Testocommento"/>
    <w:next w:val="Testocommento"/>
    <w:link w:val="SoggettocommentoCarattere"/>
    <w:uiPriority w:val="99"/>
    <w:semiHidden/>
    <w:unhideWhenUsed/>
    <w:rsid w:val="00E02797"/>
    <w:rPr>
      <w:b/>
      <w:bCs/>
    </w:rPr>
  </w:style>
  <w:style w:type="character" w:customStyle="1" w:styleId="SoggettocommentoCarattere">
    <w:name w:val="Soggetto commento Carattere"/>
    <w:basedOn w:val="TestocommentoCarattere"/>
    <w:link w:val="Soggettocommento"/>
    <w:uiPriority w:val="99"/>
    <w:semiHidden/>
    <w:rsid w:val="00E02797"/>
    <w:rPr>
      <w:b/>
      <w:bCs/>
      <w:sz w:val="20"/>
      <w:szCs w:val="20"/>
    </w:rPr>
  </w:style>
  <w:style w:type="paragraph" w:styleId="Testofumetto">
    <w:name w:val="Balloon Text"/>
    <w:basedOn w:val="Normale"/>
    <w:link w:val="TestofumettoCarattere"/>
    <w:uiPriority w:val="99"/>
    <w:semiHidden/>
    <w:unhideWhenUsed/>
    <w:rsid w:val="00E02797"/>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E02797"/>
    <w:rPr>
      <w:rFonts w:ascii="Segoe UI" w:hAnsi="Segoe UI" w:cs="Segoe UI"/>
      <w:sz w:val="18"/>
      <w:szCs w:val="18"/>
    </w:rPr>
  </w:style>
  <w:style w:type="paragraph" w:styleId="Revisione">
    <w:name w:val="Revision"/>
    <w:hidden/>
    <w:uiPriority w:val="99"/>
    <w:semiHidden/>
    <w:rsid w:val="0086074D"/>
  </w:style>
  <w:style w:type="character" w:styleId="Menzionenonrisolta">
    <w:name w:val="Unresolved Mention"/>
    <w:basedOn w:val="Carpredefinitoparagrafo"/>
    <w:uiPriority w:val="99"/>
    <w:semiHidden/>
    <w:unhideWhenUsed/>
    <w:rsid w:val="00966E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39049">
      <w:bodyDiv w:val="1"/>
      <w:marLeft w:val="0"/>
      <w:marRight w:val="0"/>
      <w:marTop w:val="0"/>
      <w:marBottom w:val="0"/>
      <w:divBdr>
        <w:top w:val="none" w:sz="0" w:space="0" w:color="auto"/>
        <w:left w:val="none" w:sz="0" w:space="0" w:color="auto"/>
        <w:bottom w:val="none" w:sz="0" w:space="0" w:color="auto"/>
        <w:right w:val="none" w:sz="0" w:space="0" w:color="auto"/>
      </w:divBdr>
    </w:div>
    <w:div w:id="26300239">
      <w:bodyDiv w:val="1"/>
      <w:marLeft w:val="0"/>
      <w:marRight w:val="0"/>
      <w:marTop w:val="0"/>
      <w:marBottom w:val="0"/>
      <w:divBdr>
        <w:top w:val="none" w:sz="0" w:space="0" w:color="auto"/>
        <w:left w:val="none" w:sz="0" w:space="0" w:color="auto"/>
        <w:bottom w:val="none" w:sz="0" w:space="0" w:color="auto"/>
        <w:right w:val="none" w:sz="0" w:space="0" w:color="auto"/>
      </w:divBdr>
    </w:div>
    <w:div w:id="88744726">
      <w:bodyDiv w:val="1"/>
      <w:marLeft w:val="0"/>
      <w:marRight w:val="0"/>
      <w:marTop w:val="0"/>
      <w:marBottom w:val="0"/>
      <w:divBdr>
        <w:top w:val="none" w:sz="0" w:space="0" w:color="auto"/>
        <w:left w:val="none" w:sz="0" w:space="0" w:color="auto"/>
        <w:bottom w:val="none" w:sz="0" w:space="0" w:color="auto"/>
        <w:right w:val="none" w:sz="0" w:space="0" w:color="auto"/>
      </w:divBdr>
      <w:divsChild>
        <w:div w:id="1711496866">
          <w:marLeft w:val="0"/>
          <w:marRight w:val="0"/>
          <w:marTop w:val="0"/>
          <w:marBottom w:val="0"/>
          <w:divBdr>
            <w:top w:val="none" w:sz="0" w:space="0" w:color="auto"/>
            <w:left w:val="none" w:sz="0" w:space="0" w:color="auto"/>
            <w:bottom w:val="none" w:sz="0" w:space="0" w:color="auto"/>
            <w:right w:val="none" w:sz="0" w:space="0" w:color="auto"/>
          </w:divBdr>
          <w:divsChild>
            <w:div w:id="422603512">
              <w:marLeft w:val="0"/>
              <w:marRight w:val="0"/>
              <w:marTop w:val="0"/>
              <w:marBottom w:val="0"/>
              <w:divBdr>
                <w:top w:val="none" w:sz="0" w:space="0" w:color="auto"/>
                <w:left w:val="none" w:sz="0" w:space="0" w:color="auto"/>
                <w:bottom w:val="none" w:sz="0" w:space="0" w:color="auto"/>
                <w:right w:val="none" w:sz="0" w:space="0" w:color="auto"/>
              </w:divBdr>
              <w:divsChild>
                <w:div w:id="1783382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728914">
      <w:bodyDiv w:val="1"/>
      <w:marLeft w:val="0"/>
      <w:marRight w:val="0"/>
      <w:marTop w:val="0"/>
      <w:marBottom w:val="0"/>
      <w:divBdr>
        <w:top w:val="none" w:sz="0" w:space="0" w:color="auto"/>
        <w:left w:val="none" w:sz="0" w:space="0" w:color="auto"/>
        <w:bottom w:val="none" w:sz="0" w:space="0" w:color="auto"/>
        <w:right w:val="none" w:sz="0" w:space="0" w:color="auto"/>
      </w:divBdr>
      <w:divsChild>
        <w:div w:id="373240206">
          <w:marLeft w:val="0"/>
          <w:marRight w:val="0"/>
          <w:marTop w:val="0"/>
          <w:marBottom w:val="0"/>
          <w:divBdr>
            <w:top w:val="none" w:sz="0" w:space="0" w:color="auto"/>
            <w:left w:val="none" w:sz="0" w:space="0" w:color="auto"/>
            <w:bottom w:val="none" w:sz="0" w:space="0" w:color="auto"/>
            <w:right w:val="none" w:sz="0" w:space="0" w:color="auto"/>
          </w:divBdr>
        </w:div>
      </w:divsChild>
    </w:div>
    <w:div w:id="986474709">
      <w:bodyDiv w:val="1"/>
      <w:marLeft w:val="0"/>
      <w:marRight w:val="0"/>
      <w:marTop w:val="0"/>
      <w:marBottom w:val="0"/>
      <w:divBdr>
        <w:top w:val="none" w:sz="0" w:space="0" w:color="auto"/>
        <w:left w:val="none" w:sz="0" w:space="0" w:color="auto"/>
        <w:bottom w:val="none" w:sz="0" w:space="0" w:color="auto"/>
        <w:right w:val="none" w:sz="0" w:space="0" w:color="auto"/>
      </w:divBdr>
      <w:divsChild>
        <w:div w:id="2000229726">
          <w:marLeft w:val="0"/>
          <w:marRight w:val="0"/>
          <w:marTop w:val="0"/>
          <w:marBottom w:val="0"/>
          <w:divBdr>
            <w:top w:val="none" w:sz="0" w:space="0" w:color="auto"/>
            <w:left w:val="none" w:sz="0" w:space="0" w:color="auto"/>
            <w:bottom w:val="none" w:sz="0" w:space="0" w:color="auto"/>
            <w:right w:val="none" w:sz="0" w:space="0" w:color="auto"/>
          </w:divBdr>
          <w:divsChild>
            <w:div w:id="1827818568">
              <w:marLeft w:val="0"/>
              <w:marRight w:val="0"/>
              <w:marTop w:val="0"/>
              <w:marBottom w:val="0"/>
              <w:divBdr>
                <w:top w:val="none" w:sz="0" w:space="0" w:color="auto"/>
                <w:left w:val="none" w:sz="0" w:space="0" w:color="auto"/>
                <w:bottom w:val="none" w:sz="0" w:space="0" w:color="auto"/>
                <w:right w:val="none" w:sz="0" w:space="0" w:color="auto"/>
              </w:divBdr>
              <w:divsChild>
                <w:div w:id="1060834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uigi.buzzacchi@polito.it" TargetMode="External"/><Relationship Id="rId13" Type="http://schemas.openxmlformats.org/officeDocument/2006/relationships/hyperlink" Target="https://www.jstor.org/stable/2117915" TargetMode="External"/><Relationship Id="rId1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86/317673" TargetMode="External"/><Relationship Id="rId17" Type="http://schemas.openxmlformats.org/officeDocument/2006/relationships/image" Target="media/image1.jpeg"/><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07/s00199-006-0114-6"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francesco.milone@polito.it"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luca.grilli@polimi.it" TargetMode="External"/><Relationship Id="rId14" Type="http://schemas.openxmlformats.org/officeDocument/2006/relationships/hyperlink" Target="https://www.jstor.org/stable/1808698"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agenziaentrate.gov.it/portale/web/english" TargetMode="External"/><Relationship Id="rId1" Type="http://schemas.openxmlformats.org/officeDocument/2006/relationships/hyperlink" Target="http://dati.istat.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BC1A39-71CD-4C27-AC3D-7908E6DFFC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14574</Words>
  <Characters>92983</Characters>
  <Application>Microsoft Office Word</Application>
  <DocSecurity>0</DocSecurity>
  <Lines>1603</Lines>
  <Paragraphs>621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106936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Giulia Cavagliato</dc:creator>
  <cp:keywords/>
  <dc:description/>
  <cp:lastModifiedBy>Luca Grilli</cp:lastModifiedBy>
  <cp:revision>2</cp:revision>
  <dcterms:created xsi:type="dcterms:W3CDTF">2026-03-20T10:08:00Z</dcterms:created>
  <dcterms:modified xsi:type="dcterms:W3CDTF">2026-03-20T10:08:00Z</dcterms:modified>
</cp:coreProperties>
</file>