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pdf" ContentType="application/pdf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png" ContentType="image/png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4EC" w:rsidRDefault="00F044EC" w:rsidP="00F044EC">
      <w:pPr>
        <w:pStyle w:val="Title"/>
      </w:pPr>
      <w:r w:rsidRPr="00771266">
        <w:rPr>
          <w:lang w:val="en-US"/>
        </w:rPr>
        <w:t xml:space="preserve">A </w:t>
      </w:r>
      <w:r>
        <w:rPr>
          <w:lang w:val="en-US"/>
        </w:rPr>
        <w:t xml:space="preserve">combined multiscale </w:t>
      </w:r>
      <w:r w:rsidRPr="00771266">
        <w:rPr>
          <w:lang w:val="en-US"/>
        </w:rPr>
        <w:t xml:space="preserve">numerical </w:t>
      </w:r>
      <w:r>
        <w:rPr>
          <w:lang w:val="en-US"/>
        </w:rPr>
        <w:t>and experimental approach for</w:t>
      </w:r>
      <w:r w:rsidRPr="00771266">
        <w:rPr>
          <w:lang w:val="en-US"/>
        </w:rPr>
        <w:t xml:space="preserve"> </w:t>
      </w:r>
      <w:r>
        <w:t>the design optimization of hollow-fiber based medical devices</w:t>
      </w:r>
    </w:p>
    <w:p w:rsidR="00F044EC" w:rsidRPr="006A0E84" w:rsidRDefault="00F044EC" w:rsidP="00F044EC">
      <w:pPr>
        <w:pStyle w:val="Authors"/>
        <w:rPr>
          <w:vertAlign w:val="superscript"/>
        </w:rPr>
      </w:pPr>
      <w:r>
        <w:t>F. Consolo</w:t>
      </w:r>
      <w:r w:rsidRPr="008169A4">
        <w:rPr>
          <w:vertAlign w:val="superscript"/>
        </w:rPr>
        <w:t>1</w:t>
      </w:r>
      <w:r>
        <w:t>, A. Dimasi</w:t>
      </w:r>
      <w:r w:rsidRPr="008169A4">
        <w:rPr>
          <w:vertAlign w:val="superscript"/>
        </w:rPr>
        <w:t>1</w:t>
      </w:r>
      <w:r>
        <w:t>, R. Testa</w:t>
      </w:r>
      <w:r w:rsidRPr="00E13C57">
        <w:rPr>
          <w:vertAlign w:val="superscript"/>
        </w:rPr>
        <w:t>1</w:t>
      </w:r>
      <w:r>
        <w:t>, S. Speranza</w:t>
      </w:r>
      <w:r w:rsidRPr="00E13C57">
        <w:rPr>
          <w:vertAlign w:val="superscript"/>
        </w:rPr>
        <w:t>1</w:t>
      </w:r>
      <w:r>
        <w:t>, S. Reggiani</w:t>
      </w:r>
      <w:r w:rsidRPr="005968C6">
        <w:rPr>
          <w:vertAlign w:val="superscript"/>
        </w:rPr>
        <w:t>2</w:t>
      </w:r>
      <w:r>
        <w:t>, G.B. Fiore</w:t>
      </w:r>
      <w:r w:rsidRPr="008169A4">
        <w:rPr>
          <w:vertAlign w:val="superscript"/>
        </w:rPr>
        <w:t>1</w:t>
      </w:r>
      <w:r>
        <w:rPr>
          <w:vertAlign w:val="superscript"/>
        </w:rPr>
        <w:t xml:space="preserve"> </w:t>
      </w:r>
      <w:r>
        <w:t>and A. Redaelli</w:t>
      </w:r>
      <w:r w:rsidRPr="008169A4">
        <w:rPr>
          <w:vertAlign w:val="superscript"/>
        </w:rPr>
        <w:t>1</w:t>
      </w:r>
      <w:r>
        <w:t xml:space="preserve"> </w:t>
      </w:r>
    </w:p>
    <w:p w:rsidR="004C5F80" w:rsidRDefault="00F044EC" w:rsidP="00F044EC">
      <w:pPr>
        <w:pStyle w:val="Affiliation"/>
        <w:spacing w:after="0"/>
      </w:pPr>
      <w:proofErr w:type="gramStart"/>
      <w:r w:rsidRPr="00BD5D4E">
        <w:rPr>
          <w:vertAlign w:val="superscript"/>
        </w:rPr>
        <w:t>1</w:t>
      </w:r>
      <w:r>
        <w:t xml:space="preserve">Dipartimento di </w:t>
      </w:r>
      <w:proofErr w:type="spellStart"/>
      <w:r>
        <w:t>Elettronica</w:t>
      </w:r>
      <w:proofErr w:type="spellEnd"/>
      <w:r>
        <w:t xml:space="preserve">, </w:t>
      </w:r>
      <w:proofErr w:type="spellStart"/>
      <w:r>
        <w:t>Informazione</w:t>
      </w:r>
      <w:proofErr w:type="spellEnd"/>
      <w:r>
        <w:t xml:space="preserve"> e </w:t>
      </w:r>
      <w:proofErr w:type="spellStart"/>
      <w:r>
        <w:t>Bioingegneria</w:t>
      </w:r>
      <w:proofErr w:type="spellEnd"/>
      <w:r>
        <w:t>, Politecnico di Milano, Milano, Italy.</w:t>
      </w:r>
      <w:proofErr w:type="gramEnd"/>
      <w:r w:rsidR="00F244E1">
        <w:t xml:space="preserve"> </w:t>
      </w:r>
      <w:r>
        <w:rPr>
          <w:vertAlign w:val="superscript"/>
        </w:rPr>
        <w:t>2</w:t>
      </w:r>
      <w:r w:rsidRPr="005968C6">
        <w:rPr>
          <w:lang w:val="en-US"/>
        </w:rPr>
        <w:t xml:space="preserve">Sorin Group Italia, </w:t>
      </w:r>
      <w:proofErr w:type="spellStart"/>
      <w:r w:rsidRPr="005968C6">
        <w:rPr>
          <w:lang w:val="en-US"/>
        </w:rPr>
        <w:t>Mirandola</w:t>
      </w:r>
      <w:proofErr w:type="spellEnd"/>
      <w:r w:rsidRPr="005968C6">
        <w:rPr>
          <w:lang w:val="en-US"/>
        </w:rPr>
        <w:t xml:space="preserve"> (MO), Italy</w:t>
      </w:r>
      <w:r>
        <w:t>.</w:t>
      </w:r>
    </w:p>
    <w:p w:rsidR="004C5F80" w:rsidRDefault="004C5F80">
      <w:pPr>
        <w:pStyle w:val="Affiliation"/>
      </w:pPr>
    </w:p>
    <w:p w:rsidR="004C5F80" w:rsidRDefault="004C5F80"/>
    <w:p w:rsidR="004C5F80" w:rsidRDefault="004C5F80">
      <w:pPr>
        <w:sectPr w:rsidR="004C5F80">
          <w:pgSz w:w="11906" w:h="16838"/>
          <w:pgMar w:top="1440" w:right="1797" w:bottom="1440" w:left="1797" w:header="0" w:footer="0" w:gutter="0"/>
          <w:formProt w:val="0"/>
          <w:docGrid w:linePitch="360" w:charSpace="2047"/>
        </w:sectPr>
      </w:pPr>
    </w:p>
    <w:p w:rsidR="00F044EC" w:rsidRDefault="00F044EC" w:rsidP="00F044EC">
      <w:pPr>
        <w:pStyle w:val="Heading"/>
        <w:jc w:val="left"/>
      </w:pPr>
      <w:r>
        <w:t>Introduction</w:t>
      </w:r>
    </w:p>
    <w:p w:rsidR="00500029" w:rsidRDefault="00F044EC" w:rsidP="00500029">
      <w:pPr>
        <w:spacing w:after="120"/>
        <w:rPr>
          <w:lang w:val="en-US"/>
        </w:rPr>
      </w:pPr>
      <w:r>
        <w:t xml:space="preserve">With the introduction of hollow-fiber based blood oxygenators (OXY) and heat exchangers (HE) </w:t>
      </w:r>
      <w:r>
        <w:rPr>
          <w:lang w:val="en-US"/>
        </w:rPr>
        <w:t>for extracorporeal circulation</w:t>
      </w:r>
      <w:r w:rsidR="00C9674C">
        <w:rPr>
          <w:lang w:val="en-US"/>
        </w:rPr>
        <w:t xml:space="preserve"> (ECC)</w:t>
      </w:r>
      <w:r>
        <w:rPr>
          <w:lang w:val="en-US"/>
        </w:rPr>
        <w:t>,</w:t>
      </w:r>
      <w:r>
        <w:t xml:space="preserve"> finding an optimal trade-off between different design specifications has become a refined challenge that benefits from the use of advanced numerical modelling techniques combined with innovative experimental methods. </w:t>
      </w:r>
      <w:r w:rsidRPr="000D6EEB">
        <w:rPr>
          <w:lang w:val="en-US"/>
        </w:rPr>
        <w:t>In collaboration with Sorin Group</w:t>
      </w:r>
      <w:r>
        <w:rPr>
          <w:lang w:val="en-US"/>
        </w:rPr>
        <w:t xml:space="preserve"> Italia (SGI), </w:t>
      </w:r>
      <w:r>
        <w:t>w</w:t>
      </w:r>
      <w:r w:rsidRPr="005968C6">
        <w:rPr>
          <w:lang w:val="en-US"/>
        </w:rPr>
        <w:t xml:space="preserve">e have designed a new strategy based on </w:t>
      </w:r>
      <w:r>
        <w:rPr>
          <w:lang w:val="en-US"/>
        </w:rPr>
        <w:t xml:space="preserve">multiscale </w:t>
      </w:r>
      <w:r w:rsidRPr="005968C6">
        <w:rPr>
          <w:lang w:val="en-US"/>
        </w:rPr>
        <w:t>computational fluid</w:t>
      </w:r>
      <w:r>
        <w:rPr>
          <w:lang w:val="en-US"/>
        </w:rPr>
        <w:t xml:space="preserve"> </w:t>
      </w:r>
      <w:r w:rsidRPr="005968C6">
        <w:rPr>
          <w:lang w:val="en-US"/>
        </w:rPr>
        <w:t>dynamics</w:t>
      </w:r>
      <w:r>
        <w:rPr>
          <w:lang w:val="en-US"/>
        </w:rPr>
        <w:t xml:space="preserve"> (CFD) that </w:t>
      </w:r>
      <w:r w:rsidRPr="005968C6">
        <w:rPr>
          <w:lang w:val="en-US"/>
        </w:rPr>
        <w:t>couples macro</w:t>
      </w:r>
      <w:r>
        <w:rPr>
          <w:lang w:val="en-US"/>
        </w:rPr>
        <w:t>-</w:t>
      </w:r>
      <w:r w:rsidRPr="005968C6">
        <w:rPr>
          <w:lang w:val="en-US"/>
        </w:rPr>
        <w:t xml:space="preserve"> and microscale flow effects to optimize the performance of integrated ECC devices</w:t>
      </w:r>
      <w:r>
        <w:rPr>
          <w:lang w:val="en-US"/>
        </w:rPr>
        <w:t>,</w:t>
      </w:r>
      <w:r>
        <w:t xml:space="preserve"> </w:t>
      </w:r>
      <w:r w:rsidRPr="005968C6">
        <w:rPr>
          <w:lang w:val="en-US"/>
        </w:rPr>
        <w:t xml:space="preserve">including </w:t>
      </w:r>
      <w:r>
        <w:rPr>
          <w:lang w:val="en-US"/>
        </w:rPr>
        <w:t>analysis of platelet activation to characterize the device thrombotic impact.</w:t>
      </w:r>
    </w:p>
    <w:p w:rsidR="00500029" w:rsidRDefault="00F044EC" w:rsidP="00500029">
      <w:pPr>
        <w:spacing w:after="120"/>
        <w:rPr>
          <w:rFonts w:ascii="Liberation Sans" w:hAnsi="Liberation Sans"/>
          <w:b/>
          <w:sz w:val="28"/>
        </w:rPr>
      </w:pPr>
      <w:r w:rsidRPr="00500029">
        <w:rPr>
          <w:rFonts w:ascii="Liberation Sans" w:hAnsi="Liberation Sans"/>
          <w:b/>
          <w:sz w:val="28"/>
        </w:rPr>
        <w:t>Material</w:t>
      </w:r>
      <w:r w:rsidR="00E31227">
        <w:rPr>
          <w:rFonts w:ascii="Liberation Sans" w:hAnsi="Liberation Sans"/>
          <w:b/>
          <w:sz w:val="28"/>
        </w:rPr>
        <w:t>s</w:t>
      </w:r>
      <w:r w:rsidRPr="00500029">
        <w:rPr>
          <w:rFonts w:ascii="Liberation Sans" w:hAnsi="Liberation Sans"/>
          <w:b/>
          <w:sz w:val="28"/>
        </w:rPr>
        <w:t xml:space="preserve"> and Methods</w:t>
      </w:r>
    </w:p>
    <w:p w:rsidR="00C9674C" w:rsidRDefault="00C9674C" w:rsidP="00500029">
      <w:pPr>
        <w:spacing w:after="120"/>
      </w:pPr>
      <w:r>
        <w:t>A</w:t>
      </w:r>
      <w:r w:rsidR="00F044EC" w:rsidRPr="00500029">
        <w:t xml:space="preserve"> multiphysic analysis at the macroscale</w:t>
      </w:r>
      <w:r>
        <w:t xml:space="preserve"> allowed the extraction of </w:t>
      </w:r>
      <w:r>
        <w:rPr>
          <w:bCs/>
          <w:iCs/>
        </w:rPr>
        <w:t>q</w:t>
      </w:r>
      <w:r w:rsidRPr="00500029">
        <w:t>uantitative geometrical</w:t>
      </w:r>
      <w:r>
        <w:t>-</w:t>
      </w:r>
      <w:r w:rsidRPr="00500029">
        <w:t xml:space="preserve">dependent </w:t>
      </w:r>
      <w:r w:rsidRPr="00500029">
        <w:rPr>
          <w:lang w:val="en-US"/>
        </w:rPr>
        <w:t>parameters, not derivable from empirical methods,</w:t>
      </w:r>
      <w:r>
        <w:rPr>
          <w:lang w:val="en-US"/>
        </w:rPr>
        <w:t xml:space="preserve"> </w:t>
      </w:r>
      <w:r>
        <w:rPr>
          <w:bCs/>
          <w:iCs/>
          <w:lang w:val="en-US"/>
        </w:rPr>
        <w:t>to</w:t>
      </w:r>
      <w:r w:rsidR="00F244E1">
        <w:rPr>
          <w:bCs/>
          <w:iCs/>
          <w:lang w:val="en-US"/>
        </w:rPr>
        <w:t xml:space="preserve"> </w:t>
      </w:r>
      <w:r w:rsidR="00F244E1" w:rsidRPr="00500029">
        <w:rPr>
          <w:bCs/>
          <w:iCs/>
        </w:rPr>
        <w:t xml:space="preserve">optimize </w:t>
      </w:r>
      <w:r w:rsidR="00F244E1" w:rsidRPr="00500029">
        <w:t>the hemo- and thermo-dynamics performance of the HE module</w:t>
      </w:r>
      <w:r w:rsidR="00F244E1" w:rsidRPr="00500029">
        <w:rPr>
          <w:bCs/>
          <w:iCs/>
        </w:rPr>
        <w:t xml:space="preserve"> of an integrated hollow-fiber OXY</w:t>
      </w:r>
      <w:r>
        <w:rPr>
          <w:bCs/>
          <w:iCs/>
        </w:rPr>
        <w:t xml:space="preserve">. </w:t>
      </w:r>
      <w:r w:rsidR="00F044EC" w:rsidRPr="00500029">
        <w:t xml:space="preserve">Afterwards, the inner core micrometric fiber bundles were modeled </w:t>
      </w:r>
      <w:r w:rsidR="00F044EC" w:rsidRPr="00500029">
        <w:rPr>
          <w:lang w:val="en-US"/>
        </w:rPr>
        <w:t>to capture the local flow phenomena at the fibe</w:t>
      </w:r>
      <w:r>
        <w:rPr>
          <w:lang w:val="en-US"/>
        </w:rPr>
        <w:t>r level. Multiscale simulations</w:t>
      </w:r>
      <w:r w:rsidR="00F244E1">
        <w:rPr>
          <w:lang w:val="en-US"/>
        </w:rPr>
        <w:t xml:space="preserve"> </w:t>
      </w:r>
      <w:r w:rsidR="00F044EC" w:rsidRPr="00500029">
        <w:rPr>
          <w:lang w:val="en-US"/>
        </w:rPr>
        <w:t xml:space="preserve">were integrated with a transient Lagrangian analysis of the mechanical load experienced by platelet-like particles, to gather data concerning the stress history experienced by cells recirculating within the device (Pelosi et </w:t>
      </w:r>
      <w:r w:rsidR="00F044EC" w:rsidRPr="00500029">
        <w:rPr>
          <w:i/>
          <w:lang w:val="en-US"/>
        </w:rPr>
        <w:t>al.</w:t>
      </w:r>
      <w:r w:rsidR="00F044EC" w:rsidRPr="00500029">
        <w:rPr>
          <w:lang w:val="en-US"/>
        </w:rPr>
        <w:t xml:space="preserve">, 2013). Representative shear stress loading waveforms </w:t>
      </w:r>
      <w:proofErr w:type="gramStart"/>
      <w:r w:rsidR="00F044EC" w:rsidRPr="00500029">
        <w:rPr>
          <w:lang w:val="en-US"/>
        </w:rPr>
        <w:t>were selected to be reproduced</w:t>
      </w:r>
      <w:proofErr w:type="gramEnd"/>
      <w:r w:rsidR="00F044EC" w:rsidRPr="00500029">
        <w:rPr>
          <w:lang w:val="en-US"/>
        </w:rPr>
        <w:t xml:space="preserve"> </w:t>
      </w:r>
      <w:r w:rsidR="00F044EC" w:rsidRPr="00500029">
        <w:rPr>
          <w:i/>
          <w:lang w:val="en-US"/>
        </w:rPr>
        <w:t>in vitro</w:t>
      </w:r>
      <w:r w:rsidR="00F044EC" w:rsidRPr="00500029">
        <w:rPr>
          <w:lang w:val="en-US"/>
        </w:rPr>
        <w:t xml:space="preserve"> into the Hemodynamic Shearing Device (HSD</w:t>
      </w:r>
      <w:r>
        <w:rPr>
          <w:lang w:val="en-US"/>
        </w:rPr>
        <w:t>, Fig. 1</w:t>
      </w:r>
      <w:r w:rsidR="00F044EC" w:rsidRPr="00500029">
        <w:rPr>
          <w:lang w:val="en-US"/>
        </w:rPr>
        <w:t xml:space="preserve">), in order to quantify the platelet activation state (PAS) </w:t>
      </w:r>
      <w:r w:rsidR="00F044EC" w:rsidRPr="00500029">
        <w:t xml:space="preserve">(Bluestein et </w:t>
      </w:r>
      <w:r w:rsidR="00F044EC" w:rsidRPr="00500029">
        <w:rPr>
          <w:i/>
        </w:rPr>
        <w:t>al.</w:t>
      </w:r>
      <w:r w:rsidR="00F044EC" w:rsidRPr="00500029">
        <w:t xml:space="preserve">, 2013). </w:t>
      </w:r>
    </w:p>
    <w:p w:rsidR="00C9674C" w:rsidRDefault="00C9674C" w:rsidP="00C9674C">
      <w:pPr>
        <w:pStyle w:val="Heading"/>
      </w:pPr>
      <w:r>
        <w:t>Results</w:t>
      </w:r>
    </w:p>
    <w:p w:rsidR="00FB7903" w:rsidRPr="00E909B4" w:rsidRDefault="00452E05" w:rsidP="00C9674C">
      <w:pPr>
        <w:spacing w:after="120"/>
        <w:rPr>
          <w:bCs/>
          <w:iCs/>
        </w:rPr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2846705</wp:posOffset>
            </wp:positionH>
            <wp:positionV relativeFrom="paragraph">
              <wp:posOffset>-5328920</wp:posOffset>
            </wp:positionV>
            <wp:extent cx="2518410" cy="1438910"/>
            <wp:effectExtent l="25400" t="0" r="0" b="0"/>
            <wp:wrapTight wrapText="bothSides">
              <wp:wrapPolygon edited="0">
                <wp:start x="2832" y="763"/>
                <wp:lineTo x="0" y="1906"/>
                <wp:lineTo x="-218" y="11057"/>
                <wp:lineTo x="3486" y="12964"/>
                <wp:lineTo x="-218" y="13345"/>
                <wp:lineTo x="-218" y="21352"/>
                <wp:lineTo x="21567" y="21352"/>
                <wp:lineTo x="21567" y="13345"/>
                <wp:lineTo x="20696" y="12964"/>
                <wp:lineTo x="18300" y="12964"/>
                <wp:lineTo x="21567" y="11057"/>
                <wp:lineTo x="21567" y="3050"/>
                <wp:lineTo x="21132" y="1906"/>
                <wp:lineTo x="18082" y="763"/>
                <wp:lineTo x="2832" y="763"/>
              </wp:wrapPolygon>
            </wp:wrapTight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ve:AlternateContent xmlns:ma="http://schemas.microsoft.com/office/mac/drawingml/2008/main">
                    <ve:Choice Requires="ma"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</ve:Choice>
                    <ve:Fallback xmlns:pic="http://schemas.openxmlformats.org/drawingml/2006/picture" xmlns:a="http://schemas.openxmlformats.org/drawingml/2006/main" xmlns:wne="http://schemas.microsoft.com/office/word/2006/wordml" xmlns:w="http://schemas.openxmlformats.org/wordprocessingml/2006/main" xmlns:w10="urn:schemas-microsoft-com:office:word" xmlns:wp="http://schemas.openxmlformats.org/drawingml/2006/wordprocessingDrawing" xmlns:v="urn:schemas-microsoft-com:vml" xmlns:m="http://schemas.openxmlformats.org/officeDocument/2006/math" xmlns:r="http://schemas.openxmlformats.org/officeDocument/2006/relationships" xmlns:o="urn:schemas-microsoft-com:office:office" xmlns:mv="urn:schemas-microsoft-com:mac:vml" xmlns:ve="http://schemas.openxmlformats.org/markup-compatibility/2006" xmlns:mo="http://schemas.microsoft.com/office/mac/office/2008/main" xmlns=""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</ve:Fallback>
                  </ve:AlternateContent>
                  <pic:spPr bwMode="auto">
                    <a:xfrm>
                      <a:off x="0" y="0"/>
                      <a:ext cx="2518410" cy="1438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9674C">
        <w:t>A</w:t>
      </w:r>
      <w:r w:rsidR="00C9674C" w:rsidRPr="009F662F">
        <w:rPr>
          <w:lang w:val="en-US"/>
        </w:rPr>
        <w:t xml:space="preserve"> convenient design configuration </w:t>
      </w:r>
      <w:r w:rsidR="00C9674C">
        <w:rPr>
          <w:lang w:val="en-US"/>
        </w:rPr>
        <w:t xml:space="preserve">of the HE was identified, </w:t>
      </w:r>
      <w:r w:rsidR="00C9674C" w:rsidRPr="009F662F">
        <w:rPr>
          <w:bCs/>
          <w:iCs/>
          <w:lang w:val="en-US"/>
        </w:rPr>
        <w:t xml:space="preserve">characterized by </w:t>
      </w:r>
      <w:proofErr w:type="spellStart"/>
      <w:r w:rsidR="00C9674C" w:rsidRPr="00665CBE">
        <w:rPr>
          <w:bCs/>
          <w:i/>
          <w:iCs/>
          <w:lang w:val="en-US"/>
        </w:rPr>
        <w:t>i</w:t>
      </w:r>
      <w:proofErr w:type="spellEnd"/>
      <w:r w:rsidR="00C9674C" w:rsidRPr="00665CBE">
        <w:rPr>
          <w:bCs/>
          <w:i/>
          <w:iCs/>
          <w:lang w:val="en-US"/>
        </w:rPr>
        <w:t>)</w:t>
      </w:r>
      <w:r w:rsidR="00C9674C" w:rsidRPr="009F662F">
        <w:rPr>
          <w:bCs/>
          <w:iCs/>
          <w:lang w:val="en-US"/>
        </w:rPr>
        <w:t xml:space="preserve"> uniform blood flow pattern within the fiber bundle, preventing blood flow shunting and the onset of stagnation/recirculation areas and/or high velocity pathways, inducing hemolysis and platelet activation</w:t>
      </w:r>
      <w:r w:rsidR="00C9674C">
        <w:rPr>
          <w:bCs/>
          <w:iCs/>
          <w:lang w:val="en-US"/>
        </w:rPr>
        <w:t>;</w:t>
      </w:r>
      <w:r w:rsidR="00C9674C" w:rsidRPr="009F662F">
        <w:rPr>
          <w:bCs/>
          <w:iCs/>
          <w:lang w:val="en-US"/>
        </w:rPr>
        <w:t xml:space="preserve"> </w:t>
      </w:r>
      <w:r w:rsidR="00C9674C" w:rsidRPr="00665CBE">
        <w:rPr>
          <w:bCs/>
          <w:i/>
          <w:iCs/>
          <w:lang w:val="en-US"/>
        </w:rPr>
        <w:t>ii)</w:t>
      </w:r>
      <w:r w:rsidR="00C9674C" w:rsidRPr="009F662F">
        <w:rPr>
          <w:bCs/>
          <w:iCs/>
          <w:lang w:val="en-US"/>
        </w:rPr>
        <w:t xml:space="preserve"> enhanced blood heating efficiency</w:t>
      </w:r>
      <w:r w:rsidR="00C9674C">
        <w:rPr>
          <w:bCs/>
          <w:iCs/>
          <w:lang w:val="en-US"/>
        </w:rPr>
        <w:t>;</w:t>
      </w:r>
      <w:r w:rsidR="00C9674C" w:rsidRPr="009F662F">
        <w:rPr>
          <w:bCs/>
          <w:iCs/>
          <w:lang w:val="en-US"/>
        </w:rPr>
        <w:t xml:space="preserve"> and </w:t>
      </w:r>
      <w:r w:rsidR="00C9674C" w:rsidRPr="00665CBE">
        <w:rPr>
          <w:bCs/>
          <w:i/>
          <w:iCs/>
          <w:lang w:val="en-US"/>
        </w:rPr>
        <w:t>iii)</w:t>
      </w:r>
      <w:r w:rsidR="00C9674C" w:rsidRPr="009F662F">
        <w:rPr>
          <w:bCs/>
          <w:iCs/>
          <w:lang w:val="en-US"/>
        </w:rPr>
        <w:t xml:space="preserve"> reduced blood pressure drop and priming volume.</w:t>
      </w:r>
    </w:p>
    <w:p w:rsidR="00FB7903" w:rsidRDefault="00FB7903" w:rsidP="00FB7903">
      <w:pPr>
        <w:pStyle w:val="Captions"/>
        <w:spacing w:after="120"/>
        <w:rPr>
          <w:noProof/>
          <w:lang w:val="en-US"/>
        </w:rPr>
      </w:pPr>
      <w:r>
        <w:t>Figure 1:</w:t>
      </w:r>
      <w:r w:rsidRPr="00BD302A">
        <w:rPr>
          <w:noProof/>
          <w:lang w:val="en-US"/>
        </w:rPr>
        <w:t xml:space="preserve"> </w:t>
      </w:r>
      <w:r w:rsidR="00C9674C">
        <w:rPr>
          <w:noProof/>
          <w:lang w:val="en-US"/>
        </w:rPr>
        <w:t>T</w:t>
      </w:r>
      <w:r>
        <w:rPr>
          <w:noProof/>
          <w:lang w:val="en-US"/>
        </w:rPr>
        <w:t xml:space="preserve">he multiscale modeling approach combined with in vitro </w:t>
      </w:r>
      <w:r w:rsidR="00C9674C">
        <w:rPr>
          <w:noProof/>
          <w:lang w:val="en-US"/>
        </w:rPr>
        <w:t xml:space="preserve">PAS </w:t>
      </w:r>
      <w:r>
        <w:rPr>
          <w:noProof/>
          <w:lang w:val="en-US"/>
        </w:rPr>
        <w:t>analysis.</w:t>
      </w:r>
    </w:p>
    <w:p w:rsidR="004C5F80" w:rsidRPr="00FB7903" w:rsidRDefault="00F044EC" w:rsidP="00FB7903">
      <w:pPr>
        <w:spacing w:after="140"/>
        <w:rPr>
          <w:bCs/>
          <w:iCs/>
          <w:lang w:val="en-US"/>
        </w:rPr>
      </w:pPr>
      <w:r w:rsidRPr="00665CBE">
        <w:rPr>
          <w:bCs/>
          <w:iCs/>
          <w:lang w:val="en-US"/>
        </w:rPr>
        <w:t>The microscale analysis highlighted the presence of non</w:t>
      </w:r>
      <w:r>
        <w:rPr>
          <w:bCs/>
          <w:iCs/>
          <w:lang w:val="en-US"/>
        </w:rPr>
        <w:t>-</w:t>
      </w:r>
      <w:r w:rsidRPr="00665CBE">
        <w:rPr>
          <w:bCs/>
          <w:iCs/>
          <w:lang w:val="en-US"/>
        </w:rPr>
        <w:t>negligible</w:t>
      </w:r>
      <w:r>
        <w:rPr>
          <w:bCs/>
          <w:iCs/>
          <w:lang w:val="en-US"/>
        </w:rPr>
        <w:t xml:space="preserve"> hemodynamic forces </w:t>
      </w:r>
      <w:r w:rsidRPr="00665CBE">
        <w:rPr>
          <w:bCs/>
          <w:iCs/>
          <w:lang w:val="en-US"/>
        </w:rPr>
        <w:t xml:space="preserve">in the </w:t>
      </w:r>
      <w:r>
        <w:rPr>
          <w:bCs/>
          <w:iCs/>
          <w:lang w:val="en-US"/>
        </w:rPr>
        <w:t>fiber bundle</w:t>
      </w:r>
      <w:r w:rsidRPr="00665CBE">
        <w:rPr>
          <w:bCs/>
          <w:iCs/>
          <w:lang w:val="en-US"/>
        </w:rPr>
        <w:t xml:space="preserve"> regions of the HE and</w:t>
      </w:r>
      <w:r>
        <w:rPr>
          <w:bCs/>
          <w:iCs/>
          <w:lang w:val="en-US"/>
        </w:rPr>
        <w:t xml:space="preserve"> </w:t>
      </w:r>
      <w:r w:rsidRPr="00665CBE">
        <w:rPr>
          <w:bCs/>
          <w:iCs/>
          <w:lang w:val="en-US"/>
        </w:rPr>
        <w:t>the OXY,</w:t>
      </w:r>
      <w:r>
        <w:rPr>
          <w:bCs/>
          <w:iCs/>
          <w:lang w:val="en-US"/>
        </w:rPr>
        <w:t xml:space="preserve"> in particular due to the significant </w:t>
      </w:r>
      <w:r w:rsidRPr="00665CBE">
        <w:rPr>
          <w:bCs/>
          <w:iCs/>
          <w:lang w:val="en-US"/>
        </w:rPr>
        <w:t>residence</w:t>
      </w:r>
      <w:r>
        <w:rPr>
          <w:bCs/>
          <w:iCs/>
          <w:lang w:val="en-US"/>
        </w:rPr>
        <w:t xml:space="preserve"> </w:t>
      </w:r>
      <w:r w:rsidRPr="00665CBE">
        <w:rPr>
          <w:bCs/>
          <w:iCs/>
          <w:lang w:val="en-US"/>
        </w:rPr>
        <w:t>time of the p</w:t>
      </w:r>
      <w:r>
        <w:rPr>
          <w:bCs/>
          <w:iCs/>
          <w:lang w:val="en-US"/>
        </w:rPr>
        <w:t>latelets</w:t>
      </w:r>
      <w:r w:rsidRPr="00665CBE">
        <w:rPr>
          <w:bCs/>
          <w:iCs/>
          <w:lang w:val="en-US"/>
        </w:rPr>
        <w:t xml:space="preserve"> within the bundles</w:t>
      </w:r>
      <w:r>
        <w:rPr>
          <w:bCs/>
          <w:iCs/>
          <w:lang w:val="en-US"/>
        </w:rPr>
        <w:t xml:space="preserve">, potentially eliciting platelet activation. </w:t>
      </w:r>
      <w:r w:rsidRPr="004C6870">
        <w:rPr>
          <w:bCs/>
          <w:i/>
          <w:iCs/>
          <w:lang w:val="en-US"/>
        </w:rPr>
        <w:t>In vitro</w:t>
      </w:r>
      <w:r>
        <w:rPr>
          <w:bCs/>
          <w:iCs/>
          <w:lang w:val="en-US"/>
        </w:rPr>
        <w:t xml:space="preserve"> PAS analysis with the HSD is ongoing, to quantify the actual thrombotic potential of the device.</w:t>
      </w:r>
    </w:p>
    <w:p w:rsidR="00F044EC" w:rsidRDefault="00F044EC" w:rsidP="00F044EC">
      <w:pPr>
        <w:pStyle w:val="Heading"/>
      </w:pPr>
      <w:bookmarkStart w:id="0" w:name="_GoBack"/>
      <w:bookmarkEnd w:id="0"/>
      <w:r>
        <w:t>Discussion</w:t>
      </w:r>
    </w:p>
    <w:p w:rsidR="004C5F80" w:rsidRPr="00F044EC" w:rsidRDefault="00F044EC" w:rsidP="00F044EC">
      <w:pPr>
        <w:widowControl w:val="0"/>
        <w:suppressAutoHyphens w:val="0"/>
        <w:autoSpaceDE w:val="0"/>
        <w:autoSpaceDN w:val="0"/>
        <w:adjustRightInd w:val="0"/>
        <w:spacing w:after="140"/>
        <w:rPr>
          <w:lang w:val="en-US"/>
        </w:rPr>
      </w:pPr>
      <w:r>
        <w:rPr>
          <w:lang w:val="en-US"/>
        </w:rPr>
        <w:t>The</w:t>
      </w:r>
      <w:r w:rsidRPr="00D00194">
        <w:rPr>
          <w:lang w:val="en-US"/>
        </w:rPr>
        <w:t xml:space="preserve"> </w:t>
      </w:r>
      <w:r>
        <w:rPr>
          <w:lang w:val="en-US"/>
        </w:rPr>
        <w:t>proposed composite num</w:t>
      </w:r>
      <w:r w:rsidR="00C9674C">
        <w:rPr>
          <w:lang w:val="en-US"/>
        </w:rPr>
        <w:t>erical-experimental methodology</w:t>
      </w:r>
      <w:r>
        <w:rPr>
          <w:lang w:val="en-US"/>
        </w:rPr>
        <w:t xml:space="preserve"> </w:t>
      </w:r>
      <w:r w:rsidR="00E31227">
        <w:rPr>
          <w:lang w:val="en-US"/>
        </w:rPr>
        <w:t xml:space="preserve">allows </w:t>
      </w:r>
      <w:r>
        <w:rPr>
          <w:lang w:val="en-US"/>
        </w:rPr>
        <w:t xml:space="preserve">the </w:t>
      </w:r>
      <w:r w:rsidRPr="00D00194">
        <w:rPr>
          <w:lang w:val="en-US"/>
        </w:rPr>
        <w:t>identification</w:t>
      </w:r>
      <w:r>
        <w:rPr>
          <w:lang w:val="en-US"/>
        </w:rPr>
        <w:t xml:space="preserve"> </w:t>
      </w:r>
      <w:r w:rsidRPr="00D00194">
        <w:rPr>
          <w:lang w:val="en-US"/>
        </w:rPr>
        <w:t>of suitable working conditions of blood handling medical devices</w:t>
      </w:r>
      <w:r>
        <w:rPr>
          <w:lang w:val="en-US"/>
        </w:rPr>
        <w:t>,</w:t>
      </w:r>
      <w:r w:rsidRPr="00934111">
        <w:rPr>
          <w:lang w:val="en-US"/>
        </w:rPr>
        <w:t xml:space="preserve"> </w:t>
      </w:r>
      <w:r>
        <w:rPr>
          <w:lang w:val="en-US"/>
        </w:rPr>
        <w:t xml:space="preserve">including the </w:t>
      </w:r>
      <w:r w:rsidRPr="00FE2423">
        <w:rPr>
          <w:lang w:val="en-US"/>
        </w:rPr>
        <w:t>minimiz</w:t>
      </w:r>
      <w:r>
        <w:rPr>
          <w:lang w:val="en-US"/>
        </w:rPr>
        <w:t>ation</w:t>
      </w:r>
      <w:r w:rsidRPr="00FE2423">
        <w:rPr>
          <w:lang w:val="en-US"/>
        </w:rPr>
        <w:t xml:space="preserve"> </w:t>
      </w:r>
      <w:r>
        <w:rPr>
          <w:lang w:val="en-US"/>
        </w:rPr>
        <w:t xml:space="preserve">of </w:t>
      </w:r>
      <w:r w:rsidRPr="00FE2423">
        <w:rPr>
          <w:lang w:val="en-US"/>
        </w:rPr>
        <w:t>stress-mediated blood cells sensitization and</w:t>
      </w:r>
      <w:r>
        <w:rPr>
          <w:lang w:val="en-US"/>
        </w:rPr>
        <w:t xml:space="preserve"> thrombus susceptibility.</w:t>
      </w:r>
      <w:r w:rsidRPr="009F662F">
        <w:t xml:space="preserve"> </w:t>
      </w:r>
    </w:p>
    <w:p w:rsidR="00F044EC" w:rsidRDefault="00F044EC" w:rsidP="00F044EC">
      <w:pPr>
        <w:pStyle w:val="Heading"/>
      </w:pPr>
      <w:r>
        <w:t>References</w:t>
      </w:r>
    </w:p>
    <w:p w:rsidR="00452E05" w:rsidRDefault="00F044EC" w:rsidP="00452E05">
      <w:pPr>
        <w:pStyle w:val="References"/>
      </w:pPr>
      <w:r>
        <w:t xml:space="preserve">Pelosi A. et </w:t>
      </w:r>
      <w:r w:rsidRPr="00DC6AE9">
        <w:rPr>
          <w:i/>
        </w:rPr>
        <w:t>al.</w:t>
      </w:r>
      <w:r w:rsidR="00452E05">
        <w:t>, BMMB, 2013</w:t>
      </w:r>
    </w:p>
    <w:p w:rsidR="00452E05" w:rsidRDefault="00452E05" w:rsidP="00452E05">
      <w:pPr>
        <w:pStyle w:val="References"/>
        <w:spacing w:after="120"/>
      </w:pPr>
      <w:r>
        <w:t xml:space="preserve">Bluestein D et </w:t>
      </w:r>
      <w:r w:rsidRPr="000F7762">
        <w:rPr>
          <w:i/>
        </w:rPr>
        <w:t>al.</w:t>
      </w:r>
      <w:r w:rsidRPr="000F7762">
        <w:t>,</w:t>
      </w:r>
      <w:r>
        <w:t xml:space="preserve"> J </w:t>
      </w:r>
      <w:proofErr w:type="spellStart"/>
      <w:r>
        <w:t>Biomech</w:t>
      </w:r>
      <w:proofErr w:type="spellEnd"/>
      <w:r>
        <w:t xml:space="preserve"> 2013.</w:t>
      </w:r>
    </w:p>
    <w:p w:rsidR="004C5F80" w:rsidRPr="00C9674C" w:rsidRDefault="00F044EC" w:rsidP="00452E05">
      <w:pPr>
        <w:pStyle w:val="References"/>
        <w:spacing w:after="120"/>
      </w:pPr>
      <w:r w:rsidRPr="00C9674C">
        <w:rPr>
          <w:b/>
          <w:i/>
        </w:rPr>
        <w:t>Acknowledgments</w:t>
      </w:r>
      <w:r w:rsidRPr="00C9674C">
        <w:rPr>
          <w:i/>
        </w:rPr>
        <w:t xml:space="preserve">: </w:t>
      </w:r>
      <w:proofErr w:type="gramStart"/>
      <w:r w:rsidRPr="00C9674C">
        <w:rPr>
          <w:bCs/>
          <w:iCs/>
        </w:rPr>
        <w:t xml:space="preserve">This work was financially supported by </w:t>
      </w:r>
      <w:proofErr w:type="spellStart"/>
      <w:r w:rsidRPr="00C9674C">
        <w:rPr>
          <w:bCs/>
          <w:iCs/>
        </w:rPr>
        <w:t>Fondazione</w:t>
      </w:r>
      <w:proofErr w:type="spellEnd"/>
      <w:r w:rsidRPr="00C9674C">
        <w:rPr>
          <w:bCs/>
          <w:iCs/>
        </w:rPr>
        <w:t xml:space="preserve"> </w:t>
      </w:r>
      <w:proofErr w:type="spellStart"/>
      <w:r w:rsidRPr="00C9674C">
        <w:rPr>
          <w:bCs/>
          <w:iCs/>
        </w:rPr>
        <w:t>Cariplo</w:t>
      </w:r>
      <w:proofErr w:type="spellEnd"/>
      <w:r w:rsidRPr="00C9674C">
        <w:rPr>
          <w:bCs/>
          <w:iCs/>
        </w:rPr>
        <w:t>, Grant no. 2241-2011</w:t>
      </w:r>
      <w:proofErr w:type="gramEnd"/>
      <w:r w:rsidRPr="00C9674C">
        <w:rPr>
          <w:bCs/>
          <w:iCs/>
        </w:rPr>
        <w:t>.</w:t>
      </w:r>
    </w:p>
    <w:sectPr w:rsidR="004C5F80" w:rsidRPr="00C9674C" w:rsidSect="004C5F80">
      <w:type w:val="continuous"/>
      <w:pgSz w:w="11906" w:h="16838"/>
      <w:pgMar w:top="1440" w:right="1797" w:bottom="1440" w:left="1797" w:header="0" w:footer="0" w:gutter="0"/>
      <w:cols w:num="2"/>
      <w:formProt w:val="0"/>
      <w:docGrid w:linePitch="360" w:charSpace="204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Droid Sans Fallback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DejaVu Sans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/>
  <w:rsids>
    <w:rsidRoot w:val="004C5F80"/>
    <w:rsid w:val="00187378"/>
    <w:rsid w:val="00452E05"/>
    <w:rsid w:val="004C5F80"/>
    <w:rsid w:val="00500029"/>
    <w:rsid w:val="00C9674C"/>
    <w:rsid w:val="00E31227"/>
    <w:rsid w:val="00E909B4"/>
    <w:rsid w:val="00F044EC"/>
    <w:rsid w:val="00F244E1"/>
    <w:rsid w:val="00FB7903"/>
    <w:rsid w:val="00FF1FC6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040"/>
    <w:pPr>
      <w:suppressAutoHyphens/>
      <w:jc w:val="both"/>
    </w:pPr>
    <w:rPr>
      <w:szCs w:val="24"/>
      <w:lang w:val="en-GB"/>
    </w:rPr>
  </w:style>
  <w:style w:type="paragraph" w:styleId="Heading1">
    <w:name w:val="heading 1"/>
    <w:basedOn w:val="Normal"/>
    <w:next w:val="Normal"/>
    <w:rsid w:val="00B9075D"/>
    <w:pPr>
      <w:keepNext/>
      <w:spacing w:before="240" w:after="60"/>
      <w:outlineLvl w:val="0"/>
    </w:pPr>
    <w:rPr>
      <w:rFonts w:ascii="Arial" w:hAnsi="Arial" w:cs="Arial"/>
      <w:b/>
      <w:bCs/>
      <w:szCs w:val="32"/>
    </w:rPr>
  </w:style>
  <w:style w:type="paragraph" w:styleId="Heading2">
    <w:name w:val="heading 2"/>
    <w:basedOn w:val="Normal"/>
    <w:next w:val="Normal"/>
    <w:rsid w:val="00B9075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rsid w:val="00B9075D"/>
    <w:pPr>
      <w:keepNext/>
      <w:spacing w:before="240" w:after="60"/>
      <w:outlineLvl w:val="2"/>
    </w:pPr>
    <w:rPr>
      <w:rFonts w:ascii="Arial" w:hAnsi="Arial" w:cs="Arial"/>
      <w:b/>
      <w:bCs/>
      <w:szCs w:val="26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SubtleEmphasis">
    <w:name w:val="Subtle Emphasis"/>
    <w:uiPriority w:val="19"/>
    <w:rsid w:val="00D26BBD"/>
    <w:rPr>
      <w:i/>
      <w:iCs/>
      <w:color w:val="808080"/>
    </w:rPr>
  </w:style>
  <w:style w:type="character" w:customStyle="1" w:styleId="BalloonTextChar">
    <w:name w:val="Balloon Text Char"/>
    <w:basedOn w:val="DefaultParagraphFont"/>
    <w:link w:val="BalloonText"/>
    <w:rsid w:val="006A11E9"/>
    <w:rPr>
      <w:rFonts w:ascii="Tahoma" w:hAnsi="Tahoma"/>
      <w:sz w:val="16"/>
      <w:szCs w:val="16"/>
      <w:lang w:val="en-GB"/>
    </w:rPr>
  </w:style>
  <w:style w:type="character" w:customStyle="1" w:styleId="StrongEmphasis">
    <w:name w:val="Strong Emphasis"/>
    <w:rsid w:val="004C5F80"/>
    <w:rPr>
      <w:b/>
      <w:bCs/>
    </w:rPr>
  </w:style>
  <w:style w:type="character" w:customStyle="1" w:styleId="InternetLink">
    <w:name w:val="Internet Link"/>
    <w:rsid w:val="004C5F80"/>
    <w:rPr>
      <w:color w:val="000080"/>
      <w:u w:val="single"/>
      <w:lang w:val="en-029" w:eastAsia="en-029" w:bidi="en-029"/>
    </w:rPr>
  </w:style>
  <w:style w:type="paragraph" w:customStyle="1" w:styleId="Heading">
    <w:name w:val="Heading"/>
    <w:basedOn w:val="Heading2"/>
    <w:next w:val="TextBody"/>
    <w:qFormat/>
    <w:rsid w:val="00440573"/>
    <w:pPr>
      <w:spacing w:before="0" w:after="120"/>
    </w:pPr>
    <w:rPr>
      <w:rFonts w:ascii="Liberation Sans" w:eastAsia="Droid Sans Fallback" w:hAnsi="Liberation Sans" w:cs="DejaVu Sans"/>
      <w:i w:val="0"/>
      <w:sz w:val="28"/>
    </w:rPr>
  </w:style>
  <w:style w:type="paragraph" w:customStyle="1" w:styleId="TextBody">
    <w:name w:val="Text Body"/>
    <w:basedOn w:val="Normal"/>
    <w:rsid w:val="004C5F80"/>
    <w:pPr>
      <w:spacing w:after="140" w:line="288" w:lineRule="auto"/>
    </w:pPr>
  </w:style>
  <w:style w:type="paragraph" w:styleId="List">
    <w:name w:val="List"/>
    <w:basedOn w:val="TextBody"/>
    <w:rsid w:val="004C5F80"/>
    <w:rPr>
      <w:rFonts w:cs="DejaVu Sans"/>
    </w:rPr>
  </w:style>
  <w:style w:type="paragraph" w:styleId="Caption">
    <w:name w:val="caption"/>
    <w:basedOn w:val="Normal"/>
    <w:rsid w:val="004C5F80"/>
    <w:pPr>
      <w:suppressLineNumbers/>
      <w:spacing w:before="120" w:after="120"/>
    </w:pPr>
    <w:rPr>
      <w:rFonts w:cs="DejaVu Sans"/>
      <w:i/>
      <w:iCs/>
      <w:sz w:val="24"/>
    </w:rPr>
  </w:style>
  <w:style w:type="paragraph" w:customStyle="1" w:styleId="Index">
    <w:name w:val="Index"/>
    <w:basedOn w:val="Normal"/>
    <w:rsid w:val="004C5F80"/>
    <w:pPr>
      <w:suppressLineNumbers/>
    </w:pPr>
    <w:rPr>
      <w:rFonts w:cs="DejaVu Sans"/>
    </w:rPr>
  </w:style>
  <w:style w:type="paragraph" w:styleId="Title">
    <w:name w:val="Title"/>
    <w:basedOn w:val="Normal"/>
    <w:qFormat/>
    <w:rsid w:val="00193534"/>
    <w:pPr>
      <w:spacing w:before="280" w:after="280"/>
      <w:jc w:val="center"/>
      <w:outlineLvl w:val="0"/>
    </w:pPr>
    <w:rPr>
      <w:rFonts w:ascii="Arial" w:hAnsi="Arial" w:cs="Arial"/>
      <w:b/>
      <w:bCs/>
      <w:caps/>
      <w:sz w:val="28"/>
      <w:szCs w:val="32"/>
    </w:rPr>
  </w:style>
  <w:style w:type="paragraph" w:customStyle="1" w:styleId="Authors">
    <w:name w:val="Authors"/>
    <w:basedOn w:val="Heading3"/>
    <w:qFormat/>
    <w:rsid w:val="008F14B6"/>
    <w:pPr>
      <w:spacing w:before="0" w:after="0"/>
      <w:jc w:val="center"/>
    </w:pPr>
  </w:style>
  <w:style w:type="paragraph" w:customStyle="1" w:styleId="References">
    <w:name w:val="References"/>
    <w:basedOn w:val="Normal"/>
    <w:qFormat/>
    <w:rsid w:val="00DF6C63"/>
  </w:style>
  <w:style w:type="paragraph" w:customStyle="1" w:styleId="Affiliation">
    <w:name w:val="Affiliation"/>
    <w:basedOn w:val="Heading2"/>
    <w:qFormat/>
    <w:rsid w:val="008F14B6"/>
    <w:pPr>
      <w:spacing w:before="0"/>
      <w:jc w:val="center"/>
    </w:pPr>
    <w:rPr>
      <w:b w:val="0"/>
      <w:sz w:val="22"/>
    </w:rPr>
  </w:style>
  <w:style w:type="paragraph" w:customStyle="1" w:styleId="Captions">
    <w:name w:val="Captions"/>
    <w:basedOn w:val="Normal"/>
    <w:qFormat/>
    <w:rsid w:val="00896679"/>
    <w:rPr>
      <w:i/>
    </w:rPr>
  </w:style>
  <w:style w:type="paragraph" w:customStyle="1" w:styleId="Equation">
    <w:name w:val="Equation"/>
    <w:basedOn w:val="Normal"/>
    <w:qFormat/>
    <w:rsid w:val="009F1AFB"/>
  </w:style>
  <w:style w:type="paragraph" w:styleId="ListParagraph">
    <w:name w:val="List Paragraph"/>
    <w:basedOn w:val="Normal"/>
    <w:uiPriority w:val="34"/>
    <w:rsid w:val="00D26BBD"/>
    <w:pPr>
      <w:ind w:left="708"/>
    </w:pPr>
  </w:style>
  <w:style w:type="paragraph" w:styleId="BalloonText">
    <w:name w:val="Balloon Text"/>
    <w:basedOn w:val="Normal"/>
    <w:link w:val="BalloonTextChar"/>
    <w:rsid w:val="006A11E9"/>
    <w:rPr>
      <w:rFonts w:ascii="Tahoma" w:hAnsi="Tahoma"/>
      <w:sz w:val="16"/>
      <w:szCs w:val="16"/>
    </w:rPr>
  </w:style>
  <w:style w:type="table" w:styleId="TableGrid">
    <w:name w:val="Table Grid"/>
    <w:basedOn w:val="TableNormal"/>
    <w:rsid w:val="00EB49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image" Target="media/image1.pdf"/><Relationship Id="rId5" Type="http://schemas.openxmlformats.org/officeDocument/2006/relationships/image" Target="media/image2.png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467</Words>
  <Characters>2664</Characters>
  <Application>Microsoft Macintosh Word</Application>
  <DocSecurity>0</DocSecurity>
  <Lines>22</Lines>
  <Paragraphs>5</Paragraphs>
  <ScaleCrop>false</ScaleCrop>
  <Company>Politecnico di Torino</Company>
  <LinksUpToDate>false</LinksUpToDate>
  <CharactersWithSpaces>3271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updated by Joao Folgado</dc:creator>
  <cp:lastModifiedBy>Filippo Consolo</cp:lastModifiedBy>
  <cp:revision>12</cp:revision>
  <dcterms:created xsi:type="dcterms:W3CDTF">2015-01-30T15:27:00Z</dcterms:created>
  <dcterms:modified xsi:type="dcterms:W3CDTF">2015-01-30T17:34:00Z</dcterms:modified>
  <dc:language>en-US</dc:language>
</cp:coreProperties>
</file>