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p w14:paraId="118FBCF7" w14:textId="77777777" w:rsidR="00EC09FA" w:rsidRPr="00AF1733" w:rsidRDefault="00FA5010" w:rsidP="000A02DE">
      <w:pPr>
        <w:pStyle w:val="Titolo"/>
        <w:rPr>
          <w:color w:val="auto"/>
          <w:lang w:val="en-GB"/>
        </w:rPr>
      </w:pPr>
      <w:r w:rsidRPr="00AF1733">
        <w:rPr>
          <w:color w:val="auto"/>
          <w:lang w:val="en-GB"/>
        </w:rPr>
        <w:fldChar w:fldCharType="begin"/>
      </w:r>
      <w:r w:rsidRPr="00AF1733">
        <w:rPr>
          <w:color w:val="auto"/>
          <w:lang w:val="en-GB"/>
        </w:rPr>
        <w:instrText xml:space="preserve"> MACROBUTTON MTEditEquationSection2 </w:instrText>
      </w:r>
      <w:r w:rsidRPr="00AF1733">
        <w:rPr>
          <w:rStyle w:val="MTEquationSection"/>
          <w:color w:val="auto"/>
        </w:rPr>
        <w:instrText>Equation Chapter 1 Section 1</w:instrText>
      </w:r>
      <w:r w:rsidRPr="00AF1733">
        <w:rPr>
          <w:color w:val="auto"/>
          <w:lang w:val="en-GB"/>
        </w:rPr>
        <w:fldChar w:fldCharType="begin"/>
      </w:r>
      <w:r w:rsidRPr="00AF1733">
        <w:rPr>
          <w:color w:val="auto"/>
          <w:lang w:val="en-GB"/>
        </w:rPr>
        <w:instrText xml:space="preserve"> SEQ MTEqn \r \h \* MERGEFORMAT </w:instrText>
      </w:r>
      <w:r w:rsidRPr="00AF1733">
        <w:rPr>
          <w:color w:val="auto"/>
          <w:lang w:val="en-GB"/>
        </w:rPr>
        <w:fldChar w:fldCharType="end"/>
      </w:r>
      <w:r w:rsidRPr="00AF1733">
        <w:rPr>
          <w:color w:val="auto"/>
          <w:lang w:val="en-GB"/>
        </w:rPr>
        <w:fldChar w:fldCharType="begin"/>
      </w:r>
      <w:r w:rsidRPr="00AF1733">
        <w:rPr>
          <w:color w:val="auto"/>
          <w:lang w:val="en-GB"/>
        </w:rPr>
        <w:instrText xml:space="preserve"> SEQ MTSec \r 1 \h \* MERGEFORMAT </w:instrText>
      </w:r>
      <w:r w:rsidRPr="00AF1733">
        <w:rPr>
          <w:color w:val="auto"/>
          <w:lang w:val="en-GB"/>
        </w:rPr>
        <w:fldChar w:fldCharType="end"/>
      </w:r>
      <w:r w:rsidRPr="00AF1733">
        <w:rPr>
          <w:color w:val="auto"/>
          <w:lang w:val="en-GB"/>
        </w:rPr>
        <w:fldChar w:fldCharType="begin"/>
      </w:r>
      <w:r w:rsidRPr="00AF1733">
        <w:rPr>
          <w:color w:val="auto"/>
          <w:lang w:val="en-GB"/>
        </w:rPr>
        <w:instrText xml:space="preserve"> SEQ MTChap \r 1 \h \* MERGEFORMAT </w:instrText>
      </w:r>
      <w:r w:rsidRPr="00AF1733">
        <w:rPr>
          <w:color w:val="auto"/>
          <w:lang w:val="en-GB"/>
        </w:rPr>
        <w:fldChar w:fldCharType="end"/>
      </w:r>
      <w:r w:rsidRPr="00AF1733">
        <w:rPr>
          <w:color w:val="auto"/>
          <w:lang w:val="en-GB"/>
        </w:rPr>
        <w:fldChar w:fldCharType="end"/>
      </w:r>
      <w:r w:rsidR="00D3245D" w:rsidRPr="00AF1733">
        <w:rPr>
          <w:color w:val="auto"/>
          <w:lang w:val="en-GB"/>
        </w:rPr>
        <w:t>Measurement of the heat removed by devices for skin tags treatment</w:t>
      </w:r>
    </w:p>
    <w:p w14:paraId="5251030E" w14:textId="77777777" w:rsidR="00EC09FA" w:rsidRPr="00AF1733" w:rsidRDefault="00EC09FA" w:rsidP="00512C31">
      <w:pPr>
        <w:rPr>
          <w:lang w:val="en-GB"/>
        </w:rPr>
      </w:pPr>
    </w:p>
    <w:p w14:paraId="08EF1A30" w14:textId="77777777" w:rsidR="00EC09FA" w:rsidRPr="00AF1733" w:rsidRDefault="000A02DE" w:rsidP="000A02DE">
      <w:pPr>
        <w:jc w:val="center"/>
      </w:pPr>
      <w:r w:rsidRPr="00AF1733">
        <w:t>Marco Tarabini</w:t>
      </w:r>
      <w:r w:rsidR="00D3245D" w:rsidRPr="00AF1733">
        <w:t>, Bortolino Saggin</w:t>
      </w:r>
      <w:r w:rsidR="00330DE3" w:rsidRPr="00AF1733">
        <w:t>, Diego Scaccabarozzi</w:t>
      </w:r>
    </w:p>
    <w:p w14:paraId="57CC5EB4" w14:textId="77777777" w:rsidR="000A02DE" w:rsidRPr="00AF1733" w:rsidRDefault="00EC09FA" w:rsidP="000A02DE">
      <w:pPr>
        <w:pStyle w:val="NoteAutori"/>
        <w:jc w:val="center"/>
      </w:pPr>
      <w:r w:rsidRPr="00AF1733">
        <w:t xml:space="preserve"> </w:t>
      </w:r>
      <w:r w:rsidR="00D3245D" w:rsidRPr="00AF1733">
        <w:t>Politecnico di Milano, Dipartimento di Meccanica, Via Previati 1/C, 23900 Lecco</w:t>
      </w:r>
    </w:p>
    <w:p w14:paraId="565A133B" w14:textId="77777777" w:rsidR="000A02DE" w:rsidRPr="00AF1733" w:rsidRDefault="000A02DE" w:rsidP="000A02DE">
      <w:pPr>
        <w:pStyle w:val="NoteAutori"/>
        <w:jc w:val="center"/>
      </w:pPr>
    </w:p>
    <w:p w14:paraId="58A0913A" w14:textId="77777777" w:rsidR="00EC09FA" w:rsidRPr="00AF1733" w:rsidRDefault="00D3245D" w:rsidP="000A02DE">
      <w:pPr>
        <w:pStyle w:val="Titolo1"/>
        <w:numPr>
          <w:ilvl w:val="0"/>
          <w:numId w:val="0"/>
        </w:numPr>
        <w:rPr>
          <w:lang w:val="en-GB"/>
        </w:rPr>
      </w:pPr>
      <w:r w:rsidRPr="00AF1733">
        <w:rPr>
          <w:lang w:val="en-GB"/>
        </w:rPr>
        <w:t>Abstract</w:t>
      </w:r>
    </w:p>
    <w:p w14:paraId="22F05343" w14:textId="77777777" w:rsidR="00EC09FA" w:rsidRPr="00AF1733" w:rsidRDefault="00512C31" w:rsidP="00512C31">
      <w:pPr>
        <w:pStyle w:val="Testoabstract"/>
        <w:rPr>
          <w:lang w:val="en-GB"/>
        </w:rPr>
      </w:pPr>
      <w:r w:rsidRPr="00AF1733">
        <w:rPr>
          <w:lang w:val="en-GB"/>
        </w:rPr>
        <w:t xml:space="preserve">This paper describes a method for the </w:t>
      </w:r>
      <w:r w:rsidR="00314AC2" w:rsidRPr="00AF1733">
        <w:rPr>
          <w:lang w:val="en-GB"/>
        </w:rPr>
        <w:t>comparison</w:t>
      </w:r>
      <w:r w:rsidRPr="00AF1733">
        <w:rPr>
          <w:lang w:val="en-GB"/>
        </w:rPr>
        <w:t xml:space="preserve"> of the </w:t>
      </w:r>
      <w:r w:rsidR="00314AC2" w:rsidRPr="00AF1733">
        <w:rPr>
          <w:lang w:val="en-GB"/>
        </w:rPr>
        <w:t>cooling capability</w:t>
      </w:r>
      <w:r w:rsidRPr="00AF1733">
        <w:rPr>
          <w:lang w:val="en-GB"/>
        </w:rPr>
        <w:t xml:space="preserve"> of </w:t>
      </w:r>
      <w:r w:rsidR="00C64512" w:rsidRPr="00AF1733">
        <w:rPr>
          <w:lang w:val="en-GB"/>
        </w:rPr>
        <w:t>over-the-counter</w:t>
      </w:r>
      <w:r w:rsidRPr="00AF1733">
        <w:rPr>
          <w:lang w:val="en-GB"/>
        </w:rPr>
        <w:t xml:space="preserve"> devices for skin tags </w:t>
      </w:r>
      <w:r w:rsidR="00965096" w:rsidRPr="00AF1733">
        <w:rPr>
          <w:lang w:val="en-GB"/>
        </w:rPr>
        <w:t>removal</w:t>
      </w:r>
      <w:r w:rsidRPr="00AF1733">
        <w:rPr>
          <w:lang w:val="en-GB"/>
        </w:rPr>
        <w:t xml:space="preserve">. The </w:t>
      </w:r>
      <w:r w:rsidR="00B7485A" w:rsidRPr="00AF1733">
        <w:rPr>
          <w:lang w:val="en-GB"/>
        </w:rPr>
        <w:t>comparison</w:t>
      </w:r>
      <w:r w:rsidRPr="00AF1733">
        <w:rPr>
          <w:lang w:val="en-GB"/>
        </w:rPr>
        <w:t xml:space="preserve"> is </w:t>
      </w:r>
      <w:r w:rsidR="00B7485A" w:rsidRPr="00AF1733">
        <w:rPr>
          <w:lang w:val="en-GB"/>
        </w:rPr>
        <w:t xml:space="preserve">performed by measuring </w:t>
      </w:r>
      <w:r w:rsidR="00343776" w:rsidRPr="00AF1733">
        <w:rPr>
          <w:lang w:val="en-GB"/>
        </w:rPr>
        <w:t xml:space="preserve">the heat flux </w:t>
      </w:r>
      <w:r w:rsidR="007B3E8C" w:rsidRPr="00AF1733">
        <w:rPr>
          <w:lang w:val="en-GB"/>
        </w:rPr>
        <w:t>produced by the</w:t>
      </w:r>
      <w:r w:rsidR="00B7485A" w:rsidRPr="00AF1733">
        <w:rPr>
          <w:lang w:val="en-GB"/>
        </w:rPr>
        <w:t xml:space="preserve"> gas</w:t>
      </w:r>
      <w:r w:rsidR="00692D57" w:rsidRPr="00AF1733">
        <w:rPr>
          <w:lang w:val="en-GB"/>
        </w:rPr>
        <w:t>,</w:t>
      </w:r>
      <w:r w:rsidR="00B7485A" w:rsidRPr="00AF1733">
        <w:rPr>
          <w:lang w:val="en-GB"/>
        </w:rPr>
        <w:t xml:space="preserve"> identified </w:t>
      </w:r>
      <w:r w:rsidR="00343776" w:rsidRPr="00AF1733">
        <w:rPr>
          <w:lang w:val="en-GB"/>
        </w:rPr>
        <w:t>assessing the temperature difference across an element with known thermal resistance</w:t>
      </w:r>
      <w:r w:rsidR="00692D57" w:rsidRPr="00AF1733">
        <w:rPr>
          <w:lang w:val="en-GB"/>
        </w:rPr>
        <w:t>;</w:t>
      </w:r>
      <w:r w:rsidR="00B7485A" w:rsidRPr="00AF1733">
        <w:rPr>
          <w:lang w:val="en-GB"/>
        </w:rPr>
        <w:t xml:space="preserve"> the temperature reached at the interface between the device and the heat flux meter</w:t>
      </w:r>
      <w:r w:rsidR="00692D57" w:rsidRPr="00AF1733">
        <w:rPr>
          <w:lang w:val="en-GB"/>
        </w:rPr>
        <w:t xml:space="preserve"> is also analysed, although it is different from that of the skin during the treatment</w:t>
      </w:r>
      <w:r w:rsidR="00343776" w:rsidRPr="00AF1733">
        <w:rPr>
          <w:lang w:val="en-GB"/>
        </w:rPr>
        <w:t>.</w:t>
      </w:r>
      <w:r w:rsidRPr="00AF1733">
        <w:rPr>
          <w:lang w:val="en-GB"/>
        </w:rPr>
        <w:t xml:space="preserve"> </w:t>
      </w:r>
      <w:r w:rsidR="00343776" w:rsidRPr="00AF1733">
        <w:rPr>
          <w:lang w:val="en-GB"/>
        </w:rPr>
        <w:t>T</w:t>
      </w:r>
      <w:r w:rsidR="00965096" w:rsidRPr="00AF1733">
        <w:rPr>
          <w:lang w:val="en-GB"/>
        </w:rPr>
        <w:t xml:space="preserve">he </w:t>
      </w:r>
      <w:r w:rsidR="00FA5010" w:rsidRPr="00AF1733">
        <w:rPr>
          <w:lang w:val="en-GB"/>
        </w:rPr>
        <w:t xml:space="preserve">measurement </w:t>
      </w:r>
      <w:r w:rsidR="00965096" w:rsidRPr="00AF1733">
        <w:rPr>
          <w:lang w:val="en-GB"/>
        </w:rPr>
        <w:t>accuracy has been</w:t>
      </w:r>
      <w:r w:rsidR="00B61A83" w:rsidRPr="00AF1733">
        <w:rPr>
          <w:lang w:val="en-GB"/>
        </w:rPr>
        <w:t xml:space="preserve"> </w:t>
      </w:r>
      <w:r w:rsidR="00001310" w:rsidRPr="00AF1733">
        <w:rPr>
          <w:lang w:val="en-GB"/>
        </w:rPr>
        <w:t xml:space="preserve">experimentally </w:t>
      </w:r>
      <w:r w:rsidR="00343776" w:rsidRPr="00AF1733">
        <w:rPr>
          <w:lang w:val="en-GB"/>
        </w:rPr>
        <w:t>evaluated and</w:t>
      </w:r>
      <w:r w:rsidR="00692D57" w:rsidRPr="00AF1733">
        <w:rPr>
          <w:lang w:val="en-GB"/>
        </w:rPr>
        <w:t>, with confidence interval of 95%,</w:t>
      </w:r>
      <w:r w:rsidR="00343776" w:rsidRPr="00AF1733">
        <w:rPr>
          <w:lang w:val="en-GB"/>
        </w:rPr>
        <w:t xml:space="preserve"> is </w:t>
      </w:r>
      <w:r w:rsidR="0008496F" w:rsidRPr="00AF1733">
        <w:rPr>
          <w:lang w:val="en-GB"/>
        </w:rPr>
        <w:t>better</w:t>
      </w:r>
      <w:r w:rsidR="00001310" w:rsidRPr="00AF1733">
        <w:rPr>
          <w:lang w:val="en-GB"/>
        </w:rPr>
        <w:t xml:space="preserve"> than 6% for heat flux measurements and lower than 0.3 °C for temperature measurements.</w:t>
      </w:r>
      <w:r w:rsidR="00B61A83" w:rsidRPr="00AF1733">
        <w:rPr>
          <w:lang w:val="en-GB"/>
        </w:rPr>
        <w:t xml:space="preserve"> The instrument allowed comparing the thermal efficiency of nineteen </w:t>
      </w:r>
      <w:r w:rsidR="007B3E8C" w:rsidRPr="00AF1733">
        <w:rPr>
          <w:lang w:val="en-GB"/>
        </w:rPr>
        <w:t>d</w:t>
      </w:r>
      <w:r w:rsidR="00B61A83" w:rsidRPr="00AF1733">
        <w:rPr>
          <w:lang w:val="en-GB"/>
        </w:rPr>
        <w:t xml:space="preserve">imethyl ether and propane </w:t>
      </w:r>
      <w:r w:rsidR="00692D57" w:rsidRPr="00AF1733">
        <w:rPr>
          <w:lang w:val="en-GB"/>
        </w:rPr>
        <w:t>devices of different ty</w:t>
      </w:r>
      <w:r w:rsidR="007B3E8C" w:rsidRPr="00AF1733">
        <w:rPr>
          <w:lang w:val="en-GB"/>
        </w:rPr>
        <w:t>pes (dispenser, spray and foam)</w:t>
      </w:r>
      <w:r w:rsidR="00B61A83" w:rsidRPr="00AF1733">
        <w:rPr>
          <w:lang w:val="en-GB"/>
        </w:rPr>
        <w:t>.</w:t>
      </w:r>
      <w:r w:rsidR="00343776" w:rsidRPr="00AF1733">
        <w:rPr>
          <w:lang w:val="en-GB"/>
        </w:rPr>
        <w:t xml:space="preserve"> Results are by far more reliable than those </w:t>
      </w:r>
      <w:r w:rsidR="00692D57" w:rsidRPr="00AF1733">
        <w:rPr>
          <w:lang w:val="en-GB"/>
        </w:rPr>
        <w:t>obtained with tests performed on subjects</w:t>
      </w:r>
      <w:r w:rsidR="00343776" w:rsidRPr="00AF1733">
        <w:rPr>
          <w:lang w:val="en-GB"/>
        </w:rPr>
        <w:t xml:space="preserve">, where the </w:t>
      </w:r>
      <w:r w:rsidR="00692D57" w:rsidRPr="00AF1733">
        <w:rPr>
          <w:lang w:val="en-GB"/>
        </w:rPr>
        <w:t>intrinsic skin thermal properties variability prevents from assessing differences smaller than 30%</w:t>
      </w:r>
      <w:r w:rsidR="00343776" w:rsidRPr="00AF1733">
        <w:rPr>
          <w:lang w:val="en-GB"/>
        </w:rPr>
        <w:t>.</w:t>
      </w:r>
    </w:p>
    <w:p w14:paraId="78B6E81C" w14:textId="77777777" w:rsidR="00281DD5" w:rsidRPr="00AF1733" w:rsidRDefault="00F16A0D" w:rsidP="00F16A0D">
      <w:pPr>
        <w:rPr>
          <w:lang w:val="en-GB"/>
        </w:rPr>
      </w:pPr>
      <w:r w:rsidRPr="00AF1733">
        <w:rPr>
          <w:b/>
          <w:lang w:val="en-GB"/>
        </w:rPr>
        <w:t>Keywords</w:t>
      </w:r>
      <w:r w:rsidRPr="00AF1733">
        <w:rPr>
          <w:lang w:val="en-GB"/>
        </w:rPr>
        <w:t>: thermal measurements, uncertainty, cryotherapy, skin tags</w:t>
      </w:r>
    </w:p>
    <w:p w14:paraId="1BF371E9" w14:textId="77777777" w:rsidR="00EC09FA" w:rsidRPr="00AF1733" w:rsidRDefault="00512C31" w:rsidP="000A02DE">
      <w:pPr>
        <w:pStyle w:val="Titolo1"/>
        <w:rPr>
          <w:lang w:val="en-GB"/>
        </w:rPr>
      </w:pPr>
      <w:r w:rsidRPr="00AF1733">
        <w:rPr>
          <w:lang w:val="en-GB"/>
        </w:rPr>
        <w:t xml:space="preserve">Introduction </w:t>
      </w:r>
    </w:p>
    <w:p w14:paraId="6565B54F" w14:textId="77777777" w:rsidR="00807308" w:rsidRPr="00AF1733" w:rsidRDefault="00512C31" w:rsidP="00807308">
      <w:pPr>
        <w:rPr>
          <w:lang w:val="en-GB"/>
        </w:rPr>
      </w:pPr>
      <w:r w:rsidRPr="00AF1733">
        <w:rPr>
          <w:lang w:val="en-GB"/>
        </w:rPr>
        <w:t xml:space="preserve">Dermatological cryotherapy is used to treat different skin problems, such as tags, </w:t>
      </w:r>
      <w:r w:rsidRPr="00AF1733">
        <w:rPr>
          <w:i/>
          <w:lang w:val="en-GB"/>
        </w:rPr>
        <w:t>verrucas</w:t>
      </w:r>
      <w:r w:rsidRPr="00AF1733">
        <w:rPr>
          <w:lang w:val="en-GB"/>
        </w:rPr>
        <w:t xml:space="preserve">, </w:t>
      </w:r>
      <w:r w:rsidRPr="00AF1733">
        <w:rPr>
          <w:i/>
          <w:lang w:val="en-GB"/>
        </w:rPr>
        <w:t>molluscum contagiosum</w:t>
      </w:r>
      <w:r w:rsidRPr="00AF1733">
        <w:rPr>
          <w:lang w:val="en-GB"/>
        </w:rPr>
        <w:t>, seborrheic and actinic keratosis. Cryotherapy</w:t>
      </w:r>
      <w:r w:rsidR="00807308" w:rsidRPr="00AF1733">
        <w:rPr>
          <w:lang w:val="en-GB"/>
        </w:rPr>
        <w:t>,</w:t>
      </w:r>
      <w:r w:rsidRPr="00AF1733">
        <w:rPr>
          <w:lang w:val="en-GB"/>
        </w:rPr>
        <w:t xml:space="preserve"> </w:t>
      </w:r>
      <w:r w:rsidR="00807308" w:rsidRPr="00AF1733">
        <w:rPr>
          <w:lang w:val="en-GB"/>
        </w:rPr>
        <w:t xml:space="preserve">typically performed with </w:t>
      </w:r>
      <w:r w:rsidRPr="00AF1733">
        <w:rPr>
          <w:lang w:val="en-GB"/>
        </w:rPr>
        <w:t>liquid nitrogen</w:t>
      </w:r>
      <w:r w:rsidR="00807308" w:rsidRPr="00AF1733">
        <w:rPr>
          <w:lang w:val="en-GB"/>
        </w:rPr>
        <w:t>,</w:t>
      </w:r>
      <w:r w:rsidRPr="00AF1733">
        <w:rPr>
          <w:lang w:val="en-GB"/>
        </w:rPr>
        <w:t xml:space="preserve"> </w:t>
      </w:r>
      <w:r w:rsidR="00807308" w:rsidRPr="00AF1733">
        <w:rPr>
          <w:lang w:val="en-GB"/>
        </w:rPr>
        <w:t>c</w:t>
      </w:r>
      <w:r w:rsidRPr="00AF1733">
        <w:rPr>
          <w:lang w:val="en-GB"/>
        </w:rPr>
        <w:t>onsists of freezing a small skin volume for a short time period</w:t>
      </w:r>
      <w:r w:rsidR="00EF545E" w:rsidRPr="00AF1733">
        <w:rPr>
          <w:lang w:val="en-GB"/>
        </w:rPr>
        <w:t xml:space="preserve"> </w:t>
      </w:r>
      <w:r w:rsidR="00EF545E" w:rsidRPr="00AF1733">
        <w:rPr>
          <w:lang w:val="en-GB"/>
        </w:rPr>
        <w:fldChar w:fldCharType="begin"/>
      </w:r>
      <w:r w:rsidR="00EF545E" w:rsidRPr="00AF1733">
        <w:rPr>
          <w:lang w:val="en-GB"/>
        </w:rPr>
        <w:instrText>ADDIN RW.CITE{{551 Buckley,David 2015; 550 Cockayne,Sarah 2011; 549 Tucker,R 2014}}</w:instrText>
      </w:r>
      <w:r w:rsidR="00EF545E" w:rsidRPr="00AF1733">
        <w:rPr>
          <w:lang w:val="en-GB"/>
        </w:rPr>
        <w:fldChar w:fldCharType="separate"/>
      </w:r>
      <w:r w:rsidR="00EF545E" w:rsidRPr="00AF1733">
        <w:rPr>
          <w:rFonts w:cs="Times New Roman"/>
          <w:lang w:val="en-GB"/>
        </w:rPr>
        <w:t>[1-3]</w:t>
      </w:r>
      <w:r w:rsidR="00EF545E" w:rsidRPr="00AF1733">
        <w:rPr>
          <w:lang w:val="en-GB"/>
        </w:rPr>
        <w:fldChar w:fldCharType="end"/>
      </w:r>
      <w:r w:rsidRPr="00AF1733">
        <w:rPr>
          <w:lang w:val="en-GB"/>
        </w:rPr>
        <w:t xml:space="preserve">. </w:t>
      </w:r>
      <w:r w:rsidR="00C8623F" w:rsidRPr="00AF1733">
        <w:rPr>
          <w:lang w:val="en-GB"/>
        </w:rPr>
        <w:t xml:space="preserve">Up to ten years ago, </w:t>
      </w:r>
      <w:r w:rsidRPr="00AF1733">
        <w:rPr>
          <w:lang w:val="en-GB"/>
        </w:rPr>
        <w:t xml:space="preserve">it </w:t>
      </w:r>
      <w:r w:rsidR="00C8623F" w:rsidRPr="00AF1733">
        <w:rPr>
          <w:lang w:val="en-GB"/>
        </w:rPr>
        <w:t>was</w:t>
      </w:r>
      <w:r w:rsidRPr="00AF1733">
        <w:rPr>
          <w:lang w:val="en-GB"/>
        </w:rPr>
        <w:t xml:space="preserve"> not clear how the low temperature solve</w:t>
      </w:r>
      <w:r w:rsidR="00C8623F" w:rsidRPr="00AF1733">
        <w:rPr>
          <w:lang w:val="en-GB"/>
        </w:rPr>
        <w:t>d</w:t>
      </w:r>
      <w:r w:rsidRPr="00AF1733">
        <w:rPr>
          <w:lang w:val="en-GB"/>
        </w:rPr>
        <w:t xml:space="preserve"> the skin problem</w:t>
      </w:r>
      <w:r w:rsidR="00C8623F" w:rsidRPr="00AF1733">
        <w:rPr>
          <w:lang w:val="en-GB"/>
        </w:rPr>
        <w:t xml:space="preserve"> </w:t>
      </w:r>
      <w:r w:rsidR="00C8623F" w:rsidRPr="00AF1733">
        <w:rPr>
          <w:lang w:val="en-GB"/>
        </w:rPr>
        <w:fldChar w:fldCharType="begin"/>
      </w:r>
      <w:r w:rsidR="00C8623F" w:rsidRPr="00AF1733">
        <w:rPr>
          <w:lang w:val="en-GB"/>
        </w:rPr>
        <w:instrText>ADDIN RW.CITE{{517 Plasencia,JorgeM 2000}}</w:instrText>
      </w:r>
      <w:r w:rsidR="00C8623F" w:rsidRPr="00AF1733">
        <w:rPr>
          <w:lang w:val="en-GB"/>
        </w:rPr>
        <w:fldChar w:fldCharType="separate"/>
      </w:r>
      <w:r w:rsidR="00C8623F" w:rsidRPr="00AF1733">
        <w:rPr>
          <w:lang w:val="en-GB"/>
        </w:rPr>
        <w:t>[</w:t>
      </w:r>
      <w:r w:rsidR="00EF545E" w:rsidRPr="00AF1733">
        <w:rPr>
          <w:lang w:val="en-GB"/>
        </w:rPr>
        <w:t>4</w:t>
      </w:r>
      <w:r w:rsidR="00C8623F" w:rsidRPr="00AF1733">
        <w:rPr>
          <w:lang w:val="en-GB"/>
        </w:rPr>
        <w:t>]</w:t>
      </w:r>
      <w:r w:rsidR="00C8623F" w:rsidRPr="00AF1733">
        <w:rPr>
          <w:lang w:val="en-GB"/>
        </w:rPr>
        <w:fldChar w:fldCharType="end"/>
      </w:r>
      <w:r w:rsidR="00C8623F" w:rsidRPr="00AF1733">
        <w:rPr>
          <w:lang w:val="en-GB"/>
        </w:rPr>
        <w:t xml:space="preserve">. The mechanisms of </w:t>
      </w:r>
      <w:r w:rsidR="00C8623F" w:rsidRPr="00AF1733">
        <w:rPr>
          <w:i/>
          <w:lang w:val="en-GB"/>
        </w:rPr>
        <w:t>verrucas</w:t>
      </w:r>
      <w:r w:rsidR="00C8623F" w:rsidRPr="00AF1733">
        <w:rPr>
          <w:lang w:val="en-GB"/>
        </w:rPr>
        <w:t xml:space="preserve"> removal are nowadays clear and have been clearly explained by Nguyen and Burkhart </w:t>
      </w:r>
      <w:r w:rsidR="00C8623F" w:rsidRPr="00AF1733">
        <w:rPr>
          <w:lang w:val="en-GB"/>
        </w:rPr>
        <w:fldChar w:fldCharType="begin"/>
      </w:r>
      <w:r w:rsidR="00C8623F" w:rsidRPr="00AF1733">
        <w:rPr>
          <w:lang w:val="en-GB"/>
        </w:rPr>
        <w:instrText>ADDIN RW.CITE{{527 Nguyen,NicholasV 2011}}</w:instrText>
      </w:r>
      <w:r w:rsidR="00C8623F" w:rsidRPr="00AF1733">
        <w:rPr>
          <w:lang w:val="en-GB"/>
        </w:rPr>
        <w:fldChar w:fldCharType="separate"/>
      </w:r>
      <w:r w:rsidR="00C8623F" w:rsidRPr="00AF1733">
        <w:rPr>
          <w:lang w:val="en-GB"/>
        </w:rPr>
        <w:t>[</w:t>
      </w:r>
      <w:r w:rsidR="00EF545E" w:rsidRPr="00AF1733">
        <w:rPr>
          <w:lang w:val="en-GB"/>
        </w:rPr>
        <w:t>5</w:t>
      </w:r>
      <w:r w:rsidR="00C8623F" w:rsidRPr="00AF1733">
        <w:rPr>
          <w:lang w:val="en-GB"/>
        </w:rPr>
        <w:t>]</w:t>
      </w:r>
      <w:r w:rsidR="00C8623F" w:rsidRPr="00AF1733">
        <w:rPr>
          <w:lang w:val="en-GB"/>
        </w:rPr>
        <w:fldChar w:fldCharType="end"/>
      </w:r>
      <w:r w:rsidR="00C8623F" w:rsidRPr="00AF1733">
        <w:rPr>
          <w:lang w:val="en-GB"/>
        </w:rPr>
        <w:t xml:space="preserve">; when the tissue temperatures falls below -5°C to -15°C, extracellular ice crystals begin to form. The crystals mechanically disrupts cellular membranes and disturb fluid homeostasis, resulting in cellular dehydration and cell death. Vascular changes associated with circulatory failure become evident </w:t>
      </w:r>
      <w:r w:rsidR="00C8623F" w:rsidRPr="00AF1733">
        <w:rPr>
          <w:lang w:val="en-GB"/>
        </w:rPr>
        <w:lastRenderedPageBreak/>
        <w:t xml:space="preserve">between the formation of extracellular and intracellular ice crystals, as tissue temperatures fall below -15°C. </w:t>
      </w:r>
      <w:r w:rsidR="00C8623F" w:rsidRPr="00AF1733">
        <w:rPr>
          <w:i/>
          <w:lang w:val="en-GB"/>
        </w:rPr>
        <w:t>Microthrombi</w:t>
      </w:r>
      <w:r w:rsidR="00C8623F" w:rsidRPr="00AF1733">
        <w:rPr>
          <w:lang w:val="en-GB"/>
        </w:rPr>
        <w:t xml:space="preserve"> form within damaged vessels leading to ischemic necrosis. </w:t>
      </w:r>
      <w:r w:rsidR="009067BD" w:rsidRPr="00AF1733">
        <w:rPr>
          <w:lang w:val="en-GB"/>
        </w:rPr>
        <w:t xml:space="preserve">Although there are no studies focused on the mechanisms for skin tags treatment, it is reasonable to infer that they are very similar to those occurring for the </w:t>
      </w:r>
      <w:r w:rsidR="009067BD" w:rsidRPr="00AF1733">
        <w:rPr>
          <w:i/>
          <w:lang w:val="en-GB"/>
        </w:rPr>
        <w:t>verrucas</w:t>
      </w:r>
      <w:r w:rsidR="009067BD" w:rsidRPr="00AF1733">
        <w:rPr>
          <w:lang w:val="en-GB"/>
        </w:rPr>
        <w:t>. Similarly</w:t>
      </w:r>
      <w:r w:rsidR="00692D57" w:rsidRPr="00AF1733">
        <w:rPr>
          <w:lang w:val="en-GB"/>
        </w:rPr>
        <w:t>, there is no information about the required cooling rate and the permanence to low temperatures</w:t>
      </w:r>
      <w:r w:rsidR="009067BD" w:rsidRPr="00AF1733">
        <w:rPr>
          <w:lang w:val="en-GB"/>
        </w:rPr>
        <w:t xml:space="preserve"> for the different skin problems</w:t>
      </w:r>
      <w:r w:rsidR="00692D57" w:rsidRPr="00AF1733">
        <w:rPr>
          <w:lang w:val="en-GB"/>
        </w:rPr>
        <w:t xml:space="preserve">, reasonably because of the difficulties in measuring the temperature distribution </w:t>
      </w:r>
      <w:r w:rsidR="00692D57" w:rsidRPr="00AF1733">
        <w:rPr>
          <w:i/>
          <w:lang w:val="en-GB"/>
        </w:rPr>
        <w:t>in vivo</w:t>
      </w:r>
      <w:r w:rsidR="00692D57" w:rsidRPr="00AF1733">
        <w:rPr>
          <w:lang w:val="en-GB"/>
        </w:rPr>
        <w:t xml:space="preserve"> during the treatment.</w:t>
      </w:r>
      <w:r w:rsidR="009067BD" w:rsidRPr="00AF1733">
        <w:rPr>
          <w:lang w:val="en-GB"/>
        </w:rPr>
        <w:t xml:space="preserve"> </w:t>
      </w:r>
    </w:p>
    <w:p w14:paraId="09E98459" w14:textId="77777777" w:rsidR="00C64512" w:rsidRPr="00AF1733" w:rsidRDefault="00512C31" w:rsidP="00512C31">
      <w:pPr>
        <w:rPr>
          <w:lang w:val="en-GB"/>
        </w:rPr>
      </w:pPr>
      <w:r w:rsidRPr="00AF1733">
        <w:rPr>
          <w:lang w:val="en-GB"/>
        </w:rPr>
        <w:t xml:space="preserve">The </w:t>
      </w:r>
      <w:r w:rsidR="005B3682" w:rsidRPr="00AF1733">
        <w:rPr>
          <w:lang w:val="en-GB"/>
        </w:rPr>
        <w:t>most effective</w:t>
      </w:r>
      <w:r w:rsidRPr="00AF1733">
        <w:rPr>
          <w:lang w:val="en-GB"/>
        </w:rPr>
        <w:t xml:space="preserve"> cooling method is the topical application on lesions that one wishes to destroy of a cotton wool swab saturated by immersion in liquid nitrogen or other gases with low boiling temperatures</w:t>
      </w:r>
      <w:r w:rsidR="005E6C06" w:rsidRPr="00AF1733">
        <w:rPr>
          <w:lang w:val="en-GB"/>
        </w:rPr>
        <w:t xml:space="preserve"> </w:t>
      </w:r>
      <w:r w:rsidR="005E6C06" w:rsidRPr="00AF1733">
        <w:rPr>
          <w:lang w:val="en-GB"/>
        </w:rPr>
        <w:fldChar w:fldCharType="begin"/>
      </w:r>
      <w:r w:rsidR="00AC7561" w:rsidRPr="00AF1733">
        <w:rPr>
          <w:lang w:val="en-GB"/>
        </w:rPr>
        <w:instrText>ADDIN RW.CITE{{552 Dall’Oglio,Federica 2012}}</w:instrText>
      </w:r>
      <w:r w:rsidR="005E6C06" w:rsidRPr="00AF1733">
        <w:rPr>
          <w:lang w:val="en-GB"/>
        </w:rPr>
        <w:fldChar w:fldCharType="separate"/>
      </w:r>
      <w:r w:rsidR="00AC7561" w:rsidRPr="00AF1733">
        <w:rPr>
          <w:rFonts w:cs="Times New Roman"/>
          <w:lang w:val="en-GB"/>
        </w:rPr>
        <w:t>[6]</w:t>
      </w:r>
      <w:r w:rsidR="005E6C06" w:rsidRPr="00AF1733">
        <w:rPr>
          <w:lang w:val="en-GB"/>
        </w:rPr>
        <w:fldChar w:fldCharType="end"/>
      </w:r>
      <w:r w:rsidRPr="00AF1733">
        <w:rPr>
          <w:lang w:val="en-GB"/>
        </w:rPr>
        <w:t xml:space="preserve">. </w:t>
      </w:r>
      <w:r w:rsidR="005B3682" w:rsidRPr="00AF1733">
        <w:rPr>
          <w:lang w:val="en-GB"/>
        </w:rPr>
        <w:t xml:space="preserve">Nowadays, several over-the-counter </w:t>
      </w:r>
      <w:r w:rsidR="00853FB3" w:rsidRPr="00AF1733">
        <w:rPr>
          <w:lang w:val="en-GB"/>
        </w:rPr>
        <w:t xml:space="preserve">(OTC) </w:t>
      </w:r>
      <w:r w:rsidR="005B3682" w:rsidRPr="00AF1733">
        <w:rPr>
          <w:lang w:val="en-GB"/>
        </w:rPr>
        <w:t>warts-freezing therapies are available</w:t>
      </w:r>
      <w:r w:rsidR="00EF545E" w:rsidRPr="00AF1733">
        <w:rPr>
          <w:lang w:val="en-GB"/>
        </w:rPr>
        <w:t xml:space="preserve"> </w:t>
      </w:r>
      <w:r w:rsidR="00EF545E" w:rsidRPr="00AF1733">
        <w:rPr>
          <w:lang w:val="en-GB"/>
        </w:rPr>
        <w:fldChar w:fldCharType="begin"/>
      </w:r>
      <w:r w:rsidR="00EF545E" w:rsidRPr="00AF1733">
        <w:rPr>
          <w:lang w:val="en-GB"/>
        </w:rPr>
        <w:instrText>ADDIN RW.CITE{{551 Buckley,David 2015}}</w:instrText>
      </w:r>
      <w:r w:rsidR="00EF545E" w:rsidRPr="00AF1733">
        <w:rPr>
          <w:lang w:val="en-GB"/>
        </w:rPr>
        <w:fldChar w:fldCharType="separate"/>
      </w:r>
      <w:r w:rsidR="00EF545E" w:rsidRPr="00AF1733">
        <w:rPr>
          <w:rFonts w:cs="Times New Roman"/>
          <w:lang w:val="en-GB"/>
        </w:rPr>
        <w:t>[1]</w:t>
      </w:r>
      <w:r w:rsidR="00EF545E" w:rsidRPr="00AF1733">
        <w:rPr>
          <w:lang w:val="en-GB"/>
        </w:rPr>
        <w:fldChar w:fldCharType="end"/>
      </w:r>
      <w:r w:rsidR="005B3682" w:rsidRPr="00AF1733">
        <w:rPr>
          <w:lang w:val="en-GB"/>
        </w:rPr>
        <w:t xml:space="preserve">. These devices use </w:t>
      </w:r>
      <w:r w:rsidR="009067BD" w:rsidRPr="00AF1733">
        <w:rPr>
          <w:lang w:val="en-GB"/>
        </w:rPr>
        <w:t xml:space="preserve">dimethyl ether </w:t>
      </w:r>
      <w:r w:rsidR="005B3682" w:rsidRPr="00AF1733">
        <w:rPr>
          <w:lang w:val="en-GB"/>
        </w:rPr>
        <w:t xml:space="preserve">and </w:t>
      </w:r>
      <w:r w:rsidR="009067BD" w:rsidRPr="00AF1733">
        <w:rPr>
          <w:lang w:val="en-GB"/>
        </w:rPr>
        <w:t xml:space="preserve">propane </w:t>
      </w:r>
      <w:r w:rsidR="005B3682" w:rsidRPr="00AF1733">
        <w:rPr>
          <w:lang w:val="en-GB"/>
        </w:rPr>
        <w:t xml:space="preserve">instead of the liquid nitrogen and their </w:t>
      </w:r>
      <w:r w:rsidRPr="00AF1733">
        <w:rPr>
          <w:lang w:val="en-GB"/>
        </w:rPr>
        <w:t>efficiency is currently assessed by comparing their effects on patients</w:t>
      </w:r>
      <w:r w:rsidR="009067BD" w:rsidRPr="00AF1733">
        <w:rPr>
          <w:lang w:val="en-GB"/>
        </w:rPr>
        <w:t xml:space="preserve"> </w:t>
      </w:r>
      <w:r w:rsidR="00965096" w:rsidRPr="00AF1733">
        <w:rPr>
          <w:lang w:val="en-GB"/>
        </w:rPr>
        <w:fldChar w:fldCharType="begin"/>
      </w:r>
      <w:r w:rsidR="00965096" w:rsidRPr="00AF1733">
        <w:rPr>
          <w:lang w:val="en-GB"/>
        </w:rPr>
        <w:instrText>ADDIN RW.CITE{{518 FochtIII,DeanR 2002}}</w:instrText>
      </w:r>
      <w:r w:rsidR="00965096" w:rsidRPr="00AF1733">
        <w:rPr>
          <w:lang w:val="en-GB"/>
        </w:rPr>
        <w:fldChar w:fldCharType="separate"/>
      </w:r>
      <w:r w:rsidR="00AC7561" w:rsidRPr="00AF1733">
        <w:rPr>
          <w:lang w:val="en-GB"/>
        </w:rPr>
        <w:t>[7]</w:t>
      </w:r>
      <w:r w:rsidR="00965096" w:rsidRPr="00AF1733">
        <w:rPr>
          <w:lang w:val="en-GB"/>
        </w:rPr>
        <w:fldChar w:fldCharType="end"/>
      </w:r>
      <w:r w:rsidR="005B3682" w:rsidRPr="00AF1733">
        <w:rPr>
          <w:lang w:val="en-GB"/>
        </w:rPr>
        <w:t>.</w:t>
      </w:r>
      <w:r w:rsidRPr="00AF1733">
        <w:rPr>
          <w:lang w:val="en-GB"/>
        </w:rPr>
        <w:t xml:space="preserve"> </w:t>
      </w:r>
      <w:r w:rsidR="005B3682" w:rsidRPr="00AF1733">
        <w:rPr>
          <w:lang w:val="en-GB"/>
        </w:rPr>
        <w:t xml:space="preserve">A very simple comparison between over-the-counter wart preparations and liquid nitrogen </w:t>
      </w:r>
      <w:r w:rsidR="009067BD" w:rsidRPr="00AF1733">
        <w:rPr>
          <w:lang w:val="en-GB"/>
        </w:rPr>
        <w:t>has been</w:t>
      </w:r>
      <w:r w:rsidR="005B3682" w:rsidRPr="00AF1733">
        <w:rPr>
          <w:lang w:val="en-GB"/>
        </w:rPr>
        <w:t xml:space="preserve"> presented in reference </w:t>
      </w:r>
      <w:r w:rsidR="005B3682" w:rsidRPr="00AF1733">
        <w:rPr>
          <w:lang w:val="en-GB"/>
        </w:rPr>
        <w:fldChar w:fldCharType="begin"/>
      </w:r>
      <w:r w:rsidR="005B3682" w:rsidRPr="00AF1733">
        <w:rPr>
          <w:lang w:val="en-GB"/>
        </w:rPr>
        <w:instrText>ADDIN RW.CITE{{528 Burkhart,CraigG. 2007}}</w:instrText>
      </w:r>
      <w:r w:rsidR="005B3682" w:rsidRPr="00AF1733">
        <w:rPr>
          <w:lang w:val="en-GB"/>
        </w:rPr>
        <w:fldChar w:fldCharType="separate"/>
      </w:r>
      <w:r w:rsidR="00AC7561" w:rsidRPr="00AF1733">
        <w:rPr>
          <w:lang w:val="en-GB"/>
        </w:rPr>
        <w:t>[8]</w:t>
      </w:r>
      <w:r w:rsidR="005B3682" w:rsidRPr="00AF1733">
        <w:rPr>
          <w:lang w:val="en-GB"/>
        </w:rPr>
        <w:fldChar w:fldCharType="end"/>
      </w:r>
      <w:r w:rsidR="009067BD" w:rsidRPr="00AF1733">
        <w:rPr>
          <w:lang w:val="en-GB"/>
        </w:rPr>
        <w:t>:</w:t>
      </w:r>
      <w:r w:rsidR="005B3682" w:rsidRPr="00AF1733">
        <w:rPr>
          <w:lang w:val="en-GB"/>
        </w:rPr>
        <w:t xml:space="preserve"> </w:t>
      </w:r>
      <w:r w:rsidR="009067BD" w:rsidRPr="00AF1733">
        <w:rPr>
          <w:lang w:val="en-GB"/>
        </w:rPr>
        <w:t>t</w:t>
      </w:r>
      <w:r w:rsidR="00192569" w:rsidRPr="00AF1733">
        <w:rPr>
          <w:lang w:val="en-GB"/>
        </w:rPr>
        <w:t>he comparison was based on the evaluation of temperature measured by a thermometer in contact with the coolant</w:t>
      </w:r>
      <w:r w:rsidR="00853FB3" w:rsidRPr="00AF1733">
        <w:rPr>
          <w:lang w:val="en-GB"/>
        </w:rPr>
        <w:t>.</w:t>
      </w:r>
      <w:r w:rsidR="00192569" w:rsidRPr="00AF1733">
        <w:rPr>
          <w:lang w:val="en-GB"/>
        </w:rPr>
        <w:t xml:space="preserve"> </w:t>
      </w:r>
      <w:r w:rsidR="00853FB3" w:rsidRPr="00AF1733">
        <w:rPr>
          <w:lang w:val="en-GB"/>
        </w:rPr>
        <w:t>G</w:t>
      </w:r>
      <w:r w:rsidR="00192569" w:rsidRPr="00AF1733">
        <w:rPr>
          <w:lang w:val="en-GB"/>
        </w:rPr>
        <w:t xml:space="preserve">iven that the dynamic response of the thermometer was not compensated, results </w:t>
      </w:r>
      <w:r w:rsidR="00853FB3" w:rsidRPr="00AF1733">
        <w:rPr>
          <w:lang w:val="en-GB"/>
        </w:rPr>
        <w:t xml:space="preserve">only evidenced the different </w:t>
      </w:r>
      <w:r w:rsidR="00192569" w:rsidRPr="00AF1733">
        <w:rPr>
          <w:lang w:val="en-GB"/>
        </w:rPr>
        <w:t>temperature</w:t>
      </w:r>
      <w:r w:rsidR="00853FB3" w:rsidRPr="00AF1733">
        <w:rPr>
          <w:lang w:val="en-GB"/>
        </w:rPr>
        <w:t>s</w:t>
      </w:r>
      <w:r w:rsidR="00192569" w:rsidRPr="00AF1733">
        <w:rPr>
          <w:lang w:val="en-GB"/>
        </w:rPr>
        <w:t xml:space="preserve"> </w:t>
      </w:r>
      <w:r w:rsidR="00853FB3" w:rsidRPr="00AF1733">
        <w:rPr>
          <w:lang w:val="en-GB"/>
        </w:rPr>
        <w:t>obtained with</w:t>
      </w:r>
      <w:r w:rsidR="00192569" w:rsidRPr="00AF1733">
        <w:rPr>
          <w:lang w:val="en-GB"/>
        </w:rPr>
        <w:t xml:space="preserve"> liquid nitrogen and </w:t>
      </w:r>
      <w:r w:rsidR="009067BD" w:rsidRPr="00AF1733">
        <w:rPr>
          <w:lang w:val="en-GB"/>
        </w:rPr>
        <w:t xml:space="preserve">dimethyl ether </w:t>
      </w:r>
      <w:r w:rsidR="00192569" w:rsidRPr="00AF1733">
        <w:rPr>
          <w:lang w:val="en-GB"/>
        </w:rPr>
        <w:t>therapies</w:t>
      </w:r>
      <w:r w:rsidR="00853FB3" w:rsidRPr="00AF1733">
        <w:rPr>
          <w:lang w:val="en-GB"/>
        </w:rPr>
        <w:t>.</w:t>
      </w:r>
      <w:r w:rsidR="00192569" w:rsidRPr="00AF1733">
        <w:rPr>
          <w:lang w:val="en-GB"/>
        </w:rPr>
        <w:t xml:space="preserve"> </w:t>
      </w:r>
      <w:r w:rsidR="00853FB3" w:rsidRPr="00AF1733">
        <w:rPr>
          <w:lang w:val="en-GB"/>
        </w:rPr>
        <w:t xml:space="preserve">Neither the comparison of effects on patients nor the measurement of temperature of the boiling fluid </w:t>
      </w:r>
      <w:r w:rsidRPr="00AF1733">
        <w:rPr>
          <w:lang w:val="en-GB"/>
        </w:rPr>
        <w:t>provide for quantitative parameter describing the heat tha</w:t>
      </w:r>
      <w:r w:rsidR="00780216" w:rsidRPr="00AF1733">
        <w:rPr>
          <w:lang w:val="en-GB"/>
        </w:rPr>
        <w:t xml:space="preserve">t the </w:t>
      </w:r>
      <w:r w:rsidR="00314AC2" w:rsidRPr="00AF1733">
        <w:rPr>
          <w:lang w:val="en-GB"/>
        </w:rPr>
        <w:t>cooling fluid</w:t>
      </w:r>
      <w:r w:rsidR="00780216" w:rsidRPr="00AF1733">
        <w:rPr>
          <w:lang w:val="en-GB"/>
        </w:rPr>
        <w:t xml:space="preserve"> removes from the skin</w:t>
      </w:r>
      <w:r w:rsidR="00853FB3" w:rsidRPr="00AF1733">
        <w:rPr>
          <w:lang w:val="en-GB"/>
        </w:rPr>
        <w:t xml:space="preserve">. </w:t>
      </w:r>
      <w:r w:rsidR="009F5FAD" w:rsidRPr="00AF1733">
        <w:rPr>
          <w:lang w:val="en-GB"/>
        </w:rPr>
        <w:t xml:space="preserve">The large inter- and intra-subject variability of the skin thermal parameters reported in </w:t>
      </w:r>
      <w:r w:rsidR="00692D57" w:rsidRPr="00AF1733">
        <w:rPr>
          <w:lang w:val="en-GB"/>
        </w:rPr>
        <w:t>existing studies</w:t>
      </w:r>
      <w:r w:rsidR="009F5FAD" w:rsidRPr="00AF1733">
        <w:rPr>
          <w:lang w:val="en-GB"/>
        </w:rPr>
        <w:t xml:space="preserve"> </w:t>
      </w:r>
      <w:r w:rsidR="009F5FAD" w:rsidRPr="00AF1733">
        <w:rPr>
          <w:lang w:val="en-GB"/>
        </w:rPr>
        <w:fldChar w:fldCharType="begin"/>
      </w:r>
      <w:r w:rsidR="009F5FAD" w:rsidRPr="00AF1733">
        <w:rPr>
          <w:lang w:val="en-GB"/>
        </w:rPr>
        <w:instrText>ADDIN RW.CITE{{484 Saggin,B. 2012; 300 Tarabini,Marco 2012}}</w:instrText>
      </w:r>
      <w:r w:rsidR="009F5FAD" w:rsidRPr="00AF1733">
        <w:rPr>
          <w:lang w:val="en-GB"/>
        </w:rPr>
        <w:fldChar w:fldCharType="separate"/>
      </w:r>
      <w:r w:rsidR="00AC7561" w:rsidRPr="00AF1733">
        <w:rPr>
          <w:rFonts w:cs="Times New Roman"/>
          <w:lang w:val="en-GB"/>
        </w:rPr>
        <w:t>[9, 10]</w:t>
      </w:r>
      <w:r w:rsidR="009F5FAD" w:rsidRPr="00AF1733">
        <w:rPr>
          <w:lang w:val="en-GB"/>
        </w:rPr>
        <w:fldChar w:fldCharType="end"/>
      </w:r>
      <w:r w:rsidR="009F5FAD" w:rsidRPr="00AF1733">
        <w:rPr>
          <w:lang w:val="en-GB"/>
        </w:rPr>
        <w:t xml:space="preserve"> </w:t>
      </w:r>
      <w:r w:rsidR="000216A2" w:rsidRPr="00AF1733">
        <w:rPr>
          <w:lang w:val="en-GB"/>
        </w:rPr>
        <w:t>actually prevents from comparing devices with very similar performances, given that</w:t>
      </w:r>
      <w:r w:rsidR="00F85185" w:rsidRPr="00AF1733">
        <w:rPr>
          <w:lang w:val="en-GB"/>
        </w:rPr>
        <w:t xml:space="preserve"> </w:t>
      </w:r>
      <w:r w:rsidR="009067BD" w:rsidRPr="00AF1733">
        <w:rPr>
          <w:lang w:val="en-GB"/>
        </w:rPr>
        <w:t xml:space="preserve">the </w:t>
      </w:r>
      <w:r w:rsidR="00F85185" w:rsidRPr="00AF1733">
        <w:rPr>
          <w:lang w:val="en-GB"/>
        </w:rPr>
        <w:t xml:space="preserve">coefficient of variation </w:t>
      </w:r>
      <w:r w:rsidR="00A96D7C" w:rsidRPr="00AF1733">
        <w:rPr>
          <w:lang w:val="en-GB"/>
        </w:rPr>
        <w:t xml:space="preserve">(hereinafter COV, the ratio between the standard deviation and the mean) </w:t>
      </w:r>
      <w:r w:rsidR="00F85185" w:rsidRPr="00AF1733">
        <w:rPr>
          <w:lang w:val="en-GB"/>
        </w:rPr>
        <w:t xml:space="preserve">of the skin-contact thermal resistance </w:t>
      </w:r>
      <w:r w:rsidR="009067BD" w:rsidRPr="00AF1733">
        <w:rPr>
          <w:lang w:val="en-GB"/>
        </w:rPr>
        <w:t xml:space="preserve">is larger than </w:t>
      </w:r>
      <w:r w:rsidR="00F85185" w:rsidRPr="00AF1733">
        <w:rPr>
          <w:lang w:val="en-GB"/>
        </w:rPr>
        <w:t>1</w:t>
      </w:r>
      <w:r w:rsidR="009067BD" w:rsidRPr="00AF1733">
        <w:rPr>
          <w:lang w:val="en-GB"/>
        </w:rPr>
        <w:t>5</w:t>
      </w:r>
      <w:r w:rsidR="00F85185" w:rsidRPr="00AF1733">
        <w:rPr>
          <w:lang w:val="en-GB"/>
        </w:rPr>
        <w:t xml:space="preserve">%. Consequently, at the current state of the art, it is not possible to compare the thermal performances of devices </w:t>
      </w:r>
      <w:r w:rsidR="00692D57" w:rsidRPr="00AF1733">
        <w:rPr>
          <w:lang w:val="en-GB"/>
        </w:rPr>
        <w:t xml:space="preserve">for cryotherapy </w:t>
      </w:r>
      <w:r w:rsidR="00780216" w:rsidRPr="00AF1733">
        <w:rPr>
          <w:lang w:val="en-GB"/>
        </w:rPr>
        <w:t>in repeatability conditions</w:t>
      </w:r>
      <w:r w:rsidR="00F85185" w:rsidRPr="00AF1733">
        <w:rPr>
          <w:lang w:val="en-GB"/>
        </w:rPr>
        <w:t>, since neither it is possible to perform multiple tests on a single subject (for obvious safety reasons) nor it is possible to infer small differences from experimental results performed on different patients</w:t>
      </w:r>
      <w:r w:rsidR="00780216" w:rsidRPr="00AF1733">
        <w:rPr>
          <w:lang w:val="en-GB"/>
        </w:rPr>
        <w:t>.</w:t>
      </w:r>
      <w:r w:rsidRPr="00AF1733">
        <w:rPr>
          <w:lang w:val="en-GB"/>
        </w:rPr>
        <w:t xml:space="preserve"> </w:t>
      </w:r>
    </w:p>
    <w:p w14:paraId="5E870C58" w14:textId="77777777" w:rsidR="004B247E" w:rsidRPr="00AF1733" w:rsidRDefault="004B247E" w:rsidP="00512C31">
      <w:pPr>
        <w:rPr>
          <w:lang w:val="en-GB"/>
        </w:rPr>
      </w:pPr>
      <w:r w:rsidRPr="00AF1733">
        <w:rPr>
          <w:lang w:val="en-GB"/>
        </w:rPr>
        <w:t xml:space="preserve">Despite the variety of literature works focused on spray measurements </w:t>
      </w:r>
      <w:r w:rsidR="00DC1EB8" w:rsidRPr="00AF1733">
        <w:rPr>
          <w:lang w:val="en-GB"/>
        </w:rPr>
        <w:fldChar w:fldCharType="begin"/>
      </w:r>
      <w:r w:rsidR="00DC1EB8" w:rsidRPr="00AF1733">
        <w:rPr>
          <w:lang w:val="en-GB"/>
        </w:rPr>
        <w:instrText>ADDIN RW.CITE{{573 ToddDFanslerandScott,E.Parrish 2015}}</w:instrText>
      </w:r>
      <w:r w:rsidR="00DC1EB8" w:rsidRPr="00AF1733">
        <w:rPr>
          <w:lang w:val="en-GB"/>
        </w:rPr>
        <w:fldChar w:fldCharType="separate"/>
      </w:r>
      <w:r w:rsidR="00DC1EB8" w:rsidRPr="00AF1733">
        <w:rPr>
          <w:rFonts w:cs="Times New Roman"/>
          <w:lang w:val="en-GB"/>
        </w:rPr>
        <w:t>[11]</w:t>
      </w:r>
      <w:r w:rsidR="00DC1EB8" w:rsidRPr="00AF1733">
        <w:rPr>
          <w:lang w:val="en-GB"/>
        </w:rPr>
        <w:fldChar w:fldCharType="end"/>
      </w:r>
      <w:r w:rsidR="00DC1EB8" w:rsidRPr="00AF1733">
        <w:rPr>
          <w:lang w:val="en-GB"/>
        </w:rPr>
        <w:t>, none of them is focused on the direct measurement of the heat flux produced by the spray</w:t>
      </w:r>
      <w:r w:rsidR="002904C0" w:rsidRPr="00AF1733">
        <w:rPr>
          <w:lang w:val="en-GB"/>
        </w:rPr>
        <w:t>.</w:t>
      </w:r>
      <w:r w:rsidR="00DC1EB8" w:rsidRPr="00AF1733">
        <w:rPr>
          <w:lang w:val="en-GB"/>
        </w:rPr>
        <w:t xml:space="preserve"> </w:t>
      </w:r>
      <w:r w:rsidR="002904C0" w:rsidRPr="00AF1733">
        <w:rPr>
          <w:lang w:val="en-GB"/>
        </w:rPr>
        <w:t>T</w:t>
      </w:r>
      <w:r w:rsidR="00DC1EB8" w:rsidRPr="00AF1733">
        <w:rPr>
          <w:lang w:val="en-GB"/>
        </w:rPr>
        <w:t>he latter could be identified from the droplet volume flux and the gas characteristics</w:t>
      </w:r>
      <w:r w:rsidR="00505EDD" w:rsidRPr="00AF1733">
        <w:rPr>
          <w:lang w:val="en-GB"/>
        </w:rPr>
        <w:t xml:space="preserve"> </w:t>
      </w:r>
      <w:r w:rsidR="00A84EBF" w:rsidRPr="00AF1733">
        <w:rPr>
          <w:lang w:val="en-GB"/>
        </w:rPr>
        <w:fldChar w:fldCharType="begin"/>
      </w:r>
      <w:r w:rsidR="00A84EBF" w:rsidRPr="00AF1733">
        <w:rPr>
          <w:lang w:val="en-GB"/>
        </w:rPr>
        <w:instrText>ADDIN RW.CITE{{574 Tropea,Cameron 2011}}</w:instrText>
      </w:r>
      <w:r w:rsidR="00A84EBF" w:rsidRPr="00AF1733">
        <w:rPr>
          <w:lang w:val="en-GB"/>
        </w:rPr>
        <w:fldChar w:fldCharType="separate"/>
      </w:r>
      <w:r w:rsidR="00A84EBF" w:rsidRPr="00AF1733">
        <w:rPr>
          <w:rFonts w:cs="Times New Roman"/>
          <w:lang w:val="en-GB"/>
        </w:rPr>
        <w:t>[12]</w:t>
      </w:r>
      <w:r w:rsidR="00A84EBF" w:rsidRPr="00AF1733">
        <w:rPr>
          <w:lang w:val="en-GB"/>
        </w:rPr>
        <w:fldChar w:fldCharType="end"/>
      </w:r>
      <w:r w:rsidR="00DC1EB8" w:rsidRPr="00AF1733">
        <w:rPr>
          <w:lang w:val="en-GB"/>
        </w:rPr>
        <w:t xml:space="preserve">, but the </w:t>
      </w:r>
      <w:r w:rsidR="00D665B0" w:rsidRPr="00AF1733">
        <w:rPr>
          <w:lang w:val="en-GB"/>
        </w:rPr>
        <w:t>required</w:t>
      </w:r>
      <w:r w:rsidR="00DC1EB8" w:rsidRPr="00AF1733">
        <w:rPr>
          <w:lang w:val="en-GB"/>
        </w:rPr>
        <w:t xml:space="preserve"> instrumentation would be </w:t>
      </w:r>
      <w:r w:rsidR="00DC1EB8" w:rsidRPr="00AF1733">
        <w:rPr>
          <w:lang w:val="en-GB"/>
        </w:rPr>
        <w:lastRenderedPageBreak/>
        <w:t xml:space="preserve">expensive and </w:t>
      </w:r>
      <w:r w:rsidR="002904C0" w:rsidRPr="00AF1733">
        <w:rPr>
          <w:lang w:val="en-GB"/>
        </w:rPr>
        <w:t xml:space="preserve">it would be impossible to compare </w:t>
      </w:r>
      <w:r w:rsidR="000F27D3" w:rsidRPr="00AF1733">
        <w:rPr>
          <w:lang w:val="en-GB"/>
        </w:rPr>
        <w:t xml:space="preserve">the spray performances with the </w:t>
      </w:r>
      <w:r w:rsidR="00D665B0" w:rsidRPr="00AF1733">
        <w:rPr>
          <w:lang w:val="en-GB"/>
        </w:rPr>
        <w:t xml:space="preserve">ones of </w:t>
      </w:r>
      <w:r w:rsidR="004B2742" w:rsidRPr="00AF1733">
        <w:rPr>
          <w:lang w:val="en-GB"/>
        </w:rPr>
        <w:t xml:space="preserve">wet </w:t>
      </w:r>
      <w:r w:rsidR="000F27D3" w:rsidRPr="00AF1733">
        <w:rPr>
          <w:lang w:val="en-GB"/>
        </w:rPr>
        <w:t>foam-based devices.</w:t>
      </w:r>
      <w:r w:rsidR="00DC1EB8" w:rsidRPr="00AF1733">
        <w:rPr>
          <w:lang w:val="en-GB"/>
        </w:rPr>
        <w:t xml:space="preserve"> </w:t>
      </w:r>
    </w:p>
    <w:p w14:paraId="7DF166C7" w14:textId="77777777" w:rsidR="000F1077" w:rsidRPr="00AF1733" w:rsidRDefault="00512C31" w:rsidP="00486E20">
      <w:pPr>
        <w:rPr>
          <w:lang w:val="en-GB"/>
        </w:rPr>
      </w:pPr>
      <w:r w:rsidRPr="00AF1733">
        <w:rPr>
          <w:lang w:val="en-GB"/>
        </w:rPr>
        <w:t xml:space="preserve">In this paper, we describe a </w:t>
      </w:r>
      <w:r w:rsidR="00875BE9" w:rsidRPr="00AF1733">
        <w:rPr>
          <w:lang w:val="en-GB"/>
        </w:rPr>
        <w:t>method</w:t>
      </w:r>
      <w:r w:rsidRPr="00AF1733">
        <w:rPr>
          <w:lang w:val="en-GB"/>
        </w:rPr>
        <w:t xml:space="preserve"> for the measurement of the heat </w:t>
      </w:r>
      <w:r w:rsidR="00853FB3" w:rsidRPr="00AF1733">
        <w:rPr>
          <w:lang w:val="en-GB"/>
        </w:rPr>
        <w:t>removed by</w:t>
      </w:r>
      <w:r w:rsidRPr="00AF1733">
        <w:rPr>
          <w:lang w:val="en-GB"/>
        </w:rPr>
        <w:t xml:space="preserve"> different </w:t>
      </w:r>
      <w:r w:rsidR="00482B41" w:rsidRPr="00AF1733">
        <w:rPr>
          <w:lang w:val="en-GB"/>
        </w:rPr>
        <w:t xml:space="preserve">OTC devices for the skin tags removal, which are similar to the ones used for </w:t>
      </w:r>
      <w:r w:rsidR="00482B41" w:rsidRPr="00AF1733">
        <w:rPr>
          <w:i/>
          <w:lang w:val="en-GB"/>
        </w:rPr>
        <w:t>verrucas</w:t>
      </w:r>
      <w:r w:rsidR="00482B41" w:rsidRPr="00AF1733">
        <w:rPr>
          <w:lang w:val="en-GB"/>
        </w:rPr>
        <w:t xml:space="preserve"> treatment</w:t>
      </w:r>
      <w:r w:rsidR="00692D57" w:rsidRPr="00AF1733">
        <w:rPr>
          <w:lang w:val="en-GB"/>
        </w:rPr>
        <w:t xml:space="preserve">, given that they use the </w:t>
      </w:r>
      <w:r w:rsidR="00482B41" w:rsidRPr="00AF1733">
        <w:rPr>
          <w:lang w:val="en-GB"/>
        </w:rPr>
        <w:t>same fluid</w:t>
      </w:r>
      <w:r w:rsidR="00692D57" w:rsidRPr="00AF1733">
        <w:rPr>
          <w:lang w:val="en-GB"/>
        </w:rPr>
        <w:t xml:space="preserve"> but </w:t>
      </w:r>
      <w:r w:rsidR="00482B41" w:rsidRPr="00AF1733">
        <w:rPr>
          <w:lang w:val="en-GB"/>
        </w:rPr>
        <w:t>different</w:t>
      </w:r>
      <w:r w:rsidR="004E589A" w:rsidRPr="00AF1733">
        <w:rPr>
          <w:lang w:val="en-GB"/>
        </w:rPr>
        <w:t xml:space="preserve"> spray nozzle</w:t>
      </w:r>
      <w:r w:rsidR="00692D57" w:rsidRPr="00AF1733">
        <w:rPr>
          <w:lang w:val="en-GB"/>
        </w:rPr>
        <w:t>s</w:t>
      </w:r>
      <w:r w:rsidRPr="00AF1733">
        <w:rPr>
          <w:lang w:val="en-GB"/>
        </w:rPr>
        <w:t>.</w:t>
      </w:r>
      <w:r w:rsidR="00853FB3" w:rsidRPr="00AF1733">
        <w:rPr>
          <w:lang w:val="en-GB"/>
        </w:rPr>
        <w:t xml:space="preserve"> The </w:t>
      </w:r>
      <w:r w:rsidR="00875BE9" w:rsidRPr="00AF1733">
        <w:rPr>
          <w:lang w:val="en-GB"/>
        </w:rPr>
        <w:t>measurement method</w:t>
      </w:r>
      <w:r w:rsidR="00486E20" w:rsidRPr="00AF1733">
        <w:rPr>
          <w:lang w:val="en-GB"/>
        </w:rPr>
        <w:t>,</w:t>
      </w:r>
      <w:r w:rsidR="00853FB3" w:rsidRPr="00AF1733">
        <w:rPr>
          <w:lang w:val="en-GB"/>
        </w:rPr>
        <w:t xml:space="preserve"> based on a heat flux meter</w:t>
      </w:r>
      <w:r w:rsidR="00486E20" w:rsidRPr="00AF1733">
        <w:rPr>
          <w:lang w:val="en-GB"/>
        </w:rPr>
        <w:t>,</w:t>
      </w:r>
      <w:r w:rsidR="00853FB3" w:rsidRPr="00AF1733">
        <w:rPr>
          <w:lang w:val="en-GB"/>
        </w:rPr>
        <w:t xml:space="preserve"> allows evaluating the heat flux </w:t>
      </w:r>
      <w:r w:rsidR="00486E20" w:rsidRPr="00AF1733">
        <w:rPr>
          <w:lang w:val="en-GB"/>
        </w:rPr>
        <w:t xml:space="preserve">produced by the </w:t>
      </w:r>
      <w:r w:rsidR="00061C74" w:rsidRPr="00AF1733">
        <w:rPr>
          <w:lang w:val="en-GB"/>
        </w:rPr>
        <w:t xml:space="preserve">different </w:t>
      </w:r>
      <w:r w:rsidR="00486E20" w:rsidRPr="00AF1733">
        <w:rPr>
          <w:lang w:val="en-GB"/>
        </w:rPr>
        <w:t>OTC devices</w:t>
      </w:r>
      <w:r w:rsidR="00061C74" w:rsidRPr="00AF1733">
        <w:rPr>
          <w:lang w:val="en-GB"/>
        </w:rPr>
        <w:t xml:space="preserve"> (foam, dispenser and spray types)</w:t>
      </w:r>
      <w:r w:rsidR="00486E20" w:rsidRPr="00AF1733">
        <w:rPr>
          <w:lang w:val="en-GB"/>
        </w:rPr>
        <w:t>.</w:t>
      </w:r>
      <w:r w:rsidR="00AE3A8E" w:rsidRPr="00AF1733">
        <w:rPr>
          <w:lang w:val="en-GB"/>
        </w:rPr>
        <w:t xml:space="preserve"> </w:t>
      </w:r>
      <w:r w:rsidR="00486E20" w:rsidRPr="00AF1733">
        <w:rPr>
          <w:lang w:val="en-GB"/>
        </w:rPr>
        <w:t>A</w:t>
      </w:r>
      <w:r w:rsidR="00CD1F7F" w:rsidRPr="00AF1733">
        <w:rPr>
          <w:lang w:val="en-GB"/>
        </w:rPr>
        <w:t>s explained in detail in this paper</w:t>
      </w:r>
      <w:r w:rsidR="00486E20" w:rsidRPr="00AF1733">
        <w:rPr>
          <w:lang w:val="en-GB"/>
        </w:rPr>
        <w:t xml:space="preserve">, the heat flux can be used to estimate the skin temperature using the skin thermal resistance models available in the literature </w:t>
      </w:r>
      <w:r w:rsidR="00AE3A8E" w:rsidRPr="00AF1733">
        <w:rPr>
          <w:lang w:val="en-GB"/>
        </w:rPr>
        <w:fldChar w:fldCharType="begin"/>
      </w:r>
      <w:r w:rsidR="00154C47" w:rsidRPr="00AF1733">
        <w:rPr>
          <w:lang w:val="en-GB"/>
        </w:rPr>
        <w:instrText>ADDIN RW.CITE{{484 Saggin,B. 2012; 300 Tarabini,Marco 2012; 202 Fan,Liang-Tseng 1971; 211 Ho,Hsin-Ni 2007; 191 Ho,Hsin-Ni 2006; 192 Ho,Hsin-Ni 2008}}</w:instrText>
      </w:r>
      <w:r w:rsidR="00AE3A8E" w:rsidRPr="00AF1733">
        <w:rPr>
          <w:lang w:val="en-GB"/>
        </w:rPr>
        <w:fldChar w:fldCharType="separate"/>
      </w:r>
      <w:r w:rsidR="00A84EBF" w:rsidRPr="00AF1733">
        <w:rPr>
          <w:lang w:val="en-GB"/>
        </w:rPr>
        <w:t>[9, 10, 13-16]</w:t>
      </w:r>
      <w:r w:rsidR="00AE3A8E" w:rsidRPr="00AF1733">
        <w:rPr>
          <w:lang w:val="en-GB"/>
        </w:rPr>
        <w:fldChar w:fldCharType="end"/>
      </w:r>
      <w:r w:rsidR="00486E20" w:rsidRPr="00AF1733">
        <w:rPr>
          <w:lang w:val="en-GB"/>
        </w:rPr>
        <w:t>.</w:t>
      </w:r>
      <w:r w:rsidR="00853FB3" w:rsidRPr="00AF1733">
        <w:rPr>
          <w:lang w:val="en-GB"/>
        </w:rPr>
        <w:t xml:space="preserve"> </w:t>
      </w:r>
      <w:r w:rsidR="00CD1F7F" w:rsidRPr="00AF1733">
        <w:rPr>
          <w:lang w:val="en-GB"/>
        </w:rPr>
        <w:t xml:space="preserve">The manuscript is structured as follow: the proposed method and the measurement model are described in section 2. Section 3 describes the </w:t>
      </w:r>
      <w:r w:rsidR="000E720D" w:rsidRPr="00AF1733">
        <w:rPr>
          <w:lang w:val="en-GB"/>
        </w:rPr>
        <w:t>results of experiments performed to compare the cooling properties of nineteen OTC devices for skin tags treatment. Experimental results are discussed in section 4 and conclusions are drawn in section 5.</w:t>
      </w:r>
    </w:p>
    <w:p w14:paraId="3100E631" w14:textId="77777777" w:rsidR="00512C31" w:rsidRPr="00AF1733" w:rsidRDefault="00512C31" w:rsidP="00771830">
      <w:pPr>
        <w:pStyle w:val="Titolo1"/>
        <w:rPr>
          <w:lang w:val="en-GB"/>
        </w:rPr>
      </w:pPr>
      <w:r w:rsidRPr="00AF1733">
        <w:rPr>
          <w:lang w:val="en-GB"/>
        </w:rPr>
        <w:t>Proposed Method</w:t>
      </w:r>
    </w:p>
    <w:p w14:paraId="0A8BB00F" w14:textId="77777777" w:rsidR="00363C16" w:rsidRPr="00AF1733" w:rsidRDefault="004A32B4" w:rsidP="00512C31">
      <w:pPr>
        <w:rPr>
          <w:lang w:val="en-GB"/>
        </w:rPr>
      </w:pPr>
      <w:r w:rsidRPr="00AF1733">
        <w:rPr>
          <w:lang w:val="en-GB"/>
        </w:rPr>
        <w:t xml:space="preserve">The first step for the analysis of the interaction between the OTC device and the skin is to identify a thermal model; for current purposes, the OTC device has been modelled with a heat flux generator, given that a fixed fluid quantity undergoes the evaporation process at the proximity of the skin. </w:t>
      </w:r>
      <w:r w:rsidR="00512C31" w:rsidRPr="00AF1733">
        <w:rPr>
          <w:lang w:val="en-GB"/>
        </w:rPr>
        <w:t xml:space="preserve">The thermal scheme of </w:t>
      </w:r>
      <w:r w:rsidRPr="00AF1733">
        <w:rPr>
          <w:lang w:val="en-GB"/>
        </w:rPr>
        <w:t>such</w:t>
      </w:r>
      <w:r w:rsidR="00512C31" w:rsidRPr="00AF1733">
        <w:rPr>
          <w:lang w:val="en-GB"/>
        </w:rPr>
        <w:t xml:space="preserve"> interaction is shown in </w:t>
      </w:r>
      <w:r w:rsidR="00512C31" w:rsidRPr="00AF1733">
        <w:rPr>
          <w:lang w:val="en-GB"/>
        </w:rPr>
        <w:fldChar w:fldCharType="begin"/>
      </w:r>
      <w:r w:rsidR="00512C31" w:rsidRPr="00AF1733">
        <w:rPr>
          <w:lang w:val="en-GB"/>
        </w:rPr>
        <w:instrText xml:space="preserve"> REF _Ref382217675 \h </w:instrText>
      </w:r>
      <w:r w:rsidR="00512C31" w:rsidRPr="00AF1733">
        <w:rPr>
          <w:lang w:val="en-GB"/>
        </w:rPr>
      </w:r>
      <w:r w:rsidR="00512C31" w:rsidRPr="00AF1733">
        <w:rPr>
          <w:lang w:val="en-GB"/>
        </w:rPr>
        <w:fldChar w:fldCharType="separate"/>
      </w:r>
      <w:r w:rsidR="000A664E" w:rsidRPr="00AF1733">
        <w:rPr>
          <w:lang w:val="en-GB"/>
        </w:rPr>
        <w:t xml:space="preserve">Fig. </w:t>
      </w:r>
      <w:r w:rsidR="000A664E" w:rsidRPr="00AF1733">
        <w:rPr>
          <w:noProof/>
          <w:lang w:val="en-GB"/>
        </w:rPr>
        <w:t>1</w:t>
      </w:r>
      <w:r w:rsidR="00512C31" w:rsidRPr="00AF1733">
        <w:rPr>
          <w:lang w:val="en-GB"/>
        </w:rPr>
        <w:fldChar w:fldCharType="end"/>
      </w:r>
      <w:r w:rsidR="00512C31" w:rsidRPr="00AF1733">
        <w:rPr>
          <w:lang w:val="en-GB"/>
        </w:rPr>
        <w:t xml:space="preserve"> a: the heat flux imposed by the medical device (J</w:t>
      </w:r>
      <w:r w:rsidR="00512C31" w:rsidRPr="00AF1733">
        <w:rPr>
          <w:lang w:val="en-GB"/>
        </w:rPr>
        <w:softHyphen/>
      </w:r>
      <w:r w:rsidR="00512C31" w:rsidRPr="00AF1733">
        <w:rPr>
          <w:vertAlign w:val="subscript"/>
          <w:lang w:val="en-GB"/>
        </w:rPr>
        <w:t>gas</w:t>
      </w:r>
      <w:r w:rsidR="00512C31" w:rsidRPr="00AF1733">
        <w:rPr>
          <w:lang w:val="en-GB"/>
        </w:rPr>
        <w:t>) is partially absorbed by the body (J</w:t>
      </w:r>
      <w:r w:rsidR="00512C31" w:rsidRPr="00AF1733">
        <w:rPr>
          <w:lang w:val="en-GB"/>
        </w:rPr>
        <w:softHyphen/>
      </w:r>
      <w:r w:rsidR="00512C31" w:rsidRPr="00AF1733">
        <w:rPr>
          <w:vertAlign w:val="subscript"/>
          <w:lang w:val="en-GB"/>
        </w:rPr>
        <w:t>skin</w:t>
      </w:r>
      <w:r w:rsidR="00512C31" w:rsidRPr="00AF1733">
        <w:rPr>
          <w:lang w:val="en-GB"/>
        </w:rPr>
        <w:t xml:space="preserve">) and partially </w:t>
      </w:r>
      <w:r w:rsidR="0008496F" w:rsidRPr="00AF1733">
        <w:rPr>
          <w:lang w:val="en-GB"/>
        </w:rPr>
        <w:t>by</w:t>
      </w:r>
      <w:r w:rsidR="00512C31" w:rsidRPr="00AF1733">
        <w:rPr>
          <w:lang w:val="en-GB"/>
        </w:rPr>
        <w:t xml:space="preserve"> the environment (J</w:t>
      </w:r>
      <w:r w:rsidR="00512C31" w:rsidRPr="00AF1733">
        <w:rPr>
          <w:vertAlign w:val="subscript"/>
          <w:lang w:val="en-GB"/>
        </w:rPr>
        <w:t>leak</w:t>
      </w:r>
      <w:r w:rsidR="00512C31" w:rsidRPr="00AF1733">
        <w:rPr>
          <w:lang w:val="en-GB"/>
        </w:rPr>
        <w:t xml:space="preserve">). </w:t>
      </w:r>
      <w:r w:rsidR="00AE3A8E" w:rsidRPr="00AF1733">
        <w:rPr>
          <w:lang w:val="en-GB"/>
        </w:rPr>
        <w:t>J</w:t>
      </w:r>
      <w:r w:rsidR="00AE3A8E" w:rsidRPr="00AF1733">
        <w:rPr>
          <w:vertAlign w:val="subscript"/>
          <w:lang w:val="en-GB"/>
        </w:rPr>
        <w:t>leak</w:t>
      </w:r>
      <w:r w:rsidR="00A0012A" w:rsidRPr="00AF1733">
        <w:rPr>
          <w:lang w:val="en-GB"/>
        </w:rPr>
        <w:t xml:space="preserve"> is desirably small </w:t>
      </w:r>
      <w:r w:rsidR="00AE3A8E" w:rsidRPr="00AF1733">
        <w:rPr>
          <w:lang w:val="en-GB"/>
        </w:rPr>
        <w:t xml:space="preserve">and depends on the </w:t>
      </w:r>
      <w:r w:rsidR="0020170D" w:rsidRPr="00AF1733">
        <w:rPr>
          <w:lang w:val="en-GB"/>
        </w:rPr>
        <w:t>OTC device</w:t>
      </w:r>
      <w:r w:rsidR="00C64512" w:rsidRPr="00AF1733">
        <w:rPr>
          <w:lang w:val="en-GB"/>
        </w:rPr>
        <w:t xml:space="preserve"> characteristics</w:t>
      </w:r>
      <w:r w:rsidRPr="00AF1733">
        <w:rPr>
          <w:lang w:val="en-GB"/>
        </w:rPr>
        <w:t xml:space="preserve"> (as later explained, the nozzle plays a crucial role in the efficiency of the cooling process)</w:t>
      </w:r>
      <w:r w:rsidR="00C64512" w:rsidRPr="00AF1733">
        <w:rPr>
          <w:lang w:val="en-GB"/>
        </w:rPr>
        <w:t xml:space="preserve">. The skin temperature </w:t>
      </w:r>
      <w:r w:rsidR="0020170D" w:rsidRPr="00AF1733">
        <w:rPr>
          <w:lang w:val="en-GB"/>
        </w:rPr>
        <w:t>– one of the</w:t>
      </w:r>
      <w:r w:rsidR="00C64512" w:rsidRPr="00AF1733">
        <w:rPr>
          <w:lang w:val="en-GB"/>
        </w:rPr>
        <w:t xml:space="preserve"> parameter</w:t>
      </w:r>
      <w:r w:rsidR="0020170D" w:rsidRPr="00AF1733">
        <w:rPr>
          <w:lang w:val="en-GB"/>
        </w:rPr>
        <w:t>s</w:t>
      </w:r>
      <w:r w:rsidR="00C64512" w:rsidRPr="00AF1733">
        <w:rPr>
          <w:lang w:val="en-GB"/>
        </w:rPr>
        <w:t xml:space="preserve"> </w:t>
      </w:r>
      <w:r w:rsidRPr="00AF1733">
        <w:rPr>
          <w:lang w:val="en-GB"/>
        </w:rPr>
        <w:t xml:space="preserve">determining the </w:t>
      </w:r>
      <w:r w:rsidR="00C64512" w:rsidRPr="00AF1733">
        <w:rPr>
          <w:lang w:val="en-GB"/>
        </w:rPr>
        <w:t>treatment</w:t>
      </w:r>
      <w:r w:rsidR="0020170D" w:rsidRPr="00AF1733">
        <w:rPr>
          <w:lang w:val="en-GB"/>
        </w:rPr>
        <w:t xml:space="preserve"> effectiveness –</w:t>
      </w:r>
      <w:r w:rsidR="00C64512" w:rsidRPr="00AF1733">
        <w:rPr>
          <w:lang w:val="en-GB"/>
        </w:rPr>
        <w:t xml:space="preserve"> depends on the gas boiling temperature, on the skin thermal capacity and resistance and on the leak resistance. </w:t>
      </w:r>
      <w:r w:rsidR="00104161" w:rsidRPr="00AF1733">
        <w:rPr>
          <w:lang w:val="en-GB"/>
        </w:rPr>
        <w:t xml:space="preserve">The comparison between different OTC devices can be performed </w:t>
      </w:r>
      <w:r w:rsidR="00486E20" w:rsidRPr="00AF1733">
        <w:rPr>
          <w:lang w:val="en-GB"/>
        </w:rPr>
        <w:t>by</w:t>
      </w:r>
      <w:r w:rsidR="00104161" w:rsidRPr="00AF1733">
        <w:rPr>
          <w:lang w:val="en-GB"/>
        </w:rPr>
        <w:t xml:space="preserve"> creating a skin simulator, i.e. a device that has a thermal resistance and a thermal capacity similar to that of the human skin</w:t>
      </w:r>
      <w:r w:rsidRPr="00AF1733">
        <w:rPr>
          <w:lang w:val="en-GB"/>
        </w:rPr>
        <w:t xml:space="preserve"> and </w:t>
      </w:r>
      <w:r w:rsidR="00FC2B49" w:rsidRPr="00AF1733">
        <w:rPr>
          <w:lang w:val="en-GB"/>
        </w:rPr>
        <w:t xml:space="preserve">the comparison could be based on the </w:t>
      </w:r>
      <w:r w:rsidRPr="00AF1733">
        <w:rPr>
          <w:lang w:val="en-GB"/>
        </w:rPr>
        <w:t xml:space="preserve">artificial </w:t>
      </w:r>
      <w:r w:rsidR="00FC2B49" w:rsidRPr="00AF1733">
        <w:rPr>
          <w:lang w:val="en-GB"/>
        </w:rPr>
        <w:t xml:space="preserve">skin temperature. </w:t>
      </w:r>
      <w:r w:rsidRPr="00AF1733">
        <w:rPr>
          <w:lang w:val="en-GB"/>
        </w:rPr>
        <w:t>Given that different parts of the body have different skin thermal properties (different skin thermal resistances were measured on the hand palm and on the hand back), this solution is not viable, given that different skin simulators would be required.</w:t>
      </w:r>
    </w:p>
    <w:p w14:paraId="2BEDE327" w14:textId="77777777" w:rsidR="007B2E29" w:rsidRPr="00AF1733" w:rsidRDefault="00FC2B49" w:rsidP="00512C31">
      <w:pPr>
        <w:rPr>
          <w:lang w:val="en-GB"/>
        </w:rPr>
      </w:pPr>
      <w:r w:rsidRPr="00AF1733">
        <w:rPr>
          <w:lang w:val="en-GB"/>
        </w:rPr>
        <w:lastRenderedPageBreak/>
        <w:t xml:space="preserve">An </w:t>
      </w:r>
      <w:r w:rsidR="008C26F8" w:rsidRPr="00AF1733">
        <w:rPr>
          <w:lang w:val="en-GB"/>
        </w:rPr>
        <w:t xml:space="preserve">alternative </w:t>
      </w:r>
      <w:r w:rsidRPr="00AF1733">
        <w:rPr>
          <w:lang w:val="en-GB"/>
        </w:rPr>
        <w:t xml:space="preserve">approach </w:t>
      </w:r>
      <w:r w:rsidR="00522221" w:rsidRPr="00AF1733">
        <w:rPr>
          <w:lang w:val="en-GB"/>
        </w:rPr>
        <w:t xml:space="preserve">(the one adopted in this paper) </w:t>
      </w:r>
      <w:r w:rsidRPr="00AF1733">
        <w:rPr>
          <w:lang w:val="en-GB"/>
        </w:rPr>
        <w:t xml:space="preserve">consists in the identification of </w:t>
      </w:r>
      <w:r w:rsidR="00032CC6" w:rsidRPr="00AF1733">
        <w:rPr>
          <w:lang w:val="en-GB"/>
        </w:rPr>
        <w:t>the heat flux actually produced by the boiling gas and the estimation of the skin temperature using one of the models existing in literature</w:t>
      </w:r>
      <w:r w:rsidR="003F7808" w:rsidRPr="00AF1733">
        <w:rPr>
          <w:lang w:val="en-GB"/>
        </w:rPr>
        <w:t xml:space="preserve"> </w:t>
      </w:r>
      <w:r w:rsidR="00B34BDC" w:rsidRPr="00AF1733">
        <w:rPr>
          <w:lang w:val="en-GB"/>
        </w:rPr>
        <w:fldChar w:fldCharType="begin"/>
      </w:r>
      <w:r w:rsidR="00B34BDC" w:rsidRPr="00AF1733">
        <w:rPr>
          <w:lang w:val="en-GB"/>
        </w:rPr>
        <w:instrText>ADDIN RW.CITE{{202 Fan,Liang-Tseng 1971; 211 Ho,Hsin-Ni 2007; 192 Ho,Hsin-Ni 2008; 210 Ho,Hsin-Ni 2007; 191 Ho,Hsin-Ni 2006}}</w:instrText>
      </w:r>
      <w:r w:rsidR="00B34BDC" w:rsidRPr="00AF1733">
        <w:rPr>
          <w:lang w:val="en-GB"/>
        </w:rPr>
        <w:fldChar w:fldCharType="separate"/>
      </w:r>
      <w:r w:rsidR="00A84EBF" w:rsidRPr="00AF1733">
        <w:rPr>
          <w:rFonts w:cs="Times New Roman"/>
          <w:lang w:val="en-GB"/>
        </w:rPr>
        <w:t>[13-17]</w:t>
      </w:r>
      <w:r w:rsidR="00B34BDC" w:rsidRPr="00AF1733">
        <w:rPr>
          <w:lang w:val="en-GB"/>
        </w:rPr>
        <w:fldChar w:fldCharType="end"/>
      </w:r>
      <w:r w:rsidR="00032CC6" w:rsidRPr="00AF1733">
        <w:rPr>
          <w:lang w:val="en-GB"/>
        </w:rPr>
        <w:t>.</w:t>
      </w:r>
      <w:r w:rsidR="00486E20" w:rsidRPr="00AF1733">
        <w:rPr>
          <w:lang w:val="en-GB"/>
        </w:rPr>
        <w:t xml:space="preserve"> </w:t>
      </w:r>
      <w:r w:rsidR="00512C31" w:rsidRPr="00AF1733">
        <w:rPr>
          <w:lang w:val="en-GB"/>
        </w:rPr>
        <w:t>With the proposed measurement method</w:t>
      </w:r>
      <w:r w:rsidR="00522221" w:rsidRPr="00AF1733">
        <w:rPr>
          <w:lang w:val="en-GB"/>
        </w:rPr>
        <w:t>,</w:t>
      </w:r>
      <w:r w:rsidR="00512C31" w:rsidRPr="00AF1733">
        <w:rPr>
          <w:lang w:val="en-GB"/>
        </w:rPr>
        <w:t xml:space="preserve"> </w:t>
      </w:r>
      <w:r w:rsidR="00DE296A" w:rsidRPr="00AF1733">
        <w:rPr>
          <w:lang w:val="en-GB"/>
        </w:rPr>
        <w:t xml:space="preserve">whose scheme is </w:t>
      </w:r>
      <w:r w:rsidR="00522221" w:rsidRPr="00AF1733">
        <w:rPr>
          <w:lang w:val="en-GB"/>
        </w:rPr>
        <w:t xml:space="preserve">shown in </w:t>
      </w:r>
      <w:r w:rsidR="00512C31" w:rsidRPr="00AF1733">
        <w:rPr>
          <w:lang w:val="en-GB"/>
        </w:rPr>
        <w:fldChar w:fldCharType="begin"/>
      </w:r>
      <w:r w:rsidR="00512C31" w:rsidRPr="00AF1733">
        <w:rPr>
          <w:lang w:val="en-GB"/>
        </w:rPr>
        <w:instrText xml:space="preserve"> REF _Ref382217675 \h </w:instrText>
      </w:r>
      <w:r w:rsidR="00512C31" w:rsidRPr="00AF1733">
        <w:rPr>
          <w:lang w:val="en-GB"/>
        </w:rPr>
      </w:r>
      <w:r w:rsidR="00512C31" w:rsidRPr="00AF1733">
        <w:rPr>
          <w:lang w:val="en-GB"/>
        </w:rPr>
        <w:fldChar w:fldCharType="separate"/>
      </w:r>
      <w:r w:rsidR="000A664E" w:rsidRPr="00AF1733">
        <w:rPr>
          <w:lang w:val="en-GB"/>
        </w:rPr>
        <w:t xml:space="preserve">Fig. </w:t>
      </w:r>
      <w:r w:rsidR="000A664E" w:rsidRPr="00AF1733">
        <w:rPr>
          <w:noProof/>
          <w:lang w:val="en-GB"/>
        </w:rPr>
        <w:t>1</w:t>
      </w:r>
      <w:r w:rsidR="00512C31" w:rsidRPr="00AF1733">
        <w:rPr>
          <w:lang w:val="en-GB"/>
        </w:rPr>
        <w:fldChar w:fldCharType="end"/>
      </w:r>
      <w:r w:rsidR="00512C31" w:rsidRPr="00AF1733">
        <w:rPr>
          <w:lang w:val="en-GB"/>
        </w:rPr>
        <w:t xml:space="preserve"> b, the human body is substituted by the heat flux meter, which derives the heat flux by dividing the temperature difference measured across a thermal resistance (</w:t>
      </w:r>
      <w:r w:rsidR="00512C31" w:rsidRPr="00AF1733">
        <w:rPr>
          <w:rFonts w:ascii="Symbol" w:hAnsi="Symbol"/>
          <w:lang w:val="en-GB"/>
        </w:rPr>
        <w:t></w:t>
      </w:r>
      <w:r w:rsidR="00512C31" w:rsidRPr="00AF1733">
        <w:rPr>
          <w:i/>
          <w:lang w:val="en-GB"/>
        </w:rPr>
        <w:t>T</w:t>
      </w:r>
      <w:r w:rsidR="00512C31" w:rsidRPr="00AF1733">
        <w:rPr>
          <w:vertAlign w:val="subscript"/>
          <w:lang w:val="en-GB"/>
        </w:rPr>
        <w:t>FM</w:t>
      </w:r>
      <w:r w:rsidR="00512C31" w:rsidRPr="00AF1733">
        <w:rPr>
          <w:lang w:val="en-GB"/>
        </w:rPr>
        <w:t>) by the resistance itself (R</w:t>
      </w:r>
      <w:r w:rsidR="00512C31" w:rsidRPr="00AF1733">
        <w:rPr>
          <w:vertAlign w:val="subscript"/>
          <w:lang w:val="en-GB"/>
        </w:rPr>
        <w:t>FM</w:t>
      </w:r>
      <w:r w:rsidR="00512C31" w:rsidRPr="00AF1733">
        <w:rPr>
          <w:lang w:val="en-GB"/>
        </w:rPr>
        <w:t xml:space="preserve">). </w:t>
      </w:r>
      <w:r w:rsidR="00A0012A" w:rsidRPr="00AF1733">
        <w:rPr>
          <w:lang w:val="en-GB"/>
        </w:rPr>
        <w:t>If the thermal resistance</w:t>
      </w:r>
      <w:r w:rsidR="004B2742" w:rsidRPr="00AF1733">
        <w:rPr>
          <w:lang w:val="en-GB"/>
        </w:rPr>
        <w:t xml:space="preserve"> and capacity</w:t>
      </w:r>
      <w:r w:rsidR="00A0012A" w:rsidRPr="00AF1733">
        <w:rPr>
          <w:lang w:val="en-GB"/>
        </w:rPr>
        <w:t xml:space="preserve"> of the heat flux meter </w:t>
      </w:r>
      <w:r w:rsidR="004B2742" w:rsidRPr="00AF1733">
        <w:rPr>
          <w:lang w:val="en-GB"/>
        </w:rPr>
        <w:t>were</w:t>
      </w:r>
      <w:r w:rsidR="00A0012A" w:rsidRPr="00AF1733">
        <w:rPr>
          <w:lang w:val="en-GB"/>
        </w:rPr>
        <w:t xml:space="preserve"> similar to that of the human body, the interface temperature T</w:t>
      </w:r>
      <w:r w:rsidR="00A0012A" w:rsidRPr="00AF1733">
        <w:rPr>
          <w:vertAlign w:val="subscript"/>
          <w:lang w:val="en-GB"/>
        </w:rPr>
        <w:t>int</w:t>
      </w:r>
      <w:r w:rsidR="00A0012A" w:rsidRPr="00AF1733">
        <w:rPr>
          <w:lang w:val="en-GB"/>
        </w:rPr>
        <w:t xml:space="preserve"> measured by the heat flux meter </w:t>
      </w:r>
      <w:r w:rsidR="004B2742" w:rsidRPr="00AF1733">
        <w:rPr>
          <w:lang w:val="en-GB"/>
        </w:rPr>
        <w:t>would be</w:t>
      </w:r>
      <w:r w:rsidR="00A0012A" w:rsidRPr="00AF1733">
        <w:rPr>
          <w:lang w:val="en-GB"/>
        </w:rPr>
        <w:t xml:space="preserve"> compatible with the one reached during the OTC device usage. Conversely, if the heat flux meter thermal resistance differs from the one of the skin, the comparison </w:t>
      </w:r>
      <w:r w:rsidR="00DE296A" w:rsidRPr="00AF1733">
        <w:rPr>
          <w:lang w:val="en-GB"/>
        </w:rPr>
        <w:t xml:space="preserve">between different devices can </w:t>
      </w:r>
      <w:r w:rsidR="00A0012A" w:rsidRPr="00AF1733">
        <w:rPr>
          <w:lang w:val="en-GB"/>
        </w:rPr>
        <w:t>be made on the heat flux produced by the OTC device not leaked towards the environment (J</w:t>
      </w:r>
      <w:r w:rsidR="00A0012A" w:rsidRPr="00AF1733">
        <w:rPr>
          <w:vertAlign w:val="subscript"/>
          <w:lang w:val="en-GB"/>
        </w:rPr>
        <w:t>gas</w:t>
      </w:r>
      <w:r w:rsidR="00A0012A" w:rsidRPr="00AF1733">
        <w:rPr>
          <w:lang w:val="en-GB"/>
        </w:rPr>
        <w:t>-J</w:t>
      </w:r>
      <w:r w:rsidR="00A0012A" w:rsidRPr="00AF1733">
        <w:rPr>
          <w:vertAlign w:val="subscript"/>
          <w:lang w:val="en-GB"/>
        </w:rPr>
        <w:t>leak</w:t>
      </w:r>
      <w:r w:rsidR="00A0012A" w:rsidRPr="00AF1733">
        <w:rPr>
          <w:lang w:val="en-GB"/>
        </w:rPr>
        <w:t>).</w:t>
      </w:r>
      <w:r w:rsidR="00E7579E" w:rsidRPr="00AF1733">
        <w:rPr>
          <w:lang w:val="en-GB"/>
        </w:rPr>
        <w:t xml:space="preserve"> </w:t>
      </w:r>
      <w:r w:rsidR="00DE296A" w:rsidRPr="00AF1733">
        <w:rPr>
          <w:lang w:val="en-GB"/>
        </w:rPr>
        <w:t>In our case, e</w:t>
      </w:r>
      <w:r w:rsidR="00E7579E" w:rsidRPr="00AF1733">
        <w:rPr>
          <w:lang w:val="en-GB"/>
        </w:rPr>
        <w:t xml:space="preserve">xperiments were performed with a heat flux meter with a </w:t>
      </w:r>
      <w:r w:rsidR="00956177" w:rsidRPr="00AF1733">
        <w:rPr>
          <w:lang w:val="en-GB"/>
        </w:rPr>
        <w:t xml:space="preserve">specific </w:t>
      </w:r>
      <w:r w:rsidR="00E7579E" w:rsidRPr="00AF1733">
        <w:rPr>
          <w:lang w:val="en-GB"/>
        </w:rPr>
        <w:t>thermal resistance of 19.5</w:t>
      </w:r>
      <w:r w:rsidR="00E7579E" w:rsidRPr="00AF1733">
        <w:rPr>
          <w:rFonts w:cs="Times New Roman"/>
          <w:lang w:val="en-GB"/>
        </w:rPr>
        <w:t>·1</w:t>
      </w:r>
      <w:r w:rsidR="00E7579E" w:rsidRPr="00AF1733">
        <w:rPr>
          <w:lang w:val="en-GB"/>
        </w:rPr>
        <w:t>0</w:t>
      </w:r>
      <w:r w:rsidR="00E7579E" w:rsidRPr="00AF1733">
        <w:rPr>
          <w:vertAlign w:val="superscript"/>
          <w:lang w:val="en-GB"/>
        </w:rPr>
        <w:t>-3</w:t>
      </w:r>
      <w:r w:rsidR="00E7579E" w:rsidRPr="00AF1733">
        <w:rPr>
          <w:lang w:val="en-GB"/>
        </w:rPr>
        <w:t xml:space="preserve"> K</w:t>
      </w:r>
      <w:r w:rsidR="00E7579E" w:rsidRPr="00AF1733">
        <w:rPr>
          <w:rFonts w:cs="Times New Roman"/>
          <w:lang w:val="en-GB"/>
        </w:rPr>
        <w:t>·</w:t>
      </w:r>
      <w:r w:rsidR="00E7579E" w:rsidRPr="00AF1733">
        <w:rPr>
          <w:lang w:val="en-GB"/>
        </w:rPr>
        <w:t>m²/W</w:t>
      </w:r>
      <w:r w:rsidR="00956177" w:rsidRPr="00AF1733">
        <w:rPr>
          <w:lang w:val="en-GB"/>
        </w:rPr>
        <w:t>.</w:t>
      </w:r>
      <w:r w:rsidR="00E7579E" w:rsidRPr="00AF1733">
        <w:rPr>
          <w:lang w:val="en-GB"/>
        </w:rPr>
        <w:t xml:space="preserve"> </w:t>
      </w:r>
      <w:r w:rsidR="00956177" w:rsidRPr="00AF1733">
        <w:rPr>
          <w:lang w:val="en-GB"/>
        </w:rPr>
        <w:t>T</w:t>
      </w:r>
      <w:r w:rsidR="00E7579E" w:rsidRPr="00AF1733">
        <w:rPr>
          <w:lang w:val="en-GB"/>
        </w:rPr>
        <w:t>he value is of the same order of magnitude of the skin-contact thermal resistance (average value on the hand palm 6.5</w:t>
      </w:r>
      <w:r w:rsidR="00E7579E" w:rsidRPr="00AF1733">
        <w:rPr>
          <w:rFonts w:cs="Times New Roman"/>
          <w:lang w:val="en-GB"/>
        </w:rPr>
        <w:t>·</w:t>
      </w:r>
      <w:r w:rsidR="00E7579E" w:rsidRPr="00AF1733">
        <w:rPr>
          <w:lang w:val="en-GB"/>
        </w:rPr>
        <w:t>10</w:t>
      </w:r>
      <w:r w:rsidR="00E7579E" w:rsidRPr="00AF1733">
        <w:rPr>
          <w:vertAlign w:val="superscript"/>
          <w:lang w:val="en-GB"/>
        </w:rPr>
        <w:t>-3</w:t>
      </w:r>
      <w:r w:rsidR="00E7579E" w:rsidRPr="00AF1733">
        <w:rPr>
          <w:lang w:val="en-GB"/>
        </w:rPr>
        <w:t xml:space="preserve"> K</w:t>
      </w:r>
      <w:r w:rsidR="00E7579E" w:rsidRPr="00AF1733">
        <w:rPr>
          <w:rFonts w:cs="Times New Roman"/>
          <w:lang w:val="en-GB"/>
        </w:rPr>
        <w:t>·</w:t>
      </w:r>
      <w:r w:rsidR="00E7579E" w:rsidRPr="00AF1733">
        <w:rPr>
          <w:lang w:val="en-GB"/>
        </w:rPr>
        <w:t xml:space="preserve">m²/W) but leads to interface temperature </w:t>
      </w:r>
      <w:r w:rsidR="00DE296A" w:rsidRPr="00AF1733">
        <w:rPr>
          <w:lang w:val="en-GB"/>
        </w:rPr>
        <w:t>higher</w:t>
      </w:r>
      <w:r w:rsidR="00E7579E" w:rsidRPr="00AF1733">
        <w:rPr>
          <w:lang w:val="en-GB"/>
        </w:rPr>
        <w:t xml:space="preserve"> than those obtained in the actual usage conditions</w:t>
      </w:r>
      <w:r w:rsidR="004B2742" w:rsidRPr="00AF1733">
        <w:rPr>
          <w:lang w:val="en-GB"/>
        </w:rPr>
        <w:t xml:space="preserve"> because of the different thermal capacity</w:t>
      </w:r>
      <w:r w:rsidR="00E7579E" w:rsidRPr="00AF1733">
        <w:rPr>
          <w:lang w:val="en-GB"/>
        </w:rPr>
        <w:t xml:space="preserve">.   </w:t>
      </w:r>
    </w:p>
    <w:p w14:paraId="60300F61" w14:textId="77777777" w:rsidR="00512C31" w:rsidRPr="00AF1733" w:rsidRDefault="00001310" w:rsidP="00483D63">
      <w:pPr>
        <w:jc w:val="center"/>
        <w:rPr>
          <w:lang w:val="en-GB"/>
        </w:rPr>
      </w:pPr>
      <w:r w:rsidRPr="00AF1733">
        <w:rPr>
          <w:noProof/>
        </w:rPr>
        <w:lastRenderedPageBreak/>
        <w:drawing>
          <wp:inline distT="0" distB="0" distL="0" distR="0" wp14:anchorId="6F978728" wp14:editId="2328FC66">
            <wp:extent cx="2772000" cy="4457855"/>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72000" cy="4457855"/>
                    </a:xfrm>
                    <a:prstGeom prst="rect">
                      <a:avLst/>
                    </a:prstGeom>
                    <a:noFill/>
                    <a:ln>
                      <a:noFill/>
                    </a:ln>
                  </pic:spPr>
                </pic:pic>
              </a:graphicData>
            </a:graphic>
          </wp:inline>
        </w:drawing>
      </w:r>
    </w:p>
    <w:p w14:paraId="2ECAEFA1" w14:textId="77777777" w:rsidR="00512C31" w:rsidRPr="00AF1733" w:rsidRDefault="00512C31" w:rsidP="00512C31">
      <w:pPr>
        <w:pStyle w:val="Didascalia"/>
        <w:rPr>
          <w:noProof/>
          <w:color w:val="auto"/>
          <w:lang w:val="en-GB"/>
        </w:rPr>
      </w:pPr>
      <w:bookmarkStart w:id="1" w:name="_Ref382217675"/>
      <w:r w:rsidRPr="00AF1733">
        <w:rPr>
          <w:color w:val="auto"/>
          <w:lang w:val="en-GB"/>
        </w:rPr>
        <w:t xml:space="preserve">Fig. </w:t>
      </w:r>
      <w:r w:rsidRPr="00AF1733">
        <w:rPr>
          <w:color w:val="auto"/>
          <w:lang w:val="en-GB"/>
        </w:rPr>
        <w:fldChar w:fldCharType="begin"/>
      </w:r>
      <w:r w:rsidRPr="00AF1733">
        <w:rPr>
          <w:color w:val="auto"/>
          <w:lang w:val="en-GB"/>
        </w:rPr>
        <w:instrText xml:space="preserve"> SEQ Fig. \* ARABIC </w:instrText>
      </w:r>
      <w:r w:rsidRPr="00AF1733">
        <w:rPr>
          <w:color w:val="auto"/>
          <w:lang w:val="en-GB"/>
        </w:rPr>
        <w:fldChar w:fldCharType="separate"/>
      </w:r>
      <w:r w:rsidR="000A664E" w:rsidRPr="00AF1733">
        <w:rPr>
          <w:noProof/>
          <w:color w:val="auto"/>
          <w:lang w:val="en-GB"/>
        </w:rPr>
        <w:t>1</w:t>
      </w:r>
      <w:r w:rsidRPr="00AF1733">
        <w:rPr>
          <w:noProof/>
          <w:color w:val="auto"/>
          <w:lang w:val="en-GB"/>
        </w:rPr>
        <w:fldChar w:fldCharType="end"/>
      </w:r>
      <w:bookmarkEnd w:id="1"/>
      <w:r w:rsidRPr="00AF1733">
        <w:rPr>
          <w:noProof/>
          <w:color w:val="auto"/>
          <w:lang w:val="en-GB"/>
        </w:rPr>
        <w:t xml:space="preserve"> </w:t>
      </w:r>
      <w:r w:rsidR="00673FF0" w:rsidRPr="00AF1733">
        <w:rPr>
          <w:noProof/>
          <w:color w:val="auto"/>
          <w:lang w:val="en-GB"/>
        </w:rPr>
        <w:t>T</w:t>
      </w:r>
      <w:r w:rsidRPr="00AF1733">
        <w:rPr>
          <w:noProof/>
          <w:color w:val="auto"/>
          <w:lang w:val="en-GB"/>
        </w:rPr>
        <w:t>hermal schemes of the interaction between the human body and the medical device for cryotherapy (a) and between the device and the measurement system (b)</w:t>
      </w:r>
    </w:p>
    <w:p w14:paraId="3A57C2D7" w14:textId="77777777" w:rsidR="00512C31" w:rsidRPr="00AF1733" w:rsidRDefault="00DE296A" w:rsidP="00512C31">
      <w:pPr>
        <w:rPr>
          <w:lang w:val="en-GB"/>
        </w:rPr>
      </w:pPr>
      <w:r w:rsidRPr="00AF1733">
        <w:rPr>
          <w:lang w:val="en-GB"/>
        </w:rPr>
        <w:t xml:space="preserve">The analysis of the </w:t>
      </w:r>
      <w:r w:rsidR="00363C16" w:rsidRPr="00AF1733">
        <w:rPr>
          <w:lang w:val="en-GB"/>
        </w:rPr>
        <w:t xml:space="preserve">scheme </w:t>
      </w:r>
      <w:r w:rsidRPr="00AF1733">
        <w:rPr>
          <w:lang w:val="en-GB"/>
        </w:rPr>
        <w:t xml:space="preserve">in </w:t>
      </w:r>
      <w:r w:rsidR="004A2CAA" w:rsidRPr="00AF1733">
        <w:rPr>
          <w:lang w:val="en-GB"/>
        </w:rPr>
        <w:fldChar w:fldCharType="begin"/>
      </w:r>
      <w:r w:rsidR="004A2CAA" w:rsidRPr="00AF1733">
        <w:rPr>
          <w:lang w:val="en-GB"/>
        </w:rPr>
        <w:instrText xml:space="preserve"> REF _Ref382217675 \h </w:instrText>
      </w:r>
      <w:r w:rsidR="004A2CAA" w:rsidRPr="00AF1733">
        <w:rPr>
          <w:lang w:val="en-GB"/>
        </w:rPr>
      </w:r>
      <w:r w:rsidR="004A2CAA" w:rsidRPr="00AF1733">
        <w:rPr>
          <w:lang w:val="en-GB"/>
        </w:rPr>
        <w:fldChar w:fldCharType="separate"/>
      </w:r>
      <w:r w:rsidR="000A664E" w:rsidRPr="00AF1733">
        <w:rPr>
          <w:lang w:val="en-GB"/>
        </w:rPr>
        <w:t xml:space="preserve">Fig. </w:t>
      </w:r>
      <w:r w:rsidR="000A664E" w:rsidRPr="00AF1733">
        <w:rPr>
          <w:noProof/>
          <w:lang w:val="en-GB"/>
        </w:rPr>
        <w:t>1</w:t>
      </w:r>
      <w:r w:rsidR="004A2CAA" w:rsidRPr="00AF1733">
        <w:rPr>
          <w:lang w:val="en-GB"/>
        </w:rPr>
        <w:fldChar w:fldCharType="end"/>
      </w:r>
      <w:r w:rsidR="004A2CAA" w:rsidRPr="00AF1733">
        <w:rPr>
          <w:lang w:val="en-GB"/>
        </w:rPr>
        <w:t xml:space="preserve"> b </w:t>
      </w:r>
      <w:r w:rsidRPr="00AF1733">
        <w:rPr>
          <w:lang w:val="en-GB"/>
        </w:rPr>
        <w:t xml:space="preserve">shows </w:t>
      </w:r>
      <w:r w:rsidR="00512C31" w:rsidRPr="00AF1733">
        <w:rPr>
          <w:lang w:val="en-GB"/>
        </w:rPr>
        <w:t xml:space="preserve">there are three main differences </w:t>
      </w:r>
      <w:r w:rsidR="004A2CAA" w:rsidRPr="00AF1733">
        <w:rPr>
          <w:lang w:val="en-GB"/>
        </w:rPr>
        <w:t>with respect to</w:t>
      </w:r>
      <w:r w:rsidR="00512C31" w:rsidRPr="00AF1733">
        <w:rPr>
          <w:lang w:val="en-GB"/>
        </w:rPr>
        <w:t xml:space="preserve"> </w:t>
      </w:r>
      <w:r w:rsidR="00512C31" w:rsidRPr="00AF1733">
        <w:rPr>
          <w:lang w:val="en-GB"/>
        </w:rPr>
        <w:fldChar w:fldCharType="begin"/>
      </w:r>
      <w:r w:rsidR="00512C31" w:rsidRPr="00AF1733">
        <w:rPr>
          <w:lang w:val="en-GB"/>
        </w:rPr>
        <w:instrText xml:space="preserve"> REF _Ref382217675 \h </w:instrText>
      </w:r>
      <w:r w:rsidR="00512C31" w:rsidRPr="00AF1733">
        <w:rPr>
          <w:lang w:val="en-GB"/>
        </w:rPr>
      </w:r>
      <w:r w:rsidR="00512C31" w:rsidRPr="00AF1733">
        <w:rPr>
          <w:lang w:val="en-GB"/>
        </w:rPr>
        <w:fldChar w:fldCharType="separate"/>
      </w:r>
      <w:r w:rsidR="000A664E" w:rsidRPr="00AF1733">
        <w:rPr>
          <w:lang w:val="en-GB"/>
        </w:rPr>
        <w:t xml:space="preserve">Fig. </w:t>
      </w:r>
      <w:r w:rsidR="000A664E" w:rsidRPr="00AF1733">
        <w:rPr>
          <w:noProof/>
          <w:lang w:val="en-GB"/>
        </w:rPr>
        <w:t>1</w:t>
      </w:r>
      <w:r w:rsidR="00512C31" w:rsidRPr="00AF1733">
        <w:rPr>
          <w:lang w:val="en-GB"/>
        </w:rPr>
        <w:fldChar w:fldCharType="end"/>
      </w:r>
      <w:r w:rsidR="00512C31" w:rsidRPr="00AF1733">
        <w:rPr>
          <w:lang w:val="en-GB"/>
        </w:rPr>
        <w:t xml:space="preserve"> a: </w:t>
      </w:r>
    </w:p>
    <w:p w14:paraId="53DA734B" w14:textId="77777777" w:rsidR="00512C31" w:rsidRPr="00AF1733" w:rsidRDefault="00512C31" w:rsidP="0062145E">
      <w:pPr>
        <w:pStyle w:val="Paragrafoelenco"/>
        <w:numPr>
          <w:ilvl w:val="0"/>
          <w:numId w:val="8"/>
        </w:numPr>
        <w:rPr>
          <w:lang w:val="en-GB"/>
        </w:rPr>
      </w:pPr>
      <w:r w:rsidRPr="00AF1733">
        <w:rPr>
          <w:lang w:val="en-GB"/>
        </w:rPr>
        <w:t>part of the he</w:t>
      </w:r>
      <w:r w:rsidR="00DE296A" w:rsidRPr="00AF1733">
        <w:rPr>
          <w:lang w:val="en-GB"/>
        </w:rPr>
        <w:t xml:space="preserve">at flux entering the instrument </w:t>
      </w:r>
      <w:r w:rsidRPr="00AF1733">
        <w:rPr>
          <w:lang w:val="en-GB"/>
        </w:rPr>
        <w:t>leaks towards the environment without being measured</w:t>
      </w:r>
      <w:r w:rsidR="00DE296A" w:rsidRPr="00AF1733">
        <w:rPr>
          <w:lang w:val="en-GB"/>
        </w:rPr>
        <w:t xml:space="preserve"> (J</w:t>
      </w:r>
      <w:r w:rsidR="00DE296A" w:rsidRPr="00AF1733">
        <w:rPr>
          <w:vertAlign w:val="subscript"/>
          <w:lang w:val="en-GB"/>
        </w:rPr>
        <w:t>leakFlux</w:t>
      </w:r>
      <w:r w:rsidR="00DE296A" w:rsidRPr="00AF1733">
        <w:rPr>
          <w:lang w:val="en-GB"/>
        </w:rPr>
        <w:t>)</w:t>
      </w:r>
      <w:r w:rsidRPr="00AF1733">
        <w:rPr>
          <w:lang w:val="en-GB"/>
        </w:rPr>
        <w:t>;</w:t>
      </w:r>
      <w:r w:rsidR="00DE296A" w:rsidRPr="00AF1733">
        <w:rPr>
          <w:lang w:val="en-GB"/>
        </w:rPr>
        <w:t xml:space="preserve"> the flux measured by the instrument is therefore different from the flux in the actual working conditions;</w:t>
      </w:r>
    </w:p>
    <w:p w14:paraId="7E85DF21" w14:textId="77777777" w:rsidR="00512C31" w:rsidRPr="00AF1733" w:rsidRDefault="008A02E8" w:rsidP="0062145E">
      <w:pPr>
        <w:pStyle w:val="Paragrafoelenco"/>
        <w:numPr>
          <w:ilvl w:val="0"/>
          <w:numId w:val="8"/>
        </w:numPr>
        <w:rPr>
          <w:lang w:val="en-GB"/>
        </w:rPr>
      </w:pPr>
      <w:r w:rsidRPr="00AF1733">
        <w:rPr>
          <w:lang w:val="en-GB"/>
        </w:rPr>
        <w:t>t</w:t>
      </w:r>
      <w:r w:rsidR="00512C31" w:rsidRPr="00AF1733">
        <w:rPr>
          <w:lang w:val="en-GB"/>
        </w:rPr>
        <w:t>he heat flux, before being measured, crosses a capacitor (C</w:t>
      </w:r>
      <w:r w:rsidR="00512C31" w:rsidRPr="00AF1733">
        <w:rPr>
          <w:vertAlign w:val="subscript"/>
          <w:lang w:val="en-GB"/>
        </w:rPr>
        <w:t>FM</w:t>
      </w:r>
      <w:r w:rsidR="00512C31" w:rsidRPr="00AF1733">
        <w:rPr>
          <w:lang w:val="en-GB"/>
        </w:rPr>
        <w:t xml:space="preserve">) that </w:t>
      </w:r>
      <w:r w:rsidR="00DE296A" w:rsidRPr="00AF1733">
        <w:rPr>
          <w:lang w:val="en-GB"/>
        </w:rPr>
        <w:t xml:space="preserve">determines </w:t>
      </w:r>
      <w:r w:rsidR="00512C31" w:rsidRPr="00AF1733">
        <w:rPr>
          <w:lang w:val="en-GB"/>
        </w:rPr>
        <w:t>transient response of the measurement device; and</w:t>
      </w:r>
    </w:p>
    <w:p w14:paraId="70CE01DA" w14:textId="77777777" w:rsidR="00512C31" w:rsidRPr="00AF1733" w:rsidRDefault="008A02E8" w:rsidP="0062145E">
      <w:pPr>
        <w:pStyle w:val="Paragrafoelenco"/>
        <w:numPr>
          <w:ilvl w:val="0"/>
          <w:numId w:val="8"/>
        </w:numPr>
        <w:rPr>
          <w:lang w:val="en-GB"/>
        </w:rPr>
      </w:pPr>
      <w:r w:rsidRPr="00AF1733">
        <w:rPr>
          <w:lang w:val="en-GB"/>
        </w:rPr>
        <w:t>a</w:t>
      </w:r>
      <w:r w:rsidR="00512C31" w:rsidRPr="00AF1733">
        <w:rPr>
          <w:lang w:val="en-GB"/>
        </w:rPr>
        <w:t xml:space="preserve"> thermo electric cooler (TEC) has to be used in order to stabilize the temperature of the flux meter.</w:t>
      </w:r>
    </w:p>
    <w:p w14:paraId="2A29F49E" w14:textId="77777777" w:rsidR="00DE296A" w:rsidRPr="00AF1733" w:rsidRDefault="00DE296A" w:rsidP="0062145E">
      <w:pPr>
        <w:rPr>
          <w:lang w:val="en-GB"/>
        </w:rPr>
      </w:pPr>
      <w:r w:rsidRPr="00AF1733">
        <w:rPr>
          <w:lang w:val="en-GB"/>
        </w:rPr>
        <w:t>The proposed method correctly compares different measurement devices if J</w:t>
      </w:r>
      <w:r w:rsidRPr="00AF1733">
        <w:rPr>
          <w:vertAlign w:val="subscript"/>
          <w:lang w:val="en-GB"/>
        </w:rPr>
        <w:t>leakFlux</w:t>
      </w:r>
      <w:r w:rsidRPr="00AF1733">
        <w:rPr>
          <w:lang w:val="en-GB"/>
        </w:rPr>
        <w:t xml:space="preserve"> is negligible and if the time constant of the measurement device is small in comparison with the OTC device application time.</w:t>
      </w:r>
      <w:r w:rsidR="004A2CAA" w:rsidRPr="00AF1733">
        <w:rPr>
          <w:lang w:val="en-GB"/>
        </w:rPr>
        <w:t xml:space="preserve"> </w:t>
      </w:r>
    </w:p>
    <w:p w14:paraId="269A24F2" w14:textId="77777777" w:rsidR="00FD4991" w:rsidRPr="00AF1733" w:rsidRDefault="00DE296A" w:rsidP="0062145E">
      <w:pPr>
        <w:rPr>
          <w:lang w:val="en-GB"/>
        </w:rPr>
      </w:pPr>
      <w:r w:rsidRPr="00AF1733">
        <w:rPr>
          <w:lang w:val="en-GB"/>
        </w:rPr>
        <w:lastRenderedPageBreak/>
        <w:t>The minor importance of J</w:t>
      </w:r>
      <w:r w:rsidRPr="00AF1733">
        <w:rPr>
          <w:vertAlign w:val="subscript"/>
          <w:lang w:val="en-GB"/>
        </w:rPr>
        <w:t>leakFlux</w:t>
      </w:r>
      <w:r w:rsidRPr="00AF1733">
        <w:rPr>
          <w:lang w:val="en-GB"/>
        </w:rPr>
        <w:t xml:space="preserve"> can be demonstrated by observing that t</w:t>
      </w:r>
      <w:r w:rsidR="007B2E29" w:rsidRPr="00AF1733">
        <w:rPr>
          <w:lang w:val="en-GB"/>
        </w:rPr>
        <w:t>he heat flux useful for skin treatment purposes is J</w:t>
      </w:r>
      <w:r w:rsidR="007B2E29" w:rsidRPr="00AF1733">
        <w:rPr>
          <w:vertAlign w:val="subscript"/>
          <w:lang w:val="en-GB"/>
        </w:rPr>
        <w:t>gas</w:t>
      </w:r>
      <w:r w:rsidR="007B2E29" w:rsidRPr="00AF1733">
        <w:rPr>
          <w:lang w:val="en-GB"/>
        </w:rPr>
        <w:t>-J</w:t>
      </w:r>
      <w:r w:rsidR="007B2E29" w:rsidRPr="00AF1733">
        <w:rPr>
          <w:vertAlign w:val="subscript"/>
          <w:lang w:val="en-GB"/>
        </w:rPr>
        <w:t>leak</w:t>
      </w:r>
      <w:r w:rsidRPr="00AF1733">
        <w:rPr>
          <w:lang w:val="en-GB"/>
        </w:rPr>
        <w:t>, and in</w:t>
      </w:r>
      <w:r w:rsidR="007B2E29" w:rsidRPr="00AF1733">
        <w:rPr>
          <w:lang w:val="en-GB"/>
        </w:rPr>
        <w:t xml:space="preserve"> the scheme of </w:t>
      </w:r>
      <w:r w:rsidR="007B2E29" w:rsidRPr="00AF1733">
        <w:rPr>
          <w:lang w:val="en-GB"/>
        </w:rPr>
        <w:fldChar w:fldCharType="begin"/>
      </w:r>
      <w:r w:rsidR="007B2E29" w:rsidRPr="00AF1733">
        <w:rPr>
          <w:lang w:val="en-GB"/>
        </w:rPr>
        <w:instrText xml:space="preserve"> REF _Ref382217675 \h </w:instrText>
      </w:r>
      <w:r w:rsidR="007B2E29" w:rsidRPr="00AF1733">
        <w:rPr>
          <w:lang w:val="en-GB"/>
        </w:rPr>
      </w:r>
      <w:r w:rsidR="007B2E29" w:rsidRPr="00AF1733">
        <w:rPr>
          <w:lang w:val="en-GB"/>
        </w:rPr>
        <w:fldChar w:fldCharType="separate"/>
      </w:r>
      <w:r w:rsidR="000A664E" w:rsidRPr="00AF1733">
        <w:rPr>
          <w:lang w:val="en-GB"/>
        </w:rPr>
        <w:t xml:space="preserve">Fig. </w:t>
      </w:r>
      <w:r w:rsidR="000A664E" w:rsidRPr="00AF1733">
        <w:rPr>
          <w:noProof/>
          <w:lang w:val="en-GB"/>
        </w:rPr>
        <w:t>1</w:t>
      </w:r>
      <w:r w:rsidR="007B2E29" w:rsidRPr="00AF1733">
        <w:rPr>
          <w:lang w:val="en-GB"/>
        </w:rPr>
        <w:fldChar w:fldCharType="end"/>
      </w:r>
      <w:r w:rsidR="007B2E29" w:rsidRPr="00AF1733">
        <w:rPr>
          <w:lang w:val="en-GB"/>
        </w:rPr>
        <w:t xml:space="preserve"> b this quantity equals </w:t>
      </w:r>
      <w:r w:rsidR="00150A10" w:rsidRPr="00AF1733">
        <w:rPr>
          <w:lang w:val="en-GB"/>
        </w:rPr>
        <w:t>J</w:t>
      </w:r>
      <w:r w:rsidR="00150A10" w:rsidRPr="00AF1733">
        <w:rPr>
          <w:vertAlign w:val="subscript"/>
          <w:lang w:val="en-GB"/>
        </w:rPr>
        <w:t>FM</w:t>
      </w:r>
      <w:r w:rsidR="00150A10" w:rsidRPr="00AF1733">
        <w:rPr>
          <w:lang w:val="en-GB"/>
        </w:rPr>
        <w:t>+J</w:t>
      </w:r>
      <w:r w:rsidR="00150A10" w:rsidRPr="00AF1733">
        <w:rPr>
          <w:vertAlign w:val="subscript"/>
          <w:lang w:val="en-GB"/>
        </w:rPr>
        <w:t>leakFlux</w:t>
      </w:r>
      <w:r w:rsidR="00150A10" w:rsidRPr="00AF1733">
        <w:rPr>
          <w:lang w:val="en-GB"/>
        </w:rPr>
        <w:t>+J</w:t>
      </w:r>
      <w:r w:rsidR="00150A10" w:rsidRPr="00AF1733">
        <w:rPr>
          <w:vertAlign w:val="subscript"/>
          <w:lang w:val="en-GB"/>
        </w:rPr>
        <w:t>CFM</w:t>
      </w:r>
      <w:r w:rsidR="00150A10" w:rsidRPr="00AF1733">
        <w:rPr>
          <w:lang w:val="en-GB"/>
        </w:rPr>
        <w:t xml:space="preserve">. </w:t>
      </w:r>
      <w:r w:rsidR="006500D5" w:rsidRPr="00AF1733">
        <w:rPr>
          <w:lang w:val="en-GB"/>
        </w:rPr>
        <w:t>J</w:t>
      </w:r>
      <w:r w:rsidR="006500D5" w:rsidRPr="00AF1733">
        <w:rPr>
          <w:vertAlign w:val="subscript"/>
          <w:lang w:val="en-GB"/>
        </w:rPr>
        <w:t>leakFlux</w:t>
      </w:r>
      <w:r w:rsidR="006500D5" w:rsidRPr="00AF1733">
        <w:rPr>
          <w:lang w:val="en-GB"/>
        </w:rPr>
        <w:t xml:space="preserve"> has been numerically evaluated using the measurement model presented in ref. </w:t>
      </w:r>
      <w:r w:rsidR="006500D5" w:rsidRPr="00AF1733">
        <w:rPr>
          <w:lang w:val="en-GB"/>
        </w:rPr>
        <w:fldChar w:fldCharType="begin"/>
      </w:r>
      <w:r w:rsidR="006500D5" w:rsidRPr="00AF1733">
        <w:rPr>
          <w:lang w:val="en-GB"/>
        </w:rPr>
        <w:instrText>ADDIN RW.CITE{{484 Saggin,B. 2012}}</w:instrText>
      </w:r>
      <w:r w:rsidR="006500D5" w:rsidRPr="00AF1733">
        <w:rPr>
          <w:lang w:val="en-GB"/>
        </w:rPr>
        <w:fldChar w:fldCharType="separate"/>
      </w:r>
      <w:r w:rsidR="00AC7561" w:rsidRPr="00AF1733">
        <w:rPr>
          <w:lang w:val="en-GB"/>
        </w:rPr>
        <w:t>[9]</w:t>
      </w:r>
      <w:r w:rsidR="006500D5" w:rsidRPr="00AF1733">
        <w:rPr>
          <w:lang w:val="en-GB"/>
        </w:rPr>
        <w:fldChar w:fldCharType="end"/>
      </w:r>
      <w:r w:rsidR="003D004A" w:rsidRPr="00AF1733">
        <w:rPr>
          <w:lang w:val="en-GB"/>
        </w:rPr>
        <w:t>, which accounts for the radiative and convective exchanges of the lateral part of the heat flux meter with the environment. The plot of J</w:t>
      </w:r>
      <w:r w:rsidR="003D004A" w:rsidRPr="00AF1733">
        <w:rPr>
          <w:vertAlign w:val="subscript"/>
          <w:lang w:val="en-GB"/>
        </w:rPr>
        <w:t>leakFlux</w:t>
      </w:r>
      <w:r w:rsidR="003D004A" w:rsidRPr="00AF1733">
        <w:rPr>
          <w:lang w:val="en-GB"/>
        </w:rPr>
        <w:t xml:space="preserve"> versus the interface temperature </w:t>
      </w:r>
      <w:r w:rsidR="00FD4991" w:rsidRPr="00AF1733">
        <w:rPr>
          <w:lang w:val="en-GB"/>
        </w:rPr>
        <w:t xml:space="preserve">is shown in </w:t>
      </w:r>
      <w:r w:rsidR="00FD4991" w:rsidRPr="00AF1733">
        <w:rPr>
          <w:lang w:val="en-GB"/>
        </w:rPr>
        <w:fldChar w:fldCharType="begin"/>
      </w:r>
      <w:r w:rsidR="00FD4991" w:rsidRPr="00AF1733">
        <w:rPr>
          <w:lang w:val="en-GB"/>
        </w:rPr>
        <w:instrText xml:space="preserve"> REF _Ref391309380 \h </w:instrText>
      </w:r>
      <w:r w:rsidR="00FD4991" w:rsidRPr="00AF1733">
        <w:rPr>
          <w:lang w:val="en-GB"/>
        </w:rPr>
      </w:r>
      <w:r w:rsidR="00FD4991" w:rsidRPr="00AF1733">
        <w:rPr>
          <w:lang w:val="en-GB"/>
        </w:rPr>
        <w:fldChar w:fldCharType="separate"/>
      </w:r>
      <w:r w:rsidR="000A664E" w:rsidRPr="00AF1733">
        <w:rPr>
          <w:lang w:val="en-GB"/>
        </w:rPr>
        <w:t xml:space="preserve">Fig. </w:t>
      </w:r>
      <w:r w:rsidR="000A664E" w:rsidRPr="00AF1733">
        <w:rPr>
          <w:noProof/>
          <w:lang w:val="en-GB"/>
        </w:rPr>
        <w:t>2</w:t>
      </w:r>
      <w:r w:rsidR="00FD4991" w:rsidRPr="00AF1733">
        <w:rPr>
          <w:lang w:val="en-GB"/>
        </w:rPr>
        <w:fldChar w:fldCharType="end"/>
      </w:r>
      <w:r w:rsidR="00E7579E" w:rsidRPr="00AF1733">
        <w:rPr>
          <w:lang w:val="en-GB"/>
        </w:rPr>
        <w:t>.</w:t>
      </w:r>
      <w:r w:rsidR="004A2CAA" w:rsidRPr="00AF1733">
        <w:rPr>
          <w:lang w:val="en-GB"/>
        </w:rPr>
        <w:t xml:space="preserve"> </w:t>
      </w:r>
      <w:r w:rsidR="00E7579E" w:rsidRPr="00AF1733">
        <w:rPr>
          <w:lang w:val="en-GB"/>
        </w:rPr>
        <w:t>T</w:t>
      </w:r>
      <w:r w:rsidR="004A2CAA" w:rsidRPr="00AF1733">
        <w:rPr>
          <w:lang w:val="en-GB"/>
        </w:rPr>
        <w:t>he lowest interface temperature reached in our tests was 5°C</w:t>
      </w:r>
      <w:r w:rsidR="00725669" w:rsidRPr="00AF1733">
        <w:rPr>
          <w:lang w:val="en-GB"/>
        </w:rPr>
        <w:t xml:space="preserve"> with </w:t>
      </w:r>
      <w:r w:rsidR="00D74BCB" w:rsidRPr="00AF1733">
        <w:rPr>
          <w:lang w:val="en-GB"/>
        </w:rPr>
        <w:t>a measured flux (</w:t>
      </w:r>
      <w:r w:rsidR="004A2CAA" w:rsidRPr="00AF1733">
        <w:rPr>
          <w:lang w:val="en-GB"/>
        </w:rPr>
        <w:t>J</w:t>
      </w:r>
      <w:r w:rsidR="004A2CAA" w:rsidRPr="00AF1733">
        <w:rPr>
          <w:vertAlign w:val="subscript"/>
          <w:lang w:val="en-GB"/>
        </w:rPr>
        <w:t>FM</w:t>
      </w:r>
      <w:r w:rsidR="00D74BCB" w:rsidRPr="00AF1733">
        <w:rPr>
          <w:lang w:val="en-GB"/>
        </w:rPr>
        <w:t xml:space="preserve">) </w:t>
      </w:r>
      <w:r w:rsidR="00725669" w:rsidRPr="00AF1733">
        <w:rPr>
          <w:lang w:val="en-GB"/>
        </w:rPr>
        <w:t xml:space="preserve">of </w:t>
      </w:r>
      <w:r w:rsidR="004A2CAA" w:rsidRPr="00AF1733">
        <w:rPr>
          <w:lang w:val="en-GB"/>
        </w:rPr>
        <w:t>6 W</w:t>
      </w:r>
      <w:r w:rsidR="00725669" w:rsidRPr="00AF1733">
        <w:rPr>
          <w:lang w:val="en-GB"/>
        </w:rPr>
        <w:t>; in these conditions</w:t>
      </w:r>
      <w:r w:rsidR="004A2CAA" w:rsidRPr="00AF1733">
        <w:rPr>
          <w:lang w:val="en-GB"/>
        </w:rPr>
        <w:t>, the flux not measured by the flowmeter is approximately 500 times lower than the measured one (J</w:t>
      </w:r>
      <w:r w:rsidR="004A2CAA" w:rsidRPr="00AF1733">
        <w:rPr>
          <w:vertAlign w:val="subscript"/>
          <w:lang w:val="en-GB"/>
        </w:rPr>
        <w:t>leakflux</w:t>
      </w:r>
      <w:r w:rsidR="004A2CAA" w:rsidRPr="00AF1733">
        <w:rPr>
          <w:lang w:val="en-GB"/>
        </w:rPr>
        <w:t xml:space="preserve"> equal to 0.03 W) and can be </w:t>
      </w:r>
      <w:r w:rsidR="00725669" w:rsidRPr="00AF1733">
        <w:rPr>
          <w:lang w:val="en-GB"/>
        </w:rPr>
        <w:t>therefore</w:t>
      </w:r>
      <w:r w:rsidR="004A2CAA" w:rsidRPr="00AF1733">
        <w:rPr>
          <w:lang w:val="en-GB"/>
        </w:rPr>
        <w:t xml:space="preserve"> neglected.</w:t>
      </w:r>
      <w:r w:rsidR="00871DD1" w:rsidRPr="00AF1733">
        <w:rPr>
          <w:lang w:val="en-GB"/>
        </w:rPr>
        <w:t xml:space="preserve"> The use of the measurement system described in </w:t>
      </w:r>
      <w:r w:rsidR="00871DD1" w:rsidRPr="00AF1733">
        <w:rPr>
          <w:lang w:val="en-GB"/>
        </w:rPr>
        <w:fldChar w:fldCharType="begin"/>
      </w:r>
      <w:r w:rsidR="00871DD1" w:rsidRPr="00AF1733">
        <w:rPr>
          <w:lang w:val="en-GB"/>
        </w:rPr>
        <w:instrText xml:space="preserve"> REF _Ref382217675 \h </w:instrText>
      </w:r>
      <w:r w:rsidR="00871DD1" w:rsidRPr="00AF1733">
        <w:rPr>
          <w:lang w:val="en-GB"/>
        </w:rPr>
      </w:r>
      <w:r w:rsidR="00871DD1" w:rsidRPr="00AF1733">
        <w:rPr>
          <w:lang w:val="en-GB"/>
        </w:rPr>
        <w:fldChar w:fldCharType="separate"/>
      </w:r>
      <w:r w:rsidR="000A664E" w:rsidRPr="00AF1733">
        <w:rPr>
          <w:lang w:val="en-GB"/>
        </w:rPr>
        <w:t xml:space="preserve">Fig. </w:t>
      </w:r>
      <w:r w:rsidR="000A664E" w:rsidRPr="00AF1733">
        <w:rPr>
          <w:noProof/>
          <w:lang w:val="en-GB"/>
        </w:rPr>
        <w:t>1</w:t>
      </w:r>
      <w:r w:rsidR="00871DD1" w:rsidRPr="00AF1733">
        <w:rPr>
          <w:lang w:val="en-GB"/>
        </w:rPr>
        <w:fldChar w:fldCharType="end"/>
      </w:r>
      <w:r w:rsidR="00871DD1" w:rsidRPr="00AF1733">
        <w:rPr>
          <w:lang w:val="en-GB"/>
        </w:rPr>
        <w:t xml:space="preserve"> b is therefore justified.</w:t>
      </w:r>
    </w:p>
    <w:p w14:paraId="02881FB3" w14:textId="08C816FB" w:rsidR="00FD4991" w:rsidRPr="00AF1733" w:rsidRDefault="00D1680A" w:rsidP="00FD4991">
      <w:pPr>
        <w:pStyle w:val="Testo"/>
        <w:keepNext/>
        <w:ind w:firstLine="0"/>
        <w:jc w:val="center"/>
        <w:rPr>
          <w:lang w:val="en-GB"/>
        </w:rPr>
      </w:pPr>
      <w:r w:rsidRPr="00AF1733">
        <w:rPr>
          <w:noProof/>
          <w:lang w:bidi="ar-SA"/>
        </w:rPr>
        <w:drawing>
          <wp:inline distT="0" distB="0" distL="0" distR="0" wp14:anchorId="1C9AACE7" wp14:editId="2357F2E8">
            <wp:extent cx="3240000" cy="1938150"/>
            <wp:effectExtent l="0" t="0" r="0" b="508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40000" cy="1938150"/>
                    </a:xfrm>
                    <a:prstGeom prst="rect">
                      <a:avLst/>
                    </a:prstGeom>
                    <a:noFill/>
                    <a:ln>
                      <a:noFill/>
                    </a:ln>
                  </pic:spPr>
                </pic:pic>
              </a:graphicData>
            </a:graphic>
          </wp:inline>
        </w:drawing>
      </w:r>
      <w:r w:rsidR="003E63E8" w:rsidRPr="00AF1733">
        <w:rPr>
          <w:lang w:val="en-GB"/>
        </w:rPr>
        <w:t xml:space="preserve"> </w:t>
      </w:r>
    </w:p>
    <w:p w14:paraId="3B34C9F4" w14:textId="77777777" w:rsidR="00FD4991" w:rsidRPr="00AF1733" w:rsidRDefault="00FD4991" w:rsidP="00FD4991">
      <w:pPr>
        <w:pStyle w:val="Didascalia"/>
        <w:rPr>
          <w:color w:val="auto"/>
          <w:lang w:val="en-GB"/>
        </w:rPr>
      </w:pPr>
      <w:bookmarkStart w:id="2" w:name="_Ref391309380"/>
      <w:r w:rsidRPr="00AF1733">
        <w:rPr>
          <w:color w:val="auto"/>
          <w:lang w:val="en-GB"/>
        </w:rPr>
        <w:t xml:space="preserve">Fig. </w:t>
      </w:r>
      <w:r w:rsidRPr="00AF1733">
        <w:rPr>
          <w:color w:val="auto"/>
          <w:lang w:val="en-GB"/>
        </w:rPr>
        <w:fldChar w:fldCharType="begin"/>
      </w:r>
      <w:r w:rsidRPr="00AF1733">
        <w:rPr>
          <w:color w:val="auto"/>
          <w:lang w:val="en-GB"/>
        </w:rPr>
        <w:instrText xml:space="preserve"> SEQ Fig. \* ARABIC </w:instrText>
      </w:r>
      <w:r w:rsidRPr="00AF1733">
        <w:rPr>
          <w:color w:val="auto"/>
          <w:lang w:val="en-GB"/>
        </w:rPr>
        <w:fldChar w:fldCharType="separate"/>
      </w:r>
      <w:r w:rsidR="000A664E" w:rsidRPr="00AF1733">
        <w:rPr>
          <w:noProof/>
          <w:color w:val="auto"/>
          <w:lang w:val="en-GB"/>
        </w:rPr>
        <w:t>2</w:t>
      </w:r>
      <w:r w:rsidRPr="00AF1733">
        <w:rPr>
          <w:color w:val="auto"/>
          <w:lang w:val="en-GB"/>
        </w:rPr>
        <w:fldChar w:fldCharType="end"/>
      </w:r>
      <w:bookmarkEnd w:id="2"/>
      <w:r w:rsidRPr="00AF1733">
        <w:rPr>
          <w:color w:val="auto"/>
          <w:lang w:val="en-GB"/>
        </w:rPr>
        <w:t xml:space="preserve"> Heat flux dissipated by radiation and convection not measured by the flux-meter</w:t>
      </w:r>
    </w:p>
    <w:p w14:paraId="73346AC2" w14:textId="77777777" w:rsidR="00D74BCB" w:rsidRPr="00AF1733" w:rsidRDefault="00D74BCB" w:rsidP="0008496F">
      <w:pPr>
        <w:rPr>
          <w:lang w:val="en-GB"/>
        </w:rPr>
      </w:pPr>
      <w:r w:rsidRPr="00AF1733">
        <w:rPr>
          <w:lang w:val="en-GB"/>
        </w:rPr>
        <w:t xml:space="preserve">The second limitation arises from the transient response of the instrument: as evidenced in the scheme of </w:t>
      </w:r>
      <w:r w:rsidRPr="00AF1733">
        <w:rPr>
          <w:lang w:val="en-GB"/>
        </w:rPr>
        <w:fldChar w:fldCharType="begin"/>
      </w:r>
      <w:r w:rsidRPr="00AF1733">
        <w:rPr>
          <w:lang w:val="en-GB"/>
        </w:rPr>
        <w:instrText xml:space="preserve"> REF _Ref382217675 \h </w:instrText>
      </w:r>
      <w:r w:rsidRPr="00AF1733">
        <w:rPr>
          <w:lang w:val="en-GB"/>
        </w:rPr>
      </w:r>
      <w:r w:rsidRPr="00AF1733">
        <w:rPr>
          <w:lang w:val="en-GB"/>
        </w:rPr>
        <w:fldChar w:fldCharType="separate"/>
      </w:r>
      <w:r w:rsidR="000A664E" w:rsidRPr="00AF1733">
        <w:rPr>
          <w:lang w:val="en-GB"/>
        </w:rPr>
        <w:t xml:space="preserve">Fig. </w:t>
      </w:r>
      <w:r w:rsidR="000A664E" w:rsidRPr="00AF1733">
        <w:rPr>
          <w:noProof/>
          <w:lang w:val="en-GB"/>
        </w:rPr>
        <w:t>1</w:t>
      </w:r>
      <w:r w:rsidRPr="00AF1733">
        <w:rPr>
          <w:lang w:val="en-GB"/>
        </w:rPr>
        <w:fldChar w:fldCharType="end"/>
      </w:r>
      <w:r w:rsidRPr="00AF1733">
        <w:rPr>
          <w:lang w:val="en-GB"/>
        </w:rPr>
        <w:t xml:space="preserve"> b, the heat flux meter has two thermal capacitances, C</w:t>
      </w:r>
      <w:r w:rsidRPr="00AF1733">
        <w:rPr>
          <w:vertAlign w:val="subscript"/>
          <w:lang w:val="en-GB"/>
        </w:rPr>
        <w:t>FM</w:t>
      </w:r>
      <w:r w:rsidRPr="00AF1733">
        <w:rPr>
          <w:lang w:val="en-GB"/>
        </w:rPr>
        <w:t xml:space="preserve"> and C</w:t>
      </w:r>
      <w:r w:rsidRPr="00AF1733">
        <w:rPr>
          <w:vertAlign w:val="subscript"/>
          <w:lang w:val="en-GB"/>
        </w:rPr>
        <w:t>HS</w:t>
      </w:r>
      <w:r w:rsidRPr="00AF1733">
        <w:rPr>
          <w:lang w:val="en-GB"/>
        </w:rPr>
        <w:t xml:space="preserve">. The two capacitances reflect in two different time constants </w:t>
      </w:r>
      <w:r w:rsidRPr="00AF1733">
        <w:rPr>
          <w:rFonts w:ascii="Symbol" w:hAnsi="Symbol" w:cs="Times New Roman"/>
          <w:lang w:val="en-GB"/>
        </w:rPr>
        <w:t></w:t>
      </w:r>
      <w:r w:rsidR="00FD70A6" w:rsidRPr="00AF1733">
        <w:rPr>
          <w:rFonts w:cs="Times New Roman"/>
          <w:vertAlign w:val="subscript"/>
          <w:lang w:val="en-GB"/>
        </w:rPr>
        <w:t>1</w:t>
      </w:r>
      <w:r w:rsidR="00FD70A6" w:rsidRPr="00AF1733">
        <w:rPr>
          <w:rFonts w:cs="Times New Roman"/>
          <w:lang w:val="en-GB"/>
        </w:rPr>
        <w:t xml:space="preserve"> and </w:t>
      </w:r>
      <w:r w:rsidR="00FD70A6" w:rsidRPr="00AF1733">
        <w:rPr>
          <w:rFonts w:ascii="Symbol" w:hAnsi="Symbol" w:cs="Times New Roman"/>
          <w:lang w:val="en-GB"/>
        </w:rPr>
        <w:t></w:t>
      </w:r>
      <w:r w:rsidR="00FD70A6" w:rsidRPr="00AF1733">
        <w:rPr>
          <w:rFonts w:cs="Times New Roman"/>
          <w:vertAlign w:val="subscript"/>
          <w:lang w:val="en-GB"/>
        </w:rPr>
        <w:t>2</w:t>
      </w:r>
      <w:r w:rsidRPr="00AF1733">
        <w:rPr>
          <w:rFonts w:cs="Times New Roman"/>
          <w:lang w:val="en-GB"/>
        </w:rPr>
        <w:t>,</w:t>
      </w:r>
      <w:r w:rsidRPr="00AF1733">
        <w:rPr>
          <w:lang w:val="en-GB"/>
        </w:rPr>
        <w:t xml:space="preserve"> whose values </w:t>
      </w:r>
      <w:r w:rsidR="00FD70A6" w:rsidRPr="00AF1733">
        <w:rPr>
          <w:lang w:val="en-GB"/>
        </w:rPr>
        <w:t>respectively</w:t>
      </w:r>
      <w:r w:rsidRPr="00AF1733">
        <w:rPr>
          <w:lang w:val="en-GB"/>
        </w:rPr>
        <w:t xml:space="preserve"> depend on the resistances R</w:t>
      </w:r>
      <w:r w:rsidRPr="00AF1733">
        <w:rPr>
          <w:vertAlign w:val="subscript"/>
          <w:lang w:val="en-GB"/>
        </w:rPr>
        <w:t>FM</w:t>
      </w:r>
      <w:r w:rsidRPr="00AF1733">
        <w:rPr>
          <w:lang w:val="en-GB"/>
        </w:rPr>
        <w:t xml:space="preserve"> and R</w:t>
      </w:r>
      <w:r w:rsidRPr="00AF1733">
        <w:rPr>
          <w:vertAlign w:val="subscript"/>
          <w:lang w:val="en-GB"/>
        </w:rPr>
        <w:t>HS</w:t>
      </w:r>
      <w:r w:rsidRPr="00AF1733">
        <w:rPr>
          <w:lang w:val="en-GB"/>
        </w:rPr>
        <w:t xml:space="preserve">. The flux-meter capacity </w:t>
      </w:r>
      <w:r w:rsidR="00B34BDC" w:rsidRPr="00AF1733">
        <w:rPr>
          <w:lang w:val="en-GB"/>
        </w:rPr>
        <w:t xml:space="preserve">can be easily computed by multiplying the mass of the copper feeler pin </w:t>
      </w:r>
      <w:r w:rsidR="0008496F" w:rsidRPr="00AF1733">
        <w:rPr>
          <w:lang w:val="en-GB"/>
        </w:rPr>
        <w:t xml:space="preserve">(a cylinder with diameter of 12 mm and height of 0.5 mm) </w:t>
      </w:r>
      <w:r w:rsidR="00B34BDC" w:rsidRPr="00AF1733">
        <w:rPr>
          <w:lang w:val="en-GB"/>
        </w:rPr>
        <w:t>by the specific heat capacity of the copper</w:t>
      </w:r>
      <w:r w:rsidR="0008496F" w:rsidRPr="00AF1733">
        <w:rPr>
          <w:lang w:val="en-GB"/>
        </w:rPr>
        <w:t xml:space="preserve"> (0.39 J/g K)</w:t>
      </w:r>
      <w:r w:rsidR="00B34BDC" w:rsidRPr="00AF1733">
        <w:rPr>
          <w:lang w:val="en-GB"/>
        </w:rPr>
        <w:t xml:space="preserve">. </w:t>
      </w:r>
      <w:r w:rsidR="0008496F" w:rsidRPr="00AF1733">
        <w:rPr>
          <w:lang w:val="en-GB"/>
        </w:rPr>
        <w:t xml:space="preserve">The resulting thermal capacity is </w:t>
      </w:r>
      <w:r w:rsidRPr="00AF1733">
        <w:rPr>
          <w:lang w:val="en-GB"/>
        </w:rPr>
        <w:t xml:space="preserve">0.19 J/K. The expected flux-meter time constant </w:t>
      </w:r>
      <w:r w:rsidR="00FD70A6" w:rsidRPr="00AF1733">
        <w:rPr>
          <w:rFonts w:ascii="Symbol" w:hAnsi="Symbol" w:cs="Times New Roman"/>
          <w:lang w:val="en-GB"/>
        </w:rPr>
        <w:t></w:t>
      </w:r>
      <w:r w:rsidR="00FD70A6" w:rsidRPr="00AF1733">
        <w:rPr>
          <w:rFonts w:cs="Times New Roman"/>
          <w:vertAlign w:val="subscript"/>
          <w:lang w:val="en-GB"/>
        </w:rPr>
        <w:t>1</w:t>
      </w:r>
      <w:r w:rsidR="00FD70A6" w:rsidRPr="00AF1733">
        <w:rPr>
          <w:rFonts w:cs="Times New Roman"/>
          <w:lang w:val="en-GB"/>
        </w:rPr>
        <w:t xml:space="preserve"> </w:t>
      </w:r>
      <w:r w:rsidRPr="00AF1733">
        <w:rPr>
          <w:lang w:val="en-GB"/>
        </w:rPr>
        <w:t>is 1.25 s and is dominant during the cooling phase</w:t>
      </w:r>
      <w:r w:rsidR="00FD70A6" w:rsidRPr="00AF1733">
        <w:rPr>
          <w:lang w:val="en-GB"/>
        </w:rPr>
        <w:t>, in which the thermal inertia of the heat sink prevents from quick changes of the flowmeter side not in contact with the skin.</w:t>
      </w:r>
      <w:r w:rsidRPr="00AF1733">
        <w:rPr>
          <w:lang w:val="en-GB"/>
        </w:rPr>
        <w:t xml:space="preserve"> </w:t>
      </w:r>
      <w:r w:rsidR="00FD70A6" w:rsidRPr="00AF1733">
        <w:rPr>
          <w:lang w:val="en-GB"/>
        </w:rPr>
        <w:t>G</w:t>
      </w:r>
      <w:r w:rsidRPr="00AF1733">
        <w:rPr>
          <w:lang w:val="en-GB"/>
        </w:rPr>
        <w:t xml:space="preserve">iven that the typical application time is in the order of 30 s, the value is satisfying. The second time constant </w:t>
      </w:r>
      <w:r w:rsidR="00FD70A6" w:rsidRPr="00AF1733">
        <w:rPr>
          <w:lang w:val="en-GB"/>
        </w:rPr>
        <w:t>(</w:t>
      </w:r>
      <w:r w:rsidR="00FD70A6" w:rsidRPr="00AF1733">
        <w:rPr>
          <w:rFonts w:ascii="Symbol" w:hAnsi="Symbol" w:cs="Times New Roman"/>
          <w:lang w:val="en-GB"/>
        </w:rPr>
        <w:t></w:t>
      </w:r>
      <w:r w:rsidR="00FD70A6" w:rsidRPr="00AF1733">
        <w:rPr>
          <w:rFonts w:cs="Times New Roman"/>
          <w:vertAlign w:val="subscript"/>
          <w:lang w:val="en-GB"/>
        </w:rPr>
        <w:t>2</w:t>
      </w:r>
      <w:r w:rsidR="00FD70A6" w:rsidRPr="00AF1733">
        <w:rPr>
          <w:lang w:val="en-GB"/>
        </w:rPr>
        <w:t xml:space="preserve">) </w:t>
      </w:r>
      <w:r w:rsidRPr="00AF1733">
        <w:rPr>
          <w:lang w:val="en-GB"/>
        </w:rPr>
        <w:t>depends on C</w:t>
      </w:r>
      <w:r w:rsidRPr="00AF1733">
        <w:rPr>
          <w:vertAlign w:val="subscript"/>
          <w:lang w:val="en-GB"/>
        </w:rPr>
        <w:t>HS</w:t>
      </w:r>
      <w:r w:rsidR="00575A45" w:rsidRPr="00AF1733">
        <w:rPr>
          <w:lang w:val="en-GB"/>
        </w:rPr>
        <w:t xml:space="preserve"> and is of the order of hundreds of seconds; its effects are </w:t>
      </w:r>
      <w:r w:rsidR="00FD70A6" w:rsidRPr="00AF1733">
        <w:rPr>
          <w:lang w:val="en-GB"/>
        </w:rPr>
        <w:t xml:space="preserve">counterbalanced by the presence of the TEC, whose </w:t>
      </w:r>
      <w:r w:rsidR="00FD70A6" w:rsidRPr="00AF1733">
        <w:rPr>
          <w:lang w:val="en-GB"/>
        </w:rPr>
        <w:lastRenderedPageBreak/>
        <w:t>aim is to maintain a stable temperature a</w:t>
      </w:r>
      <w:r w:rsidR="00575A45" w:rsidRPr="00AF1733">
        <w:rPr>
          <w:lang w:val="en-GB"/>
        </w:rPr>
        <w:t>t the hot side of the flowmeter;</w:t>
      </w:r>
      <w:r w:rsidR="00FD70A6" w:rsidRPr="00AF1733">
        <w:rPr>
          <w:lang w:val="en-GB"/>
        </w:rPr>
        <w:t xml:space="preserve"> </w:t>
      </w:r>
      <w:r w:rsidR="00575A45" w:rsidRPr="00AF1733">
        <w:rPr>
          <w:lang w:val="en-GB"/>
        </w:rPr>
        <w:t>hence, in the actual instrument usage</w:t>
      </w:r>
      <w:r w:rsidR="00FD70A6" w:rsidRPr="00AF1733">
        <w:rPr>
          <w:lang w:val="en-GB"/>
        </w:rPr>
        <w:t xml:space="preserve">, </w:t>
      </w:r>
      <w:r w:rsidR="00FD70A6" w:rsidRPr="00AF1733">
        <w:rPr>
          <w:rFonts w:ascii="Symbol" w:hAnsi="Symbol" w:cs="Times New Roman"/>
          <w:lang w:val="en-GB"/>
        </w:rPr>
        <w:t></w:t>
      </w:r>
      <w:r w:rsidR="00FD70A6" w:rsidRPr="00AF1733">
        <w:rPr>
          <w:rFonts w:cs="Times New Roman"/>
          <w:vertAlign w:val="subscript"/>
          <w:lang w:val="en-GB"/>
        </w:rPr>
        <w:t>2</w:t>
      </w:r>
      <w:r w:rsidR="00FD70A6" w:rsidRPr="00AF1733">
        <w:rPr>
          <w:rFonts w:cs="Times New Roman"/>
          <w:lang w:val="en-GB"/>
        </w:rPr>
        <w:t xml:space="preserve"> </w:t>
      </w:r>
      <w:r w:rsidR="00575A45" w:rsidRPr="00AF1733">
        <w:rPr>
          <w:rFonts w:cs="Times New Roman"/>
          <w:lang w:val="en-GB"/>
        </w:rPr>
        <w:t>can be neglected.</w:t>
      </w:r>
    </w:p>
    <w:p w14:paraId="3CF09282" w14:textId="77777777" w:rsidR="00D74BCB" w:rsidRPr="00AF1733" w:rsidRDefault="00D74BCB" w:rsidP="00D74BCB">
      <w:pPr>
        <w:rPr>
          <w:lang w:val="en-GB"/>
        </w:rPr>
      </w:pPr>
      <w:r w:rsidRPr="00AF1733">
        <w:rPr>
          <w:lang w:val="en-GB"/>
        </w:rPr>
        <w:t xml:space="preserve">Although it is theoretically possible to compensate the flux-meter time constants with the approach described in references </w:t>
      </w:r>
      <w:r w:rsidRPr="00AF1733">
        <w:rPr>
          <w:lang w:val="en-GB"/>
        </w:rPr>
        <w:fldChar w:fldCharType="begin"/>
      </w:r>
      <w:r w:rsidRPr="00AF1733">
        <w:rPr>
          <w:lang w:val="en-GB"/>
        </w:rPr>
        <w:instrText>ADDIN RW.CITE{{245 Tarabini,Marco 2012; 11 Moschioni,G. 2008}}</w:instrText>
      </w:r>
      <w:r w:rsidRPr="00AF1733">
        <w:rPr>
          <w:lang w:val="en-GB"/>
        </w:rPr>
        <w:fldChar w:fldCharType="separate"/>
      </w:r>
      <w:r w:rsidR="00A84EBF" w:rsidRPr="00AF1733">
        <w:rPr>
          <w:lang w:val="en-GB"/>
        </w:rPr>
        <w:t>[18, 19]</w:t>
      </w:r>
      <w:r w:rsidRPr="00AF1733">
        <w:rPr>
          <w:lang w:val="en-GB"/>
        </w:rPr>
        <w:fldChar w:fldCharType="end"/>
      </w:r>
      <w:r w:rsidRPr="00AF1733">
        <w:rPr>
          <w:lang w:val="en-GB"/>
        </w:rPr>
        <w:t xml:space="preserve">, all the tests of interest were performed in quasi-static conditions, given that the cooling was much larger than the estimated time constant. </w:t>
      </w:r>
    </w:p>
    <w:p w14:paraId="74314CC8" w14:textId="77777777" w:rsidR="00F0148B" w:rsidRPr="00AF1733" w:rsidRDefault="00E46F51" w:rsidP="0062145E">
      <w:pPr>
        <w:pStyle w:val="Titolo2"/>
        <w:rPr>
          <w:lang w:val="en-GB"/>
        </w:rPr>
      </w:pPr>
      <w:r w:rsidRPr="00AF1733">
        <w:rPr>
          <w:lang w:val="en-GB"/>
        </w:rPr>
        <w:t>Measurement Uncertainty</w:t>
      </w:r>
    </w:p>
    <w:p w14:paraId="225B8068" w14:textId="77777777" w:rsidR="00FA5010" w:rsidRPr="00AF1733" w:rsidRDefault="00F0148B" w:rsidP="00FA5010">
      <w:pPr>
        <w:rPr>
          <w:lang w:val="en-GB"/>
        </w:rPr>
      </w:pPr>
      <w:r w:rsidRPr="00AF1733">
        <w:rPr>
          <w:lang w:val="en-GB"/>
        </w:rPr>
        <w:t xml:space="preserve">According to the model in </w:t>
      </w:r>
      <w:r w:rsidR="00512C31" w:rsidRPr="00AF1733">
        <w:rPr>
          <w:lang w:val="en-GB"/>
        </w:rPr>
        <w:fldChar w:fldCharType="begin"/>
      </w:r>
      <w:r w:rsidR="00512C31" w:rsidRPr="00AF1733">
        <w:rPr>
          <w:lang w:val="en-GB"/>
        </w:rPr>
        <w:instrText xml:space="preserve"> REF _Ref382217675 \h </w:instrText>
      </w:r>
      <w:r w:rsidR="00512C31" w:rsidRPr="00AF1733">
        <w:rPr>
          <w:lang w:val="en-GB"/>
        </w:rPr>
      </w:r>
      <w:r w:rsidR="00512C31" w:rsidRPr="00AF1733">
        <w:rPr>
          <w:lang w:val="en-GB"/>
        </w:rPr>
        <w:fldChar w:fldCharType="separate"/>
      </w:r>
      <w:r w:rsidR="000A664E" w:rsidRPr="00AF1733">
        <w:rPr>
          <w:lang w:val="en-GB"/>
        </w:rPr>
        <w:t xml:space="preserve">Fig. </w:t>
      </w:r>
      <w:r w:rsidR="000A664E" w:rsidRPr="00AF1733">
        <w:rPr>
          <w:noProof/>
          <w:lang w:val="en-GB"/>
        </w:rPr>
        <w:t>1</w:t>
      </w:r>
      <w:r w:rsidR="00512C31" w:rsidRPr="00AF1733">
        <w:rPr>
          <w:lang w:val="en-GB"/>
        </w:rPr>
        <w:fldChar w:fldCharType="end"/>
      </w:r>
      <w:r w:rsidR="00522221" w:rsidRPr="00AF1733">
        <w:rPr>
          <w:lang w:val="en-GB"/>
        </w:rPr>
        <w:t xml:space="preserve"> b</w:t>
      </w:r>
      <w:r w:rsidR="00567150" w:rsidRPr="00AF1733">
        <w:rPr>
          <w:lang w:val="en-GB"/>
        </w:rPr>
        <w:t xml:space="preserve"> the difference between J</w:t>
      </w:r>
      <w:r w:rsidR="00567150" w:rsidRPr="00AF1733">
        <w:rPr>
          <w:vertAlign w:val="subscript"/>
          <w:lang w:val="en-GB"/>
        </w:rPr>
        <w:t>gas</w:t>
      </w:r>
      <w:r w:rsidR="00567150" w:rsidRPr="00AF1733">
        <w:rPr>
          <w:lang w:val="en-GB"/>
        </w:rPr>
        <w:t xml:space="preserve"> and J</w:t>
      </w:r>
      <w:r w:rsidR="00567150" w:rsidRPr="00AF1733">
        <w:rPr>
          <w:vertAlign w:val="subscript"/>
          <w:lang w:val="en-GB"/>
        </w:rPr>
        <w:t>leak</w:t>
      </w:r>
      <w:r w:rsidR="00567150" w:rsidRPr="00AF1733">
        <w:rPr>
          <w:lang w:val="en-GB"/>
        </w:rPr>
        <w:t xml:space="preserve"> </w:t>
      </w:r>
      <w:r w:rsidR="00575A45" w:rsidRPr="00AF1733">
        <w:rPr>
          <w:lang w:val="en-GB"/>
        </w:rPr>
        <w:t xml:space="preserve">in steady conditions </w:t>
      </w:r>
      <w:r w:rsidR="00567150" w:rsidRPr="00AF1733">
        <w:rPr>
          <w:lang w:val="en-GB"/>
        </w:rPr>
        <w:t>equals the sum of J</w:t>
      </w:r>
      <w:r w:rsidR="00567150" w:rsidRPr="00AF1733">
        <w:rPr>
          <w:vertAlign w:val="subscript"/>
          <w:lang w:val="en-GB"/>
        </w:rPr>
        <w:t>FM</w:t>
      </w:r>
      <w:r w:rsidR="00567150" w:rsidRPr="00AF1733">
        <w:rPr>
          <w:lang w:val="en-GB"/>
        </w:rPr>
        <w:t xml:space="preserve"> and J</w:t>
      </w:r>
      <w:r w:rsidR="00567150" w:rsidRPr="00AF1733">
        <w:rPr>
          <w:vertAlign w:val="subscript"/>
          <w:lang w:val="en-GB"/>
        </w:rPr>
        <w:t>leakflux</w:t>
      </w:r>
      <w:r w:rsidR="00575A45" w:rsidRPr="00AF1733">
        <w:rPr>
          <w:lang w:val="en-GB"/>
        </w:rPr>
        <w:t xml:space="preserve">, given that </w:t>
      </w:r>
      <w:r w:rsidR="00567150" w:rsidRPr="00AF1733">
        <w:rPr>
          <w:lang w:val="en-GB"/>
        </w:rPr>
        <w:t>C</w:t>
      </w:r>
      <w:r w:rsidR="00567150" w:rsidRPr="00AF1733">
        <w:rPr>
          <w:vertAlign w:val="subscript"/>
          <w:lang w:val="en-GB"/>
        </w:rPr>
        <w:t>FM</w:t>
      </w:r>
      <w:r w:rsidR="00567150" w:rsidRPr="00AF1733">
        <w:rPr>
          <w:lang w:val="en-GB"/>
        </w:rPr>
        <w:t xml:space="preserve"> only </w:t>
      </w:r>
      <w:r w:rsidR="008C26F8" w:rsidRPr="00AF1733">
        <w:rPr>
          <w:lang w:val="en-GB"/>
        </w:rPr>
        <w:t>affects the dynamic response but the net flux on it is zero</w:t>
      </w:r>
      <w:r w:rsidR="00567150" w:rsidRPr="00AF1733">
        <w:rPr>
          <w:lang w:val="en-GB"/>
        </w:rPr>
        <w:t>. J</w:t>
      </w:r>
      <w:r w:rsidR="00567150" w:rsidRPr="00AF1733">
        <w:rPr>
          <w:vertAlign w:val="subscript"/>
          <w:lang w:val="en-GB"/>
        </w:rPr>
        <w:t>FM</w:t>
      </w:r>
      <w:r w:rsidR="00567150" w:rsidRPr="00AF1733">
        <w:rPr>
          <w:lang w:val="en-GB"/>
        </w:rPr>
        <w:t xml:space="preserve"> </w:t>
      </w:r>
      <w:r w:rsidR="00575A45" w:rsidRPr="00AF1733">
        <w:rPr>
          <w:lang w:val="en-GB"/>
        </w:rPr>
        <w:t>is</w:t>
      </w:r>
      <w:r w:rsidR="00567150" w:rsidRPr="00AF1733">
        <w:rPr>
          <w:lang w:val="en-GB"/>
        </w:rPr>
        <w:t xml:space="preserve"> computed </w:t>
      </w:r>
      <w:r w:rsidR="003F0DF4" w:rsidRPr="00AF1733">
        <w:rPr>
          <w:lang w:val="en-GB"/>
        </w:rPr>
        <w:t>as the ratio between</w:t>
      </w:r>
      <w:r w:rsidR="00567150" w:rsidRPr="00AF1733">
        <w:rPr>
          <w:lang w:val="en-GB"/>
        </w:rPr>
        <w:t xml:space="preserve"> </w:t>
      </w:r>
      <w:r w:rsidR="003F0DF4" w:rsidRPr="00AF1733">
        <w:rPr>
          <w:rFonts w:ascii="Symbol" w:hAnsi="Symbol"/>
          <w:lang w:val="en-GB"/>
        </w:rPr>
        <w:t></w:t>
      </w:r>
      <w:r w:rsidR="003F0DF4" w:rsidRPr="00AF1733">
        <w:rPr>
          <w:lang w:val="en-GB"/>
        </w:rPr>
        <w:t>T</w:t>
      </w:r>
      <w:r w:rsidR="003F0DF4" w:rsidRPr="00AF1733">
        <w:rPr>
          <w:vertAlign w:val="subscript"/>
          <w:lang w:val="en-GB"/>
        </w:rPr>
        <w:t>FM</w:t>
      </w:r>
      <w:r w:rsidR="003F0DF4" w:rsidRPr="00AF1733">
        <w:rPr>
          <w:lang w:val="en-GB"/>
        </w:rPr>
        <w:t xml:space="preserve"> and </w:t>
      </w:r>
      <w:r w:rsidR="00C44F9D" w:rsidRPr="00AF1733">
        <w:rPr>
          <w:lang w:val="en-GB"/>
        </w:rPr>
        <w:t>R</w:t>
      </w:r>
      <w:r w:rsidR="00C44F9D" w:rsidRPr="00AF1733">
        <w:rPr>
          <w:vertAlign w:val="subscript"/>
          <w:lang w:val="en-GB"/>
        </w:rPr>
        <w:t>FM</w:t>
      </w:r>
      <w:r w:rsidR="00567150" w:rsidRPr="00AF1733">
        <w:rPr>
          <w:lang w:val="en-GB"/>
        </w:rPr>
        <w:t xml:space="preserve">. The latter </w:t>
      </w:r>
      <w:r w:rsidR="00575A45" w:rsidRPr="00AF1733">
        <w:rPr>
          <w:lang w:val="en-GB"/>
        </w:rPr>
        <w:t>is</w:t>
      </w:r>
      <w:r w:rsidR="00567150" w:rsidRPr="00AF1733">
        <w:rPr>
          <w:lang w:val="en-GB"/>
        </w:rPr>
        <w:t xml:space="preserve"> measured using a differential thermocouple, calibrated versus Class 1 PT100 in a thermal bath. </w:t>
      </w:r>
      <w:r w:rsidR="00575A45" w:rsidRPr="00AF1733">
        <w:rPr>
          <w:lang w:val="en-GB"/>
        </w:rPr>
        <w:t>The flux is therefore computed as:</w:t>
      </w:r>
    </w:p>
    <w:p w14:paraId="2B59D10D" w14:textId="77777777" w:rsidR="00FA5010" w:rsidRPr="00AF1733" w:rsidRDefault="00FA5010" w:rsidP="00FA5010">
      <w:pPr>
        <w:pStyle w:val="MTDisplayEquation"/>
        <w:rPr>
          <w:color w:val="auto"/>
        </w:rPr>
      </w:pPr>
      <w:r w:rsidRPr="00AF1733">
        <w:rPr>
          <w:color w:val="auto"/>
        </w:rPr>
        <w:tab/>
      </w:r>
      <w:r w:rsidRPr="00AF1733">
        <w:rPr>
          <w:color w:val="auto"/>
          <w:position w:val="-12"/>
        </w:rPr>
        <w:object w:dxaOrig="3200" w:dyaOrig="340" w14:anchorId="0EBFF2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8.4pt;height:21.9pt" o:ole="">
            <v:imagedata r:id="rId13" o:title=""/>
          </v:shape>
          <o:OLEObject Type="Embed" ProgID="Equation.DSMT4" ShapeID="_x0000_i1025" DrawAspect="Content" ObjectID="_1497122724" r:id="rId14"/>
        </w:object>
      </w:r>
      <w:r w:rsidRPr="00AF1733">
        <w:rPr>
          <w:color w:val="auto"/>
        </w:rPr>
        <w:t xml:space="preserve"> </w:t>
      </w:r>
      <w:r w:rsidRPr="00AF1733">
        <w:rPr>
          <w:color w:val="auto"/>
        </w:rPr>
        <w:tab/>
      </w:r>
      <w:r w:rsidRPr="00AF1733">
        <w:rPr>
          <w:b w:val="0"/>
          <w:color w:val="auto"/>
        </w:rPr>
        <w:fldChar w:fldCharType="begin"/>
      </w:r>
      <w:r w:rsidRPr="00AF1733">
        <w:rPr>
          <w:b w:val="0"/>
          <w:color w:val="auto"/>
        </w:rPr>
        <w:instrText xml:space="preserve"> MACROBUTTON MTPlaceRef \* MERGEFORMAT </w:instrText>
      </w:r>
      <w:r w:rsidRPr="00AF1733">
        <w:rPr>
          <w:b w:val="0"/>
          <w:color w:val="auto"/>
        </w:rPr>
        <w:fldChar w:fldCharType="begin"/>
      </w:r>
      <w:r w:rsidRPr="00AF1733">
        <w:rPr>
          <w:b w:val="0"/>
          <w:color w:val="auto"/>
        </w:rPr>
        <w:instrText xml:space="preserve"> SEQ MTEqn \h \* MERGEFORMAT </w:instrText>
      </w:r>
      <w:r w:rsidRPr="00AF1733">
        <w:rPr>
          <w:b w:val="0"/>
          <w:color w:val="auto"/>
        </w:rPr>
        <w:fldChar w:fldCharType="end"/>
      </w:r>
      <w:r w:rsidRPr="00AF1733">
        <w:rPr>
          <w:b w:val="0"/>
          <w:color w:val="auto"/>
        </w:rPr>
        <w:instrText>(</w:instrText>
      </w:r>
      <w:r w:rsidR="00F16A0D" w:rsidRPr="00AF1733">
        <w:rPr>
          <w:b w:val="0"/>
          <w:color w:val="auto"/>
        </w:rPr>
        <w:fldChar w:fldCharType="begin"/>
      </w:r>
      <w:r w:rsidR="00F16A0D" w:rsidRPr="00AF1733">
        <w:rPr>
          <w:b w:val="0"/>
          <w:color w:val="auto"/>
        </w:rPr>
        <w:instrText xml:space="preserve"> SEQ MTEqn \c \* Arabic \* MERGEFORMAT </w:instrText>
      </w:r>
      <w:r w:rsidR="00F16A0D" w:rsidRPr="00AF1733">
        <w:rPr>
          <w:b w:val="0"/>
          <w:color w:val="auto"/>
        </w:rPr>
        <w:fldChar w:fldCharType="separate"/>
      </w:r>
      <w:r w:rsidR="000A664E" w:rsidRPr="00AF1733">
        <w:rPr>
          <w:b w:val="0"/>
          <w:noProof/>
          <w:color w:val="auto"/>
        </w:rPr>
        <w:instrText>1</w:instrText>
      </w:r>
      <w:r w:rsidR="00F16A0D" w:rsidRPr="00AF1733">
        <w:rPr>
          <w:b w:val="0"/>
          <w:noProof/>
          <w:color w:val="auto"/>
        </w:rPr>
        <w:fldChar w:fldCharType="end"/>
      </w:r>
      <w:r w:rsidRPr="00AF1733">
        <w:rPr>
          <w:b w:val="0"/>
          <w:color w:val="auto"/>
        </w:rPr>
        <w:instrText>)</w:instrText>
      </w:r>
      <w:r w:rsidRPr="00AF1733">
        <w:rPr>
          <w:b w:val="0"/>
          <w:color w:val="auto"/>
        </w:rPr>
        <w:fldChar w:fldCharType="end"/>
      </w:r>
    </w:p>
    <w:p w14:paraId="2FB5AD33" w14:textId="77777777" w:rsidR="00DF6EB6" w:rsidRPr="00AF1733" w:rsidRDefault="00575A45" w:rsidP="00F7368E">
      <w:pPr>
        <w:rPr>
          <w:lang w:val="en-GB"/>
        </w:rPr>
      </w:pPr>
      <w:r w:rsidRPr="00AF1733">
        <w:rPr>
          <w:lang w:val="en-GB"/>
        </w:rPr>
        <w:t>Given that J</w:t>
      </w:r>
      <w:r w:rsidRPr="00AF1733">
        <w:rPr>
          <w:vertAlign w:val="subscript"/>
          <w:lang w:val="en-GB"/>
        </w:rPr>
        <w:t>leakflux</w:t>
      </w:r>
      <w:r w:rsidRPr="00AF1733">
        <w:rPr>
          <w:lang w:val="en-GB"/>
        </w:rPr>
        <w:t xml:space="preserve"> has been computed accounting for the radiative and convective exchanges of the flow meter it was not possible to adopt the linearization procedure proposed by the ISO GUM; t</w:t>
      </w:r>
      <w:r w:rsidR="00F7368E" w:rsidRPr="00AF1733">
        <w:rPr>
          <w:lang w:val="en-GB"/>
        </w:rPr>
        <w:t xml:space="preserve">he measurement uncertainty </w:t>
      </w:r>
      <w:r w:rsidRPr="00AF1733">
        <w:rPr>
          <w:lang w:val="en-GB"/>
        </w:rPr>
        <w:t>was therefore</w:t>
      </w:r>
      <w:r w:rsidR="00F7368E" w:rsidRPr="00AF1733">
        <w:rPr>
          <w:lang w:val="en-GB"/>
        </w:rPr>
        <w:t xml:space="preserve"> estimated by propagating </w:t>
      </w:r>
      <w:r w:rsidR="00E46F51" w:rsidRPr="00AF1733">
        <w:rPr>
          <w:lang w:val="en-GB"/>
        </w:rPr>
        <w:t>the experimentally identified uncertainties in equation 1</w:t>
      </w:r>
      <w:r w:rsidRPr="00AF1733">
        <w:rPr>
          <w:lang w:val="en-GB"/>
        </w:rPr>
        <w:t xml:space="preserve"> using Monte Carlo simulations.</w:t>
      </w:r>
      <w:r w:rsidR="000A664E" w:rsidRPr="00AF1733">
        <w:rPr>
          <w:lang w:val="en-GB"/>
        </w:rPr>
        <w:t xml:space="preserve"> </w:t>
      </w:r>
    </w:p>
    <w:p w14:paraId="67C25052" w14:textId="55E7E9A7" w:rsidR="00DF6EB6" w:rsidRPr="00AF1733" w:rsidRDefault="000A664E" w:rsidP="000A664E">
      <w:pPr>
        <w:rPr>
          <w:lang w:val="en-GB"/>
        </w:rPr>
      </w:pPr>
      <w:r w:rsidRPr="00AF1733">
        <w:rPr>
          <w:lang w:val="en-GB"/>
        </w:rPr>
        <w:t>The variables’ probability density functions were experimentally identified during the calibration of the instrument.</w:t>
      </w:r>
      <w:r w:rsidR="00DF6EB6" w:rsidRPr="00AF1733">
        <w:rPr>
          <w:lang w:val="en-GB"/>
        </w:rPr>
        <w:t xml:space="preserve"> </w:t>
      </w:r>
      <w:r w:rsidRPr="00AF1733">
        <w:rPr>
          <w:lang w:val="en-GB"/>
        </w:rPr>
        <w:t>Thermocouples were individually calibrated using a thermal bath</w:t>
      </w:r>
      <w:r w:rsidR="00B80EF5" w:rsidRPr="00AF1733">
        <w:rPr>
          <w:lang w:val="en-GB"/>
        </w:rPr>
        <w:t xml:space="preserve"> with an approach similar to the one described in ref. </w:t>
      </w:r>
      <w:r w:rsidR="00B80EF5" w:rsidRPr="00AF1733">
        <w:rPr>
          <w:lang w:val="en-GB"/>
        </w:rPr>
        <w:fldChar w:fldCharType="begin"/>
      </w:r>
      <w:r w:rsidR="00B80EF5" w:rsidRPr="00AF1733">
        <w:rPr>
          <w:lang w:val="en-GB"/>
        </w:rPr>
        <w:instrText>ADDIN RW.CITE{{572 Hudoklin,D. 2002}}</w:instrText>
      </w:r>
      <w:r w:rsidR="00B80EF5" w:rsidRPr="00AF1733">
        <w:rPr>
          <w:lang w:val="en-GB"/>
        </w:rPr>
        <w:fldChar w:fldCharType="separate"/>
      </w:r>
      <w:r w:rsidR="0054507F" w:rsidRPr="00AF1733">
        <w:rPr>
          <w:rFonts w:cs="Times New Roman"/>
          <w:lang w:val="en-GB"/>
        </w:rPr>
        <w:t>[20]</w:t>
      </w:r>
      <w:r w:rsidR="00B80EF5" w:rsidRPr="00AF1733">
        <w:rPr>
          <w:lang w:val="en-GB"/>
        </w:rPr>
        <w:fldChar w:fldCharType="end"/>
      </w:r>
      <w:r w:rsidR="00B80EF5" w:rsidRPr="00AF1733">
        <w:rPr>
          <w:lang w:val="en-GB"/>
        </w:rPr>
        <w:t>.</w:t>
      </w:r>
      <w:r w:rsidRPr="00AF1733">
        <w:rPr>
          <w:lang w:val="en-GB"/>
        </w:rPr>
        <w:t xml:space="preserve"> </w:t>
      </w:r>
      <w:r w:rsidR="00B80EF5" w:rsidRPr="00AF1733">
        <w:rPr>
          <w:lang w:val="en-GB"/>
        </w:rPr>
        <w:t>T</w:t>
      </w:r>
      <w:r w:rsidRPr="00AF1733">
        <w:rPr>
          <w:lang w:val="en-GB"/>
        </w:rPr>
        <w:t xml:space="preserve">he temperature reference was provided by a class A PT100 thermal resistance. Since the residuals versus a linear regression model were temperature dependent (as shown in </w:t>
      </w:r>
      <w:r w:rsidRPr="00AF1733">
        <w:rPr>
          <w:lang w:val="en-GB"/>
        </w:rPr>
        <w:fldChar w:fldCharType="begin"/>
      </w:r>
      <w:r w:rsidRPr="00AF1733">
        <w:rPr>
          <w:lang w:val="en-GB"/>
        </w:rPr>
        <w:instrText xml:space="preserve"> REF _Ref409083451 \h </w:instrText>
      </w:r>
      <w:r w:rsidRPr="00AF1733">
        <w:rPr>
          <w:lang w:val="en-GB"/>
        </w:rPr>
      </w:r>
      <w:r w:rsidRPr="00AF1733">
        <w:rPr>
          <w:lang w:val="en-GB"/>
        </w:rPr>
        <w:fldChar w:fldCharType="separate"/>
      </w:r>
      <w:r w:rsidRPr="00AF1733">
        <w:rPr>
          <w:lang w:val="en-GB"/>
        </w:rPr>
        <w:t xml:space="preserve">Fig. </w:t>
      </w:r>
      <w:r w:rsidRPr="00AF1733">
        <w:rPr>
          <w:noProof/>
          <w:lang w:val="en-GB"/>
        </w:rPr>
        <w:t>3</w:t>
      </w:r>
      <w:r w:rsidRPr="00AF1733">
        <w:rPr>
          <w:lang w:val="en-GB"/>
        </w:rPr>
        <w:fldChar w:fldCharType="end"/>
      </w:r>
      <w:r w:rsidRPr="00AF1733">
        <w:rPr>
          <w:lang w:val="en-GB"/>
        </w:rPr>
        <w:t>), a cubic regression model was adopted</w:t>
      </w:r>
      <w:r w:rsidR="00BF4F90" w:rsidRPr="00AF1733">
        <w:rPr>
          <w:lang w:val="en-GB"/>
        </w:rPr>
        <w:t xml:space="preserve">, similarly to what was done in ref. </w:t>
      </w:r>
      <w:r w:rsidR="00BF4F90" w:rsidRPr="00AF1733">
        <w:rPr>
          <w:lang w:val="en-GB"/>
        </w:rPr>
        <w:fldChar w:fldCharType="begin"/>
      </w:r>
      <w:r w:rsidR="00BF4F90" w:rsidRPr="00AF1733">
        <w:rPr>
          <w:lang w:val="en-GB"/>
        </w:rPr>
        <w:instrText>ADDIN RW.CITE{{571 Sarma,Utpal 2010}}</w:instrText>
      </w:r>
      <w:r w:rsidR="00BF4F90" w:rsidRPr="00AF1733">
        <w:rPr>
          <w:lang w:val="en-GB"/>
        </w:rPr>
        <w:fldChar w:fldCharType="separate"/>
      </w:r>
      <w:r w:rsidR="0054507F" w:rsidRPr="00AF1733">
        <w:rPr>
          <w:rFonts w:cs="Times New Roman"/>
          <w:lang w:val="en-GB"/>
        </w:rPr>
        <w:t>[21]</w:t>
      </w:r>
      <w:r w:rsidR="00BF4F90" w:rsidRPr="00AF1733">
        <w:rPr>
          <w:lang w:val="en-GB"/>
        </w:rPr>
        <w:fldChar w:fldCharType="end"/>
      </w:r>
      <w:r w:rsidRPr="00AF1733">
        <w:rPr>
          <w:lang w:val="en-GB"/>
        </w:rPr>
        <w:t xml:space="preserve">. The latter allowed obtaining a standard measurement uncertainty (mainly endorsed to the uncertainty of the reference thermometer) lower than 0.15 °C in the whole measurement range. </w:t>
      </w:r>
    </w:p>
    <w:p w14:paraId="24904EFB" w14:textId="74E78D59" w:rsidR="004E05F9" w:rsidRPr="00AF1733" w:rsidRDefault="00D1680A" w:rsidP="004E05F9">
      <w:pPr>
        <w:keepNext/>
        <w:jc w:val="center"/>
      </w:pPr>
      <w:r w:rsidRPr="00AF1733">
        <w:rPr>
          <w:noProof/>
        </w:rPr>
        <w:lastRenderedPageBreak/>
        <w:drawing>
          <wp:inline distT="0" distB="0" distL="0" distR="0" wp14:anchorId="51A545EC" wp14:editId="598E38BB">
            <wp:extent cx="3240000" cy="1941656"/>
            <wp:effectExtent l="0" t="0" r="0" b="1905"/>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240000" cy="1941656"/>
                    </a:xfrm>
                    <a:prstGeom prst="rect">
                      <a:avLst/>
                    </a:prstGeom>
                    <a:noFill/>
                    <a:ln>
                      <a:noFill/>
                    </a:ln>
                  </pic:spPr>
                </pic:pic>
              </a:graphicData>
            </a:graphic>
          </wp:inline>
        </w:drawing>
      </w:r>
    </w:p>
    <w:p w14:paraId="4F32A9F5" w14:textId="77777777" w:rsidR="004E05F9" w:rsidRPr="00AF1733" w:rsidRDefault="004E05F9" w:rsidP="004E05F9">
      <w:pPr>
        <w:pStyle w:val="Didascalia"/>
        <w:rPr>
          <w:color w:val="auto"/>
          <w:lang w:val="en-GB"/>
        </w:rPr>
      </w:pPr>
      <w:bookmarkStart w:id="3" w:name="_Ref409083451"/>
      <w:r w:rsidRPr="00AF1733">
        <w:rPr>
          <w:color w:val="auto"/>
          <w:lang w:val="en-GB"/>
        </w:rPr>
        <w:t xml:space="preserve">Fig. </w:t>
      </w:r>
      <w:r w:rsidR="00336616" w:rsidRPr="00AF1733">
        <w:rPr>
          <w:color w:val="auto"/>
        </w:rPr>
        <w:fldChar w:fldCharType="begin"/>
      </w:r>
      <w:r w:rsidR="00336616" w:rsidRPr="00AF1733">
        <w:rPr>
          <w:color w:val="auto"/>
          <w:lang w:val="en-GB"/>
        </w:rPr>
        <w:instrText xml:space="preserve"> SEQ Fig. \* ARABIC </w:instrText>
      </w:r>
      <w:r w:rsidR="00336616" w:rsidRPr="00AF1733">
        <w:rPr>
          <w:color w:val="auto"/>
        </w:rPr>
        <w:fldChar w:fldCharType="separate"/>
      </w:r>
      <w:r w:rsidRPr="00AF1733">
        <w:rPr>
          <w:noProof/>
          <w:color w:val="auto"/>
          <w:lang w:val="en-GB"/>
        </w:rPr>
        <w:t>3</w:t>
      </w:r>
      <w:r w:rsidR="00336616" w:rsidRPr="00AF1733">
        <w:rPr>
          <w:noProof/>
          <w:color w:val="auto"/>
        </w:rPr>
        <w:fldChar w:fldCharType="end"/>
      </w:r>
      <w:bookmarkEnd w:id="3"/>
      <w:r w:rsidRPr="00AF1733">
        <w:rPr>
          <w:color w:val="auto"/>
          <w:lang w:val="en-GB"/>
        </w:rPr>
        <w:t xml:space="preserve"> Residuals of the regression using a linear interpolating function</w:t>
      </w:r>
    </w:p>
    <w:p w14:paraId="65AEED60" w14:textId="77777777" w:rsidR="004E5ED9" w:rsidRPr="00AF1733" w:rsidRDefault="004E05F9" w:rsidP="00F7368E">
      <w:pPr>
        <w:rPr>
          <w:lang w:val="en-GB"/>
        </w:rPr>
      </w:pPr>
      <w:r w:rsidRPr="00AF1733">
        <w:rPr>
          <w:lang w:val="en-GB"/>
        </w:rPr>
        <w:t>Monte Carlo simulations were performed by imposing a net heat flux varying between 0.1 and 3.5 W</w:t>
      </w:r>
      <w:r w:rsidR="002A535A" w:rsidRPr="00AF1733">
        <w:rPr>
          <w:lang w:val="en-GB"/>
        </w:rPr>
        <w:t xml:space="preserve"> at discrete steps of 0.1 W. At each step, 10</w:t>
      </w:r>
      <w:r w:rsidR="002A535A" w:rsidRPr="00AF1733">
        <w:rPr>
          <w:vertAlign w:val="superscript"/>
          <w:lang w:val="en-GB"/>
        </w:rPr>
        <w:t>5</w:t>
      </w:r>
      <w:r w:rsidR="002A535A" w:rsidRPr="00AF1733">
        <w:rPr>
          <w:lang w:val="en-GB"/>
        </w:rPr>
        <w:t xml:space="preserve"> trials were performed</w:t>
      </w:r>
      <w:r w:rsidRPr="00AF1733">
        <w:rPr>
          <w:lang w:val="en-GB"/>
        </w:rPr>
        <w:t xml:space="preserve">. </w:t>
      </w:r>
      <w:r w:rsidR="000A664E" w:rsidRPr="00AF1733">
        <w:rPr>
          <w:lang w:val="en-GB"/>
        </w:rPr>
        <w:t>T</w:t>
      </w:r>
      <w:r w:rsidR="000A664E" w:rsidRPr="00AF1733">
        <w:rPr>
          <w:vertAlign w:val="subscript"/>
          <w:lang w:val="en-GB"/>
        </w:rPr>
        <w:t>int</w:t>
      </w:r>
      <w:r w:rsidR="000A664E" w:rsidRPr="00AF1733">
        <w:rPr>
          <w:lang w:val="en-GB"/>
        </w:rPr>
        <w:t xml:space="preserve"> </w:t>
      </w:r>
      <w:r w:rsidRPr="00AF1733">
        <w:rPr>
          <w:lang w:val="en-GB"/>
        </w:rPr>
        <w:t xml:space="preserve">varied </w:t>
      </w:r>
      <w:r w:rsidR="00F45FD7" w:rsidRPr="00AF1733">
        <w:rPr>
          <w:lang w:val="en-GB"/>
        </w:rPr>
        <w:t>between 0 and 22 °C</w:t>
      </w:r>
      <w:r w:rsidRPr="00AF1733">
        <w:rPr>
          <w:lang w:val="en-GB"/>
        </w:rPr>
        <w:t xml:space="preserve"> and its distribution was considered Gaussian with a </w:t>
      </w:r>
      <w:r w:rsidR="00F45FD7" w:rsidRPr="00AF1733">
        <w:rPr>
          <w:lang w:val="en-GB"/>
        </w:rPr>
        <w:t xml:space="preserve">standard deviation of 0.15°C. </w:t>
      </w:r>
      <w:r w:rsidR="009C5D25" w:rsidRPr="00AF1733">
        <w:rPr>
          <w:rFonts w:ascii="Symbol" w:hAnsi="Symbol"/>
          <w:lang w:val="en-GB"/>
        </w:rPr>
        <w:t></w:t>
      </w:r>
      <w:r w:rsidR="009C5D25" w:rsidRPr="00AF1733">
        <w:rPr>
          <w:lang w:val="en-GB"/>
        </w:rPr>
        <w:t>T</w:t>
      </w:r>
      <w:r w:rsidR="009C5D25" w:rsidRPr="00AF1733">
        <w:rPr>
          <w:vertAlign w:val="subscript"/>
          <w:lang w:val="en-GB"/>
        </w:rPr>
        <w:t>FM</w:t>
      </w:r>
      <w:r w:rsidR="009C5D25" w:rsidRPr="00AF1733">
        <w:rPr>
          <w:lang w:val="en-GB"/>
        </w:rPr>
        <w:t xml:space="preserve"> </w:t>
      </w:r>
      <w:r w:rsidR="00F45FD7" w:rsidRPr="00AF1733">
        <w:rPr>
          <w:lang w:val="en-GB"/>
        </w:rPr>
        <w:t xml:space="preserve">varied between </w:t>
      </w:r>
      <w:r w:rsidR="00B911DA" w:rsidRPr="00AF1733">
        <w:rPr>
          <w:lang w:val="en-GB"/>
        </w:rPr>
        <w:t>0.6</w:t>
      </w:r>
      <w:r w:rsidR="00F45FD7" w:rsidRPr="00AF1733">
        <w:rPr>
          <w:lang w:val="en-GB"/>
        </w:rPr>
        <w:t xml:space="preserve"> and </w:t>
      </w:r>
      <w:r w:rsidR="00B911DA" w:rsidRPr="00AF1733">
        <w:rPr>
          <w:lang w:val="en-GB"/>
        </w:rPr>
        <w:t>21.8</w:t>
      </w:r>
      <w:r w:rsidR="00F45FD7" w:rsidRPr="00AF1733">
        <w:rPr>
          <w:lang w:val="en-GB"/>
        </w:rPr>
        <w:t xml:space="preserve"> °C</w:t>
      </w:r>
      <w:r w:rsidRPr="00AF1733">
        <w:rPr>
          <w:lang w:val="en-GB"/>
        </w:rPr>
        <w:t xml:space="preserve"> and the standard deviation was implicitly derived from the flux-meter thermal resistance. </w:t>
      </w:r>
      <w:r w:rsidR="004E5ED9" w:rsidRPr="00AF1733">
        <w:rPr>
          <w:lang w:val="en-GB"/>
        </w:rPr>
        <w:t>R</w:t>
      </w:r>
      <w:r w:rsidR="004E5ED9" w:rsidRPr="00AF1733">
        <w:rPr>
          <w:vertAlign w:val="subscript"/>
          <w:lang w:val="en-GB"/>
        </w:rPr>
        <w:t>FM</w:t>
      </w:r>
      <w:r w:rsidR="004E5ED9" w:rsidRPr="00AF1733">
        <w:rPr>
          <w:lang w:val="en-GB"/>
        </w:rPr>
        <w:t xml:space="preserve"> was </w:t>
      </w:r>
      <w:r w:rsidRPr="00AF1733">
        <w:rPr>
          <w:lang w:val="en-GB"/>
        </w:rPr>
        <w:t xml:space="preserve">modelled as </w:t>
      </w:r>
      <w:r w:rsidR="004E5ED9" w:rsidRPr="00AF1733">
        <w:rPr>
          <w:lang w:val="en-GB"/>
        </w:rPr>
        <w:t xml:space="preserve">a Gaussian </w:t>
      </w:r>
      <w:r w:rsidRPr="00AF1733">
        <w:rPr>
          <w:lang w:val="en-GB"/>
        </w:rPr>
        <w:t xml:space="preserve">variable </w:t>
      </w:r>
      <w:r w:rsidR="004E5ED9" w:rsidRPr="00AF1733">
        <w:rPr>
          <w:lang w:val="en-GB"/>
        </w:rPr>
        <w:t xml:space="preserve">with average of </w:t>
      </w:r>
      <w:r w:rsidR="00956177" w:rsidRPr="00AF1733">
        <w:rPr>
          <w:lang w:val="en-GB"/>
        </w:rPr>
        <w:t>6.24 K/W</w:t>
      </w:r>
      <w:r w:rsidR="004E5ED9" w:rsidRPr="00AF1733">
        <w:rPr>
          <w:lang w:val="en-GB"/>
        </w:rPr>
        <w:t xml:space="preserve"> and standard deviation of </w:t>
      </w:r>
      <w:r w:rsidR="00956177" w:rsidRPr="00AF1733">
        <w:rPr>
          <w:lang w:val="en-GB"/>
        </w:rPr>
        <w:t>0.085 K/W.</w:t>
      </w:r>
      <w:r w:rsidR="002A535A" w:rsidRPr="00AF1733">
        <w:rPr>
          <w:lang w:val="en-GB"/>
        </w:rPr>
        <w:t xml:space="preserve"> </w:t>
      </w:r>
    </w:p>
    <w:p w14:paraId="02D55FC2" w14:textId="77777777" w:rsidR="004E05F9" w:rsidRPr="00AF1733" w:rsidRDefault="00575A45" w:rsidP="004E05F9">
      <w:pPr>
        <w:rPr>
          <w:lang w:val="en-GB"/>
        </w:rPr>
      </w:pPr>
      <w:r w:rsidRPr="00AF1733">
        <w:rPr>
          <w:lang w:val="en-GB"/>
        </w:rPr>
        <w:t>The importance of J</w:t>
      </w:r>
      <w:r w:rsidRPr="00AF1733">
        <w:rPr>
          <w:vertAlign w:val="subscript"/>
          <w:lang w:val="en-GB"/>
        </w:rPr>
        <w:t>leakflux</w:t>
      </w:r>
      <w:r w:rsidR="00451C2C" w:rsidRPr="00AF1733">
        <w:rPr>
          <w:lang w:val="en-GB"/>
        </w:rPr>
        <w:t xml:space="preserve"> was assessed by comparing the uncertainties of the full and the adiabatic model (i.e. the model in which J</w:t>
      </w:r>
      <w:r w:rsidR="00451C2C" w:rsidRPr="00AF1733">
        <w:rPr>
          <w:vertAlign w:val="subscript"/>
          <w:lang w:val="en-GB"/>
        </w:rPr>
        <w:t>leakflux</w:t>
      </w:r>
      <w:r w:rsidR="00451C2C" w:rsidRPr="00AF1733">
        <w:rPr>
          <w:lang w:val="en-GB"/>
        </w:rPr>
        <w:t xml:space="preserve"> is not compensated and its effect is ad</w:t>
      </w:r>
      <w:r w:rsidR="00D60049" w:rsidRPr="00AF1733">
        <w:rPr>
          <w:lang w:val="en-GB"/>
        </w:rPr>
        <w:t>ded to the uncertainty budget). R</w:t>
      </w:r>
      <w:r w:rsidR="004E05F9" w:rsidRPr="00AF1733">
        <w:rPr>
          <w:lang w:val="en-GB"/>
        </w:rPr>
        <w:t>esults (</w:t>
      </w:r>
      <w:r w:rsidR="004E05F9" w:rsidRPr="00AF1733">
        <w:rPr>
          <w:lang w:val="en-GB"/>
        </w:rPr>
        <w:fldChar w:fldCharType="begin"/>
      </w:r>
      <w:r w:rsidR="004E05F9" w:rsidRPr="00AF1733">
        <w:rPr>
          <w:lang w:val="en-GB"/>
        </w:rPr>
        <w:instrText xml:space="preserve"> REF _Ref419906878 \h </w:instrText>
      </w:r>
      <w:r w:rsidR="004E05F9" w:rsidRPr="00AF1733">
        <w:rPr>
          <w:lang w:val="en-GB"/>
        </w:rPr>
      </w:r>
      <w:r w:rsidR="004E05F9" w:rsidRPr="00AF1733">
        <w:rPr>
          <w:lang w:val="en-GB"/>
        </w:rPr>
        <w:fldChar w:fldCharType="separate"/>
      </w:r>
      <w:r w:rsidR="004E05F9" w:rsidRPr="00AF1733">
        <w:rPr>
          <w:lang w:val="en-GB"/>
        </w:rPr>
        <w:t xml:space="preserve">Fig. </w:t>
      </w:r>
      <w:r w:rsidR="004E05F9" w:rsidRPr="00AF1733">
        <w:rPr>
          <w:noProof/>
          <w:lang w:val="en-GB"/>
        </w:rPr>
        <w:t>4</w:t>
      </w:r>
      <w:r w:rsidR="004E05F9" w:rsidRPr="00AF1733">
        <w:rPr>
          <w:lang w:val="en-GB"/>
        </w:rPr>
        <w:fldChar w:fldCharType="end"/>
      </w:r>
      <w:r w:rsidR="004E05F9" w:rsidRPr="00AF1733">
        <w:rPr>
          <w:lang w:val="en-GB"/>
        </w:rPr>
        <w:t>) evidenced that the measurement uncertainties of the adiabatic and the full model are always lower than 10% (CI 95%). The differences between the two models are more pronounced at low temperatures; during the tests for the characterization of the OTC devices, the measured temperature interface temperature varies between 10 and 18 °C; consequently, the typical uncertainty values range between 2 and 6 % (CI 95%). Although the benefits deriving from the adoption of the full model are limited, with the adopted virtual instrument architecture the full model implementation was straightforward and was therefore preferred to the adiabatic one.</w:t>
      </w:r>
    </w:p>
    <w:p w14:paraId="4EC74DD2" w14:textId="77777777" w:rsidR="00A179A4" w:rsidRPr="00AF1733" w:rsidRDefault="00A179A4" w:rsidP="00F7368E">
      <w:pPr>
        <w:rPr>
          <w:lang w:val="en-GB"/>
        </w:rPr>
      </w:pPr>
    </w:p>
    <w:p w14:paraId="4F0161E8" w14:textId="7C4706B2" w:rsidR="006056D3" w:rsidRPr="00AF1733" w:rsidRDefault="00D1680A" w:rsidP="006056D3">
      <w:pPr>
        <w:keepNext/>
        <w:jc w:val="center"/>
        <w:rPr>
          <w:lang w:val="en-GB"/>
        </w:rPr>
      </w:pPr>
      <w:r w:rsidRPr="00AF1733">
        <w:rPr>
          <w:noProof/>
        </w:rPr>
        <w:lastRenderedPageBreak/>
        <w:drawing>
          <wp:inline distT="0" distB="0" distL="0" distR="0" wp14:anchorId="5B7D3B20" wp14:editId="130BCFA6">
            <wp:extent cx="3240000" cy="1938150"/>
            <wp:effectExtent l="0" t="0" r="0" b="508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40000" cy="1938150"/>
                    </a:xfrm>
                    <a:prstGeom prst="rect">
                      <a:avLst/>
                    </a:prstGeom>
                    <a:noFill/>
                    <a:ln>
                      <a:noFill/>
                    </a:ln>
                  </pic:spPr>
                </pic:pic>
              </a:graphicData>
            </a:graphic>
          </wp:inline>
        </w:drawing>
      </w:r>
      <w:r w:rsidR="00204369" w:rsidRPr="00AF1733">
        <w:rPr>
          <w:lang w:val="en-GB"/>
        </w:rPr>
        <w:t xml:space="preserve"> </w:t>
      </w:r>
      <w:r w:rsidR="0034608A" w:rsidRPr="00AF1733">
        <w:rPr>
          <w:lang w:val="en-GB"/>
        </w:rPr>
        <w:t xml:space="preserve"> </w:t>
      </w:r>
    </w:p>
    <w:p w14:paraId="0315F25A" w14:textId="77777777" w:rsidR="00567150" w:rsidRPr="00AF1733" w:rsidRDefault="006056D3" w:rsidP="006056D3">
      <w:pPr>
        <w:pStyle w:val="Didascalia"/>
        <w:rPr>
          <w:color w:val="auto"/>
          <w:lang w:val="en-GB"/>
        </w:rPr>
      </w:pPr>
      <w:bookmarkStart w:id="4" w:name="_Ref419906878"/>
      <w:r w:rsidRPr="00AF1733">
        <w:rPr>
          <w:color w:val="auto"/>
          <w:lang w:val="en-GB"/>
        </w:rPr>
        <w:t xml:space="preserve">Fig. </w:t>
      </w:r>
      <w:r w:rsidRPr="00AF1733">
        <w:rPr>
          <w:color w:val="auto"/>
          <w:lang w:val="en-GB"/>
        </w:rPr>
        <w:fldChar w:fldCharType="begin"/>
      </w:r>
      <w:r w:rsidRPr="00AF1733">
        <w:rPr>
          <w:color w:val="auto"/>
          <w:lang w:val="en-GB"/>
        </w:rPr>
        <w:instrText xml:space="preserve"> SEQ Fig. \* ARABIC </w:instrText>
      </w:r>
      <w:r w:rsidRPr="00AF1733">
        <w:rPr>
          <w:color w:val="auto"/>
          <w:lang w:val="en-GB"/>
        </w:rPr>
        <w:fldChar w:fldCharType="separate"/>
      </w:r>
      <w:r w:rsidR="000A664E" w:rsidRPr="00AF1733">
        <w:rPr>
          <w:noProof/>
          <w:color w:val="auto"/>
          <w:lang w:val="en-GB"/>
        </w:rPr>
        <w:t>4</w:t>
      </w:r>
      <w:r w:rsidRPr="00AF1733">
        <w:rPr>
          <w:color w:val="auto"/>
          <w:lang w:val="en-GB"/>
        </w:rPr>
        <w:fldChar w:fldCharType="end"/>
      </w:r>
      <w:bookmarkEnd w:id="4"/>
      <w:r w:rsidRPr="00AF1733">
        <w:rPr>
          <w:color w:val="auto"/>
          <w:lang w:val="en-GB"/>
        </w:rPr>
        <w:t xml:space="preserve"> Relative measurement uncertainty </w:t>
      </w:r>
      <w:r w:rsidR="0034608A" w:rsidRPr="00AF1733">
        <w:rPr>
          <w:color w:val="auto"/>
          <w:lang w:val="en-GB"/>
        </w:rPr>
        <w:t xml:space="preserve">of the adiabatic model (squares) and of the full model (circles). Both curves are plotted with </w:t>
      </w:r>
      <w:r w:rsidR="00204369" w:rsidRPr="00AF1733">
        <w:rPr>
          <w:color w:val="auto"/>
          <w:lang w:val="en-GB"/>
        </w:rPr>
        <w:t xml:space="preserve">confidence interval </w:t>
      </w:r>
      <w:r w:rsidR="00F7368E" w:rsidRPr="00AF1733">
        <w:rPr>
          <w:color w:val="auto"/>
          <w:lang w:val="en-GB"/>
        </w:rPr>
        <w:t>95%</w:t>
      </w:r>
      <w:r w:rsidRPr="00AF1733">
        <w:rPr>
          <w:color w:val="auto"/>
          <w:vertAlign w:val="subscript"/>
          <w:lang w:val="en-GB"/>
        </w:rPr>
        <w:t>.</w:t>
      </w:r>
    </w:p>
    <w:p w14:paraId="7BFF1DD7" w14:textId="77777777" w:rsidR="00510013" w:rsidRPr="00AF1733" w:rsidRDefault="00510013" w:rsidP="001F0847">
      <w:pPr>
        <w:pStyle w:val="Titolo2"/>
        <w:rPr>
          <w:lang w:val="en-GB"/>
        </w:rPr>
      </w:pPr>
      <w:r w:rsidRPr="00AF1733">
        <w:rPr>
          <w:lang w:val="en-GB"/>
        </w:rPr>
        <w:t>Tests description</w:t>
      </w:r>
    </w:p>
    <w:p w14:paraId="0528B553" w14:textId="3701FDDF" w:rsidR="00823725" w:rsidRPr="00AF1733" w:rsidRDefault="00510013" w:rsidP="00C7243D">
      <w:pPr>
        <w:rPr>
          <w:lang w:val="en-GB"/>
        </w:rPr>
      </w:pPr>
      <w:r w:rsidRPr="00AF1733">
        <w:rPr>
          <w:lang w:val="en-GB"/>
        </w:rPr>
        <w:t>Nineteen over-the-counter devices have been compared using J</w:t>
      </w:r>
      <w:r w:rsidRPr="00AF1733">
        <w:rPr>
          <w:vertAlign w:val="subscript"/>
          <w:lang w:val="en-GB"/>
        </w:rPr>
        <w:t>FM</w:t>
      </w:r>
      <w:r w:rsidRPr="00AF1733">
        <w:rPr>
          <w:lang w:val="en-GB"/>
        </w:rPr>
        <w:t xml:space="preserve"> and </w:t>
      </w:r>
      <w:r w:rsidR="008223EF" w:rsidRPr="00AF1733">
        <w:rPr>
          <w:rFonts w:ascii="Symbol" w:hAnsi="Symbol"/>
          <w:lang w:val="en-GB"/>
        </w:rPr>
        <w:t></w:t>
      </w:r>
      <w:r w:rsidRPr="00AF1733">
        <w:rPr>
          <w:lang w:val="en-GB"/>
        </w:rPr>
        <w:t>T</w:t>
      </w:r>
      <w:r w:rsidR="008223EF" w:rsidRPr="00AF1733">
        <w:rPr>
          <w:vertAlign w:val="subscript"/>
          <w:lang w:val="en-GB"/>
        </w:rPr>
        <w:t>FM</w:t>
      </w:r>
      <w:r w:rsidRPr="00AF1733">
        <w:rPr>
          <w:lang w:val="en-GB"/>
        </w:rPr>
        <w:t xml:space="preserve"> as figures of merit for the capacity of removing the heat from the skin. </w:t>
      </w:r>
      <w:r w:rsidR="008223EF" w:rsidRPr="00AF1733">
        <w:rPr>
          <w:lang w:val="en-GB"/>
        </w:rPr>
        <w:t xml:space="preserve">Three types of device were tested. With the “foam” </w:t>
      </w:r>
      <w:r w:rsidR="00C144B0" w:rsidRPr="00AF1733">
        <w:rPr>
          <w:lang w:val="en-GB"/>
        </w:rPr>
        <w:t>type,</w:t>
      </w:r>
      <w:r w:rsidR="008223EF" w:rsidRPr="00AF1733">
        <w:rPr>
          <w:lang w:val="en-GB"/>
        </w:rPr>
        <w:t xml:space="preserve"> the liquid dimethyl ether and propane mixture is released into a foam pad attached to the device. This foam pad is then held on the </w:t>
      </w:r>
      <w:r w:rsidR="00C7243D" w:rsidRPr="00AF1733">
        <w:rPr>
          <w:lang w:val="en-GB"/>
        </w:rPr>
        <w:t>skin</w:t>
      </w:r>
      <w:r w:rsidR="008223EF" w:rsidRPr="00AF1733">
        <w:rPr>
          <w:lang w:val="en-GB"/>
        </w:rPr>
        <w:t xml:space="preserve"> for approximately 20 s. With the “spray” devices, dimethyl ether and propane are pressurized in a can and are sprayed on the skin continuously. With the “dispenser” </w:t>
      </w:r>
      <w:r w:rsidR="00C144B0" w:rsidRPr="00AF1733">
        <w:rPr>
          <w:lang w:val="en-GB"/>
        </w:rPr>
        <w:t>types,</w:t>
      </w:r>
      <w:r w:rsidR="008223EF" w:rsidRPr="00AF1733">
        <w:rPr>
          <w:lang w:val="en-GB"/>
        </w:rPr>
        <w:t xml:space="preserve"> a fixed quantity of dimethyl ether and propane aerosol is </w:t>
      </w:r>
      <w:r w:rsidR="00C144B0" w:rsidRPr="00AF1733">
        <w:rPr>
          <w:lang w:val="en-GB"/>
        </w:rPr>
        <w:t>sp</w:t>
      </w:r>
      <w:r w:rsidR="00D07FD5" w:rsidRPr="00AF1733">
        <w:rPr>
          <w:lang w:val="en-GB"/>
        </w:rPr>
        <w:t>r</w:t>
      </w:r>
      <w:r w:rsidR="00C144B0" w:rsidRPr="00AF1733">
        <w:rPr>
          <w:lang w:val="en-GB"/>
        </w:rPr>
        <w:t xml:space="preserve">ayed on the skin at each push. </w:t>
      </w:r>
      <w:r w:rsidR="005E51E1" w:rsidRPr="00AF1733">
        <w:rPr>
          <w:lang w:val="en-GB"/>
        </w:rPr>
        <w:t xml:space="preserve">Some of the OTC devices used in our tests are shown in </w:t>
      </w:r>
      <w:r w:rsidR="005E51E1" w:rsidRPr="00AF1733">
        <w:rPr>
          <w:lang w:val="en-GB"/>
        </w:rPr>
        <w:fldChar w:fldCharType="begin"/>
      </w:r>
      <w:r w:rsidR="005E51E1" w:rsidRPr="00AF1733">
        <w:rPr>
          <w:lang w:val="en-GB"/>
        </w:rPr>
        <w:instrText xml:space="preserve"> REF _Ref420155815 \h </w:instrText>
      </w:r>
      <w:r w:rsidR="005E51E1" w:rsidRPr="00AF1733">
        <w:rPr>
          <w:lang w:val="en-GB"/>
        </w:rPr>
      </w:r>
      <w:r w:rsidR="005E51E1" w:rsidRPr="00AF1733">
        <w:rPr>
          <w:lang w:val="en-GB"/>
        </w:rPr>
        <w:fldChar w:fldCharType="separate"/>
      </w:r>
      <w:r w:rsidR="005E51E1" w:rsidRPr="00AF1733">
        <w:rPr>
          <w:lang w:val="en-GB"/>
        </w:rPr>
        <w:t xml:space="preserve">Fig. </w:t>
      </w:r>
      <w:r w:rsidR="005E51E1" w:rsidRPr="00AF1733">
        <w:rPr>
          <w:noProof/>
          <w:lang w:val="en-GB"/>
        </w:rPr>
        <w:t>5</w:t>
      </w:r>
      <w:r w:rsidR="005E51E1" w:rsidRPr="00AF1733">
        <w:rPr>
          <w:lang w:val="en-GB"/>
        </w:rPr>
        <w:fldChar w:fldCharType="end"/>
      </w:r>
      <w:r w:rsidR="005E51E1" w:rsidRPr="00AF1733">
        <w:rPr>
          <w:lang w:val="en-GB"/>
        </w:rPr>
        <w:t xml:space="preserve"> (a).</w:t>
      </w:r>
      <w:r w:rsidR="00AA46AE" w:rsidRPr="00AF1733">
        <w:rPr>
          <w:lang w:val="en-GB"/>
        </w:rPr>
        <w:t xml:space="preserve"> Aims of the tests were the comparison of different nozzles -shown in </w:t>
      </w:r>
      <w:r w:rsidR="00AA46AE" w:rsidRPr="00AF1733">
        <w:rPr>
          <w:lang w:val="en-GB"/>
        </w:rPr>
        <w:fldChar w:fldCharType="begin"/>
      </w:r>
      <w:r w:rsidR="00AA46AE" w:rsidRPr="00AF1733">
        <w:rPr>
          <w:lang w:val="en-GB"/>
        </w:rPr>
        <w:instrText xml:space="preserve"> REF _Ref420155815 \h </w:instrText>
      </w:r>
      <w:r w:rsidR="00AA46AE" w:rsidRPr="00AF1733">
        <w:rPr>
          <w:lang w:val="en-GB"/>
        </w:rPr>
      </w:r>
      <w:r w:rsidR="00AA46AE" w:rsidRPr="00AF1733">
        <w:rPr>
          <w:lang w:val="en-GB"/>
        </w:rPr>
        <w:fldChar w:fldCharType="separate"/>
      </w:r>
      <w:r w:rsidR="00AA46AE" w:rsidRPr="00AF1733">
        <w:rPr>
          <w:lang w:val="en-GB"/>
        </w:rPr>
        <w:t xml:space="preserve">Fig. </w:t>
      </w:r>
      <w:r w:rsidR="00AA46AE" w:rsidRPr="00AF1733">
        <w:rPr>
          <w:noProof/>
          <w:lang w:val="en-GB"/>
        </w:rPr>
        <w:t>5</w:t>
      </w:r>
      <w:r w:rsidR="00AA46AE" w:rsidRPr="00AF1733">
        <w:rPr>
          <w:lang w:val="en-GB"/>
        </w:rPr>
        <w:fldChar w:fldCharType="end"/>
      </w:r>
      <w:r w:rsidR="00AA46AE" w:rsidRPr="00AF1733">
        <w:rPr>
          <w:lang w:val="en-GB"/>
        </w:rPr>
        <w:t xml:space="preserve"> (b)- for the dispenser devices and the comparison between the dispenser devices (not actually used for the skin tags treatment) and the foam and spray ones (commercially available for the skin tags treatment). The nozzles differed mainly for the airflow passage section and evaporation holes location. These two parameter affect the evaporation time of the dimethyl ether and propane: placing the evaporation holes close to the skin surface increases the cooling speed but may increase the fluid loss. Conversely, when the evaporation holes are far from the fluid jet, the cooling process is slower but the fluid leak is expected to be negligible.</w:t>
      </w:r>
    </w:p>
    <w:p w14:paraId="05C0F112" w14:textId="2EE051A2" w:rsidR="00823725" w:rsidRPr="00AF1733" w:rsidRDefault="005E51E1" w:rsidP="005E51E1">
      <w:pPr>
        <w:pStyle w:val="Testo"/>
        <w:keepNext/>
        <w:jc w:val="center"/>
        <w:rPr>
          <w:lang w:val="en-GB"/>
        </w:rPr>
      </w:pPr>
      <w:r w:rsidRPr="00AF1733">
        <w:rPr>
          <w:noProof/>
          <w:lang w:bidi="ar-SA"/>
        </w:rPr>
        <w:lastRenderedPageBreak/>
        <w:drawing>
          <wp:inline distT="0" distB="0" distL="0" distR="0" wp14:anchorId="4CCE4967" wp14:editId="3F83F4AC">
            <wp:extent cx="2571785" cy="2571433"/>
            <wp:effectExtent l="0" t="0" r="0" b="63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7">
                      <a:extLst>
                        <a:ext uri="{28A0092B-C50C-407E-A947-70E740481C1C}">
                          <a14:useLocalDpi xmlns:a14="http://schemas.microsoft.com/office/drawing/2010/main" val="0"/>
                        </a:ext>
                      </a:extLst>
                    </a:blip>
                    <a:srcRect l="3826" t="2584"/>
                    <a:stretch/>
                  </pic:blipFill>
                  <pic:spPr bwMode="auto">
                    <a:xfrm>
                      <a:off x="0" y="0"/>
                      <a:ext cx="2580267" cy="2579914"/>
                    </a:xfrm>
                    <a:prstGeom prst="rect">
                      <a:avLst/>
                    </a:prstGeom>
                    <a:noFill/>
                    <a:ln>
                      <a:noFill/>
                    </a:ln>
                    <a:extLst>
                      <a:ext uri="{53640926-AAD7-44D8-BBD7-CCE9431645EC}">
                        <a14:shadowObscured xmlns:a14="http://schemas.microsoft.com/office/drawing/2010/main"/>
                      </a:ext>
                    </a:extLst>
                  </pic:spPr>
                </pic:pic>
              </a:graphicData>
            </a:graphic>
          </wp:inline>
        </w:drawing>
      </w:r>
      <w:r w:rsidR="00D07FD5" w:rsidRPr="00AF1733">
        <w:rPr>
          <w:lang w:val="en-GB"/>
        </w:rPr>
        <w:br w:type="textWrapping" w:clear="all"/>
      </w:r>
    </w:p>
    <w:p w14:paraId="55ECF0B1" w14:textId="2BAE9843" w:rsidR="00823725" w:rsidRPr="00AF1733" w:rsidRDefault="00823725" w:rsidP="00823725">
      <w:pPr>
        <w:pStyle w:val="Didascalia"/>
        <w:rPr>
          <w:color w:val="auto"/>
          <w:lang w:val="en-GB"/>
        </w:rPr>
      </w:pPr>
      <w:bookmarkStart w:id="5" w:name="_Ref420155815"/>
      <w:r w:rsidRPr="00AF1733">
        <w:rPr>
          <w:color w:val="auto"/>
          <w:lang w:val="en-GB"/>
        </w:rPr>
        <w:t xml:space="preserve">Fig. </w:t>
      </w:r>
      <w:r w:rsidRPr="00AF1733">
        <w:rPr>
          <w:color w:val="auto"/>
          <w:lang w:val="en-GB"/>
        </w:rPr>
        <w:fldChar w:fldCharType="begin"/>
      </w:r>
      <w:r w:rsidRPr="00AF1733">
        <w:rPr>
          <w:color w:val="auto"/>
          <w:lang w:val="en-GB"/>
        </w:rPr>
        <w:instrText xml:space="preserve"> SEQ Fig. \* ARABIC </w:instrText>
      </w:r>
      <w:r w:rsidRPr="00AF1733">
        <w:rPr>
          <w:color w:val="auto"/>
          <w:lang w:val="en-GB"/>
        </w:rPr>
        <w:fldChar w:fldCharType="separate"/>
      </w:r>
      <w:r w:rsidR="000A664E" w:rsidRPr="00AF1733">
        <w:rPr>
          <w:noProof/>
          <w:color w:val="auto"/>
          <w:lang w:val="en-GB"/>
        </w:rPr>
        <w:t>5</w:t>
      </w:r>
      <w:r w:rsidRPr="00AF1733">
        <w:rPr>
          <w:color w:val="auto"/>
          <w:lang w:val="en-GB"/>
        </w:rPr>
        <w:fldChar w:fldCharType="end"/>
      </w:r>
      <w:bookmarkEnd w:id="5"/>
      <w:r w:rsidRPr="00AF1733">
        <w:rPr>
          <w:color w:val="auto"/>
          <w:lang w:val="en-GB"/>
        </w:rPr>
        <w:t xml:space="preserve"> </w:t>
      </w:r>
      <w:r w:rsidR="005E51E1" w:rsidRPr="00AF1733">
        <w:rPr>
          <w:color w:val="auto"/>
          <w:lang w:val="en-GB"/>
        </w:rPr>
        <w:t xml:space="preserve">(a) </w:t>
      </w:r>
      <w:r w:rsidRPr="00AF1733">
        <w:rPr>
          <w:color w:val="auto"/>
          <w:lang w:val="en-GB"/>
        </w:rPr>
        <w:t>Some of the devices that underwent our tests. Dispenser type (first, third and fourth from the left), foam type (foam not shown, fifth from the left) and spray (second and last).</w:t>
      </w:r>
      <w:r w:rsidR="005E51E1" w:rsidRPr="00AF1733">
        <w:rPr>
          <w:color w:val="auto"/>
          <w:lang w:val="en-GB"/>
        </w:rPr>
        <w:t xml:space="preserve"> (b) Different nozzles of the Dispenser types.</w:t>
      </w:r>
    </w:p>
    <w:p w14:paraId="7DDA9621" w14:textId="443D4665" w:rsidR="00823725" w:rsidRPr="00AF1733" w:rsidRDefault="00AA46AE" w:rsidP="001F0847">
      <w:pPr>
        <w:rPr>
          <w:lang w:val="en-GB"/>
        </w:rPr>
      </w:pPr>
      <w:r w:rsidRPr="00AF1733">
        <w:rPr>
          <w:lang w:val="en-GB"/>
        </w:rPr>
        <w:t>T</w:t>
      </w:r>
      <w:r w:rsidR="003C49DD" w:rsidRPr="00AF1733">
        <w:rPr>
          <w:lang w:val="en-GB"/>
        </w:rPr>
        <w:t xml:space="preserve">he experimental setup is shown in </w:t>
      </w:r>
      <w:r w:rsidR="003C49DD" w:rsidRPr="00AF1733">
        <w:rPr>
          <w:lang w:val="en-GB"/>
        </w:rPr>
        <w:fldChar w:fldCharType="begin"/>
      </w:r>
      <w:r w:rsidR="003C49DD" w:rsidRPr="00AF1733">
        <w:rPr>
          <w:lang w:val="en-GB"/>
        </w:rPr>
        <w:instrText xml:space="preserve"> REF _Ref391889339 \h </w:instrText>
      </w:r>
      <w:r w:rsidR="003C49DD" w:rsidRPr="00AF1733">
        <w:rPr>
          <w:lang w:val="en-GB"/>
        </w:rPr>
      </w:r>
      <w:r w:rsidR="003C49DD" w:rsidRPr="00AF1733">
        <w:rPr>
          <w:lang w:val="en-GB"/>
        </w:rPr>
        <w:fldChar w:fldCharType="separate"/>
      </w:r>
      <w:r w:rsidR="000A664E" w:rsidRPr="00AF1733">
        <w:rPr>
          <w:lang w:val="en-GB"/>
        </w:rPr>
        <w:t xml:space="preserve">Fig. </w:t>
      </w:r>
      <w:r w:rsidR="000A664E" w:rsidRPr="00AF1733">
        <w:rPr>
          <w:noProof/>
          <w:lang w:val="en-GB"/>
        </w:rPr>
        <w:t>6</w:t>
      </w:r>
      <w:r w:rsidR="003C49DD" w:rsidRPr="00AF1733">
        <w:rPr>
          <w:lang w:val="en-GB"/>
        </w:rPr>
        <w:fldChar w:fldCharType="end"/>
      </w:r>
      <w:r w:rsidR="003746E0" w:rsidRPr="00AF1733">
        <w:rPr>
          <w:lang w:val="en-GB"/>
        </w:rPr>
        <w:t>.</w:t>
      </w:r>
      <w:r w:rsidRPr="00AF1733">
        <w:rPr>
          <w:lang w:val="en-GB"/>
        </w:rPr>
        <w:t xml:space="preserve"> For each measurement on a medical device, three repetitions were performed. Before each test, the interface temperature was restored to 22 °C using a thermo-electric cooler (indicated with TEC in the scheme of </w:t>
      </w:r>
      <w:r w:rsidRPr="00AF1733">
        <w:rPr>
          <w:lang w:val="en-GB"/>
        </w:rPr>
        <w:fldChar w:fldCharType="begin"/>
      </w:r>
      <w:r w:rsidRPr="00AF1733">
        <w:rPr>
          <w:lang w:val="en-GB"/>
        </w:rPr>
        <w:instrText xml:space="preserve"> REF _Ref382217675 \h </w:instrText>
      </w:r>
      <w:r w:rsidRPr="00AF1733">
        <w:rPr>
          <w:lang w:val="en-GB"/>
        </w:rPr>
      </w:r>
      <w:r w:rsidRPr="00AF1733">
        <w:rPr>
          <w:lang w:val="en-GB"/>
        </w:rPr>
        <w:fldChar w:fldCharType="separate"/>
      </w:r>
      <w:r w:rsidRPr="00AF1733">
        <w:rPr>
          <w:lang w:val="en-GB"/>
        </w:rPr>
        <w:t xml:space="preserve">Fig. </w:t>
      </w:r>
      <w:r w:rsidRPr="00AF1733">
        <w:rPr>
          <w:noProof/>
          <w:lang w:val="en-GB"/>
        </w:rPr>
        <w:t>1</w:t>
      </w:r>
      <w:r w:rsidRPr="00AF1733">
        <w:rPr>
          <w:lang w:val="en-GB"/>
        </w:rPr>
        <w:fldChar w:fldCharType="end"/>
      </w:r>
      <w:r w:rsidRPr="00AF1733">
        <w:rPr>
          <w:lang w:val="en-GB"/>
        </w:rPr>
        <w:t xml:space="preserve"> b) with the cold side in contact with the heat sink, as shown in </w:t>
      </w:r>
      <w:r w:rsidRPr="00AF1733">
        <w:rPr>
          <w:lang w:val="en-GB"/>
        </w:rPr>
        <w:fldChar w:fldCharType="begin"/>
      </w:r>
      <w:r w:rsidRPr="00AF1733">
        <w:rPr>
          <w:lang w:val="en-GB"/>
        </w:rPr>
        <w:instrText xml:space="preserve"> REF _Ref391889339 \h </w:instrText>
      </w:r>
      <w:r w:rsidRPr="00AF1733">
        <w:rPr>
          <w:lang w:val="en-GB"/>
        </w:rPr>
      </w:r>
      <w:r w:rsidRPr="00AF1733">
        <w:rPr>
          <w:lang w:val="en-GB"/>
        </w:rPr>
        <w:fldChar w:fldCharType="separate"/>
      </w:r>
      <w:r w:rsidRPr="00AF1733">
        <w:rPr>
          <w:lang w:val="en-GB"/>
        </w:rPr>
        <w:t xml:space="preserve">Fig. </w:t>
      </w:r>
      <w:r w:rsidRPr="00AF1733">
        <w:rPr>
          <w:noProof/>
          <w:lang w:val="en-GB"/>
        </w:rPr>
        <w:t>6</w:t>
      </w:r>
      <w:r w:rsidRPr="00AF1733">
        <w:rPr>
          <w:lang w:val="en-GB"/>
        </w:rPr>
        <w:fldChar w:fldCharType="end"/>
      </w:r>
      <w:r w:rsidRPr="00AF1733">
        <w:rPr>
          <w:lang w:val="en-GB"/>
        </w:rPr>
        <w:t xml:space="preserve"> b. This prevented the progressive cooling of the instrument.</w:t>
      </w:r>
    </w:p>
    <w:p w14:paraId="45BE7C67" w14:textId="27BFE770" w:rsidR="00126446" w:rsidRPr="00AF1733" w:rsidRDefault="00AA46AE" w:rsidP="00126446">
      <w:pPr>
        <w:pStyle w:val="Testo"/>
        <w:keepNext/>
        <w:jc w:val="center"/>
        <w:rPr>
          <w:lang w:val="en-GB"/>
        </w:rPr>
      </w:pPr>
      <w:r w:rsidRPr="00AF1733">
        <w:rPr>
          <w:noProof/>
          <w:lang w:bidi="ar-SA"/>
        </w:rPr>
        <w:drawing>
          <wp:inline distT="0" distB="0" distL="0" distR="0" wp14:anchorId="20856E1E" wp14:editId="5E2C2F53">
            <wp:extent cx="2880000" cy="2652483"/>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880000" cy="2652483"/>
                    </a:xfrm>
                    <a:prstGeom prst="rect">
                      <a:avLst/>
                    </a:prstGeom>
                    <a:noFill/>
                    <a:ln>
                      <a:noFill/>
                    </a:ln>
                  </pic:spPr>
                </pic:pic>
              </a:graphicData>
            </a:graphic>
          </wp:inline>
        </w:drawing>
      </w:r>
    </w:p>
    <w:p w14:paraId="37B7648B" w14:textId="31B6422C" w:rsidR="00823725" w:rsidRPr="00AF1733" w:rsidRDefault="00126446" w:rsidP="00126446">
      <w:pPr>
        <w:pStyle w:val="Didascalia"/>
        <w:rPr>
          <w:color w:val="auto"/>
          <w:lang w:val="en-GB"/>
        </w:rPr>
      </w:pPr>
      <w:bookmarkStart w:id="6" w:name="_Ref391889339"/>
      <w:bookmarkStart w:id="7" w:name="_Ref409623425"/>
      <w:r w:rsidRPr="00AF1733">
        <w:rPr>
          <w:color w:val="auto"/>
          <w:lang w:val="en-GB"/>
        </w:rPr>
        <w:t xml:space="preserve">Fig. </w:t>
      </w:r>
      <w:r w:rsidRPr="00AF1733">
        <w:rPr>
          <w:color w:val="auto"/>
          <w:lang w:val="en-GB"/>
        </w:rPr>
        <w:fldChar w:fldCharType="begin"/>
      </w:r>
      <w:r w:rsidRPr="00AF1733">
        <w:rPr>
          <w:color w:val="auto"/>
          <w:lang w:val="en-GB"/>
        </w:rPr>
        <w:instrText xml:space="preserve"> SEQ Fig. \* ARABIC </w:instrText>
      </w:r>
      <w:r w:rsidRPr="00AF1733">
        <w:rPr>
          <w:color w:val="auto"/>
          <w:lang w:val="en-GB"/>
        </w:rPr>
        <w:fldChar w:fldCharType="separate"/>
      </w:r>
      <w:r w:rsidR="000A664E" w:rsidRPr="00AF1733">
        <w:rPr>
          <w:noProof/>
          <w:color w:val="auto"/>
          <w:lang w:val="en-GB"/>
        </w:rPr>
        <w:t>6</w:t>
      </w:r>
      <w:r w:rsidRPr="00AF1733">
        <w:rPr>
          <w:color w:val="auto"/>
          <w:lang w:val="en-GB"/>
        </w:rPr>
        <w:fldChar w:fldCharType="end"/>
      </w:r>
      <w:bookmarkEnd w:id="6"/>
      <w:bookmarkEnd w:id="7"/>
      <w:r w:rsidRPr="00AF1733">
        <w:rPr>
          <w:color w:val="auto"/>
          <w:lang w:val="en-GB"/>
        </w:rPr>
        <w:t xml:space="preserve"> </w:t>
      </w:r>
      <w:r w:rsidR="00AA46AE" w:rsidRPr="00AF1733">
        <w:rPr>
          <w:color w:val="auto"/>
          <w:lang w:val="en-GB"/>
        </w:rPr>
        <w:t>Picture of the experimental setup</w:t>
      </w:r>
      <w:r w:rsidRPr="00AF1733">
        <w:rPr>
          <w:color w:val="auto"/>
          <w:lang w:val="en-GB"/>
        </w:rPr>
        <w:t xml:space="preserve">. </w:t>
      </w:r>
    </w:p>
    <w:p w14:paraId="1198FC45" w14:textId="1AB7ECF2" w:rsidR="00AA5A76" w:rsidRPr="00AF1733" w:rsidRDefault="002A535A" w:rsidP="00F0320D">
      <w:pPr>
        <w:rPr>
          <w:lang w:val="en-GB"/>
        </w:rPr>
      </w:pPr>
      <w:r w:rsidRPr="00AF1733">
        <w:rPr>
          <w:lang w:val="en-GB"/>
        </w:rPr>
        <w:t xml:space="preserve">The </w:t>
      </w:r>
      <w:r w:rsidR="00833657" w:rsidRPr="00AF1733">
        <w:rPr>
          <w:lang w:val="en-GB"/>
        </w:rPr>
        <w:t xml:space="preserve">setup was derived by the one described in ref. </w:t>
      </w:r>
      <w:r w:rsidR="00833657" w:rsidRPr="00AF1733">
        <w:rPr>
          <w:lang w:val="en-GB"/>
        </w:rPr>
        <w:fldChar w:fldCharType="begin"/>
      </w:r>
      <w:r w:rsidR="00833657" w:rsidRPr="00AF1733">
        <w:rPr>
          <w:lang w:val="en-GB"/>
        </w:rPr>
        <w:instrText>ADDIN RW.CITE{{484 Saggin,B. 2012}}</w:instrText>
      </w:r>
      <w:r w:rsidR="00833657" w:rsidRPr="00AF1733">
        <w:rPr>
          <w:lang w:val="en-GB"/>
        </w:rPr>
        <w:fldChar w:fldCharType="separate"/>
      </w:r>
      <w:r w:rsidR="00833657" w:rsidRPr="00AF1733">
        <w:rPr>
          <w:rFonts w:cs="Times New Roman"/>
          <w:lang w:val="en-GB"/>
        </w:rPr>
        <w:t>[9]</w:t>
      </w:r>
      <w:r w:rsidR="00833657" w:rsidRPr="00AF1733">
        <w:rPr>
          <w:lang w:val="en-GB"/>
        </w:rPr>
        <w:fldChar w:fldCharType="end"/>
      </w:r>
      <w:r w:rsidR="00833657" w:rsidRPr="00AF1733">
        <w:rPr>
          <w:lang w:val="en-GB"/>
        </w:rPr>
        <w:t xml:space="preserve">: </w:t>
      </w:r>
      <w:r w:rsidR="00B80EF5" w:rsidRPr="00AF1733">
        <w:rPr>
          <w:lang w:val="en-GB"/>
        </w:rPr>
        <w:t>three thermocouples measured the temperatures of the interface, of the environment and of the TEC heat sink. A differential thermocouple was used to measure the heat-flux across the flux-meter.</w:t>
      </w:r>
      <w:r w:rsidR="00210740" w:rsidRPr="00AF1733">
        <w:rPr>
          <w:lang w:val="en-GB"/>
        </w:rPr>
        <w:t xml:space="preserve"> </w:t>
      </w:r>
      <w:r w:rsidRPr="00AF1733">
        <w:rPr>
          <w:lang w:val="en-GB"/>
        </w:rPr>
        <w:t xml:space="preserve">The </w:t>
      </w:r>
      <w:r w:rsidR="00AA5A76" w:rsidRPr="00AF1733">
        <w:rPr>
          <w:lang w:val="en-GB"/>
        </w:rPr>
        <w:t>temperature data were acquired by an</w:t>
      </w:r>
      <w:r w:rsidR="007B729A" w:rsidRPr="00AF1733">
        <w:rPr>
          <w:lang w:val="en-GB"/>
        </w:rPr>
        <w:t xml:space="preserve"> Agilent 34970A </w:t>
      </w:r>
      <w:r w:rsidR="007B729A" w:rsidRPr="00AF1733">
        <w:rPr>
          <w:lang w:val="en-GB"/>
        </w:rPr>
        <w:lastRenderedPageBreak/>
        <w:t>multiplexer via serial interface by a fit-to-purpose LabVIEW virtual instrument</w:t>
      </w:r>
      <w:r w:rsidR="00922733" w:rsidRPr="00AF1733">
        <w:rPr>
          <w:lang w:val="en-GB"/>
        </w:rPr>
        <w:t>, whose interface allowed the online visualisation of the heat flux and of the interface temperature</w:t>
      </w:r>
      <w:r w:rsidR="007B729A" w:rsidRPr="00AF1733">
        <w:rPr>
          <w:lang w:val="en-GB"/>
        </w:rPr>
        <w:t xml:space="preserve">. </w:t>
      </w:r>
      <w:r w:rsidR="00922733" w:rsidRPr="00AF1733">
        <w:rPr>
          <w:lang w:val="en-GB"/>
        </w:rPr>
        <w:t xml:space="preserve">With this configuration, the maximum sampling rate was </w:t>
      </w:r>
      <w:r w:rsidR="00241519" w:rsidRPr="00AF1733">
        <w:rPr>
          <w:lang w:val="en-GB"/>
        </w:rPr>
        <w:t>1</w:t>
      </w:r>
      <w:r w:rsidR="00922733" w:rsidRPr="00AF1733">
        <w:rPr>
          <w:lang w:val="en-GB"/>
        </w:rPr>
        <w:t xml:space="preserve"> sample/s for each channel; the low sampling rate was not limiting, given the heat flux meter time constant of 1.25 s. </w:t>
      </w:r>
    </w:p>
    <w:p w14:paraId="35129964" w14:textId="77777777" w:rsidR="00512C31" w:rsidRPr="00AF1733" w:rsidRDefault="00F16A0D" w:rsidP="001F0847">
      <w:pPr>
        <w:pStyle w:val="Titolo1"/>
        <w:rPr>
          <w:lang w:val="en-GB"/>
        </w:rPr>
      </w:pPr>
      <w:r w:rsidRPr="00AF1733">
        <w:rPr>
          <w:lang w:val="en-GB"/>
        </w:rPr>
        <w:t>Experimental R</w:t>
      </w:r>
      <w:r w:rsidR="00512C31" w:rsidRPr="00AF1733">
        <w:rPr>
          <w:lang w:val="en-GB"/>
        </w:rPr>
        <w:t>esults</w:t>
      </w:r>
    </w:p>
    <w:p w14:paraId="25935F41" w14:textId="5EB216C4" w:rsidR="00780216" w:rsidRPr="00AF1733" w:rsidRDefault="00780216" w:rsidP="00512C31">
      <w:pPr>
        <w:rPr>
          <w:lang w:val="en-GB"/>
        </w:rPr>
      </w:pPr>
      <w:r w:rsidRPr="00AF1733">
        <w:rPr>
          <w:lang w:val="en-GB"/>
        </w:rPr>
        <w:t xml:space="preserve">The </w:t>
      </w:r>
      <w:r w:rsidR="00F01317" w:rsidRPr="00AF1733">
        <w:rPr>
          <w:lang w:val="en-GB"/>
        </w:rPr>
        <w:t>T</w:t>
      </w:r>
      <w:r w:rsidR="00F01317" w:rsidRPr="00AF1733">
        <w:rPr>
          <w:vertAlign w:val="subscript"/>
          <w:lang w:val="en-GB"/>
        </w:rPr>
        <w:t>INT</w:t>
      </w:r>
      <w:r w:rsidRPr="00AF1733">
        <w:rPr>
          <w:lang w:val="en-GB"/>
        </w:rPr>
        <w:t xml:space="preserve"> </w:t>
      </w:r>
      <w:r w:rsidR="00F01317" w:rsidRPr="00AF1733">
        <w:rPr>
          <w:lang w:val="en-GB"/>
        </w:rPr>
        <w:t>and J</w:t>
      </w:r>
      <w:r w:rsidR="00F01317" w:rsidRPr="00AF1733">
        <w:rPr>
          <w:vertAlign w:val="subscript"/>
          <w:lang w:val="en-GB"/>
        </w:rPr>
        <w:t>FM</w:t>
      </w:r>
      <w:r w:rsidR="00F01317" w:rsidRPr="00AF1733">
        <w:rPr>
          <w:lang w:val="en-GB"/>
        </w:rPr>
        <w:t xml:space="preserve"> time histories </w:t>
      </w:r>
      <w:r w:rsidRPr="00AF1733">
        <w:rPr>
          <w:lang w:val="en-GB"/>
        </w:rPr>
        <w:t xml:space="preserve">of device number </w:t>
      </w:r>
      <w:r w:rsidR="00F01317" w:rsidRPr="00AF1733">
        <w:rPr>
          <w:lang w:val="en-GB"/>
        </w:rPr>
        <w:t>11</w:t>
      </w:r>
      <w:r w:rsidRPr="00AF1733">
        <w:rPr>
          <w:lang w:val="en-GB"/>
        </w:rPr>
        <w:t xml:space="preserve"> </w:t>
      </w:r>
      <w:r w:rsidR="00F01317" w:rsidRPr="00AF1733">
        <w:rPr>
          <w:lang w:val="en-GB"/>
        </w:rPr>
        <w:t>are</w:t>
      </w:r>
      <w:r w:rsidRPr="00AF1733">
        <w:rPr>
          <w:lang w:val="en-GB"/>
        </w:rPr>
        <w:t xml:space="preserve"> shown in </w:t>
      </w:r>
      <w:r w:rsidR="00F01317" w:rsidRPr="00AF1733">
        <w:rPr>
          <w:lang w:val="en-GB"/>
        </w:rPr>
        <w:fldChar w:fldCharType="begin"/>
      </w:r>
      <w:r w:rsidR="00F01317" w:rsidRPr="00AF1733">
        <w:rPr>
          <w:lang w:val="en-GB"/>
        </w:rPr>
        <w:instrText xml:space="preserve"> REF _Ref391900409 \h </w:instrText>
      </w:r>
      <w:r w:rsidR="00F01317" w:rsidRPr="00AF1733">
        <w:rPr>
          <w:lang w:val="en-GB"/>
        </w:rPr>
      </w:r>
      <w:r w:rsidR="00F01317" w:rsidRPr="00AF1733">
        <w:rPr>
          <w:lang w:val="en-GB"/>
        </w:rPr>
        <w:fldChar w:fldCharType="separate"/>
      </w:r>
      <w:r w:rsidR="000A664E" w:rsidRPr="00AF1733">
        <w:rPr>
          <w:lang w:val="en-GB"/>
        </w:rPr>
        <w:t xml:space="preserve">Fig. </w:t>
      </w:r>
      <w:r w:rsidR="000A664E" w:rsidRPr="00AF1733">
        <w:rPr>
          <w:noProof/>
          <w:lang w:val="en-GB"/>
        </w:rPr>
        <w:t>7</w:t>
      </w:r>
      <w:r w:rsidR="00F01317" w:rsidRPr="00AF1733">
        <w:rPr>
          <w:lang w:val="en-GB"/>
        </w:rPr>
        <w:fldChar w:fldCharType="end"/>
      </w:r>
      <w:r w:rsidR="00F01317" w:rsidRPr="00AF1733">
        <w:rPr>
          <w:lang w:val="en-GB"/>
        </w:rPr>
        <w:t xml:space="preserve"> and </w:t>
      </w:r>
      <w:r w:rsidRPr="00AF1733">
        <w:rPr>
          <w:lang w:val="en-GB"/>
        </w:rPr>
        <w:fldChar w:fldCharType="begin"/>
      </w:r>
      <w:r w:rsidRPr="00AF1733">
        <w:rPr>
          <w:lang w:val="en-GB"/>
        </w:rPr>
        <w:instrText xml:space="preserve"> REF _Ref382324209 \h </w:instrText>
      </w:r>
      <w:r w:rsidRPr="00AF1733">
        <w:rPr>
          <w:lang w:val="en-GB"/>
        </w:rPr>
      </w:r>
      <w:r w:rsidRPr="00AF1733">
        <w:rPr>
          <w:lang w:val="en-GB"/>
        </w:rPr>
        <w:fldChar w:fldCharType="separate"/>
      </w:r>
      <w:r w:rsidR="000A664E" w:rsidRPr="00AF1733">
        <w:rPr>
          <w:lang w:val="en-GB"/>
        </w:rPr>
        <w:t xml:space="preserve">Fig. </w:t>
      </w:r>
      <w:r w:rsidR="000A664E" w:rsidRPr="00AF1733">
        <w:rPr>
          <w:noProof/>
          <w:lang w:val="en-GB"/>
        </w:rPr>
        <w:t>8</w:t>
      </w:r>
      <w:r w:rsidRPr="00AF1733">
        <w:rPr>
          <w:lang w:val="en-GB"/>
        </w:rPr>
        <w:fldChar w:fldCharType="end"/>
      </w:r>
      <w:r w:rsidR="00871DD1" w:rsidRPr="00AF1733">
        <w:rPr>
          <w:lang w:val="en-GB"/>
        </w:rPr>
        <w:t xml:space="preserve"> respectively</w:t>
      </w:r>
      <w:r w:rsidRPr="00AF1733">
        <w:rPr>
          <w:lang w:val="en-GB"/>
        </w:rPr>
        <w:t>.</w:t>
      </w:r>
      <w:r w:rsidR="00210D16" w:rsidRPr="00AF1733">
        <w:rPr>
          <w:lang w:val="en-GB"/>
        </w:rPr>
        <w:t xml:space="preserve"> The plots show that the cooling time is approximately 10 s, i.e. much larger than the flux-meter time constant (1.25 s). The heating time, governed by the second time constant, is approximately 40 s. </w:t>
      </w:r>
      <w:r w:rsidR="003D4290" w:rsidRPr="00AF1733">
        <w:rPr>
          <w:lang w:val="en-GB"/>
        </w:rPr>
        <w:t xml:space="preserve">As expected, the interface temperature is larger than that reached on the skin surface, given that </w:t>
      </w:r>
      <w:r w:rsidR="00622F1D" w:rsidRPr="00AF1733">
        <w:rPr>
          <w:lang w:val="en-GB"/>
        </w:rPr>
        <w:t>C</w:t>
      </w:r>
      <w:r w:rsidR="003D4290" w:rsidRPr="00AF1733">
        <w:rPr>
          <w:vertAlign w:val="subscript"/>
          <w:lang w:val="en-GB"/>
        </w:rPr>
        <w:t>FM</w:t>
      </w:r>
      <w:r w:rsidR="003D4290" w:rsidRPr="00AF1733">
        <w:rPr>
          <w:lang w:val="en-GB"/>
        </w:rPr>
        <w:t xml:space="preserve"> is larger than </w:t>
      </w:r>
      <w:r w:rsidR="00622F1D" w:rsidRPr="00AF1733">
        <w:rPr>
          <w:lang w:val="en-GB"/>
        </w:rPr>
        <w:t>C</w:t>
      </w:r>
      <w:r w:rsidR="003D4290" w:rsidRPr="00AF1733">
        <w:rPr>
          <w:vertAlign w:val="subscript"/>
          <w:lang w:val="en-GB"/>
        </w:rPr>
        <w:t>skin</w:t>
      </w:r>
      <w:r w:rsidR="003D4290" w:rsidRPr="00AF1733">
        <w:rPr>
          <w:lang w:val="en-GB"/>
        </w:rPr>
        <w:t xml:space="preserve">. </w:t>
      </w:r>
    </w:p>
    <w:p w14:paraId="21BA16DC" w14:textId="35359325" w:rsidR="00F01317" w:rsidRPr="00AF1733" w:rsidRDefault="00D1680A" w:rsidP="00F01317">
      <w:pPr>
        <w:keepNext/>
        <w:jc w:val="center"/>
        <w:rPr>
          <w:lang w:val="en-GB"/>
        </w:rPr>
      </w:pPr>
      <w:r w:rsidRPr="00AF1733">
        <w:rPr>
          <w:noProof/>
        </w:rPr>
        <w:drawing>
          <wp:inline distT="0" distB="0" distL="0" distR="0" wp14:anchorId="0D5C8685" wp14:editId="78240234">
            <wp:extent cx="3240000" cy="1938150"/>
            <wp:effectExtent l="0" t="0" r="0" b="508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240000" cy="1938150"/>
                    </a:xfrm>
                    <a:prstGeom prst="rect">
                      <a:avLst/>
                    </a:prstGeom>
                    <a:noFill/>
                    <a:ln>
                      <a:noFill/>
                    </a:ln>
                  </pic:spPr>
                </pic:pic>
              </a:graphicData>
            </a:graphic>
          </wp:inline>
        </w:drawing>
      </w:r>
    </w:p>
    <w:p w14:paraId="7B0BAC04" w14:textId="77777777" w:rsidR="00780216" w:rsidRPr="00AF1733" w:rsidRDefault="00F01317" w:rsidP="00F01317">
      <w:pPr>
        <w:pStyle w:val="Didascalia"/>
        <w:rPr>
          <w:color w:val="auto"/>
          <w:lang w:val="en-GB"/>
        </w:rPr>
      </w:pPr>
      <w:bookmarkStart w:id="8" w:name="_Ref391900409"/>
      <w:r w:rsidRPr="00AF1733">
        <w:rPr>
          <w:color w:val="auto"/>
          <w:lang w:val="en-GB"/>
        </w:rPr>
        <w:t xml:space="preserve">Fig. </w:t>
      </w:r>
      <w:r w:rsidRPr="00AF1733">
        <w:rPr>
          <w:color w:val="auto"/>
          <w:lang w:val="en-GB"/>
        </w:rPr>
        <w:fldChar w:fldCharType="begin"/>
      </w:r>
      <w:r w:rsidRPr="00AF1733">
        <w:rPr>
          <w:color w:val="auto"/>
          <w:lang w:val="en-GB"/>
        </w:rPr>
        <w:instrText xml:space="preserve"> SEQ Fig. \* ARABIC </w:instrText>
      </w:r>
      <w:r w:rsidRPr="00AF1733">
        <w:rPr>
          <w:color w:val="auto"/>
          <w:lang w:val="en-GB"/>
        </w:rPr>
        <w:fldChar w:fldCharType="separate"/>
      </w:r>
      <w:r w:rsidR="000A664E" w:rsidRPr="00AF1733">
        <w:rPr>
          <w:noProof/>
          <w:color w:val="auto"/>
          <w:lang w:val="en-GB"/>
        </w:rPr>
        <w:t>7</w:t>
      </w:r>
      <w:r w:rsidRPr="00AF1733">
        <w:rPr>
          <w:color w:val="auto"/>
          <w:lang w:val="en-GB"/>
        </w:rPr>
        <w:fldChar w:fldCharType="end"/>
      </w:r>
      <w:bookmarkEnd w:id="8"/>
      <w:r w:rsidRPr="00AF1733">
        <w:rPr>
          <w:color w:val="auto"/>
          <w:lang w:val="en-GB"/>
        </w:rPr>
        <w:t xml:space="preserve"> Time history of the interface temperature reached during the test of the device 11_D1</w:t>
      </w:r>
      <w:r w:rsidR="009C7893" w:rsidRPr="00AF1733">
        <w:rPr>
          <w:color w:val="auto"/>
          <w:lang w:val="en-GB"/>
        </w:rPr>
        <w:t xml:space="preserve"> (three repetitions).</w:t>
      </w:r>
    </w:p>
    <w:p w14:paraId="09D31B34" w14:textId="75872285" w:rsidR="00F01317" w:rsidRPr="00AF1733" w:rsidRDefault="008A602E" w:rsidP="008D0B5C">
      <w:pPr>
        <w:jc w:val="center"/>
        <w:rPr>
          <w:lang w:val="en-GB"/>
        </w:rPr>
      </w:pPr>
      <w:r w:rsidRPr="00AF1733">
        <w:rPr>
          <w:noProof/>
        </w:rPr>
        <w:drawing>
          <wp:inline distT="0" distB="0" distL="0" distR="0" wp14:anchorId="06384AAC" wp14:editId="29FAC855">
            <wp:extent cx="3240000" cy="1938150"/>
            <wp:effectExtent l="0" t="0" r="0" b="508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240000" cy="1938150"/>
                    </a:xfrm>
                    <a:prstGeom prst="rect">
                      <a:avLst/>
                    </a:prstGeom>
                    <a:noFill/>
                    <a:ln>
                      <a:noFill/>
                    </a:ln>
                  </pic:spPr>
                </pic:pic>
              </a:graphicData>
            </a:graphic>
          </wp:inline>
        </w:drawing>
      </w:r>
    </w:p>
    <w:p w14:paraId="02C75636" w14:textId="77777777" w:rsidR="00780216" w:rsidRPr="00AF1733" w:rsidRDefault="00780216" w:rsidP="00780216">
      <w:pPr>
        <w:pStyle w:val="Didascalia"/>
        <w:rPr>
          <w:color w:val="auto"/>
          <w:lang w:val="en-GB"/>
        </w:rPr>
      </w:pPr>
      <w:bookmarkStart w:id="9" w:name="_Ref382324209"/>
      <w:r w:rsidRPr="00AF1733">
        <w:rPr>
          <w:color w:val="auto"/>
          <w:lang w:val="en-GB"/>
        </w:rPr>
        <w:t xml:space="preserve">Fig. </w:t>
      </w:r>
      <w:r w:rsidRPr="00AF1733">
        <w:rPr>
          <w:color w:val="auto"/>
          <w:lang w:val="en-GB"/>
        </w:rPr>
        <w:fldChar w:fldCharType="begin"/>
      </w:r>
      <w:r w:rsidRPr="00AF1733">
        <w:rPr>
          <w:color w:val="auto"/>
          <w:lang w:val="en-GB"/>
        </w:rPr>
        <w:instrText xml:space="preserve"> SEQ Fig. \* ARABIC </w:instrText>
      </w:r>
      <w:r w:rsidRPr="00AF1733">
        <w:rPr>
          <w:color w:val="auto"/>
          <w:lang w:val="en-GB"/>
        </w:rPr>
        <w:fldChar w:fldCharType="separate"/>
      </w:r>
      <w:r w:rsidR="000A664E" w:rsidRPr="00AF1733">
        <w:rPr>
          <w:noProof/>
          <w:color w:val="auto"/>
          <w:lang w:val="en-GB"/>
        </w:rPr>
        <w:t>8</w:t>
      </w:r>
      <w:r w:rsidRPr="00AF1733">
        <w:rPr>
          <w:color w:val="auto"/>
          <w:lang w:val="en-GB"/>
        </w:rPr>
        <w:fldChar w:fldCharType="end"/>
      </w:r>
      <w:bookmarkEnd w:id="9"/>
      <w:r w:rsidRPr="00AF1733">
        <w:rPr>
          <w:color w:val="auto"/>
          <w:lang w:val="en-GB"/>
        </w:rPr>
        <w:t xml:space="preserve"> </w:t>
      </w:r>
      <w:r w:rsidR="00F01317" w:rsidRPr="00AF1733">
        <w:rPr>
          <w:color w:val="auto"/>
          <w:lang w:val="en-GB"/>
        </w:rPr>
        <w:t>T</w:t>
      </w:r>
      <w:r w:rsidR="009C7893" w:rsidRPr="00AF1733">
        <w:rPr>
          <w:color w:val="auto"/>
          <w:lang w:val="en-GB"/>
        </w:rPr>
        <w:t>ime histories</w:t>
      </w:r>
      <w:r w:rsidRPr="00AF1733">
        <w:rPr>
          <w:color w:val="auto"/>
          <w:lang w:val="en-GB"/>
        </w:rPr>
        <w:t xml:space="preserve"> of the cooling power generated by </w:t>
      </w:r>
      <w:r w:rsidR="00F01317" w:rsidRPr="00AF1733">
        <w:rPr>
          <w:color w:val="auto"/>
          <w:lang w:val="en-GB"/>
        </w:rPr>
        <w:t>the device 11_D1</w:t>
      </w:r>
      <w:r w:rsidR="009C7893" w:rsidRPr="00AF1733">
        <w:rPr>
          <w:color w:val="auto"/>
          <w:lang w:val="en-GB"/>
        </w:rPr>
        <w:t xml:space="preserve"> (three repetitions)</w:t>
      </w:r>
    </w:p>
    <w:p w14:paraId="34431190" w14:textId="77777777" w:rsidR="00A96D7C" w:rsidRPr="00AF1733" w:rsidRDefault="003508E7" w:rsidP="003508E7">
      <w:pPr>
        <w:rPr>
          <w:lang w:val="en-GB"/>
        </w:rPr>
      </w:pPr>
      <w:r w:rsidRPr="00AF1733">
        <w:rPr>
          <w:lang w:val="en-GB"/>
        </w:rPr>
        <w:lastRenderedPageBreak/>
        <w:t>Results evidenced the limited tests repeatability of the dispenser devices; as later explained, this issue is due to the tests procedure, which consists in the manual actuation of the device for three times. The heat-flux cooling rate is different for the spray, foam and dispenser devices (</w:t>
      </w:r>
      <w:r w:rsidRPr="00AF1733">
        <w:rPr>
          <w:lang w:val="en-GB"/>
        </w:rPr>
        <w:fldChar w:fldCharType="begin"/>
      </w:r>
      <w:r w:rsidRPr="00AF1733">
        <w:rPr>
          <w:lang w:val="en-GB"/>
        </w:rPr>
        <w:instrText xml:space="preserve"> REF _Ref409595268 \h </w:instrText>
      </w:r>
      <w:r w:rsidRPr="00AF1733">
        <w:rPr>
          <w:lang w:val="en-GB"/>
        </w:rPr>
      </w:r>
      <w:r w:rsidRPr="00AF1733">
        <w:rPr>
          <w:lang w:val="en-GB"/>
        </w:rPr>
        <w:fldChar w:fldCharType="separate"/>
      </w:r>
      <w:r w:rsidR="000A664E" w:rsidRPr="00AF1733">
        <w:rPr>
          <w:lang w:val="en-GB"/>
        </w:rPr>
        <w:t xml:space="preserve">Fig. </w:t>
      </w:r>
      <w:r w:rsidR="000A664E" w:rsidRPr="00AF1733">
        <w:rPr>
          <w:noProof/>
          <w:lang w:val="en-GB"/>
        </w:rPr>
        <w:t>9</w:t>
      </w:r>
      <w:r w:rsidRPr="00AF1733">
        <w:rPr>
          <w:lang w:val="en-GB"/>
        </w:rPr>
        <w:fldChar w:fldCharType="end"/>
      </w:r>
      <w:r w:rsidRPr="00AF1733">
        <w:rPr>
          <w:lang w:val="en-GB"/>
        </w:rPr>
        <w:t xml:space="preserve">). The spray device produce a sudden heat flux whose </w:t>
      </w:r>
      <w:r w:rsidR="00A96D7C" w:rsidRPr="00AF1733">
        <w:rPr>
          <w:lang w:val="en-GB"/>
        </w:rPr>
        <w:t>amplitude</w:t>
      </w:r>
      <w:r w:rsidRPr="00AF1733">
        <w:rPr>
          <w:lang w:val="en-GB"/>
        </w:rPr>
        <w:t xml:space="preserve"> depend on the flow rate of the spray; the flux quickly decreases when the spray actuation ends. With foam </w:t>
      </w:r>
      <w:r w:rsidR="00A96D7C" w:rsidRPr="00AF1733">
        <w:rPr>
          <w:lang w:val="en-GB"/>
        </w:rPr>
        <w:t>devices,</w:t>
      </w:r>
      <w:r w:rsidRPr="00AF1733">
        <w:rPr>
          <w:lang w:val="en-GB"/>
        </w:rPr>
        <w:t xml:space="preserve"> the flux </w:t>
      </w:r>
      <w:r w:rsidR="00A96D7C" w:rsidRPr="00AF1733">
        <w:rPr>
          <w:lang w:val="en-GB"/>
        </w:rPr>
        <w:t>peak amplitude</w:t>
      </w:r>
      <w:r w:rsidRPr="00AF1733">
        <w:rPr>
          <w:lang w:val="en-GB"/>
        </w:rPr>
        <w:t xml:space="preserve"> is smaller</w:t>
      </w:r>
      <w:r w:rsidR="00A96D7C" w:rsidRPr="00AF1733">
        <w:rPr>
          <w:lang w:val="en-GB"/>
        </w:rPr>
        <w:t>; this consideration is relative to the devices under tests, given that a larger quantity of evaporating fluid obviously leads to a larger heat flux. In this case</w:t>
      </w:r>
      <w:r w:rsidRPr="00AF1733">
        <w:rPr>
          <w:lang w:val="en-GB"/>
        </w:rPr>
        <w:t>, the evaporation lasts for</w:t>
      </w:r>
      <w:r w:rsidR="00A96D7C" w:rsidRPr="00AF1733">
        <w:rPr>
          <w:lang w:val="en-GB"/>
        </w:rPr>
        <w:t xml:space="preserve"> 20 to 40 seconds; during this time interval the </w:t>
      </w:r>
      <w:r w:rsidRPr="00AF1733">
        <w:rPr>
          <w:lang w:val="en-GB"/>
        </w:rPr>
        <w:t xml:space="preserve"> </w:t>
      </w:r>
      <w:r w:rsidR="00A96D7C" w:rsidRPr="00AF1733">
        <w:rPr>
          <w:lang w:val="en-GB"/>
        </w:rPr>
        <w:t xml:space="preserve">heat flux is constant (variations comparable to the instrument uncertainty). The heat flux obtained by the dispenser devices is intermediate between these two configurations both in terms of peak amplitude and flux duration. As later discussed, these considerations can be crucial for the assessment of the devices efficiency.  </w:t>
      </w:r>
    </w:p>
    <w:p w14:paraId="0C0580C8" w14:textId="4D5D9C9D" w:rsidR="0068389F" w:rsidRPr="00AF1733" w:rsidRDefault="00240C0E" w:rsidP="003508E7">
      <w:pPr>
        <w:keepNext/>
        <w:jc w:val="center"/>
      </w:pPr>
      <w:r w:rsidRPr="00AF1733">
        <w:rPr>
          <w:noProof/>
        </w:rPr>
        <w:drawing>
          <wp:inline distT="0" distB="0" distL="0" distR="0" wp14:anchorId="373D349C" wp14:editId="52B31DA9">
            <wp:extent cx="3240000" cy="1941656"/>
            <wp:effectExtent l="0" t="0" r="0" b="1905"/>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240000" cy="1941656"/>
                    </a:xfrm>
                    <a:prstGeom prst="rect">
                      <a:avLst/>
                    </a:prstGeom>
                    <a:noFill/>
                    <a:ln>
                      <a:noFill/>
                    </a:ln>
                  </pic:spPr>
                </pic:pic>
              </a:graphicData>
            </a:graphic>
          </wp:inline>
        </w:drawing>
      </w:r>
    </w:p>
    <w:p w14:paraId="4A2A3D5D" w14:textId="77777777" w:rsidR="0068389F" w:rsidRPr="00AF1733" w:rsidRDefault="0068389F" w:rsidP="0068389F">
      <w:pPr>
        <w:pStyle w:val="Didascalia"/>
        <w:rPr>
          <w:color w:val="auto"/>
          <w:lang w:val="en-GB"/>
        </w:rPr>
      </w:pPr>
      <w:bookmarkStart w:id="10" w:name="_Ref409595268"/>
      <w:r w:rsidRPr="00AF1733">
        <w:rPr>
          <w:color w:val="auto"/>
          <w:lang w:val="en-GB"/>
        </w:rPr>
        <w:t xml:space="preserve">Fig. </w:t>
      </w:r>
      <w:r w:rsidR="00336616" w:rsidRPr="00AF1733">
        <w:rPr>
          <w:color w:val="auto"/>
        </w:rPr>
        <w:fldChar w:fldCharType="begin"/>
      </w:r>
      <w:r w:rsidR="00336616" w:rsidRPr="00AF1733">
        <w:rPr>
          <w:color w:val="auto"/>
          <w:lang w:val="en-GB"/>
        </w:rPr>
        <w:instrText xml:space="preserve"> SEQ Fig. \* ARABIC </w:instrText>
      </w:r>
      <w:r w:rsidR="00336616" w:rsidRPr="00AF1733">
        <w:rPr>
          <w:color w:val="auto"/>
        </w:rPr>
        <w:fldChar w:fldCharType="separate"/>
      </w:r>
      <w:r w:rsidR="000A664E" w:rsidRPr="00AF1733">
        <w:rPr>
          <w:noProof/>
          <w:color w:val="auto"/>
          <w:lang w:val="en-GB"/>
        </w:rPr>
        <w:t>9</w:t>
      </w:r>
      <w:r w:rsidR="00336616" w:rsidRPr="00AF1733">
        <w:rPr>
          <w:noProof/>
          <w:color w:val="auto"/>
        </w:rPr>
        <w:fldChar w:fldCharType="end"/>
      </w:r>
      <w:bookmarkEnd w:id="10"/>
      <w:r w:rsidRPr="00AF1733">
        <w:rPr>
          <w:color w:val="auto"/>
          <w:lang w:val="en-GB"/>
        </w:rPr>
        <w:t xml:space="preserve"> Comparison between the heat flux generated by </w:t>
      </w:r>
      <w:r w:rsidR="003508E7" w:rsidRPr="00AF1733">
        <w:rPr>
          <w:color w:val="auto"/>
          <w:lang w:val="en-GB"/>
        </w:rPr>
        <w:t xml:space="preserve">spray (black), foam (light gray) and dispenser (dark gray) devices. </w:t>
      </w:r>
    </w:p>
    <w:p w14:paraId="51810847" w14:textId="77777777" w:rsidR="009C7893" w:rsidRPr="00AF1733" w:rsidRDefault="009C7893" w:rsidP="00F01317">
      <w:pPr>
        <w:rPr>
          <w:lang w:val="en-GB"/>
        </w:rPr>
      </w:pPr>
      <w:r w:rsidRPr="00AF1733">
        <w:rPr>
          <w:lang w:val="en-GB"/>
        </w:rPr>
        <w:t xml:space="preserve">The results of all the tests are summarized in </w:t>
      </w:r>
      <w:r w:rsidRPr="00AF1733">
        <w:rPr>
          <w:lang w:val="en-GB"/>
        </w:rPr>
        <w:fldChar w:fldCharType="begin"/>
      </w:r>
      <w:r w:rsidRPr="00AF1733">
        <w:rPr>
          <w:lang w:val="en-GB"/>
        </w:rPr>
        <w:instrText xml:space="preserve"> REF _Ref391900643 \h </w:instrText>
      </w:r>
      <w:r w:rsidRPr="00AF1733">
        <w:rPr>
          <w:lang w:val="en-GB"/>
        </w:rPr>
      </w:r>
      <w:r w:rsidRPr="00AF1733">
        <w:rPr>
          <w:lang w:val="en-GB"/>
        </w:rPr>
        <w:fldChar w:fldCharType="separate"/>
      </w:r>
      <w:r w:rsidR="000A664E" w:rsidRPr="00AF1733">
        <w:rPr>
          <w:lang w:val="en-GB"/>
        </w:rPr>
        <w:t xml:space="preserve">Table </w:t>
      </w:r>
      <w:r w:rsidR="000A664E" w:rsidRPr="00AF1733">
        <w:rPr>
          <w:noProof/>
          <w:lang w:val="en-GB"/>
        </w:rPr>
        <w:t>1</w:t>
      </w:r>
      <w:r w:rsidRPr="00AF1733">
        <w:rPr>
          <w:lang w:val="en-GB"/>
        </w:rPr>
        <w:fldChar w:fldCharType="end"/>
      </w:r>
      <w:r w:rsidR="00A96D7C" w:rsidRPr="00AF1733">
        <w:rPr>
          <w:lang w:val="en-GB"/>
        </w:rPr>
        <w:t xml:space="preserve">; both the heat flux integral and the interface temperature decrease are presented, together </w:t>
      </w:r>
      <w:r w:rsidR="00E4390C" w:rsidRPr="00AF1733">
        <w:rPr>
          <w:lang w:val="en-GB"/>
        </w:rPr>
        <w:t>with their standard deviations and COV.</w:t>
      </w:r>
    </w:p>
    <w:p w14:paraId="5E27706C" w14:textId="77777777" w:rsidR="007B729A" w:rsidRPr="00AF1733" w:rsidRDefault="007B729A" w:rsidP="007B729A">
      <w:pPr>
        <w:pStyle w:val="Didascalia"/>
        <w:keepNext/>
        <w:rPr>
          <w:color w:val="auto"/>
          <w:lang w:val="en-GB"/>
        </w:rPr>
      </w:pPr>
      <w:bookmarkStart w:id="11" w:name="_Ref391900643"/>
      <w:r w:rsidRPr="00AF1733">
        <w:rPr>
          <w:color w:val="auto"/>
          <w:lang w:val="en-GB"/>
        </w:rPr>
        <w:lastRenderedPageBreak/>
        <w:t xml:space="preserve">Table </w:t>
      </w:r>
      <w:r w:rsidRPr="00AF1733">
        <w:rPr>
          <w:color w:val="auto"/>
          <w:lang w:val="en-GB"/>
        </w:rPr>
        <w:fldChar w:fldCharType="begin"/>
      </w:r>
      <w:r w:rsidRPr="00AF1733">
        <w:rPr>
          <w:color w:val="auto"/>
          <w:lang w:val="en-GB"/>
        </w:rPr>
        <w:instrText xml:space="preserve"> SEQ Table \* ARABIC </w:instrText>
      </w:r>
      <w:r w:rsidRPr="00AF1733">
        <w:rPr>
          <w:color w:val="auto"/>
          <w:lang w:val="en-GB"/>
        </w:rPr>
        <w:fldChar w:fldCharType="separate"/>
      </w:r>
      <w:r w:rsidR="000A664E" w:rsidRPr="00AF1733">
        <w:rPr>
          <w:noProof/>
          <w:color w:val="auto"/>
          <w:lang w:val="en-GB"/>
        </w:rPr>
        <w:t>1</w:t>
      </w:r>
      <w:r w:rsidRPr="00AF1733">
        <w:rPr>
          <w:color w:val="auto"/>
          <w:lang w:val="en-GB"/>
        </w:rPr>
        <w:fldChar w:fldCharType="end"/>
      </w:r>
      <w:bookmarkEnd w:id="11"/>
      <w:r w:rsidRPr="00AF1733">
        <w:rPr>
          <w:color w:val="auto"/>
          <w:lang w:val="en-GB"/>
        </w:rPr>
        <w:t xml:space="preserve"> Summary of the tests results</w:t>
      </w:r>
    </w:p>
    <w:p w14:paraId="2A10B6E7" w14:textId="77777777" w:rsidR="00780216" w:rsidRPr="00AF1733" w:rsidRDefault="006C1AB0" w:rsidP="007B729A">
      <w:pPr>
        <w:jc w:val="center"/>
        <w:rPr>
          <w:lang w:val="en-GB"/>
        </w:rPr>
      </w:pPr>
      <w:r w:rsidRPr="00AF1733">
        <w:rPr>
          <w:noProof/>
        </w:rPr>
        <w:drawing>
          <wp:inline distT="0" distB="0" distL="0" distR="0" wp14:anchorId="5FCF4DA5" wp14:editId="2EE2ADFA">
            <wp:extent cx="3437587" cy="2337823"/>
            <wp:effectExtent l="0" t="0" r="0" b="571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49483" cy="2345913"/>
                    </a:xfrm>
                    <a:prstGeom prst="rect">
                      <a:avLst/>
                    </a:prstGeom>
                    <a:noFill/>
                    <a:ln>
                      <a:noFill/>
                    </a:ln>
                  </pic:spPr>
                </pic:pic>
              </a:graphicData>
            </a:graphic>
          </wp:inline>
        </w:drawing>
      </w:r>
    </w:p>
    <w:p w14:paraId="5E458353" w14:textId="77777777" w:rsidR="00DC30CA" w:rsidRPr="00AF1733" w:rsidRDefault="007D4DB0" w:rsidP="007D4DB0">
      <w:pPr>
        <w:rPr>
          <w:lang w:val="en-GB"/>
        </w:rPr>
      </w:pPr>
      <w:r w:rsidRPr="00AF1733">
        <w:rPr>
          <w:lang w:val="en-GB"/>
        </w:rPr>
        <w:t xml:space="preserve">Results </w:t>
      </w:r>
      <w:r w:rsidR="00A96D7C" w:rsidRPr="00AF1733">
        <w:rPr>
          <w:lang w:val="en-GB"/>
        </w:rPr>
        <w:t xml:space="preserve">confirm what has been evidenced in </w:t>
      </w:r>
      <w:r w:rsidR="00A96D7C" w:rsidRPr="00AF1733">
        <w:rPr>
          <w:lang w:val="en-GB"/>
        </w:rPr>
        <w:fldChar w:fldCharType="begin"/>
      </w:r>
      <w:r w:rsidR="00A96D7C" w:rsidRPr="00AF1733">
        <w:rPr>
          <w:lang w:val="en-GB"/>
        </w:rPr>
        <w:instrText xml:space="preserve"> REF _Ref409595268 \h </w:instrText>
      </w:r>
      <w:r w:rsidR="00A96D7C" w:rsidRPr="00AF1733">
        <w:rPr>
          <w:lang w:val="en-GB"/>
        </w:rPr>
      </w:r>
      <w:r w:rsidR="00A96D7C" w:rsidRPr="00AF1733">
        <w:rPr>
          <w:lang w:val="en-GB"/>
        </w:rPr>
        <w:fldChar w:fldCharType="separate"/>
      </w:r>
      <w:r w:rsidR="000A664E" w:rsidRPr="00AF1733">
        <w:rPr>
          <w:lang w:val="en-GB"/>
        </w:rPr>
        <w:t xml:space="preserve">Fig. </w:t>
      </w:r>
      <w:r w:rsidR="000A664E" w:rsidRPr="00AF1733">
        <w:rPr>
          <w:noProof/>
          <w:lang w:val="en-GB"/>
        </w:rPr>
        <w:t>9</w:t>
      </w:r>
      <w:r w:rsidR="00A96D7C" w:rsidRPr="00AF1733">
        <w:rPr>
          <w:lang w:val="en-GB"/>
        </w:rPr>
        <w:fldChar w:fldCharType="end"/>
      </w:r>
      <w:r w:rsidR="00A96D7C" w:rsidRPr="00AF1733">
        <w:rPr>
          <w:lang w:val="en-GB"/>
        </w:rPr>
        <w:t xml:space="preserve"> for single devices: </w:t>
      </w:r>
      <w:r w:rsidRPr="00AF1733">
        <w:rPr>
          <w:lang w:val="en-GB"/>
        </w:rPr>
        <w:t>the spray devices</w:t>
      </w:r>
      <w:r w:rsidR="00A96D7C" w:rsidRPr="00AF1733">
        <w:rPr>
          <w:lang w:val="en-GB"/>
        </w:rPr>
        <w:t xml:space="preserve"> (ID 2 and 4)</w:t>
      </w:r>
      <w:r w:rsidRPr="00AF1733">
        <w:rPr>
          <w:lang w:val="en-GB"/>
        </w:rPr>
        <w:t xml:space="preserve"> </w:t>
      </w:r>
      <w:r w:rsidR="00A96D7C" w:rsidRPr="00AF1733">
        <w:rPr>
          <w:lang w:val="en-GB"/>
        </w:rPr>
        <w:t>allows reaching</w:t>
      </w:r>
      <w:r w:rsidRPr="00AF1733">
        <w:rPr>
          <w:lang w:val="en-GB"/>
        </w:rPr>
        <w:t xml:space="preserve"> the lowest interface temperatures</w:t>
      </w:r>
      <w:r w:rsidR="00A96D7C" w:rsidRPr="00AF1733">
        <w:rPr>
          <w:lang w:val="en-GB"/>
        </w:rPr>
        <w:t xml:space="preserve"> (</w:t>
      </w:r>
      <w:r w:rsidRPr="00AF1733">
        <w:rPr>
          <w:lang w:val="en-GB"/>
        </w:rPr>
        <w:t>approximately 17 °C</w:t>
      </w:r>
      <w:r w:rsidR="00A96D7C" w:rsidRPr="00AF1733">
        <w:rPr>
          <w:lang w:val="en-GB"/>
        </w:rPr>
        <w:t xml:space="preserve"> less than the initial temperature</w:t>
      </w:r>
      <w:r w:rsidR="00DC30CA" w:rsidRPr="00AF1733">
        <w:rPr>
          <w:lang w:val="en-GB"/>
        </w:rPr>
        <w:t>, twice larger than the temperature difference generated by the most efficient dispenser device</w:t>
      </w:r>
      <w:r w:rsidR="00A96D7C" w:rsidRPr="00AF1733">
        <w:rPr>
          <w:lang w:val="en-GB"/>
        </w:rPr>
        <w:t>)</w:t>
      </w:r>
      <w:r w:rsidRPr="00AF1733">
        <w:rPr>
          <w:lang w:val="en-GB"/>
        </w:rPr>
        <w:t xml:space="preserve">. The foam devices, thanks to the long evaporation time, have a very large flux integral in spite of the low </w:t>
      </w:r>
      <w:r w:rsidRPr="00AF1733">
        <w:rPr>
          <w:rFonts w:ascii="Symbol" w:hAnsi="Symbol"/>
          <w:lang w:val="en-GB"/>
        </w:rPr>
        <w:t></w:t>
      </w:r>
      <w:r w:rsidRPr="00AF1733">
        <w:rPr>
          <w:lang w:val="en-GB"/>
        </w:rPr>
        <w:t>T</w:t>
      </w:r>
      <w:r w:rsidRPr="00AF1733">
        <w:rPr>
          <w:vertAlign w:val="subscript"/>
          <w:lang w:val="en-GB"/>
        </w:rPr>
        <w:t>FM</w:t>
      </w:r>
      <w:r w:rsidRPr="00AF1733">
        <w:rPr>
          <w:lang w:val="en-GB"/>
        </w:rPr>
        <w:t xml:space="preserve">. </w:t>
      </w:r>
      <w:r w:rsidR="00DC30CA" w:rsidRPr="00AF1733">
        <w:rPr>
          <w:lang w:val="en-GB"/>
        </w:rPr>
        <w:t xml:space="preserve">The </w:t>
      </w:r>
      <w:r w:rsidRPr="00AF1733">
        <w:rPr>
          <w:lang w:val="en-GB"/>
        </w:rPr>
        <w:t xml:space="preserve">dispenser devices are characterized by a </w:t>
      </w:r>
      <w:r w:rsidRPr="00AF1733">
        <w:rPr>
          <w:rFonts w:ascii="Symbol" w:hAnsi="Symbol"/>
          <w:lang w:val="en-GB"/>
        </w:rPr>
        <w:t></w:t>
      </w:r>
      <w:r w:rsidRPr="00AF1733">
        <w:rPr>
          <w:lang w:val="en-GB"/>
        </w:rPr>
        <w:t>T</w:t>
      </w:r>
      <w:r w:rsidRPr="00AF1733">
        <w:rPr>
          <w:vertAlign w:val="subscript"/>
          <w:lang w:val="en-GB"/>
        </w:rPr>
        <w:t>FM</w:t>
      </w:r>
      <w:r w:rsidRPr="00AF1733">
        <w:rPr>
          <w:lang w:val="en-GB"/>
        </w:rPr>
        <w:t xml:space="preserve"> between 3 and 10 °C. Given that devices with IDs from 5 to 19 have the same dispenser, the role of the nozzle is crucial. </w:t>
      </w:r>
    </w:p>
    <w:p w14:paraId="2BCBE4F7" w14:textId="77777777" w:rsidR="00DC30CA" w:rsidRPr="00AF1733" w:rsidRDefault="18F2C3D9" w:rsidP="007D4DB0">
      <w:pPr>
        <w:rPr>
          <w:lang w:val="en-GB"/>
        </w:rPr>
      </w:pPr>
      <w:r w:rsidRPr="00AF1733">
        <w:rPr>
          <w:lang w:val="en-GB"/>
        </w:rPr>
        <w:t xml:space="preserve">The standard deviation shows that the tests repeatability is different for the three device types: the COV is larger for the dispenser devices, given that the heat transfer is strongly affected by the way in which the subject pushes the nozzle. The evaluation of COV on </w:t>
      </w:r>
      <w:r w:rsidRPr="00AF1733">
        <w:rPr>
          <w:rFonts w:ascii="Symbol" w:eastAsia="Symbol" w:hAnsi="Symbol" w:cs="Symbol"/>
          <w:lang w:val="en-GB"/>
        </w:rPr>
        <w:t></w:t>
      </w:r>
      <w:r w:rsidRPr="00AF1733">
        <w:rPr>
          <w:lang w:val="en-GB"/>
        </w:rPr>
        <w:t>T</w:t>
      </w:r>
      <w:r w:rsidRPr="00AF1733">
        <w:rPr>
          <w:vertAlign w:val="subscript"/>
          <w:lang w:val="en-GB"/>
        </w:rPr>
        <w:t>FM</w:t>
      </w:r>
      <w:r w:rsidRPr="00AF1733">
        <w:rPr>
          <w:lang w:val="en-GB"/>
        </w:rPr>
        <w:t xml:space="preserve"> and on the flux integral lead to similar results; large differences were noticed only for the dispensers 9_E1 and 15_B1, mainly because of a non-uniform time between the three spray actuations.</w:t>
      </w:r>
    </w:p>
    <w:p w14:paraId="481B9B17" w14:textId="77777777" w:rsidR="00512C31" w:rsidRPr="00AF1733" w:rsidRDefault="00A179A4" w:rsidP="008D0B5C">
      <w:pPr>
        <w:pStyle w:val="Titolo1"/>
        <w:rPr>
          <w:lang w:val="en-GB"/>
        </w:rPr>
      </w:pPr>
      <w:r w:rsidRPr="00AF1733">
        <w:rPr>
          <w:lang w:val="en-GB"/>
        </w:rPr>
        <w:t xml:space="preserve">Discussion </w:t>
      </w:r>
    </w:p>
    <w:p w14:paraId="6619A682" w14:textId="77777777" w:rsidR="00A96D7C" w:rsidRPr="00AF1733" w:rsidRDefault="00667D13" w:rsidP="00667D13">
      <w:pPr>
        <w:rPr>
          <w:lang w:val="en-GB"/>
        </w:rPr>
      </w:pPr>
      <w:r w:rsidRPr="00AF1733">
        <w:rPr>
          <w:lang w:val="en-GB"/>
        </w:rPr>
        <w:t>The proposed measurement system allowed comparing different OTC devices for the treatment of skin problems without the intrinsic limitations of the tests performed on the patients</w:t>
      </w:r>
      <w:r w:rsidR="003D3DF1" w:rsidRPr="00AF1733">
        <w:rPr>
          <w:lang w:val="en-GB"/>
        </w:rPr>
        <w:t>’ skin</w:t>
      </w:r>
      <w:r w:rsidRPr="00AF1733">
        <w:rPr>
          <w:lang w:val="en-GB"/>
        </w:rPr>
        <w:t>: nineteen devices were compared under repeatability conditions with an instrumental uncertainty much lower than the typical inter and intra-subject variability. The accuracy of the proposed measurement method allowed the identification of the best nozzle for the dispenser devices</w:t>
      </w:r>
      <w:r w:rsidR="00940797" w:rsidRPr="00AF1733">
        <w:rPr>
          <w:lang w:val="en-GB"/>
        </w:rPr>
        <w:t xml:space="preserve"> (</w:t>
      </w:r>
      <w:r w:rsidRPr="00AF1733">
        <w:rPr>
          <w:lang w:val="en-GB"/>
        </w:rPr>
        <w:t xml:space="preserve">specimens </w:t>
      </w:r>
      <w:r w:rsidR="00A96D7C" w:rsidRPr="00AF1733">
        <w:rPr>
          <w:lang w:val="en-GB"/>
        </w:rPr>
        <w:t>10 and 11</w:t>
      </w:r>
      <w:r w:rsidR="00940797" w:rsidRPr="00AF1733">
        <w:rPr>
          <w:lang w:val="en-GB"/>
        </w:rPr>
        <w:t xml:space="preserve">). </w:t>
      </w:r>
      <w:r w:rsidR="00A368F9" w:rsidRPr="00AF1733">
        <w:rPr>
          <w:lang w:val="en-GB"/>
        </w:rPr>
        <w:t>The best one was</w:t>
      </w:r>
      <w:r w:rsidRPr="00AF1733">
        <w:rPr>
          <w:lang w:val="en-GB"/>
        </w:rPr>
        <w:t xml:space="preserve"> characterized by two </w:t>
      </w:r>
      <w:r w:rsidR="00A96D7C" w:rsidRPr="00AF1733">
        <w:rPr>
          <w:lang w:val="en-GB"/>
        </w:rPr>
        <w:t>holes</w:t>
      </w:r>
      <w:r w:rsidRPr="00AF1733">
        <w:rPr>
          <w:lang w:val="en-GB"/>
        </w:rPr>
        <w:t xml:space="preserve"> (0.5 mm in diameter)</w:t>
      </w:r>
      <w:r w:rsidR="00A96D7C" w:rsidRPr="00AF1733">
        <w:rPr>
          <w:lang w:val="en-GB"/>
        </w:rPr>
        <w:t xml:space="preserve"> placed at 5 mm from the skin surface</w:t>
      </w:r>
      <w:r w:rsidR="00940797" w:rsidRPr="00AF1733">
        <w:rPr>
          <w:lang w:val="en-GB"/>
        </w:rPr>
        <w:t xml:space="preserve">; as expected, the </w:t>
      </w:r>
      <w:r w:rsidR="00940797" w:rsidRPr="00AF1733">
        <w:rPr>
          <w:lang w:val="en-GB"/>
        </w:rPr>
        <w:lastRenderedPageBreak/>
        <w:t xml:space="preserve">evaporation holes (visible in specimens A2 and B2 in </w:t>
      </w:r>
      <w:r w:rsidR="00940797" w:rsidRPr="00AF1733">
        <w:fldChar w:fldCharType="begin"/>
      </w:r>
      <w:r w:rsidR="00940797" w:rsidRPr="00AF1733">
        <w:rPr>
          <w:lang w:val="en-GB"/>
        </w:rPr>
        <w:instrText xml:space="preserve"> REF _Ref409623425 \h </w:instrText>
      </w:r>
      <w:r w:rsidR="00940797" w:rsidRPr="00AF1733">
        <w:rPr>
          <w:lang w:val="en-GB"/>
        </w:rPr>
        <w:fldChar w:fldCharType="separate"/>
      </w:r>
      <w:r w:rsidR="000A664E" w:rsidRPr="00AF1733">
        <w:rPr>
          <w:lang w:val="en-GB"/>
        </w:rPr>
        <w:t xml:space="preserve">Fig. </w:t>
      </w:r>
      <w:r w:rsidR="000A664E" w:rsidRPr="00AF1733">
        <w:rPr>
          <w:noProof/>
          <w:lang w:val="en-GB"/>
        </w:rPr>
        <w:t>6</w:t>
      </w:r>
      <w:r w:rsidR="00940797" w:rsidRPr="00AF1733">
        <w:fldChar w:fldCharType="end"/>
      </w:r>
      <w:r w:rsidR="00940797" w:rsidRPr="00AF1733">
        <w:rPr>
          <w:lang w:val="en-GB"/>
        </w:rPr>
        <w:t xml:space="preserve">) play a very important role in the heat transfer between the boiling fluid and the skin. </w:t>
      </w:r>
      <w:r w:rsidR="00A368F9" w:rsidRPr="00AF1733">
        <w:rPr>
          <w:lang w:val="en-GB"/>
        </w:rPr>
        <w:t xml:space="preserve">If the holes are too close to the </w:t>
      </w:r>
      <w:r w:rsidR="000713E8" w:rsidRPr="00AF1733">
        <w:rPr>
          <w:lang w:val="en-GB"/>
        </w:rPr>
        <w:t>skin,</w:t>
      </w:r>
      <w:r w:rsidR="00A368F9" w:rsidRPr="00AF1733">
        <w:rPr>
          <w:lang w:val="en-GB"/>
        </w:rPr>
        <w:t xml:space="preserve"> it is possible that part of the fluid leaks witho</w:t>
      </w:r>
      <w:r w:rsidR="000713E8" w:rsidRPr="00AF1733">
        <w:rPr>
          <w:lang w:val="en-GB"/>
        </w:rPr>
        <w:t>ut actually cooling the surface.</w:t>
      </w:r>
      <w:r w:rsidR="00A368F9" w:rsidRPr="00AF1733">
        <w:rPr>
          <w:lang w:val="en-GB"/>
        </w:rPr>
        <w:t xml:space="preserve"> </w:t>
      </w:r>
      <w:r w:rsidR="000713E8" w:rsidRPr="00AF1733">
        <w:rPr>
          <w:lang w:val="en-GB"/>
        </w:rPr>
        <w:t>O</w:t>
      </w:r>
      <w:r w:rsidR="00A368F9" w:rsidRPr="00AF1733">
        <w:rPr>
          <w:lang w:val="en-GB"/>
        </w:rPr>
        <w:t xml:space="preserve">n the </w:t>
      </w:r>
      <w:r w:rsidR="000713E8" w:rsidRPr="00AF1733">
        <w:rPr>
          <w:lang w:val="en-GB"/>
        </w:rPr>
        <w:t>contrary,</w:t>
      </w:r>
      <w:r w:rsidR="00A368F9" w:rsidRPr="00AF1733">
        <w:rPr>
          <w:lang w:val="en-GB"/>
        </w:rPr>
        <w:t xml:space="preserve"> </w:t>
      </w:r>
      <w:r w:rsidR="000713E8" w:rsidRPr="00AF1733">
        <w:rPr>
          <w:lang w:val="en-GB"/>
        </w:rPr>
        <w:t>if the holes are too small the evaporating gas increases the pressure inside the nozzle preventing the evaporation of additional fluid.</w:t>
      </w:r>
    </w:p>
    <w:p w14:paraId="0115AB50" w14:textId="77777777" w:rsidR="18F2C3D9" w:rsidRPr="00AF1733" w:rsidRDefault="18F2C3D9" w:rsidP="18F2C3D9">
      <w:pPr>
        <w:rPr>
          <w:lang w:val="en-GB"/>
        </w:rPr>
      </w:pPr>
      <w:r w:rsidRPr="00AF1733">
        <w:rPr>
          <w:lang w:val="en-GB"/>
        </w:rPr>
        <w:t xml:space="preserve">Experimental results outlined that the COV of the temperature and the flux measurement are generally similar. The main differences were found on the dispenser devices, where the </w:t>
      </w:r>
      <w:r w:rsidR="00472DFA" w:rsidRPr="00AF1733">
        <w:rPr>
          <w:lang w:val="en-GB"/>
        </w:rPr>
        <w:t xml:space="preserve">manual actuation of the devices decreases the measurements repeatability: if the time </w:t>
      </w:r>
      <w:r w:rsidR="006552E8" w:rsidRPr="00AF1733">
        <w:rPr>
          <w:lang w:val="en-GB"/>
        </w:rPr>
        <w:t>interval</w:t>
      </w:r>
      <w:r w:rsidR="00472DFA" w:rsidRPr="00AF1733">
        <w:rPr>
          <w:lang w:val="en-GB"/>
        </w:rPr>
        <w:t xml:space="preserve"> between the consecutive device actuations is small the temperature decrease </w:t>
      </w:r>
      <w:r w:rsidR="00B42955" w:rsidRPr="00AF1733">
        <w:rPr>
          <w:lang w:val="en-GB"/>
        </w:rPr>
        <w:t xml:space="preserve">is large but the effect of cooling ends earlier. </w:t>
      </w:r>
    </w:p>
    <w:p w14:paraId="3759C69F" w14:textId="77777777" w:rsidR="006D5651" w:rsidRPr="00AF1733" w:rsidRDefault="18F2C3D9" w:rsidP="00C950EA">
      <w:pPr>
        <w:rPr>
          <w:lang w:val="en-GB"/>
        </w:rPr>
      </w:pPr>
      <w:r w:rsidRPr="00AF1733">
        <w:rPr>
          <w:lang w:val="en-GB"/>
        </w:rPr>
        <w:t>The measured heat flux peak varied between 0.3 and 3 W and the typical application times ranged from a few seconds (spray devices) to approximately 60 seconds (foam devices). As outlined in the literature, the wart treatment is effective if the local temperature decreases below -5 °C (reported values range between -5 and -15 °C). Although the optimal temperature for skin tags treatment has never been reported, it seems reasonable to consider a temperature range similar to those reported for the wart treatment. The minimum heat flux for reaching the optimal treatment can be computed by dividing the temperature difference by the thermal resistance of the skin. Considering a hand skin specific resistance is 6.5</w:t>
      </w:r>
      <w:r w:rsidRPr="00AF1733">
        <w:rPr>
          <w:rFonts w:eastAsia="Times New Roman" w:cs="Times New Roman"/>
          <w:lang w:val="en-GB"/>
        </w:rPr>
        <w:t>·</w:t>
      </w:r>
      <w:r w:rsidRPr="00AF1733">
        <w:rPr>
          <w:lang w:val="en-GB"/>
        </w:rPr>
        <w:t>10</w:t>
      </w:r>
      <w:r w:rsidRPr="00AF1733">
        <w:rPr>
          <w:vertAlign w:val="superscript"/>
          <w:lang w:val="en-GB"/>
        </w:rPr>
        <w:t>-3</w:t>
      </w:r>
      <w:r w:rsidRPr="00AF1733">
        <w:rPr>
          <w:lang w:val="en-GB"/>
        </w:rPr>
        <w:t xml:space="preserve"> K</w:t>
      </w:r>
      <w:r w:rsidRPr="00AF1733">
        <w:rPr>
          <w:rFonts w:eastAsia="Times New Roman" w:cs="Times New Roman"/>
          <w:lang w:val="en-GB"/>
        </w:rPr>
        <w:t>·</w:t>
      </w:r>
      <w:r w:rsidRPr="00AF1733">
        <w:rPr>
          <w:lang w:val="en-GB"/>
        </w:rPr>
        <w:t>m²/W, a contact area of 20 mm</w:t>
      </w:r>
      <w:r w:rsidRPr="00AF1733">
        <w:rPr>
          <w:vertAlign w:val="superscript"/>
          <w:lang w:val="en-GB"/>
        </w:rPr>
        <w:t xml:space="preserve">2 </w:t>
      </w:r>
      <w:r w:rsidRPr="00AF1733">
        <w:rPr>
          <w:lang w:val="en-GB"/>
        </w:rPr>
        <w:t xml:space="preserve">and a temperature difference of 47 °C (body temperature 37 °C, interface temperature -10°C), the minimum steady heat flux required for the skin cryotherapy is approximately 0.2 W. Since the expected application time is 30 s, the minimum flux integral is 6 J, a value obtained by all the devices that underwent our tests. These values do not consider the diffusive phenomena occurring at the internal derma: if the application time is </w:t>
      </w:r>
      <w:r w:rsidR="00B42955" w:rsidRPr="00AF1733">
        <w:rPr>
          <w:lang w:val="en-GB"/>
        </w:rPr>
        <w:t>short</w:t>
      </w:r>
      <w:r w:rsidRPr="00AF1733">
        <w:rPr>
          <w:lang w:val="en-GB"/>
        </w:rPr>
        <w:t xml:space="preserve"> (spray devices), the tissue cooling is limited to the skin surface and the treatment is effective for superficial skin defects. Conversely, if the application time is longer (as for the foam devices), the progressive diffusion allows treating defects of the internal derma. It is therefore reasonable to suggest the use of different devices for the treatment of different defects.</w:t>
      </w:r>
    </w:p>
    <w:p w14:paraId="0A25A233" w14:textId="33DC8B1B" w:rsidR="00C65732" w:rsidRPr="00AF1733" w:rsidRDefault="18F2C3D9" w:rsidP="18F2C3D9">
      <w:pPr>
        <w:rPr>
          <w:lang w:val="en-GB"/>
        </w:rPr>
      </w:pPr>
      <w:r w:rsidRPr="00AF1733">
        <w:rPr>
          <w:lang w:val="en-GB"/>
        </w:rPr>
        <w:t xml:space="preserve">The main limitation of the present </w:t>
      </w:r>
      <w:r w:rsidR="00AD7BCF" w:rsidRPr="00AF1733">
        <w:rPr>
          <w:lang w:val="en-GB"/>
        </w:rPr>
        <w:t xml:space="preserve">approach </w:t>
      </w:r>
      <w:r w:rsidR="003D3DF1" w:rsidRPr="00AF1733">
        <w:rPr>
          <w:lang w:val="en-GB"/>
        </w:rPr>
        <w:t>derives from the large</w:t>
      </w:r>
      <w:r w:rsidRPr="00AF1733">
        <w:rPr>
          <w:lang w:val="en-GB"/>
        </w:rPr>
        <w:t xml:space="preserve"> time constant of the heat-flux meter, which </w:t>
      </w:r>
      <w:r w:rsidR="003D3DF1" w:rsidRPr="00AF1733">
        <w:rPr>
          <w:lang w:val="en-GB"/>
        </w:rPr>
        <w:t>is</w:t>
      </w:r>
      <w:r w:rsidRPr="00AF1733">
        <w:rPr>
          <w:lang w:val="en-GB"/>
        </w:rPr>
        <w:t xml:space="preserve"> reasonable for </w:t>
      </w:r>
      <w:r w:rsidR="003D3DF1" w:rsidRPr="00AF1733">
        <w:rPr>
          <w:lang w:val="en-GB"/>
        </w:rPr>
        <w:t>assessing the performances of</w:t>
      </w:r>
      <w:r w:rsidRPr="00AF1733">
        <w:rPr>
          <w:lang w:val="en-GB"/>
        </w:rPr>
        <w:t xml:space="preserve"> foam and dispenser devices</w:t>
      </w:r>
      <w:r w:rsidR="003D3DF1" w:rsidRPr="00AF1733">
        <w:rPr>
          <w:lang w:val="en-GB"/>
        </w:rPr>
        <w:t>,</w:t>
      </w:r>
      <w:r w:rsidRPr="00AF1733">
        <w:rPr>
          <w:lang w:val="en-GB"/>
        </w:rPr>
        <w:t xml:space="preserve"> but did not allow the </w:t>
      </w:r>
      <w:r w:rsidR="00460550" w:rsidRPr="00AF1733">
        <w:rPr>
          <w:lang w:val="en-GB"/>
        </w:rPr>
        <w:lastRenderedPageBreak/>
        <w:t xml:space="preserve">correct </w:t>
      </w:r>
      <w:r w:rsidRPr="00AF1733">
        <w:rPr>
          <w:lang w:val="en-GB"/>
        </w:rPr>
        <w:t xml:space="preserve">identification of the peak flux and peak temperature of the spray devices. The limitation </w:t>
      </w:r>
      <w:r w:rsidR="003D3DF1" w:rsidRPr="00AF1733">
        <w:rPr>
          <w:lang w:val="en-GB"/>
        </w:rPr>
        <w:t>could</w:t>
      </w:r>
      <w:r w:rsidRPr="00AF1733">
        <w:rPr>
          <w:lang w:val="en-GB"/>
        </w:rPr>
        <w:t xml:space="preserve"> be overcome by using a smaller heat-flux meter and a different </w:t>
      </w:r>
      <w:r w:rsidR="007D0DCF" w:rsidRPr="00AF1733">
        <w:rPr>
          <w:lang w:val="en-GB"/>
        </w:rPr>
        <w:t>configuration of the</w:t>
      </w:r>
      <w:r w:rsidR="003D3DF1" w:rsidRPr="00AF1733">
        <w:rPr>
          <w:lang w:val="en-GB"/>
        </w:rPr>
        <w:t xml:space="preserve"> Agilent 34970A</w:t>
      </w:r>
      <w:r w:rsidR="007D0DCF" w:rsidRPr="00AF1733">
        <w:rPr>
          <w:lang w:val="en-GB"/>
        </w:rPr>
        <w:t>, which allows larger scan rates if used in a standalone configuration</w:t>
      </w:r>
      <w:r w:rsidR="003D3DF1" w:rsidRPr="00AF1733">
        <w:rPr>
          <w:lang w:val="en-GB"/>
        </w:rPr>
        <w:t>.</w:t>
      </w:r>
      <w:r w:rsidRPr="00AF1733">
        <w:rPr>
          <w:lang w:val="en-GB"/>
        </w:rPr>
        <w:t xml:space="preserve"> </w:t>
      </w:r>
      <w:r w:rsidR="003D3DF1" w:rsidRPr="00AF1733">
        <w:rPr>
          <w:lang w:val="en-GB"/>
        </w:rPr>
        <w:t>G</w:t>
      </w:r>
      <w:r w:rsidRPr="00AF1733">
        <w:rPr>
          <w:lang w:val="en-GB"/>
        </w:rPr>
        <w:t>iven that the main object of the tests performed was the identification of the best nozzle for dispenser devices</w:t>
      </w:r>
      <w:r w:rsidR="003D3DF1" w:rsidRPr="00AF1733">
        <w:rPr>
          <w:lang w:val="en-GB"/>
        </w:rPr>
        <w:t>, the limitation is not crucial. The modification of the flux-meter geometry would also enable the creation of a skin simulator, so that the measured temperature decrease is close to the one measured during the skin treatment. The main drawback of this approach, however, is that the skin-contact thermal resistance and capacitance depend on the body region (</w:t>
      </w:r>
      <w:r w:rsidR="009642F5" w:rsidRPr="00AF1733">
        <w:rPr>
          <w:lang w:val="en-GB"/>
        </w:rPr>
        <w:t xml:space="preserve">the skin resistances of the hand palm and back are different). In order to create a skin simulator it is therefore necessary to: (i) identify the region of the skin that has to be treated; (ii) measure its thermal resistance and capacitance using the approach of ref. </w:t>
      </w:r>
      <w:r w:rsidR="009642F5" w:rsidRPr="00AF1733">
        <w:rPr>
          <w:lang w:val="en-GB"/>
        </w:rPr>
        <w:fldChar w:fldCharType="begin"/>
      </w:r>
      <w:r w:rsidR="009642F5" w:rsidRPr="00AF1733">
        <w:rPr>
          <w:lang w:val="en-GB"/>
        </w:rPr>
        <w:instrText>ADDIN RW.CITE{{484 Saggin,B. 2012}}</w:instrText>
      </w:r>
      <w:r w:rsidR="009642F5" w:rsidRPr="00AF1733">
        <w:rPr>
          <w:lang w:val="en-GB"/>
        </w:rPr>
        <w:fldChar w:fldCharType="separate"/>
      </w:r>
      <w:r w:rsidR="00AC7561" w:rsidRPr="00AF1733">
        <w:rPr>
          <w:lang w:val="en-GB"/>
        </w:rPr>
        <w:t>[9]</w:t>
      </w:r>
      <w:r w:rsidR="009642F5" w:rsidRPr="00AF1733">
        <w:rPr>
          <w:lang w:val="en-GB"/>
        </w:rPr>
        <w:fldChar w:fldCharType="end"/>
      </w:r>
      <w:r w:rsidR="009642F5" w:rsidRPr="00AF1733">
        <w:rPr>
          <w:lang w:val="en-GB"/>
        </w:rPr>
        <w:t xml:space="preserve">; (iii) modify the flux-meter geometry to obtain the desired characteristics. This approach, however, does not </w:t>
      </w:r>
      <w:r w:rsidR="00283922" w:rsidRPr="00AF1733">
        <w:rPr>
          <w:lang w:val="en-GB"/>
        </w:rPr>
        <w:t xml:space="preserve">meaningfully </w:t>
      </w:r>
      <w:r w:rsidR="009642F5" w:rsidRPr="00AF1733">
        <w:rPr>
          <w:lang w:val="en-GB"/>
        </w:rPr>
        <w:t>increase</w:t>
      </w:r>
      <w:r w:rsidR="00C65732" w:rsidRPr="00AF1733">
        <w:rPr>
          <w:lang w:val="en-GB"/>
        </w:rPr>
        <w:t xml:space="preserve"> </w:t>
      </w:r>
      <w:r w:rsidR="009642F5" w:rsidRPr="00AF1733">
        <w:rPr>
          <w:lang w:val="en-GB"/>
        </w:rPr>
        <w:t>the accuracy of the comparis</w:t>
      </w:r>
      <w:r w:rsidR="00C65732" w:rsidRPr="00AF1733">
        <w:rPr>
          <w:lang w:val="en-GB"/>
        </w:rPr>
        <w:t xml:space="preserve">on between the different devices, given that the nonlinearities due to the heat exchange between the flux-meter and the environment were proven small. </w:t>
      </w:r>
      <w:r w:rsidR="00283922" w:rsidRPr="00AF1733">
        <w:rPr>
          <w:lang w:val="en-GB"/>
        </w:rPr>
        <w:t>Once that the resistance of different skin regions have been measured, it would is possible to identify the best device (or even the best nozzle characteristics) for the creation of the heat flux required to obtain a certain temperature decrease; this topic, however, requires further investigations and is deserved to be the topic of forthcoming studies.</w:t>
      </w:r>
    </w:p>
    <w:p w14:paraId="60CC34B3" w14:textId="77777777" w:rsidR="00A96D7C" w:rsidRPr="00AF1733" w:rsidRDefault="00A96D7C" w:rsidP="00A96D7C">
      <w:pPr>
        <w:pStyle w:val="Titolo1"/>
        <w:rPr>
          <w:lang w:val="en-GB"/>
        </w:rPr>
      </w:pPr>
      <w:r w:rsidRPr="00AF1733">
        <w:rPr>
          <w:lang w:val="en-GB"/>
        </w:rPr>
        <w:t>Conclusions</w:t>
      </w:r>
    </w:p>
    <w:p w14:paraId="150E9D62" w14:textId="77777777" w:rsidR="00A96D7C" w:rsidRPr="00AF1733" w:rsidRDefault="003D4290" w:rsidP="00C459AF">
      <w:pPr>
        <w:rPr>
          <w:lang w:val="en-GB"/>
        </w:rPr>
      </w:pPr>
      <w:r w:rsidRPr="00AF1733">
        <w:rPr>
          <w:lang w:val="en-GB"/>
        </w:rPr>
        <w:t xml:space="preserve">In this paper, we have proposed a method for the comparison of different over-the-counter devices for skin tags treatment. Devices using different cooling methods (sprays, foam and dispenser) have been compared using a heat-flux meter originally designed for the measurement of the skin thermal resistance. The instrument uncertainty in heat flux measurement is lower than 6 % (C.I. 95 %) and the interface temperature uncertainty is lower than 0.3 °C. The heat flux produced by 19 different OTC devices have been evaluated in controlled conditions. Results allowed the identification of the best nozzle geometry, which was the one that allowed reaching the largest </w:t>
      </w:r>
      <w:r w:rsidRPr="00AF1733">
        <w:rPr>
          <w:rFonts w:ascii="Symbol" w:hAnsi="Symbol"/>
          <w:lang w:val="en-GB"/>
        </w:rPr>
        <w:t></w:t>
      </w:r>
      <w:r w:rsidRPr="00AF1733">
        <w:rPr>
          <w:lang w:val="en-GB"/>
        </w:rPr>
        <w:t>T</w:t>
      </w:r>
      <w:r w:rsidRPr="00AF1733">
        <w:rPr>
          <w:vertAlign w:val="subscript"/>
          <w:lang w:val="en-GB"/>
        </w:rPr>
        <w:t>FM</w:t>
      </w:r>
      <w:r w:rsidRPr="00AF1733">
        <w:rPr>
          <w:lang w:val="en-GB"/>
        </w:rPr>
        <w:t xml:space="preserve"> (or, equivalently, the lowest interface temperature) and the largest heat flux.</w:t>
      </w:r>
      <w:r w:rsidR="00C65732" w:rsidRPr="00AF1733">
        <w:rPr>
          <w:lang w:val="en-GB"/>
        </w:rPr>
        <w:t xml:space="preserve"> Experimental results show the validity of the proposed measurement method: the flux-meter can be used to compare the cooling capabilities of different </w:t>
      </w:r>
      <w:r w:rsidR="00C65732" w:rsidRPr="00AF1733">
        <w:rPr>
          <w:lang w:val="en-GB"/>
        </w:rPr>
        <w:lastRenderedPageBreak/>
        <w:t xml:space="preserve">medical devices without the limitations evidenced in the introduction. The measurement uncertainty is negligible in comparison with the skin thermal resistance repeatability, thus evidencing the appropriateness of the adopted temperature measurement chain. </w:t>
      </w:r>
    </w:p>
    <w:p w14:paraId="184C81D2" w14:textId="11068986" w:rsidR="0054507F" w:rsidRPr="00AF1733" w:rsidRDefault="008A02E8" w:rsidP="0054507F">
      <w:pPr>
        <w:pStyle w:val="NormaleWeb"/>
        <w:jc w:val="center"/>
        <w:rPr>
          <w:rFonts w:cs="Times New Roman"/>
          <w:sz w:val="22"/>
        </w:rPr>
      </w:pPr>
      <w:r w:rsidRPr="00AF1733">
        <w:rPr>
          <w:rFonts w:ascii="Arial" w:eastAsiaTheme="majorEastAsia" w:hAnsi="Arial" w:cstheme="majorBidi"/>
          <w:b/>
          <w:caps/>
          <w:szCs w:val="36"/>
          <w:lang w:val="en-GB"/>
        </w:rPr>
        <w:fldChar w:fldCharType="begin"/>
      </w:r>
      <w:r w:rsidR="0054507F" w:rsidRPr="00AF1733">
        <w:rPr>
          <w:lang w:val="en-GB"/>
        </w:rPr>
        <w:instrText>ADDIN RW.BIB</w:instrText>
      </w:r>
      <w:r w:rsidRPr="00AF1733">
        <w:rPr>
          <w:rFonts w:ascii="Arial" w:eastAsiaTheme="majorEastAsia" w:hAnsi="Arial" w:cstheme="majorBidi"/>
          <w:b/>
          <w:caps/>
          <w:szCs w:val="36"/>
          <w:lang w:val="en-GB"/>
        </w:rPr>
        <w:fldChar w:fldCharType="separate"/>
      </w:r>
      <w:r w:rsidR="0054507F" w:rsidRPr="00AF1733">
        <w:rPr>
          <w:rFonts w:cs="Times New Roman"/>
          <w:sz w:val="22"/>
        </w:rPr>
        <w:t>References</w:t>
      </w:r>
    </w:p>
    <w:p w14:paraId="4A1D26D0" w14:textId="77777777" w:rsidR="0054507F" w:rsidRPr="00AF1733" w:rsidRDefault="0054507F" w:rsidP="0054507F">
      <w:pPr>
        <w:pStyle w:val="NormaleWeb"/>
        <w:rPr>
          <w:rFonts w:cs="Times New Roman"/>
          <w:sz w:val="22"/>
        </w:rPr>
      </w:pPr>
      <w:r w:rsidRPr="00AF1733">
        <w:rPr>
          <w:rFonts w:cs="Times New Roman"/>
          <w:sz w:val="22"/>
        </w:rPr>
        <w:t xml:space="preserve">[1] D. Buckley, "Cryosurgery for Warts," </w:t>
      </w:r>
      <w:r w:rsidRPr="00AF1733">
        <w:rPr>
          <w:rFonts w:cs="Times New Roman"/>
          <w:i/>
          <w:iCs/>
          <w:sz w:val="22"/>
        </w:rPr>
        <w:t xml:space="preserve">Cryosurgery, </w:t>
      </w:r>
      <w:r w:rsidRPr="00AF1733">
        <w:rPr>
          <w:rFonts w:cs="Times New Roman"/>
          <w:sz w:val="22"/>
        </w:rPr>
        <w:t xml:space="preserve">pp. 107-119, 2015. </w:t>
      </w:r>
    </w:p>
    <w:p w14:paraId="5B66C504" w14:textId="77777777" w:rsidR="0054507F" w:rsidRPr="00AF1733" w:rsidRDefault="0054507F" w:rsidP="0054507F">
      <w:pPr>
        <w:pStyle w:val="NormaleWeb"/>
        <w:rPr>
          <w:rFonts w:cs="Times New Roman"/>
          <w:sz w:val="22"/>
        </w:rPr>
      </w:pPr>
      <w:r w:rsidRPr="00AF1733">
        <w:rPr>
          <w:rFonts w:cs="Times New Roman"/>
          <w:sz w:val="22"/>
        </w:rPr>
        <w:t xml:space="preserve">[2] S. Cockayne, C. Hewitt, K. Hicks, S. Jayakody, A. R. Kang’ombe, E. Stamuli, G. Turner, K. Thomas, M. Curran and G. Denby, "Cryotherapy versus salicylic acid for the treatment of plantar warts (verrucae): a randomised controlled trial," </w:t>
      </w:r>
      <w:r w:rsidRPr="00AF1733">
        <w:rPr>
          <w:rFonts w:cs="Times New Roman"/>
          <w:i/>
          <w:iCs/>
          <w:sz w:val="22"/>
        </w:rPr>
        <w:t xml:space="preserve">BMJ, </w:t>
      </w:r>
      <w:r w:rsidRPr="00AF1733">
        <w:rPr>
          <w:rFonts w:cs="Times New Roman"/>
          <w:sz w:val="22"/>
        </w:rPr>
        <w:t xml:space="preserve">vol. 342, pp. d3271, 2011. </w:t>
      </w:r>
    </w:p>
    <w:p w14:paraId="10A100EC" w14:textId="77777777" w:rsidR="0054507F" w:rsidRPr="00AF1733" w:rsidRDefault="0054507F" w:rsidP="0054507F">
      <w:pPr>
        <w:pStyle w:val="NormaleWeb"/>
        <w:rPr>
          <w:rFonts w:cs="Times New Roman"/>
          <w:sz w:val="22"/>
        </w:rPr>
      </w:pPr>
      <w:r w:rsidRPr="00AF1733">
        <w:rPr>
          <w:rFonts w:cs="Times New Roman"/>
          <w:sz w:val="22"/>
        </w:rPr>
        <w:t xml:space="preserve">[3] R. Tucker and J. Duffy, "The Role of Community Pharmacists in the Management of Skin Problems," </w:t>
      </w:r>
      <w:r w:rsidRPr="00AF1733">
        <w:rPr>
          <w:rFonts w:cs="Times New Roman"/>
          <w:i/>
          <w:iCs/>
          <w:sz w:val="22"/>
        </w:rPr>
        <w:t xml:space="preserve">J Pharma Care Health Sys, </w:t>
      </w:r>
      <w:r w:rsidRPr="00AF1733">
        <w:rPr>
          <w:rFonts w:cs="Times New Roman"/>
          <w:sz w:val="22"/>
        </w:rPr>
        <w:t xml:space="preserve">vol. 1, pp. 2, 2014. </w:t>
      </w:r>
    </w:p>
    <w:p w14:paraId="0BAD28BE" w14:textId="77777777" w:rsidR="0054507F" w:rsidRPr="00AF1733" w:rsidRDefault="0054507F" w:rsidP="0054507F">
      <w:pPr>
        <w:pStyle w:val="NormaleWeb"/>
        <w:rPr>
          <w:rFonts w:cs="Times New Roman"/>
          <w:sz w:val="22"/>
        </w:rPr>
      </w:pPr>
      <w:r w:rsidRPr="00AF1733">
        <w:rPr>
          <w:rFonts w:cs="Times New Roman"/>
          <w:sz w:val="22"/>
        </w:rPr>
        <w:t xml:space="preserve">[4] J. M. Plasencia, "Cutaneous warts: diagnosis and treatment," </w:t>
      </w:r>
      <w:r w:rsidRPr="00AF1733">
        <w:rPr>
          <w:rFonts w:cs="Times New Roman"/>
          <w:i/>
          <w:iCs/>
          <w:sz w:val="22"/>
        </w:rPr>
        <w:t xml:space="preserve">Primary Care: Clinics in Office Practice, </w:t>
      </w:r>
      <w:r w:rsidRPr="00AF1733">
        <w:rPr>
          <w:rFonts w:cs="Times New Roman"/>
          <w:sz w:val="22"/>
        </w:rPr>
        <w:t xml:space="preserve">vol. 27, pp. 423-434, 2000. </w:t>
      </w:r>
    </w:p>
    <w:p w14:paraId="0D00ADAF" w14:textId="77777777" w:rsidR="0054507F" w:rsidRPr="00AF1733" w:rsidRDefault="0054507F" w:rsidP="0054507F">
      <w:pPr>
        <w:pStyle w:val="NormaleWeb"/>
        <w:rPr>
          <w:rFonts w:cs="Times New Roman"/>
          <w:sz w:val="22"/>
        </w:rPr>
      </w:pPr>
      <w:r w:rsidRPr="00AF1733">
        <w:rPr>
          <w:rFonts w:cs="Times New Roman"/>
          <w:sz w:val="22"/>
        </w:rPr>
        <w:t xml:space="preserve">[5] N. V. Nguyen and C. G. Burkhart, "Cryosurgical treatment of warts: dimethyl ether and propane versus liquid nitrogen-case report and review of the literature," </w:t>
      </w:r>
      <w:r w:rsidRPr="00AF1733">
        <w:rPr>
          <w:rFonts w:cs="Times New Roman"/>
          <w:i/>
          <w:iCs/>
          <w:sz w:val="22"/>
        </w:rPr>
        <w:t xml:space="preserve">J Drugs Dermatol, </w:t>
      </w:r>
      <w:r w:rsidRPr="00AF1733">
        <w:rPr>
          <w:rFonts w:cs="Times New Roman"/>
          <w:sz w:val="22"/>
        </w:rPr>
        <w:t xml:space="preserve">vol. 10, pp. 1174-1176, 2011. </w:t>
      </w:r>
    </w:p>
    <w:p w14:paraId="6E13CFF0" w14:textId="77777777" w:rsidR="0054507F" w:rsidRPr="00AF1733" w:rsidRDefault="0054507F" w:rsidP="0054507F">
      <w:pPr>
        <w:pStyle w:val="NormaleWeb"/>
        <w:rPr>
          <w:rFonts w:cs="Times New Roman"/>
          <w:sz w:val="22"/>
        </w:rPr>
      </w:pPr>
      <w:r w:rsidRPr="00AF1733">
        <w:rPr>
          <w:rFonts w:cs="Times New Roman"/>
          <w:sz w:val="22"/>
        </w:rPr>
        <w:t xml:space="preserve">[6] F. Dall’Oglio, V. D’Amico, M. R. Nasca and G. Micali, "Treatment of cutaneous warts," </w:t>
      </w:r>
      <w:r w:rsidRPr="00AF1733">
        <w:rPr>
          <w:rFonts w:cs="Times New Roman"/>
          <w:i/>
          <w:iCs/>
          <w:sz w:val="22"/>
        </w:rPr>
        <w:t xml:space="preserve">American Journal of Clinical Dermatology, </w:t>
      </w:r>
      <w:r w:rsidRPr="00AF1733">
        <w:rPr>
          <w:rFonts w:cs="Times New Roman"/>
          <w:sz w:val="22"/>
        </w:rPr>
        <w:t xml:space="preserve">vol. 13, pp. 73-96, 2012. </w:t>
      </w:r>
    </w:p>
    <w:p w14:paraId="091D2154" w14:textId="77777777" w:rsidR="0054507F" w:rsidRPr="00AF1733" w:rsidRDefault="0054507F" w:rsidP="0054507F">
      <w:pPr>
        <w:pStyle w:val="NormaleWeb"/>
        <w:rPr>
          <w:rFonts w:cs="Times New Roman"/>
          <w:sz w:val="22"/>
        </w:rPr>
      </w:pPr>
      <w:r w:rsidRPr="00AF1733">
        <w:rPr>
          <w:rFonts w:cs="Times New Roman"/>
          <w:sz w:val="22"/>
        </w:rPr>
        <w:t xml:space="preserve">[7] D. R. Focht III, C. Spicer and M. P. Fairchok, "The efficacy of duct tape vs cryotherapy in the treatment of verruca vulgaris (the common wart)," </w:t>
      </w:r>
      <w:r w:rsidRPr="00AF1733">
        <w:rPr>
          <w:rFonts w:cs="Times New Roman"/>
          <w:i/>
          <w:iCs/>
          <w:sz w:val="22"/>
        </w:rPr>
        <w:t xml:space="preserve">Arch. Pediatr. Adolesc. Med., </w:t>
      </w:r>
      <w:r w:rsidRPr="00AF1733">
        <w:rPr>
          <w:rFonts w:cs="Times New Roman"/>
          <w:sz w:val="22"/>
        </w:rPr>
        <w:t xml:space="preserve">vol. 156, pp. 971-974, 2002. </w:t>
      </w:r>
    </w:p>
    <w:p w14:paraId="3D943FCC" w14:textId="77777777" w:rsidR="0054507F" w:rsidRPr="00AF1733" w:rsidRDefault="0054507F" w:rsidP="0054507F">
      <w:pPr>
        <w:pStyle w:val="NormaleWeb"/>
        <w:rPr>
          <w:rFonts w:cs="Times New Roman"/>
          <w:sz w:val="22"/>
        </w:rPr>
      </w:pPr>
      <w:r w:rsidRPr="00AF1733">
        <w:rPr>
          <w:rFonts w:cs="Times New Roman"/>
          <w:sz w:val="22"/>
        </w:rPr>
        <w:t xml:space="preserve">[8] C. G. Burkhart, I. Pchalek, M. Adler and C. N. Burkhart, "An in vitro study comparing temperatures of over-the-counter wart preparations with liquid nitrogen," </w:t>
      </w:r>
      <w:r w:rsidRPr="00AF1733">
        <w:rPr>
          <w:rFonts w:cs="Times New Roman"/>
          <w:i/>
          <w:iCs/>
          <w:sz w:val="22"/>
        </w:rPr>
        <w:t xml:space="preserve">J. Am. Acad. Dermatol., </w:t>
      </w:r>
      <w:r w:rsidRPr="00AF1733">
        <w:rPr>
          <w:rFonts w:cs="Times New Roman"/>
          <w:sz w:val="22"/>
        </w:rPr>
        <w:t xml:space="preserve">vol. 57, pp. 1019-1020, 12, 2007. </w:t>
      </w:r>
    </w:p>
    <w:p w14:paraId="7B605C5B" w14:textId="77777777" w:rsidR="0054507F" w:rsidRPr="00AF1733" w:rsidRDefault="0054507F" w:rsidP="0054507F">
      <w:pPr>
        <w:pStyle w:val="NormaleWeb"/>
        <w:rPr>
          <w:rFonts w:cs="Times New Roman"/>
          <w:sz w:val="22"/>
        </w:rPr>
      </w:pPr>
      <w:r w:rsidRPr="00AF1733">
        <w:rPr>
          <w:rFonts w:cs="Times New Roman"/>
          <w:sz w:val="22"/>
        </w:rPr>
        <w:lastRenderedPageBreak/>
        <w:t xml:space="preserve">[9] B. Saggin, M. Tarabini and G. Lanfranchi, "A device for the skin-contact thermal resistance measurement," </w:t>
      </w:r>
      <w:r w:rsidRPr="00AF1733">
        <w:rPr>
          <w:rFonts w:cs="Times New Roman"/>
          <w:i/>
          <w:iCs/>
          <w:sz w:val="22"/>
        </w:rPr>
        <w:t xml:space="preserve">IEEE Transactions on Instrumentation and Measurement, </w:t>
      </w:r>
      <w:r w:rsidRPr="00AF1733">
        <w:rPr>
          <w:rFonts w:cs="Times New Roman"/>
          <w:sz w:val="22"/>
        </w:rPr>
        <w:t xml:space="preserve">vol. 61, pp. 489-495, 2012. </w:t>
      </w:r>
    </w:p>
    <w:p w14:paraId="3AC41ACD" w14:textId="77777777" w:rsidR="0054507F" w:rsidRPr="00AF1733" w:rsidRDefault="0054507F" w:rsidP="0054507F">
      <w:pPr>
        <w:pStyle w:val="NormaleWeb"/>
        <w:rPr>
          <w:rFonts w:cs="Times New Roman"/>
          <w:sz w:val="22"/>
        </w:rPr>
      </w:pPr>
      <w:r w:rsidRPr="00AF1733">
        <w:rPr>
          <w:rFonts w:cs="Times New Roman"/>
          <w:sz w:val="22"/>
        </w:rPr>
        <w:t xml:space="preserve">[10] M. Tarabini, B. Saggin, D. Scaccabarozzi and G. Lanfranchi, "Estimation of the orthosis-limb contact pressure through thermal imaging," in </w:t>
      </w:r>
      <w:r w:rsidRPr="00AF1733">
        <w:rPr>
          <w:rFonts w:cs="Times New Roman"/>
          <w:i/>
          <w:iCs/>
          <w:sz w:val="22"/>
        </w:rPr>
        <w:t xml:space="preserve">Instrumentation and Measurement Technology Conference (I2MTC), 2012 IEEE International, </w:t>
      </w:r>
      <w:r w:rsidRPr="00AF1733">
        <w:rPr>
          <w:rFonts w:cs="Times New Roman"/>
          <w:sz w:val="22"/>
        </w:rPr>
        <w:t>2012, pp. 2733-2737.</w:t>
      </w:r>
    </w:p>
    <w:p w14:paraId="1044FB2C" w14:textId="77777777" w:rsidR="0054507F" w:rsidRPr="00AF1733" w:rsidRDefault="0054507F" w:rsidP="0054507F">
      <w:pPr>
        <w:pStyle w:val="NormaleWeb"/>
        <w:rPr>
          <w:rFonts w:cs="Times New Roman"/>
          <w:sz w:val="22"/>
        </w:rPr>
      </w:pPr>
      <w:r w:rsidRPr="00AF1733">
        <w:rPr>
          <w:rFonts w:cs="Times New Roman"/>
          <w:sz w:val="22"/>
        </w:rPr>
        <w:t xml:space="preserve">[11] Todd D Fansler and Scott,E.Parrish, "Spray measurement technology: a review," </w:t>
      </w:r>
      <w:r w:rsidRPr="00AF1733">
        <w:rPr>
          <w:rFonts w:cs="Times New Roman"/>
          <w:i/>
          <w:iCs/>
          <w:sz w:val="22"/>
        </w:rPr>
        <w:t xml:space="preserve">Measurement Science and Technology, </w:t>
      </w:r>
      <w:r w:rsidRPr="00AF1733">
        <w:rPr>
          <w:rFonts w:cs="Times New Roman"/>
          <w:sz w:val="22"/>
        </w:rPr>
        <w:t xml:space="preserve">vol. 26, pp. 012002, 2015. </w:t>
      </w:r>
    </w:p>
    <w:p w14:paraId="41649283" w14:textId="77777777" w:rsidR="0054507F" w:rsidRPr="00AF1733" w:rsidRDefault="0054507F" w:rsidP="0054507F">
      <w:pPr>
        <w:pStyle w:val="NormaleWeb"/>
        <w:rPr>
          <w:rFonts w:cs="Times New Roman"/>
          <w:sz w:val="22"/>
        </w:rPr>
      </w:pPr>
      <w:r w:rsidRPr="00AF1733">
        <w:rPr>
          <w:rFonts w:cs="Times New Roman"/>
          <w:sz w:val="22"/>
        </w:rPr>
        <w:t xml:space="preserve">[12] C. Tropea, "Optical particle characterization in flows," </w:t>
      </w:r>
      <w:r w:rsidRPr="00AF1733">
        <w:rPr>
          <w:rFonts w:cs="Times New Roman"/>
          <w:i/>
          <w:iCs/>
          <w:sz w:val="22"/>
        </w:rPr>
        <w:t xml:space="preserve">Annu. Rev. Fluid Mech., </w:t>
      </w:r>
      <w:r w:rsidRPr="00AF1733">
        <w:rPr>
          <w:rFonts w:cs="Times New Roman"/>
          <w:sz w:val="22"/>
        </w:rPr>
        <w:t xml:space="preserve">vol. 43, pp. 399-426, 2011. </w:t>
      </w:r>
    </w:p>
    <w:p w14:paraId="4A558906" w14:textId="77777777" w:rsidR="0054507F" w:rsidRPr="00AF1733" w:rsidRDefault="0054507F" w:rsidP="0054507F">
      <w:pPr>
        <w:pStyle w:val="NormaleWeb"/>
        <w:rPr>
          <w:rFonts w:cs="Times New Roman"/>
          <w:sz w:val="22"/>
        </w:rPr>
      </w:pPr>
      <w:r w:rsidRPr="00AF1733">
        <w:rPr>
          <w:rFonts w:cs="Times New Roman"/>
          <w:sz w:val="22"/>
        </w:rPr>
        <w:t xml:space="preserve">[13] L. Fan, F. Hsu and C. Hwang, "A Review on Mathematical Models of the Human Thermal System," </w:t>
      </w:r>
      <w:r w:rsidRPr="00AF1733">
        <w:rPr>
          <w:rFonts w:cs="Times New Roman"/>
          <w:i/>
          <w:iCs/>
          <w:sz w:val="22"/>
        </w:rPr>
        <w:t xml:space="preserve">Biomedical Engineering, IEEE Transactions On, </w:t>
      </w:r>
      <w:r w:rsidRPr="00AF1733">
        <w:rPr>
          <w:rFonts w:cs="Times New Roman"/>
          <w:sz w:val="22"/>
        </w:rPr>
        <w:t xml:space="preserve">vol. BME-18, pp. 218-234, 1971. </w:t>
      </w:r>
    </w:p>
    <w:p w14:paraId="4E76986D" w14:textId="77777777" w:rsidR="0054507F" w:rsidRPr="00AF1733" w:rsidRDefault="0054507F" w:rsidP="0054507F">
      <w:pPr>
        <w:pStyle w:val="NormaleWeb"/>
        <w:rPr>
          <w:rFonts w:cs="Times New Roman"/>
          <w:sz w:val="22"/>
        </w:rPr>
      </w:pPr>
      <w:r w:rsidRPr="00AF1733">
        <w:rPr>
          <w:rFonts w:cs="Times New Roman"/>
          <w:sz w:val="22"/>
        </w:rPr>
        <w:t xml:space="preserve">[14] H. Ho and L. A. Jones, "Development and evaluation of a thermal display for material identification and discrimination," </w:t>
      </w:r>
      <w:r w:rsidRPr="00AF1733">
        <w:rPr>
          <w:rFonts w:cs="Times New Roman"/>
          <w:i/>
          <w:iCs/>
          <w:sz w:val="22"/>
        </w:rPr>
        <w:t xml:space="preserve">ACM Trans. Appl. Percept., </w:t>
      </w:r>
      <w:r w:rsidRPr="00AF1733">
        <w:rPr>
          <w:rFonts w:cs="Times New Roman"/>
          <w:sz w:val="22"/>
        </w:rPr>
        <w:t xml:space="preserve">vol. 4, pp. 13, 2007. </w:t>
      </w:r>
    </w:p>
    <w:p w14:paraId="36C260FE" w14:textId="77777777" w:rsidR="0054507F" w:rsidRPr="00AF1733" w:rsidRDefault="0054507F" w:rsidP="0054507F">
      <w:pPr>
        <w:pStyle w:val="NormaleWeb"/>
        <w:rPr>
          <w:rFonts w:cs="Times New Roman"/>
          <w:sz w:val="22"/>
        </w:rPr>
      </w:pPr>
      <w:r w:rsidRPr="00AF1733">
        <w:rPr>
          <w:rFonts w:cs="Times New Roman"/>
          <w:sz w:val="22"/>
        </w:rPr>
        <w:t xml:space="preserve">[15] H. Ho and L. A. Jones, "Thermal model for hand-object interactions," in </w:t>
      </w:r>
      <w:r w:rsidRPr="00AF1733">
        <w:rPr>
          <w:rFonts w:cs="Times New Roman"/>
          <w:i/>
          <w:iCs/>
          <w:sz w:val="22"/>
        </w:rPr>
        <w:t xml:space="preserve">14th Symposium on Haptic Interfaces for Virtual Environment and Teleoperator Systems, </w:t>
      </w:r>
      <w:r w:rsidRPr="00AF1733">
        <w:rPr>
          <w:rFonts w:cs="Times New Roman"/>
          <w:sz w:val="22"/>
        </w:rPr>
        <w:t>Arlington, 2006, pp. 461-467.</w:t>
      </w:r>
    </w:p>
    <w:p w14:paraId="5A0FD07B" w14:textId="77777777" w:rsidR="0054507F" w:rsidRPr="00AF1733" w:rsidRDefault="0054507F" w:rsidP="0054507F">
      <w:pPr>
        <w:pStyle w:val="NormaleWeb"/>
        <w:rPr>
          <w:rFonts w:cs="Times New Roman"/>
          <w:sz w:val="22"/>
        </w:rPr>
      </w:pPr>
      <w:r w:rsidRPr="00AF1733">
        <w:rPr>
          <w:rFonts w:cs="Times New Roman"/>
          <w:sz w:val="22"/>
        </w:rPr>
        <w:t xml:space="preserve">[16] H. Ho and L. A. Jones, "Modeling the Thermal Responses of the Skin Surface During Hand-Object Interactions," </w:t>
      </w:r>
      <w:r w:rsidRPr="00AF1733">
        <w:rPr>
          <w:rFonts w:cs="Times New Roman"/>
          <w:i/>
          <w:iCs/>
          <w:sz w:val="22"/>
        </w:rPr>
        <w:t xml:space="preserve">Journal of Biomechanical Engineering, </w:t>
      </w:r>
      <w:r w:rsidRPr="00AF1733">
        <w:rPr>
          <w:rFonts w:cs="Times New Roman"/>
          <w:sz w:val="22"/>
        </w:rPr>
        <w:t xml:space="preserve">vol. 130, pp. 021005-8, 2008. </w:t>
      </w:r>
    </w:p>
    <w:p w14:paraId="2BBDE137" w14:textId="77777777" w:rsidR="0054507F" w:rsidRPr="00AF1733" w:rsidRDefault="0054507F" w:rsidP="0054507F">
      <w:pPr>
        <w:pStyle w:val="NormaleWeb"/>
        <w:rPr>
          <w:rFonts w:cs="Times New Roman"/>
          <w:sz w:val="22"/>
        </w:rPr>
      </w:pPr>
      <w:r w:rsidRPr="00AF1733">
        <w:rPr>
          <w:rFonts w:cs="Times New Roman"/>
          <w:sz w:val="22"/>
        </w:rPr>
        <w:t xml:space="preserve">[17] H. Ho and L. A. Jones, "Monitoring skin temperature during hand-object interactions," in </w:t>
      </w:r>
      <w:r w:rsidRPr="00AF1733">
        <w:rPr>
          <w:rFonts w:cs="Times New Roman"/>
          <w:i/>
          <w:iCs/>
          <w:sz w:val="22"/>
        </w:rPr>
        <w:t xml:space="preserve">InfraMation, </w:t>
      </w:r>
      <w:r w:rsidRPr="00AF1733">
        <w:rPr>
          <w:rFonts w:cs="Times New Roman"/>
          <w:sz w:val="22"/>
        </w:rPr>
        <w:t>2007, .</w:t>
      </w:r>
    </w:p>
    <w:p w14:paraId="2E75CF5A" w14:textId="77777777" w:rsidR="0054507F" w:rsidRPr="00AF1733" w:rsidRDefault="0054507F" w:rsidP="0054507F">
      <w:pPr>
        <w:pStyle w:val="NormaleWeb"/>
        <w:rPr>
          <w:rFonts w:cs="Times New Roman"/>
          <w:sz w:val="22"/>
        </w:rPr>
      </w:pPr>
      <w:r w:rsidRPr="00AF1733">
        <w:rPr>
          <w:rFonts w:cs="Times New Roman"/>
          <w:sz w:val="22"/>
        </w:rPr>
        <w:t xml:space="preserve">[18] M. Tarabini, B. Saggin, D. Scaccabarozzi and G. Moschioni, "The potential of micro-electro-mechanical accelerometers in human vibration measurements," </w:t>
      </w:r>
      <w:r w:rsidRPr="00AF1733">
        <w:rPr>
          <w:rFonts w:cs="Times New Roman"/>
          <w:i/>
          <w:iCs/>
          <w:sz w:val="22"/>
        </w:rPr>
        <w:t xml:space="preserve">J. Sound Vibrat., </w:t>
      </w:r>
      <w:r w:rsidRPr="00AF1733">
        <w:rPr>
          <w:rFonts w:cs="Times New Roman"/>
          <w:sz w:val="22"/>
        </w:rPr>
        <w:t xml:space="preserve">vol. 331, pp. 487, 2012. </w:t>
      </w:r>
    </w:p>
    <w:p w14:paraId="78A07766" w14:textId="77777777" w:rsidR="0054507F" w:rsidRPr="00AF1733" w:rsidRDefault="0054507F" w:rsidP="0054507F">
      <w:pPr>
        <w:pStyle w:val="NormaleWeb"/>
        <w:rPr>
          <w:rFonts w:cs="Times New Roman"/>
          <w:sz w:val="22"/>
        </w:rPr>
      </w:pPr>
      <w:r w:rsidRPr="00AF1733">
        <w:rPr>
          <w:rFonts w:cs="Times New Roman"/>
          <w:sz w:val="22"/>
        </w:rPr>
        <w:lastRenderedPageBreak/>
        <w:t xml:space="preserve">[19] G. Moschioni, B. Saggin and M. Tarabini, "3-D Sound Intensity Measurements: Accuracy Enhancements With Virtual-Instrument-Based Technology," </w:t>
      </w:r>
      <w:r w:rsidRPr="00AF1733">
        <w:rPr>
          <w:rFonts w:cs="Times New Roman"/>
          <w:i/>
          <w:iCs/>
          <w:sz w:val="22"/>
        </w:rPr>
        <w:t xml:space="preserve">Instrumentation and Measurement, IEEE Transactions On, </w:t>
      </w:r>
      <w:r w:rsidRPr="00AF1733">
        <w:rPr>
          <w:rFonts w:cs="Times New Roman"/>
          <w:sz w:val="22"/>
        </w:rPr>
        <w:t xml:space="preserve">vol. 57, pp. 1820-1829, 2008. </w:t>
      </w:r>
    </w:p>
    <w:p w14:paraId="3F117DBD" w14:textId="77777777" w:rsidR="0054507F" w:rsidRPr="00AF1733" w:rsidRDefault="0054507F" w:rsidP="0054507F">
      <w:pPr>
        <w:pStyle w:val="NormaleWeb"/>
        <w:rPr>
          <w:rFonts w:cs="Times New Roman"/>
          <w:sz w:val="22"/>
        </w:rPr>
      </w:pPr>
      <w:r w:rsidRPr="00AF1733">
        <w:rPr>
          <w:rFonts w:cs="Times New Roman"/>
          <w:sz w:val="22"/>
        </w:rPr>
        <w:t xml:space="preserve">[20] D. Hudoklin, J. Drnovsek, I. Pusnik and J. Bojkovski, "Simultaneous calibration of a large number of thermocouples," </w:t>
      </w:r>
      <w:r w:rsidRPr="00AF1733">
        <w:rPr>
          <w:rFonts w:cs="Times New Roman"/>
          <w:i/>
          <w:iCs/>
          <w:sz w:val="22"/>
        </w:rPr>
        <w:t xml:space="preserve">Instrumentation and Measurement, IEEE Transactions On, </w:t>
      </w:r>
      <w:r w:rsidRPr="00AF1733">
        <w:rPr>
          <w:rFonts w:cs="Times New Roman"/>
          <w:sz w:val="22"/>
        </w:rPr>
        <w:t xml:space="preserve">vol. 51, pp. 1015-1018, 2002. </w:t>
      </w:r>
    </w:p>
    <w:p w14:paraId="1D1194E7" w14:textId="77777777" w:rsidR="0054507F" w:rsidRPr="00AF1733" w:rsidRDefault="0054507F" w:rsidP="0054507F">
      <w:pPr>
        <w:pStyle w:val="NormaleWeb"/>
        <w:rPr>
          <w:rFonts w:cs="Times New Roman"/>
          <w:sz w:val="22"/>
        </w:rPr>
      </w:pPr>
      <w:r w:rsidRPr="00AF1733">
        <w:rPr>
          <w:rFonts w:cs="Times New Roman"/>
          <w:sz w:val="22"/>
        </w:rPr>
        <w:t xml:space="preserve">[21] U. Sarma and P. K. Boruah, "Design and development of a high precision thermocouple based smart industrial thermometer with on line linearisation and data logging feature," </w:t>
      </w:r>
      <w:r w:rsidRPr="00AF1733">
        <w:rPr>
          <w:rFonts w:cs="Times New Roman"/>
          <w:i/>
          <w:iCs/>
          <w:sz w:val="22"/>
        </w:rPr>
        <w:t xml:space="preserve">Measurement, </w:t>
      </w:r>
      <w:r w:rsidRPr="00AF1733">
        <w:rPr>
          <w:rFonts w:cs="Times New Roman"/>
          <w:sz w:val="22"/>
        </w:rPr>
        <w:t xml:space="preserve">vol. 43, pp. 1589-1594, 12, 2010. </w:t>
      </w:r>
    </w:p>
    <w:p w14:paraId="111BB911" w14:textId="42D69B8B" w:rsidR="00EC09FA" w:rsidRPr="00AF1733" w:rsidRDefault="0054507F" w:rsidP="0054507F">
      <w:pPr>
        <w:rPr>
          <w:lang w:val="en-GB"/>
        </w:rPr>
      </w:pPr>
      <w:r w:rsidRPr="00AF1733">
        <w:rPr>
          <w:rFonts w:eastAsia="Times New Roman" w:cs="Times New Roman"/>
        </w:rPr>
        <w:t> </w:t>
      </w:r>
      <w:r w:rsidR="008A02E8" w:rsidRPr="00AF1733">
        <w:rPr>
          <w:lang w:val="en-GB"/>
        </w:rPr>
        <w:fldChar w:fldCharType="end"/>
      </w:r>
      <w:r w:rsidR="00EC09FA" w:rsidRPr="00AF1733">
        <w:rPr>
          <w:lang w:val="en-GB"/>
        </w:rPr>
        <w:t xml:space="preserve"> </w:t>
      </w:r>
      <w:bookmarkEnd w:id="0"/>
    </w:p>
    <w:sectPr w:rsidR="00EC09FA" w:rsidRPr="00AF1733" w:rsidSect="00AC4ADA">
      <w:type w:val="continuous"/>
      <w:pgSz w:w="11901" w:h="16840" w:code="9"/>
      <w:pgMar w:top="1418" w:right="1418" w:bottom="1134" w:left="1418" w:header="720" w:footer="720" w:gutter="0"/>
      <w:pgNumType w:start="1"/>
      <w:cols w:space="720"/>
      <w:noEndnote/>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DB9A03" w14:textId="77777777" w:rsidR="00C230F1" w:rsidRDefault="00C230F1" w:rsidP="00512C31">
      <w:r>
        <w:separator/>
      </w:r>
    </w:p>
  </w:endnote>
  <w:endnote w:type="continuationSeparator" w:id="0">
    <w:p w14:paraId="6B620B80" w14:textId="77777777" w:rsidR="00C230F1" w:rsidRDefault="00C230F1" w:rsidP="00512C31">
      <w:r>
        <w:continuationSeparator/>
      </w:r>
    </w:p>
  </w:endnote>
  <w:endnote w:type="continuationNotice" w:id="1">
    <w:p w14:paraId="1F1D39BC" w14:textId="77777777" w:rsidR="00C230F1" w:rsidRDefault="00C230F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FBD7BB" w14:textId="77777777" w:rsidR="00C230F1" w:rsidRDefault="00C230F1" w:rsidP="00512C31">
      <w:r>
        <w:separator/>
      </w:r>
    </w:p>
  </w:footnote>
  <w:footnote w:type="continuationSeparator" w:id="0">
    <w:p w14:paraId="0D600F67" w14:textId="77777777" w:rsidR="00C230F1" w:rsidRDefault="00C230F1" w:rsidP="00512C31">
      <w:r>
        <w:continuationSeparator/>
      </w:r>
    </w:p>
  </w:footnote>
  <w:footnote w:type="continuationNotice" w:id="1">
    <w:p w14:paraId="3F53D3F5" w14:textId="77777777" w:rsidR="00C230F1" w:rsidRDefault="00C230F1">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1E3D54"/>
    <w:multiLevelType w:val="hybridMultilevel"/>
    <w:tmpl w:val="DA1C1E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8514A93"/>
    <w:multiLevelType w:val="multilevel"/>
    <w:tmpl w:val="04100025"/>
    <w:lvl w:ilvl="0">
      <w:start w:val="1"/>
      <w:numFmt w:val="decimal"/>
      <w:pStyle w:val="Titolo1"/>
      <w:lvlText w:val="%1"/>
      <w:lvlJc w:val="left"/>
      <w:pPr>
        <w:ind w:left="432" w:hanging="432"/>
      </w:p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2" w15:restartNumberingAfterBreak="0">
    <w:nsid w:val="0F933360"/>
    <w:multiLevelType w:val="singleLevel"/>
    <w:tmpl w:val="2E7E0D74"/>
    <w:lvl w:ilvl="0">
      <w:start w:val="1"/>
      <w:numFmt w:val="bullet"/>
      <w:pStyle w:val="Puntoelenco"/>
      <w:lvlText w:val="–"/>
      <w:lvlJc w:val="left"/>
      <w:pPr>
        <w:tabs>
          <w:tab w:val="num" w:pos="643"/>
        </w:tabs>
        <w:ind w:left="567" w:hanging="284"/>
      </w:pPr>
      <w:rPr>
        <w:rFonts w:ascii="Times New Roman" w:hAnsi="Times New Roman" w:hint="default"/>
        <w:sz w:val="24"/>
      </w:rPr>
    </w:lvl>
  </w:abstractNum>
  <w:abstractNum w:abstractNumId="3" w15:restartNumberingAfterBreak="0">
    <w:nsid w:val="20DA093D"/>
    <w:multiLevelType w:val="multilevel"/>
    <w:tmpl w:val="70A28078"/>
    <w:lvl w:ilvl="0">
      <w:start w:val="1"/>
      <w:numFmt w:val="decimal"/>
      <w:lvlText w:val="%1."/>
      <w:lvlJc w:val="left"/>
      <w:pPr>
        <w:tabs>
          <w:tab w:val="num" w:pos="851"/>
        </w:tabs>
        <w:ind w:left="851" w:hanging="360"/>
      </w:pPr>
      <w:rPr>
        <w:rFonts w:ascii="Arial" w:hAnsi="Arial"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SottoParagrafo"/>
      <w:lvlText w:val="%1.%2."/>
      <w:lvlJc w:val="left"/>
      <w:pPr>
        <w:tabs>
          <w:tab w:val="num" w:pos="1571"/>
        </w:tabs>
        <w:ind w:left="1283" w:hanging="432"/>
      </w:pPr>
      <w:rPr>
        <w:rFonts w:hint="default"/>
      </w:rPr>
    </w:lvl>
    <w:lvl w:ilvl="2">
      <w:start w:val="1"/>
      <w:numFmt w:val="decimal"/>
      <w:pStyle w:val="SottoSottoParagrafo"/>
      <w:lvlText w:val="%1.%2.%3."/>
      <w:lvlJc w:val="left"/>
      <w:pPr>
        <w:tabs>
          <w:tab w:val="num" w:pos="2291"/>
        </w:tabs>
        <w:ind w:left="1715" w:hanging="504"/>
      </w:pPr>
      <w:rPr>
        <w:rFonts w:hint="default"/>
      </w:rPr>
    </w:lvl>
    <w:lvl w:ilvl="3">
      <w:start w:val="1"/>
      <w:numFmt w:val="decimal"/>
      <w:lvlText w:val="%1.%2.%3.%4."/>
      <w:lvlJc w:val="left"/>
      <w:pPr>
        <w:tabs>
          <w:tab w:val="num" w:pos="3011"/>
        </w:tabs>
        <w:ind w:left="2219" w:hanging="648"/>
      </w:pPr>
      <w:rPr>
        <w:rFonts w:hint="default"/>
      </w:rPr>
    </w:lvl>
    <w:lvl w:ilvl="4">
      <w:start w:val="1"/>
      <w:numFmt w:val="decimal"/>
      <w:lvlText w:val="%1.%2.%3.%4.%5."/>
      <w:lvlJc w:val="left"/>
      <w:pPr>
        <w:tabs>
          <w:tab w:val="num" w:pos="3731"/>
        </w:tabs>
        <w:ind w:left="2723" w:hanging="792"/>
      </w:pPr>
      <w:rPr>
        <w:rFonts w:hint="default"/>
      </w:rPr>
    </w:lvl>
    <w:lvl w:ilvl="5">
      <w:start w:val="1"/>
      <w:numFmt w:val="decimal"/>
      <w:lvlText w:val="%1.%2.%3.%4.%5.%6."/>
      <w:lvlJc w:val="left"/>
      <w:pPr>
        <w:tabs>
          <w:tab w:val="num" w:pos="4451"/>
        </w:tabs>
        <w:ind w:left="3227" w:hanging="936"/>
      </w:pPr>
      <w:rPr>
        <w:rFonts w:hint="default"/>
      </w:rPr>
    </w:lvl>
    <w:lvl w:ilvl="6">
      <w:start w:val="1"/>
      <w:numFmt w:val="decimal"/>
      <w:lvlText w:val="%1.%2.%3.%4.%5.%6.%7."/>
      <w:lvlJc w:val="left"/>
      <w:pPr>
        <w:tabs>
          <w:tab w:val="num" w:pos="5171"/>
        </w:tabs>
        <w:ind w:left="3731" w:hanging="1080"/>
      </w:pPr>
      <w:rPr>
        <w:rFonts w:hint="default"/>
      </w:rPr>
    </w:lvl>
    <w:lvl w:ilvl="7">
      <w:start w:val="1"/>
      <w:numFmt w:val="decimal"/>
      <w:lvlText w:val="%1.%2.%3.%4.%5.%6.%7.%8."/>
      <w:lvlJc w:val="left"/>
      <w:pPr>
        <w:tabs>
          <w:tab w:val="num" w:pos="5891"/>
        </w:tabs>
        <w:ind w:left="4235" w:hanging="1224"/>
      </w:pPr>
      <w:rPr>
        <w:rFonts w:hint="default"/>
      </w:rPr>
    </w:lvl>
    <w:lvl w:ilvl="8">
      <w:start w:val="1"/>
      <w:numFmt w:val="decimal"/>
      <w:lvlText w:val="%1.%2.%3.%4.%5.%6.%7.%8.%9."/>
      <w:lvlJc w:val="left"/>
      <w:pPr>
        <w:tabs>
          <w:tab w:val="num" w:pos="6251"/>
        </w:tabs>
        <w:ind w:left="4811" w:hanging="1440"/>
      </w:pPr>
      <w:rPr>
        <w:rFonts w:hint="default"/>
      </w:rPr>
    </w:lvl>
  </w:abstractNum>
  <w:abstractNum w:abstractNumId="4" w15:restartNumberingAfterBreak="0">
    <w:nsid w:val="46363991"/>
    <w:multiLevelType w:val="hybridMultilevel"/>
    <w:tmpl w:val="81669A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53510F5E"/>
    <w:multiLevelType w:val="hybridMultilevel"/>
    <w:tmpl w:val="5848362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 w15:restartNumberingAfterBreak="0">
    <w:nsid w:val="7EAE407E"/>
    <w:multiLevelType w:val="hybridMultilevel"/>
    <w:tmpl w:val="B0E8296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4"/>
  </w:num>
  <w:num w:numId="4">
    <w:abstractNumId w:val="5"/>
  </w:num>
  <w:num w:numId="5">
    <w:abstractNumId w:val="3"/>
  </w:num>
  <w:num w:numId="6">
    <w:abstractNumId w:val="1"/>
  </w:num>
  <w:num w:numId="7">
    <w:abstractNumId w:val="0"/>
  </w:num>
  <w:num w:numId="8">
    <w:abstractNumId w:val="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283"/>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A50"/>
    <w:rsid w:val="00001310"/>
    <w:rsid w:val="00007898"/>
    <w:rsid w:val="000216A2"/>
    <w:rsid w:val="0003179A"/>
    <w:rsid w:val="00032CC6"/>
    <w:rsid w:val="00053C96"/>
    <w:rsid w:val="00061841"/>
    <w:rsid w:val="00061C74"/>
    <w:rsid w:val="000713E8"/>
    <w:rsid w:val="000815A0"/>
    <w:rsid w:val="0008496F"/>
    <w:rsid w:val="00091B88"/>
    <w:rsid w:val="000A02DE"/>
    <w:rsid w:val="000A664E"/>
    <w:rsid w:val="000D66B9"/>
    <w:rsid w:val="000E720D"/>
    <w:rsid w:val="000F1077"/>
    <w:rsid w:val="000F27D3"/>
    <w:rsid w:val="001026AB"/>
    <w:rsid w:val="00104161"/>
    <w:rsid w:val="001247E2"/>
    <w:rsid w:val="00126446"/>
    <w:rsid w:val="0014712A"/>
    <w:rsid w:val="00150A10"/>
    <w:rsid w:val="00154C47"/>
    <w:rsid w:val="00175784"/>
    <w:rsid w:val="001868EB"/>
    <w:rsid w:val="00192569"/>
    <w:rsid w:val="001F0847"/>
    <w:rsid w:val="0020170D"/>
    <w:rsid w:val="00204369"/>
    <w:rsid w:val="00210740"/>
    <w:rsid w:val="00210D16"/>
    <w:rsid w:val="00235AA6"/>
    <w:rsid w:val="00237D4D"/>
    <w:rsid w:val="00240C0E"/>
    <w:rsid w:val="00241519"/>
    <w:rsid w:val="002436A1"/>
    <w:rsid w:val="002553A8"/>
    <w:rsid w:val="00270920"/>
    <w:rsid w:val="002766E5"/>
    <w:rsid w:val="00281DD5"/>
    <w:rsid w:val="00283922"/>
    <w:rsid w:val="002904C0"/>
    <w:rsid w:val="002A535A"/>
    <w:rsid w:val="0030529F"/>
    <w:rsid w:val="00314AC2"/>
    <w:rsid w:val="00315D9E"/>
    <w:rsid w:val="00330DE3"/>
    <w:rsid w:val="00336616"/>
    <w:rsid w:val="00343776"/>
    <w:rsid w:val="0034608A"/>
    <w:rsid w:val="003508E7"/>
    <w:rsid w:val="0036036D"/>
    <w:rsid w:val="00363C16"/>
    <w:rsid w:val="003746E0"/>
    <w:rsid w:val="00375714"/>
    <w:rsid w:val="00375B74"/>
    <w:rsid w:val="00391A44"/>
    <w:rsid w:val="003C49DD"/>
    <w:rsid w:val="003D004A"/>
    <w:rsid w:val="003D3DF1"/>
    <w:rsid w:val="003D4290"/>
    <w:rsid w:val="003E2569"/>
    <w:rsid w:val="003E63E8"/>
    <w:rsid w:val="003F0DF4"/>
    <w:rsid w:val="003F6D68"/>
    <w:rsid w:val="003F7808"/>
    <w:rsid w:val="00401C27"/>
    <w:rsid w:val="00413621"/>
    <w:rsid w:val="00427227"/>
    <w:rsid w:val="00451C2C"/>
    <w:rsid w:val="00460550"/>
    <w:rsid w:val="00472DFA"/>
    <w:rsid w:val="00482B41"/>
    <w:rsid w:val="00483D63"/>
    <w:rsid w:val="00486E20"/>
    <w:rsid w:val="004A2CAA"/>
    <w:rsid w:val="004A32B4"/>
    <w:rsid w:val="004B0BB1"/>
    <w:rsid w:val="004B247E"/>
    <w:rsid w:val="004B2742"/>
    <w:rsid w:val="004E05F9"/>
    <w:rsid w:val="004E589A"/>
    <w:rsid w:val="004E5ED9"/>
    <w:rsid w:val="00505EDD"/>
    <w:rsid w:val="00507A50"/>
    <w:rsid w:val="00510013"/>
    <w:rsid w:val="0051259F"/>
    <w:rsid w:val="00512C31"/>
    <w:rsid w:val="005163C3"/>
    <w:rsid w:val="00516764"/>
    <w:rsid w:val="00522221"/>
    <w:rsid w:val="005418B4"/>
    <w:rsid w:val="0054507F"/>
    <w:rsid w:val="005545DC"/>
    <w:rsid w:val="00567150"/>
    <w:rsid w:val="00570CBE"/>
    <w:rsid w:val="00575A45"/>
    <w:rsid w:val="005A4584"/>
    <w:rsid w:val="005B1264"/>
    <w:rsid w:val="005B3682"/>
    <w:rsid w:val="005C05B3"/>
    <w:rsid w:val="005E51E1"/>
    <w:rsid w:val="005E6C06"/>
    <w:rsid w:val="006056D3"/>
    <w:rsid w:val="00613C92"/>
    <w:rsid w:val="0062145E"/>
    <w:rsid w:val="00622F1D"/>
    <w:rsid w:val="006500D5"/>
    <w:rsid w:val="006552E8"/>
    <w:rsid w:val="00657E76"/>
    <w:rsid w:val="00667D13"/>
    <w:rsid w:val="00673FF0"/>
    <w:rsid w:val="0068389F"/>
    <w:rsid w:val="00692D57"/>
    <w:rsid w:val="006C1AB0"/>
    <w:rsid w:val="006C2F3E"/>
    <w:rsid w:val="006D5651"/>
    <w:rsid w:val="006D7061"/>
    <w:rsid w:val="006E5988"/>
    <w:rsid w:val="006F3AD2"/>
    <w:rsid w:val="00704120"/>
    <w:rsid w:val="00725669"/>
    <w:rsid w:val="00766488"/>
    <w:rsid w:val="00771830"/>
    <w:rsid w:val="00780216"/>
    <w:rsid w:val="00785162"/>
    <w:rsid w:val="007B2E29"/>
    <w:rsid w:val="007B3E8C"/>
    <w:rsid w:val="007B729A"/>
    <w:rsid w:val="007C70EB"/>
    <w:rsid w:val="007D0DCF"/>
    <w:rsid w:val="007D4DB0"/>
    <w:rsid w:val="0080009A"/>
    <w:rsid w:val="00807308"/>
    <w:rsid w:val="008223EF"/>
    <w:rsid w:val="00823725"/>
    <w:rsid w:val="00833657"/>
    <w:rsid w:val="00853FB3"/>
    <w:rsid w:val="00871DD1"/>
    <w:rsid w:val="00875BE9"/>
    <w:rsid w:val="008A02E8"/>
    <w:rsid w:val="008A602E"/>
    <w:rsid w:val="008A6A45"/>
    <w:rsid w:val="008C20CC"/>
    <w:rsid w:val="008C2294"/>
    <w:rsid w:val="008C26F8"/>
    <w:rsid w:val="008D0B5C"/>
    <w:rsid w:val="008D6686"/>
    <w:rsid w:val="008E0C06"/>
    <w:rsid w:val="008E2C07"/>
    <w:rsid w:val="008F2ABC"/>
    <w:rsid w:val="009067BD"/>
    <w:rsid w:val="00910552"/>
    <w:rsid w:val="0091237D"/>
    <w:rsid w:val="00922733"/>
    <w:rsid w:val="00923C2E"/>
    <w:rsid w:val="00940797"/>
    <w:rsid w:val="00956177"/>
    <w:rsid w:val="009642F5"/>
    <w:rsid w:val="00965096"/>
    <w:rsid w:val="009B4186"/>
    <w:rsid w:val="009C5D25"/>
    <w:rsid w:val="009C7893"/>
    <w:rsid w:val="009E29F8"/>
    <w:rsid w:val="009F5FAD"/>
    <w:rsid w:val="00A0012A"/>
    <w:rsid w:val="00A03EB1"/>
    <w:rsid w:val="00A10675"/>
    <w:rsid w:val="00A179A4"/>
    <w:rsid w:val="00A368F9"/>
    <w:rsid w:val="00A6109B"/>
    <w:rsid w:val="00A63C69"/>
    <w:rsid w:val="00A84EBF"/>
    <w:rsid w:val="00A96D7C"/>
    <w:rsid w:val="00AA42B7"/>
    <w:rsid w:val="00AA46AE"/>
    <w:rsid w:val="00AA5A76"/>
    <w:rsid w:val="00AB6716"/>
    <w:rsid w:val="00AC4ADA"/>
    <w:rsid w:val="00AC6EBB"/>
    <w:rsid w:val="00AC7233"/>
    <w:rsid w:val="00AC7561"/>
    <w:rsid w:val="00AC786D"/>
    <w:rsid w:val="00AD7BCF"/>
    <w:rsid w:val="00AE3A8E"/>
    <w:rsid w:val="00AF1733"/>
    <w:rsid w:val="00AF3CF2"/>
    <w:rsid w:val="00AF4F77"/>
    <w:rsid w:val="00B34BDC"/>
    <w:rsid w:val="00B42955"/>
    <w:rsid w:val="00B44928"/>
    <w:rsid w:val="00B5204C"/>
    <w:rsid w:val="00B564E9"/>
    <w:rsid w:val="00B61A83"/>
    <w:rsid w:val="00B7485A"/>
    <w:rsid w:val="00B77FDA"/>
    <w:rsid w:val="00B80EF5"/>
    <w:rsid w:val="00B911DA"/>
    <w:rsid w:val="00BF4F90"/>
    <w:rsid w:val="00BF5B9F"/>
    <w:rsid w:val="00BF6194"/>
    <w:rsid w:val="00C03285"/>
    <w:rsid w:val="00C144B0"/>
    <w:rsid w:val="00C230F1"/>
    <w:rsid w:val="00C25AC9"/>
    <w:rsid w:val="00C3730A"/>
    <w:rsid w:val="00C40018"/>
    <w:rsid w:val="00C44F9D"/>
    <w:rsid w:val="00C459AF"/>
    <w:rsid w:val="00C64512"/>
    <w:rsid w:val="00C64B4B"/>
    <w:rsid w:val="00C65732"/>
    <w:rsid w:val="00C70061"/>
    <w:rsid w:val="00C7243D"/>
    <w:rsid w:val="00C8623F"/>
    <w:rsid w:val="00C87554"/>
    <w:rsid w:val="00C950EA"/>
    <w:rsid w:val="00CA6322"/>
    <w:rsid w:val="00CB0765"/>
    <w:rsid w:val="00CB25D2"/>
    <w:rsid w:val="00CB7229"/>
    <w:rsid w:val="00CC0FE4"/>
    <w:rsid w:val="00CD1F7F"/>
    <w:rsid w:val="00CF0B90"/>
    <w:rsid w:val="00D07FD5"/>
    <w:rsid w:val="00D1680A"/>
    <w:rsid w:val="00D3245D"/>
    <w:rsid w:val="00D35ACA"/>
    <w:rsid w:val="00D60049"/>
    <w:rsid w:val="00D665B0"/>
    <w:rsid w:val="00D73511"/>
    <w:rsid w:val="00D74BCB"/>
    <w:rsid w:val="00D83B66"/>
    <w:rsid w:val="00DB0650"/>
    <w:rsid w:val="00DC1EB8"/>
    <w:rsid w:val="00DC30CA"/>
    <w:rsid w:val="00DE296A"/>
    <w:rsid w:val="00DF6EB6"/>
    <w:rsid w:val="00E13C3F"/>
    <w:rsid w:val="00E158DA"/>
    <w:rsid w:val="00E3260E"/>
    <w:rsid w:val="00E3445C"/>
    <w:rsid w:val="00E4390C"/>
    <w:rsid w:val="00E46F51"/>
    <w:rsid w:val="00E7579E"/>
    <w:rsid w:val="00E9690B"/>
    <w:rsid w:val="00EC09FA"/>
    <w:rsid w:val="00EF545E"/>
    <w:rsid w:val="00F01317"/>
    <w:rsid w:val="00F0148B"/>
    <w:rsid w:val="00F0320D"/>
    <w:rsid w:val="00F1149A"/>
    <w:rsid w:val="00F16A0D"/>
    <w:rsid w:val="00F2354D"/>
    <w:rsid w:val="00F434DE"/>
    <w:rsid w:val="00F45FD7"/>
    <w:rsid w:val="00F65F5E"/>
    <w:rsid w:val="00F7368E"/>
    <w:rsid w:val="00F85185"/>
    <w:rsid w:val="00FA5010"/>
    <w:rsid w:val="00FC2B49"/>
    <w:rsid w:val="00FD4991"/>
    <w:rsid w:val="00FD70A6"/>
    <w:rsid w:val="18F2C3D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2F19808"/>
  <w15:chartTrackingRefBased/>
  <w15:docId w15:val="{06320354-A775-4BBE-BA90-7B4506B12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0"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E4390C"/>
    <w:pPr>
      <w:spacing w:line="480" w:lineRule="auto"/>
      <w:jc w:val="both"/>
    </w:pPr>
    <w:rPr>
      <w:rFonts w:ascii="Times New Roman" w:hAnsi="Times New Roman"/>
    </w:rPr>
  </w:style>
  <w:style w:type="paragraph" w:styleId="Titolo1">
    <w:name w:val="heading 1"/>
    <w:basedOn w:val="Normale"/>
    <w:next w:val="Normale"/>
    <w:link w:val="Titolo1Carattere"/>
    <w:uiPriority w:val="9"/>
    <w:qFormat/>
    <w:rsid w:val="00343776"/>
    <w:pPr>
      <w:keepNext/>
      <w:keepLines/>
      <w:numPr>
        <w:numId w:val="6"/>
      </w:numPr>
      <w:spacing w:before="240" w:after="360" w:line="240" w:lineRule="auto"/>
      <w:ind w:left="431" w:hanging="431"/>
      <w:outlineLvl w:val="0"/>
    </w:pPr>
    <w:rPr>
      <w:rFonts w:eastAsiaTheme="majorEastAsia" w:cstheme="majorBidi"/>
      <w:b/>
      <w:sz w:val="24"/>
      <w:szCs w:val="36"/>
    </w:rPr>
  </w:style>
  <w:style w:type="paragraph" w:styleId="Titolo2">
    <w:name w:val="heading 2"/>
    <w:basedOn w:val="Normale"/>
    <w:next w:val="Normale"/>
    <w:link w:val="Titolo2Carattere"/>
    <w:uiPriority w:val="9"/>
    <w:unhideWhenUsed/>
    <w:qFormat/>
    <w:rsid w:val="00343776"/>
    <w:pPr>
      <w:keepNext/>
      <w:keepLines/>
      <w:numPr>
        <w:ilvl w:val="1"/>
        <w:numId w:val="6"/>
      </w:numPr>
      <w:spacing w:before="240" w:after="240"/>
      <w:ind w:left="578" w:hanging="578"/>
      <w:outlineLvl w:val="1"/>
    </w:pPr>
    <w:rPr>
      <w:rFonts w:eastAsiaTheme="majorEastAsia" w:cstheme="majorBidi"/>
      <w:b/>
      <w:sz w:val="24"/>
      <w:szCs w:val="32"/>
    </w:rPr>
  </w:style>
  <w:style w:type="paragraph" w:styleId="Titolo3">
    <w:name w:val="heading 3"/>
    <w:basedOn w:val="Normale"/>
    <w:next w:val="Normale"/>
    <w:link w:val="Titolo3Carattere"/>
    <w:uiPriority w:val="9"/>
    <w:unhideWhenUsed/>
    <w:qFormat/>
    <w:rsid w:val="000A02DE"/>
    <w:pPr>
      <w:keepNext/>
      <w:keepLines/>
      <w:numPr>
        <w:ilvl w:val="2"/>
        <w:numId w:val="6"/>
      </w:numPr>
      <w:spacing w:before="40" w:after="0" w:line="240" w:lineRule="auto"/>
      <w:outlineLvl w:val="2"/>
    </w:pPr>
    <w:rPr>
      <w:rFonts w:asciiTheme="majorHAnsi" w:eastAsiaTheme="majorEastAsia" w:hAnsiTheme="majorHAnsi" w:cstheme="majorBidi"/>
      <w:color w:val="A5A5A5" w:themeColor="accent1" w:themeShade="BF"/>
      <w:sz w:val="28"/>
      <w:szCs w:val="28"/>
    </w:rPr>
  </w:style>
  <w:style w:type="paragraph" w:styleId="Titolo4">
    <w:name w:val="heading 4"/>
    <w:basedOn w:val="Normale"/>
    <w:next w:val="Normale"/>
    <w:link w:val="Titolo4Carattere"/>
    <w:uiPriority w:val="9"/>
    <w:unhideWhenUsed/>
    <w:qFormat/>
    <w:rsid w:val="000A02DE"/>
    <w:pPr>
      <w:keepNext/>
      <w:keepLines/>
      <w:numPr>
        <w:ilvl w:val="3"/>
        <w:numId w:val="6"/>
      </w:numPr>
      <w:spacing w:before="40" w:after="0"/>
      <w:outlineLvl w:val="3"/>
    </w:pPr>
    <w:rPr>
      <w:rFonts w:asciiTheme="majorHAnsi" w:eastAsiaTheme="majorEastAsia" w:hAnsiTheme="majorHAnsi" w:cstheme="majorBidi"/>
      <w:color w:val="A5A5A5" w:themeColor="accent1" w:themeShade="BF"/>
      <w:sz w:val="24"/>
      <w:szCs w:val="24"/>
    </w:rPr>
  </w:style>
  <w:style w:type="paragraph" w:styleId="Titolo5">
    <w:name w:val="heading 5"/>
    <w:basedOn w:val="Normale"/>
    <w:next w:val="Normale"/>
    <w:link w:val="Titolo5Carattere"/>
    <w:uiPriority w:val="9"/>
    <w:unhideWhenUsed/>
    <w:qFormat/>
    <w:rsid w:val="000A02DE"/>
    <w:pPr>
      <w:keepNext/>
      <w:keepLines/>
      <w:numPr>
        <w:ilvl w:val="4"/>
        <w:numId w:val="6"/>
      </w:numPr>
      <w:spacing w:before="40" w:after="0"/>
      <w:outlineLvl w:val="4"/>
    </w:pPr>
    <w:rPr>
      <w:rFonts w:asciiTheme="majorHAnsi" w:eastAsiaTheme="majorEastAsia" w:hAnsiTheme="majorHAnsi" w:cstheme="majorBidi"/>
      <w:caps/>
      <w:color w:val="A5A5A5" w:themeColor="accent1" w:themeShade="BF"/>
    </w:rPr>
  </w:style>
  <w:style w:type="paragraph" w:styleId="Titolo6">
    <w:name w:val="heading 6"/>
    <w:basedOn w:val="Normale"/>
    <w:next w:val="Normale"/>
    <w:link w:val="Titolo6Carattere"/>
    <w:uiPriority w:val="9"/>
    <w:unhideWhenUsed/>
    <w:qFormat/>
    <w:rsid w:val="000A02DE"/>
    <w:pPr>
      <w:keepNext/>
      <w:keepLines/>
      <w:numPr>
        <w:ilvl w:val="5"/>
        <w:numId w:val="6"/>
      </w:numPr>
      <w:spacing w:before="40" w:after="0"/>
      <w:outlineLvl w:val="5"/>
    </w:pPr>
    <w:rPr>
      <w:rFonts w:asciiTheme="majorHAnsi" w:eastAsiaTheme="majorEastAsia" w:hAnsiTheme="majorHAnsi" w:cstheme="majorBidi"/>
      <w:i/>
      <w:iCs/>
      <w:caps/>
      <w:color w:val="6E6E6E" w:themeColor="accent1" w:themeShade="80"/>
    </w:rPr>
  </w:style>
  <w:style w:type="paragraph" w:styleId="Titolo7">
    <w:name w:val="heading 7"/>
    <w:basedOn w:val="Normale"/>
    <w:next w:val="Normale"/>
    <w:link w:val="Titolo7Carattere"/>
    <w:uiPriority w:val="9"/>
    <w:unhideWhenUsed/>
    <w:qFormat/>
    <w:rsid w:val="000A02DE"/>
    <w:pPr>
      <w:keepNext/>
      <w:keepLines/>
      <w:numPr>
        <w:ilvl w:val="6"/>
        <w:numId w:val="6"/>
      </w:numPr>
      <w:spacing w:before="40" w:after="0"/>
      <w:outlineLvl w:val="6"/>
    </w:pPr>
    <w:rPr>
      <w:rFonts w:asciiTheme="majorHAnsi" w:eastAsiaTheme="majorEastAsia" w:hAnsiTheme="majorHAnsi" w:cstheme="majorBidi"/>
      <w:b/>
      <w:bCs/>
      <w:color w:val="6E6E6E" w:themeColor="accent1" w:themeShade="80"/>
    </w:rPr>
  </w:style>
  <w:style w:type="paragraph" w:styleId="Titolo8">
    <w:name w:val="heading 8"/>
    <w:basedOn w:val="Normale"/>
    <w:next w:val="Normale"/>
    <w:link w:val="Titolo8Carattere"/>
    <w:uiPriority w:val="9"/>
    <w:unhideWhenUsed/>
    <w:qFormat/>
    <w:rsid w:val="000A02DE"/>
    <w:pPr>
      <w:keepNext/>
      <w:keepLines/>
      <w:numPr>
        <w:ilvl w:val="7"/>
        <w:numId w:val="6"/>
      </w:numPr>
      <w:spacing w:before="40" w:after="0"/>
      <w:outlineLvl w:val="7"/>
    </w:pPr>
    <w:rPr>
      <w:rFonts w:asciiTheme="majorHAnsi" w:eastAsiaTheme="majorEastAsia" w:hAnsiTheme="majorHAnsi" w:cstheme="majorBidi"/>
      <w:b/>
      <w:bCs/>
      <w:i/>
      <w:iCs/>
      <w:color w:val="6E6E6E" w:themeColor="accent1" w:themeShade="80"/>
    </w:rPr>
  </w:style>
  <w:style w:type="paragraph" w:styleId="Titolo9">
    <w:name w:val="heading 9"/>
    <w:basedOn w:val="Normale"/>
    <w:next w:val="Normale"/>
    <w:link w:val="Titolo9Carattere"/>
    <w:uiPriority w:val="9"/>
    <w:unhideWhenUsed/>
    <w:qFormat/>
    <w:rsid w:val="000A02DE"/>
    <w:pPr>
      <w:keepNext/>
      <w:keepLines/>
      <w:numPr>
        <w:ilvl w:val="8"/>
        <w:numId w:val="6"/>
      </w:numPr>
      <w:spacing w:before="40" w:after="0"/>
      <w:outlineLvl w:val="8"/>
    </w:pPr>
    <w:rPr>
      <w:rFonts w:asciiTheme="majorHAnsi" w:eastAsiaTheme="majorEastAsia" w:hAnsiTheme="majorHAnsi" w:cstheme="majorBidi"/>
      <w:i/>
      <w:iCs/>
      <w:color w:val="6E6E6E" w:themeColor="accent1" w:themeShade="8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itoloArticolo">
    <w:name w:val="TitoloArticolo"/>
    <w:basedOn w:val="Titolo1"/>
    <w:rsid w:val="00DB182B"/>
    <w:rPr>
      <w:i/>
    </w:rPr>
  </w:style>
  <w:style w:type="paragraph" w:styleId="Puntoelenco">
    <w:name w:val="List Bullet"/>
    <w:basedOn w:val="Normale"/>
    <w:autoRedefine/>
    <w:rsid w:val="00C24E11"/>
    <w:pPr>
      <w:widowControl w:val="0"/>
      <w:numPr>
        <w:numId w:val="1"/>
      </w:numPr>
      <w:tabs>
        <w:tab w:val="clear" w:pos="643"/>
        <w:tab w:val="num" w:pos="284"/>
      </w:tabs>
      <w:ind w:left="284"/>
    </w:pPr>
    <w:rPr>
      <w:sz w:val="24"/>
    </w:rPr>
  </w:style>
  <w:style w:type="paragraph" w:customStyle="1" w:styleId="SottoParagrafo">
    <w:name w:val="SottoParagrafo"/>
    <w:basedOn w:val="Normale"/>
    <w:next w:val="Testo"/>
    <w:rsid w:val="004A0485"/>
    <w:pPr>
      <w:keepNext/>
      <w:widowControl w:val="0"/>
      <w:numPr>
        <w:ilvl w:val="1"/>
        <w:numId w:val="2"/>
      </w:numPr>
      <w:spacing w:before="240" w:after="120"/>
      <w:jc w:val="left"/>
      <w:outlineLvl w:val="1"/>
    </w:pPr>
    <w:rPr>
      <w:b/>
    </w:rPr>
  </w:style>
  <w:style w:type="paragraph" w:customStyle="1" w:styleId="SottoSottoParagrafo">
    <w:name w:val="SottoSottoParagrafo"/>
    <w:basedOn w:val="Normale"/>
    <w:next w:val="Testo"/>
    <w:rsid w:val="004A0485"/>
    <w:pPr>
      <w:widowControl w:val="0"/>
      <w:numPr>
        <w:ilvl w:val="2"/>
        <w:numId w:val="2"/>
      </w:numPr>
      <w:tabs>
        <w:tab w:val="left" w:pos="1134"/>
      </w:tabs>
      <w:spacing w:before="120" w:after="120"/>
      <w:jc w:val="left"/>
      <w:outlineLvl w:val="2"/>
    </w:pPr>
    <w:rPr>
      <w:i/>
      <w:u w:val="single"/>
    </w:rPr>
  </w:style>
  <w:style w:type="paragraph" w:styleId="Sommario1">
    <w:name w:val="toc 1"/>
    <w:basedOn w:val="Normale"/>
    <w:next w:val="Normale"/>
    <w:autoRedefine/>
    <w:semiHidden/>
    <w:pPr>
      <w:spacing w:before="360"/>
    </w:pPr>
    <w:rPr>
      <w:rFonts w:ascii="Arial" w:hAnsi="Arial" w:cs="Arial"/>
      <w:b/>
      <w:bCs/>
      <w:caps/>
      <w:sz w:val="24"/>
      <w:szCs w:val="24"/>
    </w:rPr>
  </w:style>
  <w:style w:type="paragraph" w:styleId="Sommario2">
    <w:name w:val="toc 2"/>
    <w:basedOn w:val="Normale"/>
    <w:next w:val="Normale"/>
    <w:autoRedefine/>
    <w:semiHidden/>
    <w:rsid w:val="009F1644"/>
    <w:pPr>
      <w:tabs>
        <w:tab w:val="left" w:pos="1000"/>
        <w:tab w:val="right" w:leader="dot" w:pos="8488"/>
      </w:tabs>
      <w:spacing w:before="240"/>
    </w:pPr>
    <w:rPr>
      <w:b/>
      <w:bCs/>
    </w:rPr>
  </w:style>
  <w:style w:type="paragraph" w:styleId="Didascalia">
    <w:name w:val="caption"/>
    <w:basedOn w:val="Normale"/>
    <w:next w:val="Normale"/>
    <w:link w:val="DidascaliaCarattere"/>
    <w:uiPriority w:val="35"/>
    <w:unhideWhenUsed/>
    <w:qFormat/>
    <w:rsid w:val="008D0B5C"/>
    <w:pPr>
      <w:spacing w:after="360" w:line="240" w:lineRule="auto"/>
      <w:jc w:val="center"/>
    </w:pPr>
    <w:rPr>
      <w:bCs/>
      <w:i/>
      <w:color w:val="000000" w:themeColor="text2"/>
    </w:rPr>
  </w:style>
  <w:style w:type="paragraph" w:customStyle="1" w:styleId="Corpodeltesto">
    <w:name w:val="Corpo del testo"/>
    <w:basedOn w:val="Normale"/>
    <w:rsid w:val="00397DBB"/>
    <w:pPr>
      <w:spacing w:after="120"/>
    </w:pPr>
  </w:style>
  <w:style w:type="paragraph" w:styleId="Pidipagina">
    <w:name w:val="footer"/>
    <w:basedOn w:val="Normale"/>
    <w:rsid w:val="004A0485"/>
    <w:pPr>
      <w:tabs>
        <w:tab w:val="center" w:pos="4819"/>
        <w:tab w:val="right" w:pos="9071"/>
      </w:tabs>
    </w:pPr>
    <w:rPr>
      <w:rFonts w:ascii="Times" w:hAnsi="Times"/>
      <w:i/>
      <w:noProof/>
      <w:sz w:val="20"/>
    </w:rPr>
  </w:style>
  <w:style w:type="paragraph" w:styleId="Intestazione">
    <w:name w:val="header"/>
    <w:basedOn w:val="Normale"/>
    <w:rsid w:val="004A0485"/>
    <w:pPr>
      <w:tabs>
        <w:tab w:val="right" w:pos="9356"/>
      </w:tabs>
    </w:pPr>
    <w:rPr>
      <w:sz w:val="20"/>
    </w:rPr>
  </w:style>
  <w:style w:type="character" w:styleId="Numeropagina">
    <w:name w:val="page number"/>
    <w:basedOn w:val="Carpredefinitoparagrafo"/>
  </w:style>
  <w:style w:type="paragraph" w:styleId="Corpodeltesto2">
    <w:name w:val="Body Text 2"/>
    <w:basedOn w:val="Normale"/>
    <w:pPr>
      <w:jc w:val="center"/>
    </w:pPr>
    <w:rPr>
      <w:b/>
      <w:sz w:val="32"/>
    </w:rPr>
  </w:style>
  <w:style w:type="paragraph" w:styleId="Corpodeltesto3">
    <w:name w:val="Body Text 3"/>
    <w:basedOn w:val="Normale"/>
    <w:pPr>
      <w:pageBreakBefore/>
      <w:widowControl w:val="0"/>
      <w:jc w:val="center"/>
    </w:pPr>
    <w:rPr>
      <w:b/>
      <w:sz w:val="36"/>
    </w:rPr>
  </w:style>
  <w:style w:type="paragraph" w:customStyle="1" w:styleId="Testo">
    <w:name w:val="Testo"/>
    <w:rsid w:val="004A0485"/>
    <w:pPr>
      <w:ind w:right="11" w:firstLine="113"/>
      <w:jc w:val="both"/>
    </w:pPr>
    <w:rPr>
      <w:lang w:bidi="he-IL"/>
    </w:rPr>
  </w:style>
  <w:style w:type="paragraph" w:styleId="Sommario3">
    <w:name w:val="toc 3"/>
    <w:basedOn w:val="Normale"/>
    <w:next w:val="Normale"/>
    <w:autoRedefine/>
    <w:semiHidden/>
    <w:pPr>
      <w:ind w:left="200"/>
    </w:pPr>
  </w:style>
  <w:style w:type="table" w:styleId="Grigliatabella">
    <w:name w:val="Table Grid"/>
    <w:basedOn w:val="Tabellanormale"/>
    <w:rsid w:val="003C39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semiHidden/>
    <w:rsid w:val="00282E92"/>
    <w:rPr>
      <w:rFonts w:ascii="Tahoma" w:hAnsi="Tahoma" w:cs="Tahoma"/>
      <w:sz w:val="16"/>
      <w:szCs w:val="16"/>
    </w:rPr>
  </w:style>
  <w:style w:type="character" w:styleId="Rimandocommento">
    <w:name w:val="annotation reference"/>
    <w:basedOn w:val="Carpredefinitoparagrafo"/>
    <w:uiPriority w:val="99"/>
    <w:semiHidden/>
    <w:rsid w:val="00AC16C9"/>
    <w:rPr>
      <w:sz w:val="16"/>
      <w:szCs w:val="16"/>
    </w:rPr>
  </w:style>
  <w:style w:type="paragraph" w:styleId="Testocommento">
    <w:name w:val="annotation text"/>
    <w:basedOn w:val="Normale"/>
    <w:link w:val="TestocommentoCarattere"/>
    <w:uiPriority w:val="99"/>
    <w:semiHidden/>
    <w:rsid w:val="00AC16C9"/>
  </w:style>
  <w:style w:type="paragraph" w:styleId="Soggettocommento">
    <w:name w:val="annotation subject"/>
    <w:basedOn w:val="Testocommento"/>
    <w:next w:val="Testocommento"/>
    <w:semiHidden/>
    <w:rsid w:val="00AC16C9"/>
    <w:rPr>
      <w:b/>
      <w:bCs/>
    </w:rPr>
  </w:style>
  <w:style w:type="character" w:styleId="Collegamentoipertestuale">
    <w:name w:val="Hyperlink"/>
    <w:basedOn w:val="Carpredefinitoparagrafo"/>
    <w:rPr>
      <w:color w:val="0000FF"/>
      <w:u w:val="single"/>
    </w:rPr>
  </w:style>
  <w:style w:type="paragraph" w:styleId="Sommario4">
    <w:name w:val="toc 4"/>
    <w:basedOn w:val="Normale"/>
    <w:next w:val="Normale"/>
    <w:autoRedefine/>
    <w:semiHidden/>
    <w:rsid w:val="00FE4B92"/>
    <w:pPr>
      <w:ind w:left="400"/>
    </w:pPr>
  </w:style>
  <w:style w:type="paragraph" w:styleId="Sommario5">
    <w:name w:val="toc 5"/>
    <w:basedOn w:val="Normale"/>
    <w:next w:val="Normale"/>
    <w:autoRedefine/>
    <w:semiHidden/>
    <w:rsid w:val="00FE4B92"/>
    <w:pPr>
      <w:ind w:left="600"/>
    </w:pPr>
  </w:style>
  <w:style w:type="paragraph" w:styleId="Sommario6">
    <w:name w:val="toc 6"/>
    <w:basedOn w:val="Normale"/>
    <w:next w:val="Normale"/>
    <w:autoRedefine/>
    <w:semiHidden/>
    <w:rsid w:val="00FE4B92"/>
    <w:pPr>
      <w:ind w:left="800"/>
    </w:pPr>
  </w:style>
  <w:style w:type="paragraph" w:styleId="Sommario7">
    <w:name w:val="toc 7"/>
    <w:basedOn w:val="Normale"/>
    <w:next w:val="Normale"/>
    <w:autoRedefine/>
    <w:semiHidden/>
    <w:rsid w:val="00FE4B92"/>
    <w:pPr>
      <w:ind w:left="1000"/>
    </w:pPr>
  </w:style>
  <w:style w:type="paragraph" w:styleId="Sommario8">
    <w:name w:val="toc 8"/>
    <w:basedOn w:val="Normale"/>
    <w:next w:val="Normale"/>
    <w:autoRedefine/>
    <w:semiHidden/>
    <w:rsid w:val="00FE4B92"/>
    <w:pPr>
      <w:ind w:left="1200"/>
    </w:pPr>
  </w:style>
  <w:style w:type="paragraph" w:styleId="Sommario9">
    <w:name w:val="toc 9"/>
    <w:basedOn w:val="Normale"/>
    <w:next w:val="Normale"/>
    <w:autoRedefine/>
    <w:semiHidden/>
    <w:rsid w:val="00FE4B92"/>
    <w:pPr>
      <w:ind w:left="1400"/>
    </w:pPr>
  </w:style>
  <w:style w:type="character" w:styleId="Collegamentovisitato">
    <w:name w:val="FollowedHyperlink"/>
    <w:basedOn w:val="Carpredefinitoparagrafo"/>
    <w:rsid w:val="00B33D7B"/>
    <w:rPr>
      <w:color w:val="800080"/>
      <w:u w:val="single"/>
    </w:rPr>
  </w:style>
  <w:style w:type="paragraph" w:styleId="Primorientrocorpodeltesto">
    <w:name w:val="Body Text First Indent"/>
    <w:aliases w:val="Primo rientro corpo del testo Carattere Carattere Carattere Carattere Carattere Carattere"/>
    <w:basedOn w:val="Corpodeltesto"/>
    <w:link w:val="PrimorientrocorpodeltestoCarattere"/>
    <w:rsid w:val="00397DBB"/>
    <w:pPr>
      <w:ind w:firstLine="210"/>
    </w:pPr>
  </w:style>
  <w:style w:type="character" w:customStyle="1" w:styleId="PrimorientrocorpodeltestoCarattereCarattereCarattereCarattereCarattereCarattereCarattereCarattere">
    <w:name w:val="Primo rientro corpo del testo Carattere Carattere Carattere Carattere Carattere Carattere Carattere Carattere"/>
    <w:basedOn w:val="Carpredefinitoparagrafo"/>
    <w:link w:val="Note"/>
    <w:rsid w:val="00397DBB"/>
    <w:rPr>
      <w:sz w:val="24"/>
      <w:lang w:val="it-IT" w:eastAsia="it-IT" w:bidi="he-IL"/>
    </w:rPr>
  </w:style>
  <w:style w:type="character" w:customStyle="1" w:styleId="CorpodeltestoCarattereCarattereCarattere">
    <w:name w:val="Corpo del testo Carattere Carattere Carattere"/>
    <w:basedOn w:val="Carpredefinitoparagrafo"/>
    <w:rsid w:val="00397DBB"/>
    <w:rPr>
      <w:sz w:val="24"/>
      <w:lang w:val="it-IT" w:eastAsia="it-IT" w:bidi="he-IL"/>
    </w:rPr>
  </w:style>
  <w:style w:type="paragraph" w:styleId="Testonotaapidipagina">
    <w:name w:val="footnote text"/>
    <w:basedOn w:val="Normale"/>
    <w:semiHidden/>
    <w:rsid w:val="00004D5E"/>
    <w:rPr>
      <w:szCs w:val="24"/>
    </w:rPr>
  </w:style>
  <w:style w:type="paragraph" w:styleId="Bibliografia">
    <w:name w:val="Bibliography"/>
    <w:basedOn w:val="Normale"/>
    <w:rsid w:val="004A0485"/>
    <w:pPr>
      <w:ind w:left="426" w:hanging="426"/>
    </w:pPr>
    <w:rPr>
      <w:rFonts w:ascii="Arial" w:hAnsi="Arial"/>
    </w:rPr>
  </w:style>
  <w:style w:type="paragraph" w:customStyle="1" w:styleId="Equazione">
    <w:name w:val="Equazione"/>
    <w:basedOn w:val="Didascalia"/>
    <w:link w:val="EquazioneCarattere"/>
    <w:rsid w:val="004A0485"/>
    <w:pPr>
      <w:tabs>
        <w:tab w:val="right" w:pos="3969"/>
      </w:tabs>
      <w:jc w:val="both"/>
    </w:pPr>
    <w:rPr>
      <w:b/>
      <w:i w:val="0"/>
    </w:rPr>
  </w:style>
  <w:style w:type="paragraph" w:customStyle="1" w:styleId="Testoabstract">
    <w:name w:val="Testo abstract"/>
    <w:basedOn w:val="Normale"/>
    <w:rsid w:val="004A0485"/>
    <w:rPr>
      <w:i/>
    </w:rPr>
  </w:style>
  <w:style w:type="paragraph" w:customStyle="1" w:styleId="Paragrafo">
    <w:name w:val="Paragrafo"/>
    <w:basedOn w:val="Titolo5"/>
    <w:next w:val="Testo"/>
    <w:rsid w:val="004A0485"/>
    <w:pPr>
      <w:tabs>
        <w:tab w:val="left" w:pos="397"/>
      </w:tabs>
      <w:spacing w:before="240"/>
      <w:outlineLvl w:val="0"/>
    </w:pPr>
  </w:style>
  <w:style w:type="paragraph" w:customStyle="1" w:styleId="Autori">
    <w:name w:val="Autori"/>
    <w:basedOn w:val="Titolo2"/>
    <w:rsid w:val="00004D5E"/>
  </w:style>
  <w:style w:type="paragraph" w:customStyle="1" w:styleId="NoteAutori">
    <w:name w:val="NoteAutori"/>
    <w:basedOn w:val="Normale"/>
    <w:rsid w:val="00DB182B"/>
    <w:rPr>
      <w:i/>
      <w:sz w:val="20"/>
    </w:rPr>
  </w:style>
  <w:style w:type="paragraph" w:customStyle="1" w:styleId="ParagrafoAbstract">
    <w:name w:val="ParagrafoAbstract"/>
    <w:basedOn w:val="Titolo3"/>
    <w:next w:val="Testo"/>
    <w:rsid w:val="004A0485"/>
    <w:rPr>
      <w:sz w:val="22"/>
    </w:rPr>
  </w:style>
  <w:style w:type="character" w:styleId="Rimandonotaapidipagina">
    <w:name w:val="footnote reference"/>
    <w:basedOn w:val="Carpredefinitoparagrafo"/>
    <w:semiHidden/>
    <w:rsid w:val="00004D5E"/>
    <w:rPr>
      <w:vertAlign w:val="superscript"/>
    </w:rPr>
  </w:style>
  <w:style w:type="paragraph" w:customStyle="1" w:styleId="Note">
    <w:name w:val="Note"/>
    <w:basedOn w:val="Testonotaapidipagina"/>
    <w:link w:val="PrimorientrocorpodeltestoCarattereCarattereCarattereCarattereCarattereCarattereCarattereCarattere"/>
    <w:rsid w:val="004A0485"/>
    <w:rPr>
      <w:i/>
      <w:sz w:val="20"/>
    </w:rPr>
  </w:style>
  <w:style w:type="paragraph" w:customStyle="1" w:styleId="PrimorientrocorpodeltestoCarattere">
    <w:name w:val="Primo rientro corpo del testo Carattere"/>
    <w:aliases w:val="Primo rientro corpo del testo Carattere Carattere Carattere Carattere Carattere Carattere Carattere"/>
    <w:basedOn w:val="Rientrocorpodeltesto"/>
    <w:link w:val="Primorientrocorpodeltesto"/>
    <w:rsid w:val="007D3667"/>
    <w:pPr>
      <w:widowControl w:val="0"/>
      <w:suppressAutoHyphens/>
      <w:overflowPunct w:val="0"/>
      <w:autoSpaceDE w:val="0"/>
      <w:autoSpaceDN w:val="0"/>
      <w:adjustRightInd w:val="0"/>
      <w:spacing w:after="0" w:line="288" w:lineRule="auto"/>
      <w:ind w:left="0"/>
      <w:jc w:val="left"/>
      <w:textAlignment w:val="baseline"/>
    </w:pPr>
    <w:rPr>
      <w:rFonts w:ascii="Verdana" w:hAnsi="Verdana"/>
      <w:color w:val="000000"/>
      <w:sz w:val="20"/>
      <w:lang w:eastAsia="en-US"/>
    </w:rPr>
  </w:style>
  <w:style w:type="paragraph" w:styleId="Rientrocorpodeltesto">
    <w:name w:val="Body Text Indent"/>
    <w:basedOn w:val="Normale"/>
    <w:rsid w:val="007D3667"/>
    <w:pPr>
      <w:spacing w:after="120"/>
      <w:ind w:left="283"/>
    </w:pPr>
  </w:style>
  <w:style w:type="paragraph" w:styleId="Paragrafoelenco">
    <w:name w:val="List Paragraph"/>
    <w:basedOn w:val="Normale"/>
    <w:uiPriority w:val="34"/>
    <w:qFormat/>
    <w:rsid w:val="00512C31"/>
    <w:pPr>
      <w:ind w:left="720"/>
      <w:contextualSpacing/>
    </w:pPr>
  </w:style>
  <w:style w:type="character" w:customStyle="1" w:styleId="TestocommentoCarattere">
    <w:name w:val="Testo commento Carattere"/>
    <w:link w:val="Testocommento"/>
    <w:uiPriority w:val="99"/>
    <w:semiHidden/>
    <w:rsid w:val="00512C31"/>
    <w:rPr>
      <w:sz w:val="24"/>
      <w:lang w:bidi="he-IL"/>
    </w:rPr>
  </w:style>
  <w:style w:type="paragraph" w:styleId="NormaleWeb">
    <w:name w:val="Normal (Web)"/>
    <w:basedOn w:val="Normale"/>
    <w:uiPriority w:val="99"/>
    <w:unhideWhenUsed/>
    <w:rsid w:val="008A02E8"/>
    <w:pPr>
      <w:spacing w:before="100" w:beforeAutospacing="1" w:after="100" w:afterAutospacing="1"/>
      <w:jc w:val="left"/>
    </w:pPr>
    <w:rPr>
      <w:sz w:val="24"/>
      <w:szCs w:val="24"/>
    </w:rPr>
  </w:style>
  <w:style w:type="paragraph" w:styleId="Revisione">
    <w:name w:val="Revision"/>
    <w:hidden/>
    <w:uiPriority w:val="99"/>
    <w:semiHidden/>
    <w:rsid w:val="00E3260E"/>
    <w:rPr>
      <w:lang w:val="en-GB" w:bidi="he-IL"/>
    </w:rPr>
  </w:style>
  <w:style w:type="character" w:customStyle="1" w:styleId="Titolo1Carattere">
    <w:name w:val="Titolo 1 Carattere"/>
    <w:basedOn w:val="Carpredefinitoparagrafo"/>
    <w:link w:val="Titolo1"/>
    <w:uiPriority w:val="9"/>
    <w:rsid w:val="00343776"/>
    <w:rPr>
      <w:rFonts w:ascii="Times New Roman" w:eastAsiaTheme="majorEastAsia" w:hAnsi="Times New Roman" w:cstheme="majorBidi"/>
      <w:b/>
      <w:sz w:val="24"/>
      <w:szCs w:val="36"/>
    </w:rPr>
  </w:style>
  <w:style w:type="character" w:customStyle="1" w:styleId="Titolo2Carattere">
    <w:name w:val="Titolo 2 Carattere"/>
    <w:basedOn w:val="Carpredefinitoparagrafo"/>
    <w:link w:val="Titolo2"/>
    <w:uiPriority w:val="9"/>
    <w:rsid w:val="00343776"/>
    <w:rPr>
      <w:rFonts w:ascii="Times New Roman" w:eastAsiaTheme="majorEastAsia" w:hAnsi="Times New Roman" w:cstheme="majorBidi"/>
      <w:b/>
      <w:sz w:val="24"/>
      <w:szCs w:val="32"/>
    </w:rPr>
  </w:style>
  <w:style w:type="character" w:customStyle="1" w:styleId="Titolo3Carattere">
    <w:name w:val="Titolo 3 Carattere"/>
    <w:basedOn w:val="Carpredefinitoparagrafo"/>
    <w:link w:val="Titolo3"/>
    <w:uiPriority w:val="9"/>
    <w:rsid w:val="000A02DE"/>
    <w:rPr>
      <w:rFonts w:asciiTheme="majorHAnsi" w:eastAsiaTheme="majorEastAsia" w:hAnsiTheme="majorHAnsi" w:cstheme="majorBidi"/>
      <w:color w:val="A5A5A5" w:themeColor="accent1" w:themeShade="BF"/>
      <w:sz w:val="28"/>
      <w:szCs w:val="28"/>
    </w:rPr>
  </w:style>
  <w:style w:type="character" w:customStyle="1" w:styleId="Titolo4Carattere">
    <w:name w:val="Titolo 4 Carattere"/>
    <w:basedOn w:val="Carpredefinitoparagrafo"/>
    <w:link w:val="Titolo4"/>
    <w:uiPriority w:val="9"/>
    <w:rsid w:val="000A02DE"/>
    <w:rPr>
      <w:rFonts w:asciiTheme="majorHAnsi" w:eastAsiaTheme="majorEastAsia" w:hAnsiTheme="majorHAnsi" w:cstheme="majorBidi"/>
      <w:color w:val="A5A5A5" w:themeColor="accent1" w:themeShade="BF"/>
      <w:sz w:val="24"/>
      <w:szCs w:val="24"/>
    </w:rPr>
  </w:style>
  <w:style w:type="character" w:customStyle="1" w:styleId="Titolo5Carattere">
    <w:name w:val="Titolo 5 Carattere"/>
    <w:basedOn w:val="Carpredefinitoparagrafo"/>
    <w:link w:val="Titolo5"/>
    <w:uiPriority w:val="9"/>
    <w:rsid w:val="000A02DE"/>
    <w:rPr>
      <w:rFonts w:asciiTheme="majorHAnsi" w:eastAsiaTheme="majorEastAsia" w:hAnsiTheme="majorHAnsi" w:cstheme="majorBidi"/>
      <w:caps/>
      <w:color w:val="A5A5A5" w:themeColor="accent1" w:themeShade="BF"/>
    </w:rPr>
  </w:style>
  <w:style w:type="character" w:customStyle="1" w:styleId="Titolo6Carattere">
    <w:name w:val="Titolo 6 Carattere"/>
    <w:basedOn w:val="Carpredefinitoparagrafo"/>
    <w:link w:val="Titolo6"/>
    <w:uiPriority w:val="9"/>
    <w:rsid w:val="000A02DE"/>
    <w:rPr>
      <w:rFonts w:asciiTheme="majorHAnsi" w:eastAsiaTheme="majorEastAsia" w:hAnsiTheme="majorHAnsi" w:cstheme="majorBidi"/>
      <w:i/>
      <w:iCs/>
      <w:caps/>
      <w:color w:val="6E6E6E" w:themeColor="accent1" w:themeShade="80"/>
    </w:rPr>
  </w:style>
  <w:style w:type="character" w:customStyle="1" w:styleId="Titolo7Carattere">
    <w:name w:val="Titolo 7 Carattere"/>
    <w:basedOn w:val="Carpredefinitoparagrafo"/>
    <w:link w:val="Titolo7"/>
    <w:uiPriority w:val="9"/>
    <w:rsid w:val="000A02DE"/>
    <w:rPr>
      <w:rFonts w:asciiTheme="majorHAnsi" w:eastAsiaTheme="majorEastAsia" w:hAnsiTheme="majorHAnsi" w:cstheme="majorBidi"/>
      <w:b/>
      <w:bCs/>
      <w:color w:val="6E6E6E" w:themeColor="accent1" w:themeShade="80"/>
    </w:rPr>
  </w:style>
  <w:style w:type="character" w:customStyle="1" w:styleId="Titolo8Carattere">
    <w:name w:val="Titolo 8 Carattere"/>
    <w:basedOn w:val="Carpredefinitoparagrafo"/>
    <w:link w:val="Titolo8"/>
    <w:uiPriority w:val="9"/>
    <w:rsid w:val="000A02DE"/>
    <w:rPr>
      <w:rFonts w:asciiTheme="majorHAnsi" w:eastAsiaTheme="majorEastAsia" w:hAnsiTheme="majorHAnsi" w:cstheme="majorBidi"/>
      <w:b/>
      <w:bCs/>
      <w:i/>
      <w:iCs/>
      <w:color w:val="6E6E6E" w:themeColor="accent1" w:themeShade="80"/>
    </w:rPr>
  </w:style>
  <w:style w:type="character" w:customStyle="1" w:styleId="Titolo9Carattere">
    <w:name w:val="Titolo 9 Carattere"/>
    <w:basedOn w:val="Carpredefinitoparagrafo"/>
    <w:link w:val="Titolo9"/>
    <w:uiPriority w:val="9"/>
    <w:rsid w:val="000A02DE"/>
    <w:rPr>
      <w:rFonts w:asciiTheme="majorHAnsi" w:eastAsiaTheme="majorEastAsia" w:hAnsiTheme="majorHAnsi" w:cstheme="majorBidi"/>
      <w:i/>
      <w:iCs/>
      <w:color w:val="6E6E6E" w:themeColor="accent1" w:themeShade="80"/>
    </w:rPr>
  </w:style>
  <w:style w:type="paragraph" w:styleId="Titolo">
    <w:name w:val="Title"/>
    <w:basedOn w:val="Normale"/>
    <w:next w:val="Normale"/>
    <w:link w:val="TitoloCarattere"/>
    <w:uiPriority w:val="10"/>
    <w:qFormat/>
    <w:rsid w:val="000A02DE"/>
    <w:pPr>
      <w:spacing w:after="0" w:line="204" w:lineRule="auto"/>
      <w:contextualSpacing/>
    </w:pPr>
    <w:rPr>
      <w:rFonts w:eastAsiaTheme="majorEastAsia" w:cstheme="majorBidi"/>
      <w:color w:val="000000" w:themeColor="text2"/>
      <w:spacing w:val="-15"/>
      <w:sz w:val="36"/>
      <w:szCs w:val="72"/>
    </w:rPr>
  </w:style>
  <w:style w:type="character" w:customStyle="1" w:styleId="TitoloCarattere">
    <w:name w:val="Titolo Carattere"/>
    <w:basedOn w:val="Carpredefinitoparagrafo"/>
    <w:link w:val="Titolo"/>
    <w:uiPriority w:val="10"/>
    <w:rsid w:val="000A02DE"/>
    <w:rPr>
      <w:rFonts w:ascii="Times New Roman" w:eastAsiaTheme="majorEastAsia" w:hAnsi="Times New Roman" w:cstheme="majorBidi"/>
      <w:color w:val="000000" w:themeColor="text2"/>
      <w:spacing w:val="-15"/>
      <w:sz w:val="36"/>
      <w:szCs w:val="72"/>
    </w:rPr>
  </w:style>
  <w:style w:type="paragraph" w:styleId="Sottotitolo">
    <w:name w:val="Subtitle"/>
    <w:basedOn w:val="Normale"/>
    <w:next w:val="Normale"/>
    <w:link w:val="SottotitoloCarattere"/>
    <w:uiPriority w:val="11"/>
    <w:qFormat/>
    <w:rsid w:val="000A02DE"/>
    <w:pPr>
      <w:numPr>
        <w:ilvl w:val="1"/>
      </w:numPr>
      <w:spacing w:after="240" w:line="240" w:lineRule="auto"/>
    </w:pPr>
    <w:rPr>
      <w:rFonts w:asciiTheme="majorHAnsi" w:eastAsiaTheme="majorEastAsia" w:hAnsiTheme="majorHAnsi" w:cstheme="majorBidi"/>
      <w:color w:val="DDDDDD" w:themeColor="accent1"/>
      <w:sz w:val="28"/>
      <w:szCs w:val="28"/>
    </w:rPr>
  </w:style>
  <w:style w:type="character" w:customStyle="1" w:styleId="SottotitoloCarattere">
    <w:name w:val="Sottotitolo Carattere"/>
    <w:basedOn w:val="Carpredefinitoparagrafo"/>
    <w:link w:val="Sottotitolo"/>
    <w:uiPriority w:val="11"/>
    <w:rsid w:val="000A02DE"/>
    <w:rPr>
      <w:rFonts w:asciiTheme="majorHAnsi" w:eastAsiaTheme="majorEastAsia" w:hAnsiTheme="majorHAnsi" w:cstheme="majorBidi"/>
      <w:color w:val="DDDDDD" w:themeColor="accent1"/>
      <w:sz w:val="28"/>
      <w:szCs w:val="28"/>
    </w:rPr>
  </w:style>
  <w:style w:type="character" w:styleId="Enfasigrassetto">
    <w:name w:val="Strong"/>
    <w:basedOn w:val="Carpredefinitoparagrafo"/>
    <w:uiPriority w:val="22"/>
    <w:qFormat/>
    <w:rsid w:val="000A02DE"/>
    <w:rPr>
      <w:b/>
      <w:bCs/>
    </w:rPr>
  </w:style>
  <w:style w:type="character" w:styleId="Enfasicorsivo">
    <w:name w:val="Emphasis"/>
    <w:basedOn w:val="Carpredefinitoparagrafo"/>
    <w:uiPriority w:val="20"/>
    <w:qFormat/>
    <w:rsid w:val="000A02DE"/>
    <w:rPr>
      <w:i/>
      <w:iCs/>
    </w:rPr>
  </w:style>
  <w:style w:type="paragraph" w:styleId="Nessunaspaziatura">
    <w:name w:val="No Spacing"/>
    <w:uiPriority w:val="1"/>
    <w:qFormat/>
    <w:rsid w:val="000A02DE"/>
    <w:pPr>
      <w:spacing w:after="0" w:line="240" w:lineRule="auto"/>
    </w:pPr>
  </w:style>
  <w:style w:type="paragraph" w:styleId="Citazione">
    <w:name w:val="Quote"/>
    <w:basedOn w:val="Normale"/>
    <w:next w:val="Normale"/>
    <w:link w:val="CitazioneCarattere"/>
    <w:uiPriority w:val="29"/>
    <w:qFormat/>
    <w:rsid w:val="000A02DE"/>
    <w:pPr>
      <w:spacing w:before="120" w:after="120"/>
      <w:ind w:left="720"/>
    </w:pPr>
    <w:rPr>
      <w:color w:val="000000" w:themeColor="text2"/>
      <w:sz w:val="24"/>
      <w:szCs w:val="24"/>
    </w:rPr>
  </w:style>
  <w:style w:type="character" w:customStyle="1" w:styleId="CitazioneCarattere">
    <w:name w:val="Citazione Carattere"/>
    <w:basedOn w:val="Carpredefinitoparagrafo"/>
    <w:link w:val="Citazione"/>
    <w:uiPriority w:val="29"/>
    <w:rsid w:val="000A02DE"/>
    <w:rPr>
      <w:color w:val="000000" w:themeColor="text2"/>
      <w:sz w:val="24"/>
      <w:szCs w:val="24"/>
    </w:rPr>
  </w:style>
  <w:style w:type="paragraph" w:styleId="Citazioneintensa">
    <w:name w:val="Intense Quote"/>
    <w:basedOn w:val="Normale"/>
    <w:next w:val="Normale"/>
    <w:link w:val="CitazioneintensaCarattere"/>
    <w:uiPriority w:val="30"/>
    <w:qFormat/>
    <w:rsid w:val="000A02DE"/>
    <w:pPr>
      <w:spacing w:before="100" w:beforeAutospacing="1" w:after="240" w:line="240" w:lineRule="auto"/>
      <w:ind w:left="720"/>
      <w:jc w:val="center"/>
    </w:pPr>
    <w:rPr>
      <w:rFonts w:asciiTheme="majorHAnsi" w:eastAsiaTheme="majorEastAsia" w:hAnsiTheme="majorHAnsi" w:cstheme="majorBidi"/>
      <w:color w:val="000000" w:themeColor="text2"/>
      <w:spacing w:val="-6"/>
      <w:sz w:val="32"/>
      <w:szCs w:val="32"/>
    </w:rPr>
  </w:style>
  <w:style w:type="character" w:customStyle="1" w:styleId="CitazioneintensaCarattere">
    <w:name w:val="Citazione intensa Carattere"/>
    <w:basedOn w:val="Carpredefinitoparagrafo"/>
    <w:link w:val="Citazioneintensa"/>
    <w:uiPriority w:val="30"/>
    <w:rsid w:val="000A02DE"/>
    <w:rPr>
      <w:rFonts w:asciiTheme="majorHAnsi" w:eastAsiaTheme="majorEastAsia" w:hAnsiTheme="majorHAnsi" w:cstheme="majorBidi"/>
      <w:color w:val="000000" w:themeColor="text2"/>
      <w:spacing w:val="-6"/>
      <w:sz w:val="32"/>
      <w:szCs w:val="32"/>
    </w:rPr>
  </w:style>
  <w:style w:type="character" w:styleId="Enfasidelicata">
    <w:name w:val="Subtle Emphasis"/>
    <w:basedOn w:val="Carpredefinitoparagrafo"/>
    <w:uiPriority w:val="19"/>
    <w:qFormat/>
    <w:rsid w:val="000A02DE"/>
    <w:rPr>
      <w:i/>
      <w:iCs/>
      <w:color w:val="595959" w:themeColor="text1" w:themeTint="A6"/>
    </w:rPr>
  </w:style>
  <w:style w:type="character" w:styleId="Enfasiintensa">
    <w:name w:val="Intense Emphasis"/>
    <w:basedOn w:val="Carpredefinitoparagrafo"/>
    <w:uiPriority w:val="21"/>
    <w:qFormat/>
    <w:rsid w:val="000A02DE"/>
    <w:rPr>
      <w:b/>
      <w:bCs/>
      <w:i/>
      <w:iCs/>
    </w:rPr>
  </w:style>
  <w:style w:type="character" w:styleId="Riferimentodelicato">
    <w:name w:val="Subtle Reference"/>
    <w:basedOn w:val="Carpredefinitoparagrafo"/>
    <w:uiPriority w:val="31"/>
    <w:qFormat/>
    <w:rsid w:val="000A02DE"/>
    <w:rPr>
      <w:smallCaps/>
      <w:color w:val="595959" w:themeColor="text1" w:themeTint="A6"/>
      <w:u w:val="none" w:color="7F7F7F" w:themeColor="text1" w:themeTint="80"/>
      <w:bdr w:val="none" w:sz="0" w:space="0" w:color="auto"/>
    </w:rPr>
  </w:style>
  <w:style w:type="character" w:styleId="Riferimentointenso">
    <w:name w:val="Intense Reference"/>
    <w:basedOn w:val="Carpredefinitoparagrafo"/>
    <w:uiPriority w:val="32"/>
    <w:qFormat/>
    <w:rsid w:val="000A02DE"/>
    <w:rPr>
      <w:b/>
      <w:bCs/>
      <w:smallCaps/>
      <w:color w:val="000000" w:themeColor="text2"/>
      <w:u w:val="single"/>
    </w:rPr>
  </w:style>
  <w:style w:type="character" w:styleId="Titolodellibro">
    <w:name w:val="Book Title"/>
    <w:basedOn w:val="Carpredefinitoparagrafo"/>
    <w:uiPriority w:val="33"/>
    <w:qFormat/>
    <w:rsid w:val="000A02DE"/>
    <w:rPr>
      <w:b/>
      <w:bCs/>
      <w:smallCaps/>
      <w:spacing w:val="10"/>
    </w:rPr>
  </w:style>
  <w:style w:type="paragraph" w:styleId="Titolosommario">
    <w:name w:val="TOC Heading"/>
    <w:basedOn w:val="Titolo1"/>
    <w:next w:val="Normale"/>
    <w:uiPriority w:val="39"/>
    <w:semiHidden/>
    <w:unhideWhenUsed/>
    <w:qFormat/>
    <w:rsid w:val="000A02DE"/>
    <w:pPr>
      <w:outlineLvl w:val="9"/>
    </w:pPr>
  </w:style>
  <w:style w:type="character" w:customStyle="1" w:styleId="MTEquationSection">
    <w:name w:val="MTEquationSection"/>
    <w:basedOn w:val="Carpredefinitoparagrafo"/>
    <w:rsid w:val="00FA5010"/>
    <w:rPr>
      <w:vanish/>
      <w:color w:val="FF0000"/>
      <w:lang w:val="en-GB"/>
    </w:rPr>
  </w:style>
  <w:style w:type="paragraph" w:customStyle="1" w:styleId="MTDisplayEquation">
    <w:name w:val="MTDisplayEquation"/>
    <w:basedOn w:val="Equazione"/>
    <w:next w:val="Normale"/>
    <w:link w:val="MTDisplayEquationCarattere"/>
    <w:rsid w:val="00FA5010"/>
    <w:pPr>
      <w:tabs>
        <w:tab w:val="clear" w:pos="3969"/>
        <w:tab w:val="center" w:pos="4520"/>
        <w:tab w:val="right" w:pos="9060"/>
      </w:tabs>
    </w:pPr>
    <w:rPr>
      <w:lang w:val="en-GB"/>
    </w:rPr>
  </w:style>
  <w:style w:type="character" w:customStyle="1" w:styleId="DidascaliaCarattere">
    <w:name w:val="Didascalia Carattere"/>
    <w:basedOn w:val="Carpredefinitoparagrafo"/>
    <w:link w:val="Didascalia"/>
    <w:uiPriority w:val="35"/>
    <w:rsid w:val="00FA5010"/>
    <w:rPr>
      <w:rFonts w:ascii="Times New Roman" w:hAnsi="Times New Roman"/>
      <w:bCs/>
      <w:i/>
      <w:color w:val="000000" w:themeColor="text2"/>
    </w:rPr>
  </w:style>
  <w:style w:type="character" w:customStyle="1" w:styleId="EquazioneCarattere">
    <w:name w:val="Equazione Carattere"/>
    <w:basedOn w:val="DidascaliaCarattere"/>
    <w:link w:val="Equazione"/>
    <w:rsid w:val="00FA5010"/>
    <w:rPr>
      <w:rFonts w:ascii="Times New Roman" w:hAnsi="Times New Roman"/>
      <w:b/>
      <w:bCs/>
      <w:i w:val="0"/>
      <w:color w:val="000000" w:themeColor="text2"/>
    </w:rPr>
  </w:style>
  <w:style w:type="character" w:customStyle="1" w:styleId="MTDisplayEquationCarattere">
    <w:name w:val="MTDisplayEquation Carattere"/>
    <w:basedOn w:val="EquazioneCarattere"/>
    <w:link w:val="MTDisplayEquation"/>
    <w:rsid w:val="00FA5010"/>
    <w:rPr>
      <w:rFonts w:ascii="Times New Roman" w:hAnsi="Times New Roman"/>
      <w:b/>
      <w:bCs/>
      <w:i w:val="0"/>
      <w:color w:val="000000" w:themeColor="text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104981">
      <w:bodyDiv w:val="1"/>
      <w:marLeft w:val="0"/>
      <w:marRight w:val="0"/>
      <w:marTop w:val="0"/>
      <w:marBottom w:val="0"/>
      <w:divBdr>
        <w:top w:val="none" w:sz="0" w:space="0" w:color="auto"/>
        <w:left w:val="none" w:sz="0" w:space="0" w:color="auto"/>
        <w:bottom w:val="none" w:sz="0" w:space="0" w:color="auto"/>
        <w:right w:val="none" w:sz="0" w:space="0" w:color="auto"/>
      </w:divBdr>
    </w:div>
    <w:div w:id="79524199">
      <w:bodyDiv w:val="1"/>
      <w:marLeft w:val="0"/>
      <w:marRight w:val="0"/>
      <w:marTop w:val="0"/>
      <w:marBottom w:val="0"/>
      <w:divBdr>
        <w:top w:val="none" w:sz="0" w:space="0" w:color="auto"/>
        <w:left w:val="none" w:sz="0" w:space="0" w:color="auto"/>
        <w:bottom w:val="none" w:sz="0" w:space="0" w:color="auto"/>
        <w:right w:val="none" w:sz="0" w:space="0" w:color="auto"/>
      </w:divBdr>
    </w:div>
    <w:div w:id="186018608">
      <w:bodyDiv w:val="1"/>
      <w:marLeft w:val="0"/>
      <w:marRight w:val="0"/>
      <w:marTop w:val="0"/>
      <w:marBottom w:val="0"/>
      <w:divBdr>
        <w:top w:val="none" w:sz="0" w:space="0" w:color="auto"/>
        <w:left w:val="none" w:sz="0" w:space="0" w:color="auto"/>
        <w:bottom w:val="none" w:sz="0" w:space="0" w:color="auto"/>
        <w:right w:val="none" w:sz="0" w:space="0" w:color="auto"/>
      </w:divBdr>
    </w:div>
    <w:div w:id="195823973">
      <w:bodyDiv w:val="1"/>
      <w:marLeft w:val="0"/>
      <w:marRight w:val="0"/>
      <w:marTop w:val="0"/>
      <w:marBottom w:val="0"/>
      <w:divBdr>
        <w:top w:val="none" w:sz="0" w:space="0" w:color="auto"/>
        <w:left w:val="none" w:sz="0" w:space="0" w:color="auto"/>
        <w:bottom w:val="none" w:sz="0" w:space="0" w:color="auto"/>
        <w:right w:val="none" w:sz="0" w:space="0" w:color="auto"/>
      </w:divBdr>
    </w:div>
    <w:div w:id="200478594">
      <w:bodyDiv w:val="1"/>
      <w:marLeft w:val="0"/>
      <w:marRight w:val="0"/>
      <w:marTop w:val="0"/>
      <w:marBottom w:val="0"/>
      <w:divBdr>
        <w:top w:val="none" w:sz="0" w:space="0" w:color="auto"/>
        <w:left w:val="none" w:sz="0" w:space="0" w:color="auto"/>
        <w:bottom w:val="none" w:sz="0" w:space="0" w:color="auto"/>
        <w:right w:val="none" w:sz="0" w:space="0" w:color="auto"/>
      </w:divBdr>
    </w:div>
    <w:div w:id="331953882">
      <w:bodyDiv w:val="1"/>
      <w:marLeft w:val="0"/>
      <w:marRight w:val="0"/>
      <w:marTop w:val="0"/>
      <w:marBottom w:val="0"/>
      <w:divBdr>
        <w:top w:val="none" w:sz="0" w:space="0" w:color="auto"/>
        <w:left w:val="none" w:sz="0" w:space="0" w:color="auto"/>
        <w:bottom w:val="none" w:sz="0" w:space="0" w:color="auto"/>
        <w:right w:val="none" w:sz="0" w:space="0" w:color="auto"/>
      </w:divBdr>
    </w:div>
    <w:div w:id="366301491">
      <w:bodyDiv w:val="1"/>
      <w:marLeft w:val="0"/>
      <w:marRight w:val="0"/>
      <w:marTop w:val="0"/>
      <w:marBottom w:val="0"/>
      <w:divBdr>
        <w:top w:val="none" w:sz="0" w:space="0" w:color="auto"/>
        <w:left w:val="none" w:sz="0" w:space="0" w:color="auto"/>
        <w:bottom w:val="none" w:sz="0" w:space="0" w:color="auto"/>
        <w:right w:val="none" w:sz="0" w:space="0" w:color="auto"/>
      </w:divBdr>
    </w:div>
    <w:div w:id="376979240">
      <w:bodyDiv w:val="1"/>
      <w:marLeft w:val="0"/>
      <w:marRight w:val="0"/>
      <w:marTop w:val="0"/>
      <w:marBottom w:val="0"/>
      <w:divBdr>
        <w:top w:val="none" w:sz="0" w:space="0" w:color="auto"/>
        <w:left w:val="none" w:sz="0" w:space="0" w:color="auto"/>
        <w:bottom w:val="none" w:sz="0" w:space="0" w:color="auto"/>
        <w:right w:val="none" w:sz="0" w:space="0" w:color="auto"/>
      </w:divBdr>
    </w:div>
    <w:div w:id="468130904">
      <w:bodyDiv w:val="1"/>
      <w:marLeft w:val="0"/>
      <w:marRight w:val="0"/>
      <w:marTop w:val="0"/>
      <w:marBottom w:val="0"/>
      <w:divBdr>
        <w:top w:val="none" w:sz="0" w:space="0" w:color="auto"/>
        <w:left w:val="none" w:sz="0" w:space="0" w:color="auto"/>
        <w:bottom w:val="none" w:sz="0" w:space="0" w:color="auto"/>
        <w:right w:val="none" w:sz="0" w:space="0" w:color="auto"/>
      </w:divBdr>
    </w:div>
    <w:div w:id="533225941">
      <w:bodyDiv w:val="1"/>
      <w:marLeft w:val="0"/>
      <w:marRight w:val="0"/>
      <w:marTop w:val="0"/>
      <w:marBottom w:val="0"/>
      <w:divBdr>
        <w:top w:val="none" w:sz="0" w:space="0" w:color="auto"/>
        <w:left w:val="none" w:sz="0" w:space="0" w:color="auto"/>
        <w:bottom w:val="none" w:sz="0" w:space="0" w:color="auto"/>
        <w:right w:val="none" w:sz="0" w:space="0" w:color="auto"/>
      </w:divBdr>
    </w:div>
    <w:div w:id="565914819">
      <w:bodyDiv w:val="1"/>
      <w:marLeft w:val="0"/>
      <w:marRight w:val="0"/>
      <w:marTop w:val="0"/>
      <w:marBottom w:val="0"/>
      <w:divBdr>
        <w:top w:val="none" w:sz="0" w:space="0" w:color="auto"/>
        <w:left w:val="none" w:sz="0" w:space="0" w:color="auto"/>
        <w:bottom w:val="none" w:sz="0" w:space="0" w:color="auto"/>
        <w:right w:val="none" w:sz="0" w:space="0" w:color="auto"/>
      </w:divBdr>
    </w:div>
    <w:div w:id="796683349">
      <w:bodyDiv w:val="1"/>
      <w:marLeft w:val="0"/>
      <w:marRight w:val="0"/>
      <w:marTop w:val="0"/>
      <w:marBottom w:val="0"/>
      <w:divBdr>
        <w:top w:val="none" w:sz="0" w:space="0" w:color="auto"/>
        <w:left w:val="none" w:sz="0" w:space="0" w:color="auto"/>
        <w:bottom w:val="none" w:sz="0" w:space="0" w:color="auto"/>
        <w:right w:val="none" w:sz="0" w:space="0" w:color="auto"/>
      </w:divBdr>
    </w:div>
    <w:div w:id="808521783">
      <w:bodyDiv w:val="1"/>
      <w:marLeft w:val="0"/>
      <w:marRight w:val="0"/>
      <w:marTop w:val="0"/>
      <w:marBottom w:val="0"/>
      <w:divBdr>
        <w:top w:val="none" w:sz="0" w:space="0" w:color="auto"/>
        <w:left w:val="none" w:sz="0" w:space="0" w:color="auto"/>
        <w:bottom w:val="none" w:sz="0" w:space="0" w:color="auto"/>
        <w:right w:val="none" w:sz="0" w:space="0" w:color="auto"/>
      </w:divBdr>
    </w:div>
    <w:div w:id="1012878827">
      <w:bodyDiv w:val="1"/>
      <w:marLeft w:val="0"/>
      <w:marRight w:val="0"/>
      <w:marTop w:val="0"/>
      <w:marBottom w:val="0"/>
      <w:divBdr>
        <w:top w:val="none" w:sz="0" w:space="0" w:color="auto"/>
        <w:left w:val="none" w:sz="0" w:space="0" w:color="auto"/>
        <w:bottom w:val="none" w:sz="0" w:space="0" w:color="auto"/>
        <w:right w:val="none" w:sz="0" w:space="0" w:color="auto"/>
      </w:divBdr>
    </w:div>
    <w:div w:id="1111433612">
      <w:bodyDiv w:val="1"/>
      <w:marLeft w:val="0"/>
      <w:marRight w:val="0"/>
      <w:marTop w:val="0"/>
      <w:marBottom w:val="0"/>
      <w:divBdr>
        <w:top w:val="none" w:sz="0" w:space="0" w:color="auto"/>
        <w:left w:val="none" w:sz="0" w:space="0" w:color="auto"/>
        <w:bottom w:val="none" w:sz="0" w:space="0" w:color="auto"/>
        <w:right w:val="none" w:sz="0" w:space="0" w:color="auto"/>
      </w:divBdr>
    </w:div>
    <w:div w:id="1221288546">
      <w:bodyDiv w:val="1"/>
      <w:marLeft w:val="0"/>
      <w:marRight w:val="0"/>
      <w:marTop w:val="0"/>
      <w:marBottom w:val="0"/>
      <w:divBdr>
        <w:top w:val="none" w:sz="0" w:space="0" w:color="auto"/>
        <w:left w:val="none" w:sz="0" w:space="0" w:color="auto"/>
        <w:bottom w:val="none" w:sz="0" w:space="0" w:color="auto"/>
        <w:right w:val="none" w:sz="0" w:space="0" w:color="auto"/>
      </w:divBdr>
    </w:div>
    <w:div w:id="1487821838">
      <w:bodyDiv w:val="1"/>
      <w:marLeft w:val="0"/>
      <w:marRight w:val="0"/>
      <w:marTop w:val="0"/>
      <w:marBottom w:val="0"/>
      <w:divBdr>
        <w:top w:val="none" w:sz="0" w:space="0" w:color="auto"/>
        <w:left w:val="none" w:sz="0" w:space="0" w:color="auto"/>
        <w:bottom w:val="none" w:sz="0" w:space="0" w:color="auto"/>
        <w:right w:val="none" w:sz="0" w:space="0" w:color="auto"/>
      </w:divBdr>
    </w:div>
    <w:div w:id="1506246518">
      <w:bodyDiv w:val="1"/>
      <w:marLeft w:val="0"/>
      <w:marRight w:val="0"/>
      <w:marTop w:val="0"/>
      <w:marBottom w:val="0"/>
      <w:divBdr>
        <w:top w:val="none" w:sz="0" w:space="0" w:color="auto"/>
        <w:left w:val="none" w:sz="0" w:space="0" w:color="auto"/>
        <w:bottom w:val="none" w:sz="0" w:space="0" w:color="auto"/>
        <w:right w:val="none" w:sz="0" w:space="0" w:color="auto"/>
      </w:divBdr>
    </w:div>
    <w:div w:id="1541429621">
      <w:bodyDiv w:val="1"/>
      <w:marLeft w:val="0"/>
      <w:marRight w:val="0"/>
      <w:marTop w:val="0"/>
      <w:marBottom w:val="0"/>
      <w:divBdr>
        <w:top w:val="none" w:sz="0" w:space="0" w:color="auto"/>
        <w:left w:val="none" w:sz="0" w:space="0" w:color="auto"/>
        <w:bottom w:val="none" w:sz="0" w:space="0" w:color="auto"/>
        <w:right w:val="none" w:sz="0" w:space="0" w:color="auto"/>
      </w:divBdr>
    </w:div>
    <w:div w:id="1568683118">
      <w:bodyDiv w:val="1"/>
      <w:marLeft w:val="0"/>
      <w:marRight w:val="0"/>
      <w:marTop w:val="0"/>
      <w:marBottom w:val="0"/>
      <w:divBdr>
        <w:top w:val="none" w:sz="0" w:space="0" w:color="auto"/>
        <w:left w:val="none" w:sz="0" w:space="0" w:color="auto"/>
        <w:bottom w:val="none" w:sz="0" w:space="0" w:color="auto"/>
        <w:right w:val="none" w:sz="0" w:space="0" w:color="auto"/>
      </w:divBdr>
    </w:div>
    <w:div w:id="1573613002">
      <w:bodyDiv w:val="1"/>
      <w:marLeft w:val="0"/>
      <w:marRight w:val="0"/>
      <w:marTop w:val="0"/>
      <w:marBottom w:val="0"/>
      <w:divBdr>
        <w:top w:val="none" w:sz="0" w:space="0" w:color="auto"/>
        <w:left w:val="none" w:sz="0" w:space="0" w:color="auto"/>
        <w:bottom w:val="none" w:sz="0" w:space="0" w:color="auto"/>
        <w:right w:val="none" w:sz="0" w:space="0" w:color="auto"/>
      </w:divBdr>
    </w:div>
    <w:div w:id="1583368561">
      <w:bodyDiv w:val="1"/>
      <w:marLeft w:val="0"/>
      <w:marRight w:val="0"/>
      <w:marTop w:val="0"/>
      <w:marBottom w:val="0"/>
      <w:divBdr>
        <w:top w:val="none" w:sz="0" w:space="0" w:color="auto"/>
        <w:left w:val="none" w:sz="0" w:space="0" w:color="auto"/>
        <w:bottom w:val="none" w:sz="0" w:space="0" w:color="auto"/>
        <w:right w:val="none" w:sz="0" w:space="0" w:color="auto"/>
      </w:divBdr>
    </w:div>
    <w:div w:id="1595550266">
      <w:bodyDiv w:val="1"/>
      <w:marLeft w:val="0"/>
      <w:marRight w:val="0"/>
      <w:marTop w:val="0"/>
      <w:marBottom w:val="0"/>
      <w:divBdr>
        <w:top w:val="none" w:sz="0" w:space="0" w:color="auto"/>
        <w:left w:val="none" w:sz="0" w:space="0" w:color="auto"/>
        <w:bottom w:val="none" w:sz="0" w:space="0" w:color="auto"/>
        <w:right w:val="none" w:sz="0" w:space="0" w:color="auto"/>
      </w:divBdr>
    </w:div>
    <w:div w:id="1666088054">
      <w:bodyDiv w:val="1"/>
      <w:marLeft w:val="0"/>
      <w:marRight w:val="0"/>
      <w:marTop w:val="0"/>
      <w:marBottom w:val="0"/>
      <w:divBdr>
        <w:top w:val="none" w:sz="0" w:space="0" w:color="auto"/>
        <w:left w:val="none" w:sz="0" w:space="0" w:color="auto"/>
        <w:bottom w:val="none" w:sz="0" w:space="0" w:color="auto"/>
        <w:right w:val="none" w:sz="0" w:space="0" w:color="auto"/>
      </w:divBdr>
    </w:div>
    <w:div w:id="1698001536">
      <w:bodyDiv w:val="1"/>
      <w:marLeft w:val="0"/>
      <w:marRight w:val="0"/>
      <w:marTop w:val="0"/>
      <w:marBottom w:val="0"/>
      <w:divBdr>
        <w:top w:val="none" w:sz="0" w:space="0" w:color="auto"/>
        <w:left w:val="none" w:sz="0" w:space="0" w:color="auto"/>
        <w:bottom w:val="none" w:sz="0" w:space="0" w:color="auto"/>
        <w:right w:val="none" w:sz="0" w:space="0" w:color="auto"/>
      </w:divBdr>
    </w:div>
    <w:div w:id="1708214876">
      <w:bodyDiv w:val="1"/>
      <w:marLeft w:val="0"/>
      <w:marRight w:val="0"/>
      <w:marTop w:val="0"/>
      <w:marBottom w:val="0"/>
      <w:divBdr>
        <w:top w:val="none" w:sz="0" w:space="0" w:color="auto"/>
        <w:left w:val="none" w:sz="0" w:space="0" w:color="auto"/>
        <w:bottom w:val="none" w:sz="0" w:space="0" w:color="auto"/>
        <w:right w:val="none" w:sz="0" w:space="0" w:color="auto"/>
      </w:divBdr>
    </w:div>
    <w:div w:id="1712415909">
      <w:bodyDiv w:val="1"/>
      <w:marLeft w:val="0"/>
      <w:marRight w:val="0"/>
      <w:marTop w:val="0"/>
      <w:marBottom w:val="0"/>
      <w:divBdr>
        <w:top w:val="none" w:sz="0" w:space="0" w:color="auto"/>
        <w:left w:val="none" w:sz="0" w:space="0" w:color="auto"/>
        <w:bottom w:val="none" w:sz="0" w:space="0" w:color="auto"/>
        <w:right w:val="none" w:sz="0" w:space="0" w:color="auto"/>
      </w:divBdr>
    </w:div>
    <w:div w:id="1736735984">
      <w:bodyDiv w:val="1"/>
      <w:marLeft w:val="0"/>
      <w:marRight w:val="0"/>
      <w:marTop w:val="0"/>
      <w:marBottom w:val="0"/>
      <w:divBdr>
        <w:top w:val="none" w:sz="0" w:space="0" w:color="auto"/>
        <w:left w:val="none" w:sz="0" w:space="0" w:color="auto"/>
        <w:bottom w:val="none" w:sz="0" w:space="0" w:color="auto"/>
        <w:right w:val="none" w:sz="0" w:space="0" w:color="auto"/>
      </w:divBdr>
    </w:div>
    <w:div w:id="1821313333">
      <w:bodyDiv w:val="1"/>
      <w:marLeft w:val="0"/>
      <w:marRight w:val="0"/>
      <w:marTop w:val="0"/>
      <w:marBottom w:val="0"/>
      <w:divBdr>
        <w:top w:val="none" w:sz="0" w:space="0" w:color="auto"/>
        <w:left w:val="none" w:sz="0" w:space="0" w:color="auto"/>
        <w:bottom w:val="none" w:sz="0" w:space="0" w:color="auto"/>
        <w:right w:val="none" w:sz="0" w:space="0" w:color="auto"/>
      </w:divBdr>
    </w:div>
    <w:div w:id="1935555506">
      <w:bodyDiv w:val="1"/>
      <w:marLeft w:val="0"/>
      <w:marRight w:val="0"/>
      <w:marTop w:val="0"/>
      <w:marBottom w:val="0"/>
      <w:divBdr>
        <w:top w:val="none" w:sz="0" w:space="0" w:color="auto"/>
        <w:left w:val="none" w:sz="0" w:space="0" w:color="auto"/>
        <w:bottom w:val="none" w:sz="0" w:space="0" w:color="auto"/>
        <w:right w:val="none" w:sz="0" w:space="0" w:color="auto"/>
      </w:divBdr>
    </w:div>
    <w:div w:id="1977024749">
      <w:bodyDiv w:val="1"/>
      <w:marLeft w:val="0"/>
      <w:marRight w:val="0"/>
      <w:marTop w:val="0"/>
      <w:marBottom w:val="0"/>
      <w:divBdr>
        <w:top w:val="none" w:sz="0" w:space="0" w:color="auto"/>
        <w:left w:val="none" w:sz="0" w:space="0" w:color="auto"/>
        <w:bottom w:val="none" w:sz="0" w:space="0" w:color="auto"/>
        <w:right w:val="none" w:sz="0" w:space="0" w:color="auto"/>
      </w:divBdr>
    </w:div>
    <w:div w:id="1982416182">
      <w:bodyDiv w:val="1"/>
      <w:marLeft w:val="0"/>
      <w:marRight w:val="0"/>
      <w:marTop w:val="0"/>
      <w:marBottom w:val="0"/>
      <w:divBdr>
        <w:top w:val="none" w:sz="0" w:space="0" w:color="auto"/>
        <w:left w:val="none" w:sz="0" w:space="0" w:color="auto"/>
        <w:bottom w:val="none" w:sz="0" w:space="0" w:color="auto"/>
        <w:right w:val="none" w:sz="0" w:space="0" w:color="auto"/>
      </w:divBdr>
    </w:div>
    <w:div w:id="2015918778">
      <w:bodyDiv w:val="1"/>
      <w:marLeft w:val="0"/>
      <w:marRight w:val="0"/>
      <w:marTop w:val="0"/>
      <w:marBottom w:val="0"/>
      <w:divBdr>
        <w:top w:val="none" w:sz="0" w:space="0" w:color="auto"/>
        <w:left w:val="none" w:sz="0" w:space="0" w:color="auto"/>
        <w:bottom w:val="none" w:sz="0" w:space="0" w:color="auto"/>
        <w:right w:val="none" w:sz="0" w:space="0" w:color="auto"/>
      </w:divBdr>
    </w:div>
    <w:div w:id="2045710695">
      <w:bodyDiv w:val="1"/>
      <w:marLeft w:val="0"/>
      <w:marRight w:val="0"/>
      <w:marTop w:val="0"/>
      <w:marBottom w:val="0"/>
      <w:divBdr>
        <w:top w:val="none" w:sz="0" w:space="0" w:color="auto"/>
        <w:left w:val="none" w:sz="0" w:space="0" w:color="auto"/>
        <w:bottom w:val="none" w:sz="0" w:space="0" w:color="auto"/>
        <w:right w:val="none" w:sz="0" w:space="0" w:color="auto"/>
      </w:divBdr>
    </w:div>
    <w:div w:id="2065912266">
      <w:bodyDiv w:val="1"/>
      <w:marLeft w:val="0"/>
      <w:marRight w:val="0"/>
      <w:marTop w:val="0"/>
      <w:marBottom w:val="0"/>
      <w:divBdr>
        <w:top w:val="none" w:sz="0" w:space="0" w:color="auto"/>
        <w:left w:val="none" w:sz="0" w:space="0" w:color="auto"/>
        <w:bottom w:val="none" w:sz="0" w:space="0" w:color="auto"/>
        <w:right w:val="none" w:sz="0" w:space="0" w:color="auto"/>
      </w:divBdr>
    </w:div>
    <w:div w:id="2075278257">
      <w:bodyDiv w:val="1"/>
      <w:marLeft w:val="0"/>
      <w:marRight w:val="0"/>
      <w:marTop w:val="0"/>
      <w:marBottom w:val="0"/>
      <w:divBdr>
        <w:top w:val="none" w:sz="0" w:space="0" w:color="auto"/>
        <w:left w:val="none" w:sz="0" w:space="0" w:color="auto"/>
        <w:bottom w:val="none" w:sz="0" w:space="0" w:color="auto"/>
        <w:right w:val="none" w:sz="0" w:space="0" w:color="auto"/>
      </w:divBdr>
    </w:div>
    <w:div w:id="2106732374">
      <w:bodyDiv w:val="1"/>
      <w:marLeft w:val="0"/>
      <w:marRight w:val="0"/>
      <w:marTop w:val="0"/>
      <w:marBottom w:val="0"/>
      <w:divBdr>
        <w:top w:val="none" w:sz="0" w:space="0" w:color="auto"/>
        <w:left w:val="none" w:sz="0" w:space="0" w:color="auto"/>
        <w:bottom w:val="none" w:sz="0" w:space="0" w:color="auto"/>
        <w:right w:val="none" w:sz="0" w:space="0" w:color="auto"/>
      </w:divBdr>
    </w:div>
    <w:div w:id="2110855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wmf"/><Relationship Id="rId18" Type="http://schemas.openxmlformats.org/officeDocument/2006/relationships/image" Target="media/image7.emf"/><Relationship Id="rId3" Type="http://schemas.openxmlformats.org/officeDocument/2006/relationships/customXml" Target="../customXml/item3.xml"/><Relationship Id="rId21" Type="http://schemas.openxmlformats.org/officeDocument/2006/relationships/image" Target="media/image10.emf"/><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6.emf"/><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4.emf"/><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8.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oleObject" Target="embeddings/oleObject1.bin"/><Relationship Id="rId22" Type="http://schemas.openxmlformats.org/officeDocument/2006/relationships/image" Target="media/image11.emf"/></Relationships>
</file>

<file path=word/theme/theme1.xml><?xml version="1.0" encoding="utf-8"?>
<a:theme xmlns:a="http://schemas.openxmlformats.org/drawingml/2006/main" name="Tema di Office">
  <a:themeElements>
    <a:clrScheme name="Gradazioni di grigio">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6AF91B6B4956F94C82DABE9F3CF5447D" ma:contentTypeVersion="1" ma:contentTypeDescription="Creare un nuovo documento." ma:contentTypeScope="" ma:versionID="4f1c47a10dc109b030950f4aa359c5e4">
  <xsd:schema xmlns:xsd="http://www.w3.org/2001/XMLSchema" xmlns:xs="http://www.w3.org/2001/XMLSchema" xmlns:p="http://schemas.microsoft.com/office/2006/metadata/properties" xmlns:ns3="cd5506b7-b293-4a29-a9d0-22c1d0dbc012" targetNamespace="http://schemas.microsoft.com/office/2006/metadata/properties" ma:root="true" ma:fieldsID="96c0cb4893f96404e07379cd8ec87d39" ns3:_="">
    <xsd:import namespace="cd5506b7-b293-4a29-a9d0-22c1d0dbc012"/>
    <xsd:element name="properties">
      <xsd:complexType>
        <xsd:sequence>
          <xsd:element name="documentManagement">
            <xsd:complexType>
              <xsd:all>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5506b7-b293-4a29-a9d0-22c1d0dbc012"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032BE7-F2AA-4ADA-AEA1-3F8F1FDDB595}">
  <ds:schemaRefs>
    <ds:schemaRef ds:uri="http://schemas.microsoft.com/sharepoint/v3/contenttype/forms"/>
  </ds:schemaRefs>
</ds:datastoreItem>
</file>

<file path=customXml/itemProps2.xml><?xml version="1.0" encoding="utf-8"?>
<ds:datastoreItem xmlns:ds="http://schemas.openxmlformats.org/officeDocument/2006/customXml" ds:itemID="{173D2FF4-524B-4DE0-81C9-9D7F4175BECC}">
  <ds:schemaRefs>
    <ds:schemaRef ds:uri="http://www.w3.org/XML/1998/namespace"/>
    <ds:schemaRef ds:uri="http://schemas.microsoft.com/office/2006/metadata/properties"/>
    <ds:schemaRef ds:uri="cd5506b7-b293-4a29-a9d0-22c1d0dbc012"/>
    <ds:schemaRef ds:uri="http://purl.org/dc/dcmitype/"/>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85FFC669-B380-40C9-9632-F27864BCF8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5506b7-b293-4a29-a9d0-22c1d0dbc0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67F40B9-CE33-4543-A59D-CC26EB0822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18</Pages>
  <Words>4870</Words>
  <Characters>28194</Characters>
  <Application>Microsoft Office Word</Application>
  <DocSecurity>0</DocSecurity>
  <Lines>234</Lines>
  <Paragraphs>65</Paragraphs>
  <ScaleCrop>false</ScaleCrop>
  <HeadingPairs>
    <vt:vector size="2" baseType="variant">
      <vt:variant>
        <vt:lpstr>Titolo</vt:lpstr>
      </vt:variant>
      <vt:variant>
        <vt:i4>1</vt:i4>
      </vt:variant>
    </vt:vector>
  </HeadingPairs>
  <TitlesOfParts>
    <vt:vector size="1" baseType="lpstr">
      <vt:lpstr>_</vt:lpstr>
    </vt:vector>
  </TitlesOfParts>
  <Company>Politecnico di Milano</Company>
  <LinksUpToDate>false</LinksUpToDate>
  <CharactersWithSpaces>32999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subject/>
  <dc:creator>Dipartimento di Meccanica</dc:creator>
  <cp:keywords/>
  <dc:description/>
  <cp:lastModifiedBy>Marco Tarabini</cp:lastModifiedBy>
  <cp:revision>10</cp:revision>
  <cp:lastPrinted>2014-03-31T06:53:00Z</cp:lastPrinted>
  <dcterms:created xsi:type="dcterms:W3CDTF">2015-05-23T07:10:00Z</dcterms:created>
  <dcterms:modified xsi:type="dcterms:W3CDTF">2015-06-29T20:39:00Z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1396</vt:lpwstr>
  </property>
  <property fmtid="{D5CDD505-2E9C-101B-9397-08002B2CF9AE}" pid="3" name="WnCSubscriberId">
    <vt:lpwstr>3543</vt:lpwstr>
  </property>
  <property fmtid="{D5CDD505-2E9C-101B-9397-08002B2CF9AE}" pid="4" name="WnCOutputStyleId">
    <vt:lpwstr>70</vt:lpwstr>
  </property>
  <property fmtid="{D5CDD505-2E9C-101B-9397-08002B2CF9AE}" pid="5" name="RWProductId">
    <vt:lpwstr>WnC</vt:lpwstr>
  </property>
  <property fmtid="{D5CDD505-2E9C-101B-9397-08002B2CF9AE}" pid="6" name="WnC4Folder">
    <vt:lpwstr/>
  </property>
  <property fmtid="{D5CDD505-2E9C-101B-9397-08002B2CF9AE}" pid="7" name="ContentTypeId">
    <vt:lpwstr>0x0101006AF91B6B4956F94C82DABE9F3CF5447D</vt:lpwstr>
  </property>
  <property fmtid="{D5CDD505-2E9C-101B-9397-08002B2CF9AE}" pid="8" name="MTEquationNumber2">
    <vt:lpwstr>(#E1)</vt:lpwstr>
  </property>
  <property fmtid="{D5CDD505-2E9C-101B-9397-08002B2CF9AE}" pid="9" name="MTEquationSection">
    <vt:lpwstr>1</vt:lpwstr>
  </property>
  <property fmtid="{D5CDD505-2E9C-101B-9397-08002B2CF9AE}" pid="10" name="MTWinEqns">
    <vt:bool>true</vt:bool>
  </property>
  <property fmtid="{D5CDD505-2E9C-101B-9397-08002B2CF9AE}" pid="11" name="_AdHocReviewCycleID">
    <vt:i4>768851014</vt:i4>
  </property>
  <property fmtid="{D5CDD505-2E9C-101B-9397-08002B2CF9AE}" pid="12" name="_NewReviewCycle">
    <vt:lpwstr/>
  </property>
  <property fmtid="{D5CDD505-2E9C-101B-9397-08002B2CF9AE}" pid="13" name="_EmailSubject">
    <vt:lpwstr>Paper_R5.docx</vt:lpwstr>
  </property>
  <property fmtid="{D5CDD505-2E9C-101B-9397-08002B2CF9AE}" pid="14" name="_AuthorEmail">
    <vt:lpwstr>bortolino.saggin@polimi.it</vt:lpwstr>
  </property>
  <property fmtid="{D5CDD505-2E9C-101B-9397-08002B2CF9AE}" pid="15" name="_AuthorEmailDisplayName">
    <vt:lpwstr>Bortolino Saggin</vt:lpwstr>
  </property>
  <property fmtid="{D5CDD505-2E9C-101B-9397-08002B2CF9AE}" pid="16" name="_ReviewingToolsShownOnce">
    <vt:lpwstr/>
  </property>
</Properties>
</file>