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17377" w14:textId="27BC0E32" w:rsidR="00202C5C" w:rsidRDefault="00202C5C" w:rsidP="00F67CA2">
      <w:pPr>
        <w:pStyle w:val="Titolo"/>
        <w:jc w:val="center"/>
        <w:rPr>
          <w:lang w:val="it-IT"/>
        </w:rPr>
      </w:pPr>
      <w:r>
        <w:t>Trust, Ethical and Responsible AI</w:t>
      </w:r>
    </w:p>
    <w:p w14:paraId="7F374D9B" w14:textId="77777777" w:rsidR="00202C5C" w:rsidRDefault="00202C5C" w:rsidP="00D8051F"/>
    <w:p w14:paraId="5996CC8C" w14:textId="77777777" w:rsidR="00202C5C" w:rsidRPr="00994620" w:rsidRDefault="00202C5C" w:rsidP="00D8051F">
      <w:pPr>
        <w:pStyle w:val="Author"/>
        <w:rPr>
          <w:vertAlign w:val="superscript"/>
        </w:rPr>
      </w:pPr>
      <w:r w:rsidRPr="00994620">
        <w:t>Alfredo M. Ronchi</w:t>
      </w:r>
    </w:p>
    <w:p w14:paraId="0931FFFD" w14:textId="77777777" w:rsidR="00202C5C" w:rsidRPr="00994620" w:rsidRDefault="00202C5C" w:rsidP="00D8051F">
      <w:pPr>
        <w:pStyle w:val="Author"/>
      </w:pPr>
      <w:r w:rsidRPr="00994620">
        <w:t>Politecnico di Milano, Piazza Leonardo da Vinci 32, Milano, 20133, Italy</w:t>
      </w:r>
    </w:p>
    <w:p w14:paraId="5E363A51" w14:textId="77777777" w:rsidR="00202C5C" w:rsidRPr="00994620" w:rsidRDefault="00202C5C" w:rsidP="00D8051F">
      <w:pPr>
        <w:pStyle w:val="Author"/>
      </w:pPr>
      <w:r w:rsidRPr="00994620">
        <w:t xml:space="preserve">Tel: +39 393 0629373, Email: </w:t>
      </w:r>
      <w:proofErr w:type="gramStart"/>
      <w:r w:rsidRPr="00994620">
        <w:t>alfredo.ronchi@polimi.it ,</w:t>
      </w:r>
      <w:proofErr w:type="gramEnd"/>
      <w:r w:rsidRPr="00994620">
        <w:t xml:space="preserve"> ORCID </w:t>
      </w:r>
      <w:hyperlink r:id="rId8" w:history="1">
        <w:r w:rsidRPr="00994620">
          <w:rPr>
            <w:rStyle w:val="Collegamentoipertestuale"/>
            <w:rFonts w:ascii="Noto Sans" w:hAnsi="Noto Sans" w:cs="Noto Sans"/>
            <w:color w:val="2E7F9F"/>
            <w:sz w:val="18"/>
            <w:szCs w:val="13"/>
          </w:rPr>
          <w:t>0000-0003-1230-4338</w:t>
        </w:r>
      </w:hyperlink>
    </w:p>
    <w:p w14:paraId="6EE81C69" w14:textId="77777777" w:rsidR="00202C5C" w:rsidRDefault="00202C5C" w:rsidP="00D8051F"/>
    <w:p w14:paraId="07A9280D" w14:textId="77777777" w:rsidR="00202C5C" w:rsidRPr="00F67CA2" w:rsidRDefault="00202C5C" w:rsidP="00F67CA2">
      <w:pPr>
        <w:pStyle w:val="Titolo1"/>
        <w:ind w:left="1134" w:right="1133"/>
        <w:rPr>
          <w:rFonts w:ascii="Times New Roman" w:hAnsi="Times New Roman" w:cs="Times New Roman"/>
          <w:sz w:val="20"/>
          <w:szCs w:val="20"/>
        </w:rPr>
      </w:pPr>
      <w:r w:rsidRPr="00F67CA2">
        <w:rPr>
          <w:rFonts w:ascii="Times New Roman" w:hAnsi="Times New Roman" w:cs="Times New Roman"/>
          <w:b/>
          <w:bCs/>
          <w:sz w:val="20"/>
          <w:szCs w:val="20"/>
        </w:rPr>
        <w:t>Abstract:</w:t>
      </w:r>
      <w:r w:rsidRPr="00F67CA2">
        <w:rPr>
          <w:rFonts w:ascii="Times New Roman" w:hAnsi="Times New Roman" w:cs="Times New Roman"/>
          <w:sz w:val="20"/>
          <w:szCs w:val="20"/>
        </w:rPr>
        <w:t xml:space="preserve"> One of the most impacting technologies recently disseminated within our society is Artificial Intelligence instantiated as powerful LLMs. This long-lived technology rooted in the 1950s was considered too cryptic and too far from citizens’ practical use. But the exponential dissemination of AI platforms like ChatGPT and the immediate familiarity acquired by any typology of citizens boosted the implementation of AI in a wide range of products like autonomous driving cars, drones and documents and visual content created by Gen AI. This wide implementation of AI and Gen AI issued the need to face the juridical position of AI in case of generated harm and relative assignation of liability. These poses posed the focus on some of the potential concerns in assigning accountability and liability in case of AI and Gen AI managed systems.</w:t>
      </w:r>
    </w:p>
    <w:p w14:paraId="7F722E0C" w14:textId="77777777" w:rsidR="00202C5C" w:rsidRDefault="00202C5C" w:rsidP="00D8051F"/>
    <w:p w14:paraId="60F0D98B" w14:textId="5081C719" w:rsidR="00202C5C" w:rsidRPr="00526B3E" w:rsidRDefault="00202C5C" w:rsidP="00D8051F">
      <w:r w:rsidRPr="00526B3E">
        <w:rPr>
          <w:b/>
        </w:rPr>
        <w:t>Keywords:</w:t>
      </w:r>
      <w:r w:rsidRPr="00526B3E">
        <w:t xml:space="preserve"> Digital Transformation, Artificial Intelligence, Ethics, </w:t>
      </w:r>
      <w:r>
        <w:t xml:space="preserve">Trust, </w:t>
      </w:r>
      <w:r w:rsidRPr="00526B3E">
        <w:t>Human rights</w:t>
      </w:r>
    </w:p>
    <w:p w14:paraId="5A5D6C75" w14:textId="77777777" w:rsidR="00202C5C" w:rsidRDefault="00202C5C" w:rsidP="00D8051F"/>
    <w:p w14:paraId="4D16A623" w14:textId="77777777" w:rsidR="00202C5C" w:rsidRDefault="00202C5C" w:rsidP="00D8051F">
      <w:pPr>
        <w:pStyle w:val="Titolo1"/>
      </w:pPr>
      <w:r>
        <w:t>Preamble</w:t>
      </w:r>
    </w:p>
    <w:p w14:paraId="37C0DC99" w14:textId="534B473C" w:rsidR="00202C5C" w:rsidRPr="00D8051F" w:rsidRDefault="00202C5C" w:rsidP="00D8051F">
      <w:r w:rsidRPr="00D8051F">
        <w:t xml:space="preserve">This </w:t>
      </w:r>
      <w:r w:rsidR="00D8051F" w:rsidRPr="00D8051F">
        <w:t>paper</w:t>
      </w:r>
      <w:r w:rsidRPr="00D8051F">
        <w:t>, even if well focussed on AI technology, requires extending the vision to a brief overview on cyber technology and its recent evolution both on the technological and exploitation side. The key aspects outlined in the title cannot be adequately described if not include in the overall scenario, off course taking into consideration each single technology and trend there are not specific concerns and technology seems simply to ease our daily life but getting much more in depth of each single innovation or putting together all the visible “tiles” of the “new normal” mosaic we can raise some concerns. If on one side the whole architecture is based on cyber tech, with all the potential risks it implies as we will outline later, on the other side cyber-world rules can express a power that no one of the “rules” in history had, information and big data are the assets to be analysed, influenced, reused. Some authors call them “the new oil” but this type of “oil” can be used, abused, and misused many times.</w:t>
      </w:r>
    </w:p>
    <w:p w14:paraId="7CDBA87A" w14:textId="77777777" w:rsidR="00202C5C" w:rsidRDefault="00202C5C" w:rsidP="00D8051F">
      <w:pPr>
        <w:pStyle w:val="Titolo2"/>
      </w:pPr>
      <w:r>
        <w:t>Digital and Society</w:t>
      </w:r>
    </w:p>
    <w:p w14:paraId="11DB5ACA" w14:textId="77777777" w:rsidR="00202C5C" w:rsidRPr="009B1613" w:rsidRDefault="00202C5C" w:rsidP="00D8051F">
      <w:r w:rsidRPr="009B1613">
        <w:t>On</w:t>
      </w:r>
      <w:r>
        <w:t>e</w:t>
      </w:r>
      <w:r w:rsidRPr="009B1613">
        <w:t xml:space="preserve"> of the key events that have characterised the recent period is the so-called digital transformation considered the natural evolution of the current society in the light of a pervasive technology like digital technology. This ongoing process has impacted at different levels different countries. Some countries invested relevant resources to quickly implement this transformation, others behaved differently. These technologies</w:t>
      </w:r>
      <w:r>
        <w:t>,</w:t>
      </w:r>
      <w:r w:rsidRPr="009B1613">
        <w:t xml:space="preserve"> and much more the following ones in the new century, become something to frame humans breaching privacy, sometimes even human rights [</w:t>
      </w:r>
      <w:r>
        <w:t>1</w:t>
      </w:r>
      <w:r w:rsidRPr="009B1613">
        <w:t xml:space="preserve"> – Zuboff – 2019].</w:t>
      </w:r>
    </w:p>
    <w:p w14:paraId="2736C4A3" w14:textId="77777777" w:rsidR="00202C5C" w:rsidRPr="009B1613" w:rsidRDefault="00202C5C" w:rsidP="00D8051F"/>
    <w:p w14:paraId="7B225F1A" w14:textId="77777777" w:rsidR="00202C5C" w:rsidRDefault="00202C5C" w:rsidP="00D8051F">
      <w:r w:rsidRPr="009B1613">
        <w:t xml:space="preserve">In 2020 citizen </w:t>
      </w:r>
      <w:r>
        <w:t>[2</w:t>
      </w:r>
      <w:r w:rsidRPr="009B1613">
        <w:t xml:space="preserve"> - CoE – 2001] faced a turning point due to the pandemic, this phenomenon had an increasing impact on society as soon as the practical effects of a faraway event become a kind of local nightmare restricting the human rights of citizens at different levels in different countries. Citizens around the world faced relevant changes</w:t>
      </w:r>
      <w:r>
        <w:t>,</w:t>
      </w:r>
      <w:r w:rsidRPr="009B1613">
        <w:t xml:space="preserve"> </w:t>
      </w:r>
      <w:r>
        <w:t>the web of interconnections among different countries and enterprises showed its fragility outlining critical links in some “global” supply chains.</w:t>
      </w:r>
      <w:r w:rsidRPr="007468A3">
        <w:t xml:space="preserve"> </w:t>
      </w:r>
      <w:r w:rsidRPr="009B1613">
        <w:t xml:space="preserve">Digital media </w:t>
      </w:r>
      <w:r>
        <w:t xml:space="preserve">and services </w:t>
      </w:r>
      <w:r w:rsidRPr="009B1613">
        <w:t>played a leading role in informing and reshaping citizens’ behaviours, some of the imposed modification of habits become a new “normal” and survived after the end of the crisis.</w:t>
      </w:r>
    </w:p>
    <w:p w14:paraId="70A769FE" w14:textId="521FD7AE" w:rsidR="00202C5C" w:rsidRDefault="00202C5C" w:rsidP="00D8051F">
      <w:r w:rsidRPr="00534483">
        <w:t xml:space="preserve">A relevant part of digital transformation relies on software platforms, mainly “global” platforms, </w:t>
      </w:r>
      <w:r>
        <w:t xml:space="preserve">a market sector </w:t>
      </w:r>
      <w:r w:rsidRPr="00534483">
        <w:t xml:space="preserve">not yet regulated, a “grey zone”. Platforms are mainly private, and the key ones are </w:t>
      </w:r>
      <w:r w:rsidRPr="00534483">
        <w:lastRenderedPageBreak/>
        <w:t xml:space="preserve">concentrated in few countries creating a kind of “oligarchy” [ </w:t>
      </w:r>
      <w:r>
        <w:t>3</w:t>
      </w:r>
      <w:r w:rsidRPr="00534483">
        <w:t xml:space="preserve"> – Ronchi, 2019]. The “control buttons” of our daily life are often outside the control of our nation state. The increasing dependence from service platforms, that terminated the activities of the previous added value chains, may cause serious troubles in case of problems in accessing them both due to malfunctions, hackers’ attacks or in case of top-down decision to selectively switch off the service. A plan B in such a situation, if not present, will require long time to be implemented</w:t>
      </w:r>
      <w:r w:rsidR="00F6717E">
        <w:t>.</w:t>
      </w:r>
    </w:p>
    <w:p w14:paraId="619A37B9" w14:textId="77777777" w:rsidR="00202C5C" w:rsidRPr="009B1613" w:rsidRDefault="00202C5C" w:rsidP="00D8051F"/>
    <w:p w14:paraId="4DEDBD83" w14:textId="7D88F1E2" w:rsidR="00202C5C" w:rsidRPr="006312DE" w:rsidRDefault="00202C5C" w:rsidP="00D8051F">
      <w:r w:rsidRPr="009B1613">
        <w:t>The pandemic was surely a significant stress test for the network infrastructure all-over the world</w:t>
      </w:r>
      <w:r>
        <w:t>. I</w:t>
      </w:r>
      <w:r w:rsidRPr="00C76560">
        <w:t>n a glimpse government procedure</w:t>
      </w:r>
      <w:r>
        <w:t>,</w:t>
      </w:r>
      <w:r w:rsidRPr="00C76560">
        <w:t xml:space="preserve"> citizens documents and data fl</w:t>
      </w:r>
      <w:r>
        <w:t>e</w:t>
      </w:r>
      <w:r w:rsidRPr="00C76560">
        <w:t>w in the format of bit streams, sometimes, under the pressure of critical events, this process wasn’t designed to ensure security.</w:t>
      </w:r>
      <w:r>
        <w:t xml:space="preserve"> At the same time an </w:t>
      </w:r>
      <w:r w:rsidRPr="009B1613">
        <w:t>increasing number of “digitally divided” [</w:t>
      </w:r>
      <w:r>
        <w:t>4</w:t>
      </w:r>
      <w:r w:rsidRPr="009B1613">
        <w:t xml:space="preserve"> – Pimienta - 2014] </w:t>
      </w:r>
      <w:r>
        <w:t xml:space="preserve">were </w:t>
      </w:r>
      <w:r w:rsidRPr="009B1613">
        <w:t>forced to “go digital” generat</w:t>
      </w:r>
      <w:r>
        <w:t>ing a</w:t>
      </w:r>
      <w:r w:rsidRPr="009B1613">
        <w:t xml:space="preserve"> wider and suitable “market” for cyber criminals</w:t>
      </w:r>
      <w:r>
        <w:rPr>
          <w:rStyle w:val="Rimandonotaapidipagina"/>
        </w:rPr>
        <w:footnoteReference w:id="1"/>
      </w:r>
      <w:r>
        <w:t>.</w:t>
      </w:r>
      <w:r w:rsidRPr="009B1613">
        <w:t xml:space="preserve"> </w:t>
      </w:r>
      <w:r w:rsidR="00F6717E">
        <w:t xml:space="preserve"> </w:t>
      </w:r>
      <w:r>
        <w:t>T</w:t>
      </w:r>
      <w:r w:rsidRPr="009B1613">
        <w:t>he desire of decision makers to go digital</w:t>
      </w:r>
      <w:r>
        <w:t xml:space="preserve"> [5 – Ronchi, 2020] posed the basis to create a </w:t>
      </w:r>
      <w:r w:rsidRPr="009B1613">
        <w:t>cyber-based society relaying on “digital”, this pillar is quite fragile, potentially subject to malfunctions, hackers’ attacks and suitable for top-down discrimination.</w:t>
      </w:r>
      <w:r w:rsidR="00F6717E">
        <w:t xml:space="preserve"> </w:t>
      </w:r>
      <w:r w:rsidRPr="006312DE">
        <w:t>We are surrounded by “critical infrastructures” managed by cyber components that, in case of attacks, may create mayor or minor impact on our daily life. This aspect it is not globally relevant nowadays in some countries but already impacts some critical services and infrastructures such as health</w:t>
      </w:r>
      <w:r>
        <w:t>, transportation</w:t>
      </w:r>
      <w:r w:rsidRPr="006312DE">
        <w:t xml:space="preserve"> and basic assets provision.</w:t>
      </w:r>
    </w:p>
    <w:p w14:paraId="348C28B4" w14:textId="77777777" w:rsidR="00202C5C" w:rsidRDefault="00202C5C" w:rsidP="00D8051F"/>
    <w:p w14:paraId="7239BD38" w14:textId="6AB8F32B" w:rsidR="00202C5C" w:rsidRPr="006312DE" w:rsidRDefault="00202C5C" w:rsidP="00D8051F">
      <w:r w:rsidRPr="00786CFA">
        <w:t xml:space="preserve">Metaverse </w:t>
      </w:r>
      <w:r w:rsidRPr="00A07051">
        <w:t>[</w:t>
      </w:r>
      <w:r>
        <w:t xml:space="preserve">6 - </w:t>
      </w:r>
      <w:r w:rsidRPr="00A07051">
        <w:t>Ronchi</w:t>
      </w:r>
      <w:r>
        <w:t xml:space="preserve">, </w:t>
      </w:r>
      <w:r w:rsidRPr="00A07051">
        <w:t>2022</w:t>
      </w:r>
      <w:r>
        <w:t xml:space="preserve">] </w:t>
      </w:r>
      <w:r w:rsidRPr="00786CFA">
        <w:t>and virtual reality are inter-twined, but they are not the same. Digital technology till now has mainly acted as a human insolation technology</w:t>
      </w:r>
      <w:r>
        <w:t>. The social dimension traditionally based on interpersonal relations, families with relatives and friends having lunch and dinner together, and quality time spent in community was limited and surrogated by digital audio and video connections.</w:t>
      </w:r>
      <w:r w:rsidR="00F6717E">
        <w:t xml:space="preserve"> </w:t>
      </w:r>
      <w:r w:rsidRPr="006312DE">
        <w:t>On the social side western citizens are wrapped in their own personal cyber-sphere in a kind of symbiotic relation. They experience the world thanks to a cyber</w:t>
      </w:r>
      <w:r>
        <w:t>-</w:t>
      </w:r>
      <w:r w:rsidRPr="006312DE">
        <w:t>device mediated approach; the “new reality” is the one delivered by devices. The cyber-loneliness, one of the foreseeable risks is a kind of addiction to this “parallel life” training users to shift from Real- to Meta-life blurring the border between them</w:t>
      </w:r>
      <w:r>
        <w:t xml:space="preserve">, </w:t>
      </w:r>
      <w:r w:rsidRPr="00BF7B2D">
        <w:t xml:space="preserve">this may happen as much as the number of services and duties will be transferred on the other side of the Alice’s mirror. Meta-life can propose a new normal </w:t>
      </w:r>
      <w:r>
        <w:t xml:space="preserve">[7 – ISPI 2023] </w:t>
      </w:r>
      <w:r w:rsidRPr="00BF7B2D">
        <w:t>that</w:t>
      </w:r>
      <w:r>
        <w:t>,</w:t>
      </w:r>
      <w:r w:rsidRPr="00BF7B2D">
        <w:t xml:space="preserve"> once accepted in the Meta-life</w:t>
      </w:r>
      <w:r>
        <w:t>,</w:t>
      </w:r>
      <w:r w:rsidRPr="00BF7B2D">
        <w:t xml:space="preserve"> might be accepted in the real life. The same of course is valid for </w:t>
      </w:r>
      <w:r>
        <w:t xml:space="preserve">mainstream </w:t>
      </w:r>
      <w:r w:rsidRPr="00BF7B2D">
        <w:t>information and opinion dynamics, especially if perceived as real and trustable.</w:t>
      </w:r>
      <w:r>
        <w:t>”</w:t>
      </w:r>
    </w:p>
    <w:p w14:paraId="2C1D0695" w14:textId="77777777" w:rsidR="00202C5C" w:rsidRDefault="00202C5C" w:rsidP="00D8051F"/>
    <w:p w14:paraId="70923F58" w14:textId="378DFDF1" w:rsidR="00202C5C" w:rsidRDefault="00202C5C" w:rsidP="00D8051F">
      <w:r>
        <w:t xml:space="preserve">As it can already happen today even if a </w:t>
      </w:r>
      <w:r w:rsidR="00F6717E">
        <w:t>“</w:t>
      </w:r>
      <w:r>
        <w:t>cyber wallet</w:t>
      </w:r>
      <w:r w:rsidR="00F6717E">
        <w:t>”</w:t>
      </w:r>
      <w:r>
        <w:t xml:space="preserve"> is not yet fully implemented, n</w:t>
      </w:r>
      <w:r w:rsidRPr="009B1613">
        <w:t>o access to the digital infrastructure</w:t>
      </w:r>
      <w:r>
        <w:t xml:space="preserve"> means</w:t>
      </w:r>
      <w:r w:rsidRPr="009B1613">
        <w:t xml:space="preserve">: no ID, no social security, no bank accounts, no certificates, and more. </w:t>
      </w:r>
      <w:r w:rsidR="00F6717E">
        <w:t xml:space="preserve">A mechanism of “social credits” can be easily implemented to add or subtract credits accordingly with citizens behaviours. </w:t>
      </w:r>
      <w:r w:rsidRPr="00C76560">
        <w:t xml:space="preserve">The survived “almost” traditional documents will be soon enforced by cross validation thanks to our digital ID. All the rest of our personal data are already stored somewhere in our country or abroad thanks to our “buddies” like our smart phone or smart watch. </w:t>
      </w:r>
    </w:p>
    <w:p w14:paraId="3594FC2B" w14:textId="77777777" w:rsidR="00202C5C" w:rsidRDefault="00202C5C" w:rsidP="00D8051F">
      <w:r>
        <w:t>Recently the European Commission and the European Central Bank boosted the project to create an official digital Euro potentially active since 2026 now postponed to 2028. Of course, due to its origins this cannot be considered a crypto currency it can be considered a kind of digital voucher digitally managed by the European Central Bank and subject to a full digital control.</w:t>
      </w:r>
    </w:p>
    <w:p w14:paraId="2F9AD85C" w14:textId="77777777" w:rsidR="00202C5C" w:rsidRDefault="00202C5C" w:rsidP="00D8051F">
      <w:r w:rsidRPr="009B1613">
        <w:t>The alleged total dependence from the cyber domain represents a significant weakness as often happens science fiction movies like “The Net</w:t>
      </w:r>
      <w:r w:rsidRPr="009B1613">
        <w:rPr>
          <w:rStyle w:val="Rimandonotaapidipagina"/>
        </w:rPr>
        <w:footnoteReference w:id="2"/>
      </w:r>
      <w:r w:rsidRPr="009B1613">
        <w:t xml:space="preserve">” </w:t>
      </w:r>
      <w:r>
        <w:t xml:space="preserve">that </w:t>
      </w:r>
      <w:r w:rsidRPr="009B1613">
        <w:t xml:space="preserve">draws a not completely unreal scenario of identity </w:t>
      </w:r>
      <w:r w:rsidRPr="009B1613">
        <w:lastRenderedPageBreak/>
        <w:t>theft or “Enemy of State</w:t>
      </w:r>
      <w:r w:rsidRPr="009B1613">
        <w:rPr>
          <w:rStyle w:val="Rimandonotaapidipagina"/>
        </w:rPr>
        <w:footnoteReference w:id="3"/>
      </w:r>
      <w:r w:rsidRPr="009B1613">
        <w:t>” depict</w:t>
      </w:r>
      <w:r>
        <w:t>ing</w:t>
      </w:r>
      <w:r w:rsidRPr="009B1613">
        <w:t xml:space="preserve"> similar situations. </w:t>
      </w:r>
      <w:r>
        <w:t>This scenario was recently enriched by the rapid diffusion of artificial intelligence generating some more concerns.</w:t>
      </w:r>
    </w:p>
    <w:p w14:paraId="626B19FC" w14:textId="73CB9B92" w:rsidR="00202C5C" w:rsidRDefault="00202C5C" w:rsidP="00D8051F">
      <w:r w:rsidRPr="006312DE">
        <w:t>Moreover, the environmental impact of digital technologies—including energy consumption from data centres and blockchain operations, as well as electronic waste from rapid device turnover</w:t>
      </w:r>
      <w:r w:rsidR="00F6717E">
        <w:t xml:space="preserve"> </w:t>
      </w:r>
      <w:r w:rsidRPr="006312DE">
        <w:t xml:space="preserve">raises questions about the sustainability and resilience of our current technological trajectory. Consequently, can cyber technology be considered green and </w:t>
      </w:r>
      <w:r w:rsidR="00F6717E">
        <w:t>sustainable</w:t>
      </w:r>
      <w:r w:rsidRPr="006312DE">
        <w:t xml:space="preserve"> [ </w:t>
      </w:r>
      <w:r>
        <w:t>8</w:t>
      </w:r>
      <w:r w:rsidRPr="006312DE">
        <w:t xml:space="preserve"> – Ronchi 2024]? Who will “pay” for this surplus of energy and waste?</w:t>
      </w:r>
    </w:p>
    <w:p w14:paraId="41D0CD36" w14:textId="77777777" w:rsidR="00202C5C" w:rsidRDefault="00202C5C" w:rsidP="00D8051F">
      <w:r>
        <w:t>Recalling one of the above sentences – “</w:t>
      </w:r>
      <w:r w:rsidRPr="000679AE">
        <w:t>taking into consideration each single technology and trend there are not specific concerns, and technology seems simply to ease our daily life but getting much more in depth of each single innovation or putting together all the visible “tiles” of the “new normal” mosaic we can be concerned</w:t>
      </w:r>
      <w:r>
        <w:t>”.</w:t>
      </w:r>
    </w:p>
    <w:p w14:paraId="622DCEC7" w14:textId="1F42F504" w:rsidR="00A274F8" w:rsidRDefault="00A274F8" w:rsidP="00A274F8">
      <w:pPr>
        <w:pStyle w:val="Titolo1"/>
      </w:pPr>
      <w:r>
        <w:t>AI reborn</w:t>
      </w:r>
    </w:p>
    <w:p w14:paraId="794F023A" w14:textId="485996EB" w:rsidR="00F32D58" w:rsidRDefault="00A274F8" w:rsidP="00F32D58">
      <w:r>
        <w:t>Born in the fifties thanks to the “Touring Test” posing the key question “</w:t>
      </w:r>
      <w:r w:rsidRPr="00946BA7">
        <w:rPr>
          <w:i/>
          <w:iCs/>
        </w:rPr>
        <w:t>Can machines think?</w:t>
      </w:r>
      <w:r>
        <w:rPr>
          <w:i/>
          <w:iCs/>
        </w:rPr>
        <w:t xml:space="preserve">” </w:t>
      </w:r>
      <w:r w:rsidRPr="00A274F8">
        <w:t xml:space="preserve">AI </w:t>
      </w:r>
      <w:r>
        <w:t>was developed in laboratories reaching a relevant visibility in the eighties</w:t>
      </w:r>
      <w:r w:rsidR="00C40F12">
        <w:t>.</w:t>
      </w:r>
      <w:r>
        <w:t xml:space="preserve"> </w:t>
      </w:r>
      <w:r w:rsidR="00C40F12" w:rsidRPr="00946BA7">
        <w:t>A.I. advances captured the interest of journalists being considered the seed of the “Big Brother” or the ignition of the progressive slavery of men ruled by machines.</w:t>
      </w:r>
      <w:r w:rsidR="00C40F12">
        <w:t xml:space="preserve"> </w:t>
      </w:r>
      <w:r w:rsidR="00C40F12" w:rsidRPr="00946BA7">
        <w:t>The term “artificial intelligence” probably ignited the understanding that there were two “intelligences” one human and anther artificial potentially competing to “rule” the world</w:t>
      </w:r>
      <w:r w:rsidR="00C40F12">
        <w:t xml:space="preserve">. Since the incredibly fast dissemination of AI tools like ChatGBT the interest of citizens in the potential application of </w:t>
      </w:r>
      <w:r w:rsidR="00C40F12" w:rsidRPr="00946BA7">
        <w:t xml:space="preserve">AI </w:t>
      </w:r>
      <w:r w:rsidR="00C40F12">
        <w:t xml:space="preserve">and its direct experimentation increased. AI </w:t>
      </w:r>
      <w:r w:rsidR="00C40F12" w:rsidRPr="00946BA7">
        <w:t>can offer relevant benefits to humanity but, after a first phase of free evolution and identification of positive evolutionary trends, they must be carefully framed in their potentiality and regulated.</w:t>
      </w:r>
      <w:r w:rsidR="00C40F12">
        <w:t xml:space="preserve"> </w:t>
      </w:r>
      <w:r w:rsidR="00F32D58" w:rsidRPr="00F32D58">
        <w:t xml:space="preserve">Potential bias and hallucinations, the lack of explainability of the results, and potential violations of ethical principles are </w:t>
      </w:r>
      <w:r w:rsidR="00F32D58">
        <w:t xml:space="preserve">generating </w:t>
      </w:r>
      <w:r w:rsidR="00F32D58" w:rsidRPr="00F32D58">
        <w:t>concern</w:t>
      </w:r>
      <w:r w:rsidR="00F32D58">
        <w:t>s</w:t>
      </w:r>
      <w:r w:rsidR="00F32D58" w:rsidRPr="00F32D58">
        <w:t>.</w:t>
      </w:r>
    </w:p>
    <w:p w14:paraId="4CAADC22" w14:textId="7BEEBCA8" w:rsidR="00F32D58" w:rsidRDefault="00F32D58" w:rsidP="00F32D58">
      <w:r>
        <w:t xml:space="preserve">Nowadays </w:t>
      </w:r>
      <w:r w:rsidRPr="00946BA7">
        <w:t xml:space="preserve">AI as the essential keyword to ensure market success. The “commercial” power of “AI based” tools and equipment is evident. Thanks to the blurred border line between programmed logic behaviour and artificial intelligence a relevant part of products and services are nowadays “AI based”. Consequently, becomes important to set some guidelines framing this sector. How can be defined AI? </w:t>
      </w:r>
      <w:r>
        <w:t xml:space="preserve">Governments and regulators are reacting to this question. Saudi Arabia government, as an example, issued this definition </w:t>
      </w:r>
      <w:r w:rsidRPr="00946BA7">
        <w:t>“</w:t>
      </w:r>
      <w:r w:rsidRPr="00946BA7">
        <w:rPr>
          <w:i/>
          <w:iCs/>
        </w:rPr>
        <w:t>AI is systems that use technologies capable of making predictions, generating content, providing recommendations, or making decisions with different levels of autonomy</w:t>
      </w:r>
      <w:r w:rsidRPr="00946BA7">
        <w:t>.”</w:t>
      </w:r>
      <w:r>
        <w:t xml:space="preserve"> The European Commission, among more detailed definitions stated</w:t>
      </w:r>
      <w:r w:rsidR="00906A5F">
        <w:t>,</w:t>
      </w:r>
      <w:r>
        <w:t xml:space="preserve"> “</w:t>
      </w:r>
      <w:r w:rsidRPr="00946BA7">
        <w:t>A key characteristic of AI systems is their capability to infer”.</w:t>
      </w:r>
    </w:p>
    <w:p w14:paraId="025D6358" w14:textId="55C17269" w:rsidR="00202C5C" w:rsidRDefault="00202C5C" w:rsidP="00F32D58">
      <w:pPr>
        <w:pStyle w:val="Titolo1"/>
      </w:pPr>
      <w:r w:rsidRPr="00DE7B6D">
        <w:t>Ethics and rules like Asimov's laws applied to AI</w:t>
      </w:r>
    </w:p>
    <w:p w14:paraId="53B8C876" w14:textId="77777777" w:rsidR="00202C5C" w:rsidRPr="00C87D15" w:rsidRDefault="00202C5C" w:rsidP="00D8051F">
      <w:r w:rsidRPr="00C87D15">
        <w:t>Ethics, in a very basic definition, is one of the branches of philosophy that concerns human behaviour. The term Ethics finds is root / etymology in the ancient Greek term “</w:t>
      </w:r>
      <w:proofErr w:type="spellStart"/>
      <w:r w:rsidRPr="00C87D15">
        <w:rPr>
          <w:rFonts w:ascii="Arial" w:hAnsi="Arial" w:cs="Arial"/>
        </w:rPr>
        <w:t>ἦ</w:t>
      </w:r>
      <w:r w:rsidRPr="00C87D15">
        <w:t>θος</w:t>
      </w:r>
      <w:proofErr w:type="spellEnd"/>
      <w:r w:rsidRPr="00C87D15">
        <w:t>,” (ethos), this term refers to the characteristic spirit of a culture, era, or community as manifested in its beliefs and aspirations.</w:t>
      </w:r>
    </w:p>
    <w:p w14:paraId="72EF3820" w14:textId="77777777" w:rsidR="00202C5C" w:rsidRPr="00C87D15" w:rsidRDefault="00202C5C" w:rsidP="00D8051F">
      <w:r w:rsidRPr="00C87D15">
        <w:t>The term Ethics is often associated with the term Moral as in the case of Ethics as Moral Philosophy, the philosophical study of the concepts of moral right and wrong and moral good and bad. Ethics subject consists of the fundamental issues of practical decision making, and the ultimate value and the standards by which human actions can be judged right or wrong.</w:t>
      </w:r>
    </w:p>
    <w:p w14:paraId="5E490BA0" w14:textId="77777777" w:rsidR="00202C5C" w:rsidRDefault="00202C5C" w:rsidP="00D8051F">
      <w:r w:rsidRPr="00C87D15">
        <w:t xml:space="preserve">The term Moral is often associated with religions, cultures, professions, or virtually any other group that is characterized by its moral outlook (e.g. Medical Doctors, Biologists, Judges, Engineers). Philosophers developed their approach to ethics as part of their theory starting from the early stages of thinkers. At the Roman age we can mention the treaty “De </w:t>
      </w:r>
      <w:proofErr w:type="spellStart"/>
      <w:r w:rsidRPr="00C87D15">
        <w:t>finibus</w:t>
      </w:r>
      <w:proofErr w:type="spellEnd"/>
      <w:r w:rsidRPr="00C87D15">
        <w:t xml:space="preserve"> </w:t>
      </w:r>
      <w:proofErr w:type="spellStart"/>
      <w:r w:rsidRPr="00C87D15">
        <w:t>bonorum</w:t>
      </w:r>
      <w:proofErr w:type="spellEnd"/>
      <w:r w:rsidRPr="00C87D15">
        <w:t xml:space="preserve"> et </w:t>
      </w:r>
      <w:proofErr w:type="spellStart"/>
      <w:r w:rsidRPr="00C87D15">
        <w:t>malorum</w:t>
      </w:r>
      <w:proofErr w:type="spellEnd"/>
      <w:r w:rsidRPr="00C87D15">
        <w:t xml:space="preserve"> (</w:t>
      </w:r>
      <w:r w:rsidRPr="00C87D15">
        <w:rPr>
          <w:i/>
          <w:iCs/>
        </w:rPr>
        <w:t>On the Supreme Good</w:t>
      </w:r>
      <w:r w:rsidRPr="00C87D15">
        <w:t>)” [</w:t>
      </w:r>
      <w:r>
        <w:t>9</w:t>
      </w:r>
      <w:r w:rsidRPr="00C87D15">
        <w:t xml:space="preserve"> – Cicero 45 </w:t>
      </w:r>
      <w:proofErr w:type="spellStart"/>
      <w:r w:rsidRPr="00C87D15">
        <w:t>b.c.</w:t>
      </w:r>
      <w:proofErr w:type="spellEnd"/>
      <w:r w:rsidRPr="00C87D15">
        <w:t xml:space="preserve">]. The </w:t>
      </w:r>
      <w:r w:rsidRPr="00407E23">
        <w:t xml:space="preserve">work is structured </w:t>
      </w:r>
      <w:r w:rsidRPr="00C87D15">
        <w:t>in “books” based on</w:t>
      </w:r>
      <w:r w:rsidRPr="00407E23">
        <w:t xml:space="preserve"> the Aristotelian structure </w:t>
      </w:r>
      <w:r w:rsidRPr="00C87D15">
        <w:t xml:space="preserve">involving </w:t>
      </w:r>
      <w:r w:rsidRPr="00407E23">
        <w:t>two orators, one spon</w:t>
      </w:r>
      <w:r w:rsidRPr="00C87D15">
        <w:t xml:space="preserve">soring a thesis the other one refutes. In the third “book” Cicero let the orator Marcus Porcius Cato </w:t>
      </w:r>
      <w:proofErr w:type="spellStart"/>
      <w:r w:rsidRPr="00C87D15">
        <w:t>Uticensis</w:t>
      </w:r>
      <w:proofErr w:type="spellEnd"/>
      <w:r w:rsidRPr="00C87D15">
        <w:t xml:space="preserve"> (Cato the Younger 95 B.C., Rome–April 46 B.C., </w:t>
      </w:r>
      <w:r w:rsidRPr="00C87D15">
        <w:lastRenderedPageBreak/>
        <w:t xml:space="preserve">Utica) sponsors the Stoics’ approach to good and evil. </w:t>
      </w:r>
      <w:r w:rsidRPr="00990E60">
        <w:t>In the fourth “book” Cicero considers that this approach is not to be refuted but must be partially amended because it is too abstract and far from everyday reality</w:t>
      </w:r>
      <w:r>
        <w:t>.</w:t>
      </w:r>
    </w:p>
    <w:p w14:paraId="334FD776" w14:textId="77777777" w:rsidR="00202C5C" w:rsidRPr="00C87D15" w:rsidRDefault="00202C5C" w:rsidP="00D8051F">
      <w:r w:rsidRPr="00C87D15">
        <w:t>This short excursus outlines the tight relation between ethics and groups or communities.</w:t>
      </w:r>
    </w:p>
    <w:p w14:paraId="190997A5" w14:textId="77777777" w:rsidR="00202C5C" w:rsidRPr="00C87D15" w:rsidRDefault="00202C5C" w:rsidP="00D8051F">
      <w:r w:rsidRPr="00C87D15">
        <w:t>How it happened that ethics entered the cyber domain? Since the origin of computer science there was apparently no relation between this branch of human knowledge and philosophy, ethics and more in general humanities. Computer science seemed to do not impact on society at least not enough to generate interests or concerns by humanists; something happened at the birth of the World Wide Web. Since the early stages, the WWW attracted knowledgeable people from a wide range of cultural sectors. On the third WWW Conference (1993) held in Darmstadt (D) mayor part of participants come from humanities, they found the concept of “Web” very appealing and useful in their specific domain of knowledge. At least since that time the humanism entered the world of computer science. A turning point was probably the World Summit on the Information Society held in Geneva ten years later in 2003 mainly thanks to the multistakeholder approach that involved in the process civil society and a large set of expertise including humanities, a specific interest was devoted to Cyber Ethics and to pursue a human centred approach [</w:t>
      </w:r>
      <w:r>
        <w:t>10</w:t>
      </w:r>
      <w:r w:rsidRPr="00C87D15">
        <w:t xml:space="preserve"> – </w:t>
      </w:r>
      <w:proofErr w:type="spellStart"/>
      <w:r w:rsidRPr="00C87D15">
        <w:t>Stuckelberger</w:t>
      </w:r>
      <w:proofErr w:type="spellEnd"/>
      <w:r w:rsidRPr="00C87D15">
        <w:t xml:space="preserve"> 2018].</w:t>
      </w:r>
    </w:p>
    <w:p w14:paraId="200B5D40" w14:textId="77777777" w:rsidR="00202C5C" w:rsidRPr="00C87D15" w:rsidRDefault="00202C5C" w:rsidP="00D8051F">
      <w:r w:rsidRPr="00C87D15">
        <w:t>Cyber Ethics become one of the relevant topics to be discussed and addressed, this led to the creation of a specific action line “AL10 Ethical dimensions the Information Society” that since that time, working in tight cooperation with other action lines, represents the humanism side of cyber technology. More recently thanks to the activity carried out both within the WSIS Forums and some research centres</w:t>
      </w:r>
      <w:r w:rsidRPr="00C87D15">
        <w:rPr>
          <w:rStyle w:val="Rimandonotaapidipagina"/>
        </w:rPr>
        <w:footnoteReference w:id="4"/>
      </w:r>
      <w:r w:rsidRPr="00C87D15">
        <w:t xml:space="preserve"> the focus has been extended to the whole Digital Humanism.</w:t>
      </w:r>
    </w:p>
    <w:p w14:paraId="6F051E96" w14:textId="77777777" w:rsidR="00202C5C" w:rsidRDefault="00202C5C" w:rsidP="00D8051F">
      <w:r>
        <w:t>To properly consider ethics in the field of AI accordingly with the above definition derived from Ethos we must consider, apart from some basic shared principles mainly derived from key human rights different cultural model related features. This takes us back to the “localisation” of “intelligences”.</w:t>
      </w:r>
    </w:p>
    <w:p w14:paraId="3273657E" w14:textId="77777777" w:rsidR="00202C5C" w:rsidRDefault="00202C5C" w:rsidP="00D8051F"/>
    <w:p w14:paraId="10095623" w14:textId="77777777" w:rsidR="00202C5C" w:rsidRDefault="00202C5C" w:rsidP="00D8051F">
      <w:r w:rsidRPr="003A26B3">
        <w:t>In recent times the focus on ethics grounds its roots in the well-known example related to autonomous drive cars and legal consequences but, due to the proliferation of AI managed systems and devices, ethics has gained a key role in systemic liability allocation models that ensure accountability. without stifling innovation. The role of followers assigned to regulations is usually due to the will to do not influence or shape the evolution of science and technology.</w:t>
      </w:r>
    </w:p>
    <w:p w14:paraId="513A3B81" w14:textId="77777777" w:rsidR="00202C5C" w:rsidRPr="001B4FAE" w:rsidRDefault="00202C5C" w:rsidP="00D8051F">
      <w:r>
        <w:t>One of the side effects of innovation from online breaking news to stock exchange is the quest for real-time, reactions must be immediate, t</w:t>
      </w:r>
      <w:r w:rsidRPr="00536928">
        <w:t xml:space="preserve">he initial trend </w:t>
      </w:r>
      <w:r>
        <w:t xml:space="preserve">in the transition </w:t>
      </w:r>
      <w:r w:rsidRPr="00536928">
        <w:t xml:space="preserve">from humans to AI systems, usually associated with “black boxes,” considered human supervision </w:t>
      </w:r>
      <w:r>
        <w:t xml:space="preserve">not </w:t>
      </w:r>
      <w:r w:rsidRPr="00536928">
        <w:t xml:space="preserve">to be </w:t>
      </w:r>
      <w:r>
        <w:t>mandatory</w:t>
      </w:r>
      <w:r w:rsidRPr="00536928">
        <w:t xml:space="preserve"> and even unnecessary, as it created a significant time lag compared to decisions and actions that AI could execute on the fly.</w:t>
      </w:r>
      <w:r w:rsidRPr="001B4FAE">
        <w:t xml:space="preserve"> </w:t>
      </w:r>
      <w:r w:rsidRPr="00536928">
        <w:t>This results in critical decisions being entrusted to automated decision-making software, with no room for human intervention</w:t>
      </w:r>
      <w:r>
        <w:t xml:space="preserve"> and unpredictable conflicts with ethics</w:t>
      </w:r>
      <w:r w:rsidRPr="00536928">
        <w:t>. As we all know, this approach has already led to some inconveniences and even disasters.</w:t>
      </w:r>
      <w:r>
        <w:t xml:space="preserve"> </w:t>
      </w:r>
      <w:r w:rsidRPr="001B4FAE">
        <w:t xml:space="preserve">Tokyo stock exchange, </w:t>
      </w:r>
      <w:r>
        <w:t xml:space="preserve">Boeing </w:t>
      </w:r>
      <w:r w:rsidRPr="001B4FAE">
        <w:t xml:space="preserve">373 Max, </w:t>
      </w:r>
      <w:r>
        <w:t xml:space="preserve">some automatic driving systems, </w:t>
      </w:r>
      <w:r w:rsidRPr="001B4FAE">
        <w:t>etc.</w:t>
      </w:r>
      <w:r>
        <w:t xml:space="preserve"> The unbridgeable gap between AI real-time decisions and human evaluated decisions poses both ethical, legal and practical issues.</w:t>
      </w:r>
    </w:p>
    <w:p w14:paraId="4209A5F2" w14:textId="77777777" w:rsidR="00202C5C" w:rsidRDefault="00202C5C" w:rsidP="00D8051F"/>
    <w:p w14:paraId="79B8666B" w14:textId="6013E059" w:rsidR="00202C5C" w:rsidRDefault="00202C5C" w:rsidP="00D8051F">
      <w:r>
        <w:t>Following the actual trend to embed AI at decision level in a broad range of fields the legal system will soon face the problem to assign responsibility when AI systems will be involved in or cause harm.</w:t>
      </w:r>
      <w:r w:rsidR="00900055">
        <w:t xml:space="preserve"> </w:t>
      </w:r>
      <w:r>
        <w:t>Taking as an example to well-known car collision case, apart from potential ethics and cultural differences (east</w:t>
      </w:r>
      <w:r w:rsidR="00900055">
        <w:t>ern</w:t>
      </w:r>
      <w:r>
        <w:t xml:space="preserve"> and west</w:t>
      </w:r>
      <w:r w:rsidR="00900055">
        <w:t>ern</w:t>
      </w:r>
      <w:r>
        <w:t>), the analysis will take into account the design and performance of the hardware side (sensors, actuators, schema, redundance, etc.) and the logic side trying to understand the logic schema followed by the system usually without human supervision and last but not least a mix of negative circumstances due to a negative combination of exceptions on both sides. All these aspects not mentioning other vehicles involved in the case, environmental conditions, physical condition of the read, etc.</w:t>
      </w:r>
      <w:r w:rsidR="00900055">
        <w:t xml:space="preserve"> </w:t>
      </w:r>
      <w:r>
        <w:t xml:space="preserve">If we consider some cases in a field, like aeronautics, that is more </w:t>
      </w:r>
      <w:r>
        <w:lastRenderedPageBreak/>
        <w:t>advanced, it is evident that several additional parameters will make the assignation more difficult: regular updates, compliance with requested mandatory updates or notification forms, etc.</w:t>
      </w:r>
    </w:p>
    <w:p w14:paraId="323E053E" w14:textId="77777777" w:rsidR="00202C5C" w:rsidRPr="001B4FAE" w:rsidRDefault="00202C5C" w:rsidP="00D8051F"/>
    <w:p w14:paraId="105BE46F" w14:textId="77777777" w:rsidR="00202C5C" w:rsidRDefault="00202C5C" w:rsidP="00D8051F">
      <w:r w:rsidRPr="001B4FAE">
        <w:t>How will jurisprudence define a proper methodology to evaluate AI decision-making case? If a usual algorithmic decision-making system can be analysed and evaluated or amended, the dynamic outcome of the AI system will make the case more complicated.</w:t>
      </w:r>
    </w:p>
    <w:p w14:paraId="30571FB0" w14:textId="77777777" w:rsidR="00202C5C" w:rsidRDefault="00202C5C" w:rsidP="00D8051F">
      <w:r w:rsidRPr="00B84F18">
        <w:t>This also applies to tort-based approaches that address the unintended behaviour of a decision-making system that, due to an unpredictable set of inputs, has deviated from the correct course of action. Tort-based approaches involve using the tort law framework to assign responsibility for harm and provide remedies to victims, often focusing on corrective justice.</w:t>
      </w:r>
      <w:r>
        <w:t xml:space="preserve"> In such a case described above we potentially face the case of a collection of negative circumstances that all together unpredictably caused a disaster. Again, we are basically back to the chain of the fact checking list and probably to try to identify the origin of the problem and assign the responsibility.</w:t>
      </w:r>
    </w:p>
    <w:p w14:paraId="1967609B" w14:textId="46C02D9F" w:rsidR="00202C5C" w:rsidRDefault="00202C5C" w:rsidP="00D8051F">
      <w:r w:rsidRPr="00F56B17">
        <w:t>The use of algorithmic procedures in already digitised working environments usually splits the accountability and liability problems into two sections. Some operational fields use to submit to authorities for checking and archive the source code of the application and in any case assign responsibility to the responsible person within the organisation.</w:t>
      </w:r>
      <w:r>
        <w:t xml:space="preserve"> </w:t>
      </w:r>
      <w:r w:rsidRPr="00F56B17">
        <w:t xml:space="preserve">In this situation, whether the source code is provided or not, the liability falls on the person guaranteeing the results. In the event of damage, ordinary case law applies, without any specific guidance regarding the software, except for potential legal recourse against the software developer and </w:t>
      </w:r>
      <w:r>
        <w:t xml:space="preserve">the loss of confidence in the </w:t>
      </w:r>
      <w:r w:rsidRPr="00F56B17">
        <w:t>product.</w:t>
      </w:r>
      <w:r>
        <w:t xml:space="preserve"> </w:t>
      </w:r>
      <w:r w:rsidRPr="00340C39">
        <w:t>This is what usually happens, for instance, in case of structural analysis or mechanical designing tools. This is true for algorithmic software: if we add a little AI or fully rely on AI systems, the approach could potentially differ. If the AI</w:t>
      </w:r>
      <w:r>
        <w:t xml:space="preserve"> </w:t>
      </w:r>
      <w:r w:rsidRPr="00340C39">
        <w:t>module provides output to a human supervisor, we likely revert to the previous "algorithm-based" approach, where the responsibility rests with the human. If the AI module connects directly to the operational side, responsibility is likely attributed to the human in charge of the operation, but in both cases, there is no feedback to the technology. In both cases, there is no responsibility on the AI, so ideally, the same or similar damage can happen again.</w:t>
      </w:r>
      <w:r>
        <w:t xml:space="preserve"> Of course, if the damage is made public and the related information shared, trust in the AI system will suffer, but is this enough?</w:t>
      </w:r>
      <w:r w:rsidR="00900055">
        <w:t xml:space="preserve"> Some countries refer to the jurisprudence concerning animals, r</w:t>
      </w:r>
      <w:r w:rsidR="00900055" w:rsidRPr="00C010DA">
        <w:t>esponsibility for harm lies with creator or custodian of “animal” – penalties lie with both AI and creator/custodians, confinement (redesign) or destruction for the former, financial or custodial penalties for the latter, up through manslaughter and</w:t>
      </w:r>
      <w:r w:rsidR="00900055" w:rsidRPr="00994620">
        <w:t xml:space="preserve"> beyond, depending on programming malfeasance.</w:t>
      </w:r>
    </w:p>
    <w:p w14:paraId="2DF1E098" w14:textId="77777777" w:rsidR="00202C5C" w:rsidRDefault="00202C5C" w:rsidP="00D8051F">
      <w:r>
        <w:t>As happens in cases of uncertain attribution of liability, should we envisage mandatory insurance for any potentially harmful AI system as a partial remedy for victims? In such a situation, how can insurance companies assess the risks and allocate the corresponding policy costs?</w:t>
      </w:r>
    </w:p>
    <w:p w14:paraId="3341E93B" w14:textId="77777777" w:rsidR="00202C5C" w:rsidRDefault="00202C5C" w:rsidP="00D8051F"/>
    <w:p w14:paraId="029D5740" w14:textId="77777777" w:rsidR="00202C5C" w:rsidRDefault="00202C5C" w:rsidP="00D8051F">
      <w:r>
        <w:t>How can risk managers consider the role and behaviour of AI and Gen AI?</w:t>
      </w:r>
    </w:p>
    <w:p w14:paraId="6928EB6B" w14:textId="77777777" w:rsidR="00202C5C" w:rsidRDefault="00202C5C" w:rsidP="00D8051F">
      <w:r>
        <w:t>Recently, thanks to the appeal of AI-based applications, a range of management and decision-making tasks are being entrusted to AI systems, not always supervised by humans.</w:t>
      </w:r>
    </w:p>
    <w:p w14:paraId="61DC586A" w14:textId="77777777" w:rsidR="00202C5C" w:rsidRPr="001B4FAE" w:rsidRDefault="00202C5C" w:rsidP="00D8051F">
      <w:r>
        <w:t xml:space="preserve">This new approach makes risk assessment much more difficult, as this specific aspect is usually not included in the scenario analysed by the intelligent application, which is often responsible for optimizing one or more resources. </w:t>
      </w:r>
      <w:r w:rsidRPr="00BC52D1">
        <w:t>Some artificial intelligence applications are tasked with optimizing project management plans, without providing explanations of the logic behind them or the specific aspect deemed to need optimization. Risk managers receive process output from a sort of black</w:t>
      </w:r>
      <w:r>
        <w:t>-</w:t>
      </w:r>
      <w:r w:rsidRPr="00BC52D1">
        <w:t xml:space="preserve">box and must analyse it to identify potential risks associated with that specific configuration. This often leads to a </w:t>
      </w:r>
      <w:r>
        <w:t>“</w:t>
      </w:r>
      <w:r w:rsidRPr="00BC52D1">
        <w:t>snapshot</w:t>
      </w:r>
      <w:r>
        <w:t>”</w:t>
      </w:r>
      <w:r w:rsidRPr="00BC52D1">
        <w:t xml:space="preserve"> of the process rather than analysing the actual </w:t>
      </w:r>
      <w:r>
        <w:t>full “</w:t>
      </w:r>
      <w:r w:rsidRPr="00BC52D1">
        <w:t>video</w:t>
      </w:r>
      <w:r>
        <w:t>”</w:t>
      </w:r>
      <w:r w:rsidRPr="00BC52D1">
        <w:t>.</w:t>
      </w:r>
      <w:r>
        <w:t xml:space="preserve"> </w:t>
      </w:r>
      <w:r w:rsidRPr="003E5EE3">
        <w:t>Research labs are investing time and resources to “open” the black-boxes and provide explainability concerning the outcomes.</w:t>
      </w:r>
    </w:p>
    <w:p w14:paraId="5D38C49B" w14:textId="77777777" w:rsidR="00202C5C" w:rsidRDefault="00202C5C" w:rsidP="00D8051F">
      <w:r w:rsidRPr="00BC52D1">
        <w:t xml:space="preserve">There is a clear need to develop systemic liability allocation models that ensure accountability. without stifling innovation. As it already happened in similar situations one of the first steps is to identify if there is any potential relation to traditional situations to reconnect the specific case to </w:t>
      </w:r>
      <w:r w:rsidRPr="00BC52D1">
        <w:lastRenderedPageBreak/>
        <w:t>traditional jurisprudence. One of the relevant differences is the lack of a pre-casted algorithmic procedure that can be analysed and amended. At a first it looks much more like a concourse in liability between human and AI.</w:t>
      </w:r>
    </w:p>
    <w:p w14:paraId="65DB4FF0" w14:textId="77777777" w:rsidR="00202C5C" w:rsidRDefault="00202C5C" w:rsidP="00D8051F">
      <w:r w:rsidRPr="003E5EE3">
        <w:t>Furthermore, is there any possibility that in the future such cases will be directly managed by “AI judges”, there are already several AI systems supporting attorney in law starting from the provision of the analytics of the huge set of documents, court rulings and laws pertaining similar cases. Are there some plans to solve low impact cases by AI as a concrete opportunity to solve the overcharge of duties in some courts?</w:t>
      </w:r>
    </w:p>
    <w:p w14:paraId="29969E07" w14:textId="77777777" w:rsidR="00202C5C" w:rsidRDefault="00202C5C" w:rsidP="00D8051F">
      <w:r>
        <w:t>Key players</w:t>
      </w:r>
      <w:r w:rsidRPr="001B4FAE">
        <w:t xml:space="preserve"> </w:t>
      </w:r>
      <w:r w:rsidRPr="00497E15">
        <w:rPr>
          <w:shd w:val="clear" w:color="auto" w:fill="F9F9F9"/>
        </w:rPr>
        <w:t>like Google and Microsoft are upping their game. Anthropic</w:t>
      </w:r>
      <w:r w:rsidRPr="00497E15">
        <w:rPr>
          <w:rStyle w:val="Rimandonotaapidipagina"/>
          <w:shd w:val="clear" w:color="auto" w:fill="F9F9F9"/>
        </w:rPr>
        <w:footnoteReference w:id="5"/>
      </w:r>
      <w:r w:rsidRPr="00497E15">
        <w:rPr>
          <w:shd w:val="clear" w:color="auto" w:fill="F9F9F9"/>
        </w:rPr>
        <w:t>, Mistral</w:t>
      </w:r>
      <w:r w:rsidRPr="00497E15">
        <w:rPr>
          <w:rStyle w:val="Rimandonotaapidipagina"/>
          <w:shd w:val="clear" w:color="auto" w:fill="F9F9F9"/>
        </w:rPr>
        <w:footnoteReference w:id="6"/>
      </w:r>
      <w:r w:rsidRPr="00497E15">
        <w:rPr>
          <w:shd w:val="clear" w:color="auto" w:fill="F9F9F9"/>
        </w:rPr>
        <w:t xml:space="preserve">, </w:t>
      </w:r>
      <w:r>
        <w:rPr>
          <w:shd w:val="clear" w:color="auto" w:fill="F9F9F9"/>
        </w:rPr>
        <w:t>DeepSeek</w:t>
      </w:r>
      <w:r>
        <w:rPr>
          <w:rStyle w:val="Rimandonotaapidipagina"/>
          <w:shd w:val="clear" w:color="auto" w:fill="F9F9F9"/>
        </w:rPr>
        <w:footnoteReference w:id="7"/>
      </w:r>
      <w:r>
        <w:rPr>
          <w:shd w:val="clear" w:color="auto" w:fill="F9F9F9"/>
        </w:rPr>
        <w:t xml:space="preserve"> </w:t>
      </w:r>
      <w:r w:rsidRPr="00497E15">
        <w:rPr>
          <w:shd w:val="clear" w:color="auto" w:fill="F9F9F9"/>
        </w:rPr>
        <w:t>and OpenAI are continuing their winning streaks</w:t>
      </w:r>
      <w:r>
        <w:rPr>
          <w:shd w:val="clear" w:color="auto" w:fill="F9F9F9"/>
        </w:rPr>
        <w:t xml:space="preserve"> disseminating their AI platforms in every-day smart companions, </w:t>
      </w:r>
      <w:r w:rsidRPr="001B4FAE">
        <w:t>Palantir</w:t>
      </w:r>
      <w:r>
        <w:rPr>
          <w:rStyle w:val="Rimandonotaapidipagina"/>
        </w:rPr>
        <w:footnoteReference w:id="8"/>
      </w:r>
      <w:r w:rsidRPr="001B4FAE">
        <w:t xml:space="preserve"> already developed and tested AI solutions to fight crime and foresee potential criminal actions stating that human rights and ethics are fully respected.</w:t>
      </w:r>
      <w:r>
        <w:t xml:space="preserve"> </w:t>
      </w:r>
      <w:r w:rsidRPr="001B4FAE">
        <w:t xml:space="preserve">Which will be at the "end of the day” the juridical status of AI and potentially assigned responsibilities? what about </w:t>
      </w:r>
      <w:r>
        <w:t>G</w:t>
      </w:r>
      <w:r w:rsidRPr="001B4FAE">
        <w:t>en AI and the black</w:t>
      </w:r>
      <w:r>
        <w:t xml:space="preserve"> box</w:t>
      </w:r>
      <w:r w:rsidRPr="001B4FAE">
        <w:t xml:space="preserve"> that generate the outcomes?</w:t>
      </w:r>
    </w:p>
    <w:p w14:paraId="12394558" w14:textId="77777777" w:rsidR="00202C5C" w:rsidRDefault="00202C5C" w:rsidP="00D8051F">
      <w:pPr>
        <w:pStyle w:val="Titolo1"/>
      </w:pPr>
      <w:r>
        <w:t>Conclusions</w:t>
      </w:r>
    </w:p>
    <w:p w14:paraId="3A25E96E" w14:textId="37B7B113" w:rsidR="00202C5C" w:rsidRDefault="00202C5C" w:rsidP="00D8051F">
      <w:r w:rsidRPr="001B4FAE">
        <w:t xml:space="preserve">Digital technology was </w:t>
      </w:r>
      <w:r>
        <w:t xml:space="preserve">usually </w:t>
      </w:r>
      <w:r w:rsidRPr="001B4FAE">
        <w:t xml:space="preserve">conceived to benefit society in different fields, health, labour, safety, security, achievements and more. In the last twenty years some potential drawbacks become visible, sometimes digital technology is framing us, we faced the potential “dual use” of such friendly technology, </w:t>
      </w:r>
      <w:r>
        <w:t xml:space="preserve">Nowadays the rapid exploitation of AI and its dissemination in almost any sector of our daily life poses different questions and concerns, among them: Is AI always providing benefits or is there any drawback? </w:t>
      </w:r>
      <w:r w:rsidR="00A84362" w:rsidRPr="00302427">
        <w:t>Last but already impacting nowadays the unsupervised use of AI by minors establishing an uncontrolled, by adults, trust relation with the system</w:t>
      </w:r>
      <w:r w:rsidR="00A84362">
        <w:t>, this in unlucky case can generate real danger</w:t>
      </w:r>
      <w:r w:rsidR="00A84362" w:rsidRPr="00302427">
        <w:t xml:space="preserve">. </w:t>
      </w:r>
      <w:r>
        <w:t>Because of AI role of decision maker how can we assign accountability and liability in case of harms?</w:t>
      </w:r>
    </w:p>
    <w:p w14:paraId="5B78FE18" w14:textId="77777777" w:rsidR="00202C5C" w:rsidRDefault="00202C5C" w:rsidP="00D8051F">
      <w:r w:rsidRPr="001B4FAE">
        <w:t xml:space="preserve">This document </w:t>
      </w:r>
      <w:r>
        <w:t xml:space="preserve">posed the focus on some of the potential concerns in assigning accountability and liability in case of AI and Gen AI managed systems. </w:t>
      </w:r>
    </w:p>
    <w:p w14:paraId="4BB8D674" w14:textId="77777777" w:rsidR="00202C5C" w:rsidRPr="009B5B7D" w:rsidRDefault="00202C5C" w:rsidP="00D8051F">
      <w:r w:rsidRPr="001B4FAE">
        <w:t>Nowadays, in the light of actual trends Moral Philosophy / ethics must be the always the key reference point in developing, customising and using technologies.</w:t>
      </w:r>
      <w:r>
        <w:t xml:space="preserve"> </w:t>
      </w:r>
      <w:r w:rsidRPr="001B4FAE">
        <w:t>There is a strong need to keep humans in the centre of the loop and respect human rights and ethics.</w:t>
      </w:r>
    </w:p>
    <w:p w14:paraId="0D080406" w14:textId="77777777" w:rsidR="00202C5C" w:rsidRDefault="00202C5C" w:rsidP="00D8051F">
      <w:pPr>
        <w:pStyle w:val="Titolo1"/>
      </w:pPr>
      <w:r>
        <w:t>References</w:t>
      </w:r>
    </w:p>
    <w:p w14:paraId="078F1288" w14:textId="77777777" w:rsidR="00202C5C" w:rsidRDefault="00202C5C" w:rsidP="00D8051F">
      <w:pPr>
        <w:pStyle w:val="Paragraph1"/>
        <w:numPr>
          <w:ilvl w:val="0"/>
          <w:numId w:val="1"/>
        </w:numPr>
      </w:pPr>
      <w:r w:rsidRPr="006312DE">
        <w:t>Zuboff Shoshana (2019), The Age of Surveillance Capitalism. The Fight for the Future at the New Frontier of Power, ISBN 978-1610395694, Public Affairs</w:t>
      </w:r>
    </w:p>
    <w:p w14:paraId="16C68F4D" w14:textId="77777777" w:rsidR="00202C5C" w:rsidRPr="00A57824" w:rsidRDefault="00202C5C" w:rsidP="00D8051F">
      <w:pPr>
        <w:pStyle w:val="Paragraph1"/>
        <w:numPr>
          <w:ilvl w:val="0"/>
          <w:numId w:val="1"/>
        </w:numPr>
      </w:pPr>
      <w:r w:rsidRPr="00045A35">
        <w:t>Council of Europe (2001) New information technologies and the young. Council of Europe Publishing, Paris</w:t>
      </w:r>
    </w:p>
    <w:p w14:paraId="5A7430AC" w14:textId="77777777" w:rsidR="00202C5C" w:rsidRDefault="00202C5C" w:rsidP="00D8051F">
      <w:pPr>
        <w:pStyle w:val="Paragraph1"/>
        <w:numPr>
          <w:ilvl w:val="0"/>
          <w:numId w:val="1"/>
        </w:numPr>
      </w:pPr>
      <w:r w:rsidRPr="006312DE">
        <w:t>Ronchi A.M., (2019), e-Citizens: Toward a New Model of (Inter)active Citizenry, ISBN 978-3-030-00746-1, Springer (D)</w:t>
      </w:r>
    </w:p>
    <w:p w14:paraId="367C1D10" w14:textId="77777777" w:rsidR="00202C5C" w:rsidRDefault="00202C5C" w:rsidP="00D8051F">
      <w:pPr>
        <w:pStyle w:val="Paragraph1"/>
        <w:numPr>
          <w:ilvl w:val="0"/>
          <w:numId w:val="1"/>
        </w:numPr>
      </w:pPr>
      <w:r w:rsidRPr="00045A35">
        <w:t>Pimienta D (2014) Redefining digital divide around information. Literacy and linguistic diversity in a future context of access provision, internet and socio-cultural transformations in information society. Interregional Library Cooperation Centre, Moscow. ISBN:978-5-91515- 061-3</w:t>
      </w:r>
    </w:p>
    <w:p w14:paraId="5273BBD7" w14:textId="77777777" w:rsidR="00202C5C" w:rsidRDefault="00202C5C" w:rsidP="00D8051F">
      <w:pPr>
        <w:pStyle w:val="Paragraph1"/>
        <w:numPr>
          <w:ilvl w:val="0"/>
          <w:numId w:val="1"/>
        </w:numPr>
      </w:pPr>
      <w:r w:rsidRPr="00A57824">
        <w:t>Ronchi Alfredo M., (2020). Digital transformation, proceedings ICCC New Delhi, Cyberlaw ISBN:978-0-385-50386-0</w:t>
      </w:r>
    </w:p>
    <w:p w14:paraId="3CF9F674" w14:textId="77777777" w:rsidR="00202C5C" w:rsidRPr="00A57824" w:rsidRDefault="00202C5C" w:rsidP="00D8051F">
      <w:pPr>
        <w:pStyle w:val="Paragraph1"/>
        <w:numPr>
          <w:ilvl w:val="0"/>
          <w:numId w:val="1"/>
        </w:numPr>
      </w:pPr>
      <w:r w:rsidRPr="00A57824">
        <w:t>Ronchi A. (2022). Metaverse and shared immersive virtual realities, proceedings IV International Conference Tangible and Intangible Impact of Information and Communication in the Digital Age, UNESCO IFAP Moscow, Russian Federation</w:t>
      </w:r>
    </w:p>
    <w:p w14:paraId="5C70A7B1" w14:textId="77777777" w:rsidR="00202C5C" w:rsidRPr="00A57824" w:rsidRDefault="00202C5C" w:rsidP="00D8051F">
      <w:pPr>
        <w:pStyle w:val="Paragrafoelenco"/>
        <w:numPr>
          <w:ilvl w:val="0"/>
          <w:numId w:val="1"/>
        </w:numPr>
      </w:pPr>
      <w:r w:rsidRPr="00A57824">
        <w:lastRenderedPageBreak/>
        <w:t xml:space="preserve">Deglobalization: The New </w:t>
      </w:r>
      <w:proofErr w:type="gramStart"/>
      <w:r w:rsidRPr="00A57824">
        <w:t>Normal?,</w:t>
      </w:r>
      <w:proofErr w:type="gramEnd"/>
      <w:r w:rsidRPr="00A57824">
        <w:t xml:space="preserve"> ISPI https://www.ispionline.it/en/publication/deglobalization-new-normal-32758</w:t>
      </w:r>
    </w:p>
    <w:p w14:paraId="68DE0C30" w14:textId="77777777" w:rsidR="00202C5C" w:rsidRDefault="00202C5C" w:rsidP="00D8051F">
      <w:pPr>
        <w:pStyle w:val="Paragraph1"/>
        <w:numPr>
          <w:ilvl w:val="0"/>
          <w:numId w:val="1"/>
        </w:numPr>
      </w:pPr>
      <w:r w:rsidRPr="00A57824">
        <w:t xml:space="preserve">Ronchi Alfredo M., (2024). It is all gold that glitters? The new normal, Communication, Media, Design Vol 9, Num 1 2024 - </w:t>
      </w:r>
      <w:hyperlink r:id="rId9" w:history="1">
        <w:r w:rsidRPr="00391C41">
          <w:rPr>
            <w:rStyle w:val="Collegamentoipertestuale"/>
            <w:sz w:val="18"/>
            <w:szCs w:val="18"/>
          </w:rPr>
          <w:t>https://cmd-journal.hse.ru/article/view/20977</w:t>
        </w:r>
      </w:hyperlink>
    </w:p>
    <w:p w14:paraId="298673F1" w14:textId="77777777" w:rsidR="00202C5C" w:rsidRPr="002964FB" w:rsidRDefault="00202C5C" w:rsidP="00D8051F">
      <w:pPr>
        <w:pStyle w:val="Paragraph1"/>
        <w:numPr>
          <w:ilvl w:val="0"/>
          <w:numId w:val="1"/>
        </w:numPr>
      </w:pPr>
      <w:r w:rsidRPr="002964FB">
        <w:t xml:space="preserve">Cicero Marcus Tullius, (45 B.C.), De </w:t>
      </w:r>
      <w:proofErr w:type="spellStart"/>
      <w:r w:rsidRPr="002964FB">
        <w:t>Finibus</w:t>
      </w:r>
      <w:proofErr w:type="spellEnd"/>
      <w:r w:rsidRPr="002964FB">
        <w:t xml:space="preserve"> </w:t>
      </w:r>
      <w:proofErr w:type="spellStart"/>
      <w:r w:rsidRPr="002964FB">
        <w:t>bonorum</w:t>
      </w:r>
      <w:proofErr w:type="spellEnd"/>
      <w:r w:rsidRPr="002964FB">
        <w:t xml:space="preserve"> et </w:t>
      </w:r>
      <w:proofErr w:type="spellStart"/>
      <w:r w:rsidRPr="002964FB">
        <w:t>malorum</w:t>
      </w:r>
      <w:proofErr w:type="spellEnd"/>
      <w:r w:rsidRPr="002964FB">
        <w:t xml:space="preserve">. LOEB Classical Library. </w:t>
      </w:r>
      <w:hyperlink r:id="rId10" w:history="1">
        <w:r w:rsidRPr="002964FB">
          <w:t>https://archive.org/</w:t>
        </w:r>
      </w:hyperlink>
      <w:r w:rsidRPr="002964FB">
        <w:t xml:space="preserve"> details/de nibusbonoru02cicegoog</w:t>
      </w:r>
    </w:p>
    <w:p w14:paraId="615634EA" w14:textId="48D577E7" w:rsidR="004A146D" w:rsidRDefault="00202C5C" w:rsidP="00D8051F">
      <w:pPr>
        <w:pStyle w:val="Paragraph1"/>
        <w:numPr>
          <w:ilvl w:val="0"/>
          <w:numId w:val="1"/>
        </w:numPr>
      </w:pPr>
      <w:proofErr w:type="spellStart"/>
      <w:r w:rsidRPr="002964FB">
        <w:t>Stuckelberger</w:t>
      </w:r>
      <w:proofErr w:type="spellEnd"/>
      <w:r w:rsidRPr="002964FB">
        <w:t xml:space="preserve"> Christoph, Duggal Pavan (2018), Cyber Ethics 4.0: Serving Humanity with Values, ISBN 978-88931- 265-8, Globethics.net </w:t>
      </w:r>
    </w:p>
    <w:sectPr w:rsidR="004A146D">
      <w:footerReference w:type="even" r:id="rId11"/>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0CC12" w14:textId="77777777" w:rsidR="0036707E" w:rsidRDefault="0036707E" w:rsidP="00D8051F">
      <w:r>
        <w:separator/>
      </w:r>
    </w:p>
  </w:endnote>
  <w:endnote w:type="continuationSeparator" w:id="0">
    <w:p w14:paraId="7CBFF5EF" w14:textId="77777777" w:rsidR="0036707E" w:rsidRDefault="0036707E" w:rsidP="00D80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Corpo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Noto Sans">
    <w:panose1 w:val="020B0502040504020204"/>
    <w:charset w:val="00"/>
    <w:family w:val="swiss"/>
    <w:pitch w:val="variable"/>
    <w:sig w:usb0="E00082FF" w:usb1="400078FF" w:usb2="0000002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943884776"/>
      <w:docPartObj>
        <w:docPartGallery w:val="Page Numbers (Bottom of Page)"/>
        <w:docPartUnique/>
      </w:docPartObj>
    </w:sdtPr>
    <w:sdtContent>
      <w:p w14:paraId="56B0F67C" w14:textId="5FF8B816" w:rsidR="00EB3300" w:rsidRDefault="00EB3300" w:rsidP="00F8265D">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rPr>
          <w:fldChar w:fldCharType="end"/>
        </w:r>
      </w:p>
    </w:sdtContent>
  </w:sdt>
  <w:p w14:paraId="70F734C9" w14:textId="77777777" w:rsidR="00EB3300" w:rsidRDefault="00EB330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2062545297"/>
      <w:docPartObj>
        <w:docPartGallery w:val="Page Numbers (Bottom of Page)"/>
        <w:docPartUnique/>
      </w:docPartObj>
    </w:sdtPr>
    <w:sdtContent>
      <w:p w14:paraId="1E359647" w14:textId="15B8B0BD" w:rsidR="00EB3300" w:rsidRDefault="00EB3300" w:rsidP="00F8265D">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r>
          <w:rPr>
            <w:rStyle w:val="Numeropagina"/>
          </w:rPr>
          <w:t>/</w:t>
        </w:r>
        <w:r>
          <w:rPr>
            <w:rStyle w:val="Numeropagina"/>
          </w:rPr>
          <w:fldChar w:fldCharType="begin"/>
        </w:r>
        <w:r>
          <w:rPr>
            <w:rStyle w:val="Numeropagina"/>
          </w:rPr>
          <w:instrText xml:space="preserve"> NUMPAGES  \* MERGEFORMAT </w:instrText>
        </w:r>
        <w:r>
          <w:rPr>
            <w:rStyle w:val="Numeropagina"/>
          </w:rPr>
          <w:fldChar w:fldCharType="separate"/>
        </w:r>
        <w:r>
          <w:rPr>
            <w:rStyle w:val="Numeropagina"/>
            <w:noProof/>
          </w:rPr>
          <w:t>6</w:t>
        </w:r>
        <w:r>
          <w:rPr>
            <w:rStyle w:val="Numeropagina"/>
          </w:rPr>
          <w:fldChar w:fldCharType="end"/>
        </w:r>
      </w:p>
    </w:sdtContent>
  </w:sdt>
  <w:p w14:paraId="5BD890BD" w14:textId="77777777" w:rsidR="00EB3300" w:rsidRDefault="00EB330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2A70C" w14:textId="77777777" w:rsidR="0036707E" w:rsidRDefault="0036707E" w:rsidP="00D8051F">
      <w:r>
        <w:separator/>
      </w:r>
    </w:p>
  </w:footnote>
  <w:footnote w:type="continuationSeparator" w:id="0">
    <w:p w14:paraId="6C5E5EA7" w14:textId="77777777" w:rsidR="0036707E" w:rsidRDefault="0036707E" w:rsidP="00D8051F">
      <w:r>
        <w:continuationSeparator/>
      </w:r>
    </w:p>
  </w:footnote>
  <w:footnote w:id="1">
    <w:p w14:paraId="4762AA41" w14:textId="77777777" w:rsidR="00202C5C" w:rsidRPr="007468A3" w:rsidRDefault="00202C5C" w:rsidP="00D8051F">
      <w:pPr>
        <w:pStyle w:val="Testonotaapidipagina"/>
        <w:rPr>
          <w:lang w:val="it-IT"/>
        </w:rPr>
      </w:pPr>
      <w:r>
        <w:rPr>
          <w:rStyle w:val="Rimandonotaapidipagina"/>
        </w:rPr>
        <w:footnoteRef/>
      </w:r>
      <w:r>
        <w:t xml:space="preserve"> </w:t>
      </w:r>
      <w:r w:rsidRPr="007468A3">
        <w:t xml:space="preserve">“During the current corona crisis, we see an increasement of cyberattacks. Therefore, everyone and especially older people should raise their awareness for such attacks” (Hans-Wilhelm </w:t>
      </w:r>
      <w:proofErr w:type="spellStart"/>
      <w:r w:rsidRPr="007468A3">
        <w:t>Dünn</w:t>
      </w:r>
      <w:proofErr w:type="spellEnd"/>
      <w:r w:rsidRPr="007468A3">
        <w:t xml:space="preserve">, President, Cyber-Security Council Germany </w:t>
      </w:r>
      <w:proofErr w:type="spellStart"/>
      <w:r w:rsidRPr="007468A3">
        <w:t>e.V.</w:t>
      </w:r>
      <w:proofErr w:type="spellEnd"/>
      <w:r w:rsidRPr="007468A3">
        <w:t xml:space="preserve"> – WSIS 2020).</w:t>
      </w:r>
    </w:p>
  </w:footnote>
  <w:footnote w:id="2">
    <w:p w14:paraId="2F2A5E06" w14:textId="77777777" w:rsidR="00202C5C" w:rsidRPr="0055309B" w:rsidRDefault="00202C5C" w:rsidP="00D8051F">
      <w:pPr>
        <w:pStyle w:val="Testonotaapidipagina"/>
      </w:pPr>
      <w:r>
        <w:rPr>
          <w:rStyle w:val="Rimandonotaapidipagina"/>
        </w:rPr>
        <w:footnoteRef/>
      </w:r>
      <w:r>
        <w:t xml:space="preserve"> </w:t>
      </w:r>
      <w:r w:rsidRPr="0055309B">
        <w:t>American action thriller movie 1995 directed by Irwin Winkler</w:t>
      </w:r>
    </w:p>
  </w:footnote>
  <w:footnote w:id="3">
    <w:p w14:paraId="0765E0ED" w14:textId="77777777" w:rsidR="00202C5C" w:rsidRPr="0055309B" w:rsidRDefault="00202C5C" w:rsidP="00D8051F">
      <w:pPr>
        <w:pStyle w:val="Testonotaapidipagina"/>
      </w:pPr>
      <w:r w:rsidRPr="0055309B">
        <w:rPr>
          <w:rStyle w:val="Rimandonotaapidipagina"/>
        </w:rPr>
        <w:footnoteRef/>
      </w:r>
      <w:r w:rsidRPr="0055309B">
        <w:t xml:space="preserve">  American political action thriller movie 1998 directed by Tony Scott</w:t>
      </w:r>
    </w:p>
  </w:footnote>
  <w:footnote w:id="4">
    <w:p w14:paraId="6A72A848" w14:textId="77777777" w:rsidR="00202C5C" w:rsidRPr="002A0FB4" w:rsidRDefault="00202C5C" w:rsidP="00D8051F">
      <w:pPr>
        <w:pStyle w:val="Testonotaapidipagina"/>
        <w:rPr>
          <w:rStyle w:val="Rimandonotaapidipagina"/>
          <w:lang w:val="it-IT"/>
        </w:rPr>
      </w:pPr>
      <w:r>
        <w:rPr>
          <w:rStyle w:val="Rimandonotaapidipagina"/>
        </w:rPr>
        <w:footnoteRef/>
      </w:r>
      <w:r>
        <w:t xml:space="preserve"> </w:t>
      </w:r>
      <w:r w:rsidRPr="002A0FB4">
        <w:rPr>
          <w:rStyle w:val="Rimandonotaapidipagina"/>
        </w:rPr>
        <w:t xml:space="preserve">Vienna manifesto : </w:t>
      </w:r>
      <w:r w:rsidRPr="002A0FB4">
        <w:rPr>
          <w:rStyle w:val="Rimandonotaapidipagina"/>
          <w:b/>
        </w:rPr>
        <w:t>tps://caiml.org/dighum/dighum-manifesto/</w:t>
      </w:r>
    </w:p>
  </w:footnote>
  <w:footnote w:id="5">
    <w:p w14:paraId="4BAEB73C" w14:textId="77777777" w:rsidR="00202C5C" w:rsidRPr="000C023B" w:rsidRDefault="00202C5C" w:rsidP="00D8051F">
      <w:pPr>
        <w:rPr>
          <w:rStyle w:val="FootnoteCarattere"/>
        </w:rPr>
      </w:pPr>
      <w:r>
        <w:rPr>
          <w:rStyle w:val="Rimandonotaapidipagina"/>
        </w:rPr>
        <w:footnoteRef/>
      </w:r>
      <w:r>
        <w:t xml:space="preserve"> </w:t>
      </w:r>
      <w:r w:rsidRPr="000C023B">
        <w:rPr>
          <w:rStyle w:val="FootnoteCarattere"/>
        </w:rPr>
        <w:t>https://www.anthropic.com</w:t>
      </w:r>
    </w:p>
  </w:footnote>
  <w:footnote w:id="6">
    <w:p w14:paraId="08B853EA" w14:textId="77777777" w:rsidR="00202C5C" w:rsidRPr="000C023B" w:rsidRDefault="00202C5C" w:rsidP="00D8051F">
      <w:pPr>
        <w:pStyle w:val="Testonotaapidipagina"/>
        <w:rPr>
          <w:lang w:val="it-IT"/>
        </w:rPr>
      </w:pPr>
      <w:r>
        <w:rPr>
          <w:rStyle w:val="Rimandonotaapidipagina"/>
        </w:rPr>
        <w:footnoteRef/>
      </w:r>
      <w:r>
        <w:t xml:space="preserve"> </w:t>
      </w:r>
      <w:hyperlink r:id="rId1" w:history="1">
        <w:r w:rsidRPr="000C023B">
          <w:rPr>
            <w:rStyle w:val="FootnoteCarattere"/>
          </w:rPr>
          <w:t>https://mistral.ai</w:t>
        </w:r>
      </w:hyperlink>
    </w:p>
  </w:footnote>
  <w:footnote w:id="7">
    <w:p w14:paraId="2277E6B1" w14:textId="77777777" w:rsidR="00202C5C" w:rsidRPr="004C30ED" w:rsidRDefault="00202C5C" w:rsidP="00D8051F">
      <w:pPr>
        <w:pStyle w:val="Testonotaapidipagina"/>
        <w:rPr>
          <w:lang w:val="it-IT"/>
        </w:rPr>
      </w:pPr>
      <w:r>
        <w:rPr>
          <w:rStyle w:val="Rimandonotaapidipagina"/>
        </w:rPr>
        <w:footnoteRef/>
      </w:r>
      <w:r>
        <w:t xml:space="preserve"> </w:t>
      </w:r>
      <w:r w:rsidRPr="004C30ED">
        <w:rPr>
          <w:rStyle w:val="FootnoteCarattere"/>
        </w:rPr>
        <w:t>https://www.deepseek.com/en</w:t>
      </w:r>
    </w:p>
  </w:footnote>
  <w:footnote w:id="8">
    <w:p w14:paraId="6CD9CDFE" w14:textId="77777777" w:rsidR="00202C5C" w:rsidRPr="00446905" w:rsidRDefault="00202C5C" w:rsidP="00D8051F">
      <w:pPr>
        <w:pStyle w:val="Testonotaapidipagina"/>
        <w:rPr>
          <w:lang w:val="it-IT"/>
        </w:rPr>
      </w:pPr>
      <w:r>
        <w:rPr>
          <w:rStyle w:val="Rimandonotaapidipagina"/>
        </w:rPr>
        <w:footnoteRef/>
      </w:r>
      <w:r>
        <w:t xml:space="preserve"> </w:t>
      </w:r>
      <w:r w:rsidRPr="00446905">
        <w:rPr>
          <w:rStyle w:val="FootnoteCarattere"/>
        </w:rPr>
        <w:t xml:space="preserve">Palantir a US company founded in 2003 in Denver, with the support of different agencies  </w:t>
      </w:r>
      <w:hyperlink r:id="rId2" w:history="1">
        <w:r w:rsidRPr="00446905">
          <w:rPr>
            <w:rStyle w:val="FootnoteCarattere"/>
          </w:rPr>
          <w:t>https://www.palantir.com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C1586"/>
    <w:multiLevelType w:val="hybridMultilevel"/>
    <w:tmpl w:val="D2FA7B22"/>
    <w:lvl w:ilvl="0" w:tplc="4B7C40B8">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674496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1"/>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C5C"/>
    <w:rsid w:val="00000D99"/>
    <w:rsid w:val="00115AAA"/>
    <w:rsid w:val="001C65BE"/>
    <w:rsid w:val="00202C5C"/>
    <w:rsid w:val="00274C0D"/>
    <w:rsid w:val="00290EA9"/>
    <w:rsid w:val="002F77F4"/>
    <w:rsid w:val="00353E80"/>
    <w:rsid w:val="0036707E"/>
    <w:rsid w:val="003742C0"/>
    <w:rsid w:val="00416BA5"/>
    <w:rsid w:val="00457648"/>
    <w:rsid w:val="004A146D"/>
    <w:rsid w:val="00583407"/>
    <w:rsid w:val="005C64CE"/>
    <w:rsid w:val="006673F0"/>
    <w:rsid w:val="0073299D"/>
    <w:rsid w:val="00783300"/>
    <w:rsid w:val="00807921"/>
    <w:rsid w:val="00833A77"/>
    <w:rsid w:val="008F48A4"/>
    <w:rsid w:val="00900055"/>
    <w:rsid w:val="009008F4"/>
    <w:rsid w:val="00906A5F"/>
    <w:rsid w:val="00A072AF"/>
    <w:rsid w:val="00A274F8"/>
    <w:rsid w:val="00A84362"/>
    <w:rsid w:val="00AA63C5"/>
    <w:rsid w:val="00AA7C1F"/>
    <w:rsid w:val="00AF6441"/>
    <w:rsid w:val="00C072E6"/>
    <w:rsid w:val="00C279DC"/>
    <w:rsid w:val="00C40A69"/>
    <w:rsid w:val="00C40F12"/>
    <w:rsid w:val="00C9352D"/>
    <w:rsid w:val="00CA42CA"/>
    <w:rsid w:val="00CC68D7"/>
    <w:rsid w:val="00D21520"/>
    <w:rsid w:val="00D8051F"/>
    <w:rsid w:val="00E06653"/>
    <w:rsid w:val="00EB3300"/>
    <w:rsid w:val="00F32D58"/>
    <w:rsid w:val="00F44243"/>
    <w:rsid w:val="00F6717E"/>
    <w:rsid w:val="00F67CA2"/>
    <w:rsid w:val="00F849CF"/>
    <w:rsid w:val="00FD5C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7509B8EF"/>
  <w15:chartTrackingRefBased/>
  <w15:docId w15:val="{4423AAB5-80FA-4849-B25D-C748986E0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Corpo CS)"/>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8051F"/>
    <w:pPr>
      <w:jc w:val="both"/>
    </w:pPr>
    <w:rPr>
      <w:rFonts w:ascii="Times New Roman" w:hAnsi="Times New Roman" w:cs="Times New Roman"/>
      <w:lang w:val="en-GB"/>
    </w:rPr>
  </w:style>
  <w:style w:type="paragraph" w:styleId="Titolo1">
    <w:name w:val="heading 1"/>
    <w:basedOn w:val="Normale"/>
    <w:next w:val="Normale"/>
    <w:link w:val="Titolo1Carattere"/>
    <w:qFormat/>
    <w:rsid w:val="00290EA9"/>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Titolo2">
    <w:name w:val="heading 2"/>
    <w:basedOn w:val="Normale"/>
    <w:next w:val="Normale"/>
    <w:link w:val="Titolo2Carattere"/>
    <w:uiPriority w:val="9"/>
    <w:unhideWhenUsed/>
    <w:qFormat/>
    <w:rsid w:val="00202C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02C5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02C5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02C5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02C5C"/>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02C5C"/>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02C5C"/>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02C5C"/>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otnote">
    <w:name w:val="Footnote"/>
    <w:basedOn w:val="Titolo1"/>
    <w:link w:val="FootnoteCarattere"/>
    <w:qFormat/>
    <w:rsid w:val="00290EA9"/>
    <w:pPr>
      <w:widowControl w:val="0"/>
      <w:spacing w:before="320"/>
    </w:pPr>
    <w:rPr>
      <w:color w:val="000000"/>
      <w:sz w:val="16"/>
      <w:lang w:eastAsia="it-IT"/>
    </w:rPr>
  </w:style>
  <w:style w:type="character" w:customStyle="1" w:styleId="FootnoteCarattere">
    <w:name w:val="Footnote Carattere"/>
    <w:basedOn w:val="Titolo1Carattere"/>
    <w:link w:val="Footnote"/>
    <w:rsid w:val="00290EA9"/>
    <w:rPr>
      <w:rFonts w:asciiTheme="majorHAnsi" w:eastAsiaTheme="majorEastAsia" w:hAnsiTheme="majorHAnsi" w:cstheme="majorBidi"/>
      <w:color w:val="000000"/>
      <w:sz w:val="16"/>
      <w:szCs w:val="32"/>
      <w:lang w:val="en-GB" w:eastAsia="it-IT"/>
    </w:rPr>
  </w:style>
  <w:style w:type="character" w:customStyle="1" w:styleId="Titolo1Carattere">
    <w:name w:val="Titolo 1 Carattere"/>
    <w:basedOn w:val="Carpredefinitoparagrafo"/>
    <w:link w:val="Titolo1"/>
    <w:rsid w:val="00290EA9"/>
    <w:rPr>
      <w:rFonts w:asciiTheme="majorHAnsi" w:eastAsiaTheme="majorEastAsia" w:hAnsiTheme="majorHAnsi" w:cstheme="majorBidi"/>
      <w:color w:val="0F4761" w:themeColor="accent1" w:themeShade="BF"/>
      <w:sz w:val="32"/>
      <w:szCs w:val="32"/>
      <w:lang w:val="en-GB"/>
    </w:rPr>
  </w:style>
  <w:style w:type="character" w:customStyle="1" w:styleId="Titolo2Carattere">
    <w:name w:val="Titolo 2 Carattere"/>
    <w:basedOn w:val="Carpredefinitoparagrafo"/>
    <w:link w:val="Titolo2"/>
    <w:uiPriority w:val="9"/>
    <w:rsid w:val="00202C5C"/>
    <w:rPr>
      <w:rFonts w:asciiTheme="majorHAnsi" w:eastAsiaTheme="majorEastAsia" w:hAnsiTheme="majorHAnsi" w:cstheme="majorBidi"/>
      <w:color w:val="0F4761" w:themeColor="accent1" w:themeShade="BF"/>
      <w:sz w:val="32"/>
      <w:szCs w:val="32"/>
      <w:lang w:val="en-GB"/>
    </w:rPr>
  </w:style>
  <w:style w:type="character" w:customStyle="1" w:styleId="Titolo3Carattere">
    <w:name w:val="Titolo 3 Carattere"/>
    <w:basedOn w:val="Carpredefinitoparagrafo"/>
    <w:link w:val="Titolo3"/>
    <w:uiPriority w:val="9"/>
    <w:semiHidden/>
    <w:rsid w:val="00202C5C"/>
    <w:rPr>
      <w:rFonts w:eastAsiaTheme="majorEastAsia" w:cstheme="majorBidi"/>
      <w:color w:val="0F4761" w:themeColor="accent1" w:themeShade="BF"/>
      <w:sz w:val="28"/>
      <w:szCs w:val="28"/>
      <w:lang w:val="en-GB"/>
    </w:rPr>
  </w:style>
  <w:style w:type="character" w:customStyle="1" w:styleId="Titolo4Carattere">
    <w:name w:val="Titolo 4 Carattere"/>
    <w:basedOn w:val="Carpredefinitoparagrafo"/>
    <w:link w:val="Titolo4"/>
    <w:uiPriority w:val="9"/>
    <w:semiHidden/>
    <w:rsid w:val="00202C5C"/>
    <w:rPr>
      <w:rFonts w:eastAsiaTheme="majorEastAsia" w:cstheme="majorBidi"/>
      <w:i/>
      <w:iCs/>
      <w:color w:val="0F4761" w:themeColor="accent1" w:themeShade="BF"/>
      <w:lang w:val="en-GB"/>
    </w:rPr>
  </w:style>
  <w:style w:type="character" w:customStyle="1" w:styleId="Titolo5Carattere">
    <w:name w:val="Titolo 5 Carattere"/>
    <w:basedOn w:val="Carpredefinitoparagrafo"/>
    <w:link w:val="Titolo5"/>
    <w:uiPriority w:val="9"/>
    <w:semiHidden/>
    <w:rsid w:val="00202C5C"/>
    <w:rPr>
      <w:rFonts w:eastAsiaTheme="majorEastAsia" w:cstheme="majorBidi"/>
      <w:color w:val="0F4761" w:themeColor="accent1" w:themeShade="BF"/>
      <w:lang w:val="en-GB"/>
    </w:rPr>
  </w:style>
  <w:style w:type="character" w:customStyle="1" w:styleId="Titolo6Carattere">
    <w:name w:val="Titolo 6 Carattere"/>
    <w:basedOn w:val="Carpredefinitoparagrafo"/>
    <w:link w:val="Titolo6"/>
    <w:uiPriority w:val="9"/>
    <w:semiHidden/>
    <w:rsid w:val="00202C5C"/>
    <w:rPr>
      <w:rFonts w:eastAsiaTheme="majorEastAsia" w:cstheme="majorBidi"/>
      <w:i/>
      <w:iCs/>
      <w:color w:val="595959" w:themeColor="text1" w:themeTint="A6"/>
      <w:lang w:val="en-GB"/>
    </w:rPr>
  </w:style>
  <w:style w:type="character" w:customStyle="1" w:styleId="Titolo7Carattere">
    <w:name w:val="Titolo 7 Carattere"/>
    <w:basedOn w:val="Carpredefinitoparagrafo"/>
    <w:link w:val="Titolo7"/>
    <w:uiPriority w:val="9"/>
    <w:semiHidden/>
    <w:rsid w:val="00202C5C"/>
    <w:rPr>
      <w:rFonts w:eastAsiaTheme="majorEastAsia" w:cstheme="majorBidi"/>
      <w:color w:val="595959" w:themeColor="text1" w:themeTint="A6"/>
      <w:lang w:val="en-GB"/>
    </w:rPr>
  </w:style>
  <w:style w:type="character" w:customStyle="1" w:styleId="Titolo8Carattere">
    <w:name w:val="Titolo 8 Carattere"/>
    <w:basedOn w:val="Carpredefinitoparagrafo"/>
    <w:link w:val="Titolo8"/>
    <w:uiPriority w:val="9"/>
    <w:semiHidden/>
    <w:rsid w:val="00202C5C"/>
    <w:rPr>
      <w:rFonts w:eastAsiaTheme="majorEastAsia" w:cstheme="majorBidi"/>
      <w:i/>
      <w:iCs/>
      <w:color w:val="272727" w:themeColor="text1" w:themeTint="D8"/>
      <w:lang w:val="en-GB"/>
    </w:rPr>
  </w:style>
  <w:style w:type="character" w:customStyle="1" w:styleId="Titolo9Carattere">
    <w:name w:val="Titolo 9 Carattere"/>
    <w:basedOn w:val="Carpredefinitoparagrafo"/>
    <w:link w:val="Titolo9"/>
    <w:uiPriority w:val="9"/>
    <w:semiHidden/>
    <w:rsid w:val="00202C5C"/>
    <w:rPr>
      <w:rFonts w:eastAsiaTheme="majorEastAsia" w:cstheme="majorBidi"/>
      <w:color w:val="272727" w:themeColor="text1" w:themeTint="D8"/>
      <w:lang w:val="en-GB"/>
    </w:rPr>
  </w:style>
  <w:style w:type="paragraph" w:styleId="Titolo">
    <w:name w:val="Title"/>
    <w:basedOn w:val="Normale"/>
    <w:next w:val="Normale"/>
    <w:link w:val="TitoloCarattere"/>
    <w:uiPriority w:val="10"/>
    <w:qFormat/>
    <w:rsid w:val="00202C5C"/>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02C5C"/>
    <w:rPr>
      <w:rFonts w:asciiTheme="majorHAnsi" w:eastAsiaTheme="majorEastAsia" w:hAnsiTheme="majorHAnsi" w:cstheme="majorBidi"/>
      <w:spacing w:val="-10"/>
      <w:kern w:val="28"/>
      <w:sz w:val="56"/>
      <w:szCs w:val="56"/>
      <w:lang w:val="en-GB"/>
    </w:rPr>
  </w:style>
  <w:style w:type="paragraph" w:styleId="Sottotitolo">
    <w:name w:val="Subtitle"/>
    <w:basedOn w:val="Normale"/>
    <w:next w:val="Normale"/>
    <w:link w:val="SottotitoloCarattere"/>
    <w:uiPriority w:val="11"/>
    <w:qFormat/>
    <w:rsid w:val="00202C5C"/>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02C5C"/>
    <w:rPr>
      <w:rFonts w:eastAsiaTheme="majorEastAsia" w:cstheme="majorBidi"/>
      <w:color w:val="595959" w:themeColor="text1" w:themeTint="A6"/>
      <w:spacing w:val="15"/>
      <w:sz w:val="28"/>
      <w:szCs w:val="28"/>
      <w:lang w:val="en-GB"/>
    </w:rPr>
  </w:style>
  <w:style w:type="paragraph" w:styleId="Citazione">
    <w:name w:val="Quote"/>
    <w:basedOn w:val="Normale"/>
    <w:next w:val="Normale"/>
    <w:link w:val="CitazioneCarattere"/>
    <w:uiPriority w:val="29"/>
    <w:qFormat/>
    <w:rsid w:val="00202C5C"/>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202C5C"/>
    <w:rPr>
      <w:i/>
      <w:iCs/>
      <w:color w:val="404040" w:themeColor="text1" w:themeTint="BF"/>
      <w:lang w:val="en-GB"/>
    </w:rPr>
  </w:style>
  <w:style w:type="paragraph" w:styleId="Paragrafoelenco">
    <w:name w:val="List Paragraph"/>
    <w:basedOn w:val="Normale"/>
    <w:uiPriority w:val="34"/>
    <w:qFormat/>
    <w:rsid w:val="00202C5C"/>
    <w:pPr>
      <w:ind w:left="720"/>
      <w:contextualSpacing/>
    </w:pPr>
  </w:style>
  <w:style w:type="character" w:styleId="Enfasiintensa">
    <w:name w:val="Intense Emphasis"/>
    <w:basedOn w:val="Carpredefinitoparagrafo"/>
    <w:uiPriority w:val="21"/>
    <w:qFormat/>
    <w:rsid w:val="00202C5C"/>
    <w:rPr>
      <w:i/>
      <w:iCs/>
      <w:color w:val="0F4761" w:themeColor="accent1" w:themeShade="BF"/>
    </w:rPr>
  </w:style>
  <w:style w:type="paragraph" w:styleId="Citazioneintensa">
    <w:name w:val="Intense Quote"/>
    <w:basedOn w:val="Normale"/>
    <w:next w:val="Normale"/>
    <w:link w:val="CitazioneintensaCarattere"/>
    <w:uiPriority w:val="30"/>
    <w:qFormat/>
    <w:rsid w:val="00202C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02C5C"/>
    <w:rPr>
      <w:i/>
      <w:iCs/>
      <w:color w:val="0F4761" w:themeColor="accent1" w:themeShade="BF"/>
      <w:lang w:val="en-GB"/>
    </w:rPr>
  </w:style>
  <w:style w:type="character" w:styleId="Riferimentointenso">
    <w:name w:val="Intense Reference"/>
    <w:basedOn w:val="Carpredefinitoparagrafo"/>
    <w:uiPriority w:val="32"/>
    <w:qFormat/>
    <w:rsid w:val="00202C5C"/>
    <w:rPr>
      <w:b/>
      <w:bCs/>
      <w:smallCaps/>
      <w:color w:val="0F4761" w:themeColor="accent1" w:themeShade="BF"/>
      <w:spacing w:val="5"/>
    </w:rPr>
  </w:style>
  <w:style w:type="paragraph" w:styleId="Testonotaapidipagina">
    <w:name w:val="footnote text"/>
    <w:aliases w:val="Schriftart: 9 pt,Schriftart: 10 pt,Schriftart: 8 pt,WB-Fußnotentext,fn,Footnotes,Footnote ak,Footnote Text Char,FoodNote,ft,Footnote Text Char1,Footnote Text Char Char,Footnote Text Char1 Char Char,footnote text, Char,o,Char"/>
    <w:basedOn w:val="Normale"/>
    <w:link w:val="TestonotaapidipaginaCarattere"/>
    <w:uiPriority w:val="99"/>
    <w:unhideWhenUsed/>
    <w:qFormat/>
    <w:rsid w:val="00202C5C"/>
    <w:rPr>
      <w:rFonts w:eastAsia="Times New Roman"/>
      <w:kern w:val="0"/>
      <w:sz w:val="20"/>
      <w:szCs w:val="20"/>
      <w:lang w:eastAsia="ru-RU"/>
      <w14:ligatures w14:val="none"/>
    </w:rPr>
  </w:style>
  <w:style w:type="character" w:customStyle="1" w:styleId="TestonotaapidipaginaCarattere">
    <w:name w:val="Testo nota a piè di pagina Carattere"/>
    <w:aliases w:val="Schriftart: 9 pt Carattere,Schriftart: 10 pt Carattere,Schriftart: 8 pt Carattere,WB-Fußnotentext Carattere,fn Carattere,Footnotes Carattere,Footnote ak Carattere,Footnote Text Char Carattere,FoodNote Carattere"/>
    <w:basedOn w:val="Carpredefinitoparagrafo"/>
    <w:link w:val="Testonotaapidipagina"/>
    <w:uiPriority w:val="99"/>
    <w:rsid w:val="00202C5C"/>
    <w:rPr>
      <w:rFonts w:ascii="Times New Roman" w:eastAsia="Times New Roman" w:hAnsi="Times New Roman" w:cs="Times New Roman"/>
      <w:kern w:val="0"/>
      <w:sz w:val="20"/>
      <w:szCs w:val="20"/>
      <w:lang w:val="en-GB" w:eastAsia="ru-RU"/>
      <w14:ligatures w14:val="none"/>
    </w:rPr>
  </w:style>
  <w:style w:type="character" w:styleId="Rimandonotaapidipagina">
    <w:name w:val="footnote reference"/>
    <w:aliases w:val="Footnote symbol,Times 10 Point,Exposant 3 Point, Exposant 3 Point,FR,Footnote symboFußnotenzeichen,Footnote sign,Footnote Reference/,Footnote number,Footnote Reference Number,Footnote reference number,fr"/>
    <w:basedOn w:val="Carpredefinitoparagrafo"/>
    <w:link w:val="FootnotesymbolCharCharCharCharChar"/>
    <w:uiPriority w:val="99"/>
    <w:unhideWhenUsed/>
    <w:qFormat/>
    <w:rsid w:val="00202C5C"/>
    <w:rPr>
      <w:vertAlign w:val="superscript"/>
    </w:rPr>
  </w:style>
  <w:style w:type="paragraph" w:customStyle="1" w:styleId="FootnotesymbolCharCharCharCharChar">
    <w:name w:val="Footnote symbol Char Char Char Char Char"/>
    <w:aliases w:val="Footnote Char1 Char Char Char Char,Times 10 Point Char Char Char Char Char,Exposant 3 Point Char Char Char Char Char"/>
    <w:basedOn w:val="Normale"/>
    <w:link w:val="Rimandonotaapidipagina"/>
    <w:uiPriority w:val="99"/>
    <w:qFormat/>
    <w:rsid w:val="00202C5C"/>
    <w:pPr>
      <w:spacing w:before="40" w:after="60" w:line="240" w:lineRule="exact"/>
    </w:pPr>
    <w:rPr>
      <w:vertAlign w:val="superscript"/>
      <w:lang w:val="it-IT"/>
    </w:rPr>
  </w:style>
  <w:style w:type="paragraph" w:customStyle="1" w:styleId="Paragraph1">
    <w:name w:val="Paragraph 1"/>
    <w:basedOn w:val="Normale"/>
    <w:rsid w:val="00202C5C"/>
    <w:rPr>
      <w:rFonts w:eastAsia="Times New Roman"/>
      <w:kern w:val="0"/>
      <w:szCs w:val="20"/>
      <w14:ligatures w14:val="none"/>
    </w:rPr>
  </w:style>
  <w:style w:type="character" w:styleId="Collegamentoipertestuale">
    <w:name w:val="Hyperlink"/>
    <w:uiPriority w:val="99"/>
    <w:unhideWhenUsed/>
    <w:rsid w:val="00202C5C"/>
    <w:rPr>
      <w:color w:val="467886"/>
      <w:u w:val="single"/>
    </w:rPr>
  </w:style>
  <w:style w:type="paragraph" w:customStyle="1" w:styleId="Author">
    <w:name w:val="Author"/>
    <w:basedOn w:val="Normale"/>
    <w:qFormat/>
    <w:rsid w:val="00202C5C"/>
    <w:pPr>
      <w:jc w:val="center"/>
    </w:pPr>
    <w:rPr>
      <w:rFonts w:eastAsia="Times New Roman"/>
      <w:kern w:val="0"/>
      <w:sz w:val="20"/>
      <w:szCs w:val="15"/>
      <w14:ligatures w14:val="none"/>
    </w:rPr>
  </w:style>
  <w:style w:type="paragraph" w:styleId="Pidipagina">
    <w:name w:val="footer"/>
    <w:basedOn w:val="Normale"/>
    <w:link w:val="PidipaginaCarattere"/>
    <w:uiPriority w:val="99"/>
    <w:unhideWhenUsed/>
    <w:rsid w:val="00EB3300"/>
    <w:pPr>
      <w:tabs>
        <w:tab w:val="center" w:pos="4819"/>
        <w:tab w:val="right" w:pos="9638"/>
      </w:tabs>
    </w:pPr>
  </w:style>
  <w:style w:type="character" w:customStyle="1" w:styleId="PidipaginaCarattere">
    <w:name w:val="Piè di pagina Carattere"/>
    <w:basedOn w:val="Carpredefinitoparagrafo"/>
    <w:link w:val="Pidipagina"/>
    <w:uiPriority w:val="99"/>
    <w:rsid w:val="00EB3300"/>
    <w:rPr>
      <w:rFonts w:ascii="Times New Roman" w:hAnsi="Times New Roman" w:cs="Times New Roman"/>
      <w:lang w:val="en-GB"/>
    </w:rPr>
  </w:style>
  <w:style w:type="character" w:styleId="Numeropagina">
    <w:name w:val="page number"/>
    <w:basedOn w:val="Carpredefinitoparagrafo"/>
    <w:uiPriority w:val="99"/>
    <w:semiHidden/>
    <w:unhideWhenUsed/>
    <w:rsid w:val="00EB3300"/>
  </w:style>
  <w:style w:type="paragraph" w:styleId="Intestazione">
    <w:name w:val="header"/>
    <w:basedOn w:val="Normale"/>
    <w:link w:val="IntestazioneCarattere"/>
    <w:uiPriority w:val="99"/>
    <w:unhideWhenUsed/>
    <w:rsid w:val="00EB3300"/>
    <w:pPr>
      <w:tabs>
        <w:tab w:val="center" w:pos="4819"/>
        <w:tab w:val="right" w:pos="9638"/>
      </w:tabs>
    </w:pPr>
  </w:style>
  <w:style w:type="character" w:customStyle="1" w:styleId="IntestazioneCarattere">
    <w:name w:val="Intestazione Carattere"/>
    <w:basedOn w:val="Carpredefinitoparagrafo"/>
    <w:link w:val="Intestazione"/>
    <w:uiPriority w:val="99"/>
    <w:rsid w:val="00EB3300"/>
    <w:rPr>
      <w:rFonts w:ascii="Times New Roman"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1230-433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archive.org/" TargetMode="External"/><Relationship Id="rId4" Type="http://schemas.openxmlformats.org/officeDocument/2006/relationships/settings" Target="settings.xml"/><Relationship Id="rId9" Type="http://schemas.openxmlformats.org/officeDocument/2006/relationships/hyperlink" Target="https://cmd-journal.hse.ru/article/view/20977"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palantir.com" TargetMode="External"/><Relationship Id="rId1" Type="http://schemas.openxmlformats.org/officeDocument/2006/relationships/hyperlink" Target="https://mistral.a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71200-282D-5247-8761-18415D13E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3787</Words>
  <Characters>21397</Characters>
  <Application>Microsoft Office Word</Application>
  <DocSecurity>0</DocSecurity>
  <Lines>297</Lines>
  <Paragraphs>55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Alfredo Ronchi</dc:creator>
  <cp:keywords/>
  <dc:description/>
  <cp:lastModifiedBy>Alfredo Ronchi</cp:lastModifiedBy>
  <cp:revision>3</cp:revision>
  <cp:lastPrinted>2025-11-15T15:58:00Z</cp:lastPrinted>
  <dcterms:created xsi:type="dcterms:W3CDTF">2025-11-15T15:58:00Z</dcterms:created>
  <dcterms:modified xsi:type="dcterms:W3CDTF">2025-11-15T15:58:00Z</dcterms:modified>
</cp:coreProperties>
</file>