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B45B3F" w14:textId="77777777" w:rsidR="009E7235" w:rsidRPr="009E7235" w:rsidRDefault="009E7235" w:rsidP="009E7235">
      <w:pPr>
        <w:spacing w:after="0" w:line="480" w:lineRule="auto"/>
        <w:jc w:val="center"/>
        <w:outlineLvl w:val="0"/>
        <w:rPr>
          <w:rFonts w:ascii="Times New Roman" w:hAnsi="Times New Roman"/>
          <w:bCs/>
          <w:sz w:val="24"/>
          <w:szCs w:val="24"/>
          <w:lang w:val="en-US"/>
        </w:rPr>
      </w:pPr>
      <w:r w:rsidRPr="009E7235">
        <w:rPr>
          <w:rFonts w:ascii="Times New Roman" w:hAnsi="Times New Roman"/>
          <w:bCs/>
          <w:sz w:val="24"/>
          <w:szCs w:val="24"/>
          <w:lang w:val="en-US"/>
        </w:rPr>
        <w:t>Please cite this article as</w:t>
      </w:r>
    </w:p>
    <w:p w14:paraId="631D468B" w14:textId="77777777" w:rsidR="009E7235" w:rsidRPr="009E7235" w:rsidRDefault="009E7235" w:rsidP="009E7235">
      <w:pPr>
        <w:spacing w:after="0" w:line="480" w:lineRule="auto"/>
        <w:jc w:val="center"/>
        <w:outlineLvl w:val="0"/>
        <w:rPr>
          <w:rFonts w:ascii="Times New Roman" w:hAnsi="Times New Roman"/>
          <w:b/>
          <w:sz w:val="24"/>
          <w:szCs w:val="24"/>
          <w:lang w:val="en-US"/>
        </w:rPr>
      </w:pPr>
    </w:p>
    <w:p w14:paraId="2B7792A1" w14:textId="77777777" w:rsidR="009E7235" w:rsidRPr="009E7235" w:rsidRDefault="009E7235" w:rsidP="009E7235">
      <w:pPr>
        <w:spacing w:after="0" w:line="480" w:lineRule="auto"/>
        <w:jc w:val="center"/>
        <w:outlineLvl w:val="0"/>
        <w:rPr>
          <w:rFonts w:ascii="Times New Roman" w:hAnsi="Times New Roman"/>
          <w:b/>
          <w:sz w:val="24"/>
          <w:szCs w:val="24"/>
          <w:lang w:val="en-US"/>
        </w:rPr>
      </w:pPr>
      <w:r w:rsidRPr="009E7235">
        <w:rPr>
          <w:rFonts w:ascii="Times New Roman" w:hAnsi="Times New Roman"/>
          <w:b/>
          <w:sz w:val="24"/>
          <w:szCs w:val="24"/>
          <w:lang w:val="en-US"/>
        </w:rPr>
        <w:t xml:space="preserve">Franzò S., </w:t>
      </w:r>
      <w:proofErr w:type="spellStart"/>
      <w:r w:rsidRPr="009E7235">
        <w:rPr>
          <w:rFonts w:ascii="Times New Roman" w:hAnsi="Times New Roman"/>
          <w:b/>
          <w:sz w:val="24"/>
          <w:szCs w:val="24"/>
          <w:lang w:val="en-US"/>
        </w:rPr>
        <w:t>Urbina</w:t>
      </w:r>
      <w:r>
        <w:rPr>
          <w:rFonts w:ascii="Times New Roman" w:hAnsi="Times New Roman"/>
          <w:b/>
          <w:sz w:val="24"/>
          <w:szCs w:val="24"/>
          <w:lang w:val="en-US"/>
        </w:rPr>
        <w:t>ti</w:t>
      </w:r>
      <w:proofErr w:type="spellEnd"/>
      <w:r>
        <w:rPr>
          <w:rFonts w:ascii="Times New Roman" w:hAnsi="Times New Roman"/>
          <w:b/>
          <w:sz w:val="24"/>
          <w:szCs w:val="24"/>
          <w:lang w:val="en-US"/>
        </w:rPr>
        <w:t xml:space="preserve"> A.</w:t>
      </w:r>
      <w:r w:rsidRPr="009E7235">
        <w:rPr>
          <w:rFonts w:ascii="Times New Roman" w:hAnsi="Times New Roman"/>
          <w:b/>
          <w:sz w:val="24"/>
          <w:szCs w:val="24"/>
          <w:lang w:val="en-US"/>
        </w:rPr>
        <w:t xml:space="preserve"> (2023) Managing Resource Loops in Circular Supply Chains: </w:t>
      </w:r>
    </w:p>
    <w:p w14:paraId="75282759" w14:textId="3243FA95" w:rsidR="009E7235" w:rsidRPr="009E7235" w:rsidRDefault="009E7235" w:rsidP="009E7235">
      <w:pPr>
        <w:spacing w:after="0" w:line="480" w:lineRule="auto"/>
        <w:jc w:val="center"/>
        <w:outlineLvl w:val="0"/>
        <w:rPr>
          <w:rFonts w:ascii="Times New Roman" w:hAnsi="Times New Roman"/>
          <w:b/>
          <w:sz w:val="24"/>
          <w:szCs w:val="24"/>
          <w:lang w:val="en-US"/>
        </w:rPr>
      </w:pPr>
      <w:r w:rsidRPr="009E7235">
        <w:rPr>
          <w:rFonts w:ascii="Times New Roman" w:hAnsi="Times New Roman"/>
          <w:b/>
          <w:sz w:val="24"/>
          <w:szCs w:val="24"/>
          <w:lang w:val="en-US"/>
        </w:rPr>
        <w:t>a Taxonomy of Multi-Sided Platforms in the B2B Setting. I</w:t>
      </w:r>
      <w:r>
        <w:rPr>
          <w:rFonts w:ascii="Times New Roman" w:hAnsi="Times New Roman"/>
          <w:b/>
          <w:sz w:val="24"/>
          <w:szCs w:val="24"/>
          <w:lang w:val="en-US"/>
        </w:rPr>
        <w:t xml:space="preserve">ndustrial Marketing </w:t>
      </w:r>
      <w:r w:rsidRPr="009E7235">
        <w:rPr>
          <w:rFonts w:ascii="Times New Roman" w:hAnsi="Times New Roman"/>
          <w:b/>
          <w:sz w:val="24"/>
          <w:szCs w:val="24"/>
          <w:lang w:val="en-US"/>
        </w:rPr>
        <w:t>Management, https://doi.org/10.1016/j.indmarman.2023.09.016</w:t>
      </w:r>
    </w:p>
    <w:p w14:paraId="6058474E" w14:textId="77777777" w:rsidR="009E7235" w:rsidRDefault="009E7235" w:rsidP="006660D5">
      <w:pPr>
        <w:spacing w:line="360" w:lineRule="auto"/>
        <w:jc w:val="center"/>
        <w:rPr>
          <w:rFonts w:ascii="Times New Roman" w:hAnsi="Times New Roman" w:cs="Times New Roman"/>
          <w:b/>
          <w:bCs/>
          <w:sz w:val="32"/>
          <w:szCs w:val="32"/>
          <w:lang w:val="en-GB"/>
        </w:rPr>
      </w:pPr>
    </w:p>
    <w:p w14:paraId="052426F1" w14:textId="77777777" w:rsidR="009E7235" w:rsidRDefault="009E7235" w:rsidP="006660D5">
      <w:pPr>
        <w:spacing w:line="360" w:lineRule="auto"/>
        <w:jc w:val="center"/>
        <w:rPr>
          <w:rFonts w:ascii="Times New Roman" w:hAnsi="Times New Roman" w:cs="Times New Roman"/>
          <w:b/>
          <w:bCs/>
          <w:sz w:val="32"/>
          <w:szCs w:val="32"/>
          <w:lang w:val="en-GB"/>
        </w:rPr>
      </w:pPr>
    </w:p>
    <w:p w14:paraId="431AE490" w14:textId="77777777" w:rsidR="009E7235" w:rsidRDefault="009E7235" w:rsidP="006660D5">
      <w:pPr>
        <w:spacing w:line="360" w:lineRule="auto"/>
        <w:jc w:val="center"/>
        <w:rPr>
          <w:rFonts w:ascii="Times New Roman" w:hAnsi="Times New Roman" w:cs="Times New Roman"/>
          <w:b/>
          <w:bCs/>
          <w:sz w:val="32"/>
          <w:szCs w:val="32"/>
          <w:lang w:val="en-GB"/>
        </w:rPr>
      </w:pPr>
    </w:p>
    <w:p w14:paraId="3BB268D0" w14:textId="77777777" w:rsidR="009E7235" w:rsidRDefault="009E7235" w:rsidP="006660D5">
      <w:pPr>
        <w:spacing w:line="360" w:lineRule="auto"/>
        <w:jc w:val="center"/>
        <w:rPr>
          <w:rFonts w:ascii="Times New Roman" w:hAnsi="Times New Roman" w:cs="Times New Roman"/>
          <w:b/>
          <w:bCs/>
          <w:sz w:val="32"/>
          <w:szCs w:val="32"/>
          <w:lang w:val="en-GB"/>
        </w:rPr>
      </w:pPr>
    </w:p>
    <w:p w14:paraId="2E0D589D" w14:textId="77777777" w:rsidR="009E7235" w:rsidRDefault="009E7235" w:rsidP="006660D5">
      <w:pPr>
        <w:spacing w:line="360" w:lineRule="auto"/>
        <w:jc w:val="center"/>
        <w:rPr>
          <w:rFonts w:ascii="Times New Roman" w:hAnsi="Times New Roman" w:cs="Times New Roman"/>
          <w:b/>
          <w:bCs/>
          <w:sz w:val="32"/>
          <w:szCs w:val="32"/>
          <w:lang w:val="en-GB"/>
        </w:rPr>
      </w:pPr>
    </w:p>
    <w:p w14:paraId="044BC6C3" w14:textId="77777777" w:rsidR="009E7235" w:rsidRDefault="009E7235" w:rsidP="006660D5">
      <w:pPr>
        <w:spacing w:line="360" w:lineRule="auto"/>
        <w:jc w:val="center"/>
        <w:rPr>
          <w:rFonts w:ascii="Times New Roman" w:hAnsi="Times New Roman" w:cs="Times New Roman"/>
          <w:b/>
          <w:bCs/>
          <w:sz w:val="32"/>
          <w:szCs w:val="32"/>
          <w:lang w:val="en-GB"/>
        </w:rPr>
      </w:pPr>
    </w:p>
    <w:p w14:paraId="3EBD1371" w14:textId="77777777" w:rsidR="009E7235" w:rsidRDefault="009E7235" w:rsidP="006660D5">
      <w:pPr>
        <w:spacing w:line="360" w:lineRule="auto"/>
        <w:jc w:val="center"/>
        <w:rPr>
          <w:rFonts w:ascii="Times New Roman" w:hAnsi="Times New Roman" w:cs="Times New Roman"/>
          <w:b/>
          <w:bCs/>
          <w:sz w:val="32"/>
          <w:szCs w:val="32"/>
          <w:lang w:val="en-GB"/>
        </w:rPr>
      </w:pPr>
    </w:p>
    <w:p w14:paraId="65376600" w14:textId="77777777" w:rsidR="009E7235" w:rsidRDefault="009E7235" w:rsidP="006660D5">
      <w:pPr>
        <w:spacing w:line="360" w:lineRule="auto"/>
        <w:jc w:val="center"/>
        <w:rPr>
          <w:rFonts w:ascii="Times New Roman" w:hAnsi="Times New Roman" w:cs="Times New Roman"/>
          <w:b/>
          <w:bCs/>
          <w:sz w:val="32"/>
          <w:szCs w:val="32"/>
          <w:lang w:val="en-GB"/>
        </w:rPr>
      </w:pPr>
    </w:p>
    <w:p w14:paraId="53C347C5" w14:textId="77777777" w:rsidR="009E7235" w:rsidRDefault="009E7235" w:rsidP="006660D5">
      <w:pPr>
        <w:spacing w:line="360" w:lineRule="auto"/>
        <w:jc w:val="center"/>
        <w:rPr>
          <w:rFonts w:ascii="Times New Roman" w:hAnsi="Times New Roman" w:cs="Times New Roman"/>
          <w:b/>
          <w:bCs/>
          <w:sz w:val="32"/>
          <w:szCs w:val="32"/>
          <w:lang w:val="en-GB"/>
        </w:rPr>
      </w:pPr>
    </w:p>
    <w:p w14:paraId="2FD3C15D" w14:textId="77777777" w:rsidR="009E7235" w:rsidRDefault="009E7235" w:rsidP="006660D5">
      <w:pPr>
        <w:spacing w:line="360" w:lineRule="auto"/>
        <w:jc w:val="center"/>
        <w:rPr>
          <w:rFonts w:ascii="Times New Roman" w:hAnsi="Times New Roman" w:cs="Times New Roman"/>
          <w:b/>
          <w:bCs/>
          <w:sz w:val="32"/>
          <w:szCs w:val="32"/>
          <w:lang w:val="en-GB"/>
        </w:rPr>
      </w:pPr>
    </w:p>
    <w:p w14:paraId="4DA96E7D" w14:textId="77777777" w:rsidR="009E7235" w:rsidRDefault="009E7235" w:rsidP="006660D5">
      <w:pPr>
        <w:spacing w:line="360" w:lineRule="auto"/>
        <w:jc w:val="center"/>
        <w:rPr>
          <w:rFonts w:ascii="Times New Roman" w:hAnsi="Times New Roman" w:cs="Times New Roman"/>
          <w:b/>
          <w:bCs/>
          <w:sz w:val="32"/>
          <w:szCs w:val="32"/>
          <w:lang w:val="en-GB"/>
        </w:rPr>
      </w:pPr>
    </w:p>
    <w:p w14:paraId="48ED9C48" w14:textId="77777777" w:rsidR="009E7235" w:rsidRDefault="009E7235" w:rsidP="006660D5">
      <w:pPr>
        <w:spacing w:line="360" w:lineRule="auto"/>
        <w:jc w:val="center"/>
        <w:rPr>
          <w:rFonts w:ascii="Times New Roman" w:hAnsi="Times New Roman" w:cs="Times New Roman"/>
          <w:b/>
          <w:bCs/>
          <w:sz w:val="32"/>
          <w:szCs w:val="32"/>
          <w:lang w:val="en-GB"/>
        </w:rPr>
      </w:pPr>
    </w:p>
    <w:p w14:paraId="098E261A" w14:textId="77777777" w:rsidR="009E7235" w:rsidRDefault="009E7235" w:rsidP="006660D5">
      <w:pPr>
        <w:spacing w:line="360" w:lineRule="auto"/>
        <w:jc w:val="center"/>
        <w:rPr>
          <w:rFonts w:ascii="Times New Roman" w:hAnsi="Times New Roman" w:cs="Times New Roman"/>
          <w:b/>
          <w:bCs/>
          <w:sz w:val="32"/>
          <w:szCs w:val="32"/>
          <w:lang w:val="en-GB"/>
        </w:rPr>
      </w:pPr>
    </w:p>
    <w:p w14:paraId="359364D6" w14:textId="77777777" w:rsidR="009E7235" w:rsidRDefault="009E7235" w:rsidP="006660D5">
      <w:pPr>
        <w:spacing w:line="360" w:lineRule="auto"/>
        <w:jc w:val="center"/>
        <w:rPr>
          <w:rFonts w:ascii="Times New Roman" w:hAnsi="Times New Roman" w:cs="Times New Roman"/>
          <w:b/>
          <w:bCs/>
          <w:sz w:val="32"/>
          <w:szCs w:val="32"/>
          <w:lang w:val="en-GB"/>
        </w:rPr>
      </w:pPr>
    </w:p>
    <w:p w14:paraId="207724BD" w14:textId="77777777" w:rsidR="009E7235" w:rsidRDefault="009E7235" w:rsidP="006660D5">
      <w:pPr>
        <w:spacing w:line="360" w:lineRule="auto"/>
        <w:jc w:val="center"/>
        <w:rPr>
          <w:rFonts w:ascii="Times New Roman" w:hAnsi="Times New Roman" w:cs="Times New Roman"/>
          <w:b/>
          <w:bCs/>
          <w:sz w:val="32"/>
          <w:szCs w:val="32"/>
          <w:lang w:val="en-GB"/>
        </w:rPr>
      </w:pPr>
    </w:p>
    <w:p w14:paraId="601635B6" w14:textId="77777777" w:rsidR="009E7235" w:rsidRDefault="009E7235" w:rsidP="006660D5">
      <w:pPr>
        <w:spacing w:line="360" w:lineRule="auto"/>
        <w:jc w:val="center"/>
        <w:rPr>
          <w:rFonts w:ascii="Times New Roman" w:hAnsi="Times New Roman" w:cs="Times New Roman"/>
          <w:b/>
          <w:bCs/>
          <w:sz w:val="32"/>
          <w:szCs w:val="32"/>
          <w:lang w:val="en-GB"/>
        </w:rPr>
      </w:pPr>
    </w:p>
    <w:p w14:paraId="5C4D6BF0" w14:textId="77777777" w:rsidR="009E7235" w:rsidRPr="009E7235" w:rsidRDefault="009E7235" w:rsidP="009E7235">
      <w:pPr>
        <w:spacing w:after="0" w:line="480" w:lineRule="auto"/>
        <w:jc w:val="center"/>
        <w:outlineLvl w:val="0"/>
        <w:rPr>
          <w:rFonts w:ascii="Times New Roman" w:hAnsi="Times New Roman"/>
          <w:b/>
          <w:sz w:val="24"/>
          <w:szCs w:val="24"/>
          <w:lang w:val="en-US"/>
        </w:rPr>
      </w:pPr>
      <w:r w:rsidRPr="009E7235">
        <w:rPr>
          <w:rFonts w:ascii="Times New Roman" w:hAnsi="Times New Roman"/>
          <w:b/>
          <w:sz w:val="24"/>
          <w:szCs w:val="24"/>
          <w:lang w:val="en-US"/>
        </w:rPr>
        <w:lastRenderedPageBreak/>
        <w:t xml:space="preserve">Managing Resource Loops in Circular Supply Chains: </w:t>
      </w:r>
    </w:p>
    <w:p w14:paraId="4409906A" w14:textId="2132B9C5" w:rsidR="009E7235" w:rsidRDefault="009E7235" w:rsidP="009E7235">
      <w:pPr>
        <w:spacing w:line="360" w:lineRule="auto"/>
        <w:jc w:val="center"/>
        <w:rPr>
          <w:rFonts w:ascii="Times New Roman" w:hAnsi="Times New Roman" w:cs="Times New Roman"/>
          <w:b/>
          <w:bCs/>
          <w:sz w:val="32"/>
          <w:szCs w:val="32"/>
          <w:lang w:val="en-GB"/>
        </w:rPr>
      </w:pPr>
      <w:r w:rsidRPr="009E7235">
        <w:rPr>
          <w:rFonts w:ascii="Times New Roman" w:hAnsi="Times New Roman"/>
          <w:b/>
          <w:sz w:val="24"/>
          <w:szCs w:val="24"/>
          <w:lang w:val="en-US"/>
        </w:rPr>
        <w:t>a Taxonomy of Multi-Sided Platforms in the B2B Setting</w:t>
      </w:r>
    </w:p>
    <w:p w14:paraId="5E6F811A" w14:textId="0CFA4364" w:rsidR="00B93D26" w:rsidRPr="00E63381" w:rsidRDefault="00B93D26" w:rsidP="006660D5">
      <w:pPr>
        <w:spacing w:line="360" w:lineRule="auto"/>
        <w:jc w:val="center"/>
        <w:rPr>
          <w:rFonts w:ascii="Times New Roman" w:hAnsi="Times New Roman" w:cs="Times New Roman"/>
          <w:b/>
          <w:bCs/>
          <w:sz w:val="32"/>
          <w:szCs w:val="32"/>
          <w:lang w:val="en-GB"/>
        </w:rPr>
      </w:pPr>
    </w:p>
    <w:p w14:paraId="76B8A247" w14:textId="77777777" w:rsidR="00B93D26" w:rsidRPr="00FE6A51" w:rsidRDefault="00000000" w:rsidP="00675553">
      <w:pPr>
        <w:spacing w:after="0" w:line="360" w:lineRule="auto"/>
        <w:jc w:val="center"/>
        <w:rPr>
          <w:rFonts w:ascii="Times New Roman" w:hAnsi="Times New Roman" w:cs="Times New Roman"/>
          <w:b/>
          <w:bCs/>
          <w:sz w:val="24"/>
          <w:szCs w:val="24"/>
          <w:lang w:val="en-GB"/>
        </w:rPr>
      </w:pPr>
      <w:r w:rsidRPr="00FE6A51">
        <w:rPr>
          <w:rFonts w:ascii="Times New Roman" w:hAnsi="Times New Roman" w:cs="Times New Roman"/>
          <w:b/>
          <w:bCs/>
          <w:sz w:val="24"/>
          <w:szCs w:val="24"/>
          <w:lang w:val="en-GB"/>
        </w:rPr>
        <w:t>Abstract</w:t>
      </w:r>
    </w:p>
    <w:p w14:paraId="243663D9" w14:textId="150C5642" w:rsidR="00B93D26" w:rsidRDefault="00000000" w:rsidP="00F1612B">
      <w:pPr>
        <w:spacing w:after="0" w:line="360" w:lineRule="auto"/>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Multi-sided platforms have been increasingly recognized as enablers for circular supply chains. This notwithstanding, scholars are still struggling with a lack of deep understanding </w:t>
      </w:r>
      <w:r w:rsidR="00604606" w:rsidRPr="75A96201">
        <w:rPr>
          <w:rFonts w:ascii="Times New Roman" w:hAnsi="Times New Roman" w:cs="Times New Roman"/>
          <w:sz w:val="24"/>
          <w:szCs w:val="24"/>
          <w:lang w:val="en-GB"/>
        </w:rPr>
        <w:t>o</w:t>
      </w:r>
      <w:r w:rsidR="00604606">
        <w:rPr>
          <w:rFonts w:ascii="Times New Roman" w:hAnsi="Times New Roman" w:cs="Times New Roman"/>
          <w:sz w:val="24"/>
          <w:szCs w:val="24"/>
          <w:lang w:val="en-GB"/>
        </w:rPr>
        <w:t>f</w:t>
      </w:r>
      <w:r w:rsidR="00604606"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the </w:t>
      </w:r>
      <w:r w:rsidR="001809BD">
        <w:rPr>
          <w:rFonts w:ascii="Times New Roman" w:hAnsi="Times New Roman" w:cs="Times New Roman"/>
          <w:sz w:val="24"/>
          <w:szCs w:val="24"/>
          <w:lang w:val="en-GB"/>
        </w:rPr>
        <w:t xml:space="preserve">different </w:t>
      </w:r>
      <w:r w:rsidRPr="75A96201">
        <w:rPr>
          <w:rFonts w:ascii="Times New Roman" w:hAnsi="Times New Roman" w:cs="Times New Roman"/>
          <w:sz w:val="24"/>
          <w:szCs w:val="24"/>
          <w:lang w:val="en-GB"/>
        </w:rPr>
        <w:t>role</w:t>
      </w:r>
      <w:r w:rsidR="0053582A">
        <w:rPr>
          <w:rFonts w:ascii="Times New Roman" w:hAnsi="Times New Roman" w:cs="Times New Roman"/>
          <w:sz w:val="24"/>
          <w:szCs w:val="24"/>
          <w:lang w:val="en-GB"/>
        </w:rPr>
        <w:t>s</w:t>
      </w:r>
      <w:r w:rsidRPr="75A96201">
        <w:rPr>
          <w:rFonts w:ascii="Times New Roman" w:hAnsi="Times New Roman" w:cs="Times New Roman"/>
          <w:sz w:val="24"/>
          <w:szCs w:val="24"/>
          <w:lang w:val="en-GB"/>
        </w:rPr>
        <w:t xml:space="preserve"> that multi-sided platforms may play to enable </w:t>
      </w:r>
      <w:r w:rsidRPr="75A96201">
        <w:rPr>
          <w:rFonts w:ascii="Times New Roman" w:hAnsi="Times New Roman" w:cs="Times New Roman"/>
          <w:sz w:val="24"/>
          <w:szCs w:val="24"/>
          <w:lang w:val="en-US"/>
        </w:rPr>
        <w:t>inter-organizational collaborations among supply chain actors</w:t>
      </w:r>
      <w:r w:rsidRPr="75A96201">
        <w:rPr>
          <w:rFonts w:ascii="Times New Roman" w:hAnsi="Times New Roman" w:cs="Times New Roman"/>
          <w:sz w:val="24"/>
          <w:szCs w:val="24"/>
          <w:lang w:val="en-GB"/>
        </w:rPr>
        <w:t xml:space="preserve"> to foster the creation of circular supply chains, especially in </w:t>
      </w:r>
      <w:r w:rsidR="00EA7658">
        <w:rPr>
          <w:rFonts w:ascii="Times New Roman" w:hAnsi="Times New Roman" w:cs="Times New Roman"/>
          <w:sz w:val="24"/>
          <w:szCs w:val="24"/>
          <w:lang w:val="en-GB"/>
        </w:rPr>
        <w:t>the</w:t>
      </w:r>
      <w:r w:rsidR="00EA7658"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business-to-business setting. To address this research gap, the paper develops a taxonomy of multi-sided platforms enabl</w:t>
      </w:r>
      <w:r w:rsidR="001809BD">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circular supply chains in </w:t>
      </w:r>
      <w:r w:rsidR="00EA7658">
        <w:rPr>
          <w:rFonts w:ascii="Times New Roman" w:hAnsi="Times New Roman" w:cs="Times New Roman"/>
          <w:sz w:val="24"/>
          <w:szCs w:val="24"/>
          <w:lang w:val="en-GB"/>
        </w:rPr>
        <w:t>the</w:t>
      </w:r>
      <w:r w:rsidR="00EA7658"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business-to-business setting, by leveraging existing literature as well as an empirical analysis that </w:t>
      </w:r>
      <w:r w:rsidR="0053582A">
        <w:rPr>
          <w:rFonts w:ascii="Times New Roman" w:hAnsi="Times New Roman" w:cs="Times New Roman"/>
          <w:sz w:val="24"/>
          <w:szCs w:val="24"/>
          <w:lang w:val="en-GB"/>
        </w:rPr>
        <w:t>included</w:t>
      </w:r>
      <w:r w:rsidR="0053582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26 multi-sided platforms. Such platforms have been identified through the involvement of </w:t>
      </w:r>
      <w:r w:rsidRPr="75A96201">
        <w:rPr>
          <w:rFonts w:ascii="Times New Roman" w:hAnsi="Times New Roman" w:cs="Times New Roman"/>
          <w:sz w:val="24"/>
          <w:szCs w:val="24"/>
          <w:lang w:val="en-US"/>
        </w:rPr>
        <w:t xml:space="preserve">a panel of experts </w:t>
      </w:r>
      <w:r w:rsidRPr="75A96201">
        <w:rPr>
          <w:rFonts w:ascii="Times New Roman" w:hAnsi="Times New Roman" w:cs="Times New Roman"/>
          <w:sz w:val="24"/>
          <w:szCs w:val="24"/>
          <w:lang w:val="en-GB"/>
        </w:rPr>
        <w:t>into this research area and analysed through a Delphi method. The proposed taxonomy is characterized by two dimensions: (</w:t>
      </w:r>
      <w:proofErr w:type="spellStart"/>
      <w:r w:rsidRPr="75A96201">
        <w:rPr>
          <w:rFonts w:ascii="Times New Roman" w:hAnsi="Times New Roman" w:cs="Times New Roman"/>
          <w:sz w:val="24"/>
          <w:szCs w:val="24"/>
          <w:lang w:val="en-GB"/>
        </w:rPr>
        <w:t>i</w:t>
      </w:r>
      <w:proofErr w:type="spellEnd"/>
      <w:r w:rsidRPr="75A96201">
        <w:rPr>
          <w:rFonts w:ascii="Times New Roman" w:hAnsi="Times New Roman" w:cs="Times New Roman"/>
          <w:sz w:val="24"/>
          <w:szCs w:val="24"/>
          <w:lang w:val="en-GB"/>
        </w:rPr>
        <w:t xml:space="preserve">) the circular supply chain strategy that can be fulfilled through multi-sided platforms, i.e., closing, slowing, or narrowing of resource loops; and ii) the supply chain(s) involved by the resource loops to </w:t>
      </w:r>
      <w:r w:rsidR="00DA3202" w:rsidRPr="75A96201">
        <w:rPr>
          <w:rFonts w:ascii="Times New Roman" w:hAnsi="Times New Roman" w:cs="Times New Roman"/>
          <w:sz w:val="24"/>
          <w:szCs w:val="24"/>
          <w:lang w:val="en-GB"/>
        </w:rPr>
        <w:t>fulfil</w:t>
      </w:r>
      <w:r w:rsidRPr="75A96201">
        <w:rPr>
          <w:rFonts w:ascii="Times New Roman" w:hAnsi="Times New Roman" w:cs="Times New Roman"/>
          <w:sz w:val="24"/>
          <w:szCs w:val="24"/>
          <w:lang w:val="en-GB"/>
        </w:rPr>
        <w:t xml:space="preserve"> such strategies, i.e., either the supply chain in which a resource was originally addressed to or different supply chains. </w:t>
      </w:r>
      <w:r w:rsidR="0053582A">
        <w:rPr>
          <w:rFonts w:ascii="Times New Roman" w:hAnsi="Times New Roman" w:cs="Times New Roman"/>
          <w:sz w:val="24"/>
          <w:szCs w:val="24"/>
          <w:lang w:val="en-GB"/>
        </w:rPr>
        <w:t>T</w:t>
      </w:r>
      <w:r w:rsidRPr="75A96201">
        <w:rPr>
          <w:rFonts w:ascii="Times New Roman" w:hAnsi="Times New Roman" w:cs="Times New Roman"/>
          <w:sz w:val="24"/>
          <w:szCs w:val="24"/>
          <w:lang w:val="en-GB"/>
        </w:rPr>
        <w:t>he taxonomy includes six clusters of multi-sided platforms enabl</w:t>
      </w:r>
      <w:r w:rsidR="001809BD">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circular supply chains in </w:t>
      </w:r>
      <w:r w:rsidR="00EA7658">
        <w:rPr>
          <w:rFonts w:ascii="Times New Roman" w:hAnsi="Times New Roman" w:cs="Times New Roman"/>
          <w:sz w:val="24"/>
          <w:szCs w:val="24"/>
          <w:lang w:val="en-GB"/>
        </w:rPr>
        <w:t>the</w:t>
      </w:r>
      <w:r w:rsidR="00EA7658"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business-to-business setting. The study represents the first attempt to provide an overarching conceptualization of the </w:t>
      </w:r>
      <w:r w:rsidR="001809BD">
        <w:rPr>
          <w:rFonts w:ascii="Times New Roman" w:hAnsi="Times New Roman" w:cs="Times New Roman"/>
          <w:sz w:val="24"/>
          <w:szCs w:val="24"/>
          <w:lang w:val="en-GB"/>
        </w:rPr>
        <w:t xml:space="preserve">different </w:t>
      </w:r>
      <w:r w:rsidRPr="75A96201">
        <w:rPr>
          <w:rFonts w:ascii="Times New Roman" w:hAnsi="Times New Roman" w:cs="Times New Roman"/>
          <w:sz w:val="24"/>
          <w:szCs w:val="24"/>
          <w:lang w:val="en-GB"/>
        </w:rPr>
        <w:t>role</w:t>
      </w:r>
      <w:r w:rsidR="001809BD">
        <w:rPr>
          <w:rFonts w:ascii="Times New Roman" w:hAnsi="Times New Roman" w:cs="Times New Roman"/>
          <w:sz w:val="24"/>
          <w:szCs w:val="24"/>
          <w:lang w:val="en-GB"/>
        </w:rPr>
        <w:t>s</w:t>
      </w:r>
      <w:r w:rsidRPr="75A96201">
        <w:rPr>
          <w:rFonts w:ascii="Times New Roman" w:hAnsi="Times New Roman" w:cs="Times New Roman"/>
          <w:sz w:val="24"/>
          <w:szCs w:val="24"/>
          <w:lang w:val="en-GB"/>
        </w:rPr>
        <w:t xml:space="preserve"> of multi-sided platforms enabl</w:t>
      </w:r>
      <w:r w:rsidR="001809BD">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circular supply chains in </w:t>
      </w:r>
      <w:r w:rsidR="00EA7658">
        <w:rPr>
          <w:rFonts w:ascii="Times New Roman" w:hAnsi="Times New Roman" w:cs="Times New Roman"/>
          <w:sz w:val="24"/>
          <w:szCs w:val="24"/>
          <w:lang w:val="en-GB"/>
        </w:rPr>
        <w:t>the</w:t>
      </w:r>
      <w:r w:rsidR="00EA7658"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business-to-business setting. Furthermore, it informs managers on how multi-sided platforms can be exploited by companies to foster the creation of circular supply chains in </w:t>
      </w:r>
      <w:r w:rsidR="00EA7658">
        <w:rPr>
          <w:rFonts w:ascii="Times New Roman" w:hAnsi="Times New Roman" w:cs="Times New Roman"/>
          <w:sz w:val="24"/>
          <w:szCs w:val="24"/>
          <w:lang w:val="en-GB"/>
        </w:rPr>
        <w:t>the</w:t>
      </w:r>
      <w:r w:rsidR="00EA7658"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business-to-business setting.</w:t>
      </w:r>
    </w:p>
    <w:p w14:paraId="55A13E98" w14:textId="77777777" w:rsidR="00B93D26" w:rsidRDefault="00B93D26" w:rsidP="004B1CF3">
      <w:pPr>
        <w:spacing w:after="0" w:line="360" w:lineRule="auto"/>
        <w:jc w:val="both"/>
        <w:rPr>
          <w:rFonts w:ascii="Times New Roman" w:hAnsi="Times New Roman" w:cs="Times New Roman"/>
          <w:sz w:val="24"/>
          <w:szCs w:val="24"/>
          <w:lang w:val="en-GB"/>
        </w:rPr>
      </w:pPr>
    </w:p>
    <w:p w14:paraId="25EB20FE" w14:textId="77777777" w:rsidR="00B93D26" w:rsidRDefault="00000000" w:rsidP="004F643D">
      <w:pPr>
        <w:spacing w:line="360" w:lineRule="auto"/>
        <w:jc w:val="both"/>
        <w:rPr>
          <w:rFonts w:ascii="Times New Roman" w:hAnsi="Times New Roman" w:cs="Times New Roman"/>
          <w:i/>
          <w:iCs/>
          <w:sz w:val="24"/>
          <w:szCs w:val="24"/>
          <w:lang w:val="en-GB"/>
        </w:rPr>
      </w:pPr>
      <w:r w:rsidRPr="00062C57">
        <w:rPr>
          <w:rFonts w:ascii="Times New Roman" w:hAnsi="Times New Roman" w:cs="Times New Roman"/>
          <w:b/>
          <w:bCs/>
          <w:i/>
          <w:iCs/>
          <w:sz w:val="24"/>
          <w:szCs w:val="24"/>
          <w:lang w:val="en-GB"/>
        </w:rPr>
        <w:t xml:space="preserve">Keywords: </w:t>
      </w:r>
      <w:r w:rsidRPr="00062C57">
        <w:rPr>
          <w:rFonts w:ascii="Times New Roman" w:hAnsi="Times New Roman" w:cs="Times New Roman"/>
          <w:i/>
          <w:iCs/>
          <w:sz w:val="24"/>
          <w:szCs w:val="24"/>
          <w:lang w:val="en-GB"/>
        </w:rPr>
        <w:t>Multi-</w:t>
      </w:r>
      <w:r>
        <w:rPr>
          <w:rFonts w:ascii="Times New Roman" w:hAnsi="Times New Roman" w:cs="Times New Roman"/>
          <w:i/>
          <w:iCs/>
          <w:sz w:val="24"/>
          <w:szCs w:val="24"/>
          <w:lang w:val="en-GB"/>
        </w:rPr>
        <w:t>s</w:t>
      </w:r>
      <w:r w:rsidRPr="00062C57">
        <w:rPr>
          <w:rFonts w:ascii="Times New Roman" w:hAnsi="Times New Roman" w:cs="Times New Roman"/>
          <w:i/>
          <w:iCs/>
          <w:sz w:val="24"/>
          <w:szCs w:val="24"/>
          <w:lang w:val="en-GB"/>
        </w:rPr>
        <w:t xml:space="preserve">ided </w:t>
      </w:r>
      <w:r>
        <w:rPr>
          <w:rFonts w:ascii="Times New Roman" w:hAnsi="Times New Roman" w:cs="Times New Roman"/>
          <w:i/>
          <w:iCs/>
          <w:sz w:val="24"/>
          <w:szCs w:val="24"/>
          <w:lang w:val="en-GB"/>
        </w:rPr>
        <w:t>p</w:t>
      </w:r>
      <w:r w:rsidRPr="00062C57">
        <w:rPr>
          <w:rFonts w:ascii="Times New Roman" w:hAnsi="Times New Roman" w:cs="Times New Roman"/>
          <w:i/>
          <w:iCs/>
          <w:sz w:val="24"/>
          <w:szCs w:val="24"/>
          <w:lang w:val="en-GB"/>
        </w:rPr>
        <w:t>latforms, Circular</w:t>
      </w:r>
      <w:r>
        <w:rPr>
          <w:rFonts w:ascii="Times New Roman" w:hAnsi="Times New Roman" w:cs="Times New Roman"/>
          <w:i/>
          <w:iCs/>
          <w:sz w:val="24"/>
          <w:szCs w:val="24"/>
          <w:lang w:val="en-GB"/>
        </w:rPr>
        <w:t xml:space="preserve"> s</w:t>
      </w:r>
      <w:r w:rsidRPr="00062C57">
        <w:rPr>
          <w:rFonts w:ascii="Times New Roman" w:hAnsi="Times New Roman" w:cs="Times New Roman"/>
          <w:i/>
          <w:iCs/>
          <w:sz w:val="24"/>
          <w:szCs w:val="24"/>
          <w:lang w:val="en-GB"/>
        </w:rPr>
        <w:t xml:space="preserve">upply </w:t>
      </w:r>
      <w:r>
        <w:rPr>
          <w:rFonts w:ascii="Times New Roman" w:hAnsi="Times New Roman" w:cs="Times New Roman"/>
          <w:i/>
          <w:iCs/>
          <w:sz w:val="24"/>
          <w:szCs w:val="24"/>
          <w:lang w:val="en-GB"/>
        </w:rPr>
        <w:t>c</w:t>
      </w:r>
      <w:r w:rsidRPr="00062C57">
        <w:rPr>
          <w:rFonts w:ascii="Times New Roman" w:hAnsi="Times New Roman" w:cs="Times New Roman"/>
          <w:i/>
          <w:iCs/>
          <w:sz w:val="24"/>
          <w:szCs w:val="24"/>
          <w:lang w:val="en-GB"/>
        </w:rPr>
        <w:t xml:space="preserve">hains, </w:t>
      </w:r>
      <w:r>
        <w:rPr>
          <w:rFonts w:ascii="Times New Roman" w:hAnsi="Times New Roman" w:cs="Times New Roman"/>
          <w:i/>
          <w:iCs/>
          <w:sz w:val="24"/>
          <w:szCs w:val="24"/>
          <w:lang w:val="en-GB"/>
        </w:rPr>
        <w:t>Circular economy, Resource loops, Business-to-business, Taxonomy.</w:t>
      </w:r>
    </w:p>
    <w:p w14:paraId="485D6699" w14:textId="77777777" w:rsidR="00B93D26" w:rsidRDefault="00B93D26" w:rsidP="004F643D">
      <w:pPr>
        <w:spacing w:line="360" w:lineRule="auto"/>
        <w:jc w:val="both"/>
        <w:rPr>
          <w:rFonts w:ascii="Times New Roman" w:hAnsi="Times New Roman" w:cs="Times New Roman"/>
          <w:b/>
          <w:bCs/>
          <w:i/>
          <w:iCs/>
          <w:sz w:val="24"/>
          <w:szCs w:val="24"/>
          <w:lang w:val="en-GB"/>
        </w:rPr>
        <w:sectPr w:rsidR="00B93D26" w:rsidSect="001E3A53">
          <w:footerReference w:type="default" r:id="rId8"/>
          <w:pgSz w:w="11906" w:h="16838"/>
          <w:pgMar w:top="1417" w:right="1134" w:bottom="1134" w:left="1134" w:header="708" w:footer="708" w:gutter="0"/>
          <w:cols w:space="708"/>
          <w:docGrid w:linePitch="360"/>
        </w:sectPr>
      </w:pPr>
    </w:p>
    <w:p w14:paraId="4235C982" w14:textId="77777777" w:rsidR="00B93D26" w:rsidRPr="00FE6A51" w:rsidRDefault="00000000" w:rsidP="004B1CF3">
      <w:pPr>
        <w:spacing w:after="0" w:line="360" w:lineRule="auto"/>
        <w:jc w:val="both"/>
        <w:rPr>
          <w:rFonts w:ascii="Times New Roman" w:hAnsi="Times New Roman" w:cs="Times New Roman"/>
          <w:b/>
          <w:bCs/>
          <w:sz w:val="24"/>
          <w:szCs w:val="24"/>
          <w:lang w:val="en-GB"/>
        </w:rPr>
      </w:pPr>
      <w:r w:rsidRPr="00FE6A51">
        <w:rPr>
          <w:rFonts w:ascii="Times New Roman" w:hAnsi="Times New Roman" w:cs="Times New Roman"/>
          <w:b/>
          <w:bCs/>
          <w:sz w:val="24"/>
          <w:szCs w:val="24"/>
          <w:lang w:val="en-GB"/>
        </w:rPr>
        <w:lastRenderedPageBreak/>
        <w:t>1. Introduction</w:t>
      </w:r>
    </w:p>
    <w:p w14:paraId="24805679" w14:textId="6315F879" w:rsidR="00B93D26" w:rsidRPr="00D87762" w:rsidRDefault="00000000" w:rsidP="0047619C">
      <w:pPr>
        <w:spacing w:after="0" w:line="360" w:lineRule="auto"/>
        <w:jc w:val="both"/>
        <w:rPr>
          <w:rFonts w:ascii="Times New Roman" w:hAnsi="Times New Roman" w:cs="Times New Roman"/>
          <w:sz w:val="24"/>
          <w:szCs w:val="24"/>
          <w:lang w:val="en-US"/>
        </w:rPr>
      </w:pPr>
      <w:r w:rsidRPr="00A82FF7">
        <w:rPr>
          <w:rFonts w:ascii="Times New Roman" w:hAnsi="Times New Roman" w:cs="Times New Roman"/>
          <w:sz w:val="24"/>
          <w:szCs w:val="24"/>
          <w:lang w:val="en-GB"/>
        </w:rPr>
        <w:t xml:space="preserve">Circular </w:t>
      </w:r>
      <w:r>
        <w:rPr>
          <w:rFonts w:ascii="Times New Roman" w:hAnsi="Times New Roman" w:cs="Times New Roman"/>
          <w:sz w:val="24"/>
          <w:szCs w:val="24"/>
          <w:lang w:val="en-GB"/>
        </w:rPr>
        <w:t>e</w:t>
      </w:r>
      <w:r w:rsidRPr="00A82FF7">
        <w:rPr>
          <w:rFonts w:ascii="Times New Roman" w:hAnsi="Times New Roman" w:cs="Times New Roman"/>
          <w:sz w:val="24"/>
          <w:szCs w:val="24"/>
          <w:lang w:val="en-GB"/>
        </w:rPr>
        <w:t>conomy (CE)</w:t>
      </w:r>
      <w:r w:rsidRPr="0058317C">
        <w:rPr>
          <w:rStyle w:val="Rimandonotaapidipagina"/>
        </w:rPr>
        <w:footnoteReference w:id="2"/>
      </w:r>
      <w:r w:rsidRPr="00A82FF7">
        <w:rPr>
          <w:rFonts w:ascii="Times New Roman" w:hAnsi="Times New Roman" w:cs="Times New Roman"/>
          <w:sz w:val="24"/>
          <w:szCs w:val="24"/>
          <w:lang w:val="en-GB"/>
        </w:rPr>
        <w:t xml:space="preserve"> represents a new industrial approach that aims to overcome the linear “take, make, dispose” model of business </w:t>
      </w:r>
      <w:r w:rsidRPr="00A82FF7">
        <w:rPr>
          <w:rFonts w:ascii="Times New Roman" w:hAnsi="Times New Roman" w:cs="Times New Roman"/>
          <w:sz w:val="24"/>
          <w:szCs w:val="24"/>
          <w:lang w:val="en-GB"/>
        </w:rPr>
        <w:fldChar w:fldCharType="begin" w:fldLock="1"/>
      </w:r>
      <w:r w:rsidRPr="00A82FF7">
        <w:rPr>
          <w:rFonts w:ascii="Times New Roman" w:hAnsi="Times New Roman" w:cs="Times New Roman"/>
          <w:sz w:val="24"/>
          <w:szCs w:val="24"/>
          <w:lang w:val="en-GB"/>
        </w:rPr>
        <w:instrText>ADDIN CSL_CITATION {"citationItems":[{"id":"ITEM-1","itemData":{"author":[{"dropping-particle":"","family":"Ellen MacArthur Foundation","given":"","non-dropping-particle":"","parse-names":false,"suffix":""}],"id":"ITEM-1","issued":{"date-parts":[["2015"]]},"title":"Delivering the circular economy: A toolkit for policymakers.","type":"report"},"uris":["http://www.mendeley.com/documents/?uuid=b11391a6-d866-3e9f-84f6-f4e418429d0d"]}],"mendeley":{"formattedCitation":"(Ellen MacArthur Foundation, 2015)","plainTextFormattedCitation":"(Ellen MacArthur Foundation, 2015)","previouslyFormattedCitation":"(Ellen MacArthur Foundation, 2015)"},"properties":{"noteIndex":0},"schema":"https://github.com/citation-style-language/schema/raw/master/csl-citation.json"}</w:instrText>
      </w:r>
      <w:r w:rsidRPr="00A82FF7">
        <w:rPr>
          <w:rFonts w:ascii="Times New Roman" w:hAnsi="Times New Roman" w:cs="Times New Roman"/>
          <w:sz w:val="24"/>
          <w:szCs w:val="24"/>
          <w:lang w:val="en-GB"/>
        </w:rPr>
        <w:fldChar w:fldCharType="separate"/>
      </w:r>
      <w:r w:rsidRPr="00A82FF7">
        <w:rPr>
          <w:rFonts w:ascii="Times New Roman" w:hAnsi="Times New Roman" w:cs="Times New Roman"/>
          <w:noProof/>
          <w:sz w:val="24"/>
          <w:szCs w:val="24"/>
          <w:lang w:val="en-GB"/>
        </w:rPr>
        <w:t>(Ellen MacArthur Foundation, 2015)</w:t>
      </w:r>
      <w:r w:rsidRPr="00A82FF7">
        <w:rPr>
          <w:rFonts w:ascii="Times New Roman" w:hAnsi="Times New Roman" w:cs="Times New Roman"/>
          <w:sz w:val="24"/>
          <w:szCs w:val="24"/>
          <w:lang w:val="en-GB"/>
        </w:rPr>
        <w:fldChar w:fldCharType="end"/>
      </w:r>
      <w:r w:rsidRPr="00A82FF7">
        <w:rPr>
          <w:rFonts w:ascii="Times New Roman" w:hAnsi="Times New Roman" w:cs="Times New Roman"/>
          <w:sz w:val="24"/>
          <w:szCs w:val="24"/>
          <w:lang w:val="en-GB"/>
        </w:rPr>
        <w:t xml:space="preserve">, recognizing that resources are neither abundant nor easily accessible </w:t>
      </w:r>
      <w:r w:rsidRPr="00A82FF7">
        <w:rPr>
          <w:rFonts w:ascii="Times New Roman" w:hAnsi="Times New Roman" w:cs="Times New Roman"/>
          <w:sz w:val="24"/>
          <w:szCs w:val="24"/>
          <w:lang w:val="en-GB"/>
        </w:rPr>
        <w:fldChar w:fldCharType="begin" w:fldLock="1"/>
      </w:r>
      <w:r w:rsidRPr="00A82FF7">
        <w:rPr>
          <w:rFonts w:ascii="Times New Roman" w:hAnsi="Times New Roman" w:cs="Times New Roman"/>
          <w:sz w:val="24"/>
          <w:szCs w:val="24"/>
          <w:lang w:val="en-GB"/>
        </w:rPr>
        <w:instrText>ADDIN CSL_CITATION {"citationItems":[{"id":"ITEM-1","itemData":{"DOI":"10.1111/JIEC.12597","ISSN":"1530-9290","abstract":"The idea of a circular economy (CE) has become prominent in both European and Chinese policy making. Chinese and European perspectives on a CE share a common conceptual basis and exhibit many similar concerns in seeking to enhance resource efficiency. Yet they also differ, and this article explores differences in the focus of CE policy in China and Europe. We present evidence on the differing understandings of the CE concept in Chinese and European policy discourse, drawing on qualitative and quantitative analysis of policy documents, media articles, and academic publications. We show that the Chinese perspective on the CE is broad, incorporating pollution and other issues alongside waste and resource concerns, and it is framed as a response to the environmental challenges created by rapid growth and industrialization. In contrast, Europe's conception of the CE has a narrower environmental scope, focusing more narrowly on waste and resources and opportunities for business. We then examine similarities and differences in the focus of policy activity in the two regions and in the indicators used to measure progress. We show differences in the treatment of issues of scale and place and different priorities across value chains (from design to manufacture, consumption, and waste management). We suggest some reasons for the divergent policy articulation of the CE concept and suggest lessons that each region can learn from the other.","author":[{"dropping-particle":"","family":"McDowall","given":"Will","non-dropping-particle":"","parse-names":false,"suffix":""},{"dropping-particle":"","family":"Geng","given":"Yong","non-dropping-particle":"","parse-names":false,"suffix":""},{"dropping-particle":"","family":"Huang","given":"Beijia","non-dropping-particle":"","parse-names":false,"suffix":""},{"dropping-particle":"","family":"Barteková","given":"Eva","non-dropping-particle":"","parse-names":false,"suffix":""},{"dropping-particle":"","family":"Bleischwitz","given":"Raimund","non-dropping-particle":"","parse-names":false,"suffix":""},{"dropping-particle":"","family":"Türkeli","given":"Serdar","non-dropping-particle":"","parse-names":false,"suffix":""},{"dropping-particle":"","family":"Kemp","given":"René","non-dropping-particle":"","parse-names":false,"suffix":""},{"dropping-particle":"","family":"Doménech","given":"Teresa","non-dropping-particle":"","parse-names":false,"suffix":""}],"container-title":"Journal of Industrial Ecology","id":"ITEM-1","issue":"3","issued":{"date-parts":[["2017","6"]]},"page":"651-661","publisher":"John Wiley &amp; Sons, Ltd","title":"Circular Economy Policies in China and Europe","type":"article-journal","volume":"21"},"uris":["http://www.mendeley.com/documents/?uuid=03fa327d-757e-4de5-9a65-f926e086caa1"]}],"mendeley":{"formattedCitation":"(McDowall et al., 2017)","plainTextFormattedCitation":"(McDowall et al., 2017)","previouslyFormattedCitation":"(McDowall et al., 2017)"},"properties":{"noteIndex":0},"schema":"https://github.com/citation-style-language/schema/raw/master/csl-citation.json"}</w:instrText>
      </w:r>
      <w:r w:rsidRPr="00A82FF7">
        <w:rPr>
          <w:rFonts w:ascii="Times New Roman" w:hAnsi="Times New Roman" w:cs="Times New Roman"/>
          <w:sz w:val="24"/>
          <w:szCs w:val="24"/>
          <w:lang w:val="en-GB"/>
        </w:rPr>
        <w:fldChar w:fldCharType="separate"/>
      </w:r>
      <w:r w:rsidRPr="00A82FF7">
        <w:rPr>
          <w:rFonts w:ascii="Times New Roman" w:hAnsi="Times New Roman" w:cs="Times New Roman"/>
          <w:noProof/>
          <w:sz w:val="24"/>
          <w:szCs w:val="24"/>
          <w:lang w:val="en-GB"/>
        </w:rPr>
        <w:t>(McDowall et al., 2017)</w:t>
      </w:r>
      <w:r w:rsidRPr="00A82FF7">
        <w:rPr>
          <w:rFonts w:ascii="Times New Roman" w:hAnsi="Times New Roman" w:cs="Times New Roman"/>
          <w:sz w:val="24"/>
          <w:szCs w:val="24"/>
          <w:lang w:val="en-GB"/>
        </w:rPr>
        <w:fldChar w:fldCharType="end"/>
      </w:r>
      <w:r w:rsidRPr="00A82FF7">
        <w:rPr>
          <w:rFonts w:ascii="Times New Roman" w:hAnsi="Times New Roman" w:cs="Times New Roman"/>
          <w:sz w:val="24"/>
          <w:szCs w:val="24"/>
          <w:lang w:val="en-GB"/>
        </w:rPr>
        <w:t xml:space="preserve">. </w:t>
      </w:r>
      <w:r>
        <w:rPr>
          <w:rFonts w:ascii="Times New Roman" w:hAnsi="Times New Roman" w:cs="Times New Roman"/>
          <w:sz w:val="24"/>
          <w:szCs w:val="24"/>
          <w:lang w:val="en-US"/>
        </w:rPr>
        <w:t>CE represents</w:t>
      </w:r>
      <w:r w:rsidRPr="00712628">
        <w:rPr>
          <w:rFonts w:ascii="Times New Roman" w:hAnsi="Times New Roman" w:cs="Times New Roman"/>
          <w:sz w:val="24"/>
          <w:szCs w:val="24"/>
          <w:lang w:val="en-US"/>
        </w:rPr>
        <w:t xml:space="preserve"> a regenerative system in which resource input and waste, emission, and energy leakage</w:t>
      </w:r>
      <w:r>
        <w:rPr>
          <w:rFonts w:ascii="Times New Roman" w:hAnsi="Times New Roman" w:cs="Times New Roman"/>
          <w:sz w:val="24"/>
          <w:szCs w:val="24"/>
          <w:lang w:val="en-US"/>
        </w:rPr>
        <w:t>s</w:t>
      </w:r>
      <w:r w:rsidRPr="00712628">
        <w:rPr>
          <w:rFonts w:ascii="Times New Roman" w:hAnsi="Times New Roman" w:cs="Times New Roman"/>
          <w:sz w:val="24"/>
          <w:szCs w:val="24"/>
          <w:lang w:val="en-US"/>
        </w:rPr>
        <w:t xml:space="preserve"> are minimized thanks to the long-lasting design, maintenance, repair, reuse, remanufacturing, refurbishing, and recycling </w:t>
      </w:r>
      <w:r>
        <w:rPr>
          <w:rFonts w:ascii="Times New Roman" w:hAnsi="Times New Roman" w:cs="Times New Roman"/>
          <w:sz w:val="24"/>
          <w:szCs w:val="24"/>
          <w:lang w:val="en-US"/>
        </w:rPr>
        <w:t xml:space="preserve">of products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{"citationItems":[{"id":"ITEM-1","itemData":{"DOI":"10.1016/J.JCLEPRO.2016.12.048","ISSN":"0959-6526","abstract":"While the terms Circular Economy and sustainability are increasingly gaining traction with academia, industry, and policymakers, the similarities and differences between both concepts remain ambiguous. The relationship between the concepts is not made explicit in literature, which is blurring their conceptual contours and constrains the efficacy of using the approaches in research and practice. This research addresses this gap and aims to provide conceptual clarity by distinguishing the terms and synthesising the different types of relationships between them. We conducted an extensive literature review, employing bibliometric analysis and snowballing techniques to investigate the state of the art in the field and synthesise the similarities, differences and relationships between both terms. We identified eight different relationship types in the literature and illustrated the most evident similarities and differences between both concepts.","author":[{"dropping-particle":"","family":"Geissdoerfer","given":"Martin","non-dropping-particle":"","parse-names":false,"suffix":""},{"dropping-particle":"","family":"Savaget","given":"Paulo","non-dropping-particle":"","parse-names":false,"suffix":""},{"dropping-particle":"","family":"Bocken","given":"Nancy M.P.","non-dropping-particle":"","parse-names":false,"suffix":""},{"dropping-particle":"","family":"Hultink","given":"Erik Jan","non-dropping-particle":"","parse-names":false,"suffix":""}],"container-title":"Journal of Cleaner Production","id":"ITEM-1","issued":{"date-parts":[["2017","2"]]},"page":"757-768","publisher":"Elsevier","title":"The Circular Economy – A new sustainability paradigm?","type":"article-journal","volume":"143"},"uris":["http://www.mendeley.com/documents/?uuid=9b8bd6da-8ae8-44d3-a938-7d996744df6e"]}],"mendeley":{"formattedCitation":"(Geissdoerfer et al., 2017)","plainTextFormattedCitation":"(Geissdoerfer et al., 2017)","previouslyFormattedCitation":"(Geissdoerfer et al., 2017)"},"properties":{"noteIndex":0},"schema":"https://github.com/citation-style-language/schema/raw/master/csl-citation.json"}</w:instrText>
      </w:r>
      <w:r>
        <w:rPr>
          <w:rFonts w:ascii="Times New Roman" w:hAnsi="Times New Roman" w:cs="Times New Roman"/>
          <w:sz w:val="24"/>
          <w:szCs w:val="24"/>
          <w:lang w:val="en-US"/>
        </w:rPr>
        <w:fldChar w:fldCharType="separate"/>
      </w:r>
      <w:r w:rsidRPr="00D96D29">
        <w:rPr>
          <w:rFonts w:ascii="Times New Roman" w:hAnsi="Times New Roman" w:cs="Times New Roman"/>
          <w:noProof/>
          <w:sz w:val="24"/>
          <w:szCs w:val="24"/>
          <w:lang w:val="en-US"/>
        </w:rPr>
        <w:t>(Geissdoerfer et al., 2017)</w:t>
      </w:r>
      <w:r>
        <w:rPr>
          <w:rFonts w:ascii="Times New Roman" w:hAnsi="Times New Roman" w:cs="Times New Roman"/>
          <w:sz w:val="24"/>
          <w:szCs w:val="24"/>
          <w:lang w:val="en-US"/>
        </w:rPr>
        <w:fldChar w:fldCharType="end"/>
      </w:r>
      <w:r w:rsidRPr="00712628">
        <w:rPr>
          <w:rFonts w:ascii="Times New Roman" w:hAnsi="Times New Roman" w:cs="Times New Roman"/>
          <w:sz w:val="24"/>
          <w:szCs w:val="24"/>
          <w:lang w:val="en-US"/>
        </w:rPr>
        <w:t>.</w:t>
      </w:r>
      <w:r>
        <w:rPr>
          <w:rFonts w:ascii="Times New Roman" w:hAnsi="Times New Roman" w:cs="Times New Roman"/>
          <w:sz w:val="24"/>
          <w:szCs w:val="24"/>
          <w:lang w:val="en-US"/>
        </w:rPr>
        <w:t xml:space="preserve"> Accordingly, the CE approach</w:t>
      </w:r>
      <w:r w:rsidRPr="00712628">
        <w:rPr>
          <w:rFonts w:ascii="Times New Roman" w:hAnsi="Times New Roman" w:cs="Times New Roman"/>
          <w:sz w:val="24"/>
          <w:szCs w:val="24"/>
          <w:lang w:val="en-US"/>
        </w:rPr>
        <w:t xml:space="preserve"> </w:t>
      </w:r>
      <w:r>
        <w:rPr>
          <w:rFonts w:ascii="Times New Roman" w:hAnsi="Times New Roman" w:cs="Times New Roman"/>
          <w:sz w:val="24"/>
          <w:szCs w:val="24"/>
          <w:lang w:val="en-US"/>
        </w:rPr>
        <w:t>aim</w:t>
      </w:r>
      <w:r w:rsidRPr="00712628">
        <w:rPr>
          <w:rFonts w:ascii="Times New Roman" w:hAnsi="Times New Roman" w:cs="Times New Roman"/>
          <w:sz w:val="24"/>
          <w:szCs w:val="24"/>
          <w:lang w:val="en-US"/>
        </w:rPr>
        <w:t xml:space="preserve">s to bring about perfect circles of material flows to enable a decoupling of resource use and environmental impact from economic growth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{"citationItems":[{"id":"ITEM-1","itemData":{"DOI":"10.1016/J.ERSS.2017.05.006","ISSN":"2214-6296","abstract":"The European Union (EU) has set its sights on becoming a circular economy, envisaging a transition that implies systemic changes in natural resource transformations and material flows; and offering a response to what is commonly labelled as the ‘take-make-dispose’ conventional economic model. What does the transition toward a circular economy entail and what can it do? This paper analyses the emergence and mobilisation of expectations that are shaping the EU transition to a circular economy. It traces the narrative elements through which the circular economy is configured through an analysis of position papers presented to inform the debate on the European Commission's circular economy package. Expectations for the circular economy are articulated as: (1) a perfect circle of slow material flows; (2) a shift from consumer to user; (3) growth through circularity and decoupling; and (4) a solution to European renewal. Extending boundaries of what is ‘in’ benefits actors driving the circular economy as, in the short-term, they can actively support a deliberately vague, but uncontroversial, circular economy. On the one hand, the expectations present a strong sense of a collective ‘we’, on the other hand we are yet to see the contentions and contestations being full playing out.","author":[{"dropping-particle":"","family":"Lazarevic","given":"David","non-dropping-particle":"","parse-names":false,"suffix":""},{"dropping-particle":"","family":"Valve","given":"Helena","non-dropping-particle":"","parse-names":false,"suffix":""}],"container-title":"Energy Research &amp; Social Science","id":"ITEM-1","issued":{"date-parts":[["2017","9"]]},"page":"60-69","publisher":"Elsevier","title":"Narrating expectations for the circular economy: Towards a common and contested European transition","type":"article-journal","volume":"31"},"uris":["http://www.mendeley.com/documents/?uuid=c2971528-ea83-4fb3-bbda-a15163e2279c"]}],"mendeley":{"formattedCitation":"(Lazarevic &amp; Valve, 2017)","plainTextFormattedCitation":"(Lazarevic &amp; Valve, 2017)","previouslyFormattedCitation":"(Lazarevic &amp; Valve, 2017)"},"properties":{"noteIndex":0},"schema":"https://github.com/citation-style-language/schema/raw/master/csl-citation.json"}</w:instrText>
      </w:r>
      <w:r>
        <w:rPr>
          <w:rFonts w:ascii="Times New Roman" w:hAnsi="Times New Roman" w:cs="Times New Roman"/>
          <w:sz w:val="24"/>
          <w:szCs w:val="24"/>
          <w:lang w:val="en-US"/>
        </w:rPr>
        <w:fldChar w:fldCharType="separate"/>
      </w:r>
      <w:r w:rsidRPr="00D96D29">
        <w:rPr>
          <w:rFonts w:ascii="Times New Roman" w:hAnsi="Times New Roman" w:cs="Times New Roman"/>
          <w:noProof/>
          <w:sz w:val="24"/>
          <w:szCs w:val="24"/>
          <w:lang w:val="en-US"/>
        </w:rPr>
        <w:t>(Lazarevic &amp; Valve, 2017)</w:t>
      </w:r>
      <w:r>
        <w:rPr>
          <w:rFonts w:ascii="Times New Roman" w:hAnsi="Times New Roman" w:cs="Times New Roman"/>
          <w:sz w:val="24"/>
          <w:szCs w:val="24"/>
          <w:lang w:val="en-US"/>
        </w:rPr>
        <w:fldChar w:fldCharType="end"/>
      </w:r>
      <w:r w:rsidRPr="00D87762">
        <w:rPr>
          <w:rFonts w:ascii="Times New Roman" w:hAnsi="Times New Roman" w:cs="Times New Roman"/>
          <w:sz w:val="24"/>
          <w:szCs w:val="24"/>
          <w:lang w:val="en-US"/>
        </w:rPr>
        <w:t xml:space="preserve">. </w:t>
      </w:r>
      <w:r w:rsidRPr="00A82FF7">
        <w:rPr>
          <w:rFonts w:ascii="Times New Roman" w:hAnsi="Times New Roman" w:cs="Times New Roman"/>
          <w:sz w:val="24"/>
          <w:szCs w:val="24"/>
          <w:lang w:val="en-GB"/>
        </w:rPr>
        <w:t xml:space="preserve">In this respect, </w:t>
      </w:r>
      <w:r>
        <w:rPr>
          <w:rFonts w:ascii="Times New Roman" w:hAnsi="Times New Roman" w:cs="Times New Roman"/>
          <w:sz w:val="24"/>
          <w:szCs w:val="24"/>
          <w:lang w:val="en-GB"/>
        </w:rPr>
        <w:t>CE</w:t>
      </w:r>
      <w:r w:rsidRPr="00A82FF7">
        <w:rPr>
          <w:rFonts w:ascii="Times New Roman" w:hAnsi="Times New Roman" w:cs="Times New Roman"/>
          <w:sz w:val="24"/>
          <w:szCs w:val="24"/>
          <w:lang w:val="en-GB"/>
        </w:rPr>
        <w:t xml:space="preserve"> can bring economy to a new sustainable pattern of growth </w:t>
      </w:r>
      <w:r>
        <w:rPr>
          <w:rFonts w:ascii="Times New Roman" w:hAnsi="Times New Roman" w:cs="Times New Roman"/>
          <w:sz w:val="24"/>
          <w:szCs w:val="24"/>
          <w:lang w:val="en-GB"/>
        </w:rPr>
        <w:t>that</w:t>
      </w:r>
      <w:r w:rsidRPr="00A82FF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can </w:t>
      </w:r>
      <w:r w:rsidRPr="00A82FF7">
        <w:rPr>
          <w:rFonts w:ascii="Times New Roman" w:hAnsi="Times New Roman" w:cs="Times New Roman"/>
          <w:sz w:val="24"/>
          <w:szCs w:val="24"/>
          <w:lang w:val="en-GB"/>
        </w:rPr>
        <w:t xml:space="preserve">motivate companies, policymakers, and society at large to adopt more sustainable behaviours </w:t>
      </w:r>
      <w:r w:rsidRPr="002669E1">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{"citationItems":[{"id":"ITEM-1","itemData":{"ISBN":"978 1 78897 271 0","abstract":"\"Providing a comprehensive overview of the mechanisms and consequences of the circular economy, as well as its limitations, it raises important questions concerning how the world should proceed when non-renewable resources, such as fossil fuels and minerals, are being depleted and the environment is struggling to cope with the waste and emissions of unsustainable production and consumption systems. Contributors explore a broad range of themes, such as new sustainable production and consumption systems, new design requirements, recycling systems, new business models and the social impacts of the circular economy, while also consolidating the many ways in which the topic has been dealt with in research, business and policy-making.\" -- Page [4] of cover. Foreword by Janez Potocnik and Julia Okatz -- 1. Introduction and overview / Miguel Brandão, David Lazarevic and Göran Finnveden -- Part I: Fundamentals of the circular economy -- 2. The circular economy: a strategy to reconcile economic and environmental objectives? / David Lazarevic and Miguel Brandão -- 3. The circular economy as a complex adaptive system / Jouni Korhonen -- 4. The role of design as a barrier to and enabler of the circular economy / Deborah Andrews -- 5. Industrial symbiosis networks: application of the circular economy for resource efficiency / Michael Martin -- 6. Product service systems: business models towards a circular economy / Sofia Lingegård -- 7. Consumers in the circular economy / Juana Camacho-Otero, Vivian S.C. Tunn, Lucy Chamberlin and Casper Boks -- Part II: Assessing the impacts of a circular economy -- 8. Material flow analysis of recycling systems / Sarah Schmidt and David Laner -- 9. An element flow analysis approach to support the circular economy / Rajib Sinha, Rafael Laurenti, Jagdeep Singh and Björn M. Frostell -- 10. Modelling material recycling in life cycle assessment: how sensitive are results to the available methods? / Tomas Ekvall and Miguel Brandão -- 11. Environmental economic assessment of novel circular economy and bioeconomy technologies / Mikael Skou Andersen and Louise Martinsen -- 12. Integrated sustainability assessment of a circular economy / Kristian Skånberg, Anders Wijkman, Mårten Berglund, Göran Finnveden and Miguel Brandão -- 13. Sex, drugs and the circular economy: the social impacts of the circular economy and how to measure them / Kati Pitkänen, Tiina Kaisa Maria Karppinen, Petrus Kautto, Sara Turunen, Jachym Judl and Tuuli Myllymaa -- 14.…","author":[{"dropping-particle":"","family":"Brandão","given":"Miguel (Miguel Mendonca Reis)","non-dropping-particle":"","parse-names":false,"suffix":""},{"dropping-particle":"","family":"Lazarevic","given":"David.","non-dropping-particle":"","parse-names":false,"suffix":""},{"dropping-particle":"","family":"Finnveden","given":"Göran.","non-dropping-particle":"","parse-names":false,"suffix":""}],"id":"ITEM-1","issued":{"date-parts":[["2020"]]},"page":"528","publisher":"Edward Elgar Publishing","title":"Handbook of the circular economy","type":"article-journal"},"uris":["http://www.mendeley.com/documents/?uuid=f0b6f864-ce42-4f73-906f-70146aedc03f"]},{"id":"ITEM-2","itemData":{"DOI":"10.1016/j.jclepro.2015.04.013","ISBN":"0959-6526","ISSN":"09596526","abstract":"This paper analyses household behaviour as response to changes in waste management systems. The paper discusses the results of a case study from Vellinge municipality (Sweden), where the introduction of separate food waste collection is thought to have a role in reducing the total amount of household waste and improving the sorting of packaging waste. The study relies on data from official waste statistics and a survey of 117 municipal residents focusing on households' perceptions, attitudes and self-reflected changes in waste sorting behaviour. The respondents mentioned the increased environmental awareness and the convenience of food waste sorting among the primary reasons for the perceived changes in personal waste sorting routines. The study also tested the significance of other variables, such as income, employment, economic activity, socio-demographics, infrastructure, waste tariffs, illegal dumping, and awareness raising campaigns. Most of the variables were static and none showed sufficient correlation to the observed reduction of waste collection rates and the improvements in sorting other waste fractions. The analysed case had particularly high income levels, which were the main dynamic variable under study. The analysis suggests that we may be observing an example of a decoupling between economic growth and waste generation rates. This observation is explained by the Kuznets phenomena and it is being discussed in this paper.","author":[{"dropping-particle":"","family":"Miliute-Plepiene","given":"J.","non-dropping-particle":"","parse-names":false,"suffix":""},{"dropping-particle":"","family":"Plepys","given":"A.","non-dropping-particle":"","parse-names":false,"suffix":""}],"container-title":"Journal of Cleaner Production","id":"ITEM-2","issue":"2015","issued":{"date-parts":[["2015"]]},"page":"182-192","publisher":"Elsevier Ltd","title":"Does food sorting prevents and improves sorting of household waste? A case in Sweden","type":"article-journal","volume":"101"},"uris":["http://www.mendeley.com/documents/?uuid=090834ae-2907-421d-848a-133d54b23086"]},{"id":"ITEM-3","itemData":{"DOI":"10.1111/jiec.12244","ISBN":"1530-9290","ISSN":"15309290","abstract":"It is increasingly recognized that the growing metabolism of society is approaching limitations both with respect to sources for resource inputs and sinks for waste and emission outflows. The circular economy {(CE)} is a simple, but convincing, strategy, which aims at reducing both input of virgin materials and output of wastes by closing economic and ecological loops of resource flows. This article applies a sociometabolic approach to assess the circularity of global material flows. All societal material flows globally and in the European Union {(EU-27)} are traced from extraction to disposal and presented for main material groups for 2005. Our estimate shows that while globally roughly 4 gigatonnes per year {(Gt/yr)} of waste materials are recycled, this flow is of moderate size compared to {62~Gt/yr} of processed materials and outputs of {41~Gt/yr.} The low degree of circularity has two main reasons: First, 44% of processed materials are used to provide energy and are thus not available for recycling. Second, socioeconomic stocks are still growing at a high rate with net additions to stocks of {17~Gt/yr.} Despite having considerably higher end-of-life recycling rates in the {EU,} the overall degree of circularity is low for similar reasons. Our results indicate that strategies targeting the output side (end of pipe) are limited given present proportions of flows, whereas a shift to renewable energy, a significant reduction of societal stock growth, and decisive eco-design are required to advance toward a {CE.}","author":[{"dropping-particle":"","family":"Haas","given":"Willi","non-dropping-particle":"","parse-names":false,"suffix":""},{"dropping-particle":"","family":"Krausmann","given":"Fridolin","non-dropping-particle":"","parse-names":false,"suffix":""},{"dropping-particle":"","family":"Wiedenhofer","given":"Dominik","non-dropping-particle":"","parse-names":false,"suffix":""},{"dropping-particle":"","family":"Heinz","given":"Markus","non-dropping-particle":"","parse-names":false,"suffix":""}],"container-title":"Journal of Industrial Ecology","id":"ITEM-3","issue":"5","issued":{"date-parts":[["2015"]]},"page":"765-777","title":"How circular is the global economy?: An assessment of material flows, waste production, and recycling in the European union and the world in 2005","type":"article-journal","volume":"19"},"uris":["http://www.mendeley.com/documents/?uuid=0e9a0bc2-9943-4356-88bb-8d8c6c73eaca"]}],"mendeley":{"formattedCitation":"(Brandão et al., 2020; Haas et al., 2015; Miliute-Plepiene &amp; Plepys, 2015)","manualFormatting":"(Haas et al., 2015; Brandão et al., 2020)","plainTextFormattedCitation":"(Brandão et al., 2020; Haas et al., 2015; Miliute-Plepiene &amp; Plepys, 2015)","previouslyFormattedCitation":"(Brandão et al., 2020; Haas et al., 2015; Miliute-Plepiene &amp; Plepys, 2015)"},"properties":{"noteIndex":0},"schema":"https://github.com/citation-style-language/schema/raw/master/csl-citation.json"}</w:instrText>
      </w:r>
      <w:r w:rsidRPr="002669E1">
        <w:rPr>
          <w:rFonts w:ascii="Times New Roman" w:hAnsi="Times New Roman" w:cs="Times New Roman"/>
          <w:sz w:val="24"/>
          <w:szCs w:val="24"/>
          <w:lang w:val="en-GB"/>
        </w:rPr>
        <w:fldChar w:fldCharType="separate"/>
      </w:r>
      <w:r w:rsidRPr="00C15F73">
        <w:rPr>
          <w:rFonts w:ascii="Times New Roman" w:hAnsi="Times New Roman" w:cs="Times New Roman"/>
          <w:noProof/>
          <w:sz w:val="24"/>
          <w:szCs w:val="24"/>
          <w:lang w:val="en-US"/>
        </w:rPr>
        <w:t>(Haas et al., 2015; Brandão et al., 2020)</w:t>
      </w:r>
      <w:r w:rsidRPr="002669E1">
        <w:rPr>
          <w:rFonts w:ascii="Times New Roman" w:hAnsi="Times New Roman" w:cs="Times New Roman"/>
          <w:sz w:val="24"/>
          <w:szCs w:val="24"/>
          <w:lang w:val="en-GB"/>
        </w:rPr>
        <w:fldChar w:fldCharType="end"/>
      </w:r>
      <w:r w:rsidRPr="00C15F73">
        <w:rPr>
          <w:rFonts w:ascii="Times New Roman" w:hAnsi="Times New Roman" w:cs="Times New Roman"/>
          <w:sz w:val="24"/>
          <w:szCs w:val="24"/>
          <w:lang w:val="en-US"/>
        </w:rPr>
        <w:t>.</w:t>
      </w:r>
    </w:p>
    <w:p w14:paraId="6A82160E" w14:textId="782B1B80" w:rsidR="00B93D26" w:rsidRDefault="00000000" w:rsidP="007B4EB6">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US"/>
        </w:rPr>
        <w:t>From the companies’ perspective, the implementation of CE principles requires them to</w:t>
      </w:r>
      <w:r w:rsidRPr="006260E2">
        <w:rPr>
          <w:rFonts w:ascii="Times New Roman" w:hAnsi="Times New Roman" w:cs="Times New Roman"/>
          <w:sz w:val="24"/>
          <w:szCs w:val="24"/>
          <w:lang w:val="en-US"/>
        </w:rPr>
        <w:t xml:space="preserve"> redesign </w:t>
      </w:r>
      <w:r>
        <w:rPr>
          <w:rFonts w:ascii="Times New Roman" w:hAnsi="Times New Roman" w:cs="Times New Roman"/>
          <w:sz w:val="24"/>
          <w:szCs w:val="24"/>
          <w:lang w:val="en-US"/>
        </w:rPr>
        <w:t xml:space="preserve">their </w:t>
      </w:r>
      <w:r w:rsidRPr="006260E2">
        <w:rPr>
          <w:rFonts w:ascii="Times New Roman" w:hAnsi="Times New Roman" w:cs="Times New Roman"/>
          <w:sz w:val="24"/>
          <w:szCs w:val="24"/>
          <w:lang w:val="en-US"/>
        </w:rPr>
        <w:t>business model</w:t>
      </w:r>
      <w:r>
        <w:rPr>
          <w:rFonts w:ascii="Times New Roman" w:hAnsi="Times New Roman" w:cs="Times New Roman"/>
          <w:sz w:val="24"/>
          <w:szCs w:val="24"/>
          <w:lang w:val="en-US"/>
        </w:rPr>
        <w:t xml:space="preserve">s (BMs) towards circular business models (CBMs)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{"citationItems":[{"id":"ITEM-1","itemData":{"DOI":"10.1016/j.jclepro.2018.08.072","abstract":"The circular economy (CE) has gained traction as a pathway towards more sustainable economic growth. The main actions leading towards a CE have been identified as the 3R principles of reduce, reuse, and recycle. However, understanding is lacking regarding how the adoption of CE using the 3R principles generates value and revenue in a business context. Thus, this study structurally examines business models used by CE-driven firms utilizing the fundamental business model components of value proposition , value creation/delivery, and value capture. By developing a detailed framework of business model components, acknowledging the particular features of CE implementation, and conducting a multiple-case study combining the business model approach with the 3R principles, this study analyzes feasible CE business models from multiple industries in Europe, the US, and China. The following five research propositions are derived from the findings of the explorative case analysis: 1) the cost-efficiency of circular operations is the key proponent to successful CE business, 2) take-back services enable the acquisition of particular wastes as resources, but they need to be incentivized through reductions in customers' total waste management costs, 3) circular business models require the focal firm to separately manage multiple positions in the value chain, 4) the take-back system for gaining value through CE can be implemented successfully in multiple ways, and 5) recycling is easier to implement than reducing or reusing due to a smaller impact on the business. These propositions contribute to the circular business model literature by showing how economic value is generated by CE initiatives and providing foundations for theory-testing future research. The propositions also provide guidance for policymakers and managers on supporting and implementing circular business.","author":[{"dropping-particle":"","family":"Ranta","given":"Valtteri","non-dropping-particle":"","parse-names":false,"suffix":""},{"dropping-particle":"","family":"Aarikka-Stenroos","given":"Leena","non-dropping-particle":"","parse-names":false,"suffix":""},{"dropping-particle":"","family":"Saku","given":"J. Mäkinen","non-dropping-particle":"","parse-names":false,"suffix":""}],"id":"ITEM-1","issued":{"date-parts":[["2018"]]},"title":"Creating value in the circular economy: A structured multiple-case analysis of business models","type":"article-journal"},"uris":["http://www.mendeley.com/documents/?uuid=8eb519f4-064a-35b2-8344-980cdb303678"]}],"mendeley":{"formattedCitation":"(Ranta et al., 2018)","plainTextFormattedCitation":"(Ranta et al., 2018)","previouslyFormattedCitation":"(Ranta et al., 2018)"},"properties":{"noteIndex":0},"schema":"https://github.com/citation-style-language/schema/raw/master/csl-citation.json"}</w:instrText>
      </w:r>
      <w:r>
        <w:rPr>
          <w:rFonts w:ascii="Times New Roman" w:hAnsi="Times New Roman" w:cs="Times New Roman"/>
          <w:sz w:val="24"/>
          <w:szCs w:val="24"/>
          <w:lang w:val="en-US"/>
        </w:rPr>
        <w:fldChar w:fldCharType="separate"/>
      </w:r>
      <w:r w:rsidRPr="00D96D29">
        <w:rPr>
          <w:rFonts w:ascii="Times New Roman" w:hAnsi="Times New Roman" w:cs="Times New Roman"/>
          <w:noProof/>
          <w:sz w:val="24"/>
          <w:szCs w:val="24"/>
          <w:lang w:val="en-US"/>
        </w:rPr>
        <w:t>(Ranta et al., 2018)</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Pr>
          <w:rFonts w:ascii="Times New Roman" w:hAnsi="Times New Roman" w:cs="Times New Roman"/>
          <w:sz w:val="24"/>
          <w:szCs w:val="24"/>
          <w:lang w:val="en-GB"/>
        </w:rPr>
        <w:t>which refer to “</w:t>
      </w:r>
      <w:r w:rsidRPr="003357E8">
        <w:rPr>
          <w:rFonts w:ascii="Times New Roman" w:hAnsi="Times New Roman" w:cs="Times New Roman"/>
          <w:sz w:val="24"/>
          <w:szCs w:val="24"/>
          <w:lang w:val="en-GB"/>
        </w:rPr>
        <w:t>how a company creates, captures, and delivers value with the value creation logic designed to improve resource efficiency through contributing to extending useful life of products and parts (e.g., through long-life design, repair</w:t>
      </w:r>
      <w:r w:rsidR="000F1568">
        <w:rPr>
          <w:rFonts w:ascii="Times New Roman" w:hAnsi="Times New Roman" w:cs="Times New Roman"/>
          <w:sz w:val="24"/>
          <w:szCs w:val="24"/>
          <w:lang w:val="en-GB"/>
        </w:rPr>
        <w:t>,</w:t>
      </w:r>
      <w:r w:rsidRPr="003357E8">
        <w:rPr>
          <w:rFonts w:ascii="Times New Roman" w:hAnsi="Times New Roman" w:cs="Times New Roman"/>
          <w:sz w:val="24"/>
          <w:szCs w:val="24"/>
          <w:lang w:val="en-GB"/>
        </w:rPr>
        <w:t xml:space="preserve"> and remanufacturing) and closing material loops”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{"citationItems":[{"id":"ITEM-1","itemData":{"DOI":"10.3390/SU9101810","ISSN":"2071-1050","abstract":"To aid companies in transitioning towards a circular economy and adopting strategies such as reuse, repair, and remanufacturing, the concept of circular business models has been developed. Although the concept draws on contributions from various academic disciplines, and despite its increasingly frequent use, few scholars clearly define what a circular business model is. Understanding about what makes a business model circular is diverse, hampering the theoretical development and practical application of circular business models. This study aims to help frame the field of circular business model research, by clarifying the fundamentals of the concept from the perspectives of resource efficiency and business model innovation. Expanding on these findings, a review of how the concept is used in recent academic literature is provided. It shows that a coherent view is lacking on which resource efficiency strategies classify a business model as circular. This study clarifies which resource efficiency strategies can be deemed as relevant key strategies for circular business models, and suggests a new definition of the concept. With the definition grounded in analysis of the fundamentals in terms of resource efficiency and business models, the study contributes to theoretical advancement and effective implementation of circular business models.","author":[{"dropping-particle":"","family":"Nußholz","given":"Julia L.K.","non-dropping-particle":"","parse-names":false,"suffix":""}],"container-title":"Sustainability 2017, Vol. 9, Page 1810","id":"ITEM-1","issue":"10","issued":{"date-parts":[["2017","10","10"]]},"page":"1810","publisher":"Multidisciplinary Digital Publishing Institute","title":"Circular Business Models: Defining a Concept and Framing an Emerging Research Field","type":"article-journal","volume":"9"},"uris":["http://www.mendeley.com/documents/?uuid=b50248c9-fad3-3da0-a212-8d8a9c89592f"]}],"mendeley":{"formattedCitation":"(Nußholz, 2017)","manualFormatting":"(Nußholz, 2017","plainTextFormattedCitation":"(Nußholz, 2017)","previouslyFormattedCitation":"(Nußholz, 2017)"},"properties":{"noteIndex":0},"schema":"https://github.com/citation-style-language/schema/raw/master/csl-citation.json"}</w:instrText>
      </w:r>
      <w:r>
        <w:rPr>
          <w:rFonts w:ascii="Times New Roman" w:hAnsi="Times New Roman" w:cs="Times New Roman"/>
          <w:sz w:val="24"/>
          <w:szCs w:val="24"/>
          <w:lang w:val="en-GB"/>
        </w:rPr>
        <w:fldChar w:fldCharType="separate"/>
      </w:r>
      <w:r w:rsidRPr="00083DD1">
        <w:rPr>
          <w:rFonts w:ascii="Times New Roman" w:hAnsi="Times New Roman" w:cs="Times New Roman"/>
          <w:noProof/>
          <w:sz w:val="24"/>
          <w:szCs w:val="24"/>
          <w:lang w:val="en-GB"/>
        </w:rPr>
        <w:t>(Nußholz, 2017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r w:rsidRPr="003357E8">
        <w:rPr>
          <w:rFonts w:ascii="Times New Roman" w:hAnsi="Times New Roman" w:cs="Times New Roman"/>
          <w:sz w:val="24"/>
          <w:szCs w:val="24"/>
          <w:lang w:val="en-GB"/>
        </w:rPr>
        <w:t xml:space="preserve"> p. 12)</w:t>
      </w:r>
      <w:r>
        <w:rPr>
          <w:rFonts w:ascii="Times New Roman" w:hAnsi="Times New Roman" w:cs="Times New Roman"/>
          <w:sz w:val="24"/>
          <w:szCs w:val="24"/>
          <w:lang w:val="en-GB"/>
        </w:rPr>
        <w:t>.</w:t>
      </w:r>
      <w:r>
        <w:rPr>
          <w:rFonts w:ascii="Times New Roman" w:hAnsi="Times New Roman" w:cs="Times New Roman"/>
          <w:sz w:val="24"/>
          <w:szCs w:val="24"/>
          <w:lang w:val="en-US"/>
        </w:rPr>
        <w:t xml:space="preserve"> CBMs can be implemented by companies through the adoption of a set of managerial practices, i.e., </w:t>
      </w:r>
      <w:r w:rsidRPr="00637E82">
        <w:rPr>
          <w:rFonts w:ascii="Times New Roman" w:hAnsi="Times New Roman" w:cs="Times New Roman"/>
          <w:sz w:val="24"/>
          <w:szCs w:val="24"/>
          <w:lang w:val="en-US"/>
        </w:rPr>
        <w:t>actions that top</w:t>
      </w:r>
      <w:r>
        <w:rPr>
          <w:rFonts w:ascii="Times New Roman" w:hAnsi="Times New Roman" w:cs="Times New Roman"/>
          <w:sz w:val="24"/>
          <w:szCs w:val="24"/>
          <w:lang w:val="en-US"/>
        </w:rPr>
        <w:t xml:space="preserve"> </w:t>
      </w:r>
      <w:r w:rsidRPr="00637E82">
        <w:rPr>
          <w:rFonts w:ascii="Times New Roman" w:hAnsi="Times New Roman" w:cs="Times New Roman"/>
          <w:sz w:val="24"/>
          <w:szCs w:val="24"/>
          <w:lang w:val="en-US"/>
        </w:rPr>
        <w:t xml:space="preserve">managers can implement </w:t>
      </w:r>
      <w:r>
        <w:rPr>
          <w:rFonts w:ascii="Times New Roman" w:hAnsi="Times New Roman" w:cs="Times New Roman"/>
          <w:sz w:val="24"/>
          <w:szCs w:val="24"/>
          <w:lang w:val="en-US"/>
        </w:rPr>
        <w:t>with</w:t>
      </w:r>
      <w:r w:rsidRPr="00637E82">
        <w:rPr>
          <w:rFonts w:ascii="Times New Roman" w:hAnsi="Times New Roman" w:cs="Times New Roman"/>
          <w:sz w:val="24"/>
          <w:szCs w:val="24"/>
          <w:lang w:val="en-US"/>
        </w:rPr>
        <w:t>in the</w:t>
      </w:r>
      <w:r>
        <w:rPr>
          <w:rFonts w:ascii="Times New Roman" w:hAnsi="Times New Roman" w:cs="Times New Roman"/>
          <w:sz w:val="24"/>
          <w:szCs w:val="24"/>
          <w:lang w:val="en-US"/>
        </w:rPr>
        <w:t>ir</w:t>
      </w:r>
      <w:r w:rsidRPr="00637E82">
        <w:rPr>
          <w:rFonts w:ascii="Times New Roman" w:hAnsi="Times New Roman" w:cs="Times New Roman"/>
          <w:sz w:val="24"/>
          <w:szCs w:val="24"/>
          <w:lang w:val="en-US"/>
        </w:rPr>
        <w:t xml:space="preserve"> </w:t>
      </w:r>
      <w:r>
        <w:rPr>
          <w:rFonts w:ascii="Times New Roman" w:hAnsi="Times New Roman" w:cs="Times New Roman"/>
          <w:sz w:val="24"/>
          <w:szCs w:val="24"/>
          <w:lang w:val="en-US"/>
        </w:rPr>
        <w:t>c</w:t>
      </w:r>
      <w:r w:rsidRPr="00637E82">
        <w:rPr>
          <w:rFonts w:ascii="Times New Roman" w:hAnsi="Times New Roman" w:cs="Times New Roman"/>
          <w:sz w:val="24"/>
          <w:szCs w:val="24"/>
          <w:lang w:val="en-US"/>
        </w:rPr>
        <w:t xml:space="preserve">ompanies to </w:t>
      </w:r>
      <w:r>
        <w:rPr>
          <w:rFonts w:ascii="Times New Roman" w:hAnsi="Times New Roman" w:cs="Times New Roman"/>
          <w:sz w:val="24"/>
          <w:szCs w:val="24"/>
          <w:lang w:val="en-US"/>
        </w:rPr>
        <w:t xml:space="preserve">create, transfer, and capture value in a circular way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{"citationItems":[{"id":"ITEM-1","itemData":{"DOI":"10.1108/JMTM-02-2018-0061","ISSN":"1741038X","abstract":"Purpose: The purpose of this paper is to investigate the managerial practices that companies can implement in order to design a circular economy business model and how companies can create and capture value from a circular economy business model. Design/methodology/approach: The paper adopts a single case study methodology with semi-structured interviews and company, supplier, and manufacturing site visits, conducted in a small-to-medium-size Italian company operating in the office supply industry. Findings: The theoretical setting maps a set of managerial practices for a circular economy business model and sets the research gaps and questions in a research framework designed along three main dimensions: value network, customer value proposition and interface, and managerial commitment. Then, through an empirical analysis, the findings reveal that the proposed dimensions are interdependent and reinforce each other. Moreover, the managerial commitment as moderating factor between the value network and the customer value proposition and interface dimensions is identified as essential for reaching the intended goals of circular economy business models. Research limitations/implications: This study maximizes the depth of the phenomenon under investigation by leveraging a single case study methodology, which ideally helps in a theory-testing approach as in the present case. Future research opportunities could be found in qualitative and quantitative studies to increase the generalizability of the findings of this paper. Practical implications: The paper presents a set of relevant managerial practices for circular economy business models that can be used by managers who have the will to embrace in practice circular economy principles to support the design, change, or upgrade of the business model of companies within which they operate. Originality/value: An interdisciplinary approach that integrates the research streams of circular economy, social psychology, organizational behavior, and business model design has been pursued to test the theoretical setting and the research framework for circular economy business models in a real-world context.","author":[{"dropping-particle":"","family":"Ünal","given":"Enes","non-dropping-particle":"","parse-names":false,"suffix":""},{"dropping-particle":"","family":"Urbinati","given":"Andrea","non-dropping-particle":"","parse-names":false,"suffix":""},{"dropping-particle":"","family":"Chiaroni","given":"Davide","non-dropping-particle":"","parse-names":false,"suffix":""}],"container-title":"Journal of Manufacturing Technology Management","id":"ITEM-1","issue":"3","issued":{"date-parts":[["2019"]]},"page":"561-589","title":"Managerial practices for designing circular economy business models: The case of an Italian SME in the office supply industry","type":"article-journal","volume":"30"},"uris":["http://www.mendeley.com/documents/?uuid=6d02b949-b5fe-407d-8a3e-957d178c3c8d"]}],"mendeley":{"formattedCitation":"(Ünal et al., 2019)","plainTextFormattedCitation":"(Ünal et al., 2019)","previouslyFormattedCitation":"(Ünal et al., 2019)"},"properties":{"noteIndex":0},"schema":"https://github.com/citation-style-language/schema/raw/master/csl-citation.json"}</w:instrText>
      </w:r>
      <w:r>
        <w:rPr>
          <w:rFonts w:ascii="Times New Roman" w:hAnsi="Times New Roman" w:cs="Times New Roman"/>
          <w:sz w:val="24"/>
          <w:szCs w:val="24"/>
          <w:lang w:val="en-US"/>
        </w:rPr>
        <w:fldChar w:fldCharType="separate"/>
      </w:r>
      <w:r w:rsidRPr="00083DD1">
        <w:rPr>
          <w:rFonts w:ascii="Times New Roman" w:hAnsi="Times New Roman" w:cs="Times New Roman"/>
          <w:noProof/>
          <w:sz w:val="24"/>
          <w:szCs w:val="24"/>
          <w:lang w:val="en-US"/>
        </w:rPr>
        <w:t>(Ünal et al., 2019)</w:t>
      </w:r>
      <w:r>
        <w:rPr>
          <w:rFonts w:ascii="Times New Roman" w:hAnsi="Times New Roman" w:cs="Times New Roman"/>
          <w:sz w:val="24"/>
          <w:szCs w:val="24"/>
          <w:lang w:val="en-US"/>
        </w:rPr>
        <w:fldChar w:fldCharType="end"/>
      </w:r>
      <w:r>
        <w:rPr>
          <w:rFonts w:ascii="Times New Roman" w:hAnsi="Times New Roman" w:cs="Times New Roman"/>
          <w:sz w:val="24"/>
          <w:szCs w:val="24"/>
          <w:lang w:val="en-GB"/>
        </w:rPr>
        <w:t xml:space="preserve">. </w:t>
      </w:r>
    </w:p>
    <w:p w14:paraId="1B94F679" w14:textId="2AA56CE6" w:rsidR="00B93D26" w:rsidRPr="00D87762" w:rsidRDefault="00000000" w:rsidP="007B4EB6">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Existing literature argues that the adoption of such managerial practices requires companies to promote upstream and downstream collaborations with supply chain actors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{"citationItems":[{"id":"ITEM-1","itemData":{"DOI":"10.3390/su14127084","ISSN":"20711050","abstract":"The growth of emerging digital technologies has led to premature and inconsistent conclusions about the relationship between circular economy and value chain activities. A structured, systematic review approach was used to examine the titles and abstracts of 912 papers from the circular economy and digital transformation, strategic management, and operations management literature. We looked at a relevant selection of 79 articles to develop a research agenda. The literature review helped identify strategic initiatives impacting the firm value chain’s redesign involving logistics capabilities, marketing, sales, and service. Outcomes of this study make significant contributions to the field. First, firms must reorganize their business models that align with their value chain activities. Second, the literature review in this study adds to a growing understanding of the field of research by showing that engaging with Industry 4.0 and the circular economy is desirable and necessary for internalizing knowledge flows across different value chain actors. Third, this study is a first step in the right direction in developing and understanding the critical role of value chains and evolving business models in a global economy with calls for more sustainable development.","author":[{"dropping-particle":"","family":"Awan","given":"Usama","non-dropping-particle":"","parse-names":false,"suffix":""},{"dropping-particle":"","family":"Sroufe","given":"Robert","non-dropping-particle":"","parse-names":false,"suffix":""},{"dropping-particle":"","family":"Bozan","given":"Karoly","non-dropping-particle":"","parse-names":false,"suffix":""}],"container-title":"Sustainability (Switzerland)","id":"ITEM-1","issue":"12","issued":{"date-parts":[["2022"]]},"title":"Designing Value Chains for Industry 4.0 and a Circular Economy: A Review of the Literature","type":"article-journal","volume":"14"},"uris":["http://www.mendeley.com/documents/?uuid=45f523da-3abe-4596-9630-214f9369c325"]},{"id":"ITEM-2","itemData":{"DOI":"10.1016/J.JCLEPRO.2022.133621","ISSN":"09596526","abstract":"This article reviews the industry 4.0 (I4.0) and circular economy (CE) literature from a global value chain (GVC) perspective. More specifically, it (1) summarizes the empirical findings on the applications of I4.0 and CE practices; (2) explores the previous literature and identifies several future research directions to advance the existing literature. In this respect, the interface between I4.0 and CE research is a relatively young field of inquiry that has been little concerned with developments in GVCs. We systematically review 112 peer-reviewed papers in the field of I4.0 and CE to distill key future research opportunities and trends in the GVC field. We develop three specific conclusions from our literature review. First, GVCs can vary widely within the various forms of I4.0 technologies with the various CE practices. Second, GVC research is underdeveloped with regard to I4.0 and CE. Third, our findings are congruent with previously published studies, which recognize the importance of GVC research that has generated a rich body of knowledge, mainly from a governance perspective in operations management, supply chain management, and international business. Likewise, our study offers promising avenues for future research studies at the intersection of I4.0, CE, and GVCs. Our systematic literature review suggests that there are many opportunities to advance the I4.0 and CE debates in the burgeoning field of GVC.","author":[{"dropping-particle":"","family":"Awan","given":"Usama","non-dropping-particle":"","parse-names":false,"suffix":""},{"dropping-particle":"","family":"Gölgeci","given":"Ismail","non-dropping-particle":"","parse-names":false,"suffix":""},{"dropping-particle":"","family":"Makhmadshoev","given":"Dilshod","non-dropping-particle":"","parse-names":false,"suffix":""},{"dropping-particle":"","family":"Mishra","given":"Nishikant","non-dropping-particle":"","parse-names":false,"suffix":""}],"container-title":"Journal of Cleaner Production","id":"ITEM-2","issued":{"date-parts":[["2022","10","15"]]},"publisher":"Elsevier Ltd","title":"Industry 4.0 and circular economy in an era of global value chains: What have we learned and what is still to be explored?","type":"article-journal","volume":"371"},"uris":["http://www.mendeley.com/documents/?uuid=b3aa5c7c-a21d-3e2f-9079-97fe5be5587d"]}],"mendeley":{"formattedCitation":"(Awan, Gölgeci, et al., 2022; Awan, Sroufe, et al., 2022)","plainTextFormattedCitation":"(Awan, Gölgeci, et al., 2022; Awan, Sroufe, et al., 2022)","previouslyFormattedCitation":"(Awan, Gölgeci, et al., 2022; Awan, Sroufe, et al., 2022)"},"properties":{"noteIndex":0},"schema":"https://github.com/citation-style-language/schema/raw/master/csl-citation.json"}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(Awan, Gölgeci, et al., 2022; Awan, Sroufe, et al., 2022)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since companies cannot effectively implement such practices by themselves, i.e., without collaborating with supply chain actors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{"citationItems":[{"id":"ITEM-1","itemData":{"DOI":"10.1016/j.indmarman.2020.05.037","abstract":"Corporate interest in the topic of sustainability has increased in prominence. Most of the research on sustainability has a business-to-consumer focus, with limited research emphasizing sustainability in the context of business-to-business marketing. The paper examines research on sustainability, published in the journal Industrial Marketing Management, where thirty-eight articles have appeared in the past twenty-seven years, the majority on supply-chain research. Research on sustainability in business-to-business markets is sparse, and some of the fundamental research questions in this area have gone unaddressed. This paper addresses three interrelated research issues associated with sustainability in business-to-business markets. First, what research is available to researchers and practitioners? Second, what framework can be used to examine sustainability research in business-to-business markets? Third, what subareas of sustainability research need focus and deeper examination, and what are the associated research questions? Overall, the findings from this paper suggest the need for additional research in the area because of its substantial implications for theory, research, and practice.","author":[{"dropping-particle":"","family":"Sharma","given":"Arun","non-dropping-particle":"","parse-names":false,"suffix":""}],"id":"ITEM-1","issued":{"date-parts":[["2020"]]},"title":"Sustainability research in business-to-business markets: An agenda for inquiry","type":"article-journal"},"uris":["http://www.mendeley.com/documents/?uuid=b37e8145-1314-3ded-9396-bf33ddd333e9"]}],"mendeley":{"formattedCitation":"(Sharma, 2020)","plainTextFormattedCitation":"(Sharma, 2020)","previouslyFormattedCitation":"(Sharma,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(Sharma,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w:t>
      </w:r>
      <w:r w:rsidRPr="75A96201">
        <w:rPr>
          <w:rFonts w:ascii="Times New Roman" w:hAnsi="Times New Roman" w:cs="Times New Roman"/>
          <w:sz w:val="24"/>
          <w:szCs w:val="24"/>
          <w:lang w:val="en-US"/>
        </w:rPr>
        <w:t xml:space="preserve"> For example, a company operating in the paper industry</w:t>
      </w:r>
      <w:r w:rsidR="000F1568">
        <w:rPr>
          <w:rFonts w:ascii="Times New Roman" w:hAnsi="Times New Roman" w:cs="Times New Roman"/>
          <w:sz w:val="24"/>
          <w:szCs w:val="24"/>
          <w:lang w:val="en-US"/>
        </w:rPr>
        <w:t xml:space="preserve"> </w:t>
      </w:r>
      <w:r w:rsidR="000F1568" w:rsidRPr="75A96201">
        <w:rPr>
          <w:rFonts w:ascii="Times New Roman" w:hAnsi="Times New Roman" w:cs="Times New Roman"/>
          <w:sz w:val="24"/>
          <w:szCs w:val="24"/>
          <w:lang w:val="en-GB"/>
        </w:rPr>
        <w:t>–</w:t>
      </w:r>
      <w:r w:rsidRPr="75A96201">
        <w:rPr>
          <w:rFonts w:ascii="Times New Roman" w:hAnsi="Times New Roman" w:cs="Times New Roman"/>
          <w:sz w:val="24"/>
          <w:szCs w:val="24"/>
          <w:lang w:val="en-US"/>
        </w:rPr>
        <w:t xml:space="preserve"> </w:t>
      </w:r>
      <w:r w:rsidR="000F1568">
        <w:rPr>
          <w:rFonts w:ascii="Times New Roman" w:hAnsi="Times New Roman" w:cs="Times New Roman"/>
          <w:sz w:val="24"/>
          <w:szCs w:val="24"/>
          <w:lang w:val="en-US"/>
        </w:rPr>
        <w:t>that</w:t>
      </w:r>
      <w:r w:rsidRPr="75A96201">
        <w:rPr>
          <w:rFonts w:ascii="Times New Roman" w:hAnsi="Times New Roman" w:cs="Times New Roman"/>
          <w:sz w:val="24"/>
          <w:szCs w:val="24"/>
          <w:lang w:val="en-US"/>
        </w:rPr>
        <w:t xml:space="preserve"> decided </w:t>
      </w:r>
      <w:r w:rsidRPr="75A96201">
        <w:rPr>
          <w:rFonts w:ascii="Times New Roman" w:hAnsi="Times New Roman" w:cs="Times New Roman"/>
          <w:sz w:val="24"/>
          <w:szCs w:val="24"/>
          <w:lang w:val="en-GB"/>
        </w:rPr>
        <w:t>to manufacture its main products by exploiting cellulose fibres obtained through</w:t>
      </w:r>
      <w:r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GB"/>
        </w:rPr>
        <w:t>beverage cartons recycling</w:t>
      </w:r>
      <w:r w:rsidR="000F1568">
        <w:rPr>
          <w:rFonts w:ascii="Times New Roman" w:hAnsi="Times New Roman" w:cs="Times New Roman"/>
          <w:sz w:val="24"/>
          <w:szCs w:val="24"/>
          <w:lang w:val="en-GB"/>
        </w:rPr>
        <w:t xml:space="preserve"> </w:t>
      </w:r>
      <w:r w:rsidR="000F1568" w:rsidRPr="75A96201">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had to first establish a partnership with a multinational food packaging and processing company to acquire knowledge on the beverage carton recycling process, and, second, involve customers through ad hoc communication campaigns to favour product acceptance as well as the proper collection of beverage cartons to be recycled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{"citationItems":[{"id":"ITEM-1","itemData":{"DOI":"10.1002/bse.2892","ISSN":"10990836","abstract":"In the last years, circular economy has represented one of the most-debated topics in management research. Although the understanding of this industrial paradigm has significantly improved over the last decade, a number of important research questions still remain unanswered. Among them, the design process of business model through which established firms evolve from being linear to circular deserves further investigation. Existing research still falls short to investigate how companies design the dimensions of value creation, value transfer, and value capture of their business models to launch circular products into the market. By leveraging a multiple case study analysis of four companies in the paper and beverage industries that have launched six circular products, the paper examines the process that these companies have followed to face the transition toward a circular business model. The paper contributes to the research field in the intersection between new product development and circular business models, by showing that the process toward a circular business model occurs along three major phases, that is, idea generation, product development, and commercialization. In each phase, companies implement peculiar managerial practices for launching circular products into the market, which typically address all the dimensions of the business model and follows a recurrent path over time.","author":[{"dropping-particle":"","family":"Franzò","given":"Simone","non-dropping-particle":"","parse-names":false,"suffix":""},{"dropping-particle":"","family":"Urbinati","given":"Andrea","non-dropping-particle":"","parse-names":false,"suffix":""},{"dropping-particle":"","family":"Chiaroni","given":"Davide","non-dropping-particle":"","parse-names":false,"suffix":""},{"dropping-particle":"","family":"Chiesa","given":"Vittorio","non-dropping-particle":"","parse-names":false,"suffix":""}],"container-title":"Business Strategy and the Environment","id":"ITEM-1","issue":"6","issued":{"date-parts":[["2021"]]},"page":"2758-2772","title":"Unravelling the design process of business models from linear to circular: An empirical investigation","type":"article-journal","volume":"30"},"uris":["http://www.mendeley.com/documents/?uuid=d1bbd337-0900-4efc-9b66-1bc7b7745fd2"]}],"mendeley":{"formattedCitation":"(Franzò et al., 2021)","plainTextFormattedCitation":"(Franzò et al., 2021)","previouslyFormattedCitation":"(Franzò et al., 2021)"},"properties":{"noteIndex":0},"schema":"https://github.com/citation-style-language/schema/raw/master/csl-citation.json"}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(Franzò et al., 2021)</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w:t>
      </w:r>
    </w:p>
    <w:p w14:paraId="3CC03C33" w14:textId="75D2795D" w:rsidR="00B93D26" w:rsidRDefault="00000000" w:rsidP="005679EE">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The perspective of collaborations among supply chain </w:t>
      </w:r>
      <w:r w:rsidRPr="3FC91FBA">
        <w:rPr>
          <w:rFonts w:ascii="Times New Roman" w:hAnsi="Times New Roman" w:cs="Times New Roman"/>
          <w:sz w:val="24"/>
          <w:szCs w:val="24"/>
          <w:lang w:val="en-GB"/>
        </w:rPr>
        <w:t>actors</w:t>
      </w:r>
      <w:r>
        <w:rPr>
          <w:rFonts w:ascii="Times New Roman" w:hAnsi="Times New Roman" w:cs="Times New Roman"/>
          <w:sz w:val="24"/>
          <w:szCs w:val="24"/>
          <w:lang w:val="en-GB"/>
        </w:rPr>
        <w:t xml:space="preserve"> has been addressed within CE studies, which include</w:t>
      </w:r>
      <w:r w:rsidRPr="3FC91FB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contributions that </w:t>
      </w:r>
      <w:r w:rsidRPr="3FC91FBA">
        <w:rPr>
          <w:rFonts w:ascii="Times New Roman" w:hAnsi="Times New Roman" w:cs="Times New Roman"/>
          <w:sz w:val="24"/>
          <w:szCs w:val="24"/>
          <w:lang w:val="en-GB"/>
        </w:rPr>
        <w:t>are</w:t>
      </w:r>
      <w:r>
        <w:rPr>
          <w:rFonts w:ascii="Times New Roman" w:hAnsi="Times New Roman" w:cs="Times New Roman"/>
          <w:sz w:val="24"/>
          <w:szCs w:val="24"/>
          <w:lang w:val="en-GB"/>
        </w:rPr>
        <w:t xml:space="preserve"> </w:t>
      </w:r>
      <w:r w:rsidRPr="3FC91FBA">
        <w:rPr>
          <w:rFonts w:ascii="Times New Roman" w:hAnsi="Times New Roman" w:cs="Times New Roman"/>
          <w:sz w:val="24"/>
          <w:szCs w:val="24"/>
          <w:lang w:val="en-GB"/>
        </w:rPr>
        <w:t>aimed at incorporating CE principles</w:t>
      </w:r>
      <w:r>
        <w:rPr>
          <w:rFonts w:ascii="Times New Roman" w:hAnsi="Times New Roman" w:cs="Times New Roman"/>
          <w:sz w:val="24"/>
          <w:szCs w:val="24"/>
          <w:lang w:val="en-GB"/>
        </w:rPr>
        <w:t xml:space="preserve"> </w:t>
      </w:r>
      <w:r w:rsidRPr="3FC91FBA">
        <w:rPr>
          <w:rFonts w:ascii="Times New Roman" w:hAnsi="Times New Roman" w:cs="Times New Roman"/>
          <w:sz w:val="24"/>
          <w:szCs w:val="24"/>
          <w:lang w:val="en-GB"/>
        </w:rPr>
        <w:t xml:space="preserve">into Supply Chain Management (SCM) </w:t>
      </w:r>
      <w:r w:rsidRPr="3FC91FBA">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{"citationItems":[{"id":"ITEM-1","itemData":{"DOI":"10.1016/j.omega.2015.05.015","ISSN":"03050483","abstract":"In the last decades, green and sustainable supply chain management practices have been developed, trying to integrate environmental concerns into organisations by reducing unintended negative consequences on the environment of production and consumption processes. In parallel to this, the circular economy discourse has been propagated in the industrial ecology literature and practice. Circular economy pushes the frontiers of environmental sustainability by emphasising the idea of transforming products in such a way that there are workable relationships between ecological systems and economic growth. Therefore, circular economy is not just concerned with the reduction of the use of the environment as a sink for residuals but rather with the creation of self-sustaining production systems in which materials are used over and over again. Through two case studies from different process industries (chemical and food), this paper compares the performances of traditional and circular production systems across a range of indicators. Direct, indirect and total lifecycle emissions, waste recovered, virgin resources use, as well as carbon maps (which provide a holistic visibility of the entire supply chain) are presented. The paper asserts that an integration of circular economy principles within sustainable supply chain management can provide clear advantages from an environmental point view. Emerging supply chain management challenges and market dynamics are also highlighted and discussed.","author":[{"dropping-particle":"","family":"Genovese","given":"Andrea","non-dropping-particle":"","parse-names":false,"suffix":""},{"dropping-particle":"","family":"Acquaye","given":"Adolf A.","non-dropping-particle":"","parse-names":false,"suffix":""},{"dropping-particle":"","family":"Figueroa","given":"Alejandro","non-dropping-particle":"","parse-names":false,"suffix":""},{"dropping-particle":"","family":"Koh","given":"S. C.Lenny","non-dropping-particle":"","parse-names":false,"suffix":""}],"container-title":"Omega (United Kingdom)","id":"ITEM-1","issued":{"date-parts":[["2017","1"]]},"page":"344-357","publisher":"Elsevier Ltd","title":"Sustainable supply chain management and the transition towards a circular economy: Evidence and some applications","type":"article-journal","volume":"66"},"uris":["http://www.mendeley.com/documents/?uuid=d57b237a-59dc-4f6a-b687-0ec23a664aa4"]}],"mendeley":{"formattedCitation":"(Genovese et al., 2017)","manualFormatting":"(Genovese et al., 2017","plainTextFormattedCitation":"(Genovese et al., 2017)","previouslyFormattedCitation":"(Genovese et al., 2017)"},"properties":{"noteIndex":0},"schema":"https://github.com/citation-style-language/schema/raw/master/csl-citation.json"}</w:instrText>
      </w:r>
      <w:r w:rsidRPr="3FC91FBA">
        <w:rPr>
          <w:rFonts w:ascii="Times New Roman" w:hAnsi="Times New Roman" w:cs="Times New Roman"/>
          <w:sz w:val="24"/>
          <w:szCs w:val="24"/>
          <w:lang w:val="en-GB"/>
        </w:rPr>
        <w:fldChar w:fldCharType="separate"/>
      </w:r>
      <w:r w:rsidRPr="00E73A27">
        <w:rPr>
          <w:rFonts w:ascii="Times New Roman" w:hAnsi="Times New Roman" w:cs="Times New Roman"/>
          <w:noProof/>
          <w:sz w:val="24"/>
          <w:szCs w:val="24"/>
          <w:lang w:val="en-US"/>
        </w:rPr>
        <w:t>(Genovese et al., 2017</w:t>
      </w:r>
      <w:r w:rsidRPr="3FC91FBA">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r w:rsidRPr="00E73A27">
        <w:rPr>
          <w:rFonts w:ascii="Times New Roman" w:hAnsi="Times New Roman" w:cs="Times New Roman"/>
          <w:noProof/>
          <w:sz w:val="24"/>
          <w:szCs w:val="24"/>
          <w:lang w:val="en-US"/>
        </w:rPr>
        <w:t xml:space="preserve">, i.e., the integration of the activities associated with the flow and transformation of goods from the raw materials stage to the end user (and related information flows) to achieve a sustainable competitive advantage </w:t>
      </w:r>
      <w:r>
        <w:rPr>
          <w:rFonts w:ascii="Times New Roman" w:hAnsi="Times New Roman" w:cs="Times New Roman"/>
          <w:noProof/>
          <w:sz w:val="24"/>
          <w:szCs w:val="24"/>
          <w:lang w:val="en-US"/>
        </w:rPr>
        <w:fldChar w:fldCharType="begin" w:fldLock="1"/>
      </w:r>
      <w:r>
        <w:rPr>
          <w:rFonts w:ascii="Times New Roman" w:hAnsi="Times New Roman" w:cs="Times New Roman"/>
          <w:noProof/>
          <w:sz w:val="24"/>
          <w:szCs w:val="24"/>
          <w:lang w:val="en-US"/>
        </w:rPr>
        <w:instrText>ADDIN CSL_CITATION {"citationItems":[{"id":"ITEM-1","itemData":{"DOI":"10.1016/j.jclepro.2008.04.020","ISSN":"09596526","abstract":"Academic and corporate interest in sustainable supply chain management has risen considerably in recent years. This can be seen by the number of papers published and in particular by journal special issues. To establish the field further, the purpose of this paper is twofold. First, it offers a literature review on sustainable supply chain management taking 191 papers published from 1994 to 2007 into account. Second, it offers a conceptual framework to summarize the research in this field comprising three parts. As starting point related triggers are identified. This allows putting forward two distinct strategies: (1) supplier management for risks and performance, and (2) supply chain management for sustainable products. It is evident that research is still dominated by green/environmental issues. Social aspects and also the integration of the three dimensions of sustainability are still rare. Both practitioners in companies and academics might find the review useful, as it outlines major lines of research in the field. Further, it discusses specific features of sustainable supply chains as well as limitations of existing research; this should stimulate further research. © 2008 Elsevier Ltd. All rights reserved.","author":[{"dropping-particle":"","family":"Seuring","given":"Stefan","non-dropping-particle":"","parse-names":false,"suffix":""},{"dropping-particle":"","family":"Müller","given":"Martin","non-dropping-particle":"","parse-names":false,"suffix":""}],"container-title":"Journal of Cleaner Production","id":"ITEM-1","issue":"15","issued":{"date-parts":[["2008","10"]]},"page":"1699-1710","title":"From a literature review to a conceptual framework for sustainable supply chain management","type":"article-journal","volume":"16"},"uris":["http://www.mendeley.com/documents/?uuid=d98ecf9b-2401-4660-ad6d-6aaa2ff05660"]}],"mendeley":{"formattedCitation":"(Seuring &amp; Müller, 2008a)","plainTextFormattedCitation":"(Seuring &amp; Müller, 2008a)","previouslyFormattedCitation":"(Seuring &amp; Müller, 2008a)"},"properties":{"noteIndex":0},"schema":"https://github.com/citation-style-language/schema/raw/master/csl-citation.json"}</w:instrText>
      </w:r>
      <w:r>
        <w:rPr>
          <w:rFonts w:ascii="Times New Roman" w:hAnsi="Times New Roman" w:cs="Times New Roman"/>
          <w:noProof/>
          <w:sz w:val="24"/>
          <w:szCs w:val="24"/>
          <w:lang w:val="en-US"/>
        </w:rPr>
        <w:fldChar w:fldCharType="separate"/>
      </w:r>
      <w:r w:rsidRPr="001E6DCB">
        <w:rPr>
          <w:rFonts w:ascii="Times New Roman" w:hAnsi="Times New Roman" w:cs="Times New Roman"/>
          <w:noProof/>
          <w:sz w:val="24"/>
          <w:szCs w:val="24"/>
          <w:lang w:val="en-US"/>
        </w:rPr>
        <w:t>(Seuring &amp; Müller, 2008a)</w:t>
      </w:r>
      <w:r>
        <w:rPr>
          <w:rFonts w:ascii="Times New Roman" w:hAnsi="Times New Roman" w:cs="Times New Roman"/>
          <w:noProof/>
          <w:sz w:val="24"/>
          <w:szCs w:val="24"/>
          <w:lang w:val="en-US"/>
        </w:rPr>
        <w:fldChar w:fldCharType="end"/>
      </w:r>
      <w:r w:rsidRPr="00E73A27">
        <w:rPr>
          <w:rFonts w:ascii="Times New Roman" w:hAnsi="Times New Roman" w:cs="Times New Roman"/>
          <w:sz w:val="24"/>
          <w:szCs w:val="24"/>
          <w:lang w:val="en-US"/>
        </w:rPr>
        <w:t xml:space="preserve">. </w:t>
      </w:r>
      <w:r w:rsidRPr="007B6B7A">
        <w:rPr>
          <w:rFonts w:ascii="Times New Roman" w:hAnsi="Times New Roman" w:cs="Times New Roman"/>
          <w:sz w:val="24"/>
          <w:szCs w:val="24"/>
          <w:lang w:val="en-US"/>
        </w:rPr>
        <w:t xml:space="preserve">Within this research </w:t>
      </w:r>
      <w:r>
        <w:rPr>
          <w:rFonts w:ascii="Times New Roman" w:hAnsi="Times New Roman" w:cs="Times New Roman"/>
          <w:sz w:val="24"/>
          <w:szCs w:val="24"/>
          <w:lang w:val="en-US"/>
        </w:rPr>
        <w:t>field, t</w:t>
      </w:r>
      <w:r w:rsidRPr="007B6B7A">
        <w:rPr>
          <w:rFonts w:ascii="Times New Roman" w:hAnsi="Times New Roman" w:cs="Times New Roman"/>
          <w:sz w:val="24"/>
          <w:szCs w:val="24"/>
          <w:lang w:val="en-US"/>
        </w:rPr>
        <w:t>he</w:t>
      </w:r>
      <w:r>
        <w:rPr>
          <w:rFonts w:ascii="Times New Roman" w:hAnsi="Times New Roman" w:cs="Times New Roman"/>
          <w:sz w:val="24"/>
          <w:szCs w:val="24"/>
          <w:lang w:val="en-US"/>
        </w:rPr>
        <w:t xml:space="preserve"> c</w:t>
      </w:r>
      <w:r w:rsidRPr="007B6B7A">
        <w:rPr>
          <w:rFonts w:ascii="Times New Roman" w:hAnsi="Times New Roman" w:cs="Times New Roman"/>
          <w:sz w:val="24"/>
          <w:szCs w:val="24"/>
          <w:lang w:val="en-US"/>
        </w:rPr>
        <w:t>ircular</w:t>
      </w:r>
      <w:r>
        <w:rPr>
          <w:rFonts w:ascii="Times New Roman" w:hAnsi="Times New Roman" w:cs="Times New Roman"/>
          <w:sz w:val="24"/>
          <w:szCs w:val="24"/>
          <w:lang w:val="en-US"/>
        </w:rPr>
        <w:t xml:space="preserve"> supply chain (CSC) concept has recently emerged, dealing with </w:t>
      </w:r>
      <w:r w:rsidRPr="001B24D6">
        <w:rPr>
          <w:rFonts w:ascii="Times New Roman" w:hAnsi="Times New Roman" w:cs="Times New Roman"/>
          <w:sz w:val="24"/>
          <w:szCs w:val="24"/>
          <w:lang w:val="en-US"/>
        </w:rPr>
        <w:t xml:space="preserve">how companies adopting CE principles manage and innovate their relationships with </w:t>
      </w:r>
      <w:r>
        <w:rPr>
          <w:rFonts w:ascii="Times New Roman" w:hAnsi="Times New Roman" w:cs="Times New Roman"/>
          <w:sz w:val="24"/>
          <w:szCs w:val="24"/>
          <w:lang w:val="en-US"/>
        </w:rPr>
        <w:t xml:space="preserve">the other </w:t>
      </w:r>
      <w:r w:rsidRPr="001B24D6">
        <w:rPr>
          <w:rFonts w:ascii="Times New Roman" w:hAnsi="Times New Roman" w:cs="Times New Roman"/>
          <w:sz w:val="24"/>
          <w:szCs w:val="24"/>
          <w:lang w:val="en-US"/>
        </w:rPr>
        <w:t>supply chain</w:t>
      </w:r>
      <w:r>
        <w:rPr>
          <w:rFonts w:ascii="Times New Roman" w:hAnsi="Times New Roman" w:cs="Times New Roman"/>
          <w:sz w:val="24"/>
          <w:szCs w:val="24"/>
          <w:lang w:val="en-US"/>
        </w:rPr>
        <w:t xml:space="preserve"> actors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{"citationItems":[{"id":"ITEM-1","itemData":{"DOI":"10.1016/j.jclepro.2019.04.303","ISSN":"09596526","abstract":"Circular economy is increasingly recognized as a better alternative to the dominant linear (take, make, and dispose)economic model. Circular Supply Chain Management (CSCM), which integrates the philosophy of the circular economy into supply chain management, offers a new and compelling perspective to the supply chain sustainability domain. Consequently, there is increasing research interest. However, a review of the extant literature shows that a comprehensive integrated view of CSCM is still absent in the extant literature. This prohibits a clear distinction compared to other supply chain sustainability concepts and hinders further progress of the field. In response, this research first classifies various terminologies related to supply chain sustainability and conceptualizes a unifying definition of CSCM. Using this definition as a base, it then conducts a structured literature review of 261 research articles on the current state of CSCM research. Based on the review results, the researchers call for further studies in the following directions that are important but received little or no attention: design for circularity, procurement and CSCM, biodegradable packaging, circular supply chain collaboration and coordination, drivers and barriers of CSCM, circular consumption, product liabilities and producer's responsibility, and technologies and CSCM.","author":[{"dropping-particle":"","family":"Farooque","given":"Muhammad","non-dropping-particle":"","parse-names":false,"suffix":""},{"dropping-particle":"","family":"Zhang","given":"Abraham","non-dropping-particle":"","parse-names":false,"suffix":""},{"dropping-particle":"","family":"Thürer","given":"Matthias","non-dropping-particle":"","parse-names":false,"suffix":""},{"dropping-particle":"","family":"Qu","given":"Ting","non-dropping-particle":"","parse-names":false,"suffix":""},{"dropping-particle":"","family":"Huisingh","given":"Donald","non-dropping-particle":"","parse-names":false,"suffix":""}],"container-title":"Journal of Cleaner Production","id":"ITEM-1","issue":"April","issued":{"date-parts":[["2019"]]},"page":"882-900","title":"Circular supply chain management: A definition and structured literature review","type":"article-journal","volume":"228"},"uris":["http://www.mendeley.com/documents/?uuid=194acd2e-8013-4f9d-a718-90227ad8182c"]}],"mendeley":{"formattedCitation":"(Farooque et al., 2019)","plainTextFormattedCitation":"(Farooque et al., 2019)","previouslyFormattedCitation":"(Farooque et al., 2019)"},"properties":{"noteIndex":0},"schema":"https://github.com/citation-style-language/schema/raw/master/csl-citation.json"}</w:instrText>
      </w:r>
      <w:r>
        <w:rPr>
          <w:rFonts w:ascii="Times New Roman" w:hAnsi="Times New Roman" w:cs="Times New Roman"/>
          <w:sz w:val="24"/>
          <w:szCs w:val="24"/>
          <w:lang w:val="en-US"/>
        </w:rPr>
        <w:fldChar w:fldCharType="separate"/>
      </w:r>
      <w:r w:rsidRPr="00083DD1">
        <w:rPr>
          <w:rFonts w:ascii="Times New Roman" w:hAnsi="Times New Roman" w:cs="Times New Roman"/>
          <w:noProof/>
          <w:sz w:val="24"/>
          <w:szCs w:val="24"/>
          <w:lang w:val="en-US"/>
        </w:rPr>
        <w:t>(Farooque et al., 2019)</w:t>
      </w:r>
      <w:r>
        <w:rPr>
          <w:rFonts w:ascii="Times New Roman" w:hAnsi="Times New Roman" w:cs="Times New Roman"/>
          <w:sz w:val="24"/>
          <w:szCs w:val="24"/>
          <w:lang w:val="en-US"/>
        </w:rPr>
        <w:fldChar w:fldCharType="end"/>
      </w:r>
      <w:r w:rsidRPr="00257FB9">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442846">
        <w:rPr>
          <w:rFonts w:ascii="Times New Roman" w:hAnsi="Times New Roman" w:cs="Times New Roman"/>
          <w:sz w:val="24"/>
          <w:szCs w:val="24"/>
          <w:lang w:val="en-GB"/>
        </w:rPr>
        <w:t>A</w:t>
      </w:r>
      <w:r>
        <w:rPr>
          <w:rFonts w:ascii="Times New Roman" w:hAnsi="Times New Roman" w:cs="Times New Roman"/>
          <w:sz w:val="24"/>
          <w:szCs w:val="24"/>
          <w:lang w:val="en-GB"/>
        </w:rPr>
        <w:t xml:space="preserve"> CSC refers to</w:t>
      </w:r>
      <w:r w:rsidRPr="3FC91FBA">
        <w:rPr>
          <w:rFonts w:ascii="Times New Roman" w:hAnsi="Times New Roman" w:cs="Times New Roman"/>
          <w:sz w:val="24"/>
          <w:szCs w:val="24"/>
          <w:lang w:val="en-GB"/>
        </w:rPr>
        <w:t xml:space="preserve"> “the coordinated forward and reverse supply chains via purposeful business ecosystem integration for value creation from products/services, by-products and useful waste flows through prolonged life cycles that improve the economic, social and environmental sustainability of organizations” </w:t>
      </w:r>
      <w:r w:rsidRPr="3FC91FBA">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{"citationItems":[{"id":"ITEM-1","itemData":{"DOI":"10.1080/09537287.2017.1343502","ISSN":"13665871","abstract":"This paper addresses questions of how extant research discourses concerning the sustainability of supply chains contribute to understanding about circularity in supply chain configurations that sup...","author":[{"dropping-particle":"","family":"Batista","given":"Luciano","non-dropping-particle":"","parse-names":false,"suffix":""},{"dropping-particle":"","family":"Bourlakis","given":"Michael","non-dropping-particle":"","parse-names":false,"suffix":""},{"dropping-particle":"","family":"Smart","given":"Palie","non-dropping-particle":"","parse-names":false,"suffix":""},{"dropping-particle":"","family":"Maull","given":"Roger","non-dropping-particle":"","parse-names":false,"suffix":""}],"container-title":"https://doi.org/10.1080/09537287.2017.1343502","id":"ITEM-1","issue":"6","issued":{"date-parts":[["2018","4","26"]]},"page":"438-451","publisher":"Taylor &amp; Francis","title":"In search of a circular supply chain archetype – a content-analysis-based literature review","type":"article-journal","volume":"29"},"uris":["http://www.mendeley.com/documents/?uuid=1ffc3b88-eeea-3f72-82f2-df53a5affa7b"]}],"mendeley":{"formattedCitation":"(Batista et al., 2018)","manualFormatting":"(Batista et al., 2018, p. 446)","plainTextFormattedCitation":"(Batista et al., 2018)","previouslyFormattedCitation":"(Batista et al., 2018)"},"properties":{"noteIndex":0},"schema":"https://github.com/citation-style-language/schema/raw/master/csl-citation.json"}</w:instrText>
      </w:r>
      <w:r w:rsidRPr="3FC91FBA">
        <w:rPr>
          <w:rFonts w:ascii="Times New Roman" w:hAnsi="Times New Roman" w:cs="Times New Roman"/>
          <w:sz w:val="24"/>
          <w:szCs w:val="24"/>
          <w:lang w:val="en-GB"/>
        </w:rPr>
        <w:fldChar w:fldCharType="separate"/>
      </w:r>
      <w:r w:rsidRPr="3FC91FBA">
        <w:rPr>
          <w:rFonts w:ascii="Times New Roman" w:hAnsi="Times New Roman" w:cs="Times New Roman"/>
          <w:noProof/>
          <w:sz w:val="24"/>
          <w:szCs w:val="24"/>
          <w:lang w:val="en-GB"/>
        </w:rPr>
        <w:t>(Batista et al., 2018, p. 446)</w:t>
      </w:r>
      <w:r w:rsidRPr="3FC91FBA">
        <w:rPr>
          <w:rFonts w:ascii="Times New Roman" w:hAnsi="Times New Roman" w:cs="Times New Roman"/>
          <w:sz w:val="24"/>
          <w:szCs w:val="24"/>
          <w:lang w:val="en-GB"/>
        </w:rPr>
        <w:fldChar w:fldCharType="end"/>
      </w:r>
      <w:r w:rsidRPr="3FC91FBA">
        <w:rPr>
          <w:rFonts w:ascii="Times New Roman" w:hAnsi="Times New Roman" w:cs="Times New Roman"/>
          <w:sz w:val="24"/>
          <w:szCs w:val="24"/>
          <w:lang w:val="en-GB"/>
        </w:rPr>
        <w:t>.</w:t>
      </w:r>
      <w:r w:rsidRPr="00257FB9">
        <w:rPr>
          <w:rFonts w:ascii="Times New Roman" w:hAnsi="Times New Roman" w:cs="Times New Roman"/>
          <w:sz w:val="24"/>
          <w:szCs w:val="24"/>
          <w:lang w:val="en-US"/>
        </w:rPr>
        <w:t xml:space="preserve"> </w:t>
      </w:r>
      <w:r w:rsidRPr="007B6B7A">
        <w:rPr>
          <w:rFonts w:ascii="Times New Roman" w:hAnsi="Times New Roman" w:cs="Times New Roman"/>
          <w:sz w:val="24"/>
          <w:szCs w:val="24"/>
          <w:lang w:val="en-GB"/>
        </w:rPr>
        <w:t>An</w:t>
      </w:r>
      <w:r>
        <w:rPr>
          <w:rFonts w:ascii="Times New Roman" w:hAnsi="Times New Roman" w:cs="Times New Roman"/>
          <w:sz w:val="24"/>
          <w:szCs w:val="24"/>
          <w:lang w:val="en-GB"/>
        </w:rPr>
        <w:t xml:space="preserve"> </w:t>
      </w:r>
      <w:r w:rsidRPr="007B6B7A">
        <w:rPr>
          <w:rFonts w:ascii="Times New Roman" w:hAnsi="Times New Roman" w:cs="Times New Roman"/>
          <w:sz w:val="24"/>
          <w:szCs w:val="24"/>
          <w:lang w:val="en-GB"/>
        </w:rPr>
        <w:t>example of a CSC</w:t>
      </w:r>
      <w:r>
        <w:rPr>
          <w:rFonts w:ascii="Times New Roman" w:hAnsi="Times New Roman" w:cs="Times New Roman"/>
          <w:sz w:val="24"/>
          <w:szCs w:val="24"/>
          <w:lang w:val="en-GB"/>
        </w:rPr>
        <w:t xml:space="preserve"> </w:t>
      </w:r>
      <w:r w:rsidRPr="007B6B7A">
        <w:rPr>
          <w:rFonts w:ascii="Times New Roman" w:hAnsi="Times New Roman" w:cs="Times New Roman"/>
          <w:sz w:val="24"/>
          <w:szCs w:val="24"/>
          <w:lang w:val="en-GB"/>
        </w:rPr>
        <w:t>can be found in the seafood industry</w:t>
      </w:r>
      <w:r>
        <w:rPr>
          <w:rFonts w:ascii="Times New Roman" w:hAnsi="Times New Roman" w:cs="Times New Roman"/>
          <w:sz w:val="24"/>
          <w:szCs w:val="24"/>
          <w:lang w:val="en-GB"/>
        </w:rPr>
        <w:t>, where</w:t>
      </w:r>
      <w:r w:rsidRPr="007D1C10">
        <w:rPr>
          <w:rFonts w:ascii="Times New Roman" w:hAnsi="Times New Roman" w:cs="Times New Roman"/>
          <w:sz w:val="24"/>
          <w:szCs w:val="24"/>
          <w:lang w:val="en-GB"/>
        </w:rPr>
        <w:t xml:space="preserve"> seafood processing by-products (e.g., shrimp shells) </w:t>
      </w:r>
      <w:r>
        <w:rPr>
          <w:rFonts w:ascii="Times New Roman" w:hAnsi="Times New Roman" w:cs="Times New Roman"/>
          <w:sz w:val="24"/>
          <w:szCs w:val="24"/>
          <w:lang w:val="en-GB"/>
        </w:rPr>
        <w:t>may</w:t>
      </w:r>
      <w:r w:rsidRPr="007D1C10">
        <w:rPr>
          <w:rFonts w:ascii="Times New Roman" w:hAnsi="Times New Roman" w:cs="Times New Roman"/>
          <w:sz w:val="24"/>
          <w:szCs w:val="24"/>
          <w:lang w:val="en-GB"/>
        </w:rPr>
        <w:t xml:space="preserve"> be transformed in</w:t>
      </w:r>
      <w:r>
        <w:rPr>
          <w:rFonts w:ascii="Times New Roman" w:hAnsi="Times New Roman" w:cs="Times New Roman"/>
          <w:sz w:val="24"/>
          <w:szCs w:val="24"/>
          <w:lang w:val="en-GB"/>
        </w:rPr>
        <w:t>to</w:t>
      </w:r>
      <w:r w:rsidRPr="007D1C10">
        <w:rPr>
          <w:rFonts w:ascii="Times New Roman" w:hAnsi="Times New Roman" w:cs="Times New Roman"/>
          <w:sz w:val="24"/>
          <w:szCs w:val="24"/>
          <w:lang w:val="en-GB"/>
        </w:rPr>
        <w:t xml:space="preserve"> high-value polymers (e.g., chitin) </w:t>
      </w:r>
      <w:r>
        <w:rPr>
          <w:rFonts w:ascii="Times New Roman" w:hAnsi="Times New Roman" w:cs="Times New Roman"/>
          <w:sz w:val="24"/>
          <w:szCs w:val="24"/>
          <w:lang w:val="en-GB"/>
        </w:rPr>
        <w:t>to be used by</w:t>
      </w:r>
      <w:r w:rsidRPr="007D1C10">
        <w:rPr>
          <w:rFonts w:ascii="Times New Roman" w:hAnsi="Times New Roman" w:cs="Times New Roman"/>
          <w:sz w:val="24"/>
          <w:szCs w:val="24"/>
          <w:lang w:val="en-GB"/>
        </w:rPr>
        <w:t xml:space="preserve"> bioplastics or pharmaceutical industries</w:t>
      </w:r>
      <w:r>
        <w:rPr>
          <w:rFonts w:ascii="Times New Roman" w:hAnsi="Times New Roman" w:cs="Times New Roman"/>
          <w:sz w:val="24"/>
          <w:szCs w:val="24"/>
          <w:lang w:val="en-GB"/>
        </w:rPr>
        <w:t xml:space="preserve">, instead of </w:t>
      </w:r>
      <w:r w:rsidR="00442846" w:rsidRPr="007D1C10">
        <w:rPr>
          <w:rFonts w:ascii="Times New Roman" w:hAnsi="Times New Roman" w:cs="Times New Roman"/>
          <w:sz w:val="24"/>
          <w:szCs w:val="24"/>
          <w:lang w:val="en-GB"/>
        </w:rPr>
        <w:t>landfill</w:t>
      </w:r>
      <w:r w:rsidR="00442846">
        <w:rPr>
          <w:rFonts w:ascii="Times New Roman" w:hAnsi="Times New Roman" w:cs="Times New Roman"/>
          <w:sz w:val="24"/>
          <w:szCs w:val="24"/>
          <w:lang w:val="en-GB"/>
        </w:rPr>
        <w:t xml:space="preserve"> disposal</w:t>
      </w:r>
      <w:r w:rsidRPr="007D1C10">
        <w:rPr>
          <w:rFonts w:ascii="Times New Roman" w:hAnsi="Times New Roman" w:cs="Times New Roman"/>
          <w:sz w:val="24"/>
          <w:szCs w:val="24"/>
          <w:lang w:val="en-GB"/>
        </w:rPr>
        <w:t>.</w:t>
      </w:r>
      <w:r w:rsidRPr="007B6B7A">
        <w:rPr>
          <w:rFonts w:ascii="Times New Roman" w:hAnsi="Times New Roman" w:cs="Times New Roman"/>
          <w:sz w:val="24"/>
          <w:szCs w:val="24"/>
          <w:lang w:val="en-GB"/>
        </w:rPr>
        <w:t xml:space="preserve"> </w:t>
      </w:r>
      <w:r>
        <w:rPr>
          <w:rFonts w:ascii="Times New Roman" w:hAnsi="Times New Roman" w:cs="Times New Roman"/>
          <w:sz w:val="24"/>
          <w:szCs w:val="24"/>
          <w:lang w:val="en-GB"/>
        </w:rPr>
        <w:t>To this aim</w:t>
      </w:r>
      <w:r w:rsidRPr="007B6B7A">
        <w:rPr>
          <w:rFonts w:ascii="Times New Roman" w:hAnsi="Times New Roman" w:cs="Times New Roman"/>
          <w:sz w:val="24"/>
          <w:szCs w:val="24"/>
          <w:lang w:val="en-GB"/>
        </w:rPr>
        <w:t xml:space="preserve">, a CSC </w:t>
      </w:r>
      <w:r>
        <w:rPr>
          <w:rFonts w:ascii="Times New Roman" w:hAnsi="Times New Roman" w:cs="Times New Roman"/>
          <w:sz w:val="24"/>
          <w:szCs w:val="24"/>
          <w:lang w:val="en-GB"/>
        </w:rPr>
        <w:t xml:space="preserve">was </w:t>
      </w:r>
      <w:r w:rsidRPr="007B6B7A">
        <w:rPr>
          <w:rFonts w:ascii="Times New Roman" w:hAnsi="Times New Roman" w:cs="Times New Roman"/>
          <w:sz w:val="24"/>
          <w:szCs w:val="24"/>
          <w:lang w:val="en-GB"/>
        </w:rPr>
        <w:t xml:space="preserve">established </w:t>
      </w:r>
      <w:r>
        <w:rPr>
          <w:rFonts w:ascii="Times New Roman" w:hAnsi="Times New Roman" w:cs="Times New Roman"/>
          <w:sz w:val="24"/>
          <w:szCs w:val="24"/>
          <w:lang w:val="en-GB"/>
        </w:rPr>
        <w:t xml:space="preserve">by involving farmers, seafood processing company, and logistics companies, to favour </w:t>
      </w:r>
      <w:r w:rsidRPr="00EA7B62">
        <w:rPr>
          <w:rFonts w:ascii="Times New Roman" w:hAnsi="Times New Roman" w:cs="Times New Roman"/>
          <w:sz w:val="24"/>
          <w:szCs w:val="24"/>
          <w:lang w:val="en-GB"/>
        </w:rPr>
        <w:t xml:space="preserve">coordination </w:t>
      </w:r>
      <w:r>
        <w:rPr>
          <w:rFonts w:ascii="Times New Roman" w:hAnsi="Times New Roman" w:cs="Times New Roman"/>
          <w:sz w:val="24"/>
          <w:szCs w:val="24"/>
          <w:lang w:val="en-GB"/>
        </w:rPr>
        <w:t xml:space="preserve">among them by exploiting collaborative planning and information sharing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Creazza","given":"Alessandro","non-dropping-particle":"","parse-names":false,"suffix":""},{"dropping-particle":"","family":"Pizzurno","given":"Emanuele","non-dropping-particle":"","parse-names":false,"suffix":""},{"dropping-particle":"","family":"Urbinati","given":"Andrea","non-dropping-particle":"","parse-names":false,"suffix":""}],"id":"ITEM-1","issued":{"date-parts":[["2021"]]},"title":"Economia circolare e management. Un nuovo approccio industriale per la gestione d'impresa","type":"book"},"uris":["http://www.mendeley.com/documents/?uuid=16d523af-953d-3fac-a211-c18495c46fe4"]}],"mendeley":{"formattedCitation":"(Creazza et al., 2021)","plainTextFormattedCitation":"(Creazza et al., 2021)","previouslyFormattedCitation":"(Creazza et al., 2021)"},"properties":{"noteIndex":0},"schema":"https://github.com/citation-style-language/schema/raw/master/csl-citation.json"}</w:instrText>
      </w:r>
      <w:r>
        <w:rPr>
          <w:rFonts w:ascii="Times New Roman" w:hAnsi="Times New Roman" w:cs="Times New Roman"/>
          <w:sz w:val="24"/>
          <w:szCs w:val="24"/>
          <w:lang w:val="en-GB"/>
        </w:rPr>
        <w:fldChar w:fldCharType="separate"/>
      </w:r>
      <w:r w:rsidRPr="00083DD1">
        <w:rPr>
          <w:rFonts w:ascii="Times New Roman" w:hAnsi="Times New Roman" w:cs="Times New Roman"/>
          <w:noProof/>
          <w:sz w:val="24"/>
          <w:szCs w:val="24"/>
          <w:lang w:val="en-GB"/>
        </w:rPr>
        <w:t>(Creazza et al., 2021)</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p>
    <w:p w14:paraId="35D24BDE" w14:textId="120A652A" w:rsidR="00B93D26" w:rsidRPr="000D62B9" w:rsidRDefault="00000000" w:rsidP="00700807">
      <w:pPr>
        <w:spacing w:after="0" w:line="36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CSCs have been increasingly recognized as crucial enablers to</w:t>
      </w:r>
      <w:r w:rsidRPr="005675F0">
        <w:rPr>
          <w:rFonts w:ascii="Times New Roman" w:hAnsi="Times New Roman" w:cs="Times New Roman"/>
          <w:sz w:val="24"/>
          <w:szCs w:val="24"/>
          <w:lang w:val="en-US"/>
        </w:rPr>
        <w:t xml:space="preserve"> implement CE</w:t>
      </w:r>
      <w:r>
        <w:rPr>
          <w:rFonts w:ascii="Times New Roman" w:hAnsi="Times New Roman" w:cs="Times New Roman"/>
          <w:sz w:val="24"/>
          <w:szCs w:val="24"/>
          <w:lang w:val="en-US"/>
        </w:rPr>
        <w:t xml:space="preserve"> principles by companies</w:t>
      </w:r>
      <w:r w:rsidR="001061A4">
        <w:rPr>
          <w:rFonts w:ascii="Times New Roman" w:hAnsi="Times New Roman" w:cs="Times New Roman"/>
          <w:sz w:val="24"/>
          <w:szCs w:val="24"/>
          <w:lang w:val="en-US"/>
        </w:rPr>
        <w:t xml:space="preserve"> </w:t>
      </w:r>
      <w:r w:rsidR="00A00F36">
        <w:rPr>
          <w:rFonts w:ascii="Times New Roman" w:hAnsi="Times New Roman" w:cs="Times New Roman"/>
          <w:sz w:val="24"/>
          <w:szCs w:val="24"/>
          <w:lang w:val="en-US"/>
        </w:rPr>
        <w:t>(</w:t>
      </w:r>
      <w:r w:rsidR="00A00F36" w:rsidRPr="00085FF7">
        <w:rPr>
          <w:rFonts w:ascii="Times New Roman" w:hAnsi="Times New Roman" w:cs="Times New Roman"/>
          <w:noProof/>
          <w:sz w:val="24"/>
          <w:szCs w:val="24"/>
          <w:lang w:val="en-US"/>
        </w:rPr>
        <w:t>De Angelis et al., 2018</w:t>
      </w:r>
      <w:r w:rsidR="00A00F36">
        <w:rPr>
          <w:rFonts w:ascii="Times New Roman" w:hAnsi="Times New Roman" w:cs="Times New Roman"/>
          <w:noProof/>
          <w:sz w:val="24"/>
          <w:szCs w:val="24"/>
          <w:lang w:val="en-US"/>
        </w:rPr>
        <w:t xml:space="preserve">). </w:t>
      </w:r>
      <w:r w:rsidR="00A00F36">
        <w:rPr>
          <w:rFonts w:ascii="Times New Roman" w:hAnsi="Times New Roman" w:cs="Times New Roman"/>
          <w:sz w:val="24"/>
          <w:szCs w:val="24"/>
          <w:lang w:val="en-US"/>
        </w:rPr>
        <w:t>In particular</w:t>
      </w:r>
      <w:r w:rsidR="000F37E0">
        <w:rPr>
          <w:rFonts w:ascii="Times New Roman" w:hAnsi="Times New Roman" w:cs="Times New Roman"/>
          <w:sz w:val="24"/>
          <w:szCs w:val="24"/>
          <w:lang w:val="en-US"/>
        </w:rPr>
        <w:t>, different CSC</w:t>
      </w:r>
      <w:r w:rsidR="000F37E0" w:rsidRPr="000F37E0">
        <w:rPr>
          <w:rFonts w:ascii="Times New Roman" w:hAnsi="Times New Roman" w:cs="Times New Roman"/>
          <w:sz w:val="24"/>
          <w:szCs w:val="24"/>
          <w:lang w:val="en-US"/>
        </w:rPr>
        <w:t xml:space="preserve"> strategies</w:t>
      </w:r>
      <w:r w:rsidR="000F37E0">
        <w:rPr>
          <w:rFonts w:ascii="Times New Roman" w:hAnsi="Times New Roman" w:cs="Times New Roman"/>
          <w:sz w:val="24"/>
          <w:szCs w:val="24"/>
          <w:lang w:val="en-US"/>
        </w:rPr>
        <w:t xml:space="preserve"> </w:t>
      </w:r>
      <w:r w:rsidR="00DC1727">
        <w:rPr>
          <w:rFonts w:ascii="Times New Roman" w:hAnsi="Times New Roman" w:cs="Times New Roman"/>
          <w:sz w:val="24"/>
          <w:szCs w:val="24"/>
          <w:lang w:val="en-US"/>
        </w:rPr>
        <w:t>(</w:t>
      </w:r>
      <w:r w:rsidR="000F37E0">
        <w:rPr>
          <w:rFonts w:ascii="Times New Roman" w:hAnsi="Times New Roman" w:cs="Times New Roman"/>
          <w:sz w:val="24"/>
          <w:szCs w:val="24"/>
          <w:lang w:val="en-US"/>
        </w:rPr>
        <w:t xml:space="preserve">and related </w:t>
      </w:r>
      <w:r w:rsidR="00442846">
        <w:rPr>
          <w:rFonts w:ascii="Times New Roman" w:hAnsi="Times New Roman" w:cs="Times New Roman"/>
          <w:sz w:val="24"/>
          <w:szCs w:val="24"/>
          <w:lang w:val="en-US"/>
        </w:rPr>
        <w:t xml:space="preserve">managerial </w:t>
      </w:r>
      <w:r w:rsidR="000F37E0">
        <w:rPr>
          <w:rFonts w:ascii="Times New Roman" w:hAnsi="Times New Roman" w:cs="Times New Roman"/>
          <w:sz w:val="24"/>
          <w:szCs w:val="24"/>
          <w:lang w:val="en-US"/>
        </w:rPr>
        <w:t>practices</w:t>
      </w:r>
      <w:r w:rsidR="00DC1727">
        <w:rPr>
          <w:rFonts w:ascii="Times New Roman" w:hAnsi="Times New Roman" w:cs="Times New Roman"/>
          <w:sz w:val="24"/>
          <w:szCs w:val="24"/>
          <w:lang w:val="en-US"/>
        </w:rPr>
        <w:t>)</w:t>
      </w:r>
      <w:r w:rsidR="000F37E0">
        <w:rPr>
          <w:rFonts w:ascii="Times New Roman" w:hAnsi="Times New Roman" w:cs="Times New Roman"/>
          <w:sz w:val="24"/>
          <w:szCs w:val="24"/>
          <w:lang w:val="en-US"/>
        </w:rPr>
        <w:t xml:space="preserve"> </w:t>
      </w:r>
      <w:r w:rsidR="00A00F36">
        <w:rPr>
          <w:rFonts w:ascii="Times New Roman" w:hAnsi="Times New Roman" w:cs="Times New Roman"/>
          <w:sz w:val="24"/>
          <w:szCs w:val="24"/>
          <w:lang w:val="en-US"/>
        </w:rPr>
        <w:t>have been</w:t>
      </w:r>
      <w:r w:rsidR="000F37E0">
        <w:rPr>
          <w:rFonts w:ascii="Times New Roman" w:hAnsi="Times New Roman" w:cs="Times New Roman"/>
          <w:sz w:val="24"/>
          <w:szCs w:val="24"/>
          <w:lang w:val="en-US"/>
        </w:rPr>
        <w:t xml:space="preserve"> </w:t>
      </w:r>
      <w:r w:rsidR="00700807">
        <w:rPr>
          <w:rFonts w:ascii="Times New Roman" w:hAnsi="Times New Roman" w:cs="Times New Roman"/>
          <w:sz w:val="24"/>
          <w:szCs w:val="24"/>
          <w:lang w:val="en-US"/>
        </w:rPr>
        <w:t>investigated</w:t>
      </w:r>
      <w:r w:rsidR="00A00F36">
        <w:rPr>
          <w:rFonts w:ascii="Times New Roman" w:hAnsi="Times New Roman" w:cs="Times New Roman"/>
          <w:sz w:val="24"/>
          <w:szCs w:val="24"/>
          <w:lang w:val="en-US"/>
        </w:rPr>
        <w:t xml:space="preserve"> to implement CE principles </w:t>
      </w:r>
      <w:r w:rsidR="00A00F36" w:rsidRPr="75A96201">
        <w:rPr>
          <w:rFonts w:ascii="Times New Roman" w:hAnsi="Times New Roman" w:cs="Times New Roman"/>
          <w:sz w:val="24"/>
          <w:szCs w:val="24"/>
          <w:lang w:val="en-US"/>
        </w:rPr>
        <w:t xml:space="preserve">by leveraging collaborations </w:t>
      </w:r>
      <w:r w:rsidR="00A00F36">
        <w:rPr>
          <w:rFonts w:ascii="Times New Roman" w:hAnsi="Times New Roman" w:cs="Times New Roman"/>
          <w:sz w:val="24"/>
          <w:szCs w:val="24"/>
          <w:lang w:val="en-US"/>
        </w:rPr>
        <w:t>with</w:t>
      </w:r>
      <w:r w:rsidR="00A00F36" w:rsidRPr="75A96201">
        <w:rPr>
          <w:rFonts w:ascii="Times New Roman" w:hAnsi="Times New Roman" w:cs="Times New Roman"/>
          <w:sz w:val="24"/>
          <w:szCs w:val="24"/>
          <w:lang w:val="en-US"/>
        </w:rPr>
        <w:t xml:space="preserve"> supply chain actors, i.e., closing, slowing, and narrowing of resource loops </w:t>
      </w:r>
      <w:r w:rsidR="00A00F36" w:rsidRPr="75A96201">
        <w:rPr>
          <w:rFonts w:ascii="Times New Roman" w:hAnsi="Times New Roman" w:cs="Times New Roman"/>
          <w:sz w:val="24"/>
          <w:szCs w:val="24"/>
          <w:lang w:val="en-US"/>
        </w:rPr>
        <w:fldChar w:fldCharType="begin" w:fldLock="1"/>
      </w:r>
      <w:r w:rsidR="001061A4">
        <w:rPr>
          <w:rFonts w:ascii="Times New Roman" w:hAnsi="Times New Roman" w:cs="Times New Roman"/>
          <w:sz w:val="24"/>
          <w:szCs w:val="24"/>
          <w:lang w:val="en-US"/>
        </w:rPr>
        <w:instrText>ADDIN CSL_CITATION {"citationItems":[{"id":"ITEM-1","itemData":{"DOI":"10.1080/21681015.2016.1172124","abstract":"The transition within business from a linear to a circular economy brings with it a range of practical challenges for companies. The following question is addressed: What are the product design and...","author":[{"dropping-particle":"","family":"Bocken","given":"Nancy M. P.","non-dropping-particle":"","parse-names":false,"suffix":""},{"dropping-particle":"de","family":"Pauw","given":"Ingrid","non-dropping-particle":"","parse-names":false,"suffix":""},{"dropping-particle":"","family":"Bakker","given":"Conny","non-dropping-particle":"","parse-names":false,"suffix":""},{"dropping-particle":"van der","family":"Grinten","given":"Bram","non-dropping-particle":"","parse-names":false,"suffix":""}],"container-title":"https://doi.org/10.1080/21681015.2016.1172124","id":"ITEM-1","issue":"5","issued":{"date-parts":[["2016","7"]]},"page":"308-320","publisher":"Taylor &amp; Francis","title":"Product design and business model strategies for a circular economy","type":"article-journal","volume":"33"},"uris":["http://www.mendeley.com/documents/?uuid=1775037c-0c9f-4dc9-a480-d25f03eb5daf"]},{"id":"ITEM-2","itemData":{"DOI":"10.1016/j.jclepro.2018.04.159","ISSN":"09596526","abstract":"The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Production","id":"ITEM-2","issued":{"date-parts":[["2018"]]},"page":"712-721","publisher":"Elsevier Ltd","title":"Business models and supply chains for the circular economy","type":"article-journal","volume":"190"},"uris":["http://www.mendeley.com/documents/?uuid=247dad4e-a4ad-42c4-a234-a22c5645f5f0"]}],"mendeley":{"formattedCitation":"(N. M. P. Bocken et al., 2016; Geissdoerfer et al., 2018)","manualFormatting":"(Bocken et al., 2016)","plainTextFormattedCitation":"(N. M. P. Bocken et al., 2016; Geissdoerfer et al., 2018)","previouslyFormattedCitation":"(N. M. P. Bocken et al., 2016; Geissdoerfer et al., 2018)"},"properties":{"noteIndex":0},"schema":"https://github.com/citation-style-language/schema/raw/master/csl-citation.json"}</w:instrText>
      </w:r>
      <w:r w:rsidR="00A00F36" w:rsidRPr="75A96201">
        <w:rPr>
          <w:rFonts w:ascii="Times New Roman" w:hAnsi="Times New Roman" w:cs="Times New Roman"/>
          <w:sz w:val="24"/>
          <w:szCs w:val="24"/>
          <w:lang w:val="en-US"/>
        </w:rPr>
        <w:fldChar w:fldCharType="separate"/>
      </w:r>
      <w:r w:rsidR="00A00F36" w:rsidRPr="75A96201">
        <w:rPr>
          <w:rFonts w:ascii="Times New Roman" w:hAnsi="Times New Roman" w:cs="Times New Roman"/>
          <w:noProof/>
          <w:sz w:val="24"/>
          <w:szCs w:val="24"/>
          <w:lang w:val="en-US"/>
        </w:rPr>
        <w:t>(Bocken et al., 2016</w:t>
      </w:r>
      <w:r w:rsidR="00A00F36">
        <w:rPr>
          <w:rFonts w:ascii="Times New Roman" w:hAnsi="Times New Roman" w:cs="Times New Roman"/>
          <w:noProof/>
          <w:sz w:val="24"/>
          <w:szCs w:val="24"/>
          <w:lang w:val="en-US"/>
        </w:rPr>
        <w:t>)</w:t>
      </w:r>
      <w:r w:rsidR="00A00F36" w:rsidRPr="75A96201">
        <w:rPr>
          <w:rFonts w:ascii="Times New Roman" w:hAnsi="Times New Roman" w:cs="Times New Roman"/>
          <w:sz w:val="24"/>
          <w:szCs w:val="24"/>
          <w:lang w:val="en-US"/>
        </w:rPr>
        <w:fldChar w:fldCharType="end"/>
      </w:r>
      <w:r w:rsidR="000F37E0">
        <w:rPr>
          <w:rFonts w:ascii="Times New Roman" w:hAnsi="Times New Roman" w:cs="Times New Roman"/>
          <w:sz w:val="24"/>
          <w:szCs w:val="24"/>
          <w:lang w:val="en-US"/>
        </w:rPr>
        <w:t xml:space="preserve">. </w:t>
      </w:r>
      <w:r w:rsidR="00A00F36">
        <w:rPr>
          <w:rFonts w:ascii="Times New Roman" w:hAnsi="Times New Roman" w:cs="Times New Roman"/>
          <w:sz w:val="24"/>
          <w:szCs w:val="24"/>
          <w:lang w:val="en-US"/>
        </w:rPr>
        <w:t>Moreover</w:t>
      </w:r>
      <w:r w:rsidR="000F37E0">
        <w:rPr>
          <w:rFonts w:ascii="Times New Roman" w:hAnsi="Times New Roman" w:cs="Times New Roman"/>
          <w:sz w:val="24"/>
          <w:szCs w:val="24"/>
          <w:lang w:val="en-US"/>
        </w:rPr>
        <w:t xml:space="preserve">, </w:t>
      </w:r>
      <w:r w:rsidR="000F37E0" w:rsidRPr="000F37E0">
        <w:rPr>
          <w:rFonts w:ascii="Times New Roman" w:hAnsi="Times New Roman" w:cs="Times New Roman"/>
          <w:sz w:val="24"/>
          <w:szCs w:val="24"/>
          <w:lang w:val="en-US"/>
        </w:rPr>
        <w:t xml:space="preserve">research argues that collaborations among supply chain actors may happen either within the supply chain in which a resource was originally addressed to </w:t>
      </w:r>
      <w:r w:rsidR="008803CF">
        <w:rPr>
          <w:rFonts w:ascii="Times New Roman" w:hAnsi="Times New Roman" w:cs="Times New Roman"/>
          <w:sz w:val="24"/>
          <w:szCs w:val="24"/>
          <w:lang w:val="en-US"/>
        </w:rPr>
        <w:t>or in</w:t>
      </w:r>
      <w:r w:rsidR="000F37E0" w:rsidRPr="000F37E0">
        <w:rPr>
          <w:rFonts w:ascii="Times New Roman" w:hAnsi="Times New Roman" w:cs="Times New Roman"/>
          <w:sz w:val="24"/>
          <w:szCs w:val="24"/>
          <w:lang w:val="en-US"/>
        </w:rPr>
        <w:t xml:space="preserve"> different supply chains (i.e., beyond the original one)</w:t>
      </w:r>
      <w:r w:rsidR="001061A4">
        <w:rPr>
          <w:rFonts w:ascii="Times New Roman" w:hAnsi="Times New Roman" w:cs="Times New Roman"/>
          <w:sz w:val="24"/>
          <w:szCs w:val="24"/>
          <w:lang w:val="en-US"/>
        </w:rPr>
        <w:t xml:space="preserve"> </w:t>
      </w:r>
      <w:r w:rsidR="00247672">
        <w:rPr>
          <w:rFonts w:ascii="Times New Roman" w:hAnsi="Times New Roman" w:cs="Times New Roman"/>
          <w:sz w:val="24"/>
          <w:szCs w:val="24"/>
          <w:lang w:val="en-US"/>
        </w:rPr>
        <w:fldChar w:fldCharType="begin" w:fldLock="1"/>
      </w:r>
      <w:r w:rsidR="00247672">
        <w:rPr>
          <w:rFonts w:ascii="Times New Roman" w:hAnsi="Times New Roman" w:cs="Times New Roman"/>
          <w:sz w:val="24"/>
          <w:szCs w:val="24"/>
          <w:lang w:val="en-US"/>
        </w:rPr>
        <w:instrText>ADDIN CSL_CITATION {"citationItems":[{"id":"ITEM-1","itemData":{"DOI":"10.1162/108819806775545411","ISSN":"1530-9290","abstract":"As a subdiscipline of industrial ecology, industrial symbiosis is concerned with resource optimization among colocated companies. The industrial symbiosis complex in Kalundborg, Denmark is the seminal example of industrial symbiosis in the industrial ecology literature. In spite of this, there has been no in-depth quantitative analysis enabling more comprehensive understanding of economic and environmental performances connected to this case. In this article some of the central industrial symbiotic exchanges, involving water and steam, in Kalundborg are analyzed, using detailed economic and environmental data. It is found that both substantial and minor environmental benefits accrue from these industrial symbiosis exchanges and that economic motivation often is connected to upstream or downstream operational performance and not directly associated with the value of the exchanged by-product or waste itself. It is concluded that industrial symbiosis, as viewed from a company perspective, has to be understood both in terms of individual economic and environmental performance, and as a more collective approach to industrial sustainability. © 2006 by the Massachusetts Institute of Technology and Yale University.","author":[{"dropping-particle":"","family":"Jacobsen","given":"Noel Brings","non-dropping-particle":"","parse-names":false,"suffix":""}],"container-title":"Journal of Industrial Ecology","id":"ITEM-1","issue":"1-2","issued":{"date-parts":[["2006","1","1"]]},"page":"239-255","publisher":"John Wiley &amp; Sons, Ltd","title":"Industrial Symbiosis in Kalundborg, Denmark: A Quantitative Assessment of Economic and Environmental Aspects","type":"article-journal","volume":"10"},"uris":["http://www.mendeley.com/documents/?uuid=657fda6c-b1a9-3db1-852b-826bb1f1d51e"]}],"mendeley":{"formattedCitation":"(Jacobsen, 2006)","plainTextFormattedCitation":"(Jacobsen, 2006)","previouslyFormattedCitation":"(Jacobsen, 2006)"},"properties":{"noteIndex":0},"schema":"https://github.com/citation-style-language/schema/raw/master/csl-citation.json"}</w:instrText>
      </w:r>
      <w:r w:rsidR="00247672">
        <w:rPr>
          <w:rFonts w:ascii="Times New Roman" w:hAnsi="Times New Roman" w:cs="Times New Roman"/>
          <w:sz w:val="24"/>
          <w:szCs w:val="24"/>
          <w:lang w:val="en-US"/>
        </w:rPr>
        <w:fldChar w:fldCharType="separate"/>
      </w:r>
      <w:r w:rsidR="00247672" w:rsidRPr="00247672">
        <w:rPr>
          <w:rFonts w:ascii="Times New Roman" w:hAnsi="Times New Roman" w:cs="Times New Roman"/>
          <w:noProof/>
          <w:sz w:val="24"/>
          <w:szCs w:val="24"/>
          <w:lang w:val="en-US"/>
        </w:rPr>
        <w:t>(Jacobsen, 2006)</w:t>
      </w:r>
      <w:r w:rsidR="00247672">
        <w:rPr>
          <w:rFonts w:ascii="Times New Roman" w:hAnsi="Times New Roman" w:cs="Times New Roman"/>
          <w:sz w:val="24"/>
          <w:szCs w:val="24"/>
          <w:lang w:val="en-US"/>
        </w:rPr>
        <w:fldChar w:fldCharType="end"/>
      </w:r>
      <w:r w:rsidR="000F37E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A00F36">
        <w:rPr>
          <w:rFonts w:ascii="Times New Roman" w:hAnsi="Times New Roman" w:cs="Times New Roman"/>
          <w:sz w:val="24"/>
          <w:szCs w:val="24"/>
          <w:lang w:val="en-US"/>
        </w:rPr>
        <w:t xml:space="preserve">However, </w:t>
      </w:r>
      <w:r w:rsidR="00A00F36" w:rsidRPr="005675F0">
        <w:rPr>
          <w:rFonts w:ascii="Times New Roman" w:hAnsi="Times New Roman" w:cs="Times New Roman"/>
          <w:sz w:val="24"/>
          <w:szCs w:val="24"/>
          <w:lang w:val="en-US"/>
        </w:rPr>
        <w:t>research</w:t>
      </w:r>
      <w:r w:rsidR="00A00F36">
        <w:rPr>
          <w:rFonts w:ascii="Times New Roman" w:hAnsi="Times New Roman" w:cs="Times New Roman"/>
          <w:sz w:val="24"/>
          <w:szCs w:val="24"/>
          <w:lang w:val="en-US"/>
        </w:rPr>
        <w:t xml:space="preserve"> on this topic</w:t>
      </w:r>
      <w:r w:rsidR="00A00F36" w:rsidRPr="005675F0">
        <w:rPr>
          <w:rFonts w:ascii="Times New Roman" w:hAnsi="Times New Roman" w:cs="Times New Roman"/>
          <w:sz w:val="24"/>
          <w:szCs w:val="24"/>
          <w:lang w:val="en-US"/>
        </w:rPr>
        <w:t xml:space="preserve"> is still in its infancy</w:t>
      </w:r>
      <w:r w:rsidR="00A00F36">
        <w:rPr>
          <w:rFonts w:ascii="Times New Roman" w:hAnsi="Times New Roman" w:cs="Times New Roman"/>
          <w:sz w:val="24"/>
          <w:szCs w:val="24"/>
          <w:lang w:val="en-US"/>
        </w:rPr>
        <w:t xml:space="preserve"> </w:t>
      </w:r>
      <w:r w:rsidR="00A00F36">
        <w:rPr>
          <w:rFonts w:ascii="Times New Roman" w:hAnsi="Times New Roman" w:cs="Times New Roman"/>
          <w:sz w:val="24"/>
          <w:szCs w:val="24"/>
          <w:lang w:val="en-US"/>
        </w:rPr>
        <w:fldChar w:fldCharType="begin" w:fldLock="1"/>
      </w:r>
      <w:r w:rsidR="001061A4">
        <w:rPr>
          <w:rFonts w:ascii="Times New Roman" w:hAnsi="Times New Roman" w:cs="Times New Roman"/>
          <w:sz w:val="24"/>
          <w:szCs w:val="24"/>
          <w:lang w:val="en-US"/>
        </w:rPr>
        <w:instrText>ADDIN CSL_CITATION {"citationItems":[{"id":"ITEM-1","itemData":{"DOI":"10.1080/09537287.2018.1449244","ISSN":"13665871","abstract":"Circular modes of production, known as the circular economy, are welcomed in political and business circles to overcome the shortcomings of traditional linear operating models. This article presents preliminary propositions concerning implications for the development of what we term ‘circular supply chains’, defined here as the embodiment of circular economy principles within supply chain management. Our propositions are based on the following arguments: a shift from product ownership to leasing and access in supply chain relationships; the relevance of structural flexibility and start-ups in regional or local loops; open and closed material loops in technical and biological cycles; closer collaboration within and beyond immediate industry boundaries and public and private procurement in the service industry as a lever for the scaling up of circular business models. We discuss what these circular economy principles mean in terms of supply chain challenges and conclude with limitations and future research agenda.","author":[{"dropping-particle":"","family":"Angelis","given":"Roberta","non-dropping-particle":"De","parse-names":false,"suffix":""},{"dropping-particle":"","family":"Howard","given":"Mickey","non-dropping-particle":"","parse-names":false,"suffix":""},{"dropping-particle":"","family":"Miemczyk","given":"Joe","non-dropping-particle":"","parse-names":false,"suffix":""}],"container-title":"Production Planning and Control","id":"ITEM-1","issue":"6","issued":{"date-parts":[["2018"]]},"page":"425-437","title":"Supply chain management and the circular economy: towards the circular supply chain","type":"article-journal","volume":"29"},"uris":["http://www.mendeley.com/documents/?uuid=16dfbfce-396d-4da5-9047-d67405352fb4"]},{"id":"ITEM-2","itemData":{"DOI":"10.3390/SU13020859","ISSN":"2071-1050","abstract":"The circular economy (CE) has become one of the prominent topics in both natural science and management literature over the last few decades. CE is a dual-loop regenerative system that focuses on the effective and efficient utilization of resources in the ecosystem, which is beneficial to environmental and economic performance optimization. Dual CE initiatives allow firms to increased resource eco-efficiency, as well as resource effectiveness. CE has profound consequences for economic and operational advantage. This reinforces the need for reflection on the definition that may provide guidelines to assess and advance the depth and diversity of the field. We aim to provide a definitional analysis of the CE and suggest future research streams to advance the existing literature. For this purpose, we employed a systematic literature review to collect related publications in the CE. As a result of this, a total of 91 papers were selected, studied, and analyzed. We proposed a sound definition of a circular economy that includes the main identified elements, organizational planning processes, customers and society, utilization of the ecosystem, and economic resource flows. Moreover, future direction agenda, in CE research, is suggested considering three research streams: (1) circular design as value creation and capture, (2) antecedents of key activities, and (3) consequences of key processes. There is limited empirical research conducted on CE, and much of the existing research focuses on theoretical, conceptual, and normative. A few empirical research studies are mainly cross-sectional in their focus and are confined to developing and emerging economies. We hope this study&amp;rsquo;s findings will extend the field of CE, in which some of the most influential information regarding CE literature is provided. This study suggests that the development of CE initiatives plays an important role in the growing digital transformation in the value chain. There have been limited research studies in the interface of circular economy and Industry 4.0. Future research studies may investigate the extent to which digital transformation can increase the implementation of CE, and their influence on digital performance management.","author":[{"dropping-particle":"","family":"Alhawari","given":"Omar","non-dropping-particle":"","parse-names":false,"suffix":""},{"dropping-particle":"","family":"Awan","given":"Usama","non-dropping-particle":"","parse-names":false,"suffix":""},{"dropping-particle":"","family":"Bhutta","given":"M. Khurrum S.","non-dropping-particle":"","parse-names":false,"suffix":""},{"dropping-particle":"","family":"Ali Ülkü","given":"M.","non-dropping-particle":"","parse-names":false,"suffix":""}],"container-title":"Sustainability 2021, Vol. 13, Page 859","id":"ITEM-2","issue":"2","issued":{"date-parts":[["2021","1","16"]]},"page":"859","publisher":"Multidisciplinary Digital Publishing Institute","title":"Insights from Circular Economy Literature: A Review of Extant Definitions and Unravelling Paths to Future Research","type":"article-journal","volume":"13"},"uris":["http://www.mendeley.com/documents/?uuid=43f6d494-3ec3-3438-92b4-0a2adb0ccb7a"]}],"mendeley":{"formattedCitation":"(Alhawari et al., 2021; De Angelis et al., 2018)","manualFormatting":"(Alhawari et al., 2021)","plainTextFormattedCitation":"(Alhawari et al., 2021; De Angelis et al., 2018)","previouslyFormattedCitation":"(Alhawari et al., 2021; De Angelis et al., 2018)"},"properties":{"noteIndex":0},"schema":"https://github.com/citation-style-language/schema/raw/master/csl-citation.json"}</w:instrText>
      </w:r>
      <w:r w:rsidR="00A00F36">
        <w:rPr>
          <w:rFonts w:ascii="Times New Roman" w:hAnsi="Times New Roman" w:cs="Times New Roman"/>
          <w:sz w:val="24"/>
          <w:szCs w:val="24"/>
          <w:lang w:val="en-US"/>
        </w:rPr>
        <w:fldChar w:fldCharType="separate"/>
      </w:r>
      <w:r w:rsidR="00A00F36" w:rsidRPr="00085FF7">
        <w:rPr>
          <w:rFonts w:ascii="Times New Roman" w:hAnsi="Times New Roman" w:cs="Times New Roman"/>
          <w:noProof/>
          <w:sz w:val="24"/>
          <w:szCs w:val="24"/>
          <w:lang w:val="en-US"/>
        </w:rPr>
        <w:t>(Alhawari et al., 2021)</w:t>
      </w:r>
      <w:r w:rsidR="00A00F36">
        <w:rPr>
          <w:rFonts w:ascii="Times New Roman" w:hAnsi="Times New Roman" w:cs="Times New Roman"/>
          <w:sz w:val="24"/>
          <w:szCs w:val="24"/>
          <w:lang w:val="en-US"/>
        </w:rPr>
        <w:fldChar w:fldCharType="end"/>
      </w:r>
      <w:r w:rsidR="00A00F36">
        <w:rPr>
          <w:rFonts w:ascii="Times New Roman" w:hAnsi="Times New Roman" w:cs="Times New Roman"/>
          <w:sz w:val="24"/>
          <w:szCs w:val="24"/>
          <w:lang w:val="en-US"/>
        </w:rPr>
        <w:t xml:space="preserve">. Indeed, </w:t>
      </w:r>
      <w:r w:rsidR="00700807">
        <w:rPr>
          <w:rFonts w:ascii="Times New Roman" w:hAnsi="Times New Roman" w:cs="Times New Roman"/>
          <w:sz w:val="24"/>
          <w:szCs w:val="24"/>
          <w:lang w:val="en-US"/>
        </w:rPr>
        <w:t>despite e</w:t>
      </w:r>
      <w:r w:rsidR="00700807" w:rsidRPr="000F37E0">
        <w:rPr>
          <w:rFonts w:ascii="Times New Roman" w:hAnsi="Times New Roman" w:cs="Times New Roman"/>
          <w:sz w:val="24"/>
          <w:szCs w:val="24"/>
          <w:lang w:val="en-US"/>
        </w:rPr>
        <w:t xml:space="preserve">xisting </w:t>
      </w:r>
      <w:r w:rsidR="00700807">
        <w:rPr>
          <w:rFonts w:ascii="Times New Roman" w:hAnsi="Times New Roman" w:cs="Times New Roman"/>
          <w:sz w:val="24"/>
          <w:szCs w:val="24"/>
          <w:lang w:val="en-US"/>
        </w:rPr>
        <w:t xml:space="preserve">research has recently started </w:t>
      </w:r>
      <w:r w:rsidR="005C2ECB">
        <w:rPr>
          <w:rFonts w:ascii="Times New Roman" w:hAnsi="Times New Roman" w:cs="Times New Roman"/>
          <w:sz w:val="24"/>
          <w:szCs w:val="24"/>
          <w:lang w:val="en-US"/>
        </w:rPr>
        <w:t xml:space="preserve">to </w:t>
      </w:r>
      <w:r w:rsidR="00700807">
        <w:rPr>
          <w:rFonts w:ascii="Times New Roman" w:hAnsi="Times New Roman" w:cs="Times New Roman"/>
          <w:sz w:val="24"/>
          <w:szCs w:val="24"/>
          <w:lang w:val="en-US"/>
        </w:rPr>
        <w:t xml:space="preserve">discuss </w:t>
      </w:r>
      <w:r w:rsidR="00700807" w:rsidRPr="75A96201">
        <w:rPr>
          <w:rFonts w:ascii="Times New Roman" w:hAnsi="Times New Roman" w:cs="Times New Roman"/>
          <w:sz w:val="24"/>
          <w:szCs w:val="24"/>
          <w:lang w:val="en-US"/>
        </w:rPr>
        <w:t xml:space="preserve">how companies adopting CE principles manage and innovate their </w:t>
      </w:r>
      <w:r w:rsidR="00700807">
        <w:rPr>
          <w:rFonts w:ascii="Times New Roman" w:hAnsi="Times New Roman" w:cs="Times New Roman"/>
          <w:sz w:val="24"/>
          <w:szCs w:val="24"/>
          <w:lang w:val="en-US"/>
        </w:rPr>
        <w:t>collaborations</w:t>
      </w:r>
      <w:r w:rsidR="00700807" w:rsidRPr="75A96201">
        <w:rPr>
          <w:rFonts w:ascii="Times New Roman" w:hAnsi="Times New Roman" w:cs="Times New Roman"/>
          <w:sz w:val="24"/>
          <w:szCs w:val="24"/>
          <w:lang w:val="en-US"/>
        </w:rPr>
        <w:t xml:space="preserve"> with other supply chain actors</w:t>
      </w:r>
      <w:r w:rsidR="00700807">
        <w:rPr>
          <w:rFonts w:ascii="Times New Roman" w:hAnsi="Times New Roman" w:cs="Times New Roman"/>
          <w:sz w:val="24"/>
          <w:szCs w:val="24"/>
          <w:lang w:val="en-US"/>
        </w:rPr>
        <w:t xml:space="preserve"> within CSCs </w:t>
      </w:r>
      <w:r w:rsidR="00700807" w:rsidRPr="75A96201">
        <w:rPr>
          <w:rFonts w:ascii="Times New Roman" w:hAnsi="Times New Roman" w:cs="Times New Roman"/>
          <w:sz w:val="24"/>
          <w:szCs w:val="24"/>
          <w:lang w:val="en-US"/>
        </w:rPr>
        <w:fldChar w:fldCharType="begin" w:fldLock="1"/>
      </w:r>
      <w:r w:rsidR="00700807" w:rsidRPr="75A96201">
        <w:rPr>
          <w:rFonts w:ascii="Times New Roman" w:hAnsi="Times New Roman" w:cs="Times New Roman"/>
          <w:sz w:val="24"/>
          <w:szCs w:val="24"/>
          <w:lang w:val="en-US"/>
        </w:rPr>
        <w:instrText>ADDIN CSL_CITATION {"citationItems":[{"id":"ITEM-1","itemData":{"DOI":"10.1016/j.jclepro.2019.04.303","ISSN":"09596526","abstract":"Circular economy is increasingly recognized as a better alternative to the dominant linear (take, make, and dispose)economic model. Circular Supply Chain Management (CSCM), which integrates the philosophy of the circular economy into supply chain management, offers a new and compelling perspective to the supply chain sustainability domain. Consequently, there is increasing research interest. However, a review of the extant literature shows that a comprehensive integrated view of CSCM is still absent in the extant literature. This prohibits a clear distinction compared to other supply chain sustainability concepts and hinders further progress of the field. In response, this research first classifies various terminologies related to supply chain sustainability and conceptualizes a unifying definition of CSCM. Using this definition as a base, it then conducts a structured literature review of 261 research articles on the current state of CSCM research. Based on the review results, the researchers call for further studies in the following directions that are important but received little or no attention: design for circularity, procurement and CSCM, biodegradable packaging, circular supply chain collaboration and coordination, drivers and barriers of CSCM, circular consumption, product liabilities and producer's responsibility, and technologies and CSCM.","author":[{"dropping-particle":"","family":"Farooque","given":"Muhammad","non-dropping-particle":"","parse-names":false,"suffix":""},{"dropping-particle":"","family":"Zhang","given":"Abraham","non-dropping-particle":"","parse-names":false,"suffix":""},{"dropping-particle":"","family":"Thürer","given":"Matthias","non-dropping-particle":"","parse-names":false,"suffix":""},{"dropping-particle":"","family":"Qu","given":"Ting","non-dropping-particle":"","parse-names":false,"suffix":""},{"dropping-particle":"","family":"Huisingh","given":"Donald","non-dropping-particle":"","parse-names":false,"suffix":""}],"container-title":"Journal of Cleaner Production","id":"ITEM-1","issue":"April","issued":{"date-parts":[["2019"]]},"page":"882-900","title":"Circular supply chain management: A definition and structured literature review","type":"article-journal","volume":"228"},"uris":["http://www.mendeley.com/documents/?uuid=194acd2e-8013-4f9d-a718-90227ad8182c"]}],"mendeley":{"formattedCitation":"(Farooque et al., 2019)","plainTextFormattedCitation":"(Farooque et al., 2019)","previouslyFormattedCitation":"(Farooque et al., 2019)"},"properties":{"noteIndex":0},"schema":"https://github.com/citation-style-language/schema/raw/master/csl-citation.json"}</w:instrText>
      </w:r>
      <w:r w:rsidR="00700807" w:rsidRPr="75A96201">
        <w:rPr>
          <w:rFonts w:ascii="Times New Roman" w:hAnsi="Times New Roman" w:cs="Times New Roman"/>
          <w:sz w:val="24"/>
          <w:szCs w:val="24"/>
          <w:lang w:val="en-US"/>
        </w:rPr>
        <w:fldChar w:fldCharType="separate"/>
      </w:r>
      <w:r w:rsidR="00700807" w:rsidRPr="75A96201">
        <w:rPr>
          <w:rFonts w:ascii="Times New Roman" w:hAnsi="Times New Roman" w:cs="Times New Roman"/>
          <w:noProof/>
          <w:sz w:val="24"/>
          <w:szCs w:val="24"/>
          <w:lang w:val="en-US"/>
        </w:rPr>
        <w:t>(Farooque et al., 2019)</w:t>
      </w:r>
      <w:r w:rsidR="00700807" w:rsidRPr="75A96201">
        <w:rPr>
          <w:rFonts w:ascii="Times New Roman" w:hAnsi="Times New Roman" w:cs="Times New Roman"/>
          <w:sz w:val="24"/>
          <w:szCs w:val="24"/>
          <w:lang w:val="en-US"/>
        </w:rPr>
        <w:fldChar w:fldCharType="end"/>
      </w:r>
      <w:r w:rsidR="00700807">
        <w:rPr>
          <w:rFonts w:ascii="Times New Roman" w:hAnsi="Times New Roman" w:cs="Times New Roman"/>
          <w:sz w:val="24"/>
          <w:szCs w:val="24"/>
          <w:lang w:val="en-US"/>
        </w:rPr>
        <w:t xml:space="preserve">, </w:t>
      </w:r>
      <w:r w:rsidRPr="000D62B9">
        <w:rPr>
          <w:rFonts w:ascii="Times New Roman" w:hAnsi="Times New Roman" w:cs="Times New Roman"/>
          <w:sz w:val="24"/>
          <w:szCs w:val="24"/>
          <w:lang w:val="en-US"/>
        </w:rPr>
        <w:t xml:space="preserve">how </w:t>
      </w:r>
      <w:r w:rsidR="00700807">
        <w:rPr>
          <w:rFonts w:ascii="Times New Roman" w:hAnsi="Times New Roman" w:cs="Times New Roman"/>
          <w:sz w:val="24"/>
          <w:szCs w:val="24"/>
          <w:lang w:val="en-US"/>
        </w:rPr>
        <w:t>such</w:t>
      </w:r>
      <w:r w:rsidRPr="000D62B9">
        <w:rPr>
          <w:rFonts w:ascii="Times New Roman" w:hAnsi="Times New Roman" w:cs="Times New Roman"/>
          <w:sz w:val="24"/>
          <w:szCs w:val="24"/>
          <w:lang w:val="en-US"/>
        </w:rPr>
        <w:t xml:space="preserve"> collaborations</w:t>
      </w:r>
      <w:r>
        <w:rPr>
          <w:rFonts w:ascii="Times New Roman" w:hAnsi="Times New Roman" w:cs="Times New Roman"/>
          <w:sz w:val="24"/>
          <w:szCs w:val="24"/>
          <w:lang w:val="en-US"/>
        </w:rPr>
        <w:t xml:space="preserve"> can </w:t>
      </w:r>
      <w:r w:rsidRPr="000D62B9">
        <w:rPr>
          <w:rFonts w:ascii="Times New Roman" w:hAnsi="Times New Roman" w:cs="Times New Roman"/>
          <w:sz w:val="24"/>
          <w:szCs w:val="24"/>
          <w:lang w:val="en-US"/>
        </w:rPr>
        <w:t>enable</w:t>
      </w:r>
      <w:r>
        <w:rPr>
          <w:rFonts w:ascii="Times New Roman" w:hAnsi="Times New Roman" w:cs="Times New Roman"/>
          <w:sz w:val="24"/>
          <w:szCs w:val="24"/>
          <w:lang w:val="en-US"/>
        </w:rPr>
        <w:t xml:space="preserve"> the </w:t>
      </w:r>
      <w:r w:rsidRPr="000D62B9">
        <w:rPr>
          <w:rFonts w:ascii="Times New Roman" w:hAnsi="Times New Roman" w:cs="Times New Roman"/>
          <w:sz w:val="24"/>
          <w:szCs w:val="24"/>
          <w:lang w:val="en-US"/>
        </w:rPr>
        <w:t xml:space="preserve">implementation of </w:t>
      </w:r>
      <w:r>
        <w:rPr>
          <w:rFonts w:ascii="Times New Roman" w:hAnsi="Times New Roman" w:cs="Times New Roman"/>
          <w:sz w:val="24"/>
          <w:szCs w:val="24"/>
          <w:lang w:val="en-US"/>
        </w:rPr>
        <w:t>CE principles</w:t>
      </w:r>
      <w:r w:rsidR="009A1CEB">
        <w:rPr>
          <w:rFonts w:ascii="Times New Roman" w:hAnsi="Times New Roman" w:cs="Times New Roman"/>
          <w:sz w:val="24"/>
          <w:szCs w:val="24"/>
          <w:lang w:val="en-US"/>
        </w:rPr>
        <w:t xml:space="preserve"> by companies</w:t>
      </w:r>
      <w:r>
        <w:rPr>
          <w:rFonts w:ascii="Times New Roman" w:hAnsi="Times New Roman" w:cs="Times New Roman"/>
          <w:sz w:val="24"/>
          <w:szCs w:val="24"/>
          <w:lang w:val="en-US"/>
        </w:rPr>
        <w:t xml:space="preserve"> has been poorly studied</w:t>
      </w:r>
      <w:r w:rsidRPr="000D62B9">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{"citationItems":[{"id":"ITEM-1","itemData":{"DOI":"10.1016/j.indmarman.2020.01.004","abstract":"This paper explains the institutional logics of academia, and of practitioners within industry and government, as well as the alignment and misalignment that occurs when these actors collaborate. This is achieved by building on the theories on alignment and misalignment and institutional logics, whilst conducting an explorative case study of a circular economy cluster from the Tampere Region of Finland. This paper offers three main contributions: First, convergence and divergence of institutional logics by industry, government, and academic actors can lead to alignment and misalignment at three levels: actor-type, relationship, and system levels. Second, partial alignment and misalignment are found to be in-between modes of alignment, which challenges the idea that alignment and misalignment are dichotomous. Instead, alignment and misalignment should be seen as the two ends of a continuum. Third, alignment and misalignment are dynamic by nature, because institutional logics change and modify during collaboration. For practice, this paper gives advice on how collaboration between academia and practitioners can be advanced to achieve alignment and avoid misalignment.","author":[{"dropping-particle":"","family":"Bruun Ingstrup","given":"Mads","non-dropping-particle":"","parse-names":false,"suffix":""},{"dropping-particle":"","family":"Aarikka-Stenroos","given":"Leena","non-dropping-particle":"","parse-names":false,"suffix":""},{"dropping-particle":"","family":"Adlin","given":"Nillo","non-dropping-particle":"","parse-names":false,"suffix":""}],"container-title":"Industrial Marketing Management","id":"ITEM-1","issued":{"date-parts":[["2021"]]},"page":"267-276","title":"When institutional logics meet: Alignment and misalignment in collaboration between academia and practitioners","type":"article-journal","volume":"92"},"uris":["http://www.mendeley.com/documents/?uuid=63382c83-331d-3e43-a284-2844a1aa3b8d"]}],"mendeley":{"formattedCitation":"(Bruun Ingstrup et al., 2021)","plainTextFormattedCitation":"(Bruun Ingstrup et al., 2021)","previouslyFormattedCitation":"(Bruun Ingstrup et al., 2021)"},"properties":{"noteIndex":0},"schema":"https://github.com/citation-style-language/schema/raw/master/csl-citation.json"}</w:instrText>
      </w:r>
      <w:r>
        <w:rPr>
          <w:rFonts w:ascii="Times New Roman" w:hAnsi="Times New Roman" w:cs="Times New Roman"/>
          <w:sz w:val="24"/>
          <w:szCs w:val="24"/>
          <w:lang w:val="en-US"/>
        </w:rPr>
        <w:fldChar w:fldCharType="separate"/>
      </w:r>
      <w:r w:rsidRPr="00085FF7">
        <w:rPr>
          <w:rFonts w:ascii="Times New Roman" w:hAnsi="Times New Roman" w:cs="Times New Roman"/>
          <w:noProof/>
          <w:sz w:val="24"/>
          <w:szCs w:val="24"/>
          <w:lang w:val="en-US"/>
        </w:rPr>
        <w:t>(Bruun Ingstrup et al., 2021)</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especially from an empirical point of view, thus</w:t>
      </w:r>
      <w:r w:rsidRPr="000D62B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requiring further investigation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{"citationItems":[{"id":"ITEM-1","itemData":{"DOI":"10.1002/bse.2554","ISSN":"10990836","abstract":"This study investigates how the circular economy and business models are related in the current business and management literature. Based on bibliometric analytical procedures, 253 articles were retrieved from the Scopus, Web of Science, and ScienceDirect scientific databases. The articles were analyzed according to network analysis principles, and key terms were mapped into a network. We used VOSviewer to build the network, explore the most-researched terms and their relationships, and identify less-explored terms and research gaps. We furthermore conducted a qualitative review of selected publications to provide an illustration of quantitative results and delve deeper into the research topics. The main findings revealed the networks of current topics as they appear in the publications such as business models, the circular economy, circular business models, value, supply chain, transition, resource, waste, and reuse, and their most prevalent relationships. The results also highlighted several emerging topics such as those connected with managerial, supply-side, demand-side, networking, performance, and contextual considerations of circular business models.","author":[{"dropping-particle":"","family":"Ferasso","given":"Marcos","non-dropping-particle":"","parse-names":false,"suffix":""},{"dropping-particle":"","family":"Beliaeva","given":"Tatiana","non-dropping-particle":"","parse-names":false,"suffix":""},{"dropping-particle":"","family":"Kraus","given":"Sascha","non-dropping-particle":"","parse-names":false,"suffix":""},{"dropping-particle":"","family":"Clauss","given":"Thomas","non-dropping-particle":"","parse-names":false,"suffix":""},{"dropping-particle":"","family":"Ribeiro-Soriano","given":"Domingo","non-dropping-particle":"","parse-names":false,"suffix":""}],"container-title":"Business Strategy and the Environment","id":"ITEM-1","issue":"8","issued":{"date-parts":[["2020","12","1"]]},"page":"3006-3024","publisher":"John Wiley and Sons Ltd","title":"Circular economy business models: The state of research and avenues ahead","type":"article-journal","volume":"29"},"uris":["http://www.mendeley.com/documents/?uuid=908fa7cf-2f40-324a-b777-791711bc837b"]}],"mendeley":{"formattedCitation":"(Ferasso et al., 2020)","plainTextFormattedCitation":"(Ferasso et al., 2020)","previouslyFormattedCitation":"(Ferasso et al., 2020)"},"properties":{"noteIndex":0},"schema":"https://github.com/citation-style-language/schema/raw/master/csl-citation.json"}</w:instrText>
      </w:r>
      <w:r>
        <w:rPr>
          <w:rFonts w:ascii="Times New Roman" w:hAnsi="Times New Roman" w:cs="Times New Roman"/>
          <w:sz w:val="24"/>
          <w:szCs w:val="24"/>
          <w:lang w:val="en-US"/>
        </w:rPr>
        <w:fldChar w:fldCharType="separate"/>
      </w:r>
      <w:r w:rsidRPr="00085FF7">
        <w:rPr>
          <w:rFonts w:ascii="Times New Roman" w:hAnsi="Times New Roman" w:cs="Times New Roman"/>
          <w:noProof/>
          <w:sz w:val="24"/>
          <w:szCs w:val="24"/>
          <w:lang w:val="en-US"/>
        </w:rPr>
        <w:t>(Ferasso et al., 2020)</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p>
    <w:p w14:paraId="1B51192B" w14:textId="5A6FC7EB" w:rsidR="00791D89" w:rsidRDefault="00000000" w:rsidP="00791D89">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Over the last decade, </w:t>
      </w:r>
      <w:r w:rsidRPr="75A96201">
        <w:rPr>
          <w:rFonts w:ascii="Times New Roman" w:hAnsi="Times New Roman" w:cs="Times New Roman"/>
          <w:sz w:val="24"/>
          <w:szCs w:val="24"/>
          <w:lang w:val="en-US"/>
        </w:rPr>
        <w:t>the</w:t>
      </w:r>
      <w:r w:rsidRPr="75A96201">
        <w:rPr>
          <w:rFonts w:ascii="Times New Roman" w:hAnsi="Times New Roman" w:cs="Times New Roman"/>
          <w:sz w:val="24"/>
          <w:szCs w:val="24"/>
          <w:lang w:val="en-GB"/>
        </w:rPr>
        <w:t xml:space="preserve"> exploitation of digital platforms has been acknowledged as a CE enabler</w:t>
      </w:r>
      <w:r w:rsidRPr="75A96201">
        <w:rPr>
          <w:rFonts w:ascii="Times New Roman" w:hAnsi="Times New Roman" w:cs="Times New Roman"/>
          <w:sz w:val="24"/>
          <w:szCs w:val="24"/>
          <w:lang w:val="en-US"/>
        </w:rPr>
        <w:t xml:space="preserve"> within the </w:t>
      </w:r>
      <w:r w:rsidR="004C023E">
        <w:rPr>
          <w:rFonts w:ascii="Times New Roman" w:hAnsi="Times New Roman" w:cs="Times New Roman"/>
          <w:sz w:val="24"/>
          <w:szCs w:val="24"/>
          <w:lang w:val="en-US"/>
        </w:rPr>
        <w:t>existing</w:t>
      </w:r>
      <w:r w:rsidR="004C023E"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literature,</w:t>
      </w:r>
      <w:r w:rsidRPr="75A96201">
        <w:rPr>
          <w:rFonts w:ascii="Times New Roman" w:hAnsi="Times New Roman" w:cs="Times New Roman"/>
          <w:sz w:val="24"/>
          <w:szCs w:val="24"/>
          <w:lang w:val="en-GB"/>
        </w:rPr>
        <w:t xml:space="preserve"> e.g., by allowing people and companies to share access to under-used physical goods, thus slowing resource loops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{"citationItems":[{"id":"ITEM-1","itemData":{"author":[{"dropping-particle":"","family":"Ellen MacArthur Foundation","given":"","non-dropping-particle":"","parse-names":false,"suffix":""}],"id":"ITEM-1","issued":{"date-parts":[["2015"]]},"title":"Delivering the circular economy: A toolkit for policymakers.","type":"report"},"uris":["http://www.mendeley.com/documents/?uuid=b11391a6-d866-3e9f-84f6-f4e418429d0d"]}],"mendeley":{"formattedCitation":"(Ellen MacArthur Foundation, 2015)","plainTextFormattedCitation":"(Ellen MacArthur Foundation, 2015)","previouslyFormattedCitation":"(Ellen MacArthur Foundation, 2015)"},"properties":{"noteIndex":0},"schema":"https://github.com/citation-style-language/schema/raw/master/csl-citation.json"}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(Ellen MacArthur Foundation, 2015)</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r w:rsidR="00DD4F1E">
        <w:rPr>
          <w:rFonts w:ascii="Times New Roman" w:hAnsi="Times New Roman" w:cs="Times New Roman"/>
          <w:sz w:val="24"/>
          <w:szCs w:val="24"/>
          <w:lang w:val="en-GB"/>
        </w:rPr>
        <w:t>D</w:t>
      </w:r>
      <w:r w:rsidR="00DD4F1E" w:rsidRPr="007D1D3C">
        <w:rPr>
          <w:rFonts w:ascii="Times New Roman" w:hAnsi="Times New Roman" w:cs="Times New Roman"/>
          <w:sz w:val="24"/>
          <w:szCs w:val="24"/>
          <w:lang w:val="en-GB"/>
        </w:rPr>
        <w:t>igital platform</w:t>
      </w:r>
      <w:r w:rsidR="00DD4F1E">
        <w:rPr>
          <w:rFonts w:ascii="Times New Roman" w:hAnsi="Times New Roman" w:cs="Times New Roman"/>
          <w:sz w:val="24"/>
          <w:szCs w:val="24"/>
          <w:lang w:val="en-GB"/>
        </w:rPr>
        <w:t>s</w:t>
      </w:r>
      <w:r w:rsidR="00DD4F1E" w:rsidRPr="007D1D3C">
        <w:rPr>
          <w:rFonts w:ascii="Times New Roman" w:hAnsi="Times New Roman" w:cs="Times New Roman"/>
          <w:sz w:val="24"/>
          <w:szCs w:val="24"/>
          <w:lang w:val="en-GB"/>
        </w:rPr>
        <w:t xml:space="preserve"> refer to digital infrastructure</w:t>
      </w:r>
      <w:r w:rsidR="00DD4F1E">
        <w:rPr>
          <w:rFonts w:ascii="Times New Roman" w:hAnsi="Times New Roman" w:cs="Times New Roman"/>
          <w:sz w:val="24"/>
          <w:szCs w:val="24"/>
          <w:lang w:val="en-GB"/>
        </w:rPr>
        <w:t>s</w:t>
      </w:r>
      <w:r w:rsidR="00DD4F1E" w:rsidRPr="007D1D3C">
        <w:rPr>
          <w:rFonts w:ascii="Times New Roman" w:hAnsi="Times New Roman" w:cs="Times New Roman"/>
          <w:sz w:val="24"/>
          <w:szCs w:val="24"/>
          <w:lang w:val="en-GB"/>
        </w:rPr>
        <w:t xml:space="preserve"> that </w:t>
      </w:r>
      <w:r w:rsidR="00DD4F1E">
        <w:rPr>
          <w:rFonts w:ascii="Times New Roman" w:hAnsi="Times New Roman" w:cs="Times New Roman"/>
          <w:sz w:val="24"/>
          <w:szCs w:val="24"/>
          <w:lang w:val="en-GB"/>
        </w:rPr>
        <w:t>are</w:t>
      </w:r>
      <w:r w:rsidR="00DD4F1E" w:rsidRPr="007D1D3C">
        <w:rPr>
          <w:rFonts w:ascii="Times New Roman" w:hAnsi="Times New Roman" w:cs="Times New Roman"/>
          <w:sz w:val="24"/>
          <w:szCs w:val="24"/>
          <w:lang w:val="en-GB"/>
        </w:rPr>
        <w:t xml:space="preserve"> designed as virtual plac</w:t>
      </w:r>
      <w:r w:rsidR="00DD4F1E">
        <w:rPr>
          <w:rFonts w:ascii="Times New Roman" w:hAnsi="Times New Roman" w:cs="Times New Roman"/>
          <w:sz w:val="24"/>
          <w:szCs w:val="24"/>
          <w:lang w:val="en-GB"/>
        </w:rPr>
        <w:t>es</w:t>
      </w:r>
      <w:r w:rsidR="00DD4F1E" w:rsidRPr="007D1D3C">
        <w:rPr>
          <w:rFonts w:ascii="Times New Roman" w:hAnsi="Times New Roman" w:cs="Times New Roman"/>
          <w:sz w:val="24"/>
          <w:szCs w:val="24"/>
          <w:lang w:val="en-GB"/>
        </w:rPr>
        <w:t xml:space="preserve"> that allow for the connection and virtual interaction of multiple users through integrated interfaces, mainly managed via applications or websites </w:t>
      </w:r>
      <w:r w:rsidR="00DD4F1E" w:rsidRPr="007D1D3C">
        <w:rPr>
          <w:rFonts w:ascii="Times New Roman" w:hAnsi="Times New Roman" w:cs="Times New Roman"/>
          <w:sz w:val="24"/>
          <w:szCs w:val="24"/>
          <w:lang w:val="en-GB"/>
        </w:rPr>
        <w:fldChar w:fldCharType="begin" w:fldLock="1"/>
      </w:r>
      <w:r w:rsidR="00DD4F1E" w:rsidRPr="007D1D3C">
        <w:rPr>
          <w:rFonts w:ascii="Times New Roman" w:hAnsi="Times New Roman" w:cs="Times New Roman"/>
          <w:sz w:val="24"/>
          <w:szCs w:val="24"/>
          <w:lang w:val="en-GB"/>
        </w:rPr>
        <w:instrText>ADDIN CSL_CITATION {"citationItems":[{"id":"ITEM-1","itemData":{"DOI":"10.1057/S41265-016-0033-3","ISSN":"1466-4437","abstract":"As digital platforms are transforming almost every industry today, they are slowly finding their way into the mainstream information systems (ISs) literature. Digital platforms are a challenging research object because of their distributed nature and intertwinement with institutions, markets and technologies. New research challenges arise as a result of the exponentially growing scale of platform innovation, the increasing complexity of platform architectures and the spread of digital platforms to many different industries. This paper develops a research agenda for digital platforms research in IS. We recommend researchers seek to (1) advance conceptual clarity by providing clear definitions that specify the unit of analysis, degree of digitality and the sociotechnical nature of digital platforms; (2) define the proper scoping of digital platform concepts by studying platforms on different architectural levels and in different industry settings; and (3) advance methodological rigour by employing embedded case studies, longitudinal studies, design research, data-driven modelling and visualisation techniques. Considering current developments in the business domain, we suggest six questions for further research: (1) Are platforms here to stay? (2) How should platforms be designed? (3) How do digital platforms transform industries? (4) How can data-driven approaches inform digital platforms research? (5) How should researchers develop theory for digital platforms? and (6) How do digital platforms affect everyday life?","author":[{"dropping-particle":"","family":"Reuver","given":"Mark","non-dropping-particle":"De","parse-names":false,"suffix":""},{"dropping-particle":"","family":"Sørensen","given":"Carsten","non-dropping-particle":"","parse-names":false,"suffix":""},{"dropping-particle":"","family":"Basole","given":"Rahul C.","non-dropping-particle":"","parse-names":false,"suffix":""}],"container-title":"Journal of Information Technology 2017 33:2","id":"ITEM-1","issue":"2","issued":{"date-parts":[["2017","4","11"]]},"page":"124-135","publisher":"Palgrave","title":"The digital platform: a research agenda","type":"article-journal","volume":"33"},"uris":["http://www.mendeley.com/documents/?uuid=0adcc12d-a9fe-314c-b494-d084a44aa3f1"]}],"mendeley":{"formattedCitation":"(De Reuver et al., 2017)","plainTextFormattedCitation":"(De Reuver et al., 2017)","previouslyFormattedCitation":"(De Reuver et al., 2017)"},"properties":{"noteIndex":0},"schema":"https://github.com/citation-style-language/schema/raw/master/csl-citation.json"}</w:instrText>
      </w:r>
      <w:r w:rsidR="00DD4F1E" w:rsidRPr="007D1D3C">
        <w:rPr>
          <w:rFonts w:ascii="Times New Roman" w:hAnsi="Times New Roman" w:cs="Times New Roman"/>
          <w:sz w:val="24"/>
          <w:szCs w:val="24"/>
          <w:lang w:val="en-GB"/>
        </w:rPr>
        <w:fldChar w:fldCharType="separate"/>
      </w:r>
      <w:r w:rsidR="00DD4F1E" w:rsidRPr="007D1D3C">
        <w:rPr>
          <w:rFonts w:ascii="Times New Roman" w:hAnsi="Times New Roman" w:cs="Times New Roman"/>
          <w:noProof/>
          <w:sz w:val="24"/>
          <w:szCs w:val="24"/>
          <w:lang w:val="en-GB"/>
        </w:rPr>
        <w:t>(De Reuver et al., 2017)</w:t>
      </w:r>
      <w:r w:rsidR="00DD4F1E" w:rsidRPr="007D1D3C">
        <w:rPr>
          <w:rFonts w:ascii="Times New Roman" w:hAnsi="Times New Roman" w:cs="Times New Roman"/>
          <w:sz w:val="24"/>
          <w:szCs w:val="24"/>
          <w:lang w:val="en-GB"/>
        </w:rPr>
        <w:fldChar w:fldCharType="end"/>
      </w:r>
      <w:r w:rsidR="00DD4F1E" w:rsidRPr="007D1D3C">
        <w:rPr>
          <w:rFonts w:ascii="Times New Roman" w:hAnsi="Times New Roman" w:cs="Times New Roman"/>
          <w:sz w:val="24"/>
          <w:szCs w:val="24"/>
          <w:lang w:val="en-GB"/>
        </w:rPr>
        <w:t>.</w:t>
      </w:r>
      <w:r w:rsidR="00DD4F1E">
        <w:rPr>
          <w:rFonts w:ascii="Times New Roman" w:hAnsi="Times New Roman" w:cs="Times New Roman"/>
          <w:sz w:val="24"/>
          <w:szCs w:val="24"/>
          <w:lang w:val="en-GB"/>
        </w:rPr>
        <w:t xml:space="preserve"> </w:t>
      </w:r>
      <w:r w:rsidR="00D77733">
        <w:rPr>
          <w:rFonts w:ascii="Times New Roman" w:hAnsi="Times New Roman" w:cs="Times New Roman"/>
          <w:sz w:val="24"/>
          <w:szCs w:val="24"/>
          <w:lang w:val="en-GB"/>
        </w:rPr>
        <w:t>Among them</w:t>
      </w:r>
      <w:r w:rsidRPr="75A96201">
        <w:rPr>
          <w:rFonts w:ascii="Times New Roman" w:hAnsi="Times New Roman" w:cs="Times New Roman"/>
          <w:sz w:val="24"/>
          <w:szCs w:val="24"/>
          <w:lang w:val="en-GB"/>
        </w:rPr>
        <w:t xml:space="preserve">, multi-sided platforms (MSPs) – i.e., “all forms of </w:t>
      </w:r>
      <w:r w:rsidRPr="75A96201">
        <w:rPr>
          <w:rFonts w:ascii="Times New Roman" w:hAnsi="Times New Roman" w:cs="Times New Roman"/>
          <w:sz w:val="24"/>
          <w:szCs w:val="24"/>
          <w:lang w:val="en-GB"/>
        </w:rPr>
        <w:lastRenderedPageBreak/>
        <w:t xml:space="preserve">networked business where multiple suppliers and customers interact for economic purposes within one or among multiple tiers in economic value chains”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10.1007/s12525-014-0163-9","author":[{"dropping-particle":"","family":"Alt","given":"Rainer","non-dropping-particle":"","parse-names":false,"suffix":""},{"dropping-particle":"","family":"Zimmermann","given":"Hans-Dieter","non-dropping-particle":"","parse-names":false,"suffix":""}],"id":"ITEM-1","issued":{"date-parts":[["2014"]]},"title":"Editorial 24/3: Electronic Markets and general research","type":"article-journal"},"uris":["http://www.mendeley.com/documents/?uuid=7acdb169-ce0a-3884-b210-4934c7d84ed0"]}],"mendeley":{"formattedCitation":"(Alt &amp; Zimmermann, 2014)","manualFormatting":"(Alt &amp; Zimmermann, 2014","plainTextFormattedCitation":"(Alt &amp; Zimmermann, 2014)","previouslyFormattedCitation":"(Alt &amp; Zimmermann, 2014)"},"properties":{"noteIndex":0},"schema":"https://github.com/citation-style-language/schema/raw/master/csl-citation.json"}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(Alt &amp; Zimmermann, 2014</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p. 162) – have been recently explored as a </w:t>
      </w:r>
      <w:r w:rsidR="004766FB">
        <w:rPr>
          <w:rFonts w:ascii="Times New Roman" w:hAnsi="Times New Roman" w:cs="Times New Roman"/>
          <w:sz w:val="24"/>
          <w:szCs w:val="24"/>
          <w:lang w:val="en-GB"/>
        </w:rPr>
        <w:t xml:space="preserve">digital </w:t>
      </w:r>
      <w:r w:rsidRPr="75A96201">
        <w:rPr>
          <w:rFonts w:ascii="Times New Roman" w:hAnsi="Times New Roman" w:cs="Times New Roman"/>
          <w:sz w:val="24"/>
          <w:szCs w:val="24"/>
          <w:lang w:val="en-GB"/>
        </w:rPr>
        <w:t>enabler of CSCs</w:t>
      </w:r>
      <w:r w:rsidR="004C023E">
        <w:rPr>
          <w:rFonts w:ascii="Times New Roman" w:hAnsi="Times New Roman" w:cs="Times New Roman"/>
          <w:sz w:val="24"/>
          <w:szCs w:val="24"/>
          <w:lang w:val="en-GB"/>
        </w:rPr>
        <w:t xml:space="preserve"> </w:t>
      </w:r>
      <w:r w:rsidR="004C023E" w:rsidRPr="75A96201">
        <w:rPr>
          <w:rFonts w:ascii="Times New Roman" w:hAnsi="Times New Roman" w:cs="Times New Roman"/>
          <w:sz w:val="24"/>
          <w:szCs w:val="24"/>
          <w:lang w:val="en-GB"/>
        </w:rPr>
        <w:fldChar w:fldCharType="begin" w:fldLock="1"/>
      </w:r>
      <w:r w:rsidR="004C023E" w:rsidRPr="75A96201">
        <w:rPr>
          <w:rFonts w:ascii="Times New Roman" w:hAnsi="Times New Roman" w:cs="Times New Roman"/>
          <w:sz w:val="24"/>
          <w:szCs w:val="24"/>
          <w:lang w:val="en-GB"/>
        </w:rPr>
        <w:instrText>ADDIN CSL_CITATION {"citationItems":[{"id":"ITEM-1","itemData":{"DOI":"10.1007/978-3-319-97385-2_23","ISSN":"26621339","abstract":"Online platforms have a growing influence on how people interact with the physical world. They organise data streams, economic interactions and social exchanges of their users. Competitive dynamics in this emerging ‘platform society’ revolve around the ability to attract users to a platform, and to collect and analyse data from their interactions to achieve network effects. This chapter is about the roles of online platforms in enabling a more sustainable and circular economy. It identifies and describes three potential roles: they can enable people and organisations to (1) market, (2) operate and (3) co-create products, components and material. The identified roles provide a playground for firms to experiment with online platforms to advance their digital transition towards a circular economy.","author":[{"dropping-particle":"","family":"Konietzko","given":"Jan","non-dropping-particle":"","parse-names":false,"suffix":""},{"dropping-particle":"","family":"Bocken","given":"Nancy","non-dropping-particle":"","parse-names":false,"suffix":""},{"dropping-particle":"","family":"Hultink","given":"Erik Jan","non-dropping-particle":"","parse-names":false,"suffix":""}],"container-title":"Palgrave Studies in Sustainable Business in Association with Future Earth","id":"ITEM-1","issued":{"date-parts":[["2019"]]},"page":"435-450","publisher":"Palgrave Macmillan, Cham","title":"Online Platforms and the Circular Economy","type":"article-journal"},"uris":["http://www.mendeley.com/documents/?uuid=813dc2ce-f0db-37d0-ae0e-42f3f9f18a6a"]}],"mendeley":{"formattedCitation":"(Konietzko et al., 2019)","plainTextFormattedCitation":"(Konietzko et al., 2019)","previouslyFormattedCitation":"(Konietzko et al., 2019)"},"properties":{"noteIndex":0},"schema":"https://github.com/citation-style-language/schema/raw/master/csl-citation.json"}</w:instrText>
      </w:r>
      <w:r w:rsidR="004C023E" w:rsidRPr="75A96201">
        <w:rPr>
          <w:rFonts w:ascii="Times New Roman" w:hAnsi="Times New Roman" w:cs="Times New Roman"/>
          <w:sz w:val="24"/>
          <w:szCs w:val="24"/>
          <w:lang w:val="en-GB"/>
        </w:rPr>
        <w:fldChar w:fldCharType="separate"/>
      </w:r>
      <w:r w:rsidR="004C023E" w:rsidRPr="75A96201">
        <w:rPr>
          <w:rFonts w:ascii="Times New Roman" w:hAnsi="Times New Roman" w:cs="Times New Roman"/>
          <w:noProof/>
          <w:sz w:val="24"/>
          <w:szCs w:val="24"/>
          <w:lang w:val="en-GB"/>
        </w:rPr>
        <w:t>(Konietzko et al., 2019)</w:t>
      </w:r>
      <w:r w:rsidR="004C023E" w:rsidRPr="75A96201">
        <w:rPr>
          <w:rFonts w:ascii="Times New Roman" w:hAnsi="Times New Roman" w:cs="Times New Roman"/>
          <w:sz w:val="24"/>
          <w:szCs w:val="24"/>
          <w:lang w:val="en-GB"/>
        </w:rPr>
        <w:fldChar w:fldCharType="end"/>
      </w:r>
      <w:r w:rsidR="004C023E">
        <w:rPr>
          <w:rFonts w:ascii="Times New Roman" w:hAnsi="Times New Roman" w:cs="Times New Roman"/>
          <w:sz w:val="24"/>
          <w:szCs w:val="24"/>
          <w:lang w:val="en-GB"/>
        </w:rPr>
        <w:t>.</w:t>
      </w:r>
      <w:r w:rsidR="004C023E" w:rsidRPr="75A96201">
        <w:rPr>
          <w:rFonts w:ascii="Times New Roman" w:hAnsi="Times New Roman" w:cs="Times New Roman"/>
          <w:sz w:val="24"/>
          <w:szCs w:val="24"/>
          <w:lang w:val="en-GB"/>
        </w:rPr>
        <w:t xml:space="preserve"> </w:t>
      </w:r>
      <w:r w:rsidR="004C023E">
        <w:rPr>
          <w:rFonts w:ascii="Times New Roman" w:hAnsi="Times New Roman" w:cs="Times New Roman"/>
          <w:sz w:val="24"/>
          <w:szCs w:val="24"/>
          <w:lang w:val="en-GB"/>
        </w:rPr>
        <w:t>These platforms</w:t>
      </w:r>
      <w:r w:rsidR="004C023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can support the exchange of resources (such as products, components, and materials) among (circular) supply chain actors to guarantee resource life cycle extension and reuse by profoundly changing how the relationships between these actors take place through their </w:t>
      </w:r>
      <w:r w:rsidRPr="75A96201">
        <w:rPr>
          <w:rFonts w:ascii="Times New Roman" w:hAnsi="Times New Roman" w:cs="Times New Roman"/>
          <w:sz w:val="24"/>
          <w:szCs w:val="24"/>
          <w:lang w:val="en-US"/>
        </w:rPr>
        <w:t>orchestrating role</w:t>
      </w:r>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{"citationItems":[{"id":"ITEM-1","itemData":{"DOI":"10.1016/J.INDMARMAN.2019.07.001","ISSN":"00198501","abstract":"Multi-sided platforms, enabling interactions between different user sides, hold an important place in the contemporary economy. Current literature, focusing on established and successful platforms, has neglected to study B2B multi-sided platform adoption mechanisms. In this article, we analyze these mechanisms by investigating the case of dematerialization platforms for B2B transactions between the multiple actors involved in public works contracts. Various qualitative materials, including 28 semi-structured interviews, were gathered over a thirty-month period. Adopting a business user perspective, this study contributes to the literature on multi-sided platforms in various ways. We show that platform adoption, in project-based B2B contexts, is mainly constrained by a high level of affiliation costs and the existence of tight-interdependencies between users' activities at project level. Thus, a consecutive adoption path would result in negative cross-group network externalities and undermine the platform's attractiveness. Conversely, a concurrent adoption path would activate positive network externalities and encourage platform adoption decisions.","author":[{"dropping-particle":"","family":"Loux","given":"Patrick","non-dropping-particle":"","parse-names":false,"suffix":""},{"dropping-particle":"","family":"Aubry","given":"Mathilde","non-dropping-particle":"","parse-names":false,"suffix":""},{"dropping-particle":"","family":"Tran","given":"Sébastien","non-dropping-particle":"","parse-names":false,"suffix":""},{"dropping-particle":"","family":"Baudoin","given":"Emmanuel","non-dropping-particle":"","parse-names":false,"suffix":""}],"container-title":"Industrial Marketing Management","id":"ITEM-1","issued":{"date-parts":[["2020","1","1"]]},"page":"212-223","publisher":"Elsevier Inc.","title":"Multi-sided platforms in B2B contexts: The role of affiliation costs and interdependencies in adoption decisions","type":"article-journal","volume":"84"},"uris":["http://www.mendeley.com/documents/?uuid=137e3e9d-9687-317a-bbbf-16d5b25baab9"]}],"mendeley":{"formattedCitation":"(Loux et al., 2020)","manualFormatting":"(Trevisan et al., 2022)","plainTextFormattedCitation":"(Loux et al., 2020)","previouslyFormattedCitation":"(Loux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(Trevisan et al., 2022)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w:t>
      </w:r>
      <w:r w:rsidR="00700807">
        <w:rPr>
          <w:rFonts w:ascii="Times New Roman" w:hAnsi="Times New Roman" w:cs="Times New Roman"/>
          <w:sz w:val="24"/>
          <w:szCs w:val="24"/>
          <w:lang w:val="en-GB"/>
        </w:rPr>
        <w:t xml:space="preserve"> </w:t>
      </w:r>
      <w:r w:rsidR="00CD15A9" w:rsidRPr="007B6B7A">
        <w:rPr>
          <w:rFonts w:ascii="Times New Roman" w:hAnsi="Times New Roman" w:cs="Times New Roman"/>
          <w:sz w:val="24"/>
          <w:szCs w:val="24"/>
          <w:lang w:val="en-GB"/>
        </w:rPr>
        <w:t xml:space="preserve">For example, the Italian </w:t>
      </w:r>
      <w:r w:rsidR="00CD15A9">
        <w:rPr>
          <w:rFonts w:ascii="Times New Roman" w:hAnsi="Times New Roman" w:cs="Times New Roman"/>
          <w:sz w:val="24"/>
          <w:szCs w:val="24"/>
          <w:lang w:val="en-GB"/>
        </w:rPr>
        <w:t>a</w:t>
      </w:r>
      <w:r w:rsidR="00CD15A9" w:rsidRPr="007B6B7A">
        <w:rPr>
          <w:rFonts w:ascii="Times New Roman" w:hAnsi="Times New Roman" w:cs="Times New Roman"/>
          <w:sz w:val="24"/>
          <w:szCs w:val="24"/>
          <w:lang w:val="en-GB"/>
        </w:rPr>
        <w:t xml:space="preserve">gency for new technologies, </w:t>
      </w:r>
      <w:r w:rsidR="00CD15A9" w:rsidRPr="0090553A">
        <w:rPr>
          <w:rFonts w:ascii="Times New Roman" w:hAnsi="Times New Roman" w:cs="Times New Roman"/>
          <w:sz w:val="24"/>
          <w:szCs w:val="24"/>
          <w:lang w:val="en-GB"/>
        </w:rPr>
        <w:t>energy,</w:t>
      </w:r>
      <w:r w:rsidR="00CD15A9" w:rsidRPr="007B6B7A">
        <w:rPr>
          <w:rFonts w:ascii="Times New Roman" w:hAnsi="Times New Roman" w:cs="Times New Roman"/>
          <w:sz w:val="24"/>
          <w:szCs w:val="24"/>
          <w:lang w:val="en-GB"/>
        </w:rPr>
        <w:t xml:space="preserve"> and sustainable economic development (ENEA) launched </w:t>
      </w:r>
      <w:r w:rsidR="00CD15A9">
        <w:rPr>
          <w:rFonts w:ascii="Times New Roman" w:hAnsi="Times New Roman" w:cs="Times New Roman"/>
          <w:sz w:val="24"/>
          <w:szCs w:val="24"/>
          <w:lang w:val="en-GB"/>
        </w:rPr>
        <w:t xml:space="preserve">Symbiosis, i.e., </w:t>
      </w:r>
      <w:r w:rsidR="00CD15A9" w:rsidRPr="007B6B7A">
        <w:rPr>
          <w:rFonts w:ascii="Times New Roman" w:hAnsi="Times New Roman" w:cs="Times New Roman"/>
          <w:sz w:val="24"/>
          <w:szCs w:val="24"/>
          <w:lang w:val="en-GB"/>
        </w:rPr>
        <w:t xml:space="preserve">the first Italian </w:t>
      </w:r>
      <w:r w:rsidR="00DD4F1E">
        <w:rPr>
          <w:rFonts w:ascii="Times New Roman" w:hAnsi="Times New Roman" w:cs="Times New Roman"/>
          <w:sz w:val="24"/>
          <w:szCs w:val="24"/>
          <w:lang w:val="en-GB"/>
        </w:rPr>
        <w:t>digital p</w:t>
      </w:r>
      <w:r w:rsidR="00DD4F1E" w:rsidRPr="007B6B7A">
        <w:rPr>
          <w:rFonts w:ascii="Times New Roman" w:hAnsi="Times New Roman" w:cs="Times New Roman"/>
          <w:sz w:val="24"/>
          <w:szCs w:val="24"/>
          <w:lang w:val="en-GB"/>
        </w:rPr>
        <w:t>latform</w:t>
      </w:r>
      <w:r w:rsidR="00DD4F1E" w:rsidRPr="00DD4F1E">
        <w:rPr>
          <w:rFonts w:ascii="Times New Roman" w:hAnsi="Times New Roman" w:cs="Times New Roman"/>
          <w:sz w:val="24"/>
          <w:szCs w:val="24"/>
          <w:lang w:val="en-GB"/>
        </w:rPr>
        <w:t xml:space="preserve"> </w:t>
      </w:r>
      <w:r w:rsidR="00DD4F1E">
        <w:rPr>
          <w:rFonts w:ascii="Times New Roman" w:hAnsi="Times New Roman" w:cs="Times New Roman"/>
          <w:sz w:val="24"/>
          <w:szCs w:val="24"/>
          <w:lang w:val="en-GB"/>
        </w:rPr>
        <w:t xml:space="preserve">enabling </w:t>
      </w:r>
      <w:r w:rsidR="00CD15A9" w:rsidRPr="007B6B7A">
        <w:rPr>
          <w:rFonts w:ascii="Times New Roman" w:hAnsi="Times New Roman" w:cs="Times New Roman"/>
          <w:sz w:val="24"/>
          <w:szCs w:val="24"/>
          <w:lang w:val="en-GB"/>
        </w:rPr>
        <w:t xml:space="preserve">the </w:t>
      </w:r>
      <w:r w:rsidR="00CD15A9">
        <w:rPr>
          <w:rFonts w:ascii="Times New Roman" w:hAnsi="Times New Roman" w:cs="Times New Roman"/>
          <w:sz w:val="24"/>
          <w:szCs w:val="24"/>
          <w:lang w:val="en-GB"/>
        </w:rPr>
        <w:t>exchange</w:t>
      </w:r>
      <w:r w:rsidR="00CD15A9" w:rsidRPr="007B6B7A">
        <w:rPr>
          <w:rFonts w:ascii="Times New Roman" w:hAnsi="Times New Roman" w:cs="Times New Roman"/>
          <w:sz w:val="24"/>
          <w:szCs w:val="24"/>
          <w:lang w:val="en-GB"/>
        </w:rPr>
        <w:t xml:space="preserve"> of resources </w:t>
      </w:r>
      <w:r w:rsidR="00CD15A9">
        <w:rPr>
          <w:rFonts w:ascii="Times New Roman" w:hAnsi="Times New Roman" w:cs="Times New Roman"/>
          <w:sz w:val="24"/>
          <w:szCs w:val="24"/>
          <w:lang w:val="en-GB"/>
        </w:rPr>
        <w:t>such as</w:t>
      </w:r>
      <w:r w:rsidR="00CD15A9" w:rsidRPr="007B6B7A">
        <w:rPr>
          <w:rFonts w:ascii="Times New Roman" w:hAnsi="Times New Roman" w:cs="Times New Roman"/>
          <w:sz w:val="24"/>
          <w:szCs w:val="24"/>
          <w:lang w:val="en-GB"/>
        </w:rPr>
        <w:t xml:space="preserve"> materials, energy, water, </w:t>
      </w:r>
      <w:r w:rsidR="00CD15A9" w:rsidRPr="0090553A">
        <w:rPr>
          <w:rFonts w:ascii="Times New Roman" w:hAnsi="Times New Roman" w:cs="Times New Roman"/>
          <w:sz w:val="24"/>
          <w:szCs w:val="24"/>
          <w:lang w:val="en-GB"/>
        </w:rPr>
        <w:t>services,</w:t>
      </w:r>
      <w:r w:rsidR="00CD15A9" w:rsidRPr="007B6B7A">
        <w:rPr>
          <w:rFonts w:ascii="Times New Roman" w:hAnsi="Times New Roman" w:cs="Times New Roman"/>
          <w:sz w:val="24"/>
          <w:szCs w:val="24"/>
          <w:lang w:val="en-GB"/>
        </w:rPr>
        <w:t xml:space="preserve"> and expertise </w:t>
      </w:r>
      <w:r w:rsidR="00CD15A9">
        <w:rPr>
          <w:rFonts w:ascii="Times New Roman" w:hAnsi="Times New Roman" w:cs="Times New Roman"/>
          <w:sz w:val="24"/>
          <w:szCs w:val="24"/>
          <w:lang w:val="en-GB"/>
        </w:rPr>
        <w:t>between</w:t>
      </w:r>
      <w:r w:rsidR="004766FB">
        <w:rPr>
          <w:rFonts w:ascii="Times New Roman" w:hAnsi="Times New Roman" w:cs="Times New Roman"/>
          <w:sz w:val="24"/>
          <w:szCs w:val="24"/>
          <w:lang w:val="en-GB"/>
        </w:rPr>
        <w:t xml:space="preserve"> different</w:t>
      </w:r>
      <w:r w:rsidR="00CD15A9" w:rsidRPr="007B6B7A">
        <w:rPr>
          <w:rFonts w:ascii="Times New Roman" w:hAnsi="Times New Roman" w:cs="Times New Roman"/>
          <w:sz w:val="24"/>
          <w:szCs w:val="24"/>
          <w:lang w:val="en-GB"/>
        </w:rPr>
        <w:t xml:space="preserve"> </w:t>
      </w:r>
      <w:r w:rsidR="00CD15A9">
        <w:rPr>
          <w:rFonts w:ascii="Times New Roman" w:hAnsi="Times New Roman" w:cs="Times New Roman"/>
          <w:sz w:val="24"/>
          <w:szCs w:val="24"/>
          <w:lang w:val="en-GB"/>
        </w:rPr>
        <w:t>s</w:t>
      </w:r>
      <w:r w:rsidR="00CD15A9" w:rsidRPr="007B6B7A">
        <w:rPr>
          <w:rFonts w:ascii="Times New Roman" w:hAnsi="Times New Roman" w:cs="Times New Roman"/>
          <w:sz w:val="24"/>
          <w:szCs w:val="24"/>
          <w:lang w:val="en-GB"/>
        </w:rPr>
        <w:t xml:space="preserve">mall and </w:t>
      </w:r>
      <w:r w:rsidR="00CD15A9">
        <w:rPr>
          <w:rFonts w:ascii="Times New Roman" w:hAnsi="Times New Roman" w:cs="Times New Roman"/>
          <w:sz w:val="24"/>
          <w:szCs w:val="24"/>
          <w:lang w:val="en-GB"/>
        </w:rPr>
        <w:t>m</w:t>
      </w:r>
      <w:r w:rsidR="00CD15A9" w:rsidRPr="007B6B7A">
        <w:rPr>
          <w:rFonts w:ascii="Times New Roman" w:hAnsi="Times New Roman" w:cs="Times New Roman"/>
          <w:sz w:val="24"/>
          <w:szCs w:val="24"/>
          <w:lang w:val="en-GB"/>
        </w:rPr>
        <w:t xml:space="preserve">edium-sized </w:t>
      </w:r>
      <w:r w:rsidR="00CD15A9">
        <w:rPr>
          <w:rFonts w:ascii="Times New Roman" w:hAnsi="Times New Roman" w:cs="Times New Roman"/>
          <w:sz w:val="24"/>
          <w:szCs w:val="24"/>
          <w:lang w:val="en-GB"/>
        </w:rPr>
        <w:t>e</w:t>
      </w:r>
      <w:r w:rsidR="00CD15A9" w:rsidRPr="007B6B7A">
        <w:rPr>
          <w:rFonts w:ascii="Times New Roman" w:hAnsi="Times New Roman" w:cs="Times New Roman"/>
          <w:sz w:val="24"/>
          <w:szCs w:val="24"/>
          <w:lang w:val="en-GB"/>
        </w:rPr>
        <w:t>nterprises (SMEs)</w:t>
      </w:r>
      <w:r w:rsidR="00CD15A9">
        <w:rPr>
          <w:rFonts w:ascii="Times New Roman" w:hAnsi="Times New Roman" w:cs="Times New Roman"/>
          <w:sz w:val="24"/>
          <w:szCs w:val="24"/>
          <w:lang w:val="en-GB"/>
        </w:rPr>
        <w:t xml:space="preserve"> </w:t>
      </w:r>
      <w:r w:rsidR="00CD15A9">
        <w:rPr>
          <w:rFonts w:ascii="Times New Roman" w:hAnsi="Times New Roman" w:cs="Times New Roman"/>
          <w:sz w:val="24"/>
          <w:szCs w:val="24"/>
          <w:lang w:val="en-GB"/>
        </w:rPr>
        <w:fldChar w:fldCharType="begin" w:fldLock="1"/>
      </w:r>
      <w:r w:rsidR="00CD15A9">
        <w:rPr>
          <w:rFonts w:ascii="Times New Roman" w:hAnsi="Times New Roman" w:cs="Times New Roman"/>
          <w:sz w:val="24"/>
          <w:szCs w:val="24"/>
          <w:lang w:val="en-GB"/>
        </w:rPr>
        <w:instrText>ADDIN CSL_CITATION {"citationItems":[{"id":"ITEM-1","itemData":{"abstract":"This paper reports the activity, promoted by the Italian agency for new technologies, energy and sustainable economic development (ENEA), in the framework of the project for the development and implementation of the first Italian Platform for Industrial Symbiosis implemented in Sicily (2011-2015). The goals of the project were: to provide a methodology and an instrument for industrial symbiosis implementation at regional scale, to implement a IS Platform as a support to SMEs to individuate symbiosis opportunities in the region. The whole approach includes: network activation, platform architecture design and implementation, analysis of the productive sector in Sicily, data collection and companies involvement. In particular the paper focuses on the activities developed for companies' network creation trough a preliminary analysis of the predominant productive sectors followed by the organization of operative meetings in Sicily for companies' involvement, analysis of potential synergies and resources sharing, and finally platform population. During the first two meetings more than 80 SME were linked giving rise to almost 400 output resources and almost 180 input resources. More than 690 potential matches were found between the participating enterprises showing interesting opportunities both for substituting resources with waste products in real and virtual cases and for sharing waste management services and infrastructures. The discussion occurred during the meeting has remarked the significance and the consequences of the regulatory and control system on IS application, underlining the necessary participation of local stakeholders and control authorities. It has also emerged the need to identify predominant productive activities in well-defined territorial contexts where to investigate the specific/local tangles taking into account legislative and technical-economic feasibility. Technical dossiers on three main resource streams (wastes from processing stone materials; plastics and agro-industrial wastes), which may generate the more interesting potential synergies, are being processed. These dossiers include European, Italian and regional regulations, guidelines, technical standards, logistic and economical aspects useful for supporting companies in synergies implementation. Results of this activity will also be used to improve the algorithm in the platform to find synergies.","author":[{"dropping-particle":"","family":"Cutaia","given":"Laura","non-dropping-particle":"","parse-names":false,"suffix":""},{"dropping-particle":"","family":"Luciano","given":"Antonella","non-dropping-particle":"","parse-names":false,"suffix":""},{"dropping-particle":"","family":"Barberio","given":"Grazia","non-dropping-particle":"","parse-names":false,"suffix":""},{"dropping-particle":"","family":"Sbaffoni","given":"Silvia","non-dropping-particle":"","parse-names":false,"suffix":""},{"dropping-particle":"","family":"Mancuso","given":"Erika","non-dropping-particle":"","parse-names":false,"suffix":""},{"dropping-particle":"","family":"Scagliarino","given":"Claudia","non-dropping-particle":"","parse-names":false,"suffix":""},{"dropping-particle":"La","family":"Monica","given":"Marco","non-dropping-particle":"","parse-names":false,"suffix":""}],"container-title":"Environmental Engineering and Management Journal","id":"ITEM-1","issue":"7","issued":{"date-parts":[["2015"]]},"page":"1521-1533","title":"THE EXPERIENCE OF THE FIRST INDUSTRIAL SYMBIOSIS PLATFORM IN ITALY","type":"article-journal","volume":"14"},"uris":["http://www.mendeley.com/documents/?uuid=d16fc61f-8795-3875-b831-ddbddc24b7ce"]}],"mendeley":{"formattedCitation":"(Cutaia et al., 2015)","plainTextFormattedCitation":"(Cutaia et al., 2015)","previouslyFormattedCitation":"(Cutaia et al., 2015)"},"properties":{"noteIndex":0},"schema":"https://github.com/citation-style-language/schema/raw/master/csl-citation.json"}</w:instrText>
      </w:r>
      <w:r w:rsidR="00CD15A9">
        <w:rPr>
          <w:rFonts w:ascii="Times New Roman" w:hAnsi="Times New Roman" w:cs="Times New Roman"/>
          <w:sz w:val="24"/>
          <w:szCs w:val="24"/>
          <w:lang w:val="en-GB"/>
        </w:rPr>
        <w:fldChar w:fldCharType="separate"/>
      </w:r>
      <w:r w:rsidR="00CD15A9" w:rsidRPr="00482590">
        <w:rPr>
          <w:rFonts w:ascii="Times New Roman" w:hAnsi="Times New Roman" w:cs="Times New Roman"/>
          <w:noProof/>
          <w:sz w:val="24"/>
          <w:szCs w:val="24"/>
          <w:lang w:val="en-GB"/>
        </w:rPr>
        <w:t>(Cutaia et al., 2015)</w:t>
      </w:r>
      <w:r w:rsidR="00CD15A9">
        <w:rPr>
          <w:rFonts w:ascii="Times New Roman" w:hAnsi="Times New Roman" w:cs="Times New Roman"/>
          <w:sz w:val="24"/>
          <w:szCs w:val="24"/>
          <w:lang w:val="en-GB"/>
        </w:rPr>
        <w:fldChar w:fldCharType="end"/>
      </w:r>
      <w:r w:rsidR="00CD15A9">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w:t>
      </w:r>
      <w:r w:rsidR="00A67F39">
        <w:rPr>
          <w:rFonts w:ascii="Times New Roman" w:hAnsi="Times New Roman" w:cs="Times New Roman"/>
          <w:sz w:val="24"/>
          <w:szCs w:val="24"/>
          <w:lang w:val="en-GB"/>
        </w:rPr>
        <w:t>Moreover, e</w:t>
      </w:r>
      <w:r w:rsidR="00D77733">
        <w:rPr>
          <w:rFonts w:ascii="Times New Roman" w:hAnsi="Times New Roman" w:cs="Times New Roman"/>
          <w:sz w:val="24"/>
          <w:szCs w:val="24"/>
          <w:lang w:val="en-GB"/>
        </w:rPr>
        <w:t xml:space="preserve">xisting literature shows that </w:t>
      </w:r>
      <w:r w:rsidR="0038604C" w:rsidRPr="75A96201">
        <w:rPr>
          <w:rFonts w:ascii="Times New Roman" w:hAnsi="Times New Roman" w:cs="Times New Roman"/>
          <w:sz w:val="24"/>
          <w:szCs w:val="24"/>
          <w:lang w:val="en-GB"/>
        </w:rPr>
        <w:t xml:space="preserve">MSPs </w:t>
      </w:r>
      <w:r w:rsidR="00D77733">
        <w:rPr>
          <w:rFonts w:ascii="Times New Roman" w:hAnsi="Times New Roman" w:cs="Times New Roman"/>
          <w:sz w:val="24"/>
          <w:szCs w:val="24"/>
          <w:lang w:val="en-GB"/>
        </w:rPr>
        <w:t>may</w:t>
      </w:r>
      <w:r w:rsidR="0038604C" w:rsidRPr="75A96201">
        <w:rPr>
          <w:rFonts w:ascii="Times New Roman" w:hAnsi="Times New Roman" w:cs="Times New Roman"/>
          <w:sz w:val="24"/>
          <w:szCs w:val="24"/>
          <w:lang w:val="en-GB"/>
        </w:rPr>
        <w:t xml:space="preserve"> </w:t>
      </w:r>
      <w:r w:rsidR="00951065">
        <w:rPr>
          <w:rFonts w:ascii="Times New Roman" w:hAnsi="Times New Roman" w:cs="Times New Roman"/>
          <w:sz w:val="24"/>
          <w:szCs w:val="24"/>
          <w:lang w:val="en-GB"/>
        </w:rPr>
        <w:t>involve a</w:t>
      </w:r>
      <w:r w:rsidR="00951065" w:rsidRPr="75A96201">
        <w:rPr>
          <w:rFonts w:ascii="Times New Roman" w:hAnsi="Times New Roman" w:cs="Times New Roman"/>
          <w:sz w:val="24"/>
          <w:szCs w:val="24"/>
          <w:lang w:val="en-GB"/>
        </w:rPr>
        <w:t xml:space="preserve">ctors </w:t>
      </w:r>
      <w:r w:rsidR="0038604C" w:rsidRPr="75A96201">
        <w:rPr>
          <w:rFonts w:ascii="Times New Roman" w:hAnsi="Times New Roman" w:cs="Times New Roman"/>
          <w:sz w:val="24"/>
          <w:szCs w:val="24"/>
          <w:lang w:val="en-GB"/>
        </w:rPr>
        <w:t>belong</w:t>
      </w:r>
      <w:r w:rsidR="00951065">
        <w:rPr>
          <w:rFonts w:ascii="Times New Roman" w:hAnsi="Times New Roman" w:cs="Times New Roman"/>
          <w:sz w:val="24"/>
          <w:szCs w:val="24"/>
          <w:lang w:val="en-GB"/>
        </w:rPr>
        <w:t>ing</w:t>
      </w:r>
      <w:r w:rsidR="0038604C" w:rsidRPr="75A96201">
        <w:rPr>
          <w:rFonts w:ascii="Times New Roman" w:hAnsi="Times New Roman" w:cs="Times New Roman"/>
          <w:sz w:val="24"/>
          <w:szCs w:val="24"/>
          <w:lang w:val="en-GB"/>
        </w:rPr>
        <w:t xml:space="preserve"> to</w:t>
      </w:r>
      <w:r w:rsidR="00951065">
        <w:rPr>
          <w:rFonts w:ascii="Times New Roman" w:hAnsi="Times New Roman" w:cs="Times New Roman"/>
          <w:sz w:val="24"/>
          <w:szCs w:val="24"/>
          <w:lang w:val="en-GB"/>
        </w:rPr>
        <w:t xml:space="preserve"> either</w:t>
      </w:r>
      <w:r w:rsidR="0038604C" w:rsidRPr="75A96201">
        <w:rPr>
          <w:rFonts w:ascii="Times New Roman" w:hAnsi="Times New Roman" w:cs="Times New Roman"/>
          <w:sz w:val="24"/>
          <w:szCs w:val="24"/>
          <w:lang w:val="en-GB"/>
        </w:rPr>
        <w:t xml:space="preserve"> the supply chain in which a </w:t>
      </w:r>
      <w:r w:rsidR="00951065">
        <w:rPr>
          <w:rFonts w:ascii="Times New Roman" w:hAnsi="Times New Roman" w:cs="Times New Roman"/>
          <w:sz w:val="24"/>
          <w:szCs w:val="24"/>
          <w:lang w:val="en-GB"/>
        </w:rPr>
        <w:t xml:space="preserve">targeted </w:t>
      </w:r>
      <w:r w:rsidR="0038604C" w:rsidRPr="75A96201">
        <w:rPr>
          <w:rFonts w:ascii="Times New Roman" w:hAnsi="Times New Roman" w:cs="Times New Roman"/>
          <w:sz w:val="24"/>
          <w:szCs w:val="24"/>
          <w:lang w:val="en-GB"/>
        </w:rPr>
        <w:t xml:space="preserve">resource was originally addressed to or different supply chains </w:t>
      </w:r>
      <w:r w:rsidR="0038604C" w:rsidRPr="75A96201">
        <w:rPr>
          <w:rFonts w:ascii="Times New Roman" w:hAnsi="Times New Roman" w:cs="Times New Roman"/>
          <w:sz w:val="24"/>
          <w:szCs w:val="24"/>
          <w:lang w:val="en-GB"/>
        </w:rPr>
        <w:fldChar w:fldCharType="begin" w:fldLock="1"/>
      </w:r>
      <w:r w:rsidR="0038604C" w:rsidRPr="75A96201">
        <w:rPr>
          <w:rFonts w:ascii="Times New Roman" w:hAnsi="Times New Roman" w:cs="Times New Roman"/>
          <w:sz w:val="24"/>
          <w:szCs w:val="24"/>
          <w:lang w:val="en-GB"/>
        </w:rPr>
        <w:instrText>ADDIN CSL_CITATION {"citationItems":[{"id":"ITEM-1","itemData":{"DOI":"10.4324/9781003207481-3","ISBN":"9781003207481","abstract":"The way digital platforms change interrelations and flows within supply chains is often disruptive. By combining information from different stakeholders on an almost real-time basis, platforms have started to be a competitive business model for traditional pipeline solutions. Platforms might be quickly implemented at any stage of the supply chain process: from sourcing to manufacturing to differentiation of distribution channels. Additionally, the disruptive impact of platforms in supply chain management is noticeable in their ability to develop flexible or sustainable supply chain business models which immediately respond and adapt to fluctuations in the external environment. However, when analysing a platform business model in terms of supply chain management, one can observe several conditions that have to be met to benefit from this solution. The aim of this chapter is to indicate the potential place of a digital platform within supply chain management and its role in this process. The conditions for successful platform implementation in terms of supply chain management and competitiveness in an uncertain environment will also be discussed.","author":[{"dropping-particle":"","family":"Nowicka","given":"Katarzyna","non-dropping-particle":"","parse-names":false,"suffix":""}],"container-title":"Disruptive Platforms","id":"ITEM-1","issued":{"date-parts":[["2021","12","19"]]},"page":"39-55","publisher":"Routledge","title":"Platforms in supply chain management : Disruption or evolution?","type":"article-journal"},"uris":["http://www.mendeley.com/documents/?uuid=fbf04612-726e-3e6c-b36b-3a1073a79e56"]}],"mendeley":{"formattedCitation":"(Nowicka, 2021)","plainTextFormattedCitation":"(Nowicka, 2021)","previouslyFormattedCitation":"(Nowicka, 2021)"},"properties":{"noteIndex":0},"schema":"https://github.com/citation-style-language/schema/raw/master/csl-citation.json"}</w:instrText>
      </w:r>
      <w:r w:rsidR="0038604C" w:rsidRPr="75A96201">
        <w:rPr>
          <w:rFonts w:ascii="Times New Roman" w:hAnsi="Times New Roman" w:cs="Times New Roman"/>
          <w:sz w:val="24"/>
          <w:szCs w:val="24"/>
          <w:lang w:val="en-GB"/>
        </w:rPr>
        <w:fldChar w:fldCharType="separate"/>
      </w:r>
      <w:r w:rsidR="0038604C" w:rsidRPr="75A96201">
        <w:rPr>
          <w:rFonts w:ascii="Times New Roman" w:hAnsi="Times New Roman" w:cs="Times New Roman"/>
          <w:noProof/>
          <w:sz w:val="24"/>
          <w:szCs w:val="24"/>
          <w:lang w:val="en-GB"/>
        </w:rPr>
        <w:t>(Nowicka, 2021)</w:t>
      </w:r>
      <w:r w:rsidR="0038604C" w:rsidRPr="75A96201">
        <w:rPr>
          <w:rFonts w:ascii="Times New Roman" w:hAnsi="Times New Roman" w:cs="Times New Roman"/>
          <w:sz w:val="24"/>
          <w:szCs w:val="24"/>
          <w:lang w:val="en-GB"/>
        </w:rPr>
        <w:fldChar w:fldCharType="end"/>
      </w:r>
      <w:r w:rsidR="0038604C" w:rsidRPr="75A96201">
        <w:rPr>
          <w:rFonts w:ascii="Times New Roman" w:hAnsi="Times New Roman" w:cs="Times New Roman"/>
          <w:sz w:val="24"/>
          <w:szCs w:val="24"/>
          <w:lang w:val="en-GB"/>
        </w:rPr>
        <w:t>.</w:t>
      </w:r>
      <w:r w:rsidR="0038604C">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However, </w:t>
      </w:r>
      <w:r w:rsidR="0038604C">
        <w:rPr>
          <w:rFonts w:ascii="Times New Roman" w:hAnsi="Times New Roman" w:cs="Times New Roman"/>
          <w:sz w:val="24"/>
          <w:szCs w:val="24"/>
          <w:lang w:val="en-GB"/>
        </w:rPr>
        <w:t xml:space="preserve">a </w:t>
      </w:r>
      <w:r w:rsidR="00A00F36">
        <w:rPr>
          <w:rFonts w:ascii="Times New Roman" w:hAnsi="Times New Roman" w:cs="Times New Roman"/>
          <w:sz w:val="24"/>
          <w:szCs w:val="24"/>
          <w:lang w:val="en-GB"/>
        </w:rPr>
        <w:t>deep</w:t>
      </w:r>
      <w:r w:rsidRPr="75A96201">
        <w:rPr>
          <w:rFonts w:ascii="Times New Roman" w:hAnsi="Times New Roman" w:cs="Times New Roman"/>
          <w:sz w:val="24"/>
          <w:szCs w:val="24"/>
          <w:lang w:val="en-GB"/>
        </w:rPr>
        <w:t xml:space="preserve"> </w:t>
      </w:r>
      <w:r w:rsidR="00A00F36">
        <w:rPr>
          <w:rFonts w:ascii="Times New Roman" w:hAnsi="Times New Roman" w:cs="Times New Roman"/>
          <w:sz w:val="24"/>
          <w:szCs w:val="24"/>
          <w:lang w:val="en-GB"/>
        </w:rPr>
        <w:t>understanding</w:t>
      </w:r>
      <w:r w:rsidR="0038604C">
        <w:rPr>
          <w:rFonts w:ascii="Times New Roman" w:hAnsi="Times New Roman" w:cs="Times New Roman"/>
          <w:sz w:val="24"/>
          <w:szCs w:val="24"/>
          <w:lang w:val="en-GB"/>
        </w:rPr>
        <w:t xml:space="preserve"> of</w:t>
      </w:r>
      <w:r w:rsidRPr="75A96201">
        <w:rPr>
          <w:rFonts w:ascii="Times New Roman" w:hAnsi="Times New Roman" w:cs="Times New Roman"/>
          <w:sz w:val="24"/>
          <w:szCs w:val="24"/>
          <w:lang w:val="en-GB"/>
        </w:rPr>
        <w:t xml:space="preserve"> how MSPs may foster the creation of CSCs </w:t>
      </w:r>
      <w:r w:rsidR="0038604C">
        <w:rPr>
          <w:rFonts w:ascii="Times New Roman" w:hAnsi="Times New Roman" w:cs="Times New Roman"/>
          <w:sz w:val="24"/>
          <w:szCs w:val="24"/>
          <w:lang w:val="en-GB"/>
        </w:rPr>
        <w:t xml:space="preserve">within the existing research is </w:t>
      </w:r>
      <w:r w:rsidR="00791D89">
        <w:rPr>
          <w:rFonts w:ascii="Times New Roman" w:hAnsi="Times New Roman" w:cs="Times New Roman"/>
          <w:sz w:val="24"/>
          <w:szCs w:val="24"/>
          <w:lang w:val="en-GB"/>
        </w:rPr>
        <w:t xml:space="preserve">still </w:t>
      </w:r>
      <w:r w:rsidR="0038604C">
        <w:rPr>
          <w:rFonts w:ascii="Times New Roman" w:hAnsi="Times New Roman" w:cs="Times New Roman"/>
          <w:sz w:val="24"/>
          <w:szCs w:val="24"/>
          <w:lang w:val="en-GB"/>
        </w:rPr>
        <w:t xml:space="preserve">missing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{"citationItems":[{"id":"ITEM-1","itemData":{"DOI":"10.1007/s00550-018-0468-9","abstract":"Digital platforms may yield a host of advantages in putting circular economy into effect. This paper analyses the related chances and discusses requirements of digital platforms for the realization of a circular economy. It specifically points to potential solutions offered by digital platforms for existing barriers. From there it identifies issues that need specific attendance to create economically and ecologically functional platforms. Three economically relevant perspectives are discussed for this: a management perspective, a legislative perspective and a social/systems perspective.","author":[{"dropping-particle":"","family":"Berg","given":"Holger","non-dropping-particle":"","parse-names":false,"suffix":""},{"dropping-particle":"","family":"Wilts","given":"Henning","non-dropping-particle":"","parse-names":false,"suffix":""}],"id":"ITEM-1","issued":{"date-parts":[["2018"]]},"title":"Digital platforms as market places for the circular economy-requirements and challenges","type":"article-journal"},"uris":["http://www.mendeley.com/documents/?uuid=8e59d1ae-1e5d-3f30-b809-3ff6afad73df"]}],"mendeley":{"formattedCitation":"(Berg &amp; Wilts, 2018)","plainTextFormattedCitation":"(Berg &amp; Wilts, 2018)","previouslyFormattedCitation":"(Berg &amp; Wilts, 2018)"},"properties":{"noteIndex":0},"schema":"https://github.com/citation-style-language/schema/raw/master/csl-citation.json"}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(Berg &amp; Wilts, 2018)</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In other words, </w:t>
      </w:r>
      <w:r w:rsidR="00791D89">
        <w:rPr>
          <w:rFonts w:ascii="Times New Roman" w:hAnsi="Times New Roman" w:cs="Times New Roman"/>
          <w:sz w:val="24"/>
          <w:szCs w:val="24"/>
          <w:lang w:val="en-GB"/>
        </w:rPr>
        <w:t xml:space="preserve">existing literature </w:t>
      </w:r>
      <w:r w:rsidR="00C14FE9">
        <w:rPr>
          <w:rFonts w:ascii="Times New Roman" w:hAnsi="Times New Roman" w:cs="Times New Roman"/>
          <w:sz w:val="24"/>
          <w:szCs w:val="24"/>
          <w:lang w:val="en-GB"/>
        </w:rPr>
        <w:t>has not clearly identified</w:t>
      </w:r>
      <w:r w:rsidR="00A00F36">
        <w:rPr>
          <w:rFonts w:ascii="Times New Roman" w:hAnsi="Times New Roman" w:cs="Times New Roman"/>
          <w:sz w:val="24"/>
          <w:szCs w:val="24"/>
          <w:lang w:val="en-GB"/>
        </w:rPr>
        <w:t xml:space="preserve"> and analysed</w:t>
      </w:r>
      <w:r w:rsidR="00247672">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w:t>
      </w:r>
      <w:r w:rsidR="00C14FE9">
        <w:rPr>
          <w:rFonts w:ascii="Times New Roman" w:hAnsi="Times New Roman" w:cs="Times New Roman"/>
          <w:sz w:val="24"/>
          <w:szCs w:val="24"/>
          <w:lang w:val="en-GB"/>
        </w:rPr>
        <w:t>so far</w:t>
      </w:r>
      <w:r w:rsidR="00247672">
        <w:rPr>
          <w:rFonts w:ascii="Times New Roman" w:hAnsi="Times New Roman" w:cs="Times New Roman"/>
          <w:sz w:val="24"/>
          <w:szCs w:val="24"/>
          <w:lang w:val="en-GB"/>
        </w:rPr>
        <w:t>,</w:t>
      </w:r>
      <w:r w:rsidR="00C14FE9">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the</w:t>
      </w:r>
      <w:r w:rsidR="000F37E0">
        <w:rPr>
          <w:rFonts w:ascii="Times New Roman" w:hAnsi="Times New Roman" w:cs="Times New Roman"/>
          <w:sz w:val="24"/>
          <w:szCs w:val="24"/>
          <w:lang w:val="en-GB"/>
        </w:rPr>
        <w:t xml:space="preserve"> different</w:t>
      </w:r>
      <w:r w:rsidRPr="75A96201">
        <w:rPr>
          <w:rFonts w:ascii="Times New Roman" w:hAnsi="Times New Roman" w:cs="Times New Roman"/>
          <w:sz w:val="24"/>
          <w:szCs w:val="24"/>
          <w:lang w:val="en-GB"/>
        </w:rPr>
        <w:t xml:space="preserve"> roles that MSPs can play in enabling CSCs by favouring interactions among supply chain actors.</w:t>
      </w:r>
    </w:p>
    <w:p w14:paraId="487A9C7E" w14:textId="2131A25F" w:rsidR="00B93D26" w:rsidRDefault="00000000" w:rsidP="75A96201">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Within the research stream on MSPs, </w:t>
      </w:r>
      <w:r w:rsidR="00A67F39">
        <w:rPr>
          <w:rFonts w:ascii="Times New Roman" w:hAnsi="Times New Roman" w:cs="Times New Roman"/>
          <w:sz w:val="24"/>
          <w:szCs w:val="24"/>
          <w:lang w:val="en-GB"/>
        </w:rPr>
        <w:t xml:space="preserve">the </w:t>
      </w:r>
      <w:r w:rsidRPr="75A96201">
        <w:rPr>
          <w:rFonts w:ascii="Times New Roman" w:hAnsi="Times New Roman" w:cs="Times New Roman"/>
          <w:sz w:val="24"/>
          <w:szCs w:val="24"/>
          <w:lang w:val="en-GB"/>
        </w:rPr>
        <w:t>business-to-business (B2B) setting deserve</w:t>
      </w:r>
      <w:r w:rsidR="00A67F39">
        <w:rPr>
          <w:rFonts w:ascii="Times New Roman" w:hAnsi="Times New Roman" w:cs="Times New Roman"/>
          <w:sz w:val="24"/>
          <w:szCs w:val="24"/>
          <w:lang w:val="en-GB"/>
        </w:rPr>
        <w:t>s</w:t>
      </w:r>
      <w:r w:rsidRPr="75A96201">
        <w:rPr>
          <w:rFonts w:ascii="Times New Roman" w:hAnsi="Times New Roman" w:cs="Times New Roman"/>
          <w:sz w:val="24"/>
          <w:szCs w:val="24"/>
          <w:lang w:val="en-GB"/>
        </w:rPr>
        <w:t xml:space="preserve"> specific attention since </w:t>
      </w:r>
      <w:r w:rsidR="00A67F39">
        <w:rPr>
          <w:rFonts w:ascii="Times New Roman" w:hAnsi="Times New Roman" w:cs="Times New Roman"/>
          <w:sz w:val="24"/>
          <w:szCs w:val="24"/>
          <w:lang w:val="en-GB"/>
        </w:rPr>
        <w:t>i</w:t>
      </w:r>
      <w:r w:rsidRPr="75A96201">
        <w:rPr>
          <w:rFonts w:ascii="Times New Roman" w:hAnsi="Times New Roman" w:cs="Times New Roman"/>
          <w:sz w:val="24"/>
          <w:szCs w:val="24"/>
          <w:lang w:val="en-GB"/>
        </w:rPr>
        <w:t>t ha</w:t>
      </w:r>
      <w:r w:rsidR="00A67F39">
        <w:rPr>
          <w:rFonts w:ascii="Times New Roman" w:hAnsi="Times New Roman" w:cs="Times New Roman"/>
          <w:sz w:val="24"/>
          <w:szCs w:val="24"/>
          <w:lang w:val="en-GB"/>
        </w:rPr>
        <w:t>s</w:t>
      </w:r>
      <w:r w:rsidRPr="75A96201">
        <w:rPr>
          <w:rFonts w:ascii="Times New Roman" w:hAnsi="Times New Roman" w:cs="Times New Roman"/>
          <w:sz w:val="24"/>
          <w:szCs w:val="24"/>
          <w:lang w:val="en-GB"/>
        </w:rPr>
        <w:t xml:space="preserve"> been rather neglected compared to consumer-to-consumer (C2C) and business-to-consumer (B2C) settings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10.2139/SSRN.4399864","ISSN":"1556-5068","author":[{"dropping-particle":"","family":"Ritala","given":"Paavo","non-dropping-particle":"","parse-names":false,"suffix":""},{"dropping-particle":"","family":"Jovanovic","given":"Marin","non-dropping-particle":"","parse-names":false,"suffix":""}],"container-title":"SSRN Electronic Journal","id":"ITEM-1","issued":{"date-parts":[["2023","3","24"]]},"title":"Platformizers, Orchestrators, and Guardians: Three Types of B2B Platform Business Models","type":"article-journal"},"uris":["http://www.mendeley.com/documents/?uuid=3a8a61b6-6e21-3307-b890-1f54ca1edaad"]}],"mendeley":{"formattedCitation":"(Ritala &amp; Jovanovic, 2023)","plainTextFormattedCitation":"(Ritala &amp; Jovanovic, 2023)","previouslyFormattedCitation":"(Ritala &amp; Jovanovic, 2023)"},"properties":{"noteIndex":0},"schema":"https://github.com/citation-style-language/schema/raw/master/csl-citation.json"}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(Ritala &amp; Jovanovic, 2023)</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where platforms connect individuals or companies with individuals, respectively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{"citationItems":[{"id":"ITEM-1","itemData":{"DOI":"10.1016/J.INDMARMAN.2019.07.001","ISSN":"00198501","abstract":"Multi-sided platforms, enabling interactions between different user sides, hold an important place in the contemporary economy. Current literature, focusing on established and successful platforms, has neglected to study B2B multi-sided platform adoption mechanisms. In this article, we analyze these mechanisms by investigating the case of dematerialization platforms for B2B transactions between the multiple actors involved in public works contracts. Various qualitative materials, including 28 semi-structured interviews, were gathered over a thirty-month period. Adopting a business user perspective, this study contributes to the literature on multi-sided platforms in various ways. We show that platform adoption, in project-based B2B contexts, is mainly constrained by a high level of affiliation costs and the existence of tight-interdependencies between users' activities at project level. Thus, a consecutive adoption path would result in negative cross-group network externalities and undermine the platform's attractiveness. Conversely, a concurrent adoption path would activate positive network externalities and encourage platform adoption decisions.","author":[{"dropping-particle":"","family":"Loux","given":"Patrick","non-dropping-particle":"","parse-names":false,"suffix":""},{"dropping-particle":"","family":"Aubry","given":"Mathilde","non-dropping-particle":"","parse-names":false,"suffix":""},{"dropping-particle":"","family":"Tran","given":"Sébastien","non-dropping-particle":"","parse-names":false,"suffix":""},{"dropping-particle":"","family":"Baudoin","given":"Emmanuel","non-dropping-particle":"","parse-names":false,"suffix":""}],"container-title":"Industrial Marketing Management","id":"ITEM-1","issued":{"date-parts":[["2020","1","1"]]},"page":"212-223","publisher":"Elsevier Inc.","title":"Multi-sided platforms in B2B contexts: The role of affiliation costs and interdependencies in adoption decisions","type":"article-journal","volume":"84"},"uris":["http://www.mendeley.com/documents/?uuid=137e3e9d-9687-317a-bbbf-16d5b25baab9"]}],"mendeley":{"formattedCitation":"(Loux et al., 2020)","plainTextFormattedCitation":"(Loux et al., 2020)","previouslyFormattedCitation":"(Loux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(Loux et al.,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w:t>
      </w:r>
      <w:r w:rsidRPr="75A96201">
        <w:rPr>
          <w:rFonts w:ascii="Times New Roman" w:hAnsi="Times New Roman" w:cs="Times New Roman"/>
          <w:sz w:val="24"/>
          <w:szCs w:val="24"/>
          <w:lang w:val="en-US"/>
        </w:rPr>
        <w:t xml:space="preserve"> Interestingly, a</w:t>
      </w:r>
      <w:r w:rsidRPr="75A96201">
        <w:rPr>
          <w:rFonts w:ascii="Times New Roman" w:hAnsi="Times New Roman" w:cs="Times New Roman"/>
          <w:sz w:val="24"/>
          <w:szCs w:val="24"/>
          <w:lang w:val="en-GB"/>
        </w:rPr>
        <w:t xml:space="preserve"> recent interest in</w:t>
      </w:r>
      <w:r w:rsidR="00A67F39">
        <w:rPr>
          <w:rFonts w:ascii="Times New Roman" w:hAnsi="Times New Roman" w:cs="Times New Roman"/>
          <w:sz w:val="24"/>
          <w:szCs w:val="24"/>
          <w:lang w:val="en-GB"/>
        </w:rPr>
        <w:t xml:space="preserve"> the</w:t>
      </w:r>
      <w:r w:rsidRPr="75A96201">
        <w:rPr>
          <w:rFonts w:ascii="Times New Roman" w:hAnsi="Times New Roman" w:cs="Times New Roman"/>
          <w:sz w:val="24"/>
          <w:szCs w:val="24"/>
          <w:lang w:val="en-GB"/>
        </w:rPr>
        <w:t xml:space="preserve"> B2B setting has emerged</w:t>
      </w:r>
      <w:r w:rsidR="00A67F39">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since MSPs can reduce friction and increase efficiency in interaction processes among B2B players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{"citationItems":[{"id":"ITEM-1","itemData":{"DOI":"10.4236/AJIBM.2019.97105","ISSN":"2164-5167","abstract":"Technology advances continue to create opportunities to streamline business models. GPS, IoT and Cloud computing enable application development that features greater capabilities. By developing Multi-sided platforms, firms can better balance demand and capacity among buyers, suppliers and partners. Nurturing an asset-light ecosystem enables more direct, efficient and real-time commerce. The following study illustrates a path for growth by an incumbent operator. Balancing user requests versus enterprise capacity while bringing on-stream capital expenditures was never easy. Customer’s dissatisfaction and profit setbacks often occur when consumption, production and fulfilment are out-of-balance until a stable equilibrium is determined. The quest to acquire customers and expand market share is prompting firms to innovate with a strategic digital platform to leverage new capabilities, efficiencies and insights. This paper offers a framework to improve business models that face hardships due to shifting customer preferences, popularity fads and mounting infrastructure investments.","author":[{"dropping-particle":"","family":"Fisher","given":"Cameron","non-dropping-particle":"","parse-names":false,"suffix":""},{"dropping-particle":"","family":"Fisher","given":"Cameron","non-dropping-particle":"","parse-names":false,"suffix":""}],"container-title":"American Journal of Industrial and Business Management","id":"ITEM-1","issue":"7","issued":{"date-parts":[["2019","7","18"]]},"page":"1596-1624","publisher":"Scientific Research Publishing","title":"Create Multi-Sided Platforms to Balance Demand and Capacity","type":"article-journal","volume":"9"},"uris":["http://www.mendeley.com/documents/?uuid=603cda8d-e976-3b74-bdbf-b5623a89e628"]},{"id":"ITEM-2","itemData":{"DOI":"10.1287/MNSC.2020.3730","ISSN":"15265501","abstract":"We study the growth of online peer-to-peer markets. Using data from TaskRabbit, an expanding marketplace for domestic tasks at the time of our study, we show that growth varies considerably across ...","author":[{"dropping-particle":"","family":"Cullen","given":"Zoë","non-dropping-particle":"","parse-names":false,"suffix":""},{"dropping-particle":"","family":"Farronato","given":"Chiara","non-dropping-particle":"","parse-names":false,"suffix":""}],"container-title":"https://doi.org/10.1287/mnsc.2020.3730","id":"ITEM-2","issue":"7","issued":{"date-parts":[["2020","10","7"]]},"page":"3985-4003","publisher":" INFORMS ","title":"Outsourcing Tasks Online: Matching Supply and Demand on Peer-to-Peer Internet Platforms","type":"article-journal","volume":"67"},"uris":["http://www.mendeley.com/documents/?uuid=0cfe8c72-b268-39ed-a724-ca9722285531"]},{"id":"ITEM-3","itemData":{"DOI":"10.1108/EJIM-11-2020-0467/FULL/PDF","ISSN":"14601060","abstract":"Purpose: This article is based on a systematic and comprehensive review of the literature on two-sided platforms, the business structure based on the concept of matchmaking groups of customers (e.g. Uber or Airbnb). The research aims to identify gaps in the existing literature while providing a structured summary of the existing knowledge in the field. Finally, we propose a conceptual framework enabling platform thinking, the ability to see hybrid multi-sided platforms as a useful resource-orchestration structure to unveil innovation opportunities. Design/methodology/approach: This study adopts a bibliometric approach, combing co-citation and text mining analyses of 196 papers, also implementing a longitudinal analysis that highlights the evolution of the field since its inception till today. Findings: The novel aspect of the paper consists in taking a purely managerial stance of a very peculiar kind of platform, merging existing knowledge in comprehensive frameworks while providing potential avenues for research. Research limitations/implications: From an academic perspective, this research highlights the double nature of two-sided platforms: as an operational choice or as a way to exploit (digital) assets and reach the economic sustainability. A research agenda is proposed, based on three pillars: a side-based standpoint, a business model perspective and an evolutionary stance to see how these businesses may evolve. Practical implications: The research identifies different literature streams that may help practitioners in identifying how two-sided platforms may help them in fostering innovation. Originality/value: The identification of two-sided platforms as a different way to create value (transaction platforms) or to capture value (non-transaction platform), enhancing the debate on this innovative business model. A research agenda to bring the field forward is proposed.","author":[{"dropping-particle":"","family":"Trabucchi","given":"Daniel","non-dropping-particle":"","parse-names":false,"suffix":""},{"dropping-particle":"","family":"Buganza","given":"Tommaso","non-dropping-particle":"","parse-names":false,"suffix":""}],"container-title":"European Journal of Innovation Management","id":"ITEM-3","issue":"6","issued":{"date-parts":[["2021"]]},"page":"64-96","publisher":"Emerald Group Holdings Ltd.","title":"Landlords with no lands: a systematic literature review on hybrid multi-sided platforms and platform thinking","type":"article-journal","volume":"25"},"uris":["http://www.mendeley.com/documents/?uuid=4ccefc13-cefd-36d8-b0d3-a96b05815cb0"]}],"mendeley":{"formattedCitation":"(Cullen &amp; Farronato, 2020; Fisher &amp; Fisher, 2019; Trabucchi &amp; Buganza, 2021)","plainTextFormattedCitation":"(Cullen &amp; Farronato, 2020; Fisher &amp; Fisher, 2019; Trabucchi &amp; Buganza, 2021)","previouslyFormattedCitation":"(Cullen &amp; Farronato, 2020; Fisher &amp; Fisher, 2019; Trabucchi &amp; Buganza, 2021)"},"properties":{"noteIndex":0},"schema":"https://github.com/citation-style-language/schema/raw/master/csl-citation.json"}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(Cullen &amp; Farronato, 2020; Fisher &amp; Fisher, 2019; Trabucchi &amp; Buganza, 2021)</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However, MSPs struggle to be established in </w:t>
      </w:r>
      <w:r w:rsidR="00A67F39">
        <w:rPr>
          <w:rFonts w:ascii="Times New Roman" w:hAnsi="Times New Roman" w:cs="Times New Roman"/>
          <w:sz w:val="24"/>
          <w:szCs w:val="24"/>
          <w:lang w:val="en-GB"/>
        </w:rPr>
        <w:t xml:space="preserve">the </w:t>
      </w:r>
      <w:r w:rsidRPr="75A96201">
        <w:rPr>
          <w:rFonts w:ascii="Times New Roman" w:hAnsi="Times New Roman" w:cs="Times New Roman"/>
          <w:sz w:val="24"/>
          <w:szCs w:val="24"/>
          <w:lang w:val="en-GB"/>
        </w:rPr>
        <w:t xml:space="preserve">B2B setting, due to complex interaction processes in fragmented value chains </w:t>
      </w:r>
      <w:r w:rsidRPr="75A96201">
        <w:rPr>
          <w:rFonts w:ascii="Times New Roman" w:hAnsi="Times New Roman" w:cs="Times New Roman"/>
          <w:sz w:val="24"/>
          <w:szCs w:val="24"/>
          <w:lang w:val="en-GB"/>
        </w:rPr>
        <w:fldChar w:fldCharType="begin" w:fldLock="1"/>
      </w:r>
      <w:r w:rsidR="00282DE6">
        <w:rPr>
          <w:rFonts w:ascii="Times New Roman" w:hAnsi="Times New Roman" w:cs="Times New Roman"/>
          <w:sz w:val="24"/>
          <w:szCs w:val="24"/>
          <w:lang w:val="en-GB"/>
        </w:rPr>
        <w:instrText>ADDIN CSL_CITATION {"citationItems":[{"id":"ITEM-1","itemData":{"DOI":"10.1007/S12525-019-00377-4/TABLES/1","ISSN":"14228890","abstract":"Digital platforms are an omnipresent phenomenon that challenges incumbents by changing how we consume and provide digital products and services. Whereas traditional firms create value within the boundaries of a company or a supply chain, digital platforms utilize an ecosystem of autonomous agents to co-create value. Scholars from various disciplines, such as economics, technology management, and information systems have taken different perspectives on digital platform ecosystems. In this Fundamentals article, we first synthesize research on digital platforms and digital platform ecosystems to provide a definition that integrates both concepts. Second, we use this definition to explain how different digital platform ecosystems vary according to three core building blocks: (1) platform ownership, (2) value-creating mechanisms, and (3) complementor autonomy. We conclude by giving an outlook on four overarching research areas that connect the building blocks: (1) technical properties and value creation; (2) complementor interaction with the ecosystem; (3) value capture; and (4) the make-or-join decision in digital platform ecosystems.","author":[{"dropping-particle":"","family":"Hein","given":"Andreas","non-dropping-particle":"","parse-names":false,"suffix":""},{"dropping-particle":"","family":"Schreieck","given":"Maximilian","non-dropping-particle":"","parse-names":false,"suffix":""},{"dropping-particle":"","family":"Riasanow","given":"Tobias","non-dropping-particle":"","parse-names":false,"suffix":""},{"dropping-particle":"","family":"Setzke","given":"David Soto","non-dropping-particle":"","parse-names":false,"suffix":""},{"dropping-particle":"","family":"Wiesche","given":"Manuel","non-dropping-particle":"","parse-names":false,"suffix":""},{"dropping-particle":"","family":"Böhm","given":"Markus","non-dropping-particle":"","parse-names":false,"suffix":""},{"dropping-particle":"","family":"Krcmar","given":"Helmut","non-dropping-particle":"","parse-names":false,"suffix":""}],"container-title":"Electronic Markets","id":"ITEM-1","issue":"1","issued":{"date-parts":[["2020","3","1"]]},"page":"87-98","publisher":"Springer","title":"Digital platform ecosystems","type":"article-journal","volume":"30"},"uris":["http://www.mendeley.com/documents/?uuid=429c9122-c1b4-3e20-9cca-73dd6532652b"]},{"id":"ITEM-2","itemData":{"DOI":"10.1007/S12525-019-00382-7/FIGURES/11","ISSN":"14228890","abstract":"Although multi-sided platforms (MSPs) and their diffusion in B2C contexts received heightened attention in recent literature, there is still a dearth of research on MSP diffusion inhibitors in competitive B2B networks. Using the air cargo hub in Frankfurt, Germany, as highly competitive B2B network which struggles with the acceptance of an MSP for over 10 years, we applied a grounded theory approach to identify key inhibitors to MSP diffusion. Based on several interviews with a diverse set of stakeholders and a systematic coding procedure, we identified 21 factors inhibiting MSP diffusion. The majority of these factors slows down or even thwarts positive network effects, typically occurring on MSPs. Furthermore, we derive a classification showing that the inhibiting factors primarily hamper cross-side network effects in highly competitive B2B networks, and to a lesser degree also same-side and mixed-side network effects. Finally, implications of these results and future research directions are discussed.","author":[{"dropping-particle":"","family":"Wallbach","given":"Sören","non-dropping-particle":"","parse-names":false,"suffix":""},{"dropping-particle":"","family":"Coleman","given":"Katrin","non-dropping-particle":"","parse-names":false,"suffix":""},{"dropping-particle":"","family":"Elbert","given":"Ralf","non-dropping-particle":"","parse-names":false,"suffix":""},{"dropping-particle":"","family":"Benlian","given":"Alexander","non-dropping-particle":"","parse-names":false,"suffix":""}],"container-title":"Electronic Markets","id":"ITEM-2","issue":"4","issued":{"date-parts":[["2019","12","1"]]},"page":"693-710","publisher":"Springer","title":"Multi-sided platform diffusion in competitive B2B networks: inhibiting factors and their impact on network effects","type":"article-journal","volume":"29"},"uris":["http://www.mendeley.com/documents/?uuid=6e452147-c571-3bd9-929a-e2bc4bf0c91f"]}],"mendeley":{"formattedCitation":"(Hein et al., 2020; Wallbach et al., 2019)","manualFormatting":"(Hein et al., 2020; Wallbach et al., 2019).","plainTextFormattedCitation":"(Hein et al., 2020; Wallbach et al., 2019)","previouslyFormattedCitation":"(Hein et al., 2020; Wallbach et al., 2019)"},"properties":{"noteIndex":0},"schema":"https://github.com/citation-style-language/schema/raw/master/csl-citation.json"}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(Hein et al., 2020; Wallbach et al., 2019).</w:t>
      </w:r>
      <w:r w:rsidRPr="75A96201">
        <w:rPr>
          <w:rFonts w:ascii="Times New Roman" w:hAnsi="Times New Roman" w:cs="Times New Roman"/>
          <w:sz w:val="24"/>
          <w:szCs w:val="24"/>
          <w:lang w:val="en-GB"/>
        </w:rPr>
        <w:fldChar w:fldCharType="end"/>
      </w:r>
      <w:r w:rsidRPr="75A96201">
        <w:rPr>
          <w:rFonts w:ascii="Times New Roman" w:hAnsi="Times New Roman" w:cs="Times New Roman"/>
          <w:noProof/>
          <w:sz w:val="24"/>
          <w:szCs w:val="24"/>
          <w:lang w:val="en-GB"/>
        </w:rPr>
        <w:t xml:space="preserve"> </w:t>
      </w:r>
    </w:p>
    <w:p w14:paraId="7C3FAAD1" w14:textId="68938052" w:rsidR="00B93D26" w:rsidRDefault="00000000" w:rsidP="00C14FE9">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Starting from the premises above, the paper takes a first step in addressing the gaps in existing research by addressing the following research question:</w:t>
      </w:r>
      <w:r w:rsidRPr="75A96201">
        <w:rPr>
          <w:rFonts w:ascii="Times New Roman" w:hAnsi="Times New Roman" w:cs="Times New Roman"/>
          <w:i/>
          <w:iCs/>
          <w:sz w:val="24"/>
          <w:szCs w:val="24"/>
          <w:lang w:val="en-GB"/>
        </w:rPr>
        <w:t xml:space="preserve"> “How do MSPs enable CSCs in </w:t>
      </w:r>
      <w:r w:rsidR="00241366">
        <w:rPr>
          <w:rFonts w:ascii="Times New Roman" w:hAnsi="Times New Roman" w:cs="Times New Roman"/>
          <w:i/>
          <w:iCs/>
          <w:sz w:val="24"/>
          <w:szCs w:val="24"/>
          <w:lang w:val="en-GB"/>
        </w:rPr>
        <w:t>the</w:t>
      </w:r>
      <w:r w:rsidR="00241366" w:rsidRPr="75A96201">
        <w:rPr>
          <w:rFonts w:ascii="Times New Roman" w:hAnsi="Times New Roman" w:cs="Times New Roman"/>
          <w:i/>
          <w:iCs/>
          <w:sz w:val="24"/>
          <w:szCs w:val="24"/>
          <w:lang w:val="en-GB"/>
        </w:rPr>
        <w:t xml:space="preserve"> </w:t>
      </w:r>
      <w:r w:rsidRPr="75A96201">
        <w:rPr>
          <w:rFonts w:ascii="Times New Roman" w:hAnsi="Times New Roman" w:cs="Times New Roman"/>
          <w:i/>
          <w:iCs/>
          <w:sz w:val="24"/>
          <w:szCs w:val="24"/>
          <w:lang w:val="en-GB"/>
        </w:rPr>
        <w:t xml:space="preserve">B2B setting?”. </w:t>
      </w:r>
      <w:r w:rsidR="009E4CC9" w:rsidRPr="001061A4">
        <w:rPr>
          <w:rFonts w:ascii="Times New Roman" w:hAnsi="Times New Roman" w:cs="Times New Roman"/>
          <w:sz w:val="24"/>
          <w:szCs w:val="24"/>
          <w:lang w:val="en-GB"/>
        </w:rPr>
        <w:t>Answering this research question</w:t>
      </w:r>
      <w:r w:rsidR="009E4CC9">
        <w:rPr>
          <w:rFonts w:ascii="Times New Roman" w:hAnsi="Times New Roman" w:cs="Times New Roman"/>
          <w:sz w:val="24"/>
          <w:szCs w:val="24"/>
          <w:lang w:val="en-GB"/>
        </w:rPr>
        <w:t xml:space="preserve"> means providing a comprehensive understanding </w:t>
      </w:r>
      <w:r w:rsidR="005C2ECB">
        <w:rPr>
          <w:rFonts w:ascii="Times New Roman" w:hAnsi="Times New Roman" w:cs="Times New Roman"/>
          <w:sz w:val="24"/>
          <w:szCs w:val="24"/>
          <w:lang w:val="en-GB"/>
        </w:rPr>
        <w:t>of</w:t>
      </w:r>
      <w:r w:rsidR="009E4CC9">
        <w:rPr>
          <w:rFonts w:ascii="Times New Roman" w:hAnsi="Times New Roman" w:cs="Times New Roman"/>
          <w:sz w:val="24"/>
          <w:szCs w:val="24"/>
          <w:lang w:val="en-GB"/>
        </w:rPr>
        <w:t xml:space="preserve"> the different roles that MSPs can play in the context under investigation.</w:t>
      </w:r>
      <w:r w:rsidR="009E4CC9">
        <w:rPr>
          <w:rFonts w:ascii="Times New Roman" w:hAnsi="Times New Roman" w:cs="Times New Roman"/>
          <w:i/>
          <w:iCs/>
          <w:sz w:val="24"/>
          <w:szCs w:val="24"/>
          <w:lang w:val="en-GB"/>
        </w:rPr>
        <w:t xml:space="preserve"> </w:t>
      </w:r>
      <w:r w:rsidR="009E4CC9">
        <w:rPr>
          <w:rFonts w:ascii="Times New Roman" w:hAnsi="Times New Roman" w:cs="Times New Roman"/>
          <w:sz w:val="24"/>
          <w:szCs w:val="24"/>
          <w:lang w:val="en-GB"/>
        </w:rPr>
        <w:t>Accordingly</w:t>
      </w:r>
      <w:r w:rsidRPr="75A96201">
        <w:rPr>
          <w:rFonts w:ascii="Times New Roman" w:hAnsi="Times New Roman" w:cs="Times New Roman"/>
          <w:sz w:val="24"/>
          <w:szCs w:val="24"/>
          <w:lang w:val="en-GB"/>
        </w:rPr>
        <w:t xml:space="preserve">, the paper develops a taxonomy of MSPs enabling CSCs in </w:t>
      </w:r>
      <w:r w:rsidR="00CD2ECE">
        <w:rPr>
          <w:rFonts w:ascii="Times New Roman" w:hAnsi="Times New Roman" w:cs="Times New Roman"/>
          <w:sz w:val="24"/>
          <w:szCs w:val="24"/>
          <w:lang w:val="en-GB"/>
        </w:rPr>
        <w:t>the</w:t>
      </w:r>
      <w:r w:rsidR="00CD2EC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by leveraging existing literature as well as an empirical analysis. A taxonomy is an empirical-based classification of cases (unlike typologies, which are conceptual-based), with the aim to classify cases according to their measured similarity on observed variables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{"citationItems":[{"id":"ITEM-1","itemData":{"author":[{"dropping-particle":"","family":"Bailey","given":"K. D.","non-dropping-particle":"","parse-names":false,"suffix":""}],"editor":[{"dropping-particle":"","family":"Sage","given":"","non-dropping-particle":"","parse-names":false,"suffix":""}],"id":"ITEM-1","issued":{"date-parts":[["1994"]]},"title":"Typologies and Taxonomies: An Introduction to Classification Techniques - Kenneth D. Bailey - Google Libri","type":"book","volume":"102"},"uris":["http://www.mendeley.com/documents/?uuid=a99f01d7-abac-3ebe-8890-83d6ef6b5b14"]},{"id":"ITEM-2","itemData":{"DOI":"10.1108/01409170810851294/FULL/PDF","ISSN":"01409174","abstract":"Purpose: This paper aims to review state-of-the-art literature on typologies and taxonomies of operations strategy in order to propose generic operations strategies in industrial companies from a theoretical viewpoint. Design/methodology/approach: Typologies and taxonomies are defined and characterised; both concepts delimit the generic configurations model. Then examine the state of the research on configuration analysis relating to operations strategy is examined. For this purpose articles published in 17 important journals in the field of production and operations management from the 1980s to the year 2006 are analysed. Findings: This review allows one to identify three generic operations strategies commonly accepted in the literature. Research limitations/implications: This research deserves much more attention, both theoretical and empirical, in order to analyse the existing classifications and develop new classifications of operations strategy. Practical implications: Knowledge of generic operations strategies may help managers to design and implement a strategy that allows their firm to exploit the full potential of its manufacturing resources, and to achieve better results. The literature review contributes to theory development and provides a means of understanding the strategic position of operations. Originality/value: Despite considerable interest in research on configurations in the study of organisation and business strategy there has not been much effort to examine the current state or even the future development of generic configurations in the operations strategy field. This paper fills this gap. © Emerald Group Publishing Limited.","author":[{"dropping-particle":"","family":"Martín-Peña","given":"María Luz","non-dropping-particle":"","parse-names":false,"suffix":""},{"dropping-particle":"","family":"Díaz-Garrido","given":"Eloísa","non-dropping-particle":"","parse-names":false,"suffix":""}],"container-title":"Management Research News","id":"ITEM-2","issue":"3","issued":{"date-parts":[["2008"]]},"page":"200-218","publisher":"Emerald Group Publishing Limited","title":"Typologies and taxonomies of operations strategy: A literature review","type":"article-journal","volume":"31"},"uris":["http://www.mendeley.com/documents/?uuid=6a7c3b84-c8ec-3a5f-8c0c-a74a5a44baa4"]}],"mendeley":{"formattedCitation":"(Bailey, 1994; Martín-Peña &amp; Díaz-Garrido, 2008)","plainTextFormattedCitation":"(Bailey, 1994; Martín-Peña &amp; Díaz-Garrido, 2008)","previouslyFormattedCitation":"(Bailey, 1994; Martín-Peña &amp; Díaz-Garrido, 2008)"},"properties":{"noteIndex":0},"schema":"https://github.com/citation-style-language/schema/raw/master/csl-citation.json"}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(Bailey, 1994; Martín-Peña &amp; Díaz-Garrido, 2008)</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The empirical analysis </w:t>
      </w:r>
      <w:r w:rsidR="00CD2ECE">
        <w:rPr>
          <w:rFonts w:ascii="Times New Roman" w:hAnsi="Times New Roman" w:cs="Times New Roman"/>
          <w:sz w:val="24"/>
          <w:szCs w:val="24"/>
          <w:lang w:val="en-GB"/>
        </w:rPr>
        <w:t>included</w:t>
      </w:r>
      <w:r w:rsidR="00CD2EC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26 MSPs enabl</w:t>
      </w:r>
      <w:r w:rsidR="003F0D90">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CSCs in </w:t>
      </w:r>
      <w:r w:rsidR="00CD2ECE">
        <w:rPr>
          <w:rFonts w:ascii="Times New Roman" w:hAnsi="Times New Roman" w:cs="Times New Roman"/>
          <w:sz w:val="24"/>
          <w:szCs w:val="24"/>
          <w:lang w:val="en-GB"/>
        </w:rPr>
        <w:t>the</w:t>
      </w:r>
      <w:r w:rsidR="00CD2EC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which have been sampled through the involvement of </w:t>
      </w:r>
      <w:r w:rsidRPr="75A96201">
        <w:rPr>
          <w:rFonts w:ascii="Times New Roman" w:hAnsi="Times New Roman" w:cs="Times New Roman"/>
          <w:sz w:val="24"/>
          <w:szCs w:val="24"/>
          <w:lang w:val="en-US"/>
        </w:rPr>
        <w:t xml:space="preserve">a panel of experts </w:t>
      </w:r>
      <w:r w:rsidRPr="75A96201">
        <w:rPr>
          <w:rFonts w:ascii="Times New Roman" w:hAnsi="Times New Roman" w:cs="Times New Roman"/>
          <w:sz w:val="24"/>
          <w:szCs w:val="24"/>
          <w:lang w:val="en-GB"/>
        </w:rPr>
        <w:t xml:space="preserve">into this research area and analysed through a Delphi method. The </w:t>
      </w:r>
      <w:r w:rsidRPr="75A96201">
        <w:rPr>
          <w:rFonts w:ascii="Times New Roman" w:hAnsi="Times New Roman" w:cs="Times New Roman"/>
          <w:sz w:val="24"/>
          <w:szCs w:val="24"/>
          <w:lang w:val="en-GB"/>
        </w:rPr>
        <w:lastRenderedPageBreak/>
        <w:t xml:space="preserve">proposed taxonomy includes six clusters of </w:t>
      </w:r>
      <w:r w:rsidR="00DC1727">
        <w:rPr>
          <w:rFonts w:ascii="Times New Roman" w:hAnsi="Times New Roman" w:cs="Times New Roman"/>
          <w:sz w:val="24"/>
          <w:szCs w:val="24"/>
          <w:lang w:val="en-GB"/>
        </w:rPr>
        <w:t>MSPs</w:t>
      </w:r>
      <w:r w:rsidRPr="75A96201">
        <w:rPr>
          <w:rFonts w:ascii="Times New Roman" w:hAnsi="Times New Roman" w:cs="Times New Roman"/>
          <w:sz w:val="24"/>
          <w:szCs w:val="24"/>
          <w:lang w:val="en-GB"/>
        </w:rPr>
        <w:t xml:space="preserve"> enabling CSCs in </w:t>
      </w:r>
      <w:r w:rsidR="00CD2ECE">
        <w:rPr>
          <w:rFonts w:ascii="Times New Roman" w:hAnsi="Times New Roman" w:cs="Times New Roman"/>
          <w:sz w:val="24"/>
          <w:szCs w:val="24"/>
          <w:lang w:val="en-GB"/>
        </w:rPr>
        <w:t>the</w:t>
      </w:r>
      <w:r w:rsidR="00CD2EC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B2B setting</w:t>
      </w:r>
      <w:r w:rsidR="00C14FE9">
        <w:rPr>
          <w:rFonts w:ascii="Times New Roman" w:hAnsi="Times New Roman" w:cs="Times New Roman"/>
          <w:sz w:val="24"/>
          <w:szCs w:val="24"/>
          <w:lang w:val="en-GB"/>
        </w:rPr>
        <w:t xml:space="preserve">, each one </w:t>
      </w:r>
      <w:r w:rsidR="00DC1727">
        <w:rPr>
          <w:rFonts w:ascii="Times New Roman" w:hAnsi="Times New Roman" w:cs="Times New Roman"/>
          <w:sz w:val="24"/>
          <w:szCs w:val="24"/>
          <w:lang w:val="en-GB"/>
        </w:rPr>
        <w:t>representing</w:t>
      </w:r>
      <w:r w:rsidR="00C14FE9">
        <w:rPr>
          <w:rFonts w:ascii="Times New Roman" w:hAnsi="Times New Roman" w:cs="Times New Roman"/>
          <w:sz w:val="24"/>
          <w:szCs w:val="24"/>
          <w:lang w:val="en-GB"/>
        </w:rPr>
        <w:t xml:space="preserve"> a specific role that a</w:t>
      </w:r>
      <w:r w:rsidR="00C14FE9" w:rsidRPr="75A96201">
        <w:rPr>
          <w:rFonts w:ascii="Times New Roman" w:hAnsi="Times New Roman" w:cs="Times New Roman"/>
          <w:sz w:val="24"/>
          <w:szCs w:val="24"/>
          <w:lang w:val="en-GB"/>
        </w:rPr>
        <w:t xml:space="preserve"> MSP can play in enabling CSCs.</w:t>
      </w:r>
    </w:p>
    <w:p w14:paraId="31891028" w14:textId="38F588EF" w:rsidR="00B93D26" w:rsidRDefault="00000000" w:rsidP="00AE6C94">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From a theoretical point of view, the study represents </w:t>
      </w:r>
      <w:r w:rsidR="003F0D90">
        <w:rPr>
          <w:rFonts w:ascii="Times New Roman" w:hAnsi="Times New Roman" w:cs="Times New Roman"/>
          <w:sz w:val="24"/>
          <w:szCs w:val="24"/>
          <w:lang w:val="en-GB"/>
        </w:rPr>
        <w:t>the</w:t>
      </w:r>
      <w:r w:rsidR="003F0D90"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first attempt to provide an overarching conceptualization of MSPs enabl</w:t>
      </w:r>
      <w:r w:rsidR="00D77733">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CSCs in </w:t>
      </w:r>
      <w:r w:rsidR="00CD72EE">
        <w:rPr>
          <w:rFonts w:ascii="Times New Roman" w:hAnsi="Times New Roman" w:cs="Times New Roman"/>
          <w:sz w:val="24"/>
          <w:szCs w:val="24"/>
          <w:lang w:val="en-GB"/>
        </w:rPr>
        <w:t>the</w:t>
      </w:r>
      <w:r w:rsidR="00CD72E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B2B setting</w:t>
      </w:r>
      <w:r w:rsidR="00AE6C94">
        <w:rPr>
          <w:rFonts w:ascii="Times New Roman" w:hAnsi="Times New Roman" w:cs="Times New Roman"/>
          <w:sz w:val="24"/>
          <w:szCs w:val="24"/>
          <w:lang w:val="en-GB"/>
        </w:rPr>
        <w:t xml:space="preserve">, by </w:t>
      </w:r>
      <w:r w:rsidRPr="75A96201">
        <w:rPr>
          <w:rFonts w:ascii="Times New Roman" w:hAnsi="Times New Roman" w:cs="Times New Roman"/>
          <w:sz w:val="24"/>
          <w:szCs w:val="24"/>
          <w:lang w:val="en-GB"/>
        </w:rPr>
        <w:t>shed</w:t>
      </w:r>
      <w:r w:rsidR="00AE6C94">
        <w:rPr>
          <w:rFonts w:ascii="Times New Roman" w:hAnsi="Times New Roman" w:cs="Times New Roman"/>
          <w:sz w:val="24"/>
          <w:szCs w:val="24"/>
          <w:lang w:val="en-GB"/>
        </w:rPr>
        <w:t>ding</w:t>
      </w:r>
      <w:r w:rsidRPr="75A96201">
        <w:rPr>
          <w:rFonts w:ascii="Times New Roman" w:hAnsi="Times New Roman" w:cs="Times New Roman"/>
          <w:sz w:val="24"/>
          <w:szCs w:val="24"/>
          <w:lang w:val="en-GB"/>
        </w:rPr>
        <w:t xml:space="preserve"> light on the different roles MSPs can play </w:t>
      </w:r>
      <w:r w:rsidRPr="75A96201">
        <w:rPr>
          <w:rFonts w:ascii="Times New Roman" w:eastAsiaTheme="majorEastAsia" w:hAnsi="Times New Roman" w:cs="Times New Roman"/>
          <w:sz w:val="24"/>
          <w:szCs w:val="24"/>
          <w:lang w:val="en-GB"/>
        </w:rPr>
        <w:t>to favour inter-organizational collaborations</w:t>
      </w:r>
      <w:r w:rsidRPr="75A96201">
        <w:rPr>
          <w:rFonts w:ascii="Times New Roman" w:hAnsi="Times New Roman" w:cs="Times New Roman"/>
          <w:sz w:val="24"/>
          <w:szCs w:val="24"/>
          <w:lang w:val="en-GB"/>
        </w:rPr>
        <w:t xml:space="preserve"> as well </w:t>
      </w:r>
      <w:r w:rsidR="002D293F">
        <w:rPr>
          <w:rFonts w:ascii="Times New Roman" w:hAnsi="Times New Roman" w:cs="Times New Roman"/>
          <w:sz w:val="24"/>
          <w:szCs w:val="24"/>
          <w:lang w:val="en-GB"/>
        </w:rPr>
        <w:t>as the</w:t>
      </w:r>
      <w:r w:rsidRPr="75A96201">
        <w:rPr>
          <w:rFonts w:ascii="Times New Roman" w:hAnsi="Times New Roman" w:cs="Times New Roman"/>
          <w:sz w:val="24"/>
          <w:szCs w:val="24"/>
          <w:lang w:val="en-GB"/>
        </w:rPr>
        <w:t xml:space="preserve"> most significant differences among them. </w:t>
      </w:r>
      <w:r w:rsidR="00916DB8">
        <w:rPr>
          <w:rFonts w:ascii="Times New Roman" w:hAnsi="Times New Roman" w:cs="Times New Roman"/>
          <w:sz w:val="24"/>
          <w:szCs w:val="24"/>
          <w:lang w:val="en-GB"/>
        </w:rPr>
        <w:t xml:space="preserve">Accordingly, the proposed taxonomy </w:t>
      </w:r>
      <w:r w:rsidR="003173DF" w:rsidRPr="003173DF">
        <w:rPr>
          <w:rFonts w:ascii="Times New Roman" w:hAnsi="Times New Roman" w:cs="Times New Roman"/>
          <w:sz w:val="24"/>
          <w:szCs w:val="24"/>
          <w:lang w:val="en-GB"/>
        </w:rPr>
        <w:t xml:space="preserve">will help to </w:t>
      </w:r>
      <w:r w:rsidR="003173DF">
        <w:rPr>
          <w:rFonts w:ascii="Times New Roman" w:hAnsi="Times New Roman" w:cs="Times New Roman"/>
          <w:sz w:val="24"/>
          <w:szCs w:val="24"/>
          <w:lang w:val="en-GB"/>
        </w:rPr>
        <w:t>draft</w:t>
      </w:r>
      <w:r w:rsidR="003173DF" w:rsidRPr="003173DF">
        <w:rPr>
          <w:rFonts w:ascii="Times New Roman" w:hAnsi="Times New Roman" w:cs="Times New Roman"/>
          <w:sz w:val="24"/>
          <w:szCs w:val="24"/>
          <w:lang w:val="en-GB"/>
        </w:rPr>
        <w:t xml:space="preserve"> a future scientific agenda through </w:t>
      </w:r>
      <w:r w:rsidR="003173DF">
        <w:rPr>
          <w:rFonts w:ascii="Times New Roman" w:hAnsi="Times New Roman" w:cs="Times New Roman"/>
          <w:sz w:val="24"/>
          <w:szCs w:val="24"/>
          <w:lang w:val="en-GB"/>
        </w:rPr>
        <w:t>a systematization of the MSPs’ roles to enable CSCs</w:t>
      </w:r>
      <w:r w:rsidR="003173DF" w:rsidRPr="00267CCA">
        <w:rPr>
          <w:rFonts w:ascii="Times New Roman" w:hAnsi="Times New Roman" w:cs="Times New Roman"/>
          <w:sz w:val="24"/>
          <w:szCs w:val="24"/>
          <w:lang w:val="en-GB"/>
        </w:rPr>
        <w:t xml:space="preserve"> </w:t>
      </w:r>
      <w:r w:rsidR="003173DF">
        <w:rPr>
          <w:rFonts w:ascii="Times New Roman" w:hAnsi="Times New Roman" w:cs="Times New Roman"/>
          <w:sz w:val="24"/>
          <w:szCs w:val="24"/>
          <w:lang w:val="en-GB"/>
        </w:rPr>
        <w:t xml:space="preserve">in </w:t>
      </w:r>
      <w:r w:rsidR="00CD72EE">
        <w:rPr>
          <w:rFonts w:ascii="Times New Roman" w:hAnsi="Times New Roman" w:cs="Times New Roman"/>
          <w:sz w:val="24"/>
          <w:szCs w:val="24"/>
          <w:lang w:val="en-GB"/>
        </w:rPr>
        <w:t xml:space="preserve">the </w:t>
      </w:r>
      <w:r w:rsidR="003173DF">
        <w:rPr>
          <w:rFonts w:ascii="Times New Roman" w:hAnsi="Times New Roman" w:cs="Times New Roman"/>
          <w:sz w:val="24"/>
          <w:szCs w:val="24"/>
          <w:lang w:val="en-GB"/>
        </w:rPr>
        <w:t xml:space="preserve">B2B setting, </w:t>
      </w:r>
      <w:r w:rsidR="003173DF" w:rsidRPr="003173DF">
        <w:rPr>
          <w:rFonts w:ascii="Times New Roman" w:hAnsi="Times New Roman" w:cs="Times New Roman"/>
          <w:sz w:val="24"/>
          <w:szCs w:val="24"/>
          <w:lang w:val="en-GB"/>
        </w:rPr>
        <w:t xml:space="preserve">thereby inspiring and enabling more systematic research </w:t>
      </w:r>
      <w:r w:rsidR="003173DF">
        <w:rPr>
          <w:rFonts w:ascii="Times New Roman" w:hAnsi="Times New Roman" w:cs="Times New Roman"/>
          <w:sz w:val="24"/>
          <w:szCs w:val="24"/>
          <w:lang w:val="en-GB"/>
        </w:rPr>
        <w:t>in this field</w:t>
      </w:r>
      <w:r w:rsidR="00916DB8">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Moreover, the study shows in practice how inter-organizational collaborations can happen among </w:t>
      </w:r>
      <w:r w:rsidR="00CD72EE" w:rsidRPr="75A96201">
        <w:rPr>
          <w:rFonts w:ascii="Times New Roman" w:hAnsi="Times New Roman" w:cs="Times New Roman"/>
          <w:sz w:val="24"/>
          <w:szCs w:val="24"/>
          <w:lang w:val="en-GB"/>
        </w:rPr>
        <w:t xml:space="preserve">B2B </w:t>
      </w:r>
      <w:r w:rsidRPr="75A96201">
        <w:rPr>
          <w:rFonts w:ascii="Times New Roman" w:hAnsi="Times New Roman" w:cs="Times New Roman"/>
          <w:sz w:val="24"/>
          <w:szCs w:val="24"/>
          <w:lang w:val="en-GB"/>
        </w:rPr>
        <w:t xml:space="preserve">actors involved in CSCs, especially enabled by MSPs. </w:t>
      </w:r>
      <w:r w:rsidRPr="75A96201">
        <w:rPr>
          <w:rFonts w:ascii="Times New Roman" w:eastAsiaTheme="majorEastAsia" w:hAnsi="Times New Roman" w:cs="Times New Roman"/>
          <w:sz w:val="24"/>
          <w:szCs w:val="24"/>
          <w:lang w:val="en-GB"/>
        </w:rPr>
        <w:t>F</w:t>
      </w:r>
      <w:r w:rsidRPr="75A96201">
        <w:rPr>
          <w:rFonts w:ascii="Times New Roman" w:hAnsi="Times New Roman" w:cs="Times New Roman"/>
          <w:sz w:val="24"/>
          <w:szCs w:val="24"/>
          <w:lang w:val="en-GB"/>
        </w:rPr>
        <w:t xml:space="preserve">rom a managerial point of view, the proposed taxonomy informs managers on </w:t>
      </w:r>
      <w:r w:rsidR="00D77733">
        <w:rPr>
          <w:rFonts w:ascii="Times New Roman" w:hAnsi="Times New Roman" w:cs="Times New Roman"/>
          <w:sz w:val="24"/>
          <w:szCs w:val="24"/>
          <w:lang w:val="en-GB"/>
        </w:rPr>
        <w:t xml:space="preserve">the different ways through which they </w:t>
      </w:r>
      <w:r w:rsidR="002D293F">
        <w:rPr>
          <w:rFonts w:ascii="Times New Roman" w:hAnsi="Times New Roman" w:cs="Times New Roman"/>
          <w:sz w:val="24"/>
          <w:szCs w:val="24"/>
          <w:lang w:val="en-GB"/>
        </w:rPr>
        <w:t xml:space="preserve">may exploit </w:t>
      </w:r>
      <w:r w:rsidRPr="75A96201">
        <w:rPr>
          <w:rFonts w:ascii="Times New Roman" w:hAnsi="Times New Roman" w:cs="Times New Roman"/>
          <w:sz w:val="24"/>
          <w:szCs w:val="24"/>
          <w:lang w:val="en-GB"/>
        </w:rPr>
        <w:t xml:space="preserve">MSPs to foster the creation of CSCs in </w:t>
      </w:r>
      <w:r w:rsidR="00CD72EE">
        <w:rPr>
          <w:rFonts w:ascii="Times New Roman" w:hAnsi="Times New Roman" w:cs="Times New Roman"/>
          <w:sz w:val="24"/>
          <w:szCs w:val="24"/>
          <w:lang w:val="en-GB"/>
        </w:rPr>
        <w:t>the</w:t>
      </w:r>
      <w:r w:rsidR="00CD72E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B2B setting</w:t>
      </w:r>
      <w:r w:rsidR="00D77733">
        <w:rPr>
          <w:rFonts w:ascii="Times New Roman" w:hAnsi="Times New Roman" w:cs="Times New Roman"/>
          <w:sz w:val="24"/>
          <w:szCs w:val="24"/>
          <w:lang w:val="en-GB"/>
        </w:rPr>
        <w:t>, consistently with the specific C</w:t>
      </w:r>
      <w:r w:rsidR="009E4CC9">
        <w:rPr>
          <w:rFonts w:ascii="Times New Roman" w:hAnsi="Times New Roman" w:cs="Times New Roman"/>
          <w:sz w:val="24"/>
          <w:szCs w:val="24"/>
          <w:lang w:val="en-GB"/>
        </w:rPr>
        <w:t>SC strategy a company aims to fulfil</w:t>
      </w:r>
      <w:r w:rsidR="00CD72EE">
        <w:rPr>
          <w:rFonts w:ascii="Times New Roman" w:hAnsi="Times New Roman" w:cs="Times New Roman"/>
          <w:sz w:val="24"/>
          <w:szCs w:val="24"/>
          <w:lang w:val="en-GB"/>
        </w:rPr>
        <w:t xml:space="preserve"> and</w:t>
      </w:r>
      <w:r w:rsidR="009E4CC9">
        <w:rPr>
          <w:rFonts w:ascii="Times New Roman" w:hAnsi="Times New Roman" w:cs="Times New Roman"/>
          <w:sz w:val="24"/>
          <w:szCs w:val="24"/>
          <w:lang w:val="en-GB"/>
        </w:rPr>
        <w:t xml:space="preserve"> the actors (and related supply chains) it should engage with</w:t>
      </w:r>
      <w:r w:rsidRPr="75A96201">
        <w:rPr>
          <w:rFonts w:ascii="Times New Roman" w:hAnsi="Times New Roman" w:cs="Times New Roman"/>
          <w:sz w:val="24"/>
          <w:szCs w:val="24"/>
          <w:lang w:val="en-GB"/>
        </w:rPr>
        <w:t xml:space="preserve">. </w:t>
      </w:r>
    </w:p>
    <w:p w14:paraId="723DAEA9" w14:textId="163B6874" w:rsidR="00B93D26" w:rsidRPr="00FE6A51" w:rsidRDefault="00000000" w:rsidP="00E74BFA">
      <w:pPr>
        <w:spacing w:after="0" w:line="360" w:lineRule="auto"/>
        <w:ind w:firstLine="284"/>
        <w:jc w:val="both"/>
        <w:rPr>
          <w:rFonts w:ascii="Times New Roman" w:hAnsi="Times New Roman" w:cs="Times New Roman"/>
          <w:sz w:val="24"/>
          <w:szCs w:val="24"/>
          <w:lang w:val="en-GB"/>
        </w:rPr>
      </w:pPr>
      <w:r w:rsidRPr="00FE6A51">
        <w:rPr>
          <w:rFonts w:ascii="Times New Roman" w:hAnsi="Times New Roman" w:cs="Times New Roman"/>
          <w:sz w:val="24"/>
          <w:szCs w:val="24"/>
          <w:lang w:val="en-GB"/>
        </w:rPr>
        <w:t xml:space="preserve">The </w:t>
      </w:r>
      <w:r w:rsidR="002D293F">
        <w:rPr>
          <w:rFonts w:ascii="Times New Roman" w:hAnsi="Times New Roman" w:cs="Times New Roman"/>
          <w:sz w:val="24"/>
          <w:szCs w:val="24"/>
          <w:lang w:val="en-GB"/>
        </w:rPr>
        <w:t xml:space="preserve">remainder of the </w:t>
      </w:r>
      <w:r w:rsidRPr="00FE6A51">
        <w:rPr>
          <w:rFonts w:ascii="Times New Roman" w:hAnsi="Times New Roman" w:cs="Times New Roman"/>
          <w:sz w:val="24"/>
          <w:szCs w:val="24"/>
          <w:lang w:val="en-GB"/>
        </w:rPr>
        <w:t>paper is structured as follows. Section 2 presents an overview of</w:t>
      </w:r>
      <w:r>
        <w:rPr>
          <w:rFonts w:ascii="Times New Roman" w:hAnsi="Times New Roman" w:cs="Times New Roman"/>
          <w:sz w:val="24"/>
          <w:szCs w:val="24"/>
          <w:lang w:val="en-GB"/>
        </w:rPr>
        <w:t xml:space="preserve"> research streams</w:t>
      </w:r>
      <w:r w:rsidRPr="00FE6A51">
        <w:rPr>
          <w:rFonts w:ascii="Times New Roman" w:hAnsi="Times New Roman" w:cs="Times New Roman"/>
          <w:sz w:val="24"/>
          <w:szCs w:val="24"/>
          <w:lang w:val="en-GB"/>
        </w:rPr>
        <w:t xml:space="preserve"> </w:t>
      </w:r>
      <w:r>
        <w:rPr>
          <w:rFonts w:ascii="Times New Roman" w:hAnsi="Times New Roman" w:cs="Times New Roman"/>
          <w:sz w:val="24"/>
          <w:szCs w:val="24"/>
          <w:lang w:val="en-GB"/>
        </w:rPr>
        <w:t>on</w:t>
      </w:r>
      <w:r w:rsidRPr="00FE6A5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CBMs, CSCs </w:t>
      </w:r>
      <w:r w:rsidRPr="00FE6A51">
        <w:rPr>
          <w:rFonts w:ascii="Times New Roman" w:hAnsi="Times New Roman" w:cs="Times New Roman"/>
          <w:sz w:val="24"/>
          <w:szCs w:val="24"/>
          <w:lang w:val="en-GB"/>
        </w:rPr>
        <w:t>(Section 2.1</w:t>
      </w:r>
      <w:r>
        <w:rPr>
          <w:rFonts w:ascii="Times New Roman" w:hAnsi="Times New Roman" w:cs="Times New Roman"/>
          <w:sz w:val="24"/>
          <w:szCs w:val="24"/>
          <w:lang w:val="en-GB"/>
        </w:rPr>
        <w:t>), and MSPs (Section 2.2</w:t>
      </w:r>
      <w:r w:rsidRPr="00FE6A51">
        <w:rPr>
          <w:rFonts w:ascii="Times New Roman" w:hAnsi="Times New Roman" w:cs="Times New Roman"/>
          <w:sz w:val="24"/>
          <w:szCs w:val="24"/>
          <w:lang w:val="en-GB"/>
        </w:rPr>
        <w:t>)</w:t>
      </w:r>
      <w:r>
        <w:rPr>
          <w:rFonts w:ascii="Times New Roman" w:hAnsi="Times New Roman" w:cs="Times New Roman"/>
          <w:sz w:val="24"/>
          <w:szCs w:val="24"/>
          <w:lang w:val="en-GB"/>
        </w:rPr>
        <w:t xml:space="preserve">, with a specific focus on </w:t>
      </w:r>
      <w:r w:rsidR="00CD72EE">
        <w:rPr>
          <w:rFonts w:ascii="Times New Roman" w:hAnsi="Times New Roman" w:cs="Times New Roman"/>
          <w:sz w:val="24"/>
          <w:szCs w:val="24"/>
          <w:lang w:val="en-GB"/>
        </w:rPr>
        <w:t xml:space="preserve">the </w:t>
      </w:r>
      <w:r>
        <w:rPr>
          <w:rFonts w:ascii="Times New Roman" w:hAnsi="Times New Roman" w:cs="Times New Roman"/>
          <w:sz w:val="24"/>
          <w:szCs w:val="24"/>
          <w:lang w:val="en-GB"/>
        </w:rPr>
        <w:t>B2B setting</w:t>
      </w:r>
      <w:r w:rsidR="00CD72EE">
        <w:rPr>
          <w:rFonts w:ascii="Times New Roman" w:hAnsi="Times New Roman" w:cs="Times New Roman"/>
          <w:sz w:val="24"/>
          <w:szCs w:val="24"/>
          <w:lang w:val="en-GB"/>
        </w:rPr>
        <w:t>.</w:t>
      </w:r>
      <w:r w:rsidRPr="00FE6A51">
        <w:rPr>
          <w:rFonts w:ascii="Times New Roman" w:hAnsi="Times New Roman" w:cs="Times New Roman"/>
          <w:sz w:val="24"/>
          <w:szCs w:val="24"/>
          <w:lang w:val="en-GB"/>
        </w:rPr>
        <w:t xml:space="preserve"> Section 3 </w:t>
      </w:r>
      <w:r>
        <w:rPr>
          <w:rFonts w:ascii="Times New Roman" w:hAnsi="Times New Roman" w:cs="Times New Roman"/>
          <w:sz w:val="24"/>
          <w:szCs w:val="24"/>
          <w:lang w:val="en-GB"/>
        </w:rPr>
        <w:t>illustrates</w:t>
      </w:r>
      <w:r w:rsidRPr="00FE6A51">
        <w:rPr>
          <w:rFonts w:ascii="Times New Roman" w:hAnsi="Times New Roman" w:cs="Times New Roman"/>
          <w:sz w:val="24"/>
          <w:szCs w:val="24"/>
          <w:lang w:val="en-GB"/>
        </w:rPr>
        <w:t xml:space="preserve"> the </w:t>
      </w:r>
      <w:r>
        <w:rPr>
          <w:rFonts w:ascii="Times New Roman" w:hAnsi="Times New Roman" w:cs="Times New Roman"/>
          <w:sz w:val="24"/>
          <w:szCs w:val="24"/>
          <w:lang w:val="en-GB"/>
        </w:rPr>
        <w:t xml:space="preserve">rationale of the </w:t>
      </w:r>
      <w:r w:rsidRPr="0073790B">
        <w:rPr>
          <w:rFonts w:ascii="Times New Roman" w:hAnsi="Times New Roman" w:cs="Times New Roman"/>
          <w:sz w:val="24"/>
          <w:szCs w:val="24"/>
          <w:lang w:val="en-GB"/>
        </w:rPr>
        <w:t>methodology</w:t>
      </w:r>
      <w:r>
        <w:rPr>
          <w:rFonts w:ascii="Times New Roman" w:hAnsi="Times New Roman" w:cs="Times New Roman"/>
          <w:sz w:val="24"/>
          <w:szCs w:val="24"/>
          <w:lang w:val="en-GB"/>
        </w:rPr>
        <w:t xml:space="preserve">, while Section 4 presents the </w:t>
      </w:r>
      <w:r w:rsidR="00B20DDE" w:rsidRPr="00B20DDE">
        <w:rPr>
          <w:rFonts w:ascii="Times New Roman" w:hAnsi="Times New Roman" w:cs="Times New Roman"/>
          <w:sz w:val="24"/>
          <w:szCs w:val="24"/>
          <w:lang w:val="en-GB"/>
        </w:rPr>
        <w:t>taxonomy of MSPs enabl</w:t>
      </w:r>
      <w:r w:rsidR="003F0D90">
        <w:rPr>
          <w:rFonts w:ascii="Times New Roman" w:hAnsi="Times New Roman" w:cs="Times New Roman"/>
          <w:sz w:val="24"/>
          <w:szCs w:val="24"/>
          <w:lang w:val="en-GB"/>
        </w:rPr>
        <w:t>ing</w:t>
      </w:r>
      <w:r w:rsidR="00B20DDE" w:rsidRPr="00B20DDE">
        <w:rPr>
          <w:rFonts w:ascii="Times New Roman" w:hAnsi="Times New Roman" w:cs="Times New Roman"/>
          <w:sz w:val="24"/>
          <w:szCs w:val="24"/>
          <w:lang w:val="en-GB"/>
        </w:rPr>
        <w:t xml:space="preserve"> CSCs in </w:t>
      </w:r>
      <w:r w:rsidR="00CD72EE">
        <w:rPr>
          <w:rFonts w:ascii="Times New Roman" w:hAnsi="Times New Roman" w:cs="Times New Roman"/>
          <w:sz w:val="24"/>
          <w:szCs w:val="24"/>
          <w:lang w:val="en-GB"/>
        </w:rPr>
        <w:t>the</w:t>
      </w:r>
      <w:r w:rsidR="00B20DDE" w:rsidRPr="00B20DDE">
        <w:rPr>
          <w:rFonts w:ascii="Times New Roman" w:hAnsi="Times New Roman" w:cs="Times New Roman"/>
          <w:sz w:val="24"/>
          <w:szCs w:val="24"/>
          <w:lang w:val="en-GB"/>
        </w:rPr>
        <w:t xml:space="preserve"> B2B setting </w:t>
      </w:r>
      <w:r w:rsidR="00531EE1">
        <w:rPr>
          <w:rFonts w:ascii="Times New Roman" w:hAnsi="Times New Roman" w:cs="Times New Roman"/>
          <w:sz w:val="24"/>
          <w:szCs w:val="24"/>
          <w:lang w:val="en-GB"/>
        </w:rPr>
        <w:t>and</w:t>
      </w:r>
      <w:r w:rsidR="00B20DD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discusses </w:t>
      </w:r>
      <w:r w:rsidR="00B20DDE">
        <w:rPr>
          <w:rFonts w:ascii="Times New Roman" w:hAnsi="Times New Roman" w:cs="Times New Roman"/>
          <w:sz w:val="24"/>
          <w:szCs w:val="24"/>
          <w:lang w:val="en-GB"/>
        </w:rPr>
        <w:t xml:space="preserve">it </w:t>
      </w:r>
      <w:r>
        <w:rPr>
          <w:rFonts w:ascii="Times New Roman" w:hAnsi="Times New Roman" w:cs="Times New Roman"/>
          <w:sz w:val="24"/>
          <w:szCs w:val="24"/>
          <w:lang w:val="en-GB"/>
        </w:rPr>
        <w:t>against existing research</w:t>
      </w:r>
      <w:r w:rsidRPr="00FE6A51">
        <w:rPr>
          <w:rFonts w:ascii="Times New Roman" w:hAnsi="Times New Roman" w:cs="Times New Roman"/>
          <w:sz w:val="24"/>
          <w:szCs w:val="24"/>
          <w:lang w:val="en-GB"/>
        </w:rPr>
        <w:t xml:space="preserve">. Finally, Section 5 points out the </w:t>
      </w:r>
      <w:r>
        <w:rPr>
          <w:rFonts w:ascii="Times New Roman" w:hAnsi="Times New Roman" w:cs="Times New Roman"/>
          <w:sz w:val="24"/>
          <w:szCs w:val="24"/>
          <w:lang w:val="en-GB"/>
        </w:rPr>
        <w:t xml:space="preserve">conclusions, including theoretical and </w:t>
      </w:r>
      <w:r w:rsidRPr="00FE6A51">
        <w:rPr>
          <w:rFonts w:ascii="Times New Roman" w:hAnsi="Times New Roman" w:cs="Times New Roman"/>
          <w:sz w:val="24"/>
          <w:szCs w:val="24"/>
          <w:lang w:val="en-GB"/>
        </w:rPr>
        <w:t>managerial implications</w:t>
      </w:r>
      <w:r>
        <w:rPr>
          <w:rFonts w:ascii="Times New Roman" w:hAnsi="Times New Roman" w:cs="Times New Roman"/>
          <w:sz w:val="24"/>
          <w:szCs w:val="24"/>
          <w:lang w:val="en-GB"/>
        </w:rPr>
        <w:t>,</w:t>
      </w:r>
      <w:r w:rsidRPr="00FE6A51">
        <w:rPr>
          <w:rFonts w:ascii="Times New Roman" w:hAnsi="Times New Roman" w:cs="Times New Roman"/>
          <w:sz w:val="24"/>
          <w:szCs w:val="24"/>
          <w:lang w:val="en-GB"/>
        </w:rPr>
        <w:t xml:space="preserve"> limitations, and avenues for further research.</w:t>
      </w:r>
    </w:p>
    <w:p w14:paraId="43628B52" w14:textId="77777777" w:rsidR="00B93D26" w:rsidRPr="00FE6A51" w:rsidRDefault="00B93D26" w:rsidP="00491FDC">
      <w:pPr>
        <w:spacing w:after="0" w:line="360" w:lineRule="auto"/>
        <w:rPr>
          <w:rFonts w:ascii="Times New Roman" w:hAnsi="Times New Roman" w:cs="Times New Roman"/>
          <w:sz w:val="24"/>
          <w:szCs w:val="24"/>
          <w:lang w:val="en-GB"/>
        </w:rPr>
      </w:pPr>
    </w:p>
    <w:p w14:paraId="3687A16E" w14:textId="77777777" w:rsidR="00B93D26" w:rsidRPr="00F7590D" w:rsidRDefault="00000000" w:rsidP="00B0022C">
      <w:pPr>
        <w:spacing w:after="0" w:line="360" w:lineRule="auto"/>
        <w:rPr>
          <w:rFonts w:ascii="Times New Roman" w:hAnsi="Times New Roman" w:cs="Times New Roman"/>
          <w:b/>
          <w:bCs/>
          <w:sz w:val="24"/>
          <w:szCs w:val="24"/>
          <w:lang w:val="en-GB"/>
        </w:rPr>
      </w:pPr>
      <w:r w:rsidRPr="00F7590D">
        <w:rPr>
          <w:rFonts w:ascii="Times New Roman" w:hAnsi="Times New Roman" w:cs="Times New Roman"/>
          <w:b/>
          <w:bCs/>
          <w:sz w:val="24"/>
          <w:szCs w:val="24"/>
          <w:lang w:val="en-GB"/>
        </w:rPr>
        <w:t xml:space="preserve">2. </w:t>
      </w:r>
      <w:r>
        <w:rPr>
          <w:rFonts w:ascii="Times New Roman" w:hAnsi="Times New Roman" w:cs="Times New Roman"/>
          <w:b/>
          <w:bCs/>
          <w:sz w:val="24"/>
          <w:szCs w:val="24"/>
          <w:lang w:val="en-GB"/>
        </w:rPr>
        <w:t>Theoretical Background</w:t>
      </w:r>
    </w:p>
    <w:p w14:paraId="0C48CE3C" w14:textId="0022E4D0" w:rsidR="00B93D26" w:rsidRDefault="00000000" w:rsidP="004B1CF3">
      <w:pPr>
        <w:spacing w:after="0" w:line="360" w:lineRule="auto"/>
        <w:jc w:val="both"/>
        <w:rPr>
          <w:rFonts w:ascii="Times New Roman" w:hAnsi="Times New Roman" w:cs="Times New Roman"/>
          <w:b/>
          <w:bCs/>
          <w:sz w:val="24"/>
          <w:szCs w:val="24"/>
          <w:lang w:val="en-GB"/>
        </w:rPr>
      </w:pPr>
      <w:r w:rsidRPr="75A96201">
        <w:rPr>
          <w:rFonts w:ascii="Times New Roman" w:hAnsi="Times New Roman" w:cs="Times New Roman"/>
          <w:sz w:val="24"/>
          <w:szCs w:val="24"/>
          <w:lang w:val="en-GB"/>
        </w:rPr>
        <w:t xml:space="preserve">This section provides an overview of the existing literature on CBMs and CSCs (Section 2.1), as well as on the role that MSPs can play </w:t>
      </w:r>
      <w:r w:rsidR="00B20DDE">
        <w:rPr>
          <w:rFonts w:ascii="Times New Roman" w:hAnsi="Times New Roman" w:cs="Times New Roman"/>
          <w:sz w:val="24"/>
          <w:szCs w:val="24"/>
          <w:lang w:val="en-GB"/>
        </w:rPr>
        <w:t>to enable</w:t>
      </w:r>
      <w:r w:rsidR="00B20DD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CSCs in </w:t>
      </w:r>
      <w:r w:rsidR="009C7341">
        <w:rPr>
          <w:rFonts w:ascii="Times New Roman" w:hAnsi="Times New Roman" w:cs="Times New Roman"/>
          <w:sz w:val="24"/>
          <w:szCs w:val="24"/>
          <w:lang w:val="en-GB"/>
        </w:rPr>
        <w:t>the</w:t>
      </w:r>
      <w:r w:rsidR="009C7341"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B2B setting (Section 2.2).</w:t>
      </w:r>
    </w:p>
    <w:p w14:paraId="601C7C08" w14:textId="77777777" w:rsidR="00B93D26" w:rsidRPr="00F7590D" w:rsidRDefault="00B93D26" w:rsidP="00B0022C">
      <w:pPr>
        <w:spacing w:after="0" w:line="360" w:lineRule="auto"/>
        <w:rPr>
          <w:rFonts w:ascii="Times New Roman" w:hAnsi="Times New Roman" w:cs="Times New Roman"/>
          <w:b/>
          <w:bCs/>
          <w:sz w:val="24"/>
          <w:szCs w:val="24"/>
          <w:lang w:val="en-GB"/>
        </w:rPr>
      </w:pPr>
    </w:p>
    <w:p w14:paraId="3FCF2D80" w14:textId="77777777" w:rsidR="00B93D26" w:rsidRDefault="00000000" w:rsidP="00F7590D">
      <w:pPr>
        <w:spacing w:after="0" w:line="360" w:lineRule="auto"/>
        <w:jc w:val="both"/>
        <w:rPr>
          <w:rFonts w:ascii="Times New Roman" w:eastAsiaTheme="majorEastAsia" w:hAnsi="Times New Roman" w:cs="Times New Roman"/>
          <w:b/>
          <w:bCs/>
          <w:i/>
          <w:iCs/>
          <w:sz w:val="24"/>
          <w:szCs w:val="24"/>
          <w:lang w:val="en-GB"/>
        </w:rPr>
      </w:pPr>
      <w:r w:rsidRPr="004A3AE5">
        <w:rPr>
          <w:rFonts w:ascii="Times New Roman" w:eastAsiaTheme="majorEastAsia" w:hAnsi="Times New Roman" w:cs="Times New Roman"/>
          <w:b/>
          <w:bCs/>
          <w:i/>
          <w:iCs/>
          <w:sz w:val="24"/>
          <w:szCs w:val="24"/>
          <w:lang w:val="en-GB"/>
        </w:rPr>
        <w:t xml:space="preserve">2.1 </w:t>
      </w:r>
      <w:r>
        <w:rPr>
          <w:rFonts w:ascii="Times New Roman" w:eastAsiaTheme="majorEastAsia" w:hAnsi="Times New Roman" w:cs="Times New Roman"/>
          <w:b/>
          <w:bCs/>
          <w:i/>
          <w:iCs/>
          <w:sz w:val="24"/>
          <w:szCs w:val="24"/>
          <w:lang w:val="en-GB"/>
        </w:rPr>
        <w:t xml:space="preserve">CBMs and CSCs </w:t>
      </w:r>
    </w:p>
    <w:p w14:paraId="0A11653D" w14:textId="77777777" w:rsidR="00B93D26" w:rsidRDefault="00000000" w:rsidP="007D6A28">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CBMs, which refer to “</w:t>
      </w:r>
      <w:r w:rsidRPr="003357E8">
        <w:rPr>
          <w:rFonts w:ascii="Times New Roman" w:hAnsi="Times New Roman" w:cs="Times New Roman"/>
          <w:sz w:val="24"/>
          <w:szCs w:val="24"/>
          <w:lang w:val="en-GB"/>
        </w:rPr>
        <w:t xml:space="preserve">how a company creates, captures, and delivers value with the value creation logic designed to improve resource efficiency through contributing to extending useful life of products and parts (e.g., through long-life design, repair and remanufacturing) and closing material loops”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{"citationItems":[{"id":"ITEM-1","itemData":{"DOI":"10.3390/SU9101810","ISSN":"2071-1050","abstract":"To aid companies in transitioning towards a circular economy and adopting strategies such as reuse, repair, and remanufacturing, the concept of circular business models has been developed. Although the concept draws on contributions from various academic disciplines, and despite its increasingly frequent use, few scholars clearly define what a circular business model is. Understanding about what makes a business model circular is diverse, hampering the theoretical development and practical application of circular business models. This study aims to help frame the field of circular business model research, by clarifying the fundamentals of the concept from the perspectives of resource efficiency and business model innovation. Expanding on these findings, a review of how the concept is used in recent academic literature is provided. It shows that a coherent view is lacking on which resource efficiency strategies classify a business model as circular. This study clarifies which resource efficiency strategies can be deemed as relevant key strategies for circular business models, and suggests a new definition of the concept. With the definition grounded in analysis of the fundamentals in terms of resource efficiency and business models, the study contributes to theoretical advancement and effective implementation of circular business models.","author":[{"dropping-particle":"","family":"Nußholz","given":"Julia L.K.","non-dropping-particle":"","parse-names":false,"suffix":""}],"container-title":"Sustainability 2017, Vol. 9, Page 1810","id":"ITEM-1","issue":"10","issued":{"date-parts":[["2017","10","10"]]},"page":"1810","publisher":"Multidisciplinary Digital Publishing Institute","title":"Circular Business Models: Defining a Concept and Framing an Emerging Research Field","type":"article-journal","volume":"9"},"uris":["http://www.mendeley.com/documents/?uuid=b50248c9-fad3-3da0-a212-8d8a9c89592f"]}],"mendeley":{"formattedCitation":"(Nußholz, 2017)","manualFormatting":"(Nußholz, 2017","plainTextFormattedCitation":"(Nußholz, 2017)","previouslyFormattedCitation":"(Nußholz, 2017)"},"properties":{"noteIndex":0},"schema":"https://github.com/citation-style-language/schema/raw/master/csl-citation.json"}</w:instrText>
      </w:r>
      <w:r>
        <w:rPr>
          <w:rFonts w:ascii="Times New Roman" w:hAnsi="Times New Roman" w:cs="Times New Roman"/>
          <w:sz w:val="24"/>
          <w:szCs w:val="24"/>
          <w:lang w:val="en-GB"/>
        </w:rPr>
        <w:fldChar w:fldCharType="separate"/>
      </w:r>
      <w:r w:rsidRPr="00F419D1">
        <w:rPr>
          <w:rFonts w:ascii="Times New Roman" w:hAnsi="Times New Roman" w:cs="Times New Roman"/>
          <w:noProof/>
          <w:sz w:val="24"/>
          <w:szCs w:val="24"/>
          <w:lang w:val="en-GB"/>
        </w:rPr>
        <w:t>(Nußholz, 2017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r w:rsidRPr="003357E8">
        <w:rPr>
          <w:rFonts w:ascii="Times New Roman" w:hAnsi="Times New Roman" w:cs="Times New Roman"/>
          <w:sz w:val="24"/>
          <w:szCs w:val="24"/>
          <w:lang w:val="en-GB"/>
        </w:rPr>
        <w:t xml:space="preserve"> p. 12)</w:t>
      </w:r>
      <w:r>
        <w:rPr>
          <w:rFonts w:ascii="Times New Roman" w:hAnsi="Times New Roman" w:cs="Times New Roman"/>
          <w:sz w:val="24"/>
          <w:szCs w:val="24"/>
          <w:lang w:val="en-GB"/>
        </w:rPr>
        <w:t>, have been recognized as key levers for the implementation of CE principles by companies.</w:t>
      </w:r>
      <w:r w:rsidRPr="003357E8" w:rsidDel="003357E8">
        <w:rPr>
          <w:rFonts w:ascii="Times New Roman" w:hAnsi="Times New Roman" w:cs="Times New Roman"/>
          <w:sz w:val="24"/>
          <w:szCs w:val="24"/>
          <w:lang w:val="en-GB"/>
        </w:rPr>
        <w:t xml:space="preserve"> </w:t>
      </w:r>
    </w:p>
    <w:p w14:paraId="5865918D" w14:textId="0A203C78" w:rsidR="00B93D26" w:rsidRPr="007B6B7A" w:rsidRDefault="00000000" w:rsidP="004B1CF3">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To design a CBM, companies need to adopt</w:t>
      </w:r>
      <w:r w:rsidRPr="75A96201">
        <w:rPr>
          <w:rFonts w:ascii="Times New Roman" w:hAnsi="Times New Roman" w:cs="Times New Roman"/>
          <w:sz w:val="24"/>
          <w:szCs w:val="24"/>
          <w:lang w:val="en-US"/>
        </w:rPr>
        <w:t xml:space="preserve"> a set of </w:t>
      </w:r>
      <w:r w:rsidRPr="75A96201">
        <w:rPr>
          <w:rFonts w:ascii="Times New Roman" w:hAnsi="Times New Roman" w:cs="Times New Roman"/>
          <w:sz w:val="24"/>
          <w:szCs w:val="24"/>
          <w:lang w:val="en-GB"/>
        </w:rPr>
        <w:t>managerial practices</w:t>
      </w:r>
      <w:r w:rsidR="009C7341">
        <w:rPr>
          <w:rFonts w:ascii="Times New Roman" w:hAnsi="Times New Roman" w:cs="Times New Roman"/>
          <w:sz w:val="24"/>
          <w:szCs w:val="24"/>
          <w:lang w:val="en-GB"/>
        </w:rPr>
        <w:t xml:space="preserve"> </w:t>
      </w:r>
      <w:r w:rsidR="009C7341" w:rsidRPr="75A96201">
        <w:rPr>
          <w:rFonts w:ascii="Times New Roman" w:hAnsi="Times New Roman" w:cs="Times New Roman"/>
          <w:sz w:val="24"/>
          <w:szCs w:val="24"/>
          <w:lang w:val="en-US"/>
        </w:rPr>
        <w:t>(see Table 1)</w:t>
      </w:r>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{"citationItems":[{"id":"ITEM-1","itemData":{"DOI":"10.1016/j.jclepro.2017.09.047","ISSN":"09596526","abstract":"Circular Economy has undoubtedly become one of the hot topics in public debates about new and more sustainable industrial paradigms and strategies. In this respect, the fashion of Circular Economy is in the fact that it aims at overcoming the dominant linear take, make, disposal economy model, i.e. “a traditional open-ended economy model developed with no built-in tendency to recycle, which is reflected by treating the environment as a waste reservoir” (Su et al., 2013). Circular Economy, indeed, bases on the establishment of closed production systems, where resources are reused and kept in a loop of production and usage, allowing generating more value and for a longer period. Despite the interest for Circular Economy by politicians and practitioners, scholars, particularly in the strategic management field, are still struggling with a lack of a framework explaining how companies willing to become circular adapt their existing business model or create a new one. By extensively reviewing, through the lens of business model literature, the extant contributions on Circular Economy, we propose a taxonomy of Circular Economy Business Models based on the degree of adoption of circularity along two major dimensions: (i) the customer value proposition &amp; interface, i.e. the implementation of the circularity concept in proposing value to customers; (ii) the value network, i.e. the ways through which interacting with suppliers and reorganizing the own internal activities. The taxonomy is then initially tested through some explorative case studies, showing in practice the ability of the framework to properly distinguish different modes of adoption of Circular Economy.","author":[{"dropping-particle":"","family":"Urbinati","given":"Andrea","non-dropping-particle":"","parse-names":false,"suffix":""},{"dropping-particle":"","family":"Chiaroni","given":"Davide","non-dropping-particle":"","parse-names":false,"suffix":""},{"dropping-particle":"","family":"Chiesa","given":"Vittorio","non-dropping-particle":"","parse-names":false,"suffix":""}],"container-title":"Journal of Cleaner Production","id":"ITEM-1","issued":{"date-parts":[["2017"]]},"page":"487-498","publisher":"Elsevier Ltd","title":"Towards a new taxonomy of circular economy business models","type":"article-journal","volume":"168"},"uris":["http://www.mendeley.com/documents/?uuid=affcec8e-daa4-4ba9-90f7-af52e9f84621"]},{"id":"ITEM-2","itemData":{"DOI":"10.1108/JMTM-02-2018-0061","ISSN":"1741038X","abstract":"Purpose: The purpose of this paper is to investigate the managerial practices that companies can implement in order to design a circular economy business model and how companies can create and capture value from a circular economy business model. Design/methodology/approach: The paper adopts a single case study methodology with semi-structured interviews and company, supplier, and manufacturing site visits, conducted in a small-to-medium-size Italian company operating in the office supply industry. Findings: The theoretical setting maps a set of managerial practices for a circular economy business model and sets the research gaps and questions in a research framework designed along three main dimensions: value network, customer value proposition and interface, and managerial commitment. Then, through an empirical analysis, the findings reveal that the proposed dimensions are interdependent and reinforce each other. Moreover, the managerial commitment as moderating factor between the value network and the customer value proposition and interface dimensions is identified as essential for reaching the intended goals of circular economy business models. Research limitations/implications: This study maximizes the depth of the phenomenon under investigation by leveraging a single case study methodology, which ideally helps in a theory-testing approach as in the present case. Future research opportunities could be found in qualitative and quantitative studies to increase the generalizability of the findings of this paper. Practical implications: The paper presents a set of relevant managerial practices for circular economy business models that can be used by managers who have the will to embrace in practice circular economy principles to support the design, change, or upgrade of the business model of companies within which they operate. Originality/value: An interdisciplinary approach that integrates the research streams of circular economy, social psychology, organizational behavior, and business model design has been pursued to test the theoretical setting and the research framework for circular economy business models in a real-world context.","author":[{"dropping-particle":"","family":"Ünal","given":"Enes","non-dropping-particle":"","parse-names":false,"suffix":""},{"dropping-particle":"","family":"Urbinati","given":"Andrea","non-dropping-particle":"","parse-names":false,"suffix":""},{"dropping-particle":"","family":"Chiaroni","given":"Davide","non-dropping-particle":"","parse-names":false,"suffix":""}],"container-title":"Journal of Manufacturing Technology Management","id":"ITEM-2","issue":"3","issued":{"date-parts":[["2019"]]},"page":"561-589","title":"Managerial practices for designing circular economy business models: The case of an Italian SME in the office supply industry","type":"article-journal","volume":"30"},"uris":["http://www.mendeley.com/documents/?uuid=6d02b949-b5fe-407d-8a3e-957d178c3c8d"]}],"mendeley":{"formattedCitation":"(Ünal et al., 2019; Urbinati et al., 2017)","plainTextFormattedCitation":"(Ünal et al., 2019; Urbinati et al., 2017)","previouslyFormattedCitation":"(Ünal et al., 2019; Urbinati et al., 2017)"},"properties":{"noteIndex":0},"schema":"https://github.com/citation-style-language/schema/raw/master/csl-citation.json"}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(Ünal et al., 2019; Urbinati et al., 2017)</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w:t>
      </w:r>
      <w:r w:rsidRPr="75A96201">
        <w:rPr>
          <w:rFonts w:ascii="Times New Roman" w:hAnsi="Times New Roman" w:cs="Times New Roman"/>
          <w:sz w:val="24"/>
          <w:szCs w:val="24"/>
          <w:lang w:val="en-GB"/>
        </w:rPr>
        <w:t xml:space="preserve"> </w:t>
      </w:r>
      <w:r w:rsidR="009C7341">
        <w:rPr>
          <w:rFonts w:ascii="Times New Roman" w:hAnsi="Times New Roman" w:cs="Times New Roman"/>
          <w:sz w:val="24"/>
          <w:szCs w:val="24"/>
          <w:lang w:val="en-US"/>
        </w:rPr>
        <w:t>T</w:t>
      </w:r>
      <w:r w:rsidR="009C7341" w:rsidRPr="75A96201">
        <w:rPr>
          <w:rFonts w:ascii="Times New Roman" w:hAnsi="Times New Roman" w:cs="Times New Roman"/>
          <w:sz w:val="24"/>
          <w:szCs w:val="24"/>
          <w:lang w:val="en-US"/>
        </w:rPr>
        <w:t>o implement such practices</w:t>
      </w:r>
      <w:r w:rsidR="009C7341">
        <w:rPr>
          <w:rFonts w:ascii="Times New Roman" w:hAnsi="Times New Roman" w:cs="Times New Roman"/>
          <w:sz w:val="24"/>
          <w:szCs w:val="24"/>
          <w:lang w:val="en-US"/>
        </w:rPr>
        <w:t>,</w:t>
      </w:r>
      <w:r w:rsidR="009C7341" w:rsidRPr="75A96201">
        <w:rPr>
          <w:rFonts w:ascii="Times New Roman" w:hAnsi="Times New Roman" w:cs="Times New Roman"/>
          <w:sz w:val="24"/>
          <w:szCs w:val="24"/>
          <w:lang w:val="en-US"/>
        </w:rPr>
        <w:t xml:space="preserve"> </w:t>
      </w:r>
      <w:r w:rsidR="009C7341">
        <w:rPr>
          <w:rFonts w:ascii="Times New Roman" w:hAnsi="Times New Roman" w:cs="Times New Roman"/>
          <w:sz w:val="24"/>
          <w:szCs w:val="24"/>
          <w:lang w:val="en-GB"/>
        </w:rPr>
        <w:t>e</w:t>
      </w:r>
      <w:r w:rsidRPr="75A96201">
        <w:rPr>
          <w:rFonts w:ascii="Times New Roman" w:hAnsi="Times New Roman" w:cs="Times New Roman"/>
          <w:sz w:val="24"/>
          <w:szCs w:val="24"/>
          <w:lang w:val="en-GB"/>
        </w:rPr>
        <w:t xml:space="preserve">xisting literature shows that </w:t>
      </w:r>
      <w:r w:rsidRPr="75A96201">
        <w:rPr>
          <w:rFonts w:ascii="Times New Roman" w:hAnsi="Times New Roman" w:cs="Times New Roman"/>
          <w:sz w:val="24"/>
          <w:szCs w:val="24"/>
          <w:lang w:val="en-US"/>
        </w:rPr>
        <w:t xml:space="preserve">companies should leverage collaborations with supply chain actors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{"citationItems":[{"id":"ITEM-1","itemData":{"DOI":"10.1080/21681015.2016.1172124","abstract":"The transition within business from a linear to a circular economy brings with it a range of practical challenges for companies. The following question is addressed: What are the product design and...","author":[{"dropping-particle":"","family":"Bocken","given":"Nancy M. P.","non-dropping-particle":"","parse-names":false,"suffix":""},{"dropping-particle":"de","family":"Pauw","given":"Ingrid","non-dropping-particle":"","parse-names":false,"suffix":""},{"dropping-particle":"","family":"Bakker","given":"Conny","non-dropping-particle":"","parse-names":false,"suffix":""},{"dropping-particle":"van der","family":"Grinten","given":"Bram","non-dropping-particle":"","parse-names":false,"suffix":""}],"container-title":"https://doi.org/10.1080/21681015.2016.1172124","id":"ITEM-1","issue":"5","issued":{"date-parts":[["2016","7"]]},"page":"308-320","publisher":"Taylor &amp; Francis","title":"Product design and business model strategies for a circular economy","type":"article-journal","volume":"33"},"uris":["http://www.mendeley.com/documents/?uuid=1775037c-0c9f-4dc9-a480-d25f03eb5daf"]},{"id":"ITEM-2","itemData":{"DOI":"10.1016/j.jclepro.2018.04.159","ISSN":"09596526","abstract":"The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Production","id":"ITEM-2","issued":{"date-parts":[["2018"]]},"page":"712-721","publisher":"Elsevier Ltd","title":"Business models and supply chains for the circular economy","type":"article-journal","volume":"190"},"uris":["http://www.mendeley.com/documents/?uuid=247dad4e-a4ad-42c4-a234-a22c5645f5f0"]}],"mendeley":{"formattedCitation":"(N. M. P. Bocken et al., 2016; Geissdoerfer et al., 2018)","manualFormatting":"(Bocken et al., 2016; Geissdoerfer et al., 2018)","plainTextFormattedCitation":"(N. M. P. Bocken et al., 2016; Geissdoerfer et al., 2018)","previouslyFormattedCitation":"(N. M. P. Bocken et al., 2016; Geissdoerfer et al., 2018)"},"properties":{"noteIndex":0},"schema":"https://github.com/citation-style-language/schema/raw/master/csl-citation.json"}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(Bocken et al., 2016; Geissdoerfer et al., 2018)</w:t>
      </w:r>
      <w:r w:rsidRPr="75A96201">
        <w:rPr>
          <w:rFonts w:ascii="Times New Roman" w:hAnsi="Times New Roman" w:cs="Times New Roman"/>
          <w:sz w:val="24"/>
          <w:szCs w:val="24"/>
          <w:lang w:val="en-US"/>
        </w:rPr>
        <w:fldChar w:fldCharType="end"/>
      </w:r>
      <w:r w:rsidR="009C7341">
        <w:rPr>
          <w:rFonts w:ascii="Times New Roman" w:hAnsi="Times New Roman" w:cs="Times New Roman"/>
          <w:sz w:val="24"/>
          <w:szCs w:val="24"/>
          <w:lang w:val="en-US"/>
        </w:rPr>
        <w:t>,</w:t>
      </w:r>
      <w:r w:rsidRPr="75A96201">
        <w:rPr>
          <w:rFonts w:ascii="Times New Roman" w:hAnsi="Times New Roman" w:cs="Times New Roman"/>
          <w:sz w:val="24"/>
          <w:szCs w:val="24"/>
          <w:lang w:val="en-GB"/>
        </w:rPr>
        <w:t xml:space="preserve"> since</w:t>
      </w:r>
      <w:r w:rsidRPr="75A96201">
        <w:rPr>
          <w:rFonts w:ascii="Times New Roman" w:hAnsi="Times New Roman" w:cs="Times New Roman"/>
          <w:sz w:val="24"/>
          <w:szCs w:val="24"/>
          <w:lang w:val="en-US"/>
        </w:rPr>
        <w:t xml:space="preserve"> companies cannot effectively implement these practices by themselves</w:t>
      </w:r>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{"citationItems":[{"id":"ITEM-1","itemData":{"DOI":"10.1016/j.indmarman.2020.05.037","abstract":"Corporate interest in the topic of sustainability has increased in prominence. Most of the research on sustainability has a business-to-consumer focus, with limited research emphasizing sustainability in the context of business-to-business marketing. The paper examines research on sustainability, published in the journal Industrial Marketing Management, where thirty-eight articles have appeared in the past twenty-seven years, the majority on supply-chain research. Research on sustainability in business-to-business markets is sparse, and some of the fundamental research questions in this area have gone unaddressed. This paper addresses three interrelated research issues associated with sustainability in business-to-business markets. First, what research is available to researchers and practitioners? Second, what framework can be used to examine sustainability research in business-to-business markets? Third, what subareas of sustainability research need focus and deeper examination, and what are the associated research questions? Overall, the findings from this paper suggest the need for additional research in the area because of its substantial implications for theory, research, and practice.","author":[{"dropping-particle":"","family":"Sharma","given":"Arun","non-dropping-particle":"","parse-names":false,"suffix":""}],"id":"ITEM-1","issued":{"date-parts":[["2020"]]},"title":"Sustainability research in business-to-business markets: An agenda for inquiry","type":"article-journal"},"uris":["http://www.mendeley.com/documents/?uuid=b37e8145-1314-3ded-9396-bf33ddd333e9"]}],"mendeley":{"formattedCitation":"(Sharma, 2020)","plainTextFormattedCitation":"(Sharma, 2020)","previouslyFormattedCitation":"(Sharma,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(Sharma,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lastRenderedPageBreak/>
        <w:t>Therefore, companies must promote upstream</w:t>
      </w:r>
      <w:r w:rsidR="002C3E6E">
        <w:rPr>
          <w:rFonts w:ascii="Times New Roman" w:hAnsi="Times New Roman" w:cs="Times New Roman"/>
          <w:sz w:val="24"/>
          <w:szCs w:val="24"/>
          <w:lang w:val="en-GB"/>
        </w:rPr>
        <w:t xml:space="preserve"> (with</w:t>
      </w:r>
      <w:r w:rsidRPr="75A96201">
        <w:rPr>
          <w:rFonts w:ascii="Times New Roman" w:hAnsi="Times New Roman" w:cs="Times New Roman"/>
          <w:sz w:val="24"/>
          <w:szCs w:val="24"/>
          <w:lang w:val="en-GB"/>
        </w:rPr>
        <w:t xml:space="preserve"> </w:t>
      </w:r>
      <w:r w:rsidR="002C3E6E" w:rsidRPr="75A96201">
        <w:rPr>
          <w:rFonts w:ascii="Times New Roman" w:hAnsi="Times New Roman" w:cs="Times New Roman"/>
          <w:sz w:val="24"/>
          <w:szCs w:val="24"/>
          <w:lang w:val="en-GB"/>
        </w:rPr>
        <w:t>supplier</w:t>
      </w:r>
      <w:r w:rsidR="002C3E6E">
        <w:rPr>
          <w:rFonts w:ascii="Times New Roman" w:hAnsi="Times New Roman" w:cs="Times New Roman"/>
          <w:sz w:val="24"/>
          <w:szCs w:val="24"/>
          <w:lang w:val="en-GB"/>
        </w:rPr>
        <w:t>s</w:t>
      </w:r>
      <w:r w:rsidR="002C3E6E" w:rsidRPr="75A96201">
        <w:rPr>
          <w:rFonts w:ascii="Times New Roman" w:hAnsi="Times New Roman" w:cs="Times New Roman"/>
          <w:sz w:val="24"/>
          <w:szCs w:val="24"/>
          <w:lang w:val="en-GB"/>
        </w:rPr>
        <w:t>, manufacturer</w:t>
      </w:r>
      <w:r w:rsidR="002C3E6E">
        <w:rPr>
          <w:rFonts w:ascii="Times New Roman" w:hAnsi="Times New Roman" w:cs="Times New Roman"/>
          <w:sz w:val="24"/>
          <w:szCs w:val="24"/>
          <w:lang w:val="en-GB"/>
        </w:rPr>
        <w:t>s</w:t>
      </w:r>
      <w:r w:rsidR="002C3E6E" w:rsidRPr="75A96201">
        <w:rPr>
          <w:rFonts w:ascii="Times New Roman" w:hAnsi="Times New Roman" w:cs="Times New Roman"/>
          <w:sz w:val="24"/>
          <w:szCs w:val="24"/>
          <w:lang w:val="en-GB"/>
        </w:rPr>
        <w:t>,</w:t>
      </w:r>
      <w:r w:rsidR="002C3E6E">
        <w:rPr>
          <w:rFonts w:ascii="Times New Roman" w:hAnsi="Times New Roman" w:cs="Times New Roman"/>
          <w:sz w:val="24"/>
          <w:szCs w:val="24"/>
          <w:lang w:val="en-GB"/>
        </w:rPr>
        <w:t xml:space="preserve"> and</w:t>
      </w:r>
      <w:r w:rsidR="002C3E6E" w:rsidRPr="75A96201">
        <w:rPr>
          <w:rFonts w:ascii="Times New Roman" w:hAnsi="Times New Roman" w:cs="Times New Roman"/>
          <w:sz w:val="24"/>
          <w:szCs w:val="24"/>
          <w:lang w:val="en-GB"/>
        </w:rPr>
        <w:t xml:space="preserve"> retailer</w:t>
      </w:r>
      <w:r w:rsidR="002C3E6E">
        <w:rPr>
          <w:rFonts w:ascii="Times New Roman" w:hAnsi="Times New Roman" w:cs="Times New Roman"/>
          <w:sz w:val="24"/>
          <w:szCs w:val="24"/>
          <w:lang w:val="en-GB"/>
        </w:rPr>
        <w:t>s)</w:t>
      </w:r>
      <w:r w:rsidR="002C3E6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and downstream</w:t>
      </w:r>
      <w:r w:rsidR="002C3E6E">
        <w:rPr>
          <w:rFonts w:ascii="Times New Roman" w:hAnsi="Times New Roman" w:cs="Times New Roman"/>
          <w:sz w:val="24"/>
          <w:szCs w:val="24"/>
          <w:lang w:val="en-GB"/>
        </w:rPr>
        <w:t xml:space="preserve"> (with</w:t>
      </w:r>
      <w:r w:rsidRPr="75A96201">
        <w:rPr>
          <w:rFonts w:ascii="Times New Roman" w:hAnsi="Times New Roman" w:cs="Times New Roman"/>
          <w:sz w:val="24"/>
          <w:szCs w:val="24"/>
          <w:lang w:val="en-GB"/>
        </w:rPr>
        <w:t xml:space="preserve"> </w:t>
      </w:r>
      <w:r w:rsidR="002C3E6E" w:rsidRPr="75A96201">
        <w:rPr>
          <w:rFonts w:ascii="Times New Roman" w:hAnsi="Times New Roman" w:cs="Times New Roman"/>
          <w:sz w:val="24"/>
          <w:szCs w:val="24"/>
          <w:lang w:val="en-GB"/>
        </w:rPr>
        <w:t>customer</w:t>
      </w:r>
      <w:r w:rsidR="002C3E6E">
        <w:rPr>
          <w:rFonts w:ascii="Times New Roman" w:hAnsi="Times New Roman" w:cs="Times New Roman"/>
          <w:sz w:val="24"/>
          <w:szCs w:val="24"/>
          <w:lang w:val="en-GB"/>
        </w:rPr>
        <w:t>s)</w:t>
      </w:r>
      <w:r w:rsidR="002C3E6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collaborations with supply chain actors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{"citationItems":[{"id":"ITEM-1","itemData":{"DOI":"10.1016/J.INDMARMAN.2022.06.015","ISSN":"0019-8501","abstract":"The circular economy (CE) has been lauded as a path enabling more environmentally sustainable economic growth for diverse industrial companies, requiring them to design and implement circular business models (CBMs). A CE widens a company's perspective to include supply chains when adopting and implementing a CBM; however, the intersection of CBMs and circular supply chain management (CSCM) research has been under-studied. Although considerable CBM research has been carried out, the role of supply chain collaboration in companies' CBMs has been neglected. To address this research gap, in the present study we integrate knowledge from CBM and CSCM literature and conduct a qualitative multiple case study of six Italian and Finnish companies in order to analyze how their supply chain collaborations enable implementation of CBMs. The results allow us to develop a new conceptual framework, a synthesis of how supply chain collaborations support companies' CBM design and implementation, and a research agenda comprising seven thematic management aspects at micro, meso, and macro-levels. The framework, synthesis, and agenda provide conceptual guidance and structure for researchers and pragmatic guidance for managers.","author":[{"dropping-particle":"","family":"Aarikka-Stenroos","given":"Leena","non-dropping-particle":"","parse-names":false,"suffix":""},{"dropping-particle":"","family":"Chiaroni","given":"Davide","non-dropping-particle":"","parse-names":false,"suffix":""},{"dropping-particle":"","family":"Kaipainen","given":"Jenni","non-dropping-particle":"","parse-names":false,"suffix":""},{"dropping-particle":"","family":"Urbinati","given":"Andrea","non-dropping-particle":"","parse-names":false,"suffix":""}],"container-title":"Industrial Marketing Management","id":"ITEM-1","issued":{"date-parts":[["2022","8","1"]]},"page":"322-339","publisher":"Elsevier","title":"Companies' circular business models enabled by supply chain collaborations: An empirical-based framework, synthesis, and research agenda","type":"article-journal","volume":"105"},"uris":["http://www.mendeley.com/documents/?uuid=1f6efa56-9102-3d7f-903a-13ab0c051b58"]}],"mendeley":{"formattedCitation":"(Aarikka-Stenroos et al., 2022)","plainTextFormattedCitation":"(Aarikka-Stenroos et al., 2022)","previouslyFormattedCitation":"(Aarikka-Stenroos et al., 2022)"},"properties":{"noteIndex":0},"schema":"https://github.com/citation-style-language/schema/raw/master/csl-citation.json"}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(Aarikka-Stenroos et al., 2022)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p>
    <w:p w14:paraId="4B8DB77F" w14:textId="45C9919C" w:rsidR="00B93D26" w:rsidRDefault="00000000">
      <w:pPr>
        <w:spacing w:after="0" w:line="360" w:lineRule="auto"/>
        <w:ind w:firstLine="284"/>
        <w:jc w:val="both"/>
        <w:rPr>
          <w:rFonts w:ascii="Times New Roman" w:hAnsi="Times New Roman" w:cs="Times New Roman"/>
          <w:sz w:val="24"/>
          <w:szCs w:val="24"/>
          <w:lang w:val="en-US"/>
        </w:rPr>
      </w:pPr>
      <w:r w:rsidRPr="75A96201">
        <w:rPr>
          <w:rFonts w:ascii="Times New Roman" w:hAnsi="Times New Roman" w:cs="Times New Roman"/>
          <w:sz w:val="24"/>
          <w:szCs w:val="24"/>
          <w:lang w:val="en-US"/>
        </w:rPr>
        <w:t xml:space="preserve">Supply chains collaborations in accordance with CE principles are reflected in the concept of </w:t>
      </w:r>
      <w:r w:rsidRPr="75A96201">
        <w:rPr>
          <w:rFonts w:ascii="Times New Roman" w:hAnsi="Times New Roman" w:cs="Times New Roman"/>
          <w:sz w:val="24"/>
          <w:szCs w:val="24"/>
          <w:lang w:val="en-GB"/>
        </w:rPr>
        <w:t xml:space="preserve">CSC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{"citationItems":[{"id":"ITEM-1","itemData":{"DOI":"10.1080/09537287.2018.1449244","ISSN":"13665871","abstract":"Circular modes of production, known as the circular economy, are welcomed in political and business circles to overcome the shortcomings of traditional linear operating models. This article presents preliminary propositions concerning implications for the development of what we term ‘circular supply chains’, defined here as the embodiment of circular economy principles within supply chain management. Our propositions are based on the following arguments: a shift from product ownership to leasing and access in supply chain relationships; the relevance of structural flexibility and start-ups in regional or local loops; open and closed material loops in technical and biological cycles; closer collaboration within and beyond immediate industry boundaries and public and private procurement in the service industry as a lever for the scaling up of circular business models. We discuss what these circular economy principles mean in terms of supply chain challenges and conclude with limitations and future research agenda.","author":[{"dropping-particle":"","family":"Angelis","given":"Roberta","non-dropping-particle":"De","parse-names":false,"suffix":""},{"dropping-particle":"","family":"Howard","given":"Mickey","non-dropping-particle":"","parse-names":false,"suffix":""},{"dropping-particle":"","family":"Miemczyk","given":"Joe","non-dropping-particle":"","parse-names":false,"suffix":""}],"container-title":"Production Planning and Control","id":"ITEM-1","issue":"6","issued":{"date-parts":[["2018"]]},"page":"425-437","title":"Supply chain management and the circular economy: towards the circular supply chain","type":"article-journal","volume":"29"},"uris":["http://www.mendeley.com/documents/?uuid=16dfbfce-396d-4da5-9047-d67405352fb4"]},{"id":"ITEM-2","itemData":{"DOI":"10.1016/j.jclepro.2019.04.303","ISSN":"09596526","abstract":"Circular economy is increasingly recognized as a better alternative to the dominant linear (take, make, and dispose)economic model. Circular Supply Chain Management (CSCM), which integrates the philosophy of the circular economy into supply chain management, offers a new and compelling perspective to the supply chain sustainability domain. Consequently, there is increasing research interest. However, a review of the extant literature shows that a comprehensive integrated view of CSCM is still absent in the extant literature. This prohibits a clear distinction compared to other supply chain sustainability concepts and hinders further progress of the field. In response, this research first classifies various terminologies related to supply chain sustainability and conceptualizes a unifying definition of CSCM. Using this definition as a base, it then conducts a structured literature review of 261 research articles on the current state of CSCM research. Based on the review results, the researchers call for further studies in the following directions that are important but received little or no attention: design for circularity, procurement and CSCM, biodegradable packaging, circular supply chain collaboration and coordination, drivers and barriers of CSCM, circular consumption, product liabilities and producer's responsibility, and technologies and CSCM.","author":[{"dropping-particle":"","family":"Farooque","given":"Muhammad","non-dropping-particle":"","parse-names":false,"suffix":""},{"dropping-particle":"","family":"Zhang","given":"Abraham","non-dropping-particle":"","parse-names":false,"suffix":""},{"dropping-particle":"","family":"Thürer","given":"Matthias","non-dropping-particle":"","parse-names":false,"suffix":""},{"dropping-particle":"","family":"Qu","given":"Ting","non-dropping-particle":"","parse-names":false,"suffix":""},{"dropping-particle":"","family":"Huisingh","given":"Donald","non-dropping-particle":"","parse-names":false,"suffix":""}],"container-title":"Journal of Cleaner Production","id":"ITEM-2","issue":"April","issued":{"date-parts":[["2019"]]},"page":"882-900","title":"Circular supply chain management: A definition and structured literature review","type":"article-journal","volume":"228"},"uris":["http://www.mendeley.com/documents/?uuid=194acd2e-8013-4f9d-a718-90227ad8182c"]}],"mendeley":{"formattedCitation":"(De Angelis et al., 2018; Farooque et al., 2019)","plainTextFormattedCitation":"(De Angelis et al., 2018; Farooque et al., 2019)","previouslyFormattedCitation":"(De Angelis et al., 2018; Farooque et al., 2019)"},"properties":{"noteIndex":0},"schema":"https://github.com/citation-style-language/schema/raw/master/csl-citation.json"}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(De Angelis et al., 2018; Farooque et al., 2019)</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which enables the application of reuse, remanufacturing, and recycling practices towards a circular model of products, by-products, and waste</w:t>
      </w:r>
      <w:r w:rsidR="00FA2B1F">
        <w:rPr>
          <w:rFonts w:ascii="Times New Roman" w:hAnsi="Times New Roman" w:cs="Times New Roman"/>
          <w:sz w:val="24"/>
          <w:szCs w:val="24"/>
          <w:lang w:val="en-GB"/>
        </w:rPr>
        <w:t xml:space="preserve"> </w:t>
      </w:r>
      <w:r w:rsidR="00FA2B1F" w:rsidRPr="75A96201">
        <w:rPr>
          <w:rFonts w:ascii="Times New Roman" w:hAnsi="Times New Roman" w:cs="Times New Roman"/>
          <w:sz w:val="24"/>
          <w:szCs w:val="24"/>
          <w:lang w:val="en-GB"/>
        </w:rPr>
        <w:t>flo</w:t>
      </w:r>
      <w:r w:rsidR="00FA2B1F">
        <w:rPr>
          <w:rFonts w:ascii="Times New Roman" w:hAnsi="Times New Roman" w:cs="Times New Roman"/>
          <w:sz w:val="24"/>
          <w:szCs w:val="24"/>
          <w:lang w:val="en-GB"/>
        </w:rPr>
        <w:t>ws</w:t>
      </w:r>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{"citationItems":[{"id":"ITEM-1","itemData":{"DOI":"10.1080/09537287.2018.1449265","ISSN":"13665871","abstract":"Circular supply chain (CSC) emphasises surge in application of reuse, recycling, remanufacturing and thereby promotes transformation from linear to circular model of flow of products. Supply chains of manufacturing industries have become global over the years. Products manufactured in developing nations are being sent to developed nations for mass consumption. Developed nations have regulatory policies, technological knowhow and modern infrastructure to adopt CSC model. Their counterpart is trailing in these aspects. In literature, limited work has been performed on identifying challenges of implementing CSC in developing nations. Therefore, employing literature review and feedback received from experts, 16 important barriers were identified to CSC adoption in India. These barriers were analysed using integrated Interpretive Structural Modelling ? MICMAC approach. The findings will contribute in transforming supply chains thereby bringing economic prosperity, addressing global warming and generating employment opportunities. Finally, crucial policy measures and recommendations are proposed to assist managers and government bodies.","author":[{"dropping-part</w:instrText>
      </w:r>
      <w:r w:rsidRPr="00526FBC">
        <w:rPr>
          <w:rFonts w:ascii="Times New Roman" w:hAnsi="Times New Roman" w:cs="Times New Roman"/>
          <w:sz w:val="24"/>
          <w:szCs w:val="24"/>
          <w:lang w:val="en-GB"/>
        </w:rPr>
        <w:instrText>icle":"","family":"Mangla","given":"Sachin Kumar","non-dropping-particle":"","parse-names":false,"suffix":""},{"dropping-particle":"","family":"Luthra","given":"Sunil","non-dropping-particle":"","parse-names":false,"suffix":""},{"dropping-particle":"","family":"Mishra","given":"Nishikant","non-dropping-particle":"","parse-names":false,"suffix":""},{"dropping-particle":"","family":"Singh","given":"Akshit","non-dropping-particle":"","parse-names":false,"suffix":""},{"dropping-particle":"","family":"Rana","given":"Nripendra P.","non-dropping-particle":"","parse-names":false,"suffix":""},{"dropping-particle":"","family":"Dora","given":"Manoj","non-dropping-particle":"","parse-names":false,"suffix":""},{"dropping-particle":"","family":"Dwivedi","given":"Yogesh","non-dropping-particle":"","parse-names":false,"suffix":""}],"container-title":"Production Planning and Control","id":"ITEM-1","issue":"6","issued":{"date-parts":[["2018"]]},"page":"551-569","publisher":"Taylor &amp; Francis","title":"Barriers to effective circular supply chain management in a developing country context","type":"article-journal","volume":"29"},"uris":["http://www.mendeley.com/documents/?uuid=fa1d479a-ac29-44ae-8996-a5584c386b0b"]}],"mendeley":{"formattedCitation":"(Mangla et al., 2018)","plainTextFormattedCitation":"(Mangla et al., 2018)","previouslyFormattedCitation":"(Mangla et al., 2018)"},"properties":{"noteIndex":0},"schema":"https://github.com/citation-style-language/schema/raw/master/csl-citation.json"}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00526FBC">
        <w:rPr>
          <w:rFonts w:ascii="Times New Roman" w:hAnsi="Times New Roman" w:cs="Times New Roman"/>
          <w:noProof/>
          <w:sz w:val="24"/>
          <w:szCs w:val="24"/>
          <w:lang w:val="en-GB"/>
        </w:rPr>
        <w:t>(Mangla et al., 2018)</w:t>
      </w:r>
      <w:r w:rsidRPr="75A96201">
        <w:rPr>
          <w:rFonts w:ascii="Times New Roman" w:hAnsi="Times New Roman" w:cs="Times New Roman"/>
          <w:sz w:val="24"/>
          <w:szCs w:val="24"/>
          <w:lang w:val="en-GB"/>
        </w:rPr>
        <w:fldChar w:fldCharType="end"/>
      </w:r>
      <w:r w:rsidRPr="00526FBC">
        <w:rPr>
          <w:rFonts w:ascii="Times New Roman" w:hAnsi="Times New Roman" w:cs="Times New Roman"/>
          <w:sz w:val="24"/>
          <w:szCs w:val="24"/>
          <w:lang w:val="en-GB"/>
        </w:rPr>
        <w:t xml:space="preserve">. </w:t>
      </w:r>
      <w:r w:rsidR="002C3E6E" w:rsidRPr="00526FBC">
        <w:rPr>
          <w:rFonts w:ascii="Times New Roman" w:hAnsi="Times New Roman" w:cs="Times New Roman"/>
          <w:sz w:val="24"/>
          <w:szCs w:val="24"/>
          <w:lang w:val="en-GB"/>
        </w:rPr>
        <w:t>E</w:t>
      </w:r>
      <w:r w:rsidR="00FA2B1F" w:rsidRPr="00526FBC">
        <w:rPr>
          <w:rFonts w:ascii="Times New Roman" w:hAnsi="Times New Roman" w:cs="Times New Roman"/>
          <w:sz w:val="24"/>
          <w:szCs w:val="24"/>
          <w:lang w:val="en-GB"/>
        </w:rPr>
        <w:t xml:space="preserve">xisting literature identifies </w:t>
      </w:r>
      <w:r w:rsidRPr="00526FBC">
        <w:rPr>
          <w:rFonts w:ascii="Times New Roman" w:hAnsi="Times New Roman" w:cs="Times New Roman"/>
          <w:sz w:val="24"/>
          <w:szCs w:val="24"/>
          <w:lang w:val="en-GB"/>
        </w:rPr>
        <w:t xml:space="preserve">three main CSC strategies to put CE principles into practice by leveraging collaborations among supply chain actors, i.e., closing, slowing, and narrowing of resource loops </w:t>
      </w:r>
      <w:r w:rsidRPr="75A96201">
        <w:rPr>
          <w:rFonts w:ascii="Times New Roman" w:hAnsi="Times New Roman" w:cs="Times New Roman"/>
          <w:sz w:val="24"/>
          <w:szCs w:val="24"/>
          <w:lang w:val="en-US"/>
        </w:rPr>
        <w:fldChar w:fldCharType="begin" w:fldLock="1"/>
      </w:r>
      <w:r w:rsidRPr="00526FBC">
        <w:rPr>
          <w:rFonts w:ascii="Times New Roman" w:hAnsi="Times New Roman" w:cs="Times New Roman"/>
          <w:sz w:val="24"/>
          <w:szCs w:val="24"/>
          <w:lang w:val="en-GB"/>
        </w:rPr>
        <w:instrText>ADDIN CSL_CITATION {"citationItems":[{"id":"ITEM-1","itemData":{"DOI":"10.1080/21681015.2016.1172124","abstract":"The transition within business from a linear to a circular economy brings with it a range of practical challenges for companies. The following question is addressed: What are the product design and...","author":[{"dropping-particle":"","family":"Bocken","given":"Nancy M. P.","non-dropping-particle":"","parse-names":false,"suffix":""},{"dropping-particle":"de","family":"Pauw","given":"Ingrid","non-dropping-particle":"","parse-names":false,"suffix":""},{"dropping-particle":"","family":"Bakker","given":"Conny","non-dropping-particle":"","parse-names":false,"suffix":""},{"dropping-particle":"van der","family":"Grinten","given":"Bram","non-dropping-particle":"","parse-names":false,"suffix":""}],"container-title":"https://doi.org/10.1080/21681015.2016.1172124","id":"ITEM-1","issue":"5","issued":{"date-parts":[["2016","7"]]},"page":"308-320","publisher":"Taylor &amp; Francis","title":"Product design and business model strategies for a circular economy","type":"article-journal","volume":"33"},"uris":["http://www.mendeley.com/documents/?uuid=1775037c-0c9f-4dc9-a480-d25f03eb5daf"]},{"id":"ITEM-2","itemData":{"DOI":"10.1016/j.jclepro.2018.04.159","ISSN":"09596526","abstract</w:instrText>
      </w:r>
      <w:r w:rsidRPr="75A96201">
        <w:rPr>
          <w:rFonts w:ascii="Times New Roman" w:hAnsi="Times New Roman" w:cs="Times New Roman"/>
          <w:sz w:val="24"/>
          <w:szCs w:val="24"/>
          <w:lang w:val="en-US"/>
        </w:rPr>
        <w:instrTex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Production","id":"ITEM-2","issued":{"date-parts":[["2018"]]},"page":"712-721","publisher":"Elsevier Ltd","title":"Business models and supply chains for the circular economy","type":"article-journal","volume":"190"},"uris":["http://www.mendeley.com/documents/?uuid=247dad4e-a4ad-42c4-a234-a22c5645f5f0"]}],"mendeley":{"formattedCitation":"(N. M. P. Bocken et al., 2016; Geissdoerfer et al., 2018)","manualFormatting":"(Bocken et al., 2016; Geissdoerfer et al., 2018)","plainTextFormattedCitation":"(N. M. P. Bocken et al., 2016; Geissdoerfer et al., 2018)","previouslyFormattedCitation":"(N. M. P. Bocken et al., 2016; Geissdoerfer et al., 2018)"},"properties":{"noteIndex":0},"schema":"https://github.com/citation-style-language/schema/raw/master/csl-citation.json"}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(Bocken et al., 2016; Geissdoerfer et al., 2018)</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The closing strategy is aimed at closing the loop between post-use and production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{"citationItems":[{"id":"ITEM-1","itemData":{"DOI":"10.1016/J.FUTURES.2016.05.012","ISSN":"0016-3287","abstract":"Programmes and policies for a Circular Economy (CE) are fast becoming key to regional and international plans for creating sustainable futures. Framed as a technologically driven and economically profitable vision of continued growth in a resource-scarce world, the CE has of late been taken up by the European Commission and global business leaders alike. However, within CE debates and documentation, little is said about the social and political implications of such transformative agendas. Whilst CE proponents claim their agenda is ‘radical’, this paper outlines its inability to address many deeply embedded challenges around issues of consumption and the consumer, echoing as it does the problematic (and arguably failed) agendas of sustainable consumption/lifestyles. Using the Sharing Economy as an example, we argue here that the ontological and sociological assumptions of the CE must be open to more ‘radical’ critique and reconsideration if this agenda is to deliver the profound transformations that its advocates claim are within our collective reach.","author":[{"dropping-particle":"","family":"Hobson","given":"Kersty","non-dropping-particle":"","parse-names":false,"suffix":""},{"dropping-particle":"","family":"Lynch","given":"Nicholas","non-dropping-particle":"","parse-names":false,"suffix":""}],"container-title":"Futures","id":"ITEM-1","issued":{"date-parts":[["2016","9"]]},"page":"15-25","publisher":"Pergamon","title":"Diversifying and de-growing the circular economy: Radical social transformation in a resource-scarce world","type":"article-journal","volume":"82"},"uris":["http://www.mendeley.com/documents/?uuid=d69d6c75-a2b2-46b6-9392-fd00234a258c"]}],"mendeley":{"formattedCitation":"(Hobson &amp; Lynch, 2016)","plainTextFormattedCitation":"(Hobson &amp; Lynch, 2016)","previouslyFormattedCitation":"(Hobson &amp; Lynch, 2016)"},"properties":{"noteIndex":0},"schema":"https://github.com/citation-style-language/schema/raw/master/csl-citation.json"}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(Hobson &amp; Lynch, 2016)</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The slowing strategy is aimed at extending the period of product use, thus resulting in a slowdown of the flow of resources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{"citationItems":[{"id":"ITEM-1","itemData":{"DOI":"10.1007/978-3-030-04290-5_17/COVER/","ISBN":"9783030042899","ISSN":"21903026","abstract":"The Circular Economy is viewed as an important driver for resolving resource issues and tackling sustainability issues more broadly. The fashion industry operates in a largely linear way and suffers from various environmental, societal and economic challenges. In a Circular Economy, first and foremost, products need to be retained at the highest level, thus slowing resource loops. Slowing resource loops goes against current fast fashion trends and therefore appears the most difficult approach to pursue. This paper investigates how a large established retailer aims to slow resource loops as part of a broader project targeted to significantly reduce textile waste to landfill. The retailer collaborated with a university partner to pursue circular business model experiments. This paper reports on the approach for a slowing resource loops experiment around building sewing capabilities. Suggestions for future research and practice on circular business model experimentation are included.","author":[{"dropping-particle":"","family":"Bocken","given":"Nancy","non-dropping-particle":"","parse-names":false,"suffix":""},{"dropping-particle":"","family":"Miller","given":"Karen","non-dropping-particle":"","parse-names":false,"suffix":""},{"dropping-particle":"","family":"Weissbrod","given":"Ilka","non-dropping-particle":"","parse-names":false,"suffix":""},{"dropping-particle":"","family":"Holgado","given":"Maria","non-dropping-particle":"","parse-names":false,"suffix":""},{"dropping-particle":"","family":"Evans","given":"Steve","non-dropping-particle":"","parse-names":false,"suffix":""}],"container-title":"Smart Innovation, Systems and Technologies","id":"ITEM-1","issued":{"date-parts":[["2019"]]},"page":"164-173","publisher":"Springer Science and Business Media Deutschland GmbH","title":"Slowing resource loops in the circular economy: An experimentation approach in fashion retail","type":"article-journal","volume":"130"},"uris":["http://www.mendeley.com/documents/?uuid=706eff1c-68e3-3483-8b15-8b41abd82033"]}],"mendeley":{"formattedCitation":"(N. Bocken et al., 2019)","manualFormatting":"(Bocken et al., 2019)","plainTextFormattedCitation":"(N. Bocken et al., 2019)","previouslyFormattedCitation":"(N. Bocken et al., 2019)"},"properties":{"noteIndex":0},"schema":"https://github.com/citation-style-language/schema/raw/master/csl-citation.json"}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(Bocken et al., 2019)</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The narrowing strategy is aimed at increasing resource efficiency, i.e., by using fewer resources per product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{"citationItems":[{"id":"ITEM-1","itemData":{"URL":"https://vbn.aau.dk/en/publications/slowing-and-narrowing-resource-flows-as-part-of-circular-economy-","accessed":{"date-parts":[["2022","6","27"]]},"author":[{"dropping-particle":"","family":"Jørgensen","given":"Michael Søgaard","non-dropping-particle":"","parse-names":false,"suffix":""},{"dropping-particle":"","family":"Remmen","given":"Arne","non-dropping-particle":"","parse-names":false,"suffix":""},{"dropping-particle":"","family":"Guldmann","given":"Eva","non-dropping-particle":"","parse-names":false,"suffix":""},{"dropping-particle":"","family":"Brodersen","given":"Søsser","non-dropping-particle":"","parse-names":false,"suffix":""},{"dropping-particle":"","family":"Pedersen","given":"Signe","non-dropping-particle":"","parse-names":false,"suffix":""}],"id":"ITEM-1","issued":{"date-parts":[["2018"]]},"title":"Slowing and narrowing resource flows as part of circular economy business strategies — Aalborg University's Research Portal","type":"webpage"},"uris":["http://www.mendeley.com/documents/?uuid=41b2f7cf-6eaa-3edf-8b59-169b2f95e212"]}],"mendeley":{"formattedCitation":"(Jørgensen et al., 2018)","plainTextFormattedCitation":"(Jørgensen et al., 2018)","previouslyFormattedCitation":"(Jørgensen et al., 2018)"},"properties":{"noteIndex":0},"schema":"https://github.com/citation-style-language/schema/raw/master/csl-citation.json"}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(Jørgensen et al., 2018)</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w:t>
      </w:r>
    </w:p>
    <w:p w14:paraId="16C564D9" w14:textId="248434CB" w:rsidR="00B93D26" w:rsidRPr="004B1CF3" w:rsidRDefault="00000000" w:rsidP="75A96201">
      <w:pPr>
        <w:spacing w:line="360" w:lineRule="auto"/>
        <w:ind w:firstLine="284"/>
        <w:jc w:val="both"/>
        <w:rPr>
          <w:rFonts w:ascii="Times New Roman" w:hAnsi="Times New Roman" w:cs="Times New Roman"/>
          <w:sz w:val="24"/>
          <w:szCs w:val="24"/>
          <w:lang w:val="en-US"/>
        </w:rPr>
      </w:pPr>
      <w:r w:rsidRPr="75A96201">
        <w:rPr>
          <w:rFonts w:ascii="Times New Roman" w:hAnsi="Times New Roman" w:cs="Times New Roman"/>
          <w:sz w:val="24"/>
          <w:szCs w:val="24"/>
          <w:lang w:val="en-US"/>
        </w:rPr>
        <w:t>Each CSC strategy requires a particular endeavor to be fulfilled</w:t>
      </w:r>
      <w:r w:rsidR="00FA2B1F">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 xml:space="preserve">by companies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{"citationItems":[{"id":"ITEM-1","itemData":{"DOI":"10.1080/21681015.2016.1172124","abstract":"The transition within business from a linear to a circular economy brings with it a range of practical challenges for companies. The following question is addressed: What are the product design and...","author":[{"dropping-particle":"","family":"Bocken","given":"Nancy M. P.","non-dropping-particle":"","parse-names":false,"suffix":""},{"dropping-particle":"de","family":"Pauw","given":"Ingrid","non-dropping-particle":"","parse-names":false,"suffix":""},{"dropping-particle":"","family":"Bakker","given":"Conny","non-dropping-particle":"","parse-names":false,"suffix":""},{"dropping-particle":"van der","family":"Grinten","given":"Bram","non-dropping-particle":"","parse-names":false,"suffix":""}],"container-title":"https://doi.org/10.1080/21681015.2016.1172124","id":"ITEM-1","issue":"5","issued":{"date-parts":[["2016","7"]]},"page":"308-320","publisher":"Taylor &amp; Francis","title":"Product design and business model strategies for a circular economy","type":"article-journal","volume":"33"},"uris":["http://www.mendeley.com/documents/?uuid=1775037c-0c9f-4dc9-a480-d25f03eb5daf"]},{"id":"ITEM-2","itemData":{"DOI":"10.1016/j.jclepro.2018.04.159","ISSN":"09596526","abstract":"The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Production","id":"ITEM-2","issued":{"date-parts":[["2018"]]},"page":"712-721","publisher":"Elsevier Ltd","title":"Business models and supply chains for the circular economy","type":"article-journal","volume":"190"},"uris":["http://www.mendeley.com/documents/?uuid=247dad4e-a4ad-42c4-a234-a22c5645f5f0"]}],"mendeley":{"formattedCitation":"(N. M. P. Bocken et al., 2016; Geissdoerfer et al., 2018)","manualFormatting":"(Bocken et al., 2016)","plainTextFormattedCitation":"(N. M. P. Bocken et al., 2016; Geissdoerfer et al., 2018)","previouslyFormattedCitation":"(N. M. P. Bocken et al., 2016; Geissdoerfer et al., 2018)"},"properties":{"noteIndex":0},"schema":"https://github.com/citation-style-language/schema/raw/master/csl-citation.json"}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(Bocken et al., 2016)</w:t>
      </w:r>
      <w:r w:rsidRPr="75A96201">
        <w:rPr>
          <w:rFonts w:ascii="Times New Roman" w:hAnsi="Times New Roman" w:cs="Times New Roman"/>
          <w:sz w:val="24"/>
          <w:szCs w:val="24"/>
          <w:lang w:val="en-US"/>
        </w:rPr>
        <w:fldChar w:fldCharType="end"/>
      </w:r>
      <w:r w:rsidR="00FA2B1F" w:rsidRPr="00531EE1">
        <w:rPr>
          <w:rFonts w:ascii="Times New Roman" w:hAnsi="Times New Roman" w:cs="Times New Roman"/>
          <w:sz w:val="24"/>
          <w:szCs w:val="24"/>
          <w:lang w:val="en-GB"/>
        </w:rPr>
        <w:t>, i.e., in terms of managerial practices to be adopted</w:t>
      </w:r>
      <w:r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{"citationItems":[{"id":"ITEM-1","itemData":{"DOI":"10.1016/J.INDMARMAN.2022.06.015","ISSN":"0019-8501","abstract":"The circular economy (CE) has been lauded as a path enabling more environmentally sustainable economic growth for diverse industrial companies, requiring them to design and implement circular business models (CBMs). A CE widens a company's perspective to include supply chains when adopting and implementing a CBM; however, the intersection of CBMs and circular supply chain management (CSCM) research has been under-studied. Although considerable CBM research has been carried out, the role of supply chain collaboration in companies' CBMs has been neglected. To address this research gap, in the present study we integrate knowledge from CBM and CSCM literature and conduct a qualitative multiple case study of six Italian and Finnish companies in order to analyze how their supply chain collaborations enable implementation of CBMs. The results allow us to develop a new conceptual framework, a synthesis of how supply chain collaborations support companies' CBM design and implementation, and a research agenda comprising seven thematic management aspects at micro, meso, and macro-levels. The framework, synthesis, and agenda provide conceptual guidance and structure for researchers and pragmatic guidance for managers.","author":[{"dropping-particle":"","family":"Aarikka-Stenroos","given":"Leena","non-dropping-particle":"","parse-names":false,"suffix":""},{"dropping-particle":"","family":"Chiaroni","given":"Davide","non-dropping-particle":"","parse-names":false,"suffix":""},{"dropping-particle":"","family":"Kaipainen","given":"Jenni","non-dropping-particle":"","parse-names":false,"suffix":""},{"dropping-particle":"","family":"Urbinati","given":"Andrea","non-dropping-particle":"","parse-names":false,"suffix":""}],"container-title":"Industrial Marketing Management","id":"ITEM-1","issued":{"date-parts":[["2022","8","1"]]},"page":"322-339","publisher":"Elsevier","title":"Companies' circular business models enabled by supply chain collaborations: An empirical-based framework, synthesis, and research agenda","type":"article-journal","volume":"105"},"uris":["http://www.mendeley.com/documents/?uuid=1f6efa56-9102-3d7f-903a-13ab0c051b58"]}],"mendeley":{"formattedCitation":"(Aarikka-Stenroos et al., 2022)","plainTextFormattedCitation":"(Aarikka-Stenroos et al., 2022)","previouslyFormattedCitation":"(Aarikka-Stenroos et al., 2022)"},"properties":{"noteIndex":0},"schema":"https://github.com/citation-style-language/schema/raw/master/csl-citation.json"}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(Aarikka-Stenroos et al., 2022)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US"/>
        </w:rPr>
        <w:t>. Table 1 shows, for each CSC strategy, the set of enabling managerial practices and related definitions, as identified within the existing literature (</w:t>
      </w:r>
      <w:proofErr w:type="spellStart"/>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{"citationItems":[{"id":"ITEM-1","itemData":{"DOI":"10.1016/J.RESCONREC.2019.104553","ISSN":"0921-3449","abstract":"The transition to a circular economy requires actions and policies. In the praxis of governance, a common way to steer the transition to a different state proceeds through the setting of targets. Thus far, no study has investigated circular economy targets in a systematic way. To bridge this gap, this study examines which targets can facilitate the transition towards a circular economy. The analysis focuses both on existing and new targets; the latter complement existing targets which are limited to a few discrete cases addressing only partially the goal of a more circular economy. A framework based on 10 common circular economy strategies (i.e. recover, recycling, repurpose, remanufacture, refurbish, repair, re-use, reduce, rethink, refuse) is applied to scrutinise the selected targets. The study clarifies that existing targets for recovery and recycling do not necessarily promote a circular economy, though they are the most commonly applied targets so far. Because of lack of efficacy of recovery and recycling, targets should instead favour other more powerful circular economy strategies. In relation to these, the study looks into new and existing targets showing how they can reduce waste, increase efficiency, close production loops, and maximise retention of the economic value of materials and products. In particular, the study proposes an expanded set of brand new targets for the transition to a circular economy together with a fresh view on targets aimed at scholars and decision-makers alike.","author":[{"dropping-particle":"","family":"Morseletto","given":"Piero","non-dropping-particle":"","parse-names":false,"suffix":""}],"container-title":"Resources, Conservation and Recycling","id":"ITEM-1","issued":{"date-parts":[["2020","2","1"]]},"page":"104553","publisher":"Elsevier","title":"Targets for a circular economy","type":"article-journal","volume":"153"},"uris":["http://www.mendeley.com/documents/?uuid=b8c8ec4f-9e6f-3f3e-9a26-677892f49257"]}],"mendeley":{"formattedCitation":"(Morseletto, 2020)","manualFormatting":"Morseletto, 2020","plainTextFormattedCitation":"(Morseletto, 2020)","previouslyFormattedCitation":"(Morseletto, 2020)"},"properties":{"noteIndex":0},"schema":"https://github.com/citation-style-language/schema/raw/master/csl-citation.json"}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Morseletto</w:t>
      </w:r>
      <w:proofErr w:type="spellEnd"/>
      <w:r w:rsidRPr="75A96201">
        <w:rPr>
          <w:rFonts w:ascii="Times New Roman" w:hAnsi="Times New Roman" w:cs="Times New Roman"/>
          <w:noProof/>
          <w:sz w:val="24"/>
          <w:szCs w:val="24"/>
          <w:lang w:val="en-US"/>
        </w:rPr>
        <w:t>, 2020</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The narrowing strategy can be enabled by reuse, refuse, rethink, and reduce practices, which enable using fewer resources per product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{"citationItems":[{"id":"ITEM-1","itemData":{"URL":"https://vbn.aau.dk/en/publications/slowing-and-narrowing-resource-flows-as-part-of-circular-economy-","accessed":{"date-parts":[["2022","6","27"]]},"author":[{"dropping-particle":"","family":"Jørgensen","given":"Michael Søgaard","non-dropping-particle":"","parse-names":false,"suffix":""},{"dropping-particle":"","family":"Remmen","given":"Arne","non-dropping-particle":"","parse-names":false,"suffix":""},{"dropping-particle":"","family":"Guldmann","given":"Eva","non-dropping-particle":"","parse-names":false,"suffix":""},{"dropping-particle":"","family":"Brodersen","given":"Søsser","non-dropping-particle":"","parse-names":false,"suffix":""},{"dropping-particle":"","family":"Pedersen","given":"Signe","non-dropping-particle":"","parse-names":false,"suffix":""}],"id":"ITEM-1","issued":{"date-parts":[["2018"]]},"title":"Slowing and narrowing resource flows as part of circular economy business strategies — Aalborg University's Research Portal","type":"webpage"},"uris":["http://www.mendeley.com/documents/?uuid=41b2f7cf-6eaa-3edf-8b59-169b2f95e212"]}],"mendeley":{"formattedCitation":"(Jørgensen et al., 2018)","plainTextFormattedCitation":"(Jørgensen et al., 2018)","previouslyFormattedCitation":"(Jørgensen et al., 2018)"},"properties":{"noteIndex":0},"schema":"https://github.com/citation-style-language/schema/raw/master/csl-citation.json"}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(Jørgensen et al., 2018)</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The slowing strategy can be enabled by repair, refurbish, remanufacture, and repurpose practices, all of them helping to extend the product-use period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{"citationItems":[{"id":"ITEM-1","itemData":{"DOI":"10.1007/978-3-030-04290-5_17/COVER/","ISBN":"9783030042899","ISSN":"21903026","abstract":"The Circular Economy is viewed as an important driver for resolving resource issues and tackling sustainability issues more broadly. The fashion industry operates in a largely linear way and suffers from various environmental, societal and economic challenges. In a Circular Economy, first and foremost, products need to be retained at the highest level, thus slowing resource loops. Slowing resource loops goes against current fast fashion trends and therefore appears the most difficult approach to pursue. This paper investigates how a large established retailer aims to slow resource loops as part of a broader project targeted to significantly reduce textile waste to landfill. The retailer collaborated with a university partner to pursue circular business model experiments. This paper reports on the approach for a slowing resource loops experiment around building sewing capabilities. Suggestions for future research and practice on circular business model experimentation are included.","author":[{"dropping-particle":"","family":"Bocken","given":"Nancy","non-dropping-particle":"","parse-names":false,"suffix":""},{"dropping-particle":"","family":"Miller","given":"Karen","non-dropping-particle":"","parse-names":false,"suffix":""},{"dropping-particle":"","family":"Weissbrod","given":"Ilka","non-dropping-particle":"","parse-names":false,"suffix":""},{"dropping-particle":"","family":"Holgado","given":"Maria","non-dropping-particle":"","parse-names":false,"suffix":""},{"dropping-particle":"","family":"Evans","given":"Steve","non-dropping-particle":"","parse-names":false,"suffix":""}],"container-title":"Smart Innovation, Systems and Technologies","id":"ITEM-1","issued":{"date-parts":[["2019"]]},"page":"164-173","publisher":"Springer Science and Business Media Deutschland GmbH","title":"Slowing resource loops in the circular economy: An experimentation approach in fashion retail","type":"article-journal","volume":"130"},"uris":["http://www.mendeley.com/documents/?uuid=706eff1c-68e3-3483-8b15-8b41abd82033"]}],"mendeley":{"formattedCitation":"(N. Bocken et al., 2019)","manualFormatting":"(Bocken et al., 2019)","plainTextFormattedCitation":"(N. Bocken et al., 2019)","previouslyFormattedCitation":"(N. Bocken et al., 2019)"},"properties":{"noteIndex":0},"schema":"https://github.com/citation-style-language/schema/raw/master/csl-citation.json"}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(Bocken et al., 2019)</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Finally, the closing strategy can be enabled by the recycle and recovery practices that support the closing of the loop between post-use and production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{"citationItems":[{"id":"ITEM-1","itemData":{"DOI":"10.1016/J.FUTURES.2016.05.012","ISSN":"0016-3287","abstract":"Programmes and policies for a Circular Economy (CE) are fast becoming key to regional and international plans for creating sustainable futures. Framed as a technologically driven and economically profitable vision of continued growth in a resource-scarce world, the CE has of late been taken up by the European Commission and global business leaders alike. However, within CE debates and documentation, little is said about the social and political implications of such transformative agendas. Whilst CE proponents claim their agenda is ‘radical’, this paper outlines its inability to address many deeply embedded challenges around issues of consumption and the consumer, echoing as it does the problematic (and arguably failed) agendas of sustainable consumption/lifestyles. Using the Sharing Economy as an example, we argue here that the ontological and sociological assumptions of the CE must be open to more ‘radical’ critique and reconsideration if this agenda is to deliver the profound transformations that its advocates claim are within our collective reach.","author":[{"dropping-particle":"","family":"Hobson","given":"Kersty","non-dropping-particle":"","parse-names":false,"suffix":""},{"dropping-particle":"","family":"Lynch","given":"Nicholas","non-dropping-particle":"","parse-names":false,"suffix":""}],"container-title":"Futures","id":"ITEM-1","issued":{"date-parts":[["2016","9"]]},"page":"15-25","publisher":"Pergamon","title":"Diversifying and de-growing the circular economy: Radical social transformation in a resource-scarce world","type":"article-journal","volume":"82"},"uris":["http://www.mendeley.com/documents/?uuid=d69d6c75-a2b2-46b6-9392-fd00234a258c"]}],"mendeley":{"formattedCitation":"(Hobson &amp; Lynch, 2016)","manualFormatting":"(Hobson &amp; Lynch, 2016; ","plainTextFormattedCitation":"(Hobson &amp; Lynch, 2016)","previouslyFormattedCitation":"(Hobson &amp; Lynch, 2016)"},"properties":{"noteIndex":0},"schema":"https://github.com/citation-style-language/schema/raw/master/csl-citation.json"}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 xml:space="preserve">(Hobson &amp; Lynch, 2016; </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{"citationItems":[{"id":"ITEM-1","itemData":{"URL":"https://vbn.aau.dk/en/publications/slowing-and-narrowing-resource-flows-as-part-of-circular-economy-","accessed":{"date-parts":[["2022","6","27"]]},"author":[{"dropping-particle":"","family":"Jørgensen","given":"Michael Søgaard","non-dropping-particle":"","parse-names":false,"suffix":""},{"dropping-particle":"","family":"Remmen","given":"Arne","non-dropping-particle":"","parse-names":false,"suffix":""},{"dropping-particle":"","family":"Guldmann","given":"Eva","non-dropping-particle":"","parse-names":false,"suffix":""},{"dropping-particle":"","family":"Brodersen","given":"Søsser","non-dropping-particle":"","parse-names":false,"suffix":""},{"dropping-particle":"","family":"Pedersen","given":"Signe","non-dropping-particle":"","parse-names":false,"suffix":""}],"id":"ITEM-1","issued":{"date-parts":[["2018"]]},"title":"Slowing and narrowing resource flows as part of circular economy business strategies — Aalborg University's Research Portal","type":"webpage"},"uris":["http://www.mendeley.com/documents/?uuid=41b2f7cf-6eaa-3edf-8b59-169b2f95e212"]}],"mendeley":{"formattedCitation":"(Jørgensen et al., 2018)","manualFormatting":"Jørgensen et al., 2018)","plainTextFormattedCitation":"(Jørgensen et al., 2018)","previouslyFormattedCitation":"(Jørgensen et al., 2018)"},"properties":{"noteIndex":0},"schema":"https://github.com/citation-style-language/schema/raw/master/csl-citation.json"}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Jørgensen et al., 2018)</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w:t>
      </w:r>
    </w:p>
    <w:p w14:paraId="2DBA86EA" w14:textId="77777777" w:rsidR="00B93D26" w:rsidRPr="000B621C" w:rsidRDefault="00000000" w:rsidP="004B1CF3">
      <w:pPr>
        <w:spacing w:after="0" w:line="360" w:lineRule="auto"/>
        <w:ind w:left="-5" w:hanging="10"/>
        <w:jc w:val="center"/>
        <w:rPr>
          <w:rFonts w:ascii="Times New Roman" w:hAnsi="Times New Roman" w:cs="Times New Roman"/>
          <w:sz w:val="20"/>
          <w:szCs w:val="20"/>
          <w:lang w:val="en-US"/>
        </w:rPr>
      </w:pPr>
      <w:r w:rsidRPr="000B621C">
        <w:rPr>
          <w:rFonts w:ascii="Times New Roman" w:hAnsi="Times New Roman" w:cs="Times New Roman"/>
          <w:b/>
          <w:bCs/>
          <w:sz w:val="20"/>
          <w:szCs w:val="20"/>
          <w:lang w:val="en-US"/>
        </w:rPr>
        <w:t>Table 1</w:t>
      </w:r>
      <w:r w:rsidRPr="000B621C">
        <w:rPr>
          <w:rFonts w:ascii="Times New Roman" w:hAnsi="Times New Roman" w:cs="Times New Roman"/>
          <w:sz w:val="20"/>
          <w:szCs w:val="20"/>
          <w:lang w:val="en-US"/>
        </w:rPr>
        <w:t xml:space="preserve">. </w:t>
      </w:r>
      <w:r>
        <w:rPr>
          <w:rFonts w:ascii="Times New Roman" w:hAnsi="Times New Roman" w:cs="Times New Roman"/>
          <w:sz w:val="20"/>
          <w:szCs w:val="20"/>
          <w:lang w:val="en-US"/>
        </w:rPr>
        <w:t>CSC strategies and enabling managerial practices.</w:t>
      </w:r>
    </w:p>
    <w:tbl>
      <w:tblPr>
        <w:tblStyle w:val="Grigliatabella"/>
        <w:tblW w:w="0" w:type="auto"/>
        <w:jc w:val="center"/>
        <w:tblLook w:val="06A0" w:firstRow="1" w:lastRow="0" w:firstColumn="1" w:lastColumn="0" w:noHBand="1" w:noVBand="1"/>
      </w:tblPr>
      <w:tblGrid>
        <w:gridCol w:w="1698"/>
        <w:gridCol w:w="2266"/>
        <w:gridCol w:w="5483"/>
      </w:tblGrid>
      <w:tr w:rsidR="00806481" w:rsidRPr="00BD2289" w14:paraId="403811A0" w14:textId="77777777" w:rsidTr="00567248">
        <w:trPr>
          <w:trHeight w:val="266"/>
          <w:jc w:val="center"/>
        </w:trPr>
        <w:tc>
          <w:tcPr>
            <w:tcW w:w="1698" w:type="dxa"/>
          </w:tcPr>
          <w:p w14:paraId="67D68DAE" w14:textId="77777777" w:rsidR="00B93D26" w:rsidRPr="00F7590D" w:rsidRDefault="00000000" w:rsidP="00567248">
            <w:pPr>
              <w:spacing w:line="360" w:lineRule="auto"/>
              <w:jc w:val="center"/>
              <w:rPr>
                <w:rFonts w:ascii="Times New Roman" w:hAnsi="Times New Roman" w:cs="Times New Roman"/>
                <w:b/>
                <w:bCs/>
                <w:sz w:val="20"/>
                <w:szCs w:val="20"/>
                <w:lang w:val="en-US"/>
              </w:rPr>
            </w:pPr>
            <w:r w:rsidRPr="00F7590D">
              <w:rPr>
                <w:rFonts w:ascii="Times New Roman" w:hAnsi="Times New Roman" w:cs="Times New Roman"/>
                <w:b/>
                <w:bCs/>
                <w:sz w:val="20"/>
                <w:szCs w:val="20"/>
                <w:lang w:val="en-US"/>
              </w:rPr>
              <w:t xml:space="preserve">CSC </w:t>
            </w:r>
            <w:r>
              <w:rPr>
                <w:rFonts w:ascii="Times New Roman" w:hAnsi="Times New Roman" w:cs="Times New Roman"/>
                <w:b/>
                <w:sz w:val="20"/>
                <w:szCs w:val="20"/>
              </w:rPr>
              <w:br/>
            </w:r>
            <w:r>
              <w:rPr>
                <w:rFonts w:ascii="Times New Roman" w:hAnsi="Times New Roman" w:cs="Times New Roman"/>
                <w:b/>
                <w:bCs/>
                <w:sz w:val="20"/>
                <w:szCs w:val="20"/>
                <w:lang w:val="en-US"/>
              </w:rPr>
              <w:t>strategy</w:t>
            </w:r>
          </w:p>
        </w:tc>
        <w:tc>
          <w:tcPr>
            <w:tcW w:w="2266" w:type="dxa"/>
            <w:vAlign w:val="center"/>
          </w:tcPr>
          <w:p w14:paraId="2D0641C6" w14:textId="77777777" w:rsidR="00B93D26" w:rsidRPr="00F7590D" w:rsidRDefault="00000000" w:rsidP="00567248">
            <w:pPr>
              <w:spacing w:line="360" w:lineRule="auto"/>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 xml:space="preserve">Enabling </w:t>
            </w:r>
            <w:r>
              <w:rPr>
                <w:rFonts w:ascii="Times New Roman" w:hAnsi="Times New Roman" w:cs="Times New Roman"/>
                <w:b/>
                <w:sz w:val="20"/>
                <w:szCs w:val="20"/>
              </w:rPr>
              <w:br/>
            </w:r>
            <w:r w:rsidRPr="00A82D4A">
              <w:rPr>
                <w:rFonts w:ascii="Times New Roman" w:hAnsi="Times New Roman" w:cs="Times New Roman"/>
                <w:b/>
                <w:bCs/>
                <w:sz w:val="20"/>
                <w:szCs w:val="20"/>
                <w:lang w:val="en-US"/>
              </w:rPr>
              <w:t xml:space="preserve">managerial </w:t>
            </w:r>
            <w:r w:rsidRPr="00F7590D">
              <w:rPr>
                <w:rFonts w:ascii="Times New Roman" w:hAnsi="Times New Roman" w:cs="Times New Roman"/>
                <w:b/>
                <w:bCs/>
                <w:sz w:val="20"/>
                <w:szCs w:val="20"/>
                <w:lang w:val="en-US"/>
              </w:rPr>
              <w:t>practice</w:t>
            </w:r>
          </w:p>
        </w:tc>
        <w:tc>
          <w:tcPr>
            <w:tcW w:w="5483" w:type="dxa"/>
            <w:vAlign w:val="center"/>
          </w:tcPr>
          <w:p w14:paraId="6416228B" w14:textId="77777777" w:rsidR="00B93D26" w:rsidRPr="00F7590D" w:rsidRDefault="00000000" w:rsidP="00567248">
            <w:pPr>
              <w:spacing w:line="360" w:lineRule="auto"/>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M</w:t>
            </w:r>
            <w:r w:rsidRPr="00A82D4A">
              <w:rPr>
                <w:rFonts w:ascii="Times New Roman" w:hAnsi="Times New Roman" w:cs="Times New Roman"/>
                <w:b/>
                <w:bCs/>
                <w:sz w:val="20"/>
                <w:szCs w:val="20"/>
                <w:lang w:val="en-US"/>
              </w:rPr>
              <w:t xml:space="preserve">anagerial </w:t>
            </w:r>
            <w:r>
              <w:rPr>
                <w:rFonts w:ascii="Times New Roman" w:hAnsi="Times New Roman" w:cs="Times New Roman"/>
                <w:b/>
                <w:bCs/>
                <w:sz w:val="20"/>
                <w:szCs w:val="20"/>
                <w:lang w:val="en-US"/>
              </w:rPr>
              <w:t xml:space="preserve">practice </w:t>
            </w:r>
            <w:r>
              <w:rPr>
                <w:rFonts w:ascii="Times New Roman" w:hAnsi="Times New Roman" w:cs="Times New Roman"/>
                <w:b/>
                <w:sz w:val="20"/>
                <w:szCs w:val="20"/>
              </w:rPr>
              <w:br/>
            </w:r>
            <w:r>
              <w:rPr>
                <w:rFonts w:ascii="Times New Roman" w:hAnsi="Times New Roman" w:cs="Times New Roman"/>
                <w:b/>
                <w:bCs/>
                <w:sz w:val="20"/>
                <w:szCs w:val="20"/>
                <w:lang w:val="en-US"/>
              </w:rPr>
              <w:t>d</w:t>
            </w:r>
            <w:r w:rsidRPr="00F7590D">
              <w:rPr>
                <w:rFonts w:ascii="Times New Roman" w:hAnsi="Times New Roman" w:cs="Times New Roman"/>
                <w:b/>
                <w:bCs/>
                <w:sz w:val="20"/>
                <w:szCs w:val="20"/>
                <w:lang w:val="en-US"/>
              </w:rPr>
              <w:t>efinition</w:t>
            </w:r>
          </w:p>
        </w:tc>
      </w:tr>
      <w:tr w:rsidR="00806481" w:rsidRPr="009E7235" w14:paraId="151608AB" w14:textId="77777777" w:rsidTr="00567248">
        <w:trPr>
          <w:trHeight w:val="266"/>
          <w:jc w:val="center"/>
        </w:trPr>
        <w:tc>
          <w:tcPr>
            <w:tcW w:w="1698" w:type="dxa"/>
            <w:vMerge w:val="restart"/>
            <w:vAlign w:val="center"/>
          </w:tcPr>
          <w:p w14:paraId="42090CE1" w14:textId="77777777" w:rsidR="00B93D26" w:rsidRPr="000B621C" w:rsidRDefault="00000000" w:rsidP="00567248">
            <w:pPr>
              <w:spacing w:line="36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Narrowing</w:t>
            </w:r>
          </w:p>
        </w:tc>
        <w:tc>
          <w:tcPr>
            <w:tcW w:w="2266" w:type="dxa"/>
            <w:vAlign w:val="center"/>
          </w:tcPr>
          <w:p w14:paraId="703FE0D6"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Refuse</w:t>
            </w:r>
          </w:p>
        </w:tc>
        <w:tc>
          <w:tcPr>
            <w:tcW w:w="5483" w:type="dxa"/>
            <w:vAlign w:val="center"/>
          </w:tcPr>
          <w:p w14:paraId="5DA16E6C"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Make product redundant by abandoning its function or by offering the same function with a radically different product</w:t>
            </w:r>
          </w:p>
        </w:tc>
      </w:tr>
      <w:tr w:rsidR="00806481" w:rsidRPr="009E7235" w14:paraId="3535E171" w14:textId="77777777" w:rsidTr="00567248">
        <w:trPr>
          <w:trHeight w:val="597"/>
          <w:jc w:val="center"/>
        </w:trPr>
        <w:tc>
          <w:tcPr>
            <w:tcW w:w="0" w:type="auto"/>
            <w:vMerge/>
          </w:tcPr>
          <w:p w14:paraId="09573D06" w14:textId="77777777" w:rsidR="009C63B9" w:rsidRPr="00DA3202" w:rsidRDefault="009C63B9">
            <w:pPr>
              <w:rPr>
                <w:lang w:val="en-US"/>
              </w:rPr>
            </w:pPr>
          </w:p>
        </w:tc>
        <w:tc>
          <w:tcPr>
            <w:tcW w:w="2266" w:type="dxa"/>
            <w:vAlign w:val="center"/>
          </w:tcPr>
          <w:p w14:paraId="72CCCBCB"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Rethink</w:t>
            </w:r>
          </w:p>
        </w:tc>
        <w:tc>
          <w:tcPr>
            <w:tcW w:w="5483" w:type="dxa"/>
            <w:vAlign w:val="center"/>
          </w:tcPr>
          <w:p w14:paraId="35B328ED"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Make product use more intensive (e.g., through sharing products or by putting multi-functional products on markets)</w:t>
            </w:r>
          </w:p>
        </w:tc>
      </w:tr>
      <w:tr w:rsidR="00806481" w:rsidRPr="009E7235" w14:paraId="6928FD5D" w14:textId="77777777" w:rsidTr="00567248">
        <w:trPr>
          <w:trHeight w:val="393"/>
          <w:jc w:val="center"/>
        </w:trPr>
        <w:tc>
          <w:tcPr>
            <w:tcW w:w="0" w:type="auto"/>
            <w:vMerge/>
          </w:tcPr>
          <w:p w14:paraId="6F16819E" w14:textId="77777777" w:rsidR="009C63B9" w:rsidRPr="00DA3202" w:rsidRDefault="009C63B9">
            <w:pPr>
              <w:rPr>
                <w:lang w:val="en-US"/>
              </w:rPr>
            </w:pPr>
          </w:p>
        </w:tc>
        <w:tc>
          <w:tcPr>
            <w:tcW w:w="2266" w:type="dxa"/>
            <w:vAlign w:val="center"/>
          </w:tcPr>
          <w:p w14:paraId="4D7774DF"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Reduce</w:t>
            </w:r>
          </w:p>
        </w:tc>
        <w:tc>
          <w:tcPr>
            <w:tcW w:w="5483" w:type="dxa"/>
            <w:vAlign w:val="center"/>
          </w:tcPr>
          <w:p w14:paraId="7ACB6D31"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Increase efficiency in product manufacture or use by consuming fewer natural resources</w:t>
            </w:r>
          </w:p>
        </w:tc>
      </w:tr>
      <w:tr w:rsidR="00806481" w:rsidRPr="009E7235" w14:paraId="72034765" w14:textId="77777777" w:rsidTr="00567248">
        <w:trPr>
          <w:trHeight w:val="591"/>
          <w:jc w:val="center"/>
        </w:trPr>
        <w:tc>
          <w:tcPr>
            <w:tcW w:w="0" w:type="auto"/>
            <w:vMerge/>
          </w:tcPr>
          <w:p w14:paraId="648CCFB2" w14:textId="77777777" w:rsidR="009C63B9" w:rsidRPr="00DA3202" w:rsidRDefault="009C63B9">
            <w:pPr>
              <w:rPr>
                <w:lang w:val="en-US"/>
              </w:rPr>
            </w:pPr>
          </w:p>
        </w:tc>
        <w:tc>
          <w:tcPr>
            <w:tcW w:w="2266" w:type="dxa"/>
            <w:vAlign w:val="center"/>
          </w:tcPr>
          <w:p w14:paraId="0908C39F"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Reuse</w:t>
            </w:r>
          </w:p>
        </w:tc>
        <w:tc>
          <w:tcPr>
            <w:tcW w:w="5483" w:type="dxa"/>
            <w:vAlign w:val="center"/>
          </w:tcPr>
          <w:p w14:paraId="30456A14"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Re-use by another consumer of discarded product which is still in good condition and fulfils its original function</w:t>
            </w:r>
          </w:p>
        </w:tc>
      </w:tr>
      <w:tr w:rsidR="00806481" w:rsidRPr="009E7235" w14:paraId="26A2CB95" w14:textId="77777777" w:rsidTr="00567248">
        <w:trPr>
          <w:trHeight w:val="393"/>
          <w:jc w:val="center"/>
        </w:trPr>
        <w:tc>
          <w:tcPr>
            <w:tcW w:w="1698" w:type="dxa"/>
            <w:vMerge w:val="restart"/>
            <w:vAlign w:val="center"/>
          </w:tcPr>
          <w:p w14:paraId="02D6EE7F" w14:textId="77777777" w:rsidR="00B93D26" w:rsidRPr="000B621C" w:rsidRDefault="00000000" w:rsidP="00567248">
            <w:pPr>
              <w:spacing w:line="36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Slowing</w:t>
            </w:r>
          </w:p>
        </w:tc>
        <w:tc>
          <w:tcPr>
            <w:tcW w:w="2266" w:type="dxa"/>
            <w:vAlign w:val="center"/>
          </w:tcPr>
          <w:p w14:paraId="0A883AE8"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Repair</w:t>
            </w:r>
          </w:p>
        </w:tc>
        <w:tc>
          <w:tcPr>
            <w:tcW w:w="5483" w:type="dxa"/>
            <w:vAlign w:val="center"/>
          </w:tcPr>
          <w:p w14:paraId="274895AD"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Repair and maintenance of defective product so it can be used with its original function</w:t>
            </w:r>
          </w:p>
        </w:tc>
      </w:tr>
      <w:tr w:rsidR="00806481" w:rsidRPr="009E7235" w14:paraId="3E86A90D" w14:textId="77777777" w:rsidTr="00567248">
        <w:trPr>
          <w:trHeight w:val="196"/>
          <w:jc w:val="center"/>
        </w:trPr>
        <w:tc>
          <w:tcPr>
            <w:tcW w:w="0" w:type="auto"/>
            <w:vMerge/>
          </w:tcPr>
          <w:p w14:paraId="4E68D122" w14:textId="77777777" w:rsidR="009C63B9" w:rsidRPr="00DA3202" w:rsidRDefault="009C63B9">
            <w:pPr>
              <w:rPr>
                <w:lang w:val="en-US"/>
              </w:rPr>
            </w:pPr>
          </w:p>
        </w:tc>
        <w:tc>
          <w:tcPr>
            <w:tcW w:w="2266" w:type="dxa"/>
            <w:vAlign w:val="center"/>
          </w:tcPr>
          <w:p w14:paraId="262BD7D0"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Refurbish</w:t>
            </w:r>
          </w:p>
        </w:tc>
        <w:tc>
          <w:tcPr>
            <w:tcW w:w="5483" w:type="dxa"/>
            <w:vAlign w:val="center"/>
          </w:tcPr>
          <w:p w14:paraId="7B03093F"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Restore an old product and bring it up to date</w:t>
            </w:r>
          </w:p>
        </w:tc>
      </w:tr>
      <w:tr w:rsidR="00806481" w:rsidRPr="009E7235" w14:paraId="57EC2679" w14:textId="77777777" w:rsidTr="00567248">
        <w:trPr>
          <w:trHeight w:val="393"/>
          <w:jc w:val="center"/>
        </w:trPr>
        <w:tc>
          <w:tcPr>
            <w:tcW w:w="0" w:type="auto"/>
            <w:vMerge/>
          </w:tcPr>
          <w:p w14:paraId="4F10389B" w14:textId="77777777" w:rsidR="009C63B9" w:rsidRPr="00DA3202" w:rsidRDefault="009C63B9">
            <w:pPr>
              <w:rPr>
                <w:lang w:val="en-US"/>
              </w:rPr>
            </w:pPr>
          </w:p>
        </w:tc>
        <w:tc>
          <w:tcPr>
            <w:tcW w:w="2266" w:type="dxa"/>
            <w:vAlign w:val="center"/>
          </w:tcPr>
          <w:p w14:paraId="3C5866D4"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Remanufacture</w:t>
            </w:r>
          </w:p>
        </w:tc>
        <w:tc>
          <w:tcPr>
            <w:tcW w:w="5483" w:type="dxa"/>
            <w:vAlign w:val="center"/>
          </w:tcPr>
          <w:p w14:paraId="266DA8A9"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Use parts of discarded product in a new product with the same function</w:t>
            </w:r>
          </w:p>
        </w:tc>
      </w:tr>
      <w:tr w:rsidR="00806481" w:rsidRPr="009E7235" w14:paraId="3D512CFE" w14:textId="77777777" w:rsidTr="00567248">
        <w:trPr>
          <w:trHeight w:val="400"/>
          <w:jc w:val="center"/>
        </w:trPr>
        <w:tc>
          <w:tcPr>
            <w:tcW w:w="0" w:type="auto"/>
            <w:vMerge/>
          </w:tcPr>
          <w:p w14:paraId="198CC9F3" w14:textId="77777777" w:rsidR="009C63B9" w:rsidRPr="00DA3202" w:rsidRDefault="009C63B9">
            <w:pPr>
              <w:rPr>
                <w:lang w:val="en-US"/>
              </w:rPr>
            </w:pPr>
          </w:p>
        </w:tc>
        <w:tc>
          <w:tcPr>
            <w:tcW w:w="2266" w:type="dxa"/>
            <w:vAlign w:val="center"/>
          </w:tcPr>
          <w:p w14:paraId="492C2886"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Repurpose</w:t>
            </w:r>
          </w:p>
        </w:tc>
        <w:tc>
          <w:tcPr>
            <w:tcW w:w="5483" w:type="dxa"/>
            <w:vAlign w:val="center"/>
          </w:tcPr>
          <w:p w14:paraId="3E1B6DD4"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Use discarded products or its part in a new product with a different function</w:t>
            </w:r>
          </w:p>
        </w:tc>
      </w:tr>
      <w:tr w:rsidR="00806481" w:rsidRPr="009E7235" w14:paraId="0CE20911" w14:textId="77777777" w:rsidTr="00567248">
        <w:trPr>
          <w:trHeight w:val="393"/>
          <w:jc w:val="center"/>
        </w:trPr>
        <w:tc>
          <w:tcPr>
            <w:tcW w:w="1698" w:type="dxa"/>
            <w:vMerge w:val="restart"/>
            <w:vAlign w:val="center"/>
          </w:tcPr>
          <w:p w14:paraId="6E37D0FB" w14:textId="77777777" w:rsidR="00B93D26" w:rsidRPr="000B621C" w:rsidRDefault="00000000" w:rsidP="00567248">
            <w:pPr>
              <w:spacing w:line="36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Closing</w:t>
            </w:r>
          </w:p>
        </w:tc>
        <w:tc>
          <w:tcPr>
            <w:tcW w:w="2266" w:type="dxa"/>
            <w:vAlign w:val="center"/>
          </w:tcPr>
          <w:p w14:paraId="6E591CAD"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Recycle</w:t>
            </w:r>
          </w:p>
        </w:tc>
        <w:tc>
          <w:tcPr>
            <w:tcW w:w="5483" w:type="dxa"/>
            <w:vAlign w:val="center"/>
          </w:tcPr>
          <w:p w14:paraId="6BADFD79"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Process materials to obtain the same (high grade) or lower (low grade) quality</w:t>
            </w:r>
          </w:p>
        </w:tc>
      </w:tr>
      <w:tr w:rsidR="00806481" w:rsidRPr="009E7235" w14:paraId="32B1AC0B" w14:textId="77777777" w:rsidTr="00567248">
        <w:trPr>
          <w:trHeight w:val="196"/>
          <w:jc w:val="center"/>
        </w:trPr>
        <w:tc>
          <w:tcPr>
            <w:tcW w:w="0" w:type="auto"/>
            <w:vMerge/>
          </w:tcPr>
          <w:p w14:paraId="56827943" w14:textId="77777777" w:rsidR="009C63B9" w:rsidRPr="00DA3202" w:rsidRDefault="009C63B9">
            <w:pPr>
              <w:rPr>
                <w:lang w:val="en-US"/>
              </w:rPr>
            </w:pPr>
          </w:p>
        </w:tc>
        <w:tc>
          <w:tcPr>
            <w:tcW w:w="2266" w:type="dxa"/>
            <w:vAlign w:val="center"/>
          </w:tcPr>
          <w:p w14:paraId="6672DFFF"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Recovery</w:t>
            </w:r>
          </w:p>
        </w:tc>
        <w:tc>
          <w:tcPr>
            <w:tcW w:w="5483" w:type="dxa"/>
            <w:vAlign w:val="center"/>
          </w:tcPr>
          <w:p w14:paraId="60081F9D" w14:textId="77777777" w:rsidR="00B93D26" w:rsidRPr="000B621C" w:rsidRDefault="00000000" w:rsidP="00567248">
            <w:pPr>
              <w:spacing w:line="360" w:lineRule="auto"/>
              <w:jc w:val="center"/>
              <w:rPr>
                <w:rFonts w:ascii="Times New Roman" w:hAnsi="Times New Roman" w:cs="Times New Roman"/>
                <w:sz w:val="20"/>
                <w:szCs w:val="20"/>
                <w:lang w:val="en-US"/>
              </w:rPr>
            </w:pPr>
            <w:r w:rsidRPr="000B621C">
              <w:rPr>
                <w:rFonts w:ascii="Times New Roman" w:hAnsi="Times New Roman" w:cs="Times New Roman"/>
                <w:sz w:val="20"/>
                <w:szCs w:val="20"/>
                <w:lang w:val="en-US"/>
              </w:rPr>
              <w:t>Incineration of material with energy recovery</w:t>
            </w:r>
          </w:p>
        </w:tc>
      </w:tr>
    </w:tbl>
    <w:p w14:paraId="6521EBF3" w14:textId="77777777" w:rsidR="00B93D26" w:rsidRDefault="00B93D26" w:rsidP="004B1CF3">
      <w:pPr>
        <w:spacing w:after="0" w:line="360" w:lineRule="auto"/>
        <w:jc w:val="both"/>
        <w:rPr>
          <w:rFonts w:ascii="Times New Roman" w:hAnsi="Times New Roman" w:cs="Times New Roman"/>
          <w:sz w:val="24"/>
          <w:szCs w:val="24"/>
          <w:lang w:val="en-US"/>
        </w:rPr>
      </w:pPr>
    </w:p>
    <w:p w14:paraId="6165ADD4" w14:textId="4D95E214" w:rsidR="00B93D26" w:rsidRPr="00EA2906" w:rsidRDefault="00000000" w:rsidP="006747B9">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US"/>
        </w:rPr>
        <w:t xml:space="preserve">Interestingly, existing research argues that </w:t>
      </w:r>
      <w:r w:rsidRPr="00F96EE2">
        <w:rPr>
          <w:rFonts w:ascii="Times New Roman" w:hAnsi="Times New Roman" w:cs="Times New Roman"/>
          <w:sz w:val="24"/>
          <w:szCs w:val="24"/>
          <w:lang w:val="en-US"/>
        </w:rPr>
        <w:t xml:space="preserve">collaborations </w:t>
      </w:r>
      <w:r>
        <w:rPr>
          <w:rFonts w:ascii="Times New Roman" w:hAnsi="Times New Roman" w:cs="Times New Roman"/>
          <w:sz w:val="24"/>
          <w:szCs w:val="24"/>
          <w:lang w:val="en-US"/>
        </w:rPr>
        <w:t xml:space="preserve">among </w:t>
      </w:r>
      <w:r w:rsidRPr="00F96EE2">
        <w:rPr>
          <w:rFonts w:ascii="Times New Roman" w:hAnsi="Times New Roman" w:cs="Times New Roman"/>
          <w:sz w:val="24"/>
          <w:szCs w:val="24"/>
          <w:lang w:val="en-US"/>
        </w:rPr>
        <w:t>supply chain actors</w:t>
      </w:r>
      <w:r>
        <w:rPr>
          <w:rFonts w:ascii="Times New Roman" w:hAnsi="Times New Roman" w:cs="Times New Roman"/>
          <w:sz w:val="24"/>
          <w:szCs w:val="24"/>
          <w:lang w:val="en-US"/>
        </w:rPr>
        <w:t xml:space="preserve"> through which a company implements the above-mentioned managerial practices </w:t>
      </w:r>
      <w:r>
        <w:rPr>
          <w:rFonts w:ascii="Times New Roman" w:hAnsi="Times New Roman" w:cs="Times New Roman"/>
          <w:sz w:val="24"/>
          <w:szCs w:val="24"/>
          <w:lang w:val="en-GB"/>
        </w:rPr>
        <w:t>may happen either within</w:t>
      </w:r>
      <w:r w:rsidRPr="006C3D70">
        <w:rPr>
          <w:rFonts w:ascii="Times New Roman" w:hAnsi="Times New Roman" w:cs="Times New Roman"/>
          <w:sz w:val="24"/>
          <w:szCs w:val="24"/>
          <w:lang w:val="en-GB"/>
        </w:rPr>
        <w:t xml:space="preserve"> </w:t>
      </w:r>
      <w:r>
        <w:rPr>
          <w:rFonts w:ascii="Times New Roman" w:hAnsi="Times New Roman" w:cs="Times New Roman"/>
          <w:sz w:val="24"/>
          <w:szCs w:val="24"/>
          <w:lang w:val="en-GB"/>
        </w:rPr>
        <w:t>the supply chain</w:t>
      </w:r>
      <w:r w:rsidRPr="006C3D70">
        <w:rPr>
          <w:rFonts w:ascii="Times New Roman" w:hAnsi="Times New Roman" w:cs="Times New Roman"/>
          <w:sz w:val="24"/>
          <w:szCs w:val="24"/>
          <w:lang w:val="en-GB"/>
        </w:rPr>
        <w:t xml:space="preserve"> in which </w:t>
      </w:r>
      <w:r>
        <w:rPr>
          <w:rFonts w:ascii="Times New Roman" w:hAnsi="Times New Roman" w:cs="Times New Roman"/>
          <w:sz w:val="24"/>
          <w:szCs w:val="24"/>
          <w:lang w:val="en-GB"/>
        </w:rPr>
        <w:t xml:space="preserve">a </w:t>
      </w:r>
      <w:r w:rsidRPr="006C3D70">
        <w:rPr>
          <w:rFonts w:ascii="Times New Roman" w:hAnsi="Times New Roman" w:cs="Times New Roman"/>
          <w:sz w:val="24"/>
          <w:szCs w:val="24"/>
          <w:lang w:val="en-GB"/>
        </w:rPr>
        <w:t xml:space="preserve">resource was originally </w:t>
      </w:r>
      <w:r>
        <w:rPr>
          <w:rFonts w:ascii="Times New Roman" w:hAnsi="Times New Roman" w:cs="Times New Roman"/>
          <w:sz w:val="24"/>
          <w:szCs w:val="24"/>
          <w:lang w:val="en-GB"/>
        </w:rPr>
        <w:t xml:space="preserve">addressed to or </w:t>
      </w:r>
      <w:r w:rsidR="00362995">
        <w:rPr>
          <w:rFonts w:ascii="Times New Roman" w:hAnsi="Times New Roman" w:cs="Times New Roman"/>
          <w:sz w:val="24"/>
          <w:szCs w:val="24"/>
          <w:lang w:val="en-GB"/>
        </w:rPr>
        <w:t>in</w:t>
      </w:r>
      <w:r>
        <w:rPr>
          <w:rFonts w:ascii="Times New Roman" w:hAnsi="Times New Roman" w:cs="Times New Roman"/>
          <w:sz w:val="24"/>
          <w:szCs w:val="24"/>
          <w:lang w:val="en-GB"/>
        </w:rPr>
        <w:t xml:space="preserve"> different</w:t>
      </w:r>
      <w:r w:rsidRPr="006C3D70">
        <w:rPr>
          <w:rFonts w:ascii="Times New Roman" w:hAnsi="Times New Roman" w:cs="Times New Roman"/>
          <w:sz w:val="24"/>
          <w:szCs w:val="24"/>
          <w:lang w:val="en-GB"/>
        </w:rPr>
        <w:t xml:space="preserve"> supply chain</w:t>
      </w:r>
      <w:r>
        <w:rPr>
          <w:rFonts w:ascii="Times New Roman" w:hAnsi="Times New Roman" w:cs="Times New Roman"/>
          <w:sz w:val="24"/>
          <w:szCs w:val="24"/>
          <w:lang w:val="en-GB"/>
        </w:rPr>
        <w:t>s</w:t>
      </w:r>
      <w:r w:rsidRPr="006C3D70">
        <w:rPr>
          <w:rFonts w:ascii="Times New Roman" w:hAnsi="Times New Roman" w:cs="Times New Roman"/>
          <w:sz w:val="24"/>
          <w:szCs w:val="24"/>
          <w:lang w:val="en-GB"/>
        </w:rPr>
        <w:t xml:space="preserve"> </w:t>
      </w:r>
      <w:r w:rsidR="00247672">
        <w:rPr>
          <w:rFonts w:ascii="Times New Roman" w:hAnsi="Times New Roman" w:cs="Times New Roman"/>
          <w:sz w:val="24"/>
          <w:szCs w:val="24"/>
          <w:lang w:val="en-GB"/>
        </w:rPr>
        <w:fldChar w:fldCharType="begin" w:fldLock="1"/>
      </w:r>
      <w:r w:rsidR="00247672">
        <w:rPr>
          <w:rFonts w:ascii="Times New Roman" w:hAnsi="Times New Roman" w:cs="Times New Roman"/>
          <w:sz w:val="24"/>
          <w:szCs w:val="24"/>
          <w:lang w:val="en-GB"/>
        </w:rPr>
        <w:instrText>ADDIN CSL_CITATION {"citationItems":[{"id":"ITEM-1","itemData":{"DOI":"10.1162/108819806775545411","ISSN":"1530-9290","abstract":"As a subdiscipline of industrial ecology, industrial symbiosis is concerned with resource optimization among colocated companies. The industrial symbiosis complex in Kalundborg, Denmark is the seminal example of industrial symbiosis in the industrial ecology literature. In spite of this, there has been no in-depth quantitative analysis enabling more comprehensive understanding of economic and environmental performances connected to this case. In this article some of the central industrial symbiotic exchanges, involving water and steam, in Kalundborg are analyzed, using detailed economic and environmental data. It is found that both substantial and minor environmental benefits accrue from these industrial symbiosis exchanges and that economic motivation often is connected to upstream or downstream operational performance and not directly associated with the value of the exchanged by-product or waste itself. It is concluded that industrial symbiosis, as viewed from a company perspective, has to be understood both in terms of individual economic and environmental performance, and as a more collective approach to industrial sustainability. © 2006 by the Massachusetts Institute of Technology and Yale University.","author":[{"dropping-particle":"","family":"Jacobsen","given":"Noel Brings","non-dropping-particle":"","parse-names":false,"suffix":""}],"container-title":"Journal of Industrial Ecology","id":"ITEM-1","issue":"1-2","issued":{"date-parts":[["2006","1","1"]]},"page":"239-255","publisher":"John Wiley &amp; Sons, Ltd","title":"Industrial Symbiosis in Kalundborg, Denmark: A Quantitative Assessment of Economic and Environmental Aspects","type":"article-journal","volume":"10"},"uris":["http://www.mendeley.com/documents/?uuid=657fda6c-b1a9-3db1-852b-826bb1f1d51e"]}],"mendeley":{"formattedCitation":"(Jacobsen, 2006)","plainTextFormattedCitation":"(Jacobsen, 2006)","previouslyFormattedCitation":"(Jacobsen, 2006)"},"properties":{"noteIndex":0},"schema":"https://github.com/citation-style-language/schema/raw/master/csl-citation.json"}</w:instrText>
      </w:r>
      <w:r w:rsidR="00247672">
        <w:rPr>
          <w:rFonts w:ascii="Times New Roman" w:hAnsi="Times New Roman" w:cs="Times New Roman"/>
          <w:sz w:val="24"/>
          <w:szCs w:val="24"/>
          <w:lang w:val="en-GB"/>
        </w:rPr>
        <w:fldChar w:fldCharType="separate"/>
      </w:r>
      <w:r w:rsidR="00247672" w:rsidRPr="00247672">
        <w:rPr>
          <w:rFonts w:ascii="Times New Roman" w:hAnsi="Times New Roman" w:cs="Times New Roman"/>
          <w:noProof/>
          <w:sz w:val="24"/>
          <w:szCs w:val="24"/>
          <w:lang w:val="en-GB"/>
        </w:rPr>
        <w:t>(Jacobsen, 2006)</w:t>
      </w:r>
      <w:r w:rsidR="00247672">
        <w:rPr>
          <w:rFonts w:ascii="Times New Roman" w:hAnsi="Times New Roman" w:cs="Times New Roman"/>
          <w:sz w:val="24"/>
          <w:szCs w:val="24"/>
          <w:lang w:val="en-GB"/>
        </w:rPr>
        <w:fldChar w:fldCharType="end"/>
      </w:r>
      <w:r>
        <w:rPr>
          <w:rFonts w:ascii="Times New Roman" w:hAnsi="Times New Roman" w:cs="Times New Roman"/>
          <w:sz w:val="24"/>
          <w:szCs w:val="24"/>
          <w:lang w:val="en-GB"/>
        </w:rPr>
        <w:t>. In</w:t>
      </w:r>
      <w:r>
        <w:rPr>
          <w:rFonts w:ascii="Times New Roman" w:hAnsi="Times New Roman" w:cs="Times New Roman"/>
          <w:sz w:val="24"/>
          <w:szCs w:val="24"/>
          <w:lang w:val="en-US"/>
        </w:rPr>
        <w:t xml:space="preserve"> the second case, an industrial symbiosis approach is exploited, i.e.,</w:t>
      </w:r>
      <w:r w:rsidRPr="00C53875">
        <w:rPr>
          <w:rFonts w:ascii="Times New Roman" w:hAnsi="Times New Roman" w:cs="Times New Roman"/>
          <w:sz w:val="24"/>
          <w:szCs w:val="24"/>
          <w:lang w:val="en-GB"/>
        </w:rPr>
        <w:t xml:space="preserve"> “engaging traditionally separate industries in a collective approach to competitive advantage involving </w:t>
      </w:r>
      <w:r>
        <w:rPr>
          <w:rFonts w:ascii="Times New Roman" w:hAnsi="Times New Roman" w:cs="Times New Roman"/>
          <w:sz w:val="24"/>
          <w:szCs w:val="24"/>
          <w:lang w:val="en-GB"/>
        </w:rPr>
        <w:t xml:space="preserve">the </w:t>
      </w:r>
      <w:r w:rsidRPr="00C53875">
        <w:rPr>
          <w:rFonts w:ascii="Times New Roman" w:hAnsi="Times New Roman" w:cs="Times New Roman"/>
          <w:sz w:val="24"/>
          <w:szCs w:val="24"/>
          <w:lang w:val="en-GB"/>
        </w:rPr>
        <w:t>physical exchange of materials, energy, water, and by-products</w:t>
      </w:r>
      <w:r>
        <w:rPr>
          <w:rFonts w:ascii="Times New Roman" w:hAnsi="Times New Roman" w:cs="Times New Roman"/>
          <w:sz w:val="24"/>
          <w:szCs w:val="24"/>
          <w:lang w:val="en-GB"/>
        </w:rPr>
        <w:t>.</w:t>
      </w:r>
      <w:r w:rsidRPr="00C53875">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{"citationItems":[{"id":"ITEM-1","itemData":{"DOI":"10.1162/JIEC.2007.1110","ISSN":"1530-9290","abstract":"Since 1989, efforts to understand the nature of interfirm resource sharing in the form of industrial symbiosis and to replicate in a deliberate way what was largely self-organizing in Kalundborg, Denmark have followed many paths, some with much success and some with very little. This article provides a historical view of the motivations and means for pursuing industrial symbiosis - defined to include physical exchanges of materials, energy, water, and by-products among diversified clusters of firms. It finds that \"uncovering\" existing symbioses has led to more sustainable industrial development than attempts to design and build eco-industrial parks incorporating physical exchanges. By examining 15 proposed projects brought to national and internation</w:instrText>
      </w:r>
      <w:r w:rsidRPr="001061A4">
        <w:rPr>
          <w:rFonts w:ascii="Times New Roman" w:hAnsi="Times New Roman" w:cs="Times New Roman"/>
          <w:sz w:val="24"/>
          <w:szCs w:val="24"/>
          <w:lang w:val="en-GB"/>
        </w:rPr>
        <w:instrText>al attention by the U.S. President's Council on Sustainable Development beginning in the early 1990s, and contrasting these with another 12 projects observed to share more elements of self-organization, recommendations are offered to stimulate the identification and uncovering of already existing \"kernels\" of symbiosis. In addition, policies and practices are suggested to identify early-stage precursors of potentially larger symbioses that can be nurtured and developed further. The article concludes that environmentally and economically desirable symbiotic exchanges are all around us and now we must shift our gaze to find and foster them. © 2007 by the Massachusetts Institute of Technology and Yale University.","author":[{"dropping-particle":"","family":"Chertow","given":"Marian R.","non-dropping-particle":"","parse-names":false,"suffix":""}],"container-title":"Journal of Industrial Ecology","id":"ITEM-1","issue":"1","issued":{"date-parts":[["2007","1"]]},"page":"11-30","publisher":"John Wiley &amp; Sons, Ltd","title":"“Uncovering” Industrial Symbiosis","type":"article-journal","volume":"11"},"uris":["http://www.mendeley.com/documents/?uuid=049338e1-966d-43de-8144-79e6fe9dff1e"]}],"mendeley":{"formattedCitation":"(Chertow, 2007)","manualFormatting":"(Chertow, 2007","plainTextFormattedCitation":"(Chertow, 2007)","previouslyFormattedCitation":"(Chertow, 2007)"},"properties":{"noteIndex":0},"schema":"https://github.com/citation-style-language/schema/raw/master/csl-citation.json"}</w:instrText>
      </w:r>
      <w:r>
        <w:rPr>
          <w:rFonts w:ascii="Times New Roman" w:hAnsi="Times New Roman" w:cs="Times New Roman"/>
          <w:sz w:val="24"/>
          <w:szCs w:val="24"/>
          <w:lang w:val="en-GB"/>
        </w:rPr>
        <w:fldChar w:fldCharType="separate"/>
      </w:r>
      <w:r w:rsidRPr="00EA2906">
        <w:rPr>
          <w:rFonts w:ascii="Times New Roman" w:hAnsi="Times New Roman" w:cs="Times New Roman"/>
          <w:noProof/>
          <w:sz w:val="24"/>
          <w:szCs w:val="24"/>
          <w:lang w:val="en-GB"/>
        </w:rPr>
        <w:t>(Chertow, 2007</w:t>
      </w:r>
      <w:r>
        <w:rPr>
          <w:rFonts w:ascii="Times New Roman" w:hAnsi="Times New Roman" w:cs="Times New Roman"/>
          <w:sz w:val="24"/>
          <w:szCs w:val="24"/>
          <w:lang w:val="en-GB"/>
        </w:rPr>
        <w:fldChar w:fldCharType="end"/>
      </w:r>
      <w:r w:rsidRPr="00EA2906">
        <w:rPr>
          <w:rFonts w:ascii="Times New Roman" w:hAnsi="Times New Roman" w:cs="Times New Roman"/>
          <w:sz w:val="24"/>
          <w:szCs w:val="24"/>
          <w:lang w:val="en-GB"/>
        </w:rPr>
        <w:t xml:space="preserve">, p. 12). </w:t>
      </w:r>
    </w:p>
    <w:p w14:paraId="14CA9514" w14:textId="0A0F09E3" w:rsidR="00B93D26" w:rsidRPr="00EC6ECD" w:rsidRDefault="00000000" w:rsidP="006747B9">
      <w:pPr>
        <w:spacing w:after="0" w:line="360" w:lineRule="auto"/>
        <w:ind w:firstLine="284"/>
        <w:jc w:val="both"/>
        <w:rPr>
          <w:rFonts w:ascii="Times New Roman" w:hAnsi="Times New Roman" w:cs="Times New Roman"/>
          <w:sz w:val="24"/>
          <w:szCs w:val="24"/>
          <w:lang w:val="en-GB"/>
        </w:rPr>
      </w:pPr>
      <w:r w:rsidRPr="00A2703E">
        <w:rPr>
          <w:rFonts w:ascii="Times New Roman" w:hAnsi="Times New Roman" w:cs="Times New Roman"/>
          <w:sz w:val="24"/>
          <w:szCs w:val="24"/>
          <w:lang w:val="en-GB"/>
        </w:rPr>
        <w:t xml:space="preserve">Although CSCs have been increasingly recognized as crucial enablers to implement CE principles by companies (e.g., </w:t>
      </w:r>
      <w:r w:rsidRPr="00A2703E">
        <w:rPr>
          <w:rFonts w:ascii="Times New Roman" w:hAnsi="Times New Roman" w:cs="Times New Roman"/>
          <w:sz w:val="24"/>
          <w:szCs w:val="24"/>
          <w:lang w:val="en-GB"/>
        </w:rPr>
        <w:fldChar w:fldCharType="begin" w:fldLock="1"/>
      </w:r>
      <w:r w:rsidR="00282DE6" w:rsidRPr="00A2703E">
        <w:rPr>
          <w:rFonts w:ascii="Times New Roman" w:hAnsi="Times New Roman" w:cs="Times New Roman"/>
          <w:sz w:val="24"/>
          <w:szCs w:val="24"/>
          <w:lang w:val="en-GB"/>
        </w:rPr>
        <w:instrText>ADDIN CSL_CITATION {"citationItems":[{"id":"ITEM-1","itemData":{"DOI":"10.1016/j.jclepro.2018.04.159","ISSN":"09596526","abstract":"The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Production","id":"ITEM-1","issued":{"date-parts":[["2018"]]},"page":"712-721","publisher":"Elsevier Ltd","title":"Business models and supply chains for the circular economy","type":"article-journal","volume":"190"},"uris":["http://www.mendeley.com/documents/?uuid=247dad4e-a4ad-42c4-a234-a22c5645f5f0"]},{"id":"ITEM-2","itemData":{"DOI":"10.1016/j.jclepro.2019.04.303","ISSN":"09596526","abstract":"Circular economy is increasingly recognized as a better alternative to the dominant linear (take, make, and dispose)economic model. Circular Supply Chain Management (CSCM), which integrates the philosophy of the circular economy into supply chain management, offers a new and compelling perspective to the supply chain sustainability domain. Consequently, there is increasing research interest. However, a review of the extant literature shows that a comprehensive integrated view of CSCM is still absent in the extant literature. This prohibits a clear distinction compared to other supply chain sustainability concepts and hinders further progress of the field. In response, this research first classifies various terminologies related to supply chain sustainability and conceptualizes a unifying definition of CSCM. Using this definition as a base, it then conducts a structured literature review of 261 research articles on the current state of CSCM research. Based on the review results, the researchers call for further studies in the following directions that are important but received little or no attention: design for circularity, procurement and CSCM, biodegradable packaging, circular supply chain collaboration and coordination, drivers and barriers of CSCM, circular consumption, product liabilities and producer's responsibility, and technologies and CSCM.","author":[{"dropping-particle":"","family":"Farooque","given":"Muhammad","non-dropping-particle":"","parse-names":false,"suffix":""},{"dropping-particle":"","family":"Zhang","given":"Abraham","non-dropping-particle":"","parse-names":false,"suffix":""},{"dropping-particle":"","family":"Thürer","given":"Matthias","non-dropping-particle":"","parse-names":false,"suffix":""},{"dropping-particle":"","family":"Qu","given":"Ting","non-dropping-particle":"","parse-names":false,"suffix":""},{"dropping-particle":"","family":"Huisingh","given":"Donald","non-dropping-particle":"","parse-names":false,"suffix":""}],"container-title":"Journal of Cleaner Production","id":"ITEM-2","issue":"April","issued":{"date-parts":[["2019"]]},"page":"882-900","title":"Circular supply chain management: A definition and structured literature review","type":"article-journal","volume":"228"},"uris":["http://www.mendeley.com/documents/?uuid=194acd2e-8013-4f9d-a718-90227ad8182c"]}],"mendeley":{"formattedCitation":"(Farooque et al., 2019; Geissdoerfer et al., 2018)","manualFormatting":"Farooque et al., 2019; Geissdoerfer et al., 2018)","plainTextFormattedCitation":"(Farooque et al., 2019; Geissdoerfer et al., 2018)","previouslyFormattedCitation":"(Farooque et al., 2019; Geissdoerfer et al., 2018)"},"properties":{"noteIndex":0},"schema":"https://github.com/citation-style-language/schema/raw/master/csl-citation.json"}</w:instrText>
      </w:r>
      <w:r w:rsidRPr="00A2703E">
        <w:rPr>
          <w:rFonts w:ascii="Times New Roman" w:hAnsi="Times New Roman" w:cs="Times New Roman"/>
          <w:sz w:val="24"/>
          <w:szCs w:val="24"/>
          <w:lang w:val="en-GB"/>
        </w:rPr>
        <w:fldChar w:fldCharType="separate"/>
      </w:r>
      <w:r w:rsidRPr="00A2703E">
        <w:rPr>
          <w:rFonts w:ascii="Times New Roman" w:hAnsi="Times New Roman" w:cs="Times New Roman"/>
          <w:noProof/>
          <w:sz w:val="24"/>
          <w:szCs w:val="24"/>
          <w:lang w:val="en-GB"/>
        </w:rPr>
        <w:t>Farooque et al., 2019; Geissdoerfer et al., 2018)</w:t>
      </w:r>
      <w:r w:rsidRPr="00A2703E">
        <w:rPr>
          <w:rFonts w:ascii="Times New Roman" w:hAnsi="Times New Roman" w:cs="Times New Roman"/>
          <w:sz w:val="24"/>
          <w:szCs w:val="24"/>
          <w:lang w:val="en-GB"/>
        </w:rPr>
        <w:fldChar w:fldCharType="end"/>
      </w:r>
      <w:r w:rsidRPr="00A2703E">
        <w:rPr>
          <w:rFonts w:ascii="Times New Roman" w:hAnsi="Times New Roman" w:cs="Times New Roman"/>
          <w:sz w:val="24"/>
          <w:szCs w:val="24"/>
          <w:lang w:val="en-GB"/>
        </w:rPr>
        <w:t xml:space="preserve">, research on this topic is still in its infancy and deserves further investigation, especially from an empirical point of view </w:t>
      </w:r>
      <w:r w:rsidRPr="00A2703E">
        <w:rPr>
          <w:rFonts w:ascii="Times New Roman" w:hAnsi="Times New Roman" w:cs="Times New Roman"/>
          <w:sz w:val="24"/>
          <w:szCs w:val="24"/>
          <w:lang w:val="en-GB"/>
        </w:rPr>
        <w:fldChar w:fldCharType="begin" w:fldLock="1"/>
      </w:r>
      <w:r w:rsidRPr="00A2703E">
        <w:rPr>
          <w:rFonts w:ascii="Times New Roman" w:hAnsi="Times New Roman" w:cs="Times New Roman"/>
          <w:sz w:val="24"/>
          <w:szCs w:val="24"/>
          <w:lang w:val="en-GB"/>
        </w:rPr>
        <w:instrText>ADDIN CSL_CITATION {"citationItems":[{"id":"ITEM-1","itemData":{"DOI":"10.1016/j.indmarman.2020.01.004","abstract":"This paper explains the institutional logics of academia, and of practitioners within industry and government, as well as the alignment and misalignment that occurs when these actors collaborate. This is achieved by building on the theories on alignment and misalignment and institutional logics, whilst conducting an explorative case study of a circular economy cluster from the Tampere Region of Finland. This paper offers three main contributions: First, convergence and divergence of institutional logics by industry, government, and academic actors can lead to alignment and misalignment at three levels: actor-type, relationship, and system levels. Second, partial alignment and misalignment are found to be in-between modes of alignment, which challenges the idea that alignment and misalignment are dichotomous. Instead, alignment and misalignment should be seen as the two ends of a continuum. Third, alignment and misalignment are dynamic by nature, because institutional logics change and modify during collaboration. For practice, this paper gives advice on how collaboration between academia and practitioners can be advanced to achieve alignment and avoid misalignment.","author":[{"dropping-particle":"","family":"Bruun Ingstrup","given":"Mads","non-dropping-particle":"","parse-names":false,"suffix":""},{"dropping-particle":"","family":"Aarikka-Stenroos","given":"Leena","non-dropping-particle":"","parse-names":false,"suffix":""},{"dropping-particle":"","family":"Adlin","given":"Nillo","non-dropping-particle":"","parse-names":false,"suffix":""}],"container-title":"Industrial Marketing Management","id":"ITEM-1","issued":{"date-parts":[["2021"]]},"page":"267-276","title":"When institutional logics meet: Alignment and misalignment in collaboration between academia and practitioners","type":"article-journal","volume":"92"},"uris":["http://www.mendeley.com/documents/?uuid=63382c83-331d-3e43-a284-2844a1aa3b8d"]}],"mendeley":{"formattedCitation":"(Bruun Ingstrup et al., 2021)","plainTextFormattedCitation":"(Bruun Ingstrup et al., 2021)","previouslyFormattedCitation":"(Bruun Ingstrup et al., 2021)"},"properties":{"noteIndex":0},"schema":"https://github.com/citation-style-language/schema/raw/master/csl-citation.json"}</w:instrText>
      </w:r>
      <w:r w:rsidRPr="00A2703E">
        <w:rPr>
          <w:rFonts w:ascii="Times New Roman" w:hAnsi="Times New Roman" w:cs="Times New Roman"/>
          <w:sz w:val="24"/>
          <w:szCs w:val="24"/>
          <w:lang w:val="en-GB"/>
        </w:rPr>
        <w:fldChar w:fldCharType="separate"/>
      </w:r>
      <w:r w:rsidRPr="00A2703E">
        <w:rPr>
          <w:rFonts w:ascii="Times New Roman" w:hAnsi="Times New Roman" w:cs="Times New Roman"/>
          <w:noProof/>
          <w:sz w:val="24"/>
          <w:szCs w:val="24"/>
          <w:lang w:val="en-GB"/>
        </w:rPr>
        <w:t>(Bruun Ingstrup et al., 2021)</w:t>
      </w:r>
      <w:r w:rsidRPr="00A2703E">
        <w:rPr>
          <w:rFonts w:ascii="Times New Roman" w:hAnsi="Times New Roman" w:cs="Times New Roman"/>
          <w:sz w:val="24"/>
          <w:szCs w:val="24"/>
          <w:lang w:val="en-GB"/>
        </w:rPr>
        <w:fldChar w:fldCharType="end"/>
      </w:r>
      <w:r w:rsidRPr="00A2703E">
        <w:rPr>
          <w:rFonts w:ascii="Times New Roman" w:hAnsi="Times New Roman" w:cs="Times New Roman"/>
          <w:sz w:val="24"/>
          <w:szCs w:val="24"/>
          <w:lang w:val="en-GB"/>
        </w:rPr>
        <w:t xml:space="preserve">. </w:t>
      </w:r>
      <w:r w:rsidR="00362995">
        <w:rPr>
          <w:rFonts w:ascii="Times New Roman" w:hAnsi="Times New Roman" w:cs="Times New Roman"/>
          <w:sz w:val="24"/>
          <w:szCs w:val="24"/>
          <w:lang w:val="en-GB"/>
        </w:rPr>
        <w:t>A</w:t>
      </w:r>
      <w:r w:rsidRPr="00A2703E">
        <w:rPr>
          <w:rFonts w:ascii="Times New Roman" w:hAnsi="Times New Roman" w:cs="Times New Roman"/>
          <w:sz w:val="24"/>
          <w:szCs w:val="24"/>
          <w:lang w:val="en-GB"/>
        </w:rPr>
        <w:t xml:space="preserve"> deep understanding of the dynamics of inter-organizational collaborations among supply chain actors within CSCs to fulfil related strategies is still lacking, thus deserving specific attention </w:t>
      </w:r>
      <w:r w:rsidRPr="00A2703E">
        <w:rPr>
          <w:rFonts w:ascii="Times New Roman" w:hAnsi="Times New Roman" w:cs="Times New Roman"/>
          <w:sz w:val="24"/>
          <w:szCs w:val="24"/>
          <w:lang w:val="en-GB"/>
        </w:rPr>
        <w:fldChar w:fldCharType="begin" w:fldLock="1"/>
      </w:r>
      <w:r w:rsidRPr="00A2703E">
        <w:rPr>
          <w:rFonts w:ascii="Times New Roman" w:hAnsi="Times New Roman" w:cs="Times New Roman"/>
          <w:sz w:val="24"/>
          <w:szCs w:val="24"/>
          <w:lang w:val="en-GB"/>
        </w:rPr>
        <w:instrText>ADDIN CSL_CITATION {"citationItems":[{"id":"ITEM-1","itemData":{"DOI":"10.1002/bse.2554","ISSN":"10990836","abstract":"This study investigates how the circular economy and business models are related in the current business and management literature. Based on bibliometric analytical procedures, 253 articles were retrieved from the Scopus, Web of Science, and ScienceDirect scientific databases. The articles were analyzed according to network analysis principles, and key terms were mapped into a network. We used VOSviewer to build the network, explore the most-researched terms and their relationships, and identify less-explored terms and research gaps. We furthermore conducted a qualitative review of selected publications to provide an illustration of quantitative results and delve deeper into the research topics. The main findings revealed the networks of current topics as they appear in the publications such as business models, the circular economy, circular business models, value, supply chain, transition, resource, waste, and reuse, and their most prevalent relationships. The results also highlighted several emerging topics such as those connected with managerial, supply-side, demand-side, networking, performance, and contextual considerations of circular business models.","author":[{"dropping-particle":"","family":"Ferasso","given":"Marcos","non-dropping-particle":"","parse-names":false,"suffix":""},{"dropping-particle":"","family":"Beliaeva","given":"Tatiana","non-dropping-particle":"","parse-names":false,"suffix":""},{"dropping-particle":"","family":"Kraus","given":"Sascha","non-dropping-particle":"","parse-names":false,"suffix":""},{"dropping-particle":"","family":"Clauss","given":"Thomas","non-dropping-particle":"","parse-names":false,"suffix":""},{"dropping-particle":"","family":"Ribeiro-Soriano","given":"Domingo","non-dropping-particle":"","parse-names":false,"suffix":""}],"container-title":"Business Strategy and the Environment","id":"ITEM-1","issue":"8","issued":{"date-parts":[["2020","12","1"]]},"page":"3006-3024","publisher":"John Wiley and Sons Ltd","title":"Circular economy business models: The state of research and avenues ahead","type":"article-journal","volume":"29"},"uris":["http://www.mendeley.com/documents/?uuid=908fa7cf-2f40-324a-b777-791711bc837b"]}],"mendeley":{"formattedCitation":"(Ferasso et al., 2020)","plainTextFormattedCitation":"(Ferasso et al., 2020)","previouslyFormattedCitation":"(Ferasso et al., 2020)"},"properties":{"noteIndex":0},"schema":"https://github.com/citation-style-language/schema/raw/master/csl-citation.json"}</w:instrText>
      </w:r>
      <w:r w:rsidRPr="00A2703E">
        <w:rPr>
          <w:rFonts w:ascii="Times New Roman" w:hAnsi="Times New Roman" w:cs="Times New Roman"/>
          <w:sz w:val="24"/>
          <w:szCs w:val="24"/>
          <w:lang w:val="en-GB"/>
        </w:rPr>
        <w:fldChar w:fldCharType="separate"/>
      </w:r>
      <w:r w:rsidRPr="00A2703E">
        <w:rPr>
          <w:rFonts w:ascii="Times New Roman" w:hAnsi="Times New Roman" w:cs="Times New Roman"/>
          <w:noProof/>
          <w:sz w:val="24"/>
          <w:szCs w:val="24"/>
          <w:lang w:val="en-GB"/>
        </w:rPr>
        <w:t>(Ferasso et al., 2020)</w:t>
      </w:r>
      <w:r w:rsidRPr="00A2703E">
        <w:rPr>
          <w:rFonts w:ascii="Times New Roman" w:hAnsi="Times New Roman" w:cs="Times New Roman"/>
          <w:sz w:val="24"/>
          <w:szCs w:val="24"/>
          <w:lang w:val="en-GB"/>
        </w:rPr>
        <w:fldChar w:fldCharType="end"/>
      </w:r>
      <w:r w:rsidRPr="00A2703E">
        <w:rPr>
          <w:rFonts w:ascii="Times New Roman" w:hAnsi="Times New Roman" w:cs="Times New Roman"/>
          <w:sz w:val="24"/>
          <w:szCs w:val="24"/>
          <w:lang w:val="en-GB"/>
        </w:rPr>
        <w:t xml:space="preserve">. </w:t>
      </w:r>
    </w:p>
    <w:p w14:paraId="3AC5EBCB" w14:textId="77777777" w:rsidR="00B93D26" w:rsidRPr="003D27F5" w:rsidRDefault="00B93D26" w:rsidP="004B1CF3">
      <w:pPr>
        <w:spacing w:after="0" w:line="360" w:lineRule="auto"/>
        <w:jc w:val="both"/>
        <w:rPr>
          <w:lang w:val="en-US"/>
        </w:rPr>
      </w:pPr>
    </w:p>
    <w:p w14:paraId="55F3A82E" w14:textId="7DFAFD29" w:rsidR="00B93D26" w:rsidRPr="007B6B7A" w:rsidRDefault="00000000" w:rsidP="007B6B7A">
      <w:pPr>
        <w:spacing w:after="0" w:line="360" w:lineRule="auto"/>
        <w:jc w:val="both"/>
        <w:rPr>
          <w:rFonts w:ascii="Times New Roman" w:hAnsi="Times New Roman" w:cs="Times New Roman"/>
          <w:b/>
          <w:bCs/>
          <w:i/>
          <w:iCs/>
          <w:sz w:val="24"/>
          <w:szCs w:val="24"/>
          <w:lang w:val="en-GB"/>
        </w:rPr>
      </w:pPr>
      <w:r w:rsidRPr="007B6B7A">
        <w:rPr>
          <w:rFonts w:ascii="Times New Roman" w:eastAsiaTheme="majorEastAsia" w:hAnsi="Times New Roman" w:cs="Times New Roman"/>
          <w:b/>
          <w:bCs/>
          <w:i/>
          <w:iCs/>
          <w:sz w:val="24"/>
          <w:szCs w:val="24"/>
          <w:lang w:val="en-GB"/>
        </w:rPr>
        <w:t xml:space="preserve">2.2 MSPs enabling CSCs in </w:t>
      </w:r>
      <w:r w:rsidR="00F26091">
        <w:rPr>
          <w:rFonts w:ascii="Times New Roman" w:eastAsiaTheme="majorEastAsia" w:hAnsi="Times New Roman" w:cs="Times New Roman"/>
          <w:b/>
          <w:bCs/>
          <w:i/>
          <w:iCs/>
          <w:sz w:val="24"/>
          <w:szCs w:val="24"/>
          <w:lang w:val="en-GB"/>
        </w:rPr>
        <w:t xml:space="preserve">the </w:t>
      </w:r>
      <w:r w:rsidRPr="007B6B7A">
        <w:rPr>
          <w:rFonts w:ascii="Times New Roman" w:eastAsiaTheme="majorEastAsia" w:hAnsi="Times New Roman" w:cs="Times New Roman"/>
          <w:b/>
          <w:bCs/>
          <w:i/>
          <w:iCs/>
          <w:sz w:val="24"/>
          <w:szCs w:val="24"/>
          <w:lang w:val="en-GB"/>
        </w:rPr>
        <w:t>B2B setting</w:t>
      </w:r>
    </w:p>
    <w:p w14:paraId="7F87D9F4" w14:textId="4DED41F0" w:rsidR="00B93D26" w:rsidRPr="007D1D3C" w:rsidRDefault="00000000" w:rsidP="003F5D47">
      <w:pPr>
        <w:spacing w:after="0" w:line="360" w:lineRule="auto"/>
        <w:jc w:val="both"/>
        <w:rPr>
          <w:rFonts w:ascii="Times New Roman" w:hAnsi="Times New Roman" w:cs="Times New Roman"/>
          <w:sz w:val="24"/>
          <w:szCs w:val="24"/>
          <w:lang w:val="en-GB"/>
        </w:rPr>
      </w:pPr>
      <w:r w:rsidRPr="007D1D3C">
        <w:rPr>
          <w:rFonts w:ascii="Times New Roman" w:hAnsi="Times New Roman" w:cs="Times New Roman"/>
          <w:sz w:val="24"/>
          <w:szCs w:val="24"/>
          <w:lang w:val="en-GB"/>
        </w:rPr>
        <w:t xml:space="preserve">Digital platforms </w:t>
      </w:r>
      <w:r w:rsidR="00531EE1">
        <w:rPr>
          <w:rFonts w:ascii="Times New Roman" w:hAnsi="Times New Roman" w:cs="Times New Roman"/>
          <w:sz w:val="24"/>
          <w:szCs w:val="24"/>
          <w:lang w:val="en-GB"/>
        </w:rPr>
        <w:t>are</w:t>
      </w:r>
      <w:r w:rsidRPr="007D1D3C">
        <w:rPr>
          <w:rFonts w:ascii="Times New Roman" w:hAnsi="Times New Roman" w:cs="Times New Roman"/>
          <w:sz w:val="24"/>
          <w:szCs w:val="24"/>
          <w:lang w:val="en-GB"/>
        </w:rPr>
        <w:t xml:space="preserve"> one of the most debated topics </w:t>
      </w:r>
      <w:r w:rsidR="00531EE1">
        <w:rPr>
          <w:rFonts w:ascii="Times New Roman" w:hAnsi="Times New Roman" w:cs="Times New Roman"/>
          <w:sz w:val="24"/>
          <w:szCs w:val="24"/>
          <w:lang w:val="en-GB"/>
        </w:rPr>
        <w:t xml:space="preserve">of the last decade </w:t>
      </w:r>
      <w:r w:rsidRPr="007D1D3C">
        <w:rPr>
          <w:rFonts w:ascii="Times New Roman" w:hAnsi="Times New Roman" w:cs="Times New Roman"/>
          <w:sz w:val="24"/>
          <w:szCs w:val="24"/>
          <w:lang w:val="en-GB"/>
        </w:rPr>
        <w:t xml:space="preserve">in management literature </w:t>
      </w:r>
      <w:r w:rsidRPr="007D1D3C">
        <w:rPr>
          <w:rFonts w:ascii="Times New Roman" w:hAnsi="Times New Roman" w:cs="Times New Roman"/>
          <w:sz w:val="24"/>
          <w:szCs w:val="24"/>
          <w:lang w:val="en-GB"/>
        </w:rPr>
        <w:fldChar w:fldCharType="begin" w:fldLock="1"/>
      </w:r>
      <w:r w:rsidRPr="007D1D3C">
        <w:rPr>
          <w:rFonts w:ascii="Times New Roman" w:hAnsi="Times New Roman" w:cs="Times New Roman"/>
          <w:sz w:val="24"/>
          <w:szCs w:val="24"/>
          <w:lang w:val="en-GB"/>
        </w:rPr>
        <w:instrText>ADDIN CSL_CITATION {"citationItems":[{"id":"ITEM-1","itemData":{"DOI":"10.1111/JPIM.12105","ISSN":"1540-5885","abstract":"This paper brings together the recent literature on industry platforms and shows how it relates to managing innovation within and outside the firm as well as to dealing with technological and market disruptions and change over time. First, we identify distinct types of platforms. Our analysis of a wide range of industry examples suggests that there are two predominant types of platforms: internal or company-specific platforms, and external or industry-wide platforms. We define internal (company or product) platforms as a set of assets organized in a common structure from which a company can efficiently develop and produce a stream of derivative products. We define external (industry) platforms as products, services, or technologies that act as a foundation upon which external innovators, organized as an innovative business ecosystem, can develop their own complementary products, technologies, or services. Second, we summarize from the literature general propositions on the design, economics, and strategic management of platforms. Third, we review the case of Intel and other examples to illustrate the range of technological, strategic, and business challenges that platform leaders and their competitors face as markets and technologies evolve. Finally, we identify practices associated with effective platform leadership and avenues for future research to deepen our understanding of this important phenomenon and what firms can do to manage platform-related competition and innovation. © 2013 Product Development &amp; Management Association.","author":[{"dropping-particle":"","family":"Gawer","given":"Annabelle","non-dropping-particle":"","parse-names":false,"suffix":""},{"dropping-particle":"","family":"Cusumano","given":"Michael A.","non-dropping-particle":"","parse-names":false,"suffix":""}],"container-title":"Journal of Product Innovation Management","id":"ITEM-1","issue":"3","issued":{"date-parts":[["2014","5","1"]]},"page":"417-433","publisher":"John Wiley &amp; Sons, Ltd","title":"Industry Platforms and Ecosystem Innovation","type":"article-journal","volume":"31"},"uris":["http://www.mendeley.com/documents/?uuid=f303b8b7-ec08-352d-a18c-42a0fdfc24e1"]}],"mendeley":{"formattedCitation":"(Gawer &amp; Cusumano, 2014)","plainTextFormattedCitation":"(Gawer &amp; Cusumano, 2014)","previouslyFormattedCitation":"(Gawer &amp; Cusumano, 2014)"},"properties":{"noteIndex":0},"schema":"https://github.com/citation-style-language/schema/raw/master/csl-citation.json"}</w:instrText>
      </w:r>
      <w:r w:rsidRPr="007D1D3C">
        <w:rPr>
          <w:rFonts w:ascii="Times New Roman" w:hAnsi="Times New Roman" w:cs="Times New Roman"/>
          <w:sz w:val="24"/>
          <w:szCs w:val="24"/>
          <w:lang w:val="en-GB"/>
        </w:rPr>
        <w:fldChar w:fldCharType="separate"/>
      </w:r>
      <w:r w:rsidRPr="007D1D3C">
        <w:rPr>
          <w:rFonts w:ascii="Times New Roman" w:hAnsi="Times New Roman" w:cs="Times New Roman"/>
          <w:noProof/>
          <w:sz w:val="24"/>
          <w:szCs w:val="24"/>
          <w:lang w:val="en-GB"/>
        </w:rPr>
        <w:t>(Gawer &amp; Cusumano, 2014)</w:t>
      </w:r>
      <w:r w:rsidRPr="007D1D3C">
        <w:rPr>
          <w:rFonts w:ascii="Times New Roman" w:hAnsi="Times New Roman" w:cs="Times New Roman"/>
          <w:sz w:val="24"/>
          <w:szCs w:val="24"/>
          <w:lang w:val="en-GB"/>
        </w:rPr>
        <w:fldChar w:fldCharType="end"/>
      </w:r>
      <w:r w:rsidRPr="007D1D3C">
        <w:rPr>
          <w:rFonts w:ascii="Times New Roman" w:hAnsi="Times New Roman" w:cs="Times New Roman"/>
          <w:sz w:val="24"/>
          <w:szCs w:val="24"/>
          <w:lang w:val="en-GB"/>
        </w:rPr>
        <w:t xml:space="preserve">. Digital platforms have the purpose of connecting two or more multi-sided, interdependent parties (e.g., suppliers, producers, users) to each other to facilitate interactions and negotiations that can lead to the exchange of information, products, and/or services </w:t>
      </w:r>
      <w:r w:rsidRPr="007D1D3C">
        <w:rPr>
          <w:rFonts w:ascii="Times New Roman" w:hAnsi="Times New Roman" w:cs="Times New Roman"/>
          <w:sz w:val="24"/>
          <w:szCs w:val="24"/>
          <w:lang w:val="en-GB"/>
        </w:rPr>
        <w:fldChar w:fldCharType="begin" w:fldLock="1"/>
      </w:r>
      <w:r w:rsidRPr="007D1D3C">
        <w:rPr>
          <w:rFonts w:ascii="Times New Roman" w:hAnsi="Times New Roman" w:cs="Times New Roman"/>
          <w:sz w:val="24"/>
          <w:szCs w:val="24"/>
          <w:lang w:val="en-GB"/>
        </w:rPr>
        <w:instrText>ADDIN CSL_CITATION {"citationItems":[{"id":"ITEM-1","itemData":{"DOI":"10.1016/J.LRP.2020.102045","ISSN":"0024-6301","abstract":"This article explores what factors drive digital platform firms to set or modify their boundaries. Building on economics, strategic management, and information systems research, I suggest that digital platforms make strategic decisions over three distinct types of interrelated boundaries: (1) the scope of the platform firm (what assets are owned, what labor is employed, and what activities are performed by the firm), (2) the configuration and composition of the platform's sides (which distinct groups of customers have access to the platform), and (3) the digital interfaces (that specify the 2-way exchange of data between the platform firm and each of its sides). In this article, I explore the interdependence between these seemingly separate decisions and the role of some important moderating variables. These moderators include whether the platform is a transaction or an innovation platform, and the extent to which the platform has developed from its initial formation stage. My work explains why we see so much variation in boundaries across platforms and over time.","author":[{"dropping-particle":"","family":"Gawer","given":"Annabelle","non-dropping-particle":"","parse-names":false,"suffix":""}],"container-title":"Long Range Planning","id":"ITEM-1","issue":"5","issued":{"date-parts":[["2021","10","1"]]},"page":"102045","publisher":"Pergamon","title":"Digital platforms’ boundaries: The interplay of firm scope, platform sides, and digital interfaces","type":"article-journal","volume":"54"},"uris":["http://www.mendeley.com/documents/?uuid=294051ca-4b1d-312a-8f46-040ecae8c656"]}],"mendeley":{"formattedCitation":"(Gawer, 2021)","plainTextFormattedCitation":"(Gawer, 2021)","previouslyFormattedCitation":"(Gawer, 2021)"},"properties":{"noteIndex":0},"schema":"https://github.com/citation-style-language/schema/raw/master/csl-citation.json"}</w:instrText>
      </w:r>
      <w:r w:rsidRPr="007D1D3C">
        <w:rPr>
          <w:rFonts w:ascii="Times New Roman" w:hAnsi="Times New Roman" w:cs="Times New Roman"/>
          <w:sz w:val="24"/>
          <w:szCs w:val="24"/>
          <w:lang w:val="en-GB"/>
        </w:rPr>
        <w:fldChar w:fldCharType="separate"/>
      </w:r>
      <w:r w:rsidRPr="007D1D3C">
        <w:rPr>
          <w:rFonts w:ascii="Times New Roman" w:hAnsi="Times New Roman" w:cs="Times New Roman"/>
          <w:noProof/>
          <w:sz w:val="24"/>
          <w:szCs w:val="24"/>
          <w:lang w:val="en-GB"/>
        </w:rPr>
        <w:t>(Gawer, 2021)</w:t>
      </w:r>
      <w:r w:rsidRPr="007D1D3C">
        <w:rPr>
          <w:rFonts w:ascii="Times New Roman" w:hAnsi="Times New Roman" w:cs="Times New Roman"/>
          <w:sz w:val="24"/>
          <w:szCs w:val="24"/>
          <w:lang w:val="en-GB"/>
        </w:rPr>
        <w:fldChar w:fldCharType="end"/>
      </w:r>
      <w:r w:rsidRPr="007D1D3C">
        <w:rPr>
          <w:rFonts w:ascii="Times New Roman" w:hAnsi="Times New Roman" w:cs="Times New Roman"/>
          <w:sz w:val="24"/>
          <w:szCs w:val="24"/>
          <w:lang w:val="en-GB"/>
        </w:rPr>
        <w:t xml:space="preserve">. Therefore, </w:t>
      </w:r>
      <w:r w:rsidR="00DD4F1E">
        <w:rPr>
          <w:rFonts w:ascii="Times New Roman" w:hAnsi="Times New Roman" w:cs="Times New Roman"/>
          <w:sz w:val="24"/>
          <w:szCs w:val="24"/>
          <w:lang w:val="en-GB"/>
        </w:rPr>
        <w:t>these</w:t>
      </w:r>
      <w:r w:rsidR="00DD4F1E" w:rsidRPr="007D1D3C">
        <w:rPr>
          <w:rFonts w:ascii="Times New Roman" w:hAnsi="Times New Roman" w:cs="Times New Roman"/>
          <w:sz w:val="24"/>
          <w:szCs w:val="24"/>
          <w:lang w:val="en-GB"/>
        </w:rPr>
        <w:t xml:space="preserve"> </w:t>
      </w:r>
      <w:r w:rsidRPr="007D1D3C">
        <w:rPr>
          <w:rFonts w:ascii="Times New Roman" w:hAnsi="Times New Roman" w:cs="Times New Roman"/>
          <w:sz w:val="24"/>
          <w:szCs w:val="24"/>
          <w:lang w:val="en-GB"/>
        </w:rPr>
        <w:t xml:space="preserve">platforms enable the creation of two-sided markets by fostering interactions between end-users and trying to get the sides on board by appropriately charging them </w:t>
      </w:r>
      <w:r w:rsidRPr="007D1D3C">
        <w:rPr>
          <w:rFonts w:ascii="Times New Roman" w:hAnsi="Times New Roman" w:cs="Times New Roman"/>
          <w:sz w:val="24"/>
          <w:szCs w:val="24"/>
          <w:lang w:val="en-GB"/>
        </w:rPr>
        <w:fldChar w:fldCharType="begin" w:fldLock="1"/>
      </w:r>
      <w:r w:rsidRPr="007D1D3C">
        <w:rPr>
          <w:rFonts w:ascii="Times New Roman" w:hAnsi="Times New Roman" w:cs="Times New Roman"/>
          <w:sz w:val="24"/>
          <w:szCs w:val="24"/>
          <w:lang w:val="en-GB"/>
        </w:rPr>
        <w:instrText>ADDIN CSL_CITATION {"citationItems":[{"id":"ITEM-1","itemData":{"DOI":"10.1111/J.1756-2171.2006.TB00036.X","ISSN":"1756-2171","abstract":"We provide a road map to the burgeoning literature on two-sided markets and present new results. We identify two-sided markets with markets in which the structure, and not only the level of prices charged by platforms, matters. The failure of the Coase theorem is necessary but not sufficient for two-sidedness. We build a model integrating usage and membership externalities that unifies two hitherto disparate strands of the literature emphasizing either form of externality, and obtain new results on the mix of membership and usage charges when price setting or bargaining determine payments between end-users. Copyright © 2006, RAND.","author":[{"dropping-particle":"","family":"Rochet","given":"Jean Charles","non-dropping-particle":"","parse-names":false,"suffix":""},{"dropping-particle":"","family":"Tirole","given":"Jean","non-dropping-particle":"","parse-names":false,"suffix":""}],"container-title":"The RAND Journal of Economics","id":"ITEM-1","issue":"3","issued":{"date-parts":[["2006","9","1"]]},"page":"645-667","publisher":"John Wiley &amp; Sons, Ltd","title":"Two-sided markets: a progress report","type":"article-journal","volume":"37"},"uris":["http://www.mendeley.com/documents/?uuid=600aefbf-56f4-3d57-b0da-87ece66811e9"]}],"mendeley":{"formattedCitation":"(Rochet &amp; Tirole, 2006)","plainTextFormattedCitation":"(Rochet &amp; Tirole, 2006)","previouslyFormattedCitation":"(Rochet &amp; Tirole, 2006)"},"properties":{"noteIndex":0},"schema":"https://github.com/citation-style-language/schema/raw/master/csl-citation.json"}</w:instrText>
      </w:r>
      <w:r w:rsidRPr="007D1D3C">
        <w:rPr>
          <w:rFonts w:ascii="Times New Roman" w:hAnsi="Times New Roman" w:cs="Times New Roman"/>
          <w:sz w:val="24"/>
          <w:szCs w:val="24"/>
          <w:lang w:val="en-GB"/>
        </w:rPr>
        <w:fldChar w:fldCharType="separate"/>
      </w:r>
      <w:r w:rsidRPr="007D1D3C">
        <w:rPr>
          <w:rFonts w:ascii="Times New Roman" w:hAnsi="Times New Roman" w:cs="Times New Roman"/>
          <w:noProof/>
          <w:sz w:val="24"/>
          <w:szCs w:val="24"/>
          <w:lang w:val="en-GB"/>
        </w:rPr>
        <w:t>(Rochet &amp; Tirole, 2006)</w:t>
      </w:r>
      <w:r w:rsidRPr="007D1D3C">
        <w:rPr>
          <w:rFonts w:ascii="Times New Roman" w:hAnsi="Times New Roman" w:cs="Times New Roman"/>
          <w:sz w:val="24"/>
          <w:szCs w:val="24"/>
          <w:lang w:val="en-GB"/>
        </w:rPr>
        <w:fldChar w:fldCharType="end"/>
      </w:r>
      <w:r w:rsidRPr="007D1D3C">
        <w:rPr>
          <w:rFonts w:ascii="Times New Roman" w:hAnsi="Times New Roman" w:cs="Times New Roman"/>
          <w:sz w:val="24"/>
          <w:szCs w:val="24"/>
          <w:lang w:val="en-GB"/>
        </w:rPr>
        <w:t xml:space="preserve">. </w:t>
      </w:r>
    </w:p>
    <w:p w14:paraId="19C15F67" w14:textId="124B71C3" w:rsidR="00B93D26" w:rsidRPr="00EC6ECD" w:rsidRDefault="00000000" w:rsidP="004B1CF3">
      <w:pPr>
        <w:spacing w:after="0" w:line="360" w:lineRule="auto"/>
        <w:ind w:firstLine="284"/>
        <w:jc w:val="both"/>
        <w:rPr>
          <w:rFonts w:ascii="Times New Roman" w:hAnsi="Times New Roman" w:cs="Times New Roman"/>
          <w:sz w:val="24"/>
          <w:szCs w:val="24"/>
          <w:lang w:val="en-GB"/>
        </w:rPr>
      </w:pPr>
      <w:r w:rsidRPr="00EC6ECD">
        <w:rPr>
          <w:rFonts w:ascii="Times New Roman" w:hAnsi="Times New Roman" w:cs="Times New Roman"/>
          <w:sz w:val="24"/>
          <w:szCs w:val="24"/>
          <w:lang w:val="en-GB"/>
        </w:rPr>
        <w:t xml:space="preserve">Previous research has analysed the role of </w:t>
      </w:r>
      <w:r w:rsidR="000F5BFF" w:rsidRPr="00EC6ECD">
        <w:rPr>
          <w:rFonts w:ascii="Times New Roman" w:hAnsi="Times New Roman" w:cs="Times New Roman"/>
          <w:sz w:val="24"/>
          <w:szCs w:val="24"/>
          <w:lang w:val="en-GB"/>
        </w:rPr>
        <w:t>(</w:t>
      </w:r>
      <w:r w:rsidRPr="00EC6ECD">
        <w:rPr>
          <w:rFonts w:ascii="Times New Roman" w:hAnsi="Times New Roman" w:cs="Times New Roman"/>
          <w:sz w:val="24"/>
          <w:szCs w:val="24"/>
          <w:lang w:val="en-GB"/>
        </w:rPr>
        <w:t>digital</w:t>
      </w:r>
      <w:r w:rsidR="000F5BFF" w:rsidRPr="00EC6ECD">
        <w:rPr>
          <w:rFonts w:ascii="Times New Roman" w:hAnsi="Times New Roman" w:cs="Times New Roman"/>
          <w:sz w:val="24"/>
          <w:szCs w:val="24"/>
          <w:lang w:val="en-GB"/>
        </w:rPr>
        <w:t>)</w:t>
      </w:r>
      <w:r w:rsidRPr="00EC6ECD">
        <w:rPr>
          <w:rFonts w:ascii="Times New Roman" w:hAnsi="Times New Roman" w:cs="Times New Roman"/>
          <w:sz w:val="24"/>
          <w:szCs w:val="24"/>
          <w:lang w:val="en-GB"/>
        </w:rPr>
        <w:t xml:space="preserve"> sharing platforms for sustainable value creation </w:t>
      </w:r>
      <w:r w:rsidRPr="00EC6ECD">
        <w:rPr>
          <w:rFonts w:ascii="Times New Roman" w:hAnsi="Times New Roman" w:cs="Times New Roman"/>
          <w:sz w:val="24"/>
          <w:szCs w:val="24"/>
          <w:lang w:val="en-GB"/>
        </w:rPr>
        <w:fldChar w:fldCharType="begin" w:fldLock="1"/>
      </w:r>
      <w:r w:rsidRPr="00EC6ECD">
        <w:rPr>
          <w:rFonts w:ascii="Times New Roman" w:hAnsi="Times New Roman" w:cs="Times New Roman"/>
          <w:sz w:val="24"/>
          <w:szCs w:val="24"/>
          <w:lang w:val="en-GB"/>
        </w:rPr>
        <w:instrText>ADDIN CSL_CITATION {"citationItems":[{"id":"ITEM-1","itemData":{"DOI":"10.1016/J.JCLEPRO.2020.120004","ISSN":"09596526","abstract":"While the sharing economy is often linked to the discussion on sustainable development, relatively little research has explored the potential of sharing economy business models to create sustainable value. Based on a review of the prior literature on sharing economy business models and sustainable value creation, in addition to exploring the empirical examples of companies under sharing sphere, this study shows that business model choices do matter; it is not self-evident that sharing economy business models advance sustainability. This study contributes to the current literature by introducing a specified categorization of 13 different sharing economy business models and a conceptual framework to help analyze the sustainable value creation potential of different business models. For managers, this study offers insights into the sustainability potential of different sharing economy business models and highlights the most crucial points to be considered in managerial decision-making.","author":[{"dropping-particle":"","family":"Laukkanen","given":"Minttu","non-dropping-particle":"","parse-names":false,"suffix":""},{"dropping-particle":"","family":"Tura","given":"Nina","non-dropping-particle":"","parse-names":false,"suffix":""}],"container-title":"Journal of Cleaner Production","id":"ITEM-1","issued":{"date-parts":[["2020","4","20"]]},"publisher":"Elsevier Ltd","title":"The potential of sharing economy business models for sustainable value creation","type":"article-journal","volume":"253"},"uris":["http://www.mendeley.com/documents/?uuid=a9a7b598-96c2-383f-8600-f6654ab38292"]}],"mendeley":{"formattedCitation":"(Laukkanen &amp; Tura, 2020)","plainTextFormattedCitation":"(Laukkanen &amp; Tura, 2020)","previouslyFormattedCitation":"(Laukkanen &amp; Tura, 2020)"},"properties":{"noteIndex":0},"schema":"https://github.com/citation-style-language/schema/raw/master/csl-citation.json"}</w:instrText>
      </w:r>
      <w:r w:rsidRPr="00EC6ECD">
        <w:rPr>
          <w:rFonts w:ascii="Times New Roman" w:hAnsi="Times New Roman" w:cs="Times New Roman"/>
          <w:sz w:val="24"/>
          <w:szCs w:val="24"/>
          <w:lang w:val="en-GB"/>
        </w:rPr>
        <w:fldChar w:fldCharType="separate"/>
      </w:r>
      <w:r w:rsidRPr="00EC6ECD">
        <w:rPr>
          <w:rFonts w:ascii="Times New Roman" w:hAnsi="Times New Roman" w:cs="Times New Roman"/>
          <w:noProof/>
          <w:sz w:val="24"/>
          <w:szCs w:val="24"/>
          <w:lang w:val="en-GB"/>
        </w:rPr>
        <w:t>(Laukkanen &amp; Tura, 2020)</w:t>
      </w:r>
      <w:r w:rsidRPr="00EC6ECD">
        <w:rPr>
          <w:rFonts w:ascii="Times New Roman" w:hAnsi="Times New Roman" w:cs="Times New Roman"/>
          <w:sz w:val="24"/>
          <w:szCs w:val="24"/>
          <w:lang w:val="en-GB"/>
        </w:rPr>
        <w:fldChar w:fldCharType="end"/>
      </w:r>
      <w:r w:rsidRPr="00EC6ECD">
        <w:rPr>
          <w:rFonts w:ascii="Times New Roman" w:hAnsi="Times New Roman" w:cs="Times New Roman"/>
          <w:sz w:val="24"/>
          <w:szCs w:val="24"/>
          <w:lang w:val="en-GB"/>
        </w:rPr>
        <w:t xml:space="preserve">, arguing how sharing economy business models help to maximize the utilization of resources and avoid overconsumption </w:t>
      </w:r>
      <w:r w:rsidRPr="00EC6ECD">
        <w:rPr>
          <w:rFonts w:ascii="Times New Roman" w:hAnsi="Times New Roman" w:cs="Times New Roman"/>
          <w:sz w:val="24"/>
          <w:szCs w:val="24"/>
          <w:lang w:val="en-GB"/>
        </w:rPr>
        <w:fldChar w:fldCharType="begin" w:fldLock="1"/>
      </w:r>
      <w:r w:rsidRPr="00EC6ECD">
        <w:rPr>
          <w:rFonts w:ascii="Times New Roman" w:hAnsi="Times New Roman" w:cs="Times New Roman"/>
          <w:sz w:val="24"/>
          <w:szCs w:val="24"/>
          <w:lang w:val="en-GB"/>
        </w:rPr>
        <w:instrText>ADDIN CSL_CITATION {"citationItems":[{"id":"ITEM-1","itemData":{"DOI":"10.3390/RESOURCES2030184","ISSN":"2079-9276","abstract":"Resource efficiency in production and technological innovations are inadequate for considerably reducing the current use of natural resources. Both social innovations and a complementary and equally valued strategy of sustainable consumption are required: goods must be used longer, and services that support collaborative consumption (CC) patterns must be extended. “Using rather than owning” strategies, such as product sharing, have the potential to conserve resources. Based on the results of different German studies, this article highlights the resource-saving potentials of CC patterns and recommendations proposed for policies and further research questions. The purpose of this paper is to show that a general resource-saving potential can be realized by “use rather than own” schemes, depending on the application field and the framework for implementation. CC is suitable for making a positive contribution to achieving the Factor 10 target by playing an important role in changing consumer patterns.","author":[{"dropping-particle":"","family":"Leismann","given":"Kristin","non-dropping-particle":"","parse-names":false,"suffix":""},{"dropping-particle":"","family":"Schmitt","given":"Martina","non-dropping-particle":"","parse-names":false,"suffix":""},{"dropping-particle":"","family":"Rohn","given":"Holger","non-dropping-particle":"","parse-names":false,"suffix":""},{"dropping-particle":"","family":"Baedeker","given":"Carolin","non-dropping-particle":"","parse-names":false,"suffix":""}],"container-title":"Resources 2013, Vol. 2, Pages 184-203","id":"ITEM-1","issue":"3","issued":{"date-parts":[["2013","7","30"]]},"page":"184-203","publisher":"Multidisciplinary Digital Publishing Institute","title":"Collaborative Consumption: Towards a Resource-Saving Consumption Culture","type":"article-journal","volume":"2"},"uris":["http://www.mendeley.com/documents/?uuid=3545e019-38c4-300d-8b02-1df37e8f0a67"]}],"mendeley":{"formattedCitation":"(Leismann et al., 2013)","plainTextFormattedCitation":"(Leismann et al., 2013)","previouslyFormattedCitation":"(Leismann et al., 2013)"},"properties":{"noteIndex":0},"schema":"https://github.com/citation-style-language/schema/raw/master/csl-citation.json"}</w:instrText>
      </w:r>
      <w:r w:rsidRPr="00EC6ECD">
        <w:rPr>
          <w:rFonts w:ascii="Times New Roman" w:hAnsi="Times New Roman" w:cs="Times New Roman"/>
          <w:sz w:val="24"/>
          <w:szCs w:val="24"/>
          <w:lang w:val="en-GB"/>
        </w:rPr>
        <w:fldChar w:fldCharType="separate"/>
      </w:r>
      <w:r w:rsidRPr="00EC6ECD">
        <w:rPr>
          <w:rFonts w:ascii="Times New Roman" w:hAnsi="Times New Roman" w:cs="Times New Roman"/>
          <w:noProof/>
          <w:sz w:val="24"/>
          <w:szCs w:val="24"/>
          <w:lang w:val="en-GB"/>
        </w:rPr>
        <w:t>(Leismann et al., 2013)</w:t>
      </w:r>
      <w:r w:rsidRPr="00EC6ECD">
        <w:rPr>
          <w:rFonts w:ascii="Times New Roman" w:hAnsi="Times New Roman" w:cs="Times New Roman"/>
          <w:sz w:val="24"/>
          <w:szCs w:val="24"/>
          <w:lang w:val="en-GB"/>
        </w:rPr>
        <w:fldChar w:fldCharType="end"/>
      </w:r>
      <w:r w:rsidRPr="00EC6ECD">
        <w:rPr>
          <w:rFonts w:ascii="Times New Roman" w:hAnsi="Times New Roman" w:cs="Times New Roman"/>
          <w:sz w:val="24"/>
          <w:szCs w:val="24"/>
          <w:lang w:val="en-GB"/>
        </w:rPr>
        <w:t xml:space="preserve">. Within the broader research on sharing economy </w:t>
      </w:r>
      <w:r w:rsidRPr="00EC6ECD">
        <w:rPr>
          <w:rFonts w:ascii="Times New Roman" w:hAnsi="Times New Roman" w:cs="Times New Roman"/>
          <w:sz w:val="24"/>
          <w:szCs w:val="24"/>
          <w:lang w:val="en-GB"/>
        </w:rPr>
        <w:fldChar w:fldCharType="begin" w:fldLock="1"/>
      </w:r>
      <w:r w:rsidRPr="00EC6ECD">
        <w:rPr>
          <w:rFonts w:ascii="Times New Roman" w:hAnsi="Times New Roman" w:cs="Times New Roman"/>
          <w:sz w:val="24"/>
          <w:szCs w:val="24"/>
          <w:lang w:val="en-GB"/>
        </w:rPr>
        <w:instrText xml:space="preserve">ADDIN CSL_CITATION {"citationItems":[{"id":"ITEM-1","itemData":{"DOI":"10.1108/INTR-03-2018-0113","abstract":"Purpose-The purpose of this paper is to delineate the current state of the art of sharing economy (SE) research and practice. It provides a new framework to help managers and academics to consider this field with the right managerial and theoretical lenses. Design/methodology/approach-A systematic literature on the SE was conducted, resulting in the analysis of 114 articles in the management literature. This was completed by the empirical investigations of business model and industry of 32 members of three national associations promoting SE: SE UK, Ireland and Denmark. Findings-Papers dealing with SE themes focus on consumers' motivations, impact on the society, market and policy, as well as the revenue model. SE businesses can be differentiated depending on whether their assets are new or re-used and the transaction is permanent or temporary. Based on this matrix, the study reveals four archetypes of SE businesses: \"on-demand renters,\" \"lifecycle extenders,\" \"seller aggregators\" and \"ephemeral matchmakers.\" Research limitations/implications-The paper outlines a significant gap between what is current focus of the academic literature and the reality of </w:instrText>
      </w:r>
      <w:r w:rsidRPr="009E7235">
        <w:rPr>
          <w:rFonts w:ascii="Times New Roman" w:hAnsi="Times New Roman" w:cs="Times New Roman"/>
          <w:sz w:val="24"/>
          <w:szCs w:val="24"/>
        </w:rPr>
        <w:instrText>SE purposes and businesses. This provides goals for future research. Practical implications-The framework and clustering of business model archetypes may help mana</w:instrText>
      </w:r>
      <w:r w:rsidRPr="00082ACD">
        <w:rPr>
          <w:rFonts w:ascii="Times New Roman" w:hAnsi="Times New Roman" w:cs="Times New Roman"/>
          <w:sz w:val="24"/>
          <w:szCs w:val="24"/>
        </w:rPr>
        <w:instrText>gers and entrepreneurs dealing with SE to better understand the underlying value drivers behind those business models. Originality/value-There are some discrepancies between the SE themes emerging from the management literature and the business model diversity of SE companies. This research aims at helping scholars and managers to position themselves in the field.","author":[{"dropping-particle":"","family":"Trabucchi","given":"Daniel","non-dropping-particle":"","parse-names":false,"suffix":""},{"dropping-particle":"","family":"Muzellec","given":"Laurent","non-dropping-particle":"","parse-names":false,"suffix":""},{"dropping-particle":"","family":"Ronteau","given":"Sébastien","non-dropping-particle":"","parse-names":false,"suffix":""}],"container-title":"Internet Research","id":"ITEM-1","issue":"5","issued":{"date-parts":[["2019"]]},"page":"996-1013.","title":"Sharing economy: seeing through the fog","type":"article-journal","volume":"29"},"uris":["http://www.mendeley.com/documents/?uuid=a7305740-7f21-3d97-9b96-94b9fe7f810f"]}],"mendeley":{"formattedCitation":"(Trabucchi et al., 2019)","plainTextFormattedCitation":"(Trabucchi et al., 2019)","previouslyFormattedCitation":"(Trabucchi et al., 2019)"},"properties":{"noteIndex":0},"schema":"https://github.com/citation-style-language/schema/raw/master/csl-citation.json"}</w:instrText>
      </w:r>
      <w:r w:rsidRPr="00EC6ECD">
        <w:rPr>
          <w:rFonts w:ascii="Times New Roman" w:hAnsi="Times New Roman" w:cs="Times New Roman"/>
          <w:sz w:val="24"/>
          <w:szCs w:val="24"/>
          <w:lang w:val="en-GB"/>
        </w:rPr>
        <w:fldChar w:fldCharType="separate"/>
      </w:r>
      <w:r w:rsidRPr="00082ACD">
        <w:rPr>
          <w:rFonts w:ascii="Times New Roman" w:hAnsi="Times New Roman" w:cs="Times New Roman"/>
          <w:noProof/>
          <w:sz w:val="24"/>
          <w:szCs w:val="24"/>
        </w:rPr>
        <w:t>(Trabucchi et al., 2019)</w:t>
      </w:r>
      <w:r w:rsidRPr="00EC6ECD">
        <w:rPr>
          <w:rFonts w:ascii="Times New Roman" w:hAnsi="Times New Roman" w:cs="Times New Roman"/>
          <w:sz w:val="24"/>
          <w:szCs w:val="24"/>
          <w:lang w:val="en-GB"/>
        </w:rPr>
        <w:fldChar w:fldCharType="end"/>
      </w:r>
      <w:r w:rsidRPr="00082ACD">
        <w:rPr>
          <w:rFonts w:ascii="Times New Roman" w:hAnsi="Times New Roman" w:cs="Times New Roman"/>
          <w:sz w:val="24"/>
          <w:szCs w:val="24"/>
        </w:rPr>
        <w:t xml:space="preserve">, </w:t>
      </w:r>
      <w:r w:rsidRPr="00EC6ECD">
        <w:rPr>
          <w:rFonts w:ascii="Times New Roman" w:hAnsi="Times New Roman" w:cs="Times New Roman"/>
          <w:sz w:val="24"/>
          <w:szCs w:val="24"/>
          <w:lang w:val="en-GB"/>
        </w:rPr>
        <w:fldChar w:fldCharType="begin" w:fldLock="1"/>
      </w:r>
      <w:r w:rsidRPr="00082ACD">
        <w:rPr>
          <w:rFonts w:ascii="Times New Roman" w:hAnsi="Times New Roman" w:cs="Times New Roman"/>
          <w:sz w:val="24"/>
          <w:szCs w:val="24"/>
        </w:rPr>
        <w:instrText>ADDIN CSL_CITATION {"citationItems":[{"id":"ITEM-1","itemData":{"DOI":"10.1016/J.GEOFORUM.2016.10.005","ISSN":"00167185","abstract":"In this paper I offer a critical analysis of ‘sharing’ as a discursive formation in the emerging on-demand economy or, as its more commonly known, ‘sharing’ economy. The set of firms and digital platforms that constitute the on-demand economy evade precise definition, though in popular commentary include Uber, Lyft, Airbnb, Taskrabbit, Couchsurfing, and Yelp, among others. I argue that sharing is a discursive formation that is produced through neoliberal economic practices and contributes to their constitution and performance, connoting the embeddedness and inter-determination of the economic with the social. I analyze interview material with software developers and others working for on-demand economy firms in San Francisco to underscore how the sharing discourse is produced, and to examine the possible relationship between the sharing discourse and working practices in the on-demand economy. I explore how sharing, though a fragile and contested discourse, has been used by some proponents of the on-demand economy in an attempt to justify and normalize flexible and precarious work through an ambiguous association between capitalist exchange and altruistic social values. This ambiguity is productive insofar as sharing has become associated variously with transactional platforms, digital peer review via surveillant and punitive ratings systems, and algorithmically mediated, precarious, and ‘entrepreneurial’ contract work, while retaining affective associations with community, inclusion, and participation.","author":[{"dropping-particle":"","family":"Cockayne","given":"Daniel G.","non-dropping-particle":"","parse-names":false,"suffix":""}],"container-title":"Geoforum","id":"ITEM-1","issued":{"date-parts":[["2016","12","1"]]},"page":"73-82","publisher":"Elsevier Ltd","title":"Sharing and neoliberal discourse: The economic function of sharing in the digital on-demand economy","type":"article-journal","volume":"77"},"uris":["http://www.mendeley.com/documents/?uuid=515c1347-792e-3f1e-8def-4caa98c83038"]}],"mendeley":{"formattedCitation":"(Cockayne, 2016)","manualFormatting":"Cockayne (2016)","plainTextFormattedCitation":"(Cockayne, 2016)","previouslyFormattedCitation":"(Cockayne, 2016)"},"properties":{"noteIndex":0},"schema":"https://github.com/citation-style-language/schema/raw/master/csl-citation.json"}</w:instrText>
      </w:r>
      <w:r w:rsidRPr="00EC6ECD">
        <w:rPr>
          <w:rFonts w:ascii="Times New Roman" w:hAnsi="Times New Roman" w:cs="Times New Roman"/>
          <w:sz w:val="24"/>
          <w:szCs w:val="24"/>
          <w:lang w:val="en-GB"/>
        </w:rPr>
        <w:fldChar w:fldCharType="separate"/>
      </w:r>
      <w:r w:rsidRPr="00082ACD">
        <w:rPr>
          <w:rFonts w:ascii="Times New Roman" w:hAnsi="Times New Roman" w:cs="Times New Roman"/>
          <w:noProof/>
          <w:sz w:val="24"/>
          <w:szCs w:val="24"/>
        </w:rPr>
        <w:t>Cockayne (2016)</w:t>
      </w:r>
      <w:r w:rsidRPr="00EC6ECD">
        <w:rPr>
          <w:rFonts w:ascii="Times New Roman" w:hAnsi="Times New Roman" w:cs="Times New Roman"/>
          <w:sz w:val="24"/>
          <w:szCs w:val="24"/>
          <w:lang w:val="en-GB"/>
        </w:rPr>
        <w:fldChar w:fldCharType="end"/>
      </w:r>
      <w:r w:rsidRPr="00082ACD">
        <w:rPr>
          <w:rFonts w:ascii="Times New Roman" w:hAnsi="Times New Roman" w:cs="Times New Roman"/>
          <w:sz w:val="24"/>
          <w:szCs w:val="24"/>
        </w:rPr>
        <w:t xml:space="preserve"> </w:t>
      </w:r>
      <w:proofErr w:type="spellStart"/>
      <w:r w:rsidRPr="009E7235">
        <w:rPr>
          <w:rFonts w:ascii="Times New Roman" w:hAnsi="Times New Roman" w:cs="Times New Roman"/>
          <w:sz w:val="24"/>
          <w:szCs w:val="24"/>
        </w:rPr>
        <w:t>argues</w:t>
      </w:r>
      <w:proofErr w:type="spellEnd"/>
      <w:r w:rsidRPr="009E7235">
        <w:rPr>
          <w:rFonts w:ascii="Times New Roman" w:hAnsi="Times New Roman" w:cs="Times New Roman"/>
          <w:sz w:val="24"/>
          <w:szCs w:val="24"/>
        </w:rPr>
        <w:t xml:space="preserve"> </w:t>
      </w:r>
      <w:proofErr w:type="spellStart"/>
      <w:r w:rsidRPr="009E7235">
        <w:rPr>
          <w:rFonts w:ascii="Times New Roman" w:hAnsi="Times New Roman" w:cs="Times New Roman"/>
          <w:sz w:val="24"/>
          <w:szCs w:val="24"/>
        </w:rPr>
        <w:t>that</w:t>
      </w:r>
      <w:proofErr w:type="spellEnd"/>
      <w:r w:rsidRPr="009E7235">
        <w:rPr>
          <w:rFonts w:ascii="Times New Roman" w:hAnsi="Times New Roman" w:cs="Times New Roman"/>
          <w:sz w:val="24"/>
          <w:szCs w:val="24"/>
        </w:rPr>
        <w:t xml:space="preserve"> the on-demand or sharing economy </w:t>
      </w:r>
      <w:proofErr w:type="spellStart"/>
      <w:r w:rsidRPr="009E7235">
        <w:rPr>
          <w:rFonts w:ascii="Times New Roman" w:hAnsi="Times New Roman" w:cs="Times New Roman"/>
          <w:sz w:val="24"/>
          <w:szCs w:val="24"/>
        </w:rPr>
        <w:t>refers</w:t>
      </w:r>
      <w:proofErr w:type="spellEnd"/>
      <w:r w:rsidRPr="009E7235">
        <w:rPr>
          <w:rFonts w:ascii="Times New Roman" w:hAnsi="Times New Roman" w:cs="Times New Roman"/>
          <w:sz w:val="24"/>
          <w:szCs w:val="24"/>
        </w:rPr>
        <w:t xml:space="preserve"> to “digital </w:t>
      </w:r>
      <w:proofErr w:type="spellStart"/>
      <w:r w:rsidRPr="009E7235">
        <w:rPr>
          <w:rFonts w:ascii="Times New Roman" w:hAnsi="Times New Roman" w:cs="Times New Roman"/>
          <w:sz w:val="24"/>
          <w:szCs w:val="24"/>
        </w:rPr>
        <w:t>platforms</w:t>
      </w:r>
      <w:proofErr w:type="spellEnd"/>
      <w:r w:rsidRPr="009E7235">
        <w:rPr>
          <w:rFonts w:ascii="Times New Roman" w:hAnsi="Times New Roman" w:cs="Times New Roman"/>
          <w:sz w:val="24"/>
          <w:szCs w:val="24"/>
        </w:rPr>
        <w:t xml:space="preserve"> </w:t>
      </w:r>
      <w:proofErr w:type="spellStart"/>
      <w:r w:rsidRPr="009E7235">
        <w:rPr>
          <w:rFonts w:ascii="Times New Roman" w:hAnsi="Times New Roman" w:cs="Times New Roman"/>
          <w:sz w:val="24"/>
          <w:szCs w:val="24"/>
        </w:rPr>
        <w:t>that</w:t>
      </w:r>
      <w:proofErr w:type="spellEnd"/>
      <w:r w:rsidRPr="009E7235">
        <w:rPr>
          <w:rFonts w:ascii="Times New Roman" w:hAnsi="Times New Roman" w:cs="Times New Roman"/>
          <w:sz w:val="24"/>
          <w:szCs w:val="24"/>
        </w:rPr>
        <w:t xml:space="preserve"> </w:t>
      </w:r>
      <w:proofErr w:type="spellStart"/>
      <w:r w:rsidRPr="009E7235">
        <w:rPr>
          <w:rFonts w:ascii="Times New Roman" w:hAnsi="Times New Roman" w:cs="Times New Roman"/>
          <w:sz w:val="24"/>
          <w:szCs w:val="24"/>
        </w:rPr>
        <w:t>connect</w:t>
      </w:r>
      <w:proofErr w:type="spellEnd"/>
      <w:r w:rsidRPr="009E7235">
        <w:rPr>
          <w:rFonts w:ascii="Times New Roman" w:hAnsi="Times New Roman" w:cs="Times New Roman"/>
          <w:sz w:val="24"/>
          <w:szCs w:val="24"/>
        </w:rPr>
        <w:t xml:space="preserve"> consumers to a service or commodity </w:t>
      </w:r>
      <w:proofErr w:type="spellStart"/>
      <w:r w:rsidRPr="009E7235">
        <w:rPr>
          <w:rFonts w:ascii="Times New Roman" w:hAnsi="Times New Roman" w:cs="Times New Roman"/>
          <w:sz w:val="24"/>
          <w:szCs w:val="24"/>
        </w:rPr>
        <w:t>through</w:t>
      </w:r>
      <w:proofErr w:type="spellEnd"/>
      <w:r w:rsidRPr="009E7235">
        <w:rPr>
          <w:rFonts w:ascii="Times New Roman" w:hAnsi="Times New Roman" w:cs="Times New Roman"/>
          <w:sz w:val="24"/>
          <w:szCs w:val="24"/>
        </w:rPr>
        <w:t xml:space="preserve"> the use of a mobile </w:t>
      </w:r>
      <w:proofErr w:type="spellStart"/>
      <w:r w:rsidRPr="009E7235">
        <w:rPr>
          <w:rFonts w:ascii="Times New Roman" w:hAnsi="Times New Roman" w:cs="Times New Roman"/>
          <w:sz w:val="24"/>
          <w:szCs w:val="24"/>
        </w:rPr>
        <w:t>application</w:t>
      </w:r>
      <w:proofErr w:type="spellEnd"/>
      <w:r w:rsidRPr="009E7235">
        <w:rPr>
          <w:rFonts w:ascii="Times New Roman" w:hAnsi="Times New Roman" w:cs="Times New Roman"/>
          <w:sz w:val="24"/>
          <w:szCs w:val="24"/>
        </w:rPr>
        <w:t xml:space="preserve"> or website” (p</w:t>
      </w:r>
      <w:r w:rsidRPr="00082ACD">
        <w:rPr>
          <w:rFonts w:ascii="Times New Roman" w:hAnsi="Times New Roman" w:cs="Times New Roman"/>
          <w:sz w:val="24"/>
          <w:szCs w:val="24"/>
        </w:rPr>
        <w:t xml:space="preserve">. 73). </w:t>
      </w:r>
      <w:r w:rsidRPr="00247672">
        <w:rPr>
          <w:rFonts w:ascii="Times New Roman" w:hAnsi="Times New Roman" w:cs="Times New Roman"/>
          <w:sz w:val="24"/>
          <w:szCs w:val="24"/>
          <w:lang w:val="en-GB"/>
        </w:rPr>
        <w:t xml:space="preserve">In this vein, on-demand platforms promote </w:t>
      </w:r>
      <w:r w:rsidRPr="00247672">
        <w:rPr>
          <w:rFonts w:ascii="Times New Roman" w:hAnsi="Times New Roman" w:cs="Times New Roman"/>
          <w:sz w:val="24"/>
          <w:szCs w:val="24"/>
          <w:lang w:val="en-GB"/>
        </w:rPr>
        <w:lastRenderedPageBreak/>
        <w:t xml:space="preserve">transactional user-interaction </w:t>
      </w:r>
      <w:r w:rsidRPr="00247672">
        <w:rPr>
          <w:rFonts w:ascii="Times New Roman" w:hAnsi="Times New Roman" w:cs="Times New Roman"/>
          <w:sz w:val="24"/>
          <w:szCs w:val="24"/>
          <w:lang w:val="en-GB"/>
        </w:rPr>
        <w:fldChar w:fldCharType="begin" w:fldLock="1"/>
      </w:r>
      <w:r w:rsidR="00282DE6" w:rsidRPr="00247672">
        <w:rPr>
          <w:rFonts w:ascii="Times New Roman" w:hAnsi="Times New Roman" w:cs="Times New Roman"/>
          <w:sz w:val="24"/>
          <w:szCs w:val="24"/>
          <w:lang w:val="en-GB"/>
        </w:rPr>
        <w:instrText>ADDIN CSL_CITATION {"citationItems":[{"id":"ITEM-1","itemData":{"DOI":"10.1509/jmr.15.0204","abstract":"Peer-to-peer markets, collectively known as the sharing economy, have emerged as alternative suppliers of goods and services traditionally provided by long-established industries. The authors explore the economic impact of the sharing economy on incumbent firms by studying the case of Airbnb, a prominent platform for short-term accommodations. They analyze Airbnb's entry into the state of Texas and quantify its impact on the Texas hotel industry over the subsequent decade. In Austin, where Airbnb supply is highest, the causal impact on hotel revenue is in the 8%-10% range; moreover, the impact is nonuniform, with lower-priced hotels and hotels that do not cater to business travelers being the most affected. The impact manifests itself primarily through less aggressive hotel room pricing, benefiting all consumers, not just participants in the sharing economy. The price response is especially pronounced during periods of peak demand, such as during the South by Southwest festival, and is due to a differentiating feature of peer-to-peer platforms-enabling instantaneous supply to scale to meet demand.","author":[{"dropping-particle":"","family":"Zervas","given":"G","non-dropping-particle":"","parse-names":false,"suffix":""},{"dropping-particle":"","family":"…","given":"D Proserpio - Journal of marketing","non-dropping-particle":"","parse-names":false,"suffix":""},{"dropping-particle":"","family":"2017","given":"undefined","non-dropping-particle":"","parse-names":false,"suffix":""}],"container-title":"journals.sagepub.com","id":"ITEM-1","issue":"5","issued":{"date-parts":[["2017","10","1"]]},"page":"687-705","publisher":"American Marketing Association","title":"The rise of the sharing economy: Estimating the impact of Airbnb on the hotel industry","type":"article-journal","volume":"54"},"uris":["http://www.mendeley.com/documents/?uuid=704fe3d2-61b0-35f4-bf1f-05967e391cb8"]}],"mendeley":{"formattedCitation":"(Zervas et al., 2017)","manualFormatting":"(Zervas et al., 2017) ","plainTextFormattedCitation":"(Zervas et al., 2017)","previouslyFormattedCitation":"(Zervas et al., 2017)"},"properties":{"noteIndex":0},"schema":"https://github.com/citation-style-language/schema/raw/master/csl-citation.json"}</w:instrText>
      </w:r>
      <w:r w:rsidRPr="00247672">
        <w:rPr>
          <w:rFonts w:ascii="Times New Roman" w:hAnsi="Times New Roman" w:cs="Times New Roman"/>
          <w:sz w:val="24"/>
          <w:szCs w:val="24"/>
          <w:lang w:val="en-GB"/>
        </w:rPr>
        <w:fldChar w:fldCharType="separate"/>
      </w:r>
      <w:r w:rsidRPr="00247672">
        <w:rPr>
          <w:rFonts w:ascii="Times New Roman" w:hAnsi="Times New Roman" w:cs="Times New Roman"/>
          <w:noProof/>
          <w:sz w:val="24"/>
          <w:szCs w:val="24"/>
          <w:lang w:val="en-GB"/>
        </w:rPr>
        <w:t xml:space="preserve">(Zervas et al., 2017) </w:t>
      </w:r>
      <w:r w:rsidRPr="00247672">
        <w:rPr>
          <w:rFonts w:ascii="Times New Roman" w:hAnsi="Times New Roman" w:cs="Times New Roman"/>
          <w:sz w:val="24"/>
          <w:szCs w:val="24"/>
          <w:lang w:val="en-GB"/>
        </w:rPr>
        <w:fldChar w:fldCharType="end"/>
      </w:r>
      <w:r w:rsidRPr="00247672">
        <w:rPr>
          <w:rFonts w:ascii="Times New Roman" w:hAnsi="Times New Roman" w:cs="Times New Roman"/>
          <w:noProof/>
          <w:sz w:val="24"/>
          <w:szCs w:val="24"/>
          <w:lang w:val="en-GB"/>
        </w:rPr>
        <w:t>i</w:t>
      </w:r>
      <w:r w:rsidRPr="00247672">
        <w:rPr>
          <w:rFonts w:ascii="Times New Roman" w:hAnsi="Times New Roman" w:cs="Times New Roman"/>
          <w:sz w:val="24"/>
          <w:szCs w:val="24"/>
          <w:lang w:val="en-GB"/>
        </w:rPr>
        <w:t xml:space="preserve">n </w:t>
      </w:r>
      <w:r w:rsidR="009F6116">
        <w:rPr>
          <w:rFonts w:ascii="Times New Roman" w:hAnsi="Times New Roman" w:cs="Times New Roman"/>
          <w:sz w:val="24"/>
          <w:szCs w:val="24"/>
          <w:lang w:val="en-GB"/>
        </w:rPr>
        <w:t>the</w:t>
      </w:r>
      <w:r w:rsidR="009F6116" w:rsidRPr="00247672">
        <w:rPr>
          <w:rFonts w:ascii="Times New Roman" w:hAnsi="Times New Roman" w:cs="Times New Roman"/>
          <w:sz w:val="24"/>
          <w:szCs w:val="24"/>
          <w:lang w:val="en-GB"/>
        </w:rPr>
        <w:t xml:space="preserve"> </w:t>
      </w:r>
      <w:r w:rsidRPr="00247672">
        <w:rPr>
          <w:rFonts w:ascii="Times New Roman" w:hAnsi="Times New Roman" w:cs="Times New Roman"/>
          <w:sz w:val="24"/>
          <w:szCs w:val="24"/>
          <w:lang w:val="en-GB"/>
        </w:rPr>
        <w:t xml:space="preserve">B2C setting </w:t>
      </w:r>
      <w:r w:rsidRPr="00EC6ECD">
        <w:rPr>
          <w:rFonts w:ascii="Times New Roman" w:hAnsi="Times New Roman" w:cs="Times New Roman"/>
          <w:sz w:val="24"/>
          <w:szCs w:val="24"/>
          <w:lang w:val="en-GB"/>
        </w:rPr>
        <w:fldChar w:fldCharType="begin" w:fldLock="1"/>
      </w:r>
      <w:r w:rsidRPr="00247672">
        <w:rPr>
          <w:rFonts w:ascii="Times New Roman" w:hAnsi="Times New Roman" w:cs="Times New Roman"/>
          <w:sz w:val="24"/>
          <w:szCs w:val="24"/>
          <w:lang w:val="en-GB"/>
        </w:rPr>
        <w:instrText>ADDIN CSL_CITATION {"citationItems":[{"id":"ITEM-1","itemData":{"DOI":"10.1016/J.TECHFORE.2017.07.006","ISSN":"00401625","abstract":"In this article, we take stock of the ambivalent and contested nature of the sharing economy. Considering the ‘sharing economy’ as an umbrella construct and an essentially contested concept, we position the sharing economy as resting on three foundational cores: (1) Access economy, (2) Platform economy, and (3) Community-based economy. We show how each core holds distinct promises and paradoxes. This organizing framework shows how combining the cores can help sharing-economy initiatives to navigate certain tensions, but can also lead to new ones. We highlight the paradoxical nature of the sharing economy and make a case for balanced initiatives that combine the promises of each core while mitigating contradictions. We conclude by introducing the nine articles of the special issue, connecting their contributions to our organizing framework.","author":[{"dropping-particle":"","family":"Acquier","given":"Aurélien","non-dropping-particle":"","parse-names":false,"suffix":""},{"dropping-particle":"","family":"Daudigeos","given":"Thibault","non-dropping-particle":"","parse-names":false,"suffix":""},{"dropping-particle":"","family":"Pinkse","given":"Jonatan","non-dropping-particle":"","parse-names":false,"suffix":""}],"container-title":"Technological Forecasting and Social Change","id":"ITEM-1","issued":{"date-parts":[["2017","12","1"]]},"page":"1-10","publisher":"Elsevier Inc.","title":"Promises and paradoxes of the sharing economy: An organizing framework","type":"article-journal","volume":"125"},"uris":["http://www.mendeley.com/documents/?uuid=9c03790a-341b-3333-9890-2993338e9a21"]}],"mendeley":{"formattedCitation":"(Acquier et al., 2017)","plainTextFormattedCitation":"(Acquier et al., 2017)","previouslyFormattedCitation":"(Acquier et al., 2017)"},"properties":{"noteIndex":0},"schema":"https://github.com/citation-style-language/schema/raw/master/csl-citation.json"}</w:instrText>
      </w:r>
      <w:r w:rsidRPr="00EC6ECD">
        <w:rPr>
          <w:rFonts w:ascii="Times New Roman" w:hAnsi="Times New Roman" w:cs="Times New Roman"/>
          <w:sz w:val="24"/>
          <w:szCs w:val="24"/>
          <w:lang w:val="en-GB"/>
        </w:rPr>
        <w:fldChar w:fldCharType="separate"/>
      </w:r>
      <w:r w:rsidRPr="00247672">
        <w:rPr>
          <w:rFonts w:ascii="Times New Roman" w:hAnsi="Times New Roman" w:cs="Times New Roman"/>
          <w:noProof/>
          <w:sz w:val="24"/>
          <w:szCs w:val="24"/>
          <w:lang w:val="en-GB"/>
        </w:rPr>
        <w:t>(Acquier et al., 2017)</w:t>
      </w:r>
      <w:r w:rsidRPr="00EC6ECD">
        <w:rPr>
          <w:rFonts w:ascii="Times New Roman" w:hAnsi="Times New Roman" w:cs="Times New Roman"/>
          <w:sz w:val="24"/>
          <w:szCs w:val="24"/>
          <w:lang w:val="en-GB"/>
        </w:rPr>
        <w:fldChar w:fldCharType="end"/>
      </w:r>
      <w:r w:rsidRPr="00247672">
        <w:rPr>
          <w:rFonts w:ascii="Times New Roman" w:hAnsi="Times New Roman" w:cs="Times New Roman"/>
          <w:sz w:val="24"/>
          <w:szCs w:val="24"/>
          <w:lang w:val="en-GB"/>
        </w:rPr>
        <w:t xml:space="preserve">. Extending the on-demand or sharing economy concepts to </w:t>
      </w:r>
      <w:r w:rsidR="009F6116">
        <w:rPr>
          <w:rFonts w:ascii="Times New Roman" w:hAnsi="Times New Roman" w:cs="Times New Roman"/>
          <w:sz w:val="24"/>
          <w:szCs w:val="24"/>
          <w:lang w:val="en-GB"/>
        </w:rPr>
        <w:t>the</w:t>
      </w:r>
      <w:r w:rsidR="009F6116" w:rsidRPr="00247672">
        <w:rPr>
          <w:rFonts w:ascii="Times New Roman" w:hAnsi="Times New Roman" w:cs="Times New Roman"/>
          <w:sz w:val="24"/>
          <w:szCs w:val="24"/>
          <w:lang w:val="en-GB"/>
        </w:rPr>
        <w:t xml:space="preserve"> </w:t>
      </w:r>
      <w:r w:rsidRPr="00247672">
        <w:rPr>
          <w:rFonts w:ascii="Times New Roman" w:hAnsi="Times New Roman" w:cs="Times New Roman"/>
          <w:sz w:val="24"/>
          <w:szCs w:val="24"/>
          <w:lang w:val="en-GB"/>
        </w:rPr>
        <w:t xml:space="preserve">B2B setting, </w:t>
      </w:r>
      <w:r w:rsidRPr="00EC6ECD">
        <w:rPr>
          <w:rFonts w:ascii="Times New Roman" w:hAnsi="Times New Roman" w:cs="Times New Roman"/>
          <w:sz w:val="24"/>
          <w:szCs w:val="24"/>
          <w:lang w:val="en-GB"/>
        </w:rPr>
        <w:fldChar w:fldCharType="begin" w:fldLock="1"/>
      </w:r>
      <w:r w:rsidRPr="00247672">
        <w:rPr>
          <w:rFonts w:ascii="Times New Roman" w:hAnsi="Times New Roman" w:cs="Times New Roman"/>
          <w:sz w:val="24"/>
          <w:szCs w:val="24"/>
          <w:lang w:val="en-GB"/>
        </w:rPr>
        <w:instrText>ADDIN CSL_CITATION {"citationItems":[{"id":"ITEM-1","itemData":{"DOI":"10.1086/684684","ISSN":"23781823","abstract":"AbstractThe access economy is rising in importance in the marketplace. In this conceptual article, we chronicle access practices in market and nonmarket economies. In nonmarket economic systems, ac...","author":[{"dropping-particle":"","family":"Eckhardt","given":"Giana M.","non-dropping-particle":"","parse-names":false,"suffix":""},{"dropping-particle":"","family":"Bardhi","given":"Fleura","non-dropping-particle":"","parse-names":false,"suffix":""}],"container-title":"https://doi.org/10.1086/684684","id":"ITEM-1","issue":"2","issued":{"date-parts":[["2016","2","9"]]},"page":"211-225","publisher":"University of Chicago PressChicago, IL","title":"The Relationship between Access Practices  and Economic Systems","type":"article-journal","volume":"1"},"uris":["http://www.mendeley.com/documents/?uuid=7a80f786-5d52-357f-9080-7d7d46e47727"]}],"mendeley":{"formattedCitation":"(Eckhardt &amp; Bardhi, 2016)","manualFormatting":"Eckhardt &amp; Bardhi (2016)","plainTextFormattedCitation":"(Eckhardt &amp; Bardhi, 2016)","previouslyFormattedCitation":"(Eckhardt &amp; Bardhi, 2016)"},"properties":{"noteIndex":0},"schema":"https://github.com/citation-style-language/schema/raw/master/csl-citation.json"}</w:instrText>
      </w:r>
      <w:r w:rsidRPr="00EC6ECD">
        <w:rPr>
          <w:rFonts w:ascii="Times New Roman" w:hAnsi="Times New Roman" w:cs="Times New Roman"/>
          <w:sz w:val="24"/>
          <w:szCs w:val="24"/>
          <w:lang w:val="en-GB"/>
        </w:rPr>
        <w:fldChar w:fldCharType="separate"/>
      </w:r>
      <w:r w:rsidRPr="00247672">
        <w:rPr>
          <w:rFonts w:ascii="Times New Roman" w:hAnsi="Times New Roman" w:cs="Times New Roman"/>
          <w:noProof/>
          <w:sz w:val="24"/>
          <w:szCs w:val="24"/>
          <w:lang w:val="en-GB"/>
        </w:rPr>
        <w:t>Eckhardt &amp; Bardhi (2016)</w:t>
      </w:r>
      <w:r w:rsidRPr="00EC6ECD">
        <w:rPr>
          <w:rFonts w:ascii="Times New Roman" w:hAnsi="Times New Roman" w:cs="Times New Roman"/>
          <w:sz w:val="24"/>
          <w:szCs w:val="24"/>
          <w:lang w:val="en-GB"/>
        </w:rPr>
        <w:fldChar w:fldCharType="end"/>
      </w:r>
      <w:r w:rsidRPr="00247672">
        <w:rPr>
          <w:rFonts w:ascii="Times New Roman" w:hAnsi="Times New Roman" w:cs="Times New Roman"/>
          <w:sz w:val="24"/>
          <w:szCs w:val="24"/>
          <w:lang w:val="en-GB"/>
        </w:rPr>
        <w:t xml:space="preserve"> define the access economy as one that “provides temporary access to consumption resources for a fee o</w:t>
      </w:r>
      <w:r w:rsidRPr="00EC6ECD">
        <w:rPr>
          <w:rFonts w:ascii="Times New Roman" w:hAnsi="Times New Roman" w:cs="Times New Roman"/>
          <w:sz w:val="24"/>
          <w:szCs w:val="24"/>
          <w:lang w:val="en-GB"/>
        </w:rPr>
        <w:t xml:space="preserve">r for free without a transfer of ownership” (p. 210), in line with what is stated by </w:t>
      </w:r>
      <w:r w:rsidRPr="00EC6ECD">
        <w:rPr>
          <w:rFonts w:ascii="Times New Roman" w:hAnsi="Times New Roman" w:cs="Times New Roman"/>
          <w:sz w:val="24"/>
          <w:szCs w:val="24"/>
          <w:lang w:val="en-GB"/>
        </w:rPr>
        <w:fldChar w:fldCharType="begin" w:fldLock="1"/>
      </w:r>
      <w:r w:rsidRPr="00EC6ECD">
        <w:rPr>
          <w:rFonts w:ascii="Times New Roman" w:hAnsi="Times New Roman" w:cs="Times New Roman"/>
          <w:sz w:val="24"/>
          <w:szCs w:val="24"/>
          <w:lang w:val="en-GB"/>
        </w:rPr>
        <w:instrText>ADDIN CSL_CITATION {"citationItems":[{"id":"ITEM-1","itemData":{"DOI":"10.1016/J.EIST.2017.01.003","ISSN":"22104224","abstract":"We develop a conceptual framework that allows us to define the sharing economy and its close cousins and we understand its sudden rise from an economic-historic perspective. We then assess the sharing economy platforms in terms of the economic, social and environmental impacts. We end with reflections on current regulations and future alternatives, and suggest a number of future research questions.","author":[{"dropping-particle":"","family":"Frenken","given":"Koen","non-dropping-particle":"","parse-names":false,"suffix":""},{"dropping-particle":"","family":"Schor","given":"Juliet","non-dropping-particle":"","parse-names":false,"suffix":""}],"container-title":"Environmental Innovation and Societal Transitions","id":"ITEM-1","issued":{"date-parts":[["2017","6","1"]]},"page":"3-10","publisher":"Elsevier B.V.","title":"Putting the sharing economy into perspective","type":"article-journal","volume":"23"},"uris":["http://www.mendeley.com/documents/?uuid=a6d19e25-7538-3102-ab53-928292fee73d"]}],"mendeley":{"formattedCitation":"(Frenken &amp; Schor, 2017)","manualFormatting":"Frenken &amp; Schor (2017)","plainTextFormattedCitation":"(Frenken &amp; Schor, 2017)","previouslyFormattedCitation":"(Frenken &amp; Schor, 2017)"},"properties":{"noteIndex":0},"schema":"https://github.com/citation-style-language/schema/raw/master/csl-citation.json"}</w:instrText>
      </w:r>
      <w:r w:rsidRPr="00EC6ECD">
        <w:rPr>
          <w:rFonts w:ascii="Times New Roman" w:hAnsi="Times New Roman" w:cs="Times New Roman"/>
          <w:sz w:val="24"/>
          <w:szCs w:val="24"/>
          <w:lang w:val="en-GB"/>
        </w:rPr>
        <w:fldChar w:fldCharType="separate"/>
      </w:r>
      <w:r w:rsidRPr="00EC6ECD">
        <w:rPr>
          <w:rFonts w:ascii="Times New Roman" w:hAnsi="Times New Roman" w:cs="Times New Roman"/>
          <w:noProof/>
          <w:sz w:val="24"/>
          <w:szCs w:val="24"/>
          <w:lang w:val="en-GB"/>
        </w:rPr>
        <w:t>Frenken &amp; Schor (2017)</w:t>
      </w:r>
      <w:r w:rsidRPr="00EC6ECD">
        <w:rPr>
          <w:rFonts w:ascii="Times New Roman" w:hAnsi="Times New Roman" w:cs="Times New Roman"/>
          <w:sz w:val="24"/>
          <w:szCs w:val="24"/>
          <w:lang w:val="en-GB"/>
        </w:rPr>
        <w:fldChar w:fldCharType="end"/>
      </w:r>
      <w:r w:rsidRPr="00EC6ECD">
        <w:rPr>
          <w:rFonts w:ascii="Times New Roman" w:hAnsi="Times New Roman" w:cs="Times New Roman"/>
          <w:sz w:val="24"/>
          <w:szCs w:val="24"/>
          <w:lang w:val="en-GB"/>
        </w:rPr>
        <w:t xml:space="preserve"> and </w:t>
      </w:r>
      <w:r w:rsidRPr="00EC6ECD">
        <w:rPr>
          <w:rFonts w:ascii="Times New Roman" w:hAnsi="Times New Roman" w:cs="Times New Roman"/>
          <w:sz w:val="24"/>
          <w:szCs w:val="24"/>
          <w:lang w:val="en-GB"/>
        </w:rPr>
        <w:fldChar w:fldCharType="begin" w:fldLock="1"/>
      </w:r>
      <w:r w:rsidRPr="00EC6ECD">
        <w:rPr>
          <w:rFonts w:ascii="Times New Roman" w:hAnsi="Times New Roman" w:cs="Times New Roman"/>
          <w:sz w:val="24"/>
          <w:szCs w:val="24"/>
          <w:lang w:val="en-GB"/>
        </w:rPr>
        <w:instrText>ADDIN CSL_CITATION {"citationItems":[{"id":"ITEM-1","itemData":{"author":[{"dropping-particle":"","family":"Stephany","given":"A","non-dropping-particle":"","parse-names":false,"suffix":""}],"id":"ITEM-1","issued":{"date-parts":[["2015"]]},"title":"The business of sharing: Making it in the new sharing economy","type":"article-journal"},"uris":["http://www.mendeley.com/documents/?uuid=0dba473f-9d82-319f-8e0d-8145c3ee638d"]}],"mendeley":{"formattedCitation":"(Stephany, 2015)","manualFormatting":"Stephany (2015)","plainTextFormattedCitation":"(Stephany, 2015)","previouslyFormattedCitation":"(Stephany, 2015)"},"properties":{"noteIndex":0},"schema":"https://github.com/citation-style-language/schema/raw/master/csl-citation.json"}</w:instrText>
      </w:r>
      <w:r w:rsidRPr="00EC6ECD">
        <w:rPr>
          <w:rFonts w:ascii="Times New Roman" w:hAnsi="Times New Roman" w:cs="Times New Roman"/>
          <w:sz w:val="24"/>
          <w:szCs w:val="24"/>
          <w:lang w:val="en-GB"/>
        </w:rPr>
        <w:fldChar w:fldCharType="separate"/>
      </w:r>
      <w:r w:rsidRPr="00EC6ECD">
        <w:rPr>
          <w:rFonts w:ascii="Times New Roman" w:hAnsi="Times New Roman" w:cs="Times New Roman"/>
          <w:noProof/>
          <w:sz w:val="24"/>
          <w:szCs w:val="24"/>
          <w:lang w:val="en-GB"/>
        </w:rPr>
        <w:t>Stephany (2015)</w:t>
      </w:r>
      <w:r w:rsidRPr="00EC6ECD">
        <w:rPr>
          <w:rFonts w:ascii="Times New Roman" w:hAnsi="Times New Roman" w:cs="Times New Roman"/>
          <w:sz w:val="24"/>
          <w:szCs w:val="24"/>
          <w:lang w:val="en-GB"/>
        </w:rPr>
        <w:fldChar w:fldCharType="end"/>
      </w:r>
      <w:r w:rsidRPr="00EC6ECD">
        <w:rPr>
          <w:rFonts w:ascii="Times New Roman" w:hAnsi="Times New Roman" w:cs="Times New Roman"/>
          <w:sz w:val="24"/>
          <w:szCs w:val="24"/>
          <w:lang w:val="en-GB"/>
        </w:rPr>
        <w:t xml:space="preserve">, whose studies highlight how the sharing economy enables the access to, and </w:t>
      </w:r>
      <w:r w:rsidR="009F6116">
        <w:rPr>
          <w:rFonts w:ascii="Times New Roman" w:hAnsi="Times New Roman" w:cs="Times New Roman"/>
          <w:sz w:val="24"/>
          <w:szCs w:val="24"/>
          <w:lang w:val="en-GB"/>
        </w:rPr>
        <w:t xml:space="preserve">the </w:t>
      </w:r>
      <w:r w:rsidRPr="00EC6ECD">
        <w:rPr>
          <w:rFonts w:ascii="Times New Roman" w:hAnsi="Times New Roman" w:cs="Times New Roman"/>
          <w:sz w:val="24"/>
          <w:szCs w:val="24"/>
          <w:lang w:val="en-GB"/>
        </w:rPr>
        <w:t>exploitation of, under-utilized physical asset</w:t>
      </w:r>
      <w:r w:rsidRPr="00247672">
        <w:rPr>
          <w:rFonts w:ascii="Times New Roman" w:hAnsi="Times New Roman" w:cs="Times New Roman"/>
          <w:sz w:val="24"/>
          <w:szCs w:val="24"/>
          <w:lang w:val="en-GB"/>
        </w:rPr>
        <w:t>s.</w:t>
      </w:r>
    </w:p>
    <w:p w14:paraId="2A75AC57" w14:textId="10B6CD98" w:rsidR="00B93D26" w:rsidRPr="00FE6A51" w:rsidRDefault="00000000" w:rsidP="003A5E4C">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Building on the research on sharing platforms, more recent research has advanced the concept of platform ecosystems, which is aimed at representing a network of actors that share a common technological and market-oriented platform, and that organize themselves around it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{"citationItems":[{"id":"ITEM-1","itemData":{"DOI":"10.1002/SMJ.2904","ISSN":"1097-0266","abstract":"Research Summary: The recent surge of interest in “ecosystems” in strategy research and practice has mainly focused on what ecosystems are and how they operate. We complement this literature by considering when and why ecosystems emerge, and what makes them distinct from other governance forms. We argue that modularity enables ecosystem emergence as it allows a set of distinct yet interdependent organizations to coordinate without full hierarchical fiat. We show how ecosystems address multilateral dependences based on various types of complementarities—supermodular or unique, unidirectional or bidirectional—which determine the ecosystem's value-add. We argue that at the core of ecosystems lie nongeneric complementarities, and the creation of sets of roles that face similar rules. We conclude with implications for mainstream strategy and suggestions for future research. Managerial Summary: We consider what makes ecosystems different from other business constellations, including markets, alliances, or hierarchically managed supply chains. Ecosystems, we posit, are interacting organizations, enabled by modularity, not hierarchically managed, bound together by the nonredeployability of their collective investment elsewhere. Ecosystems add value as they allow managers to coordinate their multilateral dependence through sets of roles that face similar rules, thus obviating the need to enter into customized contractual agreements with each partner. We explain how different types of complementarities (unique or supermodular, generic or specific, uni- or bi-directional) shape ecosystems and offer a “theory of ecosystems” that can explain what they are, when they emerge, and why alignment occurs. Finally, we outline the critical factors affecting ecosystem emergence, evolution, and success—or failure.","author":[{"dropping-particle":"","family":"Jacobides","given":"Michael G.","non-dropping-particle":"","parse-names":false,"suffix":""},{"dropping-particle":"","family":"Cennamo","given":"Carmelo","non-dropping-particle":"","parse-names":false,"suffix":""},{"dropping-particle":"","family":"Gawer","given":"Annabelle","non-dropping-particle":"","parse-names":false,"suffix":""}],"container-title":"Strategic Management Journal","id":"ITEM-1","issue":"8","issued":{"date-parts":[["2018","8","1"]]},"page":"2255-2276","publisher":"John Wiley &amp; Sons, Ltd","title":"Towards a theory of ecosystems","type":"article-journal","volume":"39"},"uris":["http://www.mendeley.com/documents/?uuid=a5132938-2025-3981-a647-ef9495691249"]}],"mendeley":{"formattedCitation":"(Jacobides et al., 2018)","plainTextFormattedCitation":"(Jacobides et al., 2018)","previouslyFormattedCitation":"(Jacobides et al., 2018)"},"properties":{"noteIndex":0},"schema":"https://github.com/citation-style-language/schema/raw/master/csl-citation.json"}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(Jacobides et al., 2018)</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Platform ecosystems are governed by an orchestrator, i.e., an organization that defines how </w:t>
      </w:r>
      <w:r w:rsidR="009F6116">
        <w:rPr>
          <w:rFonts w:ascii="Times New Roman" w:hAnsi="Times New Roman" w:cs="Times New Roman"/>
          <w:sz w:val="24"/>
          <w:szCs w:val="24"/>
          <w:lang w:val="en-GB"/>
        </w:rPr>
        <w:t>the</w:t>
      </w:r>
      <w:r w:rsidR="009F6116" w:rsidRPr="75A96201">
        <w:rPr>
          <w:rFonts w:ascii="Times New Roman" w:hAnsi="Times New Roman" w:cs="Times New Roman"/>
          <w:sz w:val="24"/>
          <w:szCs w:val="24"/>
          <w:lang w:val="en-GB"/>
        </w:rPr>
        <w:t xml:space="preserve"> </w:t>
      </w:r>
      <w:r w:rsidR="009F6116">
        <w:rPr>
          <w:rFonts w:ascii="Times New Roman" w:hAnsi="Times New Roman" w:cs="Times New Roman"/>
          <w:sz w:val="24"/>
          <w:szCs w:val="24"/>
          <w:lang w:val="en-GB"/>
        </w:rPr>
        <w:t xml:space="preserve">involved </w:t>
      </w:r>
      <w:r w:rsidRPr="75A96201">
        <w:rPr>
          <w:rFonts w:ascii="Times New Roman" w:hAnsi="Times New Roman" w:cs="Times New Roman"/>
          <w:sz w:val="24"/>
          <w:szCs w:val="24"/>
          <w:lang w:val="en-GB"/>
        </w:rPr>
        <w:t xml:space="preserve">actors transact and operate by determining the platform’s structure, rules, and mechanisms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{"citationItems":[{"id":"ITEM-1","itemData":{"DOI":"10.2139/SSRN.3289574","abstract":"Platform-based technology ecosystems are new forms of organizing independent actors’ innovations around a stable product system. This collective organization is proving superior to traditional, vertically integrated systems in many sectors because of greater “generativity” – the ecosystem’s capacity to foster complementary innovation from autonomous, heterogenous firms – which extends the usage scope and value of the platform to users. However, greater generativity can also lead to greater variance in the way ecosystem members’ contributions satisfy users’ needs, and it could potentially hinder the ecosystems’ value creation. We draw on collective action theory to examine generativity’s impact on user satisfaction and the mechanisms driving it. We argue that products enhancing user satisfaction contribute to a collective, shared asset, the platform system reputation, from which all participants benefit. Thus, generativity has both a positive (system reputation) and negative (free riding) effect on the ecosystem members’ incentives for developing products that enhance user satisfaction. We argue that the negative free riding effect prevails as the platform system matures and competition with alternative platform systems increases. Using data from the videogame industry, we find supportive evidence for the free riding effect, which generates an average loss in total revenue for first-rate games of about $36.5M and a drop of about 3.3% in the console’s market share. By identifying the conditions that exacerbate free riding in platform ecosystems, our study contributes to the understanding of the evolutionary dynamics of platform ecosystems. It also highlights one feedback mechanism governing collective action in ecosystems and its implications for value creation.","author":[{"dropping-particle":"","family":"Cennamo","given":"Carmelo","non-dropping-particle":"","parse-names":false,"suffix":""},{"dropping-particle":"","family":"Santaló","given":"Juan","non-dropping-particle":"","parse-names":false,"suffix":""}],"container-title":"SSRN Electronic Journal","id":"ITEM-1","issued":{"date-parts":[["2018","10","20"]]},"publisher":"Elsevier BV","title":"Generativity Tension and Value Creation in Platform-Based Technology Ecosystems","type":"article-journal"},"uris":["http://www.mendeley.com/documents/?uuid=0c8066ef-f25d-36a6-9503-5c9c68b61a04"]},{"id":"ITEM-2","itemData":{"DOI":"10.1177/0149206320986617","abstract":"Ecosystems-communities of interdependent yet hierarchically independent heterogeneous participants who collectively generate an ecosystem value proposition-often emerge through collective action, where ecosystem participants interact with each other and the external environment. When such organizational forms are emerging, they require legitimacy to overcome the \"liability of newness.\" Adopting a collective action lens and taking a legitimacy-as-process approach, we propose a process model of ecosystem collective action, where an orchestrator, complementors, users, and external actors together drive ecosystem legitimacy. We identify three key legitimation processes-discursive legitimation, performative legitimation, and ecosystem identity construction-and demonstrate how these three processes together facilitate the emergence of ecosystem legitimacy and reduce the liability of newness of emerging ecosystems.","author":[{"dropping-particle":"","family":"Thomas","given":"Llewellyn D W","non-dropping-particle":"","parse-names":false,"suffix":""},{"dropping-particle":"","family":"Ritala","given":"Paavo","non-dropping-particle":"","parse-names":false,"suffix":""}],"container-title":"Journal of Management","id":"ITEM-2","issue":"3","issued":{"date-parts":[["2022"]]},"page":"515-522","title":"Ecosystem Legitimacy Emergence: A Collective Action View","type":"article-journal","volume":"48"},"uris":["http://www.mendeley.com/documents/?uuid=3a774c4a-d61d-3dc7-9b59-d91031060941"]}],"mendeley":{"formattedCitation":"(Cennamo &amp; Santaló, 2018; Thomas &amp; Ritala, 2022)","plainTextFormattedCitation":"(Cennamo &amp; Santaló, 2018; Thomas &amp; Ritala, 2022)","previouslyFormattedCitation":"(Cennamo &amp; Santaló, 2018; Thomas &amp; Ritala, 2022)"},"properties":{"noteIndex":0},"schema":"https://github.com/citation-style-language/schema/raw/master/csl-citation.json"}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(Cennamo &amp; Santaló, 2018; Thomas &amp; Ritala, 2022)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Indeed, platforms organize data streams, economic interactions, and social exchanges across several </w:t>
      </w:r>
      <w:r w:rsidR="009F6116">
        <w:rPr>
          <w:rFonts w:ascii="Times New Roman" w:hAnsi="Times New Roman" w:cs="Times New Roman"/>
          <w:sz w:val="24"/>
          <w:szCs w:val="24"/>
          <w:lang w:val="en-GB"/>
        </w:rPr>
        <w:t>actors</w:t>
      </w:r>
      <w:r w:rsidR="009F6116"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author":[{"dropping-particle":"Van","family":"Dijck","given":"J","non-dropping-particle":"","parse-names":false,"suffix":""},{"dropping-particle":"","family":"Poell","given":"T","non-dropping-particle":"","parse-names":false,"suffix":""},{"dropping-particle":"De","family":"Waal","given":"M","non-dropping-particle":"","parse-names":false,"suffix":""}],"id":"ITEM-1","issued":{"date-parts":[["2018"]]},"title":"The platform society: Public values in a connective world","type":"article-journal"},"uris":["http://www.mendeley.com/documents/?uuid=d9589cc1-09a9-37bd-85c1-2681b8709db8"]}],"mendeley":{"formattedCitation":"(Dijck et al., 2018)","plainTextFormattedCitation":"(Dijck et al., 2018)","previouslyFormattedCitation":"(Dijck et al., 2018)"},"properties":{"noteIndex":0},"schema":"https://github.com/citation-style-language/schema/raw/master/csl-citation.json"}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(Dijck et al., 2018)</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p>
    <w:p w14:paraId="7F6148BD" w14:textId="5BBEEAF7" w:rsidR="00B93D26" w:rsidRDefault="00000000" w:rsidP="007D1D3C">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Grounding on the research on platform ecosystems, scholars in the CE research field have </w:t>
      </w:r>
      <w:r w:rsidR="007B766F">
        <w:rPr>
          <w:rFonts w:ascii="Times New Roman" w:hAnsi="Times New Roman" w:cs="Times New Roman"/>
          <w:sz w:val="24"/>
          <w:szCs w:val="24"/>
          <w:lang w:val="en-GB"/>
        </w:rPr>
        <w:t xml:space="preserve">recently </w:t>
      </w:r>
      <w:r w:rsidRPr="75A96201">
        <w:rPr>
          <w:rFonts w:ascii="Times New Roman" w:hAnsi="Times New Roman" w:cs="Times New Roman"/>
          <w:sz w:val="24"/>
          <w:szCs w:val="24"/>
          <w:lang w:val="en-GB"/>
        </w:rPr>
        <w:t xml:space="preserve">proposed the concept of circular ecosystems enabled via </w:t>
      </w:r>
      <w:proofErr w:type="spellStart"/>
      <w:r w:rsidRPr="75A96201">
        <w:rPr>
          <w:rFonts w:ascii="Times New Roman" w:hAnsi="Times New Roman" w:cs="Times New Roman"/>
          <w:sz w:val="24"/>
          <w:szCs w:val="24"/>
          <w:lang w:val="en-GB"/>
        </w:rPr>
        <w:t>platformization</w:t>
      </w:r>
      <w:proofErr w:type="spellEnd"/>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{"citationItems":[{"id":"ITEM-1","itemData":{"DOI":"10.1016/j.jclepro.2019.119942","ISSN":"09596526","abstract":"A circular economy maximizes the value of material resources and minimizes greenhouse gas emissions, resource use, waste and pollution. We will posit that circularity needs to be understood as a property of a system (e.g., the mobility system of a city), rather than a property of an individual product or service (e.g., a car or a car-sharing service). Hence, there is a need for more knowledge on how to innovate towards ‘circular ecosystems’. This study proposes a set of principles for ‘circular ecosystem innovation’, based on: 1) a concise literature review to retrieve recommended principles on how to successfully innovate in ecosystems, 2) a mobility case of circular ecosystem innovation to investigate how relevant and useful these principles are for circular oriented innovation. The case data include 20 interviews, workshop data and internal background documents. The identified principles can be categorized in three groups: 1) collaboration (i.e., how firms can interact with other organizations in their ecosystem to innovate towards circularity), 2) experimentation (i.e., how firms can organize a structured trial-and-error process to implement greater circularity) and 3) platformization (i.e., how firms can organize social and economic interactions via online platforms to achieve greater circularity). Future research may focus on identifying opportunities and barriers to applying these principles in different contexts than in the one that is investigated in the present study.","author":[{"dropping-particle":"","family":"Konietzko","given":"Jan","non-dropping-particle":"","parse-names":false,"suffix":""},{"dropping-particle":"","family":"Bocken","given":"Nancy","non-dropping-particle":"","parse-names":false,"suffix":""},{"dropping-particle":"","family":"Hultink","given":"Erik Jan","non-dropping-particle":"","parse-names":false,"suffix":""}],"container-title":"Journal of Cleaner Production","id":"ITEM-1","issued":{"date-parts":[["2020"]]},"page":"119942","publisher":"Elsevier Ltd","title":"Circular ecosystem innovation: An initial set of principles","type":"article-journal","volume":"253"},"uris":["http://www.mendeley.com/documents/?uuid=b34d3172-5b99-46fd-96aa-397af2d30ff5"]}],"mendeley":{"formattedCitation":"(Konietzko et al., 2020)","plainTextFormattedCitation":"(Konietzko et al., 2020)","previouslyFormattedCitation":"(Konietzko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(Konietzko et al.,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which refers to “how companies can organize social and economic interactions via online platforms in order to achieve greater circularity” (p. 2)</w:t>
      </w:r>
      <w:r w:rsidRPr="75A96201">
        <w:rPr>
          <w:rFonts w:ascii="Times New Roman" w:hAnsi="Times New Roman" w:cs="Times New Roman"/>
          <w:sz w:val="24"/>
          <w:szCs w:val="24"/>
          <w:lang w:val="en-US"/>
        </w:rPr>
        <w:t xml:space="preserve">. </w:t>
      </w:r>
      <w:r w:rsidR="008240D1">
        <w:rPr>
          <w:rFonts w:ascii="Times New Roman" w:hAnsi="Times New Roman" w:cs="Times New Roman"/>
          <w:sz w:val="24"/>
          <w:szCs w:val="24"/>
          <w:lang w:val="en-US"/>
        </w:rPr>
        <w:t xml:space="preserve">For example,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US"/>
        </w:rPr>
        <w:instrText>ADDIN CSL_CITATION {"citationItems":[{"id":"ITEM-1","itemData":{"DOI":"10.1016/J.JCLEPRO.2019.118528","ISSN":"0959-6526","abstract":"The circular economy (CE) concept is much-heralded among policy-makers, scholars and industry professionals as an accelerated pathway towards sustainability. This move away from the dominant linear system where products are discarded at the end of product lifecycle is deemed necessary since it is the main cause of an accelerated resource consumption. Business models are considered as a key enabler for the shift from a linear to a CE. However, research on circular business models has mainly focused on circular approaches adopted by incumbent firms, while the contributions of newly established firms (the authors call these ’circular start-ups’) have been largely overlooked. This article scrutinises the business models of circular start-ups and how they may differ from those of incumbent firms embracing CE. For this, it analyses the circular business model strategies and innovations adopted by circular start-ups, relying on a novel data sample of 128 circular start-ups identified in three major CE ecosystems in Europe: the Randstad region in the Netherlands, Berlin and London. Based on this data, a novel typology of circular start-ups is proposed, distinguishing between five circular start-up archetypes: design-based, wa</w:instrText>
      </w:r>
      <w:r w:rsidRPr="75A96201">
        <w:rPr>
          <w:rFonts w:ascii="Times New Roman" w:hAnsi="Times New Roman" w:cs="Times New Roman"/>
          <w:sz w:val="24"/>
          <w:szCs w:val="24"/>
          <w:lang w:val="en-GB"/>
        </w:rPr>
        <w:instrText>ste-based, platform-based, service-based and nature-based start-ups. The results also show that circular start-ups tend to embrace strategies corresponding to higher levels of circularity than those of incumbents. This preliminarily suggests that circular start-ups can indeed make major contributions to transitioning towards CE.","author":[{"dropping-particle":"","family":"Henry","given":"Marvin","non-dropping-particle":"","parse-names":false,"suffix":""},{"dropping-particle":"","family":"Bauwens","given":"Thomas","non-dropping-particle":"","parse-names":false,"suffix":""},{"dropping-particle":"","family":"Hekkert","given":"Marko","non-dropping-particle":"","parse-names":false,"suffix":""},{"dropping-particle":"","family":"Kirchherr","given":"Julian","non-dropping-particle":"","parse-names":false,"suffix":""}],"container-title":"Journal of Cleaner Production","id":"ITEM-1","issued":{"date-parts":[["2020"]]},"page":"118528","publisher":"Elsevier","title":"A typology of circular start-ups: An Analysis of 128 circular business models","type":"article-journal","volume":"245"},"uris":["http://www.mendeley.com/documents/?uuid=5ee70ed3-235b-3efe-851e-e2659db8b1cd"]}],"mendeley":{"formattedCitation":"(Henry et al., 2020)","manualFormatting":"Henry et al. (2020)","plainTextFormattedCitation":"(Henry et al., 2020)","previouslyFormattedCitation":"(Henry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Henry et al.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argue that circularity through (digital) platforms refers to a product utilization rate increase and a reduction of material throughput via shared use/access/ownership. </w:t>
      </w:r>
      <w:r w:rsidRPr="75A96201">
        <w:rPr>
          <w:rFonts w:ascii="Times New Roman" w:hAnsi="Times New Roman" w:cs="Times New Roman"/>
          <w:sz w:val="24"/>
          <w:szCs w:val="24"/>
          <w:lang w:val="en-US"/>
        </w:rPr>
        <w:t xml:space="preserve">These </w:t>
      </w:r>
      <w:r w:rsidRPr="75A96201">
        <w:rPr>
          <w:rFonts w:ascii="Times New Roman" w:hAnsi="Times New Roman" w:cs="Times New Roman"/>
          <w:sz w:val="24"/>
          <w:szCs w:val="24"/>
          <w:lang w:val="en-GB"/>
        </w:rPr>
        <w:t xml:space="preserve">platforms can create value by </w:t>
      </w:r>
      <w:r w:rsidR="008240D1">
        <w:rPr>
          <w:rFonts w:ascii="Times New Roman" w:hAnsi="Times New Roman" w:cs="Times New Roman"/>
          <w:sz w:val="24"/>
          <w:szCs w:val="24"/>
          <w:lang w:val="en-GB"/>
        </w:rPr>
        <w:t>facilitating</w:t>
      </w:r>
      <w:r w:rsidR="008240D1"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the creation of a network of actors</w:t>
      </w:r>
      <w:r w:rsidR="008B2BC6">
        <w:rPr>
          <w:rFonts w:ascii="Times New Roman" w:hAnsi="Times New Roman" w:cs="Times New Roman"/>
          <w:sz w:val="24"/>
          <w:szCs w:val="24"/>
          <w:lang w:val="en-GB"/>
        </w:rPr>
        <w:t xml:space="preserve">, i.e., </w:t>
      </w:r>
      <w:r w:rsidR="008B2BC6" w:rsidRPr="75A96201">
        <w:rPr>
          <w:rFonts w:ascii="Times New Roman" w:hAnsi="Times New Roman" w:cs="Times New Roman"/>
          <w:sz w:val="24"/>
          <w:szCs w:val="24"/>
          <w:lang w:val="en-GB"/>
        </w:rPr>
        <w:t>multiple suppliers and customers</w:t>
      </w:r>
      <w:r w:rsidR="008B2BC6">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 </w:t>
      </w:r>
      <w:r w:rsidR="008B2BC6">
        <w:rPr>
          <w:rFonts w:ascii="Times New Roman" w:hAnsi="Times New Roman" w:cs="Times New Roman"/>
          <w:sz w:val="24"/>
          <w:szCs w:val="24"/>
          <w:lang w:val="en-GB"/>
        </w:rPr>
        <w:t>who</w:t>
      </w:r>
      <w:r w:rsidRPr="75A96201">
        <w:rPr>
          <w:rFonts w:ascii="Times New Roman" w:hAnsi="Times New Roman" w:cs="Times New Roman"/>
          <w:sz w:val="24"/>
          <w:szCs w:val="24"/>
          <w:lang w:val="en-GB"/>
        </w:rPr>
        <w:t xml:space="preserve"> can interact </w:t>
      </w:r>
      <w:r w:rsidR="008240D1">
        <w:rPr>
          <w:rFonts w:ascii="Times New Roman" w:hAnsi="Times New Roman" w:cs="Times New Roman"/>
          <w:sz w:val="24"/>
          <w:szCs w:val="24"/>
          <w:lang w:val="en-GB"/>
        </w:rPr>
        <w:t>to</w:t>
      </w:r>
      <w:r w:rsidR="008240D1"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exchange information, products, and/or services</w:t>
      </w:r>
      <w:r w:rsidR="008240D1">
        <w:rPr>
          <w:rFonts w:ascii="Times New Roman" w:hAnsi="Times New Roman" w:cs="Times New Roman"/>
          <w:sz w:val="24"/>
          <w:szCs w:val="24"/>
          <w:lang w:val="en-GB"/>
        </w:rPr>
        <w:t xml:space="preserve">, thus assuming the </w:t>
      </w:r>
      <w:r w:rsidR="00AE6C94">
        <w:rPr>
          <w:rFonts w:ascii="Times New Roman" w:hAnsi="Times New Roman" w:cs="Times New Roman"/>
          <w:sz w:val="24"/>
          <w:szCs w:val="24"/>
          <w:lang w:val="en-GB"/>
        </w:rPr>
        <w:t>shape</w:t>
      </w:r>
      <w:r w:rsidR="008240D1">
        <w:rPr>
          <w:rFonts w:ascii="Times New Roman" w:hAnsi="Times New Roman" w:cs="Times New Roman"/>
          <w:sz w:val="24"/>
          <w:szCs w:val="24"/>
          <w:lang w:val="en-GB"/>
        </w:rPr>
        <w:t xml:space="preserve"> of a MSP</w:t>
      </w:r>
      <w:r w:rsidR="000F5BFF">
        <w:rPr>
          <w:rFonts w:ascii="Times New Roman" w:hAnsi="Times New Roman" w:cs="Times New Roman"/>
          <w:sz w:val="24"/>
          <w:szCs w:val="24"/>
          <w:lang w:val="en-GB"/>
        </w:rPr>
        <w:t xml:space="preserve"> </w:t>
      </w:r>
      <w:r w:rsidR="000F5BFF" w:rsidRPr="75A96201">
        <w:rPr>
          <w:rFonts w:ascii="Times New Roman" w:hAnsi="Times New Roman" w:cs="Times New Roman"/>
          <w:sz w:val="24"/>
          <w:szCs w:val="24"/>
          <w:lang w:val="en-GB"/>
        </w:rPr>
        <w:fldChar w:fldCharType="begin" w:fldLock="1"/>
      </w:r>
      <w:r w:rsidR="000F5BFF" w:rsidRPr="75A96201">
        <w:rPr>
          <w:rFonts w:ascii="Times New Roman" w:hAnsi="Times New Roman" w:cs="Times New Roman"/>
          <w:sz w:val="24"/>
          <w:szCs w:val="24"/>
          <w:lang w:val="en-GB"/>
        </w:rPr>
        <w:instrText>ADDIN CSL_CITATION {"citationItems":[{"id":"ITEM-1","itemData":{"DOI":"10.1007/S12525-019-00377-4/TABLES/1","ISSN":"14228890","abstract":"Digital platforms are an omnipresent phenomenon that challenges incumbents by changing how we consume and provide digital products and services. Whereas traditional firms create value within the boundaries of a company or a supply chain, digital platforms utilize an ecosystem of autonomous agents to co-create value. Scholars from various disciplines, such as economics, technology management, and information systems have taken different perspectives on digital platform ecosystems. In this Fundamentals article, we first synthesize research on digital platforms and digital platform ecosystems to provide a definition that integrates both concepts. Second, we use this definition to explain how different digital platform ecosystems vary according to three core building blocks: (1) platform ownership, (2) value-creating mechanisms, and (3) complementor autonomy. We conclude by giving an outlook on four overarching research areas that connect the building blocks: (1) technical properties and value creation; (2) complementor interaction with the ecosystem; (3) value capture; and (4) the make-or-join decision in digital platform ecosystems.","author":[{"dropping-particle":"","family":"Hein","given":"Andreas","non-dropping-particle":"","parse-names":false,"suffix":""},{"dropping-particle":"","family":"Schreieck","given":"Maximilian","non-dropping-particle":"","parse-names":false,"suffix":""},{"dropping-particle":"","family":"Riasanow","given":"Tobias","non-dropping-particle":"","parse-names":false,"suffix":""},{"dropping-particle":"","family":"Setzke","given":"David Soto","non-dropping-particle":"","parse-names":false,"suffix":""},{"dropping-particle":"","family":"Wiesche","given":"Manuel","non-dropping-particle":"","parse-names":false,"suffix":""},{"dropping-particle":"","family":"Böhm","given":"Markus","non-dropping-particle":"","parse-names":false,"suffix":""},{"dropping-particle":"","family":"Krcmar","given":"Helmut","non-dropping-particle":"","parse-names":false,"suffix":""}],"container-title":"Electronic Markets","id":"ITEM-1","issue":"1","issued":{"date-parts":[["2020","3","1"]]},"page":"87-98","publisher":"Springer","title":"Digital platform ecosystems","type":"article-journal","volume":"30"},"uris":["http://www.mendeley.com/documents/?uuid=429c9122-c1b4-3e20-9cca-73dd6532652b"]}],"mendeley":{"formattedCitation":"(Hein et al., 2020)","plainTextFormattedCitation":"(Hein et al., 2020)","previouslyFormattedCitation":"(Hein et al., 2020)"},"properties":{"noteIndex":0},"schema":"https://github.com/citation-style-language/schema/raw/master/csl-citation.json"}</w:instrText>
      </w:r>
      <w:r w:rsidR="000F5BFF" w:rsidRPr="75A96201">
        <w:rPr>
          <w:rFonts w:ascii="Times New Roman" w:hAnsi="Times New Roman" w:cs="Times New Roman"/>
          <w:sz w:val="24"/>
          <w:szCs w:val="24"/>
          <w:lang w:val="en-GB"/>
        </w:rPr>
        <w:fldChar w:fldCharType="separate"/>
      </w:r>
      <w:r w:rsidR="000F5BFF" w:rsidRPr="75A96201">
        <w:rPr>
          <w:rFonts w:ascii="Times New Roman" w:hAnsi="Times New Roman" w:cs="Times New Roman"/>
          <w:noProof/>
          <w:sz w:val="24"/>
          <w:szCs w:val="24"/>
          <w:lang w:val="en-GB"/>
        </w:rPr>
        <w:t>(Hein et al., 2020)</w:t>
      </w:r>
      <w:r w:rsidR="000F5BFF" w:rsidRPr="75A96201">
        <w:rPr>
          <w:rFonts w:ascii="Times New Roman" w:hAnsi="Times New Roman" w:cs="Times New Roman"/>
          <w:sz w:val="24"/>
          <w:szCs w:val="24"/>
          <w:lang w:val="en-GB"/>
        </w:rPr>
        <w:fldChar w:fldCharType="end"/>
      </w:r>
      <w:r w:rsidR="008240D1">
        <w:rPr>
          <w:rFonts w:ascii="Times New Roman" w:hAnsi="Times New Roman" w:cs="Times New Roman"/>
          <w:sz w:val="24"/>
          <w:szCs w:val="24"/>
          <w:lang w:val="en-GB"/>
        </w:rPr>
        <w:t>. Indeed,</w:t>
      </w:r>
      <w:r w:rsidRPr="75A96201">
        <w:rPr>
          <w:rFonts w:ascii="Times New Roman" w:hAnsi="Times New Roman" w:cs="Times New Roman"/>
          <w:sz w:val="24"/>
          <w:szCs w:val="24"/>
          <w:lang w:val="en-GB"/>
        </w:rPr>
        <w:t xml:space="preserve"> MSPs allow for exchanging physical products, building communities around these products, matching service companies with users, exchanging online, and/or engaging in peer-to-peer exchanges of offline services </w:t>
      </w:r>
      <w:r w:rsidRPr="75A96201">
        <w:rPr>
          <w:rFonts w:ascii="Times New Roman" w:hAnsi="Times New Roman" w:cs="Times New Roman"/>
          <w:sz w:val="24"/>
          <w:szCs w:val="24"/>
          <w:lang w:val="en-GB"/>
        </w:rPr>
        <w:fldChar w:fldCharType="begin" w:fldLock="1"/>
      </w:r>
      <w:r w:rsidR="00102716">
        <w:rPr>
          <w:rFonts w:ascii="Times New Roman" w:hAnsi="Times New Roman" w:cs="Times New Roman"/>
          <w:sz w:val="24"/>
          <w:szCs w:val="24"/>
          <w:lang w:val="en-GB"/>
        </w:rPr>
        <w:instrText>ADDIN CSL_CITATION {"citationItems":[{"id":"ITEM-1","itemData":{"DOI":"10.4324/9781003207481-3","ISBN":"9781003207481","abstract":"The way digital platforms change interrelations and flows within supply chains is often disruptive. By combining information from different stakeholders on an almost real-time basis, platforms have started to be a competitive business model for traditional pipeline solutions. Platforms might be quickly implemented at any stage of the supply chain process: from sourcing to manufacturing to differentiation of distribution channels. Additionally, the disruptive impact of platforms in supply chain management is noticeable in their ability to develop flexible or sustainable supply chain business models which immediately respond and adapt to fluctuations in the external environment. However, when analysing a platform business model in terms of supply chain management, one can observe several conditions that have to be met to benefit from this solution. The aim of this chapter is to indicate the potential place of a digital platform within supply chain management and its role in this process. The conditions for successful platform implementation in terms of supply chain management and competitiveness in an uncertain environment will also be discussed.","author":[{"dropping-particle":"","family":"Nowicka","given":"Katarzyna","non-dropping-particle":"","parse-names":false,"suffix":""}],"container-title":"Disruptive Platforms","id":"ITEM-1","issued":{"date-parts":[["2021","12","19"]]},"page":"39-55","publisher":"Routledge","title":"Platforms in supply chain management : Disruption or evolution?","type":"article-journal"},"uris":["http://www.mendeley.com/documents/?uuid=fbf04612-726e-3e6c-b36b-3a1073a79e56"]}],"mendeley":{"formattedCitation":"(Nowicka, 2021)","manualFormatting":"(Alt &amp; Zimmermann, 2014; Täuscher &amp; Laudien, 2018, Nowicka, 2021)","plainTextFormattedCitation":"(Nowicka, 2021)","previouslyFormattedCitation":"(Nowicka, 2021)"},"properties":{"noteIndex":0},"schema":"https://github.com/citation-style-language/schema/raw/master/csl-citation.json"}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008B2BC6" w:rsidRPr="75A96201">
        <w:rPr>
          <w:rFonts w:ascii="Times New Roman" w:hAnsi="Times New Roman" w:cs="Times New Roman"/>
          <w:noProof/>
          <w:sz w:val="24"/>
          <w:szCs w:val="24"/>
          <w:lang w:val="en-GB"/>
        </w:rPr>
        <w:fldChar w:fldCharType="begin" w:fldLock="1"/>
      </w:r>
      <w:r w:rsidR="008B2BC6" w:rsidRPr="75A96201">
        <w:rPr>
          <w:rFonts w:ascii="Times New Roman" w:hAnsi="Times New Roman" w:cs="Times New Roman"/>
          <w:noProof/>
          <w:sz w:val="24"/>
          <w:szCs w:val="24"/>
          <w:lang w:val="en-GB"/>
        </w:rPr>
        <w:instrText>ADDIN CSL_CITATION {"citationItems":[{"id":"ITEM-1","itemData":{"DOI":"10.1007/s12525-014-0163-9","author":[{"dropping-particle":"","family":"Alt","given":"Rainer","non-dropping-particle":"","parse-names":false,"suffix":""},{"dropping-particle":"","family":"Zimmermann","given":"Hans-Dieter","non-dropping-particle":"","parse-names":false,"suffix":""}],"id":"ITEM-1","issued":{"date-parts":[["2014"]]},"title":"Editorial 24/3: Electronic Markets and general research","type":"article-journal"},"uris":["http://www.mendeley.com/documents/?uuid=7acdb169-ce0a-3884-b210-4934c7d84ed0"]}],"mendeley":{"formattedCitation":"(Alt &amp; Zimmermann, 2014)","manualFormatting":"(Alt &amp; Zimmermann, 2014","plainTextFormattedCitation":"(Alt &amp; Zimmermann, 2014)","previouslyFormattedCitation":"(Alt &amp; Zimmermann, 2014)"},"properties":{"noteIndex":0},"schema":"https://github.com/citation-style-language/schema/raw/master/csl-citation.json"}</w:instrText>
      </w:r>
      <w:r w:rsidR="008B2BC6" w:rsidRPr="75A96201">
        <w:rPr>
          <w:rFonts w:ascii="Times New Roman" w:hAnsi="Times New Roman" w:cs="Times New Roman"/>
          <w:noProof/>
          <w:sz w:val="24"/>
          <w:szCs w:val="24"/>
          <w:lang w:val="en-GB"/>
        </w:rPr>
        <w:fldChar w:fldCharType="separate"/>
      </w:r>
      <w:r w:rsidR="008B2BC6" w:rsidRPr="75A96201">
        <w:rPr>
          <w:rFonts w:ascii="Times New Roman" w:hAnsi="Times New Roman" w:cs="Times New Roman"/>
          <w:noProof/>
          <w:sz w:val="24"/>
          <w:szCs w:val="24"/>
          <w:lang w:val="en-GB"/>
        </w:rPr>
        <w:t>(Alt &amp; Zimmermann, 2014</w:t>
      </w:r>
      <w:r w:rsidR="008B2BC6" w:rsidRPr="75A96201">
        <w:rPr>
          <w:rFonts w:ascii="Times New Roman" w:hAnsi="Times New Roman" w:cs="Times New Roman"/>
          <w:noProof/>
          <w:sz w:val="24"/>
          <w:szCs w:val="24"/>
          <w:lang w:val="en-GB"/>
        </w:rPr>
        <w:fldChar w:fldCharType="end"/>
      </w:r>
      <w:r w:rsidR="008B2BC6">
        <w:rPr>
          <w:rFonts w:ascii="Times New Roman" w:hAnsi="Times New Roman" w:cs="Times New Roman"/>
          <w:noProof/>
          <w:sz w:val="24"/>
          <w:szCs w:val="24"/>
          <w:lang w:val="en-GB"/>
        </w:rPr>
        <w:t xml:space="preserve">; </w:t>
      </w:r>
      <w:r w:rsidR="008B2BC6" w:rsidRPr="75A96201">
        <w:rPr>
          <w:rFonts w:ascii="Times New Roman" w:hAnsi="Times New Roman" w:cs="Times New Roman"/>
          <w:noProof/>
          <w:sz w:val="24"/>
          <w:szCs w:val="24"/>
          <w:lang w:val="en-GB"/>
        </w:rPr>
        <w:fldChar w:fldCharType="begin" w:fldLock="1"/>
      </w:r>
      <w:r w:rsidR="00102716">
        <w:rPr>
          <w:rFonts w:ascii="Times New Roman" w:hAnsi="Times New Roman" w:cs="Times New Roman"/>
          <w:noProof/>
          <w:sz w:val="24"/>
          <w:szCs w:val="24"/>
          <w:lang w:val="en-GB"/>
        </w:rPr>
        <w:instrText>ADDIN CSL_CITATION {"citationItems":[{"id":"ITEM-1","itemData":{"DOI":"10.1016/J.EMJ.2017.06.005","ISSN":"02632373","abstract":"Recent technological advances have enabled the emergence of novel business models based on digital platforms. Marketplace like Airbnb or Uber offer such digital platforms to connect previously unmatched demand-side and supply-side participants through innovative forms of value creation, delivery and capture. While countless firms claim to offer the next ‘Airbnb for X’ or ‘Uber for Y’, we lack knowledge about the defining business model characteristics of these marketplaces. To close the gap, this paper provides a conceptually and empirically grounded taxonomy of their business models. Applying a mixed methods approach, it first develops an integrative framework of marketplace business models. Guided by the framework, the research systematically analyzes 100 randomly selected marketplaces with content analysis and binary coding. The gathered data is analyzed with cluster analysis techniques to develop a taxonomy for marketplace business models. The clustering process reveals six clearly distinguishable types of marketplace business models and thus shows that there is no one-size-fits-all approach to creating, delivering, and capturing value with marketplaces and platforms in general. We characterize these distinctive types on basis of the qualitative and quantitative findings. Among others, we find that two of these types are highly aligned with business model characteristics associated with the so-called sharing economy. The findings are discussed against platform, marketplace, and sharing economy literature to contribute to a higher integration of different literature streams that are concerned with similar organizational types and phenomena.","author":[{"dropping-particle":"","family":"Täuscher","given":"Karl","non-dropping-particle":"","parse-names":false,"suffix":""},{"dropping-particle":"","family":"Laudien","given":"Sven M.","non-dropping-particle":"","parse-names":false,"suffix":""}],"container-title":"European Management Journal","id":"ITEM-1","issue":"3","issued":{"date-parts":[["2018","6","1"]]},"page":"319-329","publisher":"Elsevier Ltd","title":"Understanding platform business models: A mixed methods study of marketplaces","type":"article-journal","volume":"36"},"uris":["http://www.mendeley.com/documents/?uuid=885a72de-56c5-3e73-b06b-b7d6fd355978"]}],"mendeley":{"formattedCitation":"(Täuscher &amp; Laudien, 2018)","manualFormatting":"Täuscher &amp; Laudien, 2018","plainTextFormattedCitation":"(Täuscher &amp; Laudien, 2018)","previouslyFormattedCitation":"(Täuscher &amp; Laudien, 2018)"},"properties":{"noteIndex":0},"schema":"https://github.com/citation-style-language/schema/raw/master/csl-citation.json"}</w:instrText>
      </w:r>
      <w:r w:rsidR="008B2BC6" w:rsidRPr="75A96201">
        <w:rPr>
          <w:rFonts w:ascii="Times New Roman" w:hAnsi="Times New Roman" w:cs="Times New Roman"/>
          <w:noProof/>
          <w:sz w:val="24"/>
          <w:szCs w:val="24"/>
          <w:lang w:val="en-GB"/>
        </w:rPr>
        <w:fldChar w:fldCharType="separate"/>
      </w:r>
      <w:r w:rsidR="008B2BC6" w:rsidRPr="75A96201">
        <w:rPr>
          <w:rFonts w:ascii="Times New Roman" w:hAnsi="Times New Roman" w:cs="Times New Roman"/>
          <w:noProof/>
          <w:sz w:val="24"/>
          <w:szCs w:val="24"/>
          <w:lang w:val="en-GB"/>
        </w:rPr>
        <w:t>Täuscher &amp; Laudien</w:t>
      </w:r>
      <w:r w:rsidR="008B2BC6">
        <w:rPr>
          <w:rFonts w:ascii="Times New Roman" w:hAnsi="Times New Roman" w:cs="Times New Roman"/>
          <w:noProof/>
          <w:sz w:val="24"/>
          <w:szCs w:val="24"/>
          <w:lang w:val="en-GB"/>
        </w:rPr>
        <w:t xml:space="preserve">, </w:t>
      </w:r>
      <w:r w:rsidR="008B2BC6" w:rsidRPr="75A96201">
        <w:rPr>
          <w:rFonts w:ascii="Times New Roman" w:hAnsi="Times New Roman" w:cs="Times New Roman"/>
          <w:noProof/>
          <w:sz w:val="24"/>
          <w:szCs w:val="24"/>
          <w:lang w:val="en-GB"/>
        </w:rPr>
        <w:t>2018</w:t>
      </w:r>
      <w:r w:rsidR="008B2BC6" w:rsidRPr="75A96201">
        <w:rPr>
          <w:rFonts w:ascii="Times New Roman" w:hAnsi="Times New Roman" w:cs="Times New Roman"/>
          <w:noProof/>
          <w:sz w:val="24"/>
          <w:szCs w:val="24"/>
          <w:lang w:val="en-GB"/>
        </w:rPr>
        <w:fldChar w:fldCharType="end"/>
      </w:r>
      <w:r w:rsidR="008B2BC6">
        <w:rPr>
          <w:rFonts w:ascii="Times New Roman" w:hAnsi="Times New Roman" w:cs="Times New Roman"/>
          <w:noProof/>
          <w:sz w:val="24"/>
          <w:szCs w:val="24"/>
          <w:lang w:val="en-GB"/>
        </w:rPr>
        <w:t xml:space="preserve">, </w:t>
      </w:r>
      <w:r w:rsidRPr="75A96201">
        <w:rPr>
          <w:rFonts w:ascii="Times New Roman" w:hAnsi="Times New Roman" w:cs="Times New Roman"/>
          <w:noProof/>
          <w:sz w:val="24"/>
          <w:szCs w:val="24"/>
          <w:lang w:val="en-GB"/>
        </w:rPr>
        <w:t>Nowicka, 2021)</w:t>
      </w:r>
      <w:r w:rsidRPr="75A96201">
        <w:rPr>
          <w:rFonts w:ascii="Times New Roman" w:hAnsi="Times New Roman" w:cs="Times New Roman"/>
          <w:sz w:val="24"/>
          <w:szCs w:val="24"/>
          <w:lang w:val="en-GB"/>
        </w:rPr>
        <w:fldChar w:fldCharType="end"/>
      </w:r>
      <w:r w:rsidR="008B2BC6">
        <w:rPr>
          <w:rFonts w:ascii="Times New Roman" w:hAnsi="Times New Roman" w:cs="Times New Roman"/>
          <w:sz w:val="24"/>
          <w:szCs w:val="24"/>
          <w:lang w:val="en-GB"/>
        </w:rPr>
        <w:t xml:space="preserve">.  </w:t>
      </w:r>
    </w:p>
    <w:p w14:paraId="52307145" w14:textId="277682B9" w:rsidR="00B93D26" w:rsidRDefault="00000000" w:rsidP="00685D6C">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The relationship between MSPs and CE has recently begun to be explored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{"citationItems":[{"id":"ITEM-1","itemData":{"DOI":"10.3126/JOTA.V3I1.31360","ISSN":"2645-8683","abstract":"A multisided platform is a model that creates value by facilitating exchanges between two transaction partners which means the platform plays an intermediary role between the two groups. This is also called “knowledge economy “or “third globalization” which has been brought into one platform through technology and information. In business, the platform is recognized as a marketing terminology. Comparatively the state, government, and civil society are influenced by various technologies in several fields of human activities and provide beneficiaries to human beings. This study aims to introduce the multisided platforms and their respective fields in businesses on one side and the other side, it shows the link between tourism and circular economy and explains why is circular economy becoming a key factor for contributing to keeping the balanced environment in highly industrialized, urbanized, overpopulation including over tourism. These days the circular economy has become closely associated with sustainability and sustainable tourism and development.","author":[{"dropping-particle":"","family":"Kunwar","given":"Ramesh Raj","non-dropping-particle":"","parse-names":false,"suffix":""}],"container-title":"Journal of Tourism &amp; Adventure","id":"ITEM-1","issue":"1","issued":{"date-parts":[["2020","9","21"]]},"page":"118-141","publisher":"Nepal Journals Online (JOL)","title":"Understanding Multisided Platforms, Circular Economy and Tourism","type":"article-journal","volume":"3"},"uris":["http://www.mendeley.com/documents/?uuid=c6d53792-438d-32e5-af7e-c73d591355fa"]}],"mendeley":{"formattedCitation":"(Kunwar, 2020)","plainTextFormattedCitation":"(Kunwar, 2020)","previouslyFormattedCitation":"(Kunwar,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(Kunwar,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r w:rsidR="009F6116">
        <w:rPr>
          <w:rFonts w:ascii="Times New Roman" w:hAnsi="Times New Roman" w:cs="Times New Roman"/>
          <w:sz w:val="24"/>
          <w:szCs w:val="24"/>
          <w:lang w:val="en-GB"/>
        </w:rPr>
        <w:t>Existing l</w:t>
      </w:r>
      <w:r w:rsidRPr="75A96201">
        <w:rPr>
          <w:rFonts w:ascii="Times New Roman" w:hAnsi="Times New Roman" w:cs="Times New Roman"/>
          <w:sz w:val="24"/>
          <w:szCs w:val="24"/>
          <w:lang w:val="en-GB"/>
        </w:rPr>
        <w:t xml:space="preserve">iterature emphasizes that MSPs may profoundly change how relationships among supply chain actors take place within CSCs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{"citationItems":[{"id":"ITEM-1","itemData":{"DOI":"10.1016/J.INDMARMAN.2019.07.001","ISSN":"00198501","abstract":"Multi-sided platforms, enabling interactions between different user sides, hold an important place in the contemporary economy. Current literature, focusing on established and successful platforms, has neglected to study B2B multi-sided platform adoption mechanisms. In this article, we analyze these mechanisms by investigating the case of dematerialization platforms for B2B transactions between the multiple actors involved in public works contracts. Various qualitative materials, including 28 semi-structured interviews, were gathered over a thirty-month period. Adopting a business user perspective, this study contributes to the literature on multi-sided platforms in various ways. We show that platform adoption, in project-based B2B contexts, is mainly constrained by a high level of affiliation costs and the existence of tight-interdependencies between users' activities at project level. Thus, a consecutive adoption path would result in negative cross-group network externalities and undermine the platform's attractiveness. Conversely, a concurrent adoption path would activate positive network externalities and encourage platform adoption decisions.","author":[{"dropping-particle":"","family":"Loux","given":"Patrick","non-dropping-particle":"","parse-names":false,"suffix":""},{"dropping-particle":"","family":"Aubry","given":"Mathilde","non-dropping-particle":"","parse-names":false,"suffix":""},{"dropping-particle":"","family":"Tran","given":"Sébastien","non-dropping-particle":"","parse-names":false,"suffix":""},{"dropping-particle":"","family":"Baudoin","given":"Emmanuel","non-dropping-particle":"","parse-names":false,"suffix":""}],"container-title":"Industrial Marketing Management","id":"ITEM-1","issued":{"date-parts":[["2020","1","1"]]},"page":"212-223","publisher":"Elsevier Inc.","title":"Multi-sided platforms in B2B contexts: The role of affiliation costs and interdependencies in adoption decisions","type":"article-journal","volume":"84"},"uris":["http://www.mendeley.com/documents/?uuid=137e3e9d-9687-317a-bbbf-16d5b25baab9"]}],"mendeley":{"formattedCitation":"(Loux et al., 2020)","manualFormatting":"(Trevisan et al., 2022)","plainTextFormattedCitation":"(Loux et al., 2020)","previouslyFormattedCitation":"(Loux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(Trevisan et al., 2022)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by facilitating the exchange and resale of resources (e.g., products or materials), as well as through the tracking of such resources to enable adequate end-of-life management or to create transparency on resource availability and origin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{"citationItems":[{"id":"ITEM-1","itemData":{"DOI":"10.1016/J.JCLEPRO.2019.118528","ISSN":"0959-6526","abstract":"The circular economy (CE) concept is much-heralded among policy-makers, scholars and industry professionals as an accelerated pathway towards sustainability. This move away from the dominant linear system where products are discarded at the end of product lifecycle is deemed necessary since it is the main cause of an accelerated resource consumption. Business models are considered as a key enabler for the shift from a linear to a CE. However, research on circular business models has mainly focused on circular approaches adopted by incumbent firms, while the contributions of newly established firms (the authors call these ’circular start-ups’) have been largely overlooked. This article scrutinises the business models of circular start-ups and how they may differ from those of incumbent firms embracing CE. For this, it analyses the circular business model strategies and innovations adopted by circular start-ups, relying on a novel data sample of 128 circular start-ups identified in three major CE ecosystems in Europe: the Randstad region in the Netherlands, Berlin and London. Based on this data, a novel typology of circular start-ups is proposed, distinguishing between five circular start-up archetypes: design-based, waste-based, platform-based, service-based and nature-based start-ups. The results also show that circular start-ups tend to embrace strategies corresponding to higher levels of circularity than those of incumbents. This preliminarily suggests that circular start-ups can indeed make major contributions to transitioning towards CE.","author":[{"dropping-particle":"","family":"Henry","given":"Marvin","non-dropping-particle":"","parse-names":false,"suffix":""},{"dropping-particle":"","family":"Bauwens","given":"Thomas","non-dropping-particle":"","parse-names":false,"suffix":""},{"dropping-particle":"","family":"Hekkert","given":"Marko","non-dropping-particle":"","parse-names":false,"suffix":""},{"dropping-particle":"","family":"Kirchherr","given":"Julian","non-dropping-particle":"","parse-names":false,"suffix":""}],"container-title":"Journal of Cleaner Production","id":"ITEM-1","issued":{"date-parts":[["2020"]]},"page":"118528","publisher":"Elsevier","title":"A typology of circular start-ups: An Analysis of 128 circular business models","type":"article-journal","volume":"245"},"uris":["http://www.mendeley.com/documents/?uuid=5ee70ed3-235b-3efe-851e-e2659db8b1cd"]}],"mendeley":{"formattedCitation":"(Henry et al., 2020)","plainTextFormattedCitation":"(Henry et al., 2020)","previouslyFormattedCitation":"(Henry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(Henry et al.,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r w:rsidR="00504814">
        <w:rPr>
          <w:rFonts w:ascii="Times New Roman" w:hAnsi="Times New Roman" w:cs="Times New Roman"/>
          <w:sz w:val="24"/>
          <w:szCs w:val="24"/>
          <w:lang w:val="en-GB"/>
        </w:rPr>
        <w:t>Moreover</w:t>
      </w:r>
      <w:r w:rsidRPr="75A96201">
        <w:rPr>
          <w:rFonts w:ascii="Times New Roman" w:hAnsi="Times New Roman" w:cs="Times New Roman"/>
          <w:sz w:val="24"/>
          <w:szCs w:val="24"/>
          <w:lang w:val="en-GB"/>
        </w:rPr>
        <w:t>,</w:t>
      </w:r>
      <w:r w:rsidR="00504814">
        <w:rPr>
          <w:rFonts w:ascii="Times New Roman" w:hAnsi="Times New Roman" w:cs="Times New Roman"/>
          <w:sz w:val="24"/>
          <w:szCs w:val="24"/>
          <w:lang w:val="en-GB"/>
        </w:rPr>
        <w:t xml:space="preserve"> existing literature points out that</w:t>
      </w:r>
      <w:r w:rsidRPr="75A96201">
        <w:rPr>
          <w:rFonts w:ascii="Times New Roman" w:hAnsi="Times New Roman" w:cs="Times New Roman"/>
          <w:sz w:val="24"/>
          <w:szCs w:val="24"/>
          <w:lang w:val="en-GB"/>
        </w:rPr>
        <w:t xml:space="preserve"> </w:t>
      </w:r>
      <w:r w:rsidR="009F6116" w:rsidRPr="75A96201">
        <w:rPr>
          <w:rFonts w:ascii="Times New Roman" w:hAnsi="Times New Roman" w:cs="Times New Roman"/>
          <w:sz w:val="24"/>
          <w:szCs w:val="24"/>
          <w:lang w:val="en-GB"/>
        </w:rPr>
        <w:t xml:space="preserve">MSPs </w:t>
      </w:r>
      <w:r w:rsidR="009F6116">
        <w:rPr>
          <w:rFonts w:ascii="Times New Roman" w:hAnsi="Times New Roman" w:cs="Times New Roman"/>
          <w:sz w:val="24"/>
          <w:szCs w:val="24"/>
          <w:lang w:val="en-GB"/>
        </w:rPr>
        <w:t xml:space="preserve">may involve </w:t>
      </w:r>
      <w:r w:rsidRPr="75A96201">
        <w:rPr>
          <w:rFonts w:ascii="Times New Roman" w:hAnsi="Times New Roman" w:cs="Times New Roman"/>
          <w:sz w:val="24"/>
          <w:szCs w:val="24"/>
          <w:lang w:val="en-GB"/>
        </w:rPr>
        <w:t>actors belong</w:t>
      </w:r>
      <w:r w:rsidR="009F6116">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to</w:t>
      </w:r>
      <w:r w:rsidR="009F6116">
        <w:rPr>
          <w:rFonts w:ascii="Times New Roman" w:hAnsi="Times New Roman" w:cs="Times New Roman"/>
          <w:sz w:val="24"/>
          <w:szCs w:val="24"/>
          <w:lang w:val="en-GB"/>
        </w:rPr>
        <w:t xml:space="preserve"> either</w:t>
      </w:r>
      <w:r w:rsidRPr="75A96201">
        <w:rPr>
          <w:rFonts w:ascii="Times New Roman" w:hAnsi="Times New Roman" w:cs="Times New Roman"/>
          <w:sz w:val="24"/>
          <w:szCs w:val="24"/>
          <w:lang w:val="en-GB"/>
        </w:rPr>
        <w:t xml:space="preserve"> the supply chain in which a targeted resource was originally addressed to or different supply chains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{"citationItems":[{"id":"ITEM-1","itemData":{"DOI":"10.4324/9781003207481-3","ISBN":"9781003207481","abstract":"The way digital platforms change interrelations and flows within supply chains is often disruptive. By combining information from different stakeholders on an almost real-time basis, platforms have started to be a competitive business model for traditional pipeline solutions. Platforms might be quickly implemented at any stage of the supply chain process: from sourcing to manufacturing to differentiation of distribution channels. Additionally, the disruptive impact of platforms in supply chain management is noticeable in their ability to develop flexible or sustainable supply chain business models which immediately respond and adapt to fluctuations in the external environment. However, when analysing a platform business model in terms of supply chain management, one can observe several conditions that have to be met to benefit from this solution. The aim of this chapter is to indicate the potential place of a digital platform within supply chain management and its role in this process. The conditions for successful platform implementation in terms of supply chain management and competitiveness in an uncertain environment will also be discussed.","author":[{"dropping-particle":"","family":"Nowicka","given":"Katarzyna","non-dropping-particle":"","parse-names":false,"suffix":""}],"container-title":"Disruptive Platforms","id":"ITEM-1","issued":{"date-parts":[["2021","12","19"]]},"page":"39-55","publisher":"Routledge","title":"Platforms in supply chain management : Disruption or evolution?","type":"article-journal"},"uris":["http://www.mendeley.com/documents/?uuid=fbf04612-726e-3e6c-b36b-3a1073a79e56"]}],"mendeley":{"formattedCitation":"(Nowicka, 2021)","plainTextFormattedCitation":"(Nowicka, 2021)","previouslyFormattedCitation":"(Nowicka, 2021)"},"properties":{"noteIndex":0},"schema":"https://github.com/citation-style-language/schema/raw/master/csl-citation.json"}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(Nowicka, 2021)</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However, despite this </w:t>
      </w:r>
      <w:r w:rsidR="00504814">
        <w:rPr>
          <w:rFonts w:ascii="Times New Roman" w:hAnsi="Times New Roman" w:cs="Times New Roman"/>
          <w:sz w:val="24"/>
          <w:szCs w:val="24"/>
          <w:lang w:val="en-GB"/>
        </w:rPr>
        <w:t>earlier scholarly research</w:t>
      </w:r>
      <w:r w:rsidRPr="75A96201">
        <w:rPr>
          <w:rFonts w:ascii="Times New Roman" w:hAnsi="Times New Roman" w:cs="Times New Roman"/>
          <w:sz w:val="24"/>
          <w:szCs w:val="24"/>
          <w:lang w:val="en-GB"/>
        </w:rPr>
        <w:t>, a deep understanding o</w:t>
      </w:r>
      <w:r w:rsidR="003A57D4">
        <w:rPr>
          <w:rFonts w:ascii="Times New Roman" w:hAnsi="Times New Roman" w:cs="Times New Roman"/>
          <w:sz w:val="24"/>
          <w:szCs w:val="24"/>
          <w:lang w:val="en-GB"/>
        </w:rPr>
        <w:t>f</w:t>
      </w:r>
      <w:r w:rsidRPr="75A96201">
        <w:rPr>
          <w:rFonts w:ascii="Times New Roman" w:hAnsi="Times New Roman" w:cs="Times New Roman"/>
          <w:sz w:val="24"/>
          <w:szCs w:val="24"/>
          <w:lang w:val="en-GB"/>
        </w:rPr>
        <w:t xml:space="preserve"> the</w:t>
      </w:r>
      <w:r w:rsidR="0038604C">
        <w:rPr>
          <w:rFonts w:ascii="Times New Roman" w:hAnsi="Times New Roman" w:cs="Times New Roman"/>
          <w:sz w:val="24"/>
          <w:szCs w:val="24"/>
          <w:lang w:val="en-GB"/>
        </w:rPr>
        <w:t xml:space="preserve"> different</w:t>
      </w:r>
      <w:r w:rsidRPr="75A96201">
        <w:rPr>
          <w:rFonts w:ascii="Times New Roman" w:hAnsi="Times New Roman" w:cs="Times New Roman"/>
          <w:sz w:val="24"/>
          <w:szCs w:val="24"/>
          <w:lang w:val="en-GB"/>
        </w:rPr>
        <w:t xml:space="preserve"> roles that MSPs can play to foster the creation of CSCs by enabling </w:t>
      </w:r>
      <w:r w:rsidRPr="75A96201">
        <w:rPr>
          <w:rFonts w:ascii="Times New Roman" w:hAnsi="Times New Roman" w:cs="Times New Roman"/>
          <w:sz w:val="24"/>
          <w:szCs w:val="24"/>
          <w:lang w:val="en-US"/>
        </w:rPr>
        <w:t xml:space="preserve">inter-organizational </w:t>
      </w:r>
      <w:r w:rsidRPr="75A96201">
        <w:rPr>
          <w:rFonts w:ascii="Times New Roman" w:hAnsi="Times New Roman" w:cs="Times New Roman"/>
          <w:sz w:val="24"/>
          <w:szCs w:val="24"/>
          <w:lang w:val="en-US"/>
        </w:rPr>
        <w:lastRenderedPageBreak/>
        <w:t>collaborations among supply chain actors</w:t>
      </w:r>
      <w:r w:rsidRPr="75A96201">
        <w:rPr>
          <w:rFonts w:ascii="Times New Roman" w:hAnsi="Times New Roman" w:cs="Times New Roman"/>
          <w:sz w:val="24"/>
          <w:szCs w:val="24"/>
          <w:lang w:val="en-GB"/>
        </w:rPr>
        <w:t xml:space="preserve"> is still missing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{"citationItems":[{"id":"ITEM-1","itemData":{"DOI":"10.1007/s00550-018-0468-9","abstract":"Digital platforms may yield a host of advantages in putting circular economy into effect. This paper analyses the related chances and discusses requirements of digital platforms for the realization of a circular economy. It specifically points to potential solutions offered by digital platforms for existing barriers. From there it identifies issues that need specific attendance to create economically and ecologically functional platforms. Three economically relevant perspectives are discussed for this: a management perspective, a legislative perspective and a social/systems perspective.","author":[{"dropping-particle":"","family":"Berg","given":"Holger","non-dropping-particle":"","parse-names":false,"suffix":""},{"dropping-particle":"","family":"Wilts","given":"Henning","non-dropping-particle":"","parse-names":false,"suffix":""}],"id":"ITEM-1","issued":{"date-parts":[["2018"]]},"title":"Digital platforms as market places for the circular economy-requirements and challenges","type":"article-journal"},"uris":["http://www.mendeley.com/documents/?uuid=8e59d1ae-1e5d-3f30-b809-3ff6afad73df"]}],"mendeley":{"formattedCitation":"(Berg &amp; Wilts, 2018)","plainTextFormattedCitation":"(Berg &amp; Wilts, 2018)","previouslyFormattedCitation":"(Berg &amp; Wilts, 2018)"},"properties":{"noteIndex":0},"schema":"https://github.com/citation-style-language/schema/raw/master/csl-citation.json"}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(Berg &amp; Wilts, 2018)</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{"citationItems":[{"id":"ITEM-1","itemData":{"DOI":"10.1016/j.jclepro.2019.119942","ISSN":"09596526","abstract":"A circular economy maximizes the value of material resources and minimizes greenhouse gas emissions, resource use, waste and pollution. We will posit that circularity needs to be understood as a property of a system (e.g., the mobility system of a city), rather than a property of an individual product or service (e.g., a car or a car-sharing service). Hence, there is a need for more knowledge on how to innovate towards ‘circular ecosystems’. This study proposes a set of principles for ‘circular ecosystem innovation’, based on: 1) a concise literature review to retrieve recommended principles on how to successfully innovate in ecosystems, 2) a mobility case of circular ecosystem innovation to investigate how relevant and useful these principles are for circular oriented innovation. The case data include 20 interviews, workshop data and internal background documents. The identified principles can be categorized in three groups: 1) collaboration (i.e., how firms can interact with other organizations in their ecosystem to innovate towards circularity), 2) experimentation (i.e., how firms can organize a structured trial-and-error process to implement greater circularity) and 3) platformization (i.e., how firms can organize social and economic interactions via online platforms to achieve greater circularity). Future research may focus on identifying opportunities and barriers to applying these principles in different contexts than in the one that is investigated in the present study.","author":[{"dropping-particle":"","family":"Konietzko","given":"Jan","non-dropping-particle":"","parse-names":false,"suffix":""},{"dropping-particle":"","family":"Bocken","given":"Nancy","non-dropping-particle":"","parse-names":false,"suffix":""},{"dropping-particle":"","family":"Hultink","given":"Erik Jan","non-dropping-particle":"","parse-names":false,"suffix":""}],"container-title":"Journal of Cleaner Production","id":"ITEM-1","issued":{"date-parts":[["2020"]]},"page":"119942","publisher":"Elsevier Ltd","title":"Circular ecosystem innovation: An initial set of principles","type":"article-journal","volume":"253"},"uris":["http://www.mendeley.com/documents/?uuid=b34d3172-5b99-46fd-96aa-397af2d30ff5"]}],"mendeley":{"formattedCitation":"(Konietzko et al., 2020)","manualFormatting":"As stated by Konietzko et al. (2020)","plainTextFormattedCitation":"(Konietzko et al., 2020)","previouslyFormattedCitation":"(Konietzko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As stated by Konietzko et al.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this research gap calls for further theoretical and empirical investigations.</w:t>
      </w:r>
    </w:p>
    <w:p w14:paraId="27765296" w14:textId="126DD291" w:rsidR="00B93D26" w:rsidRDefault="00000000" w:rsidP="00D76B34">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Recent studies on MSPs address </w:t>
      </w:r>
      <w:r w:rsidR="009F6116">
        <w:rPr>
          <w:rFonts w:ascii="Times New Roman" w:hAnsi="Times New Roman" w:cs="Times New Roman"/>
          <w:sz w:val="24"/>
          <w:szCs w:val="24"/>
          <w:lang w:val="en-GB"/>
        </w:rPr>
        <w:t xml:space="preserve">the </w:t>
      </w:r>
      <w:r w:rsidRPr="75A96201">
        <w:rPr>
          <w:rFonts w:ascii="Times New Roman" w:hAnsi="Times New Roman" w:cs="Times New Roman"/>
          <w:sz w:val="24"/>
          <w:szCs w:val="24"/>
          <w:lang w:val="en-GB"/>
        </w:rPr>
        <w:t xml:space="preserve">B2B setting due to the related opportunities and challenges characterizing these settings (MIT Initiative on the Digital Economy, 2021). On the one hand, MSPs may reduce friction and increase efficiency in interaction processes among different industrial players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{"citationItems":[{"id":"ITEM-1","itemData":{"DOI":"10.4236/AJIBM.2019.97105","ISSN":"2164-5167","abstract":"Technology advances continue to create opportunities to streamline business models. GPS, IoT and Cloud computing enable application development that features greater capabilities. By developing Multi-sided platforms, firms can better balance demand and capacity among buyers, suppliers and partners. Nurturing an asset-light ecosystem enables more direct, efficient and real-time commerce. The following study illustrates a path for growth by an incumbent operator. Balancing user requests versus enterprise capacity while bringing on-stream capital expenditures was never easy. Customer’s dissatisfaction and profit setbacks often occur when consumption, production and fulfilment are out-of-balance until a stable equilibrium is determined. The quest to acquire customers and expand market share is prompting firms to innovate with a strategic digital platform to leverage new capabilities, efficiencies and insights. This paper offers a framework to improve business models that face hardships due to shifting customer preferences, popularity fads and mounting infrastructure investments.","author":[{"dropping-particle":"","family":"Fisher","given":"Cameron","non-dropping-particle":"","parse-names":false,"suffix":""},{"dropping-particle":"","family":"Fisher","given":"Cameron","non-dropping-particle":"","parse-names":false,"suffix":""}],"container-title":"American Journal of Industrial and Business Management","id":"ITEM-1","issue":"7","issued":{"date-parts":[["2019","7","18"]]},"page":"1596-1624","publisher":"Scientific Research Publishing","title":"Create Multi-Sided Platforms to Balance Demand and Capacity","type":"article-journal","volume":"9"},"uris":["http://www.mendeley.com/documents/?uuid=603cda8d-e976-3b74-bdbf-b5623a89e628"]},{"id":"ITEM-2","itemData":{"DOI":"10.1287/MNSC.2020.3730","ISSN":"15265501","abstract":"We study the growth of online peer-to-peer markets. Using data from TaskRabbit, an expanding marketplace for domestic tasks at the time of our study, we show that growth varies considerably across ...","author":[{"dropping-particle":"","family":"Cullen","given":"Zoë","non-dropping-particle":"","parse-names":false,"suffix":""},{"dropping-particle":"","family":"Farronato","given":"Chiara","non-dropping-particle":"","parse-names":false,"suffix":""}],"container-title":"https://doi.org/10.1287/mnsc.2020.3730","id":"ITEM-2","issue":"7","issued":{"date-parts":[["2020","10","7"]]},"page":"3985-4003","publisher":" INFORMS ","title":"Outsourcing Tasks Online: Matching Supply and Demand on Peer-to-Peer Internet Platforms","type":"article-journal","volume":"67"},"uris":["http://www.mendeley.com/documents/?uuid=0cfe8c72-b268-39ed-a724-ca9722285531"]},{"id":"ITEM-3","itemData":{"DOI":"10.1108/EJIM-11-2020-0467/FULL/PDF","ISSN":"14601060","abstract":"Purpose: This article is based on a systematic and comprehensive review of the literature on two-sided platforms, the business structure based on the concept of matchmaking groups of customers (e.g. Uber or Airbnb). The research aims to identify gaps in the existing literature while providing a structured summary of the existing knowledge in the field. Finally, we propose a conceptual framework enabling platform thinking, the ability to see hybrid multi-sided platforms as a useful resource-orchestration structure to unveil innovation opportunities. Design/methodology/approach: This study adopts a bibliometric approach, combing co-citation and text mining analyses of 196 papers, also implementing a longitudinal analysis that highlights the evolution of the field since its inception till today. Findings: The novel aspect of the paper consists in taking a purely managerial stance of a very peculiar kind of platform, merging existing knowledge in comprehensive frameworks while providing potential avenues for research. Research limitations/implications: From an academic perspective, this research highlights the double nature of two-sided platforms: as an operational choice or as a way to exploit (digital) assets and reach the economic sustainability. A research agenda is proposed, based on three pillars: a side-based standpoint, a business model perspective and an evolutionary stance to see how these businesses may evolve. Practical implications: The research identifies different literature streams that may help practitioners in identifying how two-sided platforms may help them in fostering innovation. Originality/value: The identification of two-sided platforms as a different way to create value (transaction platforms) or to capture value (non-transaction platform), enhancing the debate on this innovative business model. A research agenda to bring the field forward is proposed.","author":[{"dropping-particle":"","family":"Trabucchi","given":"Daniel","non-dropping-particle":"","parse-names":false,"suffix":""},{"dropping-particle":"","family":"Buganza","given":"Tommaso","non-dropping-particle":"","parse-names":false,"suffix":""}],"container-title":"European Journal of Innovation Management","id":"ITEM-3","issue":"6","issued":{"date-parts":[["2021"]]},"page":"64-96","publisher":"Emerald Group Holdings Ltd.","title":"Landlords with no lands: a systematic literature review on hybrid multi-sided platforms and platform thinking","type":"article-journal","volume":"25"},"uris":["http://www.mendeley.com/documents/?uuid=4ccefc13-cefd-36d8-b0d3-a96b05815cb0"]}],"mendeley":{"formattedCitation":"(Cullen &amp; Farronato, 2020; Fisher &amp; Fisher, 2019; Trabucchi &amp; Buganza, 2021)","plainTextFormattedCitation":"(Cullen &amp; Farronato, 2020; Fisher &amp; Fisher, 2019; Trabucchi &amp; Buganza, 2021)","previouslyFormattedCitation":"(Cullen &amp; Farronato, 2020; Fisher &amp; Fisher, 2019; Trabucchi &amp; Buganza, 2021)"},"properties":{"noteIndex":0},"schema":"https://github.com/citation-style-language/schema/raw/master/csl-citation.json"}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(Cullen &amp; Farronato, 2020; Fisher &amp; Fisher, 2019; Trabucchi &amp; Buganza, 2021)</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For example,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{"citationItems":[{"id":"ITEM-1","itemData":{"DOI":"10.1016/J.JCLEPRO.2022.131080","ISSN":"0959-6526","abstract":"Research shows a linear economy of “take-use-dispose” is no longer viable given the current state of the natural environment, hence a transition to a Circular Economy (CE), where resources flow in cyclical systems, is required. Yet the complexity of such a transition – requiring reconfiguring supply chains and, therefore, multi-level collaboration – cannot be underestimated. Understanding how the infrastructure industry should transition to a CE requires the exploration of collaborative models that allow the participation of multi-level stakeholders interacting towards the effective implementation of CE strategies. While a review of the literature identifies drivers, barriers and enablers for CE in the built environment, a dearth of research exists on enabling models which address the many barriers associated with implementation. A case study provides empirical evidence of how a collaborative multi-level platform to support the transition to CE at an industry level was co-designed, addressing drivers, barriers and enablers of CE initiatives in the built environment. Reflections on the process of co-designing the Infrastructure CoLab also reveal key factors in the success of the collaboration, providing a checklist for others seeking to implement similar initiatives. Findings also suggest meso (industry) level collaborative initiatives have the potential to act as a bridge between micro and macro levels allowing integration from a micro (product) level to a macro (urban planning/eco-cities) level, reflecting a combined top-down, bottom-up approach.","author":[{"dropping-particle":"","family":"Meath","given":"Cristyn","non-dropping-particle":"","parse-names":false,"suffix":""},{"dropping-particle":"","family":"Karlovšek","given":"Jurij","non-dropping-particle":"","parse-names":false,"suffix":""},{"dropping-particle":"","family":"Navarrete","given":"Claudia","non-dropping-particle":"","parse-names":false,"suffix":""},{"dropping-particle":"","family":"Eales","given":"Michael","non-dropping-particle":"","parse-names":false,"suffix":""},{"dropping-particle":"","family":"Hastings","given":"Patrick","non-dropping-particle":"","parse-names":false,"suffix":""}],"container-title":"Journal of Cleaner Production","id":"ITEM-1","issued":{"date-parts":[["2022","5","1"]]},"page":"131080","publisher":"Elsevier","title":"Co-designing a multi-level platform for industry level transition to circular economy principles: A case study of the infrastructure CoLab","type":"article-journal","volume":"347"},"uris":["http://www.mendeley.com/documents/?uuid=a85a1a9f-8bee-3ad4-b73b-ef69846b3123"]}],"mendeley":{"formattedCitation":"(Meath et al., 2022)","manualFormatting":"Meath et al. (2022)","plainTextFormattedCitation":"(Meath et al., 2022)","previouslyFormattedCitation":"(Meath et al., 2022)"},"properties":{"noteIndex":0},"schema":"https://github.com/citation-style-language/schema/raw/master/csl-citation.json"}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Meath et al. (2022)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provide empirical evidence of how a platform supported the transition to CE by players in the built environment sector. Accordingly, very recent studies underline that the potential for platform business models </w:t>
      </w:r>
      <w:r w:rsidR="00966F59">
        <w:rPr>
          <w:rFonts w:ascii="Times New Roman" w:hAnsi="Times New Roman" w:cs="Times New Roman"/>
          <w:sz w:val="24"/>
          <w:szCs w:val="24"/>
          <w:lang w:val="en-GB"/>
        </w:rPr>
        <w:t xml:space="preserve">in the </w:t>
      </w:r>
      <w:r w:rsidR="00966F59" w:rsidRPr="75A96201">
        <w:rPr>
          <w:rFonts w:ascii="Times New Roman" w:hAnsi="Times New Roman" w:cs="Times New Roman"/>
          <w:sz w:val="24"/>
          <w:szCs w:val="24"/>
          <w:lang w:val="en-GB"/>
        </w:rPr>
        <w:t xml:space="preserve">B2B </w:t>
      </w:r>
      <w:r w:rsidR="00966F59">
        <w:rPr>
          <w:rFonts w:ascii="Times New Roman" w:hAnsi="Times New Roman" w:cs="Times New Roman"/>
          <w:sz w:val="24"/>
          <w:szCs w:val="24"/>
          <w:lang w:val="en-GB"/>
        </w:rPr>
        <w:t xml:space="preserve">setting </w:t>
      </w:r>
      <w:r w:rsidRPr="75A96201">
        <w:rPr>
          <w:rFonts w:ascii="Times New Roman" w:hAnsi="Times New Roman" w:cs="Times New Roman"/>
          <w:sz w:val="24"/>
          <w:szCs w:val="24"/>
          <w:lang w:val="en-GB"/>
        </w:rPr>
        <w:t xml:space="preserve">is massive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10.2139/SSRN.4399864","ISSN":"1556-5068","author":[{"dropping-particle":"","family":"Ritala","given":"Paavo","non-dropping-particle":"","parse-names":false,"suffix":""},{"dropping-particle":"","family":"Jovanovic","given":"Marin","non-dropping-particle":"","parse-names":false,"suffix":""}],"container-title":"SSRN Electronic Journal","id":"ITEM-1","issued":{"date-parts":[["2023","3","24"]]},"title":"Platformizers, Orchestrators, and Guardians: Three Types of B2B Platform Business Models","type":"article-journal"},"uris":["http://www.mendeley.com/documents/?uuid=3a8a61b6-6e21-3307-b890-1f54ca1edaad"]}],"mendeley":{"formattedCitation":"(Ritala &amp; Jovanovic, 2023)","plainTextFormattedCitation":"(Ritala &amp; Jovanovic, 2023)","previouslyFormattedCitation":"(Ritala &amp; Jovanovic, 2023)"},"properties":{"noteIndex":0},"schema":"https://github.com/citation-style-language/schema/raw/master/csl-citation.json"}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(Ritala &amp; Jovanovic, 2023)</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On the other hand, MSPs struggle to be established in the</w:t>
      </w:r>
      <w:r w:rsidR="00966F59">
        <w:rPr>
          <w:rFonts w:ascii="Times New Roman" w:hAnsi="Times New Roman" w:cs="Times New Roman"/>
          <w:sz w:val="24"/>
          <w:szCs w:val="24"/>
          <w:lang w:val="en-GB"/>
        </w:rPr>
        <w:t xml:space="preserve"> B2B setting</w:t>
      </w:r>
      <w:r w:rsidRPr="75A96201">
        <w:rPr>
          <w:rFonts w:ascii="Times New Roman" w:hAnsi="Times New Roman" w:cs="Times New Roman"/>
          <w:sz w:val="24"/>
          <w:szCs w:val="24"/>
          <w:lang w:val="en-GB"/>
        </w:rPr>
        <w:t xml:space="preserve"> due to complex interaction processes in fragmented value chains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{"citationItems":[{"id":"ITEM-1","itemData":{"DOI":"10.1007/S12525-019-00377-4/TABLES/1","ISSN":"14228890","abstract":"Digital platforms are an omnipresent phenomenon that challenges incumbents by changing how we consume and provide digital products and services. Whereas traditional firms create value within the boundaries of a company or a supply chain, digital platforms utilize an ecosystem of autonomous agents to co-create value. Scholars from various disciplines, such as economics, technology management, and information systems have taken different perspectives on digital platform ecosystems. In this Fundamentals article, we first synthesize research on digital platforms and digital platform ecosystems to provide a definition that integrates both concepts. Second, we use this definition to explain how different digital platform ecosystems vary according to three core building blocks: (1) platform ownership, (2) value-creating mechanisms, and (3) complementor autonomy. We conclude by giving an outlook on four overarching research areas that connect the building blocks: (1) technical properties and value creation; (2) complementor interaction with the ecosystem; (3) value capture; and (4) the make-or-join decision in digital platform ecosystems.","author":[{"dropping-particle":"","family":"Hein","given":"Andreas","non-dropping-particle":"","parse-names":false,"suffix":""},{"dropping-particle":"","family":"Schreieck","given":"Maximilian","non-dropping-particle":"","parse-names":false,"suffix":""},{"dropping-particle":"","family":"Riasanow","given":"Tobias","non-dropping-particle":"","parse-names":false,"suffix":""},{"dropping-particle":"","family":"Setzke","given":"David Soto","non-dropping-particle":"","parse-names":false,"suffix":""},{"dropping-particle":"","family":"Wiesche","given":"Manuel","non-dropping-particle":"","parse-names":false,"suffix":""},{"dropping-particle":"","family":"Böhm","given":"Markus","non-dropping-particle":"","parse-names":false,"suffix":""},{"dropping-particle":"","family":"Krcmar","given":"Helmut","non-dropping-particle":"","parse-names":false,"suffix":""}],"container-title":"Electronic Markets","id":"ITEM-1","issue":"1","issued":{"date-parts":[["2020","3","1"]]},"page":"87-98","publisher":"Springer","title":"Digital platform ecosystems","type":"article-journal","volume":"30"},"uris":["http://www.mendeley.com/documents/?uuid=429c9122-c1b4-3e20-9cca-73dd6532652b"]},{"id":"ITEM-2","itemData":{"DOI":"10.1007/S12525-019-00382-7/FIGURES/11","ISSN":"14228890","abstract":"Although multi-sided platforms (MSPs) and their diffusion in B2C contexts received heightened attention in recent literature, there is still a dearth of research on MSP diffusion inhibitors in competitive B2B networks. Using the air cargo hub in Frankfurt, Germany, as highly competitive B2B network which struggles with the acceptance of an MSP for over 10 years, we applied a grounded theory approach to identify key inhibitors to MSP diffusion. Based on several interviews with a diverse set of stakeholders and a systematic coding procedure, we identified 21 factors inhibiting MSP diffusion. The majority of these factors slows down or even thwarts positive network effects, typically occurring on MSPs. Furthermore, we derive a classification showing that the inhibiting factors primarily hamper cross-side network effects in highly competitive B2B networks, and to a lesser degree also same-side and mixed-side network effects. Finally, implications of these results and future research directions are discussed.","author":[{"dropping-particle":"","family":"Wallbach","given":"Sören","non-dropping-particle":"","parse-names":false,"suffix":""},{"dropping-particle":"","family":"Coleman","given":"Katrin","non-dropping-particle":"","parse-names":false,"suffix":""},{"dropping-particle":"","family":"Elbert","given":"Ralf","non-dropping-particle":"","parse-names":false,"suffix":""},{"dropping-particle":"","family":"Benlian","given":"Alexander","non-dropping-particle":"","parse-names":false,"suffix":""}],"container-title":"Electronic Markets","id":"ITEM-2","issue":"4","issued":{"date-parts":[["2019","12","1"]]},"page":"693-710","publisher":"Springer","title":"Multi-sided platform diffusion in competitive B2B networks: inhibiting factors and their impact on network effects","type":"article-journal","volume":"29"},"uris":["http://www.mendeley.com/documents/?uuid=6e452147-c571-3bd9-929a-e2bc4bf0c91f"]}],"mendeley":{"formattedCitation":"(Hein et al., 2020; Wallbach et al., 2019)","plainTextFormattedCitation":"(Hein et al., 2020; Wallbach et al., 2019)","previouslyFormattedCitation":"(Hein et al., 2020; Wallbach et al., 2019)"},"properties":{"noteIndex":0},"schema":"https://github.com/citation-style-language/schema/raw/master/csl-citation.json"}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(Hein et al., 2020; Wallbach et al., 2019)</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Therefore, understanding the roles that MSPs can play to foster the creation of CSCs in </w:t>
      </w:r>
      <w:r w:rsidR="00966F59">
        <w:rPr>
          <w:rFonts w:ascii="Times New Roman" w:hAnsi="Times New Roman" w:cs="Times New Roman"/>
          <w:sz w:val="24"/>
          <w:szCs w:val="24"/>
          <w:lang w:val="en-GB"/>
        </w:rPr>
        <w:t>the</w:t>
      </w:r>
      <w:r w:rsidR="00966F59"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deserves specific attention. </w:t>
      </w:r>
    </w:p>
    <w:p w14:paraId="014B1B43" w14:textId="77777777" w:rsidR="00B93D26" w:rsidRDefault="00B93D26" w:rsidP="004B1CF3">
      <w:pPr>
        <w:spacing w:after="0" w:line="360" w:lineRule="auto"/>
        <w:jc w:val="both"/>
        <w:rPr>
          <w:rFonts w:ascii="Times New Roman" w:hAnsi="Times New Roman" w:cs="Times New Roman"/>
          <w:sz w:val="24"/>
          <w:szCs w:val="24"/>
          <w:lang w:val="en-GB"/>
        </w:rPr>
      </w:pPr>
    </w:p>
    <w:p w14:paraId="396199DB" w14:textId="77777777" w:rsidR="00B93D26" w:rsidRDefault="00000000" w:rsidP="00B507D0">
      <w:pPr>
        <w:spacing w:after="0" w:line="360" w:lineRule="auto"/>
        <w:rPr>
          <w:rFonts w:ascii="Times New Roman" w:hAnsi="Times New Roman" w:cs="Times New Roman"/>
          <w:b/>
          <w:bCs/>
          <w:sz w:val="24"/>
          <w:szCs w:val="24"/>
          <w:lang w:val="en-GB"/>
        </w:rPr>
      </w:pPr>
      <w:r w:rsidRPr="00FB4DB2">
        <w:rPr>
          <w:rFonts w:ascii="Times New Roman" w:hAnsi="Times New Roman" w:cs="Times New Roman"/>
          <w:b/>
          <w:bCs/>
          <w:sz w:val="24"/>
          <w:szCs w:val="24"/>
          <w:lang w:val="en-GB"/>
        </w:rPr>
        <w:t>3</w:t>
      </w:r>
      <w:r>
        <w:rPr>
          <w:rFonts w:ascii="Times New Roman" w:hAnsi="Times New Roman" w:cs="Times New Roman"/>
          <w:b/>
          <w:bCs/>
          <w:sz w:val="24"/>
          <w:szCs w:val="24"/>
          <w:lang w:val="en-GB"/>
        </w:rPr>
        <w:t>.</w:t>
      </w:r>
      <w:r w:rsidRPr="00FB4DB2">
        <w:rPr>
          <w:rFonts w:ascii="Times New Roman" w:hAnsi="Times New Roman" w:cs="Times New Roman"/>
          <w:b/>
          <w:bCs/>
          <w:sz w:val="24"/>
          <w:szCs w:val="24"/>
          <w:lang w:val="en-GB"/>
        </w:rPr>
        <w:t xml:space="preserve"> </w:t>
      </w:r>
      <w:r>
        <w:rPr>
          <w:rFonts w:ascii="Times New Roman" w:hAnsi="Times New Roman" w:cs="Times New Roman"/>
          <w:b/>
          <w:bCs/>
          <w:sz w:val="24"/>
          <w:szCs w:val="24"/>
          <w:lang w:val="en-GB"/>
        </w:rPr>
        <w:t>Methodology</w:t>
      </w:r>
    </w:p>
    <w:p w14:paraId="70582918" w14:textId="1A33B1DC" w:rsidR="00B93D26" w:rsidRDefault="00000000" w:rsidP="007B6B7A">
      <w:pPr>
        <w:spacing w:after="0" w:line="360" w:lineRule="auto"/>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This section presents the methodological process that has been followed to develop a taxonomy of MSPs enabling CSCs in </w:t>
      </w:r>
      <w:r w:rsidR="00806697">
        <w:rPr>
          <w:rFonts w:ascii="Times New Roman" w:hAnsi="Times New Roman" w:cs="Times New Roman"/>
          <w:sz w:val="24"/>
          <w:szCs w:val="24"/>
          <w:lang w:val="en-GB"/>
        </w:rPr>
        <w:t>the</w:t>
      </w:r>
      <w:r w:rsidR="0080669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B2B setting</w:t>
      </w:r>
      <w:r w:rsidR="00442C82">
        <w:rPr>
          <w:rFonts w:ascii="Times New Roman" w:hAnsi="Times New Roman" w:cs="Times New Roman"/>
          <w:sz w:val="24"/>
          <w:szCs w:val="24"/>
          <w:lang w:val="en-GB"/>
        </w:rPr>
        <w:t>, which</w:t>
      </w:r>
      <w:r w:rsidRPr="75A96201">
        <w:rPr>
          <w:rFonts w:ascii="Times New Roman" w:hAnsi="Times New Roman" w:cs="Times New Roman"/>
          <w:sz w:val="24"/>
          <w:szCs w:val="24"/>
          <w:lang w:val="en-GB"/>
        </w:rPr>
        <w:t xml:space="preserve"> includes two phases: </w:t>
      </w:r>
      <w:r w:rsidR="0058317C">
        <w:rPr>
          <w:rFonts w:ascii="Times New Roman" w:hAnsi="Times New Roman" w:cs="Times New Roman"/>
          <w:sz w:val="24"/>
          <w:szCs w:val="24"/>
          <w:lang w:val="en-GB"/>
        </w:rPr>
        <w:t>(</w:t>
      </w:r>
      <w:proofErr w:type="spellStart"/>
      <w:r w:rsidRPr="75A96201">
        <w:rPr>
          <w:rFonts w:ascii="Times New Roman" w:hAnsi="Times New Roman" w:cs="Times New Roman"/>
          <w:sz w:val="24"/>
          <w:szCs w:val="24"/>
          <w:lang w:val="en-GB"/>
        </w:rPr>
        <w:t>i</w:t>
      </w:r>
      <w:proofErr w:type="spellEnd"/>
      <w:r w:rsidRPr="75A96201">
        <w:rPr>
          <w:rFonts w:ascii="Times New Roman" w:hAnsi="Times New Roman" w:cs="Times New Roman"/>
          <w:sz w:val="24"/>
          <w:szCs w:val="24"/>
          <w:lang w:val="en-GB"/>
        </w:rPr>
        <w:t>) the identification of MSPs (Section 3.1) and (ii) the analysis of the identified MSPs, through a Delphi method (Section 3.2).</w:t>
      </w:r>
      <w:r w:rsidR="004152D0">
        <w:rPr>
          <w:rFonts w:ascii="Times New Roman" w:hAnsi="Times New Roman" w:cs="Times New Roman"/>
          <w:sz w:val="24"/>
          <w:szCs w:val="24"/>
          <w:lang w:val="en-GB"/>
        </w:rPr>
        <w:t xml:space="preserve"> Figure 1 shows the overall methodological process, as further detailed hereafter.</w:t>
      </w:r>
    </w:p>
    <w:p w14:paraId="29F19C33" w14:textId="107C2152" w:rsidR="004152D0" w:rsidRDefault="005C2ECB" w:rsidP="00247672">
      <w:pPr>
        <w:spacing w:after="0" w:line="360" w:lineRule="auto"/>
        <w:jc w:val="center"/>
        <w:rPr>
          <w:rFonts w:ascii="Times New Roman" w:hAnsi="Times New Roman" w:cs="Times New Roman"/>
          <w:sz w:val="24"/>
          <w:szCs w:val="24"/>
          <w:lang w:val="en-GB"/>
        </w:rPr>
      </w:pPr>
      <w:r>
        <w:rPr>
          <w:rFonts w:ascii="Times New Roman" w:hAnsi="Times New Roman" w:cs="Times New Roman"/>
          <w:noProof/>
          <w:sz w:val="24"/>
          <w:szCs w:val="24"/>
          <w:lang w:val="en-GB"/>
        </w:rPr>
        <w:drawing>
          <wp:inline distT="0" distB="0" distL="0" distR="0" wp14:anchorId="70C5228D" wp14:editId="5195CA27">
            <wp:extent cx="5414818" cy="3841954"/>
            <wp:effectExtent l="0" t="0" r="0" b="6350"/>
            <wp:docPr id="63316873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3682" cy="3862434"/>
                    </a:xfrm>
                    <a:prstGeom prst="rect">
                      <a:avLst/>
                    </a:prstGeom>
                    <a:noFill/>
                  </pic:spPr>
                </pic:pic>
              </a:graphicData>
            </a:graphic>
          </wp:inline>
        </w:drawing>
      </w:r>
    </w:p>
    <w:p w14:paraId="296FFFA3" w14:textId="38B25FD2" w:rsidR="004152D0" w:rsidRPr="007B6B7A" w:rsidRDefault="004152D0" w:rsidP="00247672">
      <w:pPr>
        <w:spacing w:after="0" w:line="360" w:lineRule="auto"/>
        <w:jc w:val="center"/>
        <w:rPr>
          <w:rFonts w:ascii="Times New Roman" w:hAnsi="Times New Roman" w:cs="Times New Roman"/>
          <w:sz w:val="24"/>
          <w:szCs w:val="24"/>
          <w:lang w:val="en-GB"/>
        </w:rPr>
      </w:pPr>
      <w:r w:rsidRPr="004B1CF3">
        <w:rPr>
          <w:rFonts w:ascii="Times New Roman" w:hAnsi="Times New Roman" w:cs="Times New Roman"/>
          <w:b/>
          <w:bCs/>
          <w:sz w:val="20"/>
          <w:szCs w:val="20"/>
          <w:lang w:val="en-GB"/>
        </w:rPr>
        <w:t>Figure 1</w:t>
      </w:r>
      <w:r>
        <w:rPr>
          <w:rFonts w:ascii="Times New Roman" w:hAnsi="Times New Roman" w:cs="Times New Roman"/>
          <w:b/>
          <w:bCs/>
          <w:sz w:val="20"/>
          <w:szCs w:val="20"/>
          <w:lang w:val="en-GB"/>
        </w:rPr>
        <w:t>.</w:t>
      </w:r>
      <w:r w:rsidRPr="004B1CF3">
        <w:rPr>
          <w:rFonts w:ascii="Times New Roman" w:hAnsi="Times New Roman" w:cs="Times New Roman"/>
          <w:b/>
          <w:bCs/>
          <w:sz w:val="20"/>
          <w:szCs w:val="20"/>
          <w:lang w:val="en-GB"/>
        </w:rPr>
        <w:t xml:space="preserve"> </w:t>
      </w:r>
      <w:r w:rsidRPr="00531EE1">
        <w:rPr>
          <w:rFonts w:ascii="Times New Roman" w:hAnsi="Times New Roman" w:cs="Times New Roman"/>
          <w:sz w:val="20"/>
          <w:szCs w:val="20"/>
          <w:lang w:val="en-GB"/>
        </w:rPr>
        <w:t xml:space="preserve">The </w:t>
      </w:r>
      <w:r>
        <w:rPr>
          <w:rFonts w:ascii="Times New Roman" w:hAnsi="Times New Roman" w:cs="Times New Roman"/>
          <w:sz w:val="20"/>
          <w:szCs w:val="20"/>
          <w:lang w:val="en-GB"/>
        </w:rPr>
        <w:t xml:space="preserve">methodological process </w:t>
      </w:r>
      <w:r w:rsidRPr="00B60DFD">
        <w:rPr>
          <w:rFonts w:ascii="Times New Roman" w:hAnsi="Times New Roman" w:cs="Times New Roman"/>
          <w:sz w:val="20"/>
          <w:szCs w:val="20"/>
          <w:lang w:val="en-GB"/>
        </w:rPr>
        <w:t>adopted in the present research</w:t>
      </w:r>
      <w:r>
        <w:rPr>
          <w:rFonts w:ascii="Times New Roman" w:hAnsi="Times New Roman" w:cs="Times New Roman"/>
          <w:sz w:val="20"/>
          <w:szCs w:val="20"/>
          <w:lang w:val="en-GB"/>
        </w:rPr>
        <w:t>.</w:t>
      </w:r>
    </w:p>
    <w:p w14:paraId="012D6E6A" w14:textId="77777777" w:rsidR="00B93D26" w:rsidRPr="00F7590D" w:rsidRDefault="00B93D26" w:rsidP="00A250E8">
      <w:pPr>
        <w:spacing w:after="0" w:line="360" w:lineRule="auto"/>
        <w:jc w:val="both"/>
        <w:rPr>
          <w:rFonts w:ascii="Times New Roman" w:hAnsi="Times New Roman" w:cs="Times New Roman"/>
          <w:sz w:val="24"/>
          <w:szCs w:val="24"/>
          <w:lang w:val="en-GB"/>
        </w:rPr>
      </w:pPr>
    </w:p>
    <w:p w14:paraId="46F1932D" w14:textId="77777777" w:rsidR="00B93D26" w:rsidRDefault="00000000" w:rsidP="001B0EE7">
      <w:pPr>
        <w:spacing w:after="0" w:line="360" w:lineRule="auto"/>
        <w:rPr>
          <w:rFonts w:ascii="Times New Roman" w:eastAsiaTheme="majorEastAsia" w:hAnsi="Times New Roman" w:cs="Times New Roman"/>
          <w:b/>
          <w:bCs/>
          <w:i/>
          <w:iCs/>
          <w:sz w:val="24"/>
          <w:szCs w:val="24"/>
          <w:lang w:val="en-GB"/>
        </w:rPr>
      </w:pPr>
      <w:r>
        <w:rPr>
          <w:rFonts w:ascii="Times New Roman" w:eastAsiaTheme="majorEastAsia" w:hAnsi="Times New Roman" w:cs="Times New Roman"/>
          <w:b/>
          <w:bCs/>
          <w:i/>
          <w:iCs/>
          <w:sz w:val="24"/>
          <w:szCs w:val="24"/>
          <w:lang w:val="en-GB"/>
        </w:rPr>
        <w:t>3</w:t>
      </w:r>
      <w:r w:rsidRPr="00F7590D">
        <w:rPr>
          <w:rFonts w:ascii="Times New Roman" w:eastAsiaTheme="majorEastAsia" w:hAnsi="Times New Roman" w:cs="Times New Roman"/>
          <w:b/>
          <w:bCs/>
          <w:i/>
          <w:iCs/>
          <w:sz w:val="24"/>
          <w:szCs w:val="24"/>
          <w:lang w:val="en-GB"/>
        </w:rPr>
        <w:t xml:space="preserve">.1 </w:t>
      </w:r>
      <w:r>
        <w:rPr>
          <w:rFonts w:ascii="Times New Roman" w:eastAsiaTheme="majorEastAsia" w:hAnsi="Times New Roman" w:cs="Times New Roman"/>
          <w:b/>
          <w:bCs/>
          <w:i/>
          <w:iCs/>
          <w:sz w:val="24"/>
          <w:szCs w:val="24"/>
          <w:lang w:val="en-GB"/>
        </w:rPr>
        <w:t xml:space="preserve">Identification of the MSPs </w:t>
      </w:r>
    </w:p>
    <w:p w14:paraId="5B1BFB8A" w14:textId="77777777" w:rsidR="00BB6226" w:rsidRDefault="00000000" w:rsidP="000635EA">
      <w:pPr>
        <w:spacing w:after="0" w:line="360" w:lineRule="auto"/>
        <w:jc w:val="both"/>
        <w:rPr>
          <w:rFonts w:ascii="Times New Roman" w:hAnsi="Times New Roman" w:cs="Times New Roman"/>
          <w:sz w:val="24"/>
          <w:szCs w:val="24"/>
          <w:lang w:val="en-US"/>
        </w:rPr>
      </w:pPr>
      <w:r w:rsidRPr="75A96201">
        <w:rPr>
          <w:rFonts w:ascii="Times New Roman" w:hAnsi="Times New Roman" w:cs="Times New Roman"/>
          <w:sz w:val="24"/>
          <w:szCs w:val="24"/>
          <w:lang w:val="en-GB"/>
        </w:rPr>
        <w:t xml:space="preserve">The identification of the MSPs was carried out by leveraging </w:t>
      </w:r>
      <w:r w:rsidRPr="75A96201">
        <w:rPr>
          <w:rFonts w:ascii="Times New Roman" w:hAnsi="Times New Roman" w:cs="Times New Roman"/>
          <w:sz w:val="24"/>
          <w:szCs w:val="24"/>
          <w:lang w:val="en-US"/>
        </w:rPr>
        <w:t>a panel of six experts</w:t>
      </w:r>
      <w:r w:rsidR="004152D0">
        <w:rPr>
          <w:rFonts w:ascii="Times New Roman" w:hAnsi="Times New Roman" w:cs="Times New Roman"/>
          <w:sz w:val="24"/>
          <w:szCs w:val="24"/>
          <w:lang w:val="en-US"/>
        </w:rPr>
        <w:t>, which have been</w:t>
      </w:r>
      <w:r w:rsidRPr="75A96201">
        <w:rPr>
          <w:rFonts w:ascii="Times New Roman" w:hAnsi="Times New Roman" w:cs="Times New Roman"/>
          <w:sz w:val="24"/>
          <w:szCs w:val="24"/>
          <w:lang w:val="en-US"/>
        </w:rPr>
        <w:t xml:space="preserve"> selected according to the guidelines provided by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{"citationItems":[{"id":"ITEM-1","itemData":{"author":[{"dropping-particle":"","family":"Delbecq","given":"AL","non-dropping-particle":"","parse-names":false,"suffix":""},{"dropping-particle":"Van de","family":"Ven","given":"AH","non-dropping-particle":"","parse-names":false,"suffix":""},{"dropping-particle":"","family":"Gustafson","given":"DH","non-dropping-particle":"","parse-names":false,"suffix":""}],"id":"ITEM-1","issued":{"date-parts":[["1975"]]},"title":"Group techniques for program planning: A guide to nominal group and Delphi processes","type":"article-journal"},"uris":["http://www.mendeley.com/documents/?uuid=7760e2bf-6405-34b3-aaf0-cc10af9dc1f9"]}],"mendeley":{"formattedCitation":"(Delbecq et al., 1975)","manualFormatting":"Delbecq et al. (1975)","plainTextFormattedCitation":"(Delbecq et al., 1975)","previouslyFormattedCitation":"(Delbecq et al., 1975)"},"properties":{"noteIndex":0},"schema":"https://github.com/citation-style-language/schema/raw/master/csl-citation.json"}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Delbecq et al. (1975)</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who suggest involving highly knowledgeable individuals who possess different perspectives on the same issue. </w:t>
      </w:r>
    </w:p>
    <w:p w14:paraId="29A2606B" w14:textId="1FCBDC5D" w:rsidR="00F2799B" w:rsidRDefault="00B70C57" w:rsidP="00B70C57">
      <w:pPr>
        <w:spacing w:after="0" w:line="36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Considering</w:t>
      </w:r>
      <w:r w:rsidRPr="75A96201">
        <w:rPr>
          <w:rFonts w:ascii="Times New Roman" w:hAnsi="Times New Roman" w:cs="Times New Roman"/>
          <w:sz w:val="24"/>
          <w:szCs w:val="24"/>
          <w:lang w:val="en-US"/>
        </w:rPr>
        <w:t xml:space="preserve"> the very specific expertise required at the intersection between CBMs</w:t>
      </w:r>
      <w:r w:rsidR="007D52BB">
        <w:rPr>
          <w:rFonts w:ascii="Times New Roman" w:hAnsi="Times New Roman" w:cs="Times New Roman"/>
          <w:sz w:val="24"/>
          <w:szCs w:val="24"/>
          <w:lang w:val="en-US"/>
        </w:rPr>
        <w:t>/</w:t>
      </w:r>
      <w:r w:rsidRPr="75A96201">
        <w:rPr>
          <w:rFonts w:ascii="Times New Roman" w:hAnsi="Times New Roman" w:cs="Times New Roman"/>
          <w:sz w:val="24"/>
          <w:szCs w:val="24"/>
          <w:lang w:val="en-US"/>
        </w:rPr>
        <w:t xml:space="preserve">CSCs and MSPs, as also demonstrated by the paucity of scientific contributions available, experts were sought in each of the two </w:t>
      </w:r>
      <w:r w:rsidR="00F2799B">
        <w:rPr>
          <w:rFonts w:ascii="Times New Roman" w:hAnsi="Times New Roman" w:cs="Times New Roman"/>
          <w:sz w:val="24"/>
          <w:szCs w:val="24"/>
          <w:lang w:val="en-US"/>
        </w:rPr>
        <w:t>topics</w:t>
      </w:r>
      <w:r w:rsidR="007D52BB"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 xml:space="preserve">to ensure a representative, all-around perspective on </w:t>
      </w:r>
      <w:r w:rsidR="00F2799B">
        <w:rPr>
          <w:rFonts w:ascii="Times New Roman" w:hAnsi="Times New Roman" w:cs="Times New Roman"/>
          <w:sz w:val="24"/>
          <w:szCs w:val="24"/>
          <w:lang w:val="en-US"/>
        </w:rPr>
        <w:t>both</w:t>
      </w:r>
      <w:r w:rsidR="005E00C1" w:rsidRPr="00806697">
        <w:rPr>
          <w:rFonts w:ascii="Times New Roman" w:hAnsi="Times New Roman" w:cs="Times New Roman"/>
          <w:sz w:val="24"/>
          <w:szCs w:val="24"/>
          <w:lang w:val="en-US"/>
        </w:rPr>
        <w:t>.</w:t>
      </w:r>
      <w:r w:rsidR="00BB6226">
        <w:rPr>
          <w:rFonts w:ascii="Times New Roman" w:hAnsi="Times New Roman" w:cs="Times New Roman"/>
          <w:sz w:val="24"/>
          <w:szCs w:val="24"/>
          <w:lang w:val="en-US"/>
        </w:rPr>
        <w:t xml:space="preserve"> </w:t>
      </w:r>
      <w:r>
        <w:rPr>
          <w:rFonts w:ascii="Times New Roman" w:hAnsi="Times New Roman" w:cs="Times New Roman"/>
          <w:sz w:val="24"/>
          <w:szCs w:val="24"/>
          <w:lang w:val="en-US"/>
        </w:rPr>
        <w:t>I</w:t>
      </w:r>
      <w:r w:rsidR="00BB6226" w:rsidRPr="75A96201">
        <w:rPr>
          <w:rFonts w:ascii="Times New Roman" w:hAnsi="Times New Roman" w:cs="Times New Roman"/>
          <w:sz w:val="24"/>
          <w:szCs w:val="24"/>
          <w:lang w:val="en-US"/>
        </w:rPr>
        <w:t xml:space="preserve">t was decided to involve both scholars and practitioners to provide an integrative view of scholarly knowledge and management practice at the intersection between </w:t>
      </w:r>
      <w:r w:rsidR="007D52BB">
        <w:rPr>
          <w:rFonts w:ascii="Times New Roman" w:hAnsi="Times New Roman" w:cs="Times New Roman"/>
          <w:sz w:val="24"/>
          <w:szCs w:val="24"/>
          <w:lang w:val="en-US"/>
        </w:rPr>
        <w:t xml:space="preserve">these </w:t>
      </w:r>
      <w:r w:rsidR="00F2799B">
        <w:rPr>
          <w:rFonts w:ascii="Times New Roman" w:hAnsi="Times New Roman" w:cs="Times New Roman"/>
          <w:sz w:val="24"/>
          <w:szCs w:val="24"/>
          <w:lang w:val="en-US"/>
        </w:rPr>
        <w:t>topics</w:t>
      </w:r>
      <w:r w:rsidR="00BB6226" w:rsidRPr="75A96201">
        <w:rPr>
          <w:rFonts w:ascii="Times New Roman" w:hAnsi="Times New Roman" w:cs="Times New Roman"/>
          <w:sz w:val="24"/>
          <w:szCs w:val="24"/>
          <w:lang w:val="en-US"/>
        </w:rPr>
        <w:t xml:space="preserve"> </w:t>
      </w:r>
      <w:r w:rsidR="00BB6226" w:rsidRPr="75A96201">
        <w:rPr>
          <w:rFonts w:ascii="Times New Roman" w:hAnsi="Times New Roman" w:cs="Times New Roman"/>
          <w:sz w:val="24"/>
          <w:szCs w:val="24"/>
          <w:lang w:val="en-US"/>
        </w:rPr>
        <w:fldChar w:fldCharType="begin" w:fldLock="1"/>
      </w:r>
      <w:r w:rsidR="00BB6226" w:rsidRPr="75A96201">
        <w:rPr>
          <w:rFonts w:ascii="Times New Roman" w:hAnsi="Times New Roman" w:cs="Times New Roman"/>
          <w:sz w:val="24"/>
          <w:szCs w:val="24"/>
          <w:lang w:val="en-US"/>
        </w:rPr>
        <w:instrText>ADDIN CSL_CITATION {"citationItems":[{"id":"ITEM-1","itemData":{"DOI":"10.5465/ANNALS.2016.0095","ISSN":"19416067","abstract":"Contemporary organizations often struggle to create meaningful, sustainable changes. At the same time, relevant organizational research lacks an easily accessible consensus on basic change manageme...","author":[{"dropping-particle":"","family":"Stouten","given":"Jeroen","non-dropping-particle":"","parse-names":false,"suffix":""},{"dropping-particle":"","family":"Rousseau","given":"Denise M.","non-dropping-particle":"","parse-names":false,"suffix":""},{"dropping-particle":"","family":"Cremer","given":"David","non-dropping-particle":"De","parse-names":false,"suffix":""}],"container-title":"https://doi.org/10.5465/annals.2016.0095","id":"ITEM-1","issue":"2","issued":{"date-parts":[["2018","7","9"]]},"page":"752-788","publisher":"Academy of Management AnnalsBriarcliff Manor, NY","title":"Successful Organizational Change: Integrating the Management Practice and Scholarly Literatures","type":"article-journal","volume":"12"},"uris":["http://www.mendeley.com/documents/?uuid=b548e9be-d1df-3355-91c3-f7c7fabec78f"]}],"mendeley":{"formattedCitation":"(Stouten et al., 2018)","plainTextFormattedCitation":"(Stouten et al., 2018)","previouslyFormattedCitation":"(Stouten et al., 2018)"},"properties":{"noteIndex":0},"schema":"https://github.com/citation-style-language/schema/raw/master/csl-citation.json"}</w:instrText>
      </w:r>
      <w:r w:rsidR="00BB6226" w:rsidRPr="75A96201">
        <w:rPr>
          <w:rFonts w:ascii="Times New Roman" w:hAnsi="Times New Roman" w:cs="Times New Roman"/>
          <w:sz w:val="24"/>
          <w:szCs w:val="24"/>
          <w:lang w:val="en-US"/>
        </w:rPr>
        <w:fldChar w:fldCharType="separate"/>
      </w:r>
      <w:r w:rsidR="00BB6226" w:rsidRPr="75A96201">
        <w:rPr>
          <w:rFonts w:ascii="Times New Roman" w:hAnsi="Times New Roman" w:cs="Times New Roman"/>
          <w:noProof/>
          <w:sz w:val="24"/>
          <w:szCs w:val="24"/>
          <w:lang w:val="en-US"/>
        </w:rPr>
        <w:t>(Stouten et al., 2018)</w:t>
      </w:r>
      <w:r w:rsidR="00BB6226" w:rsidRPr="75A96201">
        <w:rPr>
          <w:rFonts w:ascii="Times New Roman" w:hAnsi="Times New Roman" w:cs="Times New Roman"/>
          <w:sz w:val="24"/>
          <w:szCs w:val="24"/>
          <w:lang w:val="en-US"/>
        </w:rPr>
        <w:fldChar w:fldCharType="end"/>
      </w:r>
      <w:r w:rsidR="00BB6226" w:rsidRPr="75A96201">
        <w:rPr>
          <w:rFonts w:ascii="Times New Roman" w:hAnsi="Times New Roman" w:cs="Times New Roman"/>
          <w:sz w:val="24"/>
          <w:szCs w:val="24"/>
          <w:lang w:val="en-US"/>
        </w:rPr>
        <w:t>.</w:t>
      </w:r>
      <w:r w:rsidR="00BB6226">
        <w:rPr>
          <w:rFonts w:ascii="Times New Roman" w:hAnsi="Times New Roman" w:cs="Times New Roman"/>
          <w:sz w:val="24"/>
          <w:szCs w:val="24"/>
          <w:lang w:val="en-US"/>
        </w:rPr>
        <w:t xml:space="preserve"> </w:t>
      </w:r>
      <w:r>
        <w:rPr>
          <w:rFonts w:ascii="Times New Roman" w:hAnsi="Times New Roman" w:cs="Times New Roman"/>
          <w:sz w:val="24"/>
          <w:szCs w:val="24"/>
          <w:lang w:val="en-US"/>
        </w:rPr>
        <w:t>In particular, g</w:t>
      </w:r>
      <w:r w:rsidR="00BB6226" w:rsidRPr="00806697">
        <w:rPr>
          <w:rFonts w:ascii="Times New Roman" w:hAnsi="Times New Roman" w:cs="Times New Roman"/>
          <w:sz w:val="24"/>
          <w:szCs w:val="24"/>
          <w:lang w:val="en-US"/>
        </w:rPr>
        <w:t xml:space="preserve">iven the </w:t>
      </w:r>
      <w:r>
        <w:rPr>
          <w:rFonts w:ascii="Times New Roman" w:hAnsi="Times New Roman" w:cs="Times New Roman"/>
          <w:sz w:val="24"/>
          <w:szCs w:val="24"/>
          <w:lang w:val="en-US"/>
        </w:rPr>
        <w:t>abundant</w:t>
      </w:r>
      <w:r w:rsidR="00BB6226" w:rsidRPr="00806697">
        <w:rPr>
          <w:rFonts w:ascii="Times New Roman" w:hAnsi="Times New Roman" w:cs="Times New Roman"/>
          <w:sz w:val="24"/>
          <w:szCs w:val="24"/>
          <w:lang w:val="en-US"/>
        </w:rPr>
        <w:t xml:space="preserve"> research on </w:t>
      </w:r>
      <w:r w:rsidR="00BB6226" w:rsidRPr="75A96201">
        <w:rPr>
          <w:rFonts w:ascii="Times New Roman" w:hAnsi="Times New Roman" w:cs="Times New Roman"/>
          <w:sz w:val="24"/>
          <w:szCs w:val="24"/>
          <w:lang w:val="en-US"/>
        </w:rPr>
        <w:t>CBMs</w:t>
      </w:r>
      <w:r>
        <w:rPr>
          <w:rFonts w:ascii="Times New Roman" w:hAnsi="Times New Roman" w:cs="Times New Roman"/>
          <w:sz w:val="24"/>
          <w:szCs w:val="24"/>
          <w:lang w:val="en-US"/>
        </w:rPr>
        <w:t xml:space="preserve"> and </w:t>
      </w:r>
      <w:r w:rsidR="00BB6226" w:rsidRPr="75A96201">
        <w:rPr>
          <w:rFonts w:ascii="Times New Roman" w:hAnsi="Times New Roman" w:cs="Times New Roman"/>
          <w:sz w:val="24"/>
          <w:szCs w:val="24"/>
          <w:lang w:val="en-US"/>
        </w:rPr>
        <w:t>CSCs</w:t>
      </w:r>
      <w:r w:rsidR="00BB6226" w:rsidRPr="00806697">
        <w:rPr>
          <w:rFonts w:ascii="Times New Roman" w:hAnsi="Times New Roman" w:cs="Times New Roman"/>
          <w:sz w:val="24"/>
          <w:szCs w:val="24"/>
          <w:lang w:val="en-US"/>
        </w:rPr>
        <w:t xml:space="preserve">, experts </w:t>
      </w:r>
      <w:r w:rsidR="00BB6226">
        <w:rPr>
          <w:rFonts w:ascii="Times New Roman" w:hAnsi="Times New Roman" w:cs="Times New Roman"/>
          <w:sz w:val="24"/>
          <w:szCs w:val="24"/>
          <w:lang w:val="en-US"/>
        </w:rPr>
        <w:t xml:space="preserve">were chosen among </w:t>
      </w:r>
      <w:r w:rsidR="00BB6226" w:rsidRPr="00806697">
        <w:rPr>
          <w:rFonts w:ascii="Times New Roman" w:hAnsi="Times New Roman" w:cs="Times New Roman"/>
          <w:sz w:val="24"/>
          <w:szCs w:val="24"/>
          <w:lang w:val="en-US"/>
        </w:rPr>
        <w:t xml:space="preserve">scholars </w:t>
      </w:r>
      <w:r>
        <w:rPr>
          <w:rFonts w:ascii="Times New Roman" w:hAnsi="Times New Roman" w:cs="Times New Roman"/>
          <w:sz w:val="24"/>
          <w:szCs w:val="24"/>
          <w:lang w:val="en-US"/>
        </w:rPr>
        <w:t xml:space="preserve">dealing with these topics, by </w:t>
      </w:r>
      <w:r w:rsidRPr="75A96201">
        <w:rPr>
          <w:rFonts w:ascii="Times New Roman" w:hAnsi="Times New Roman" w:cs="Times New Roman"/>
          <w:sz w:val="24"/>
          <w:szCs w:val="24"/>
          <w:lang w:val="en-US"/>
        </w:rPr>
        <w:t xml:space="preserve">using the following query search in Scopus: “circular business model*” AND “circular supply chain*” (and matched against </w:t>
      </w:r>
      <w:r w:rsidR="00C7330C" w:rsidRPr="75A96201">
        <w:rPr>
          <w:rFonts w:ascii="Times New Roman" w:hAnsi="Times New Roman" w:cs="Times New Roman"/>
          <w:sz w:val="24"/>
          <w:szCs w:val="24"/>
          <w:lang w:val="en-US"/>
        </w:rPr>
        <w:t>titles</w:t>
      </w:r>
      <w:r w:rsidR="00C7330C">
        <w:rPr>
          <w:rFonts w:ascii="Times New Roman" w:hAnsi="Times New Roman" w:cs="Times New Roman"/>
          <w:sz w:val="24"/>
          <w:szCs w:val="24"/>
          <w:lang w:val="en-US"/>
        </w:rPr>
        <w:t>,</w:t>
      </w:r>
      <w:r w:rsidR="00C7330C"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 xml:space="preserve">abstracts, </w:t>
      </w:r>
      <w:r w:rsidR="00C7330C">
        <w:rPr>
          <w:rFonts w:ascii="Times New Roman" w:hAnsi="Times New Roman" w:cs="Times New Roman"/>
          <w:sz w:val="24"/>
          <w:szCs w:val="24"/>
          <w:lang w:val="en-US"/>
        </w:rPr>
        <w:t xml:space="preserve">and </w:t>
      </w:r>
      <w:r w:rsidRPr="75A96201">
        <w:rPr>
          <w:rFonts w:ascii="Times New Roman" w:hAnsi="Times New Roman" w:cs="Times New Roman"/>
          <w:sz w:val="24"/>
          <w:szCs w:val="24"/>
          <w:lang w:val="en-US"/>
        </w:rPr>
        <w:t>keywords)</w:t>
      </w:r>
      <w:r>
        <w:rPr>
          <w:rFonts w:ascii="Times New Roman" w:hAnsi="Times New Roman" w:cs="Times New Roman"/>
          <w:sz w:val="24"/>
          <w:szCs w:val="24"/>
          <w:lang w:val="en-US"/>
        </w:rPr>
        <w:t>.</w:t>
      </w:r>
      <w:r w:rsidR="00BB6226" w:rsidRPr="00806697">
        <w:rPr>
          <w:rFonts w:ascii="Times New Roman" w:hAnsi="Times New Roman" w:cs="Times New Roman"/>
          <w:sz w:val="24"/>
          <w:szCs w:val="24"/>
          <w:lang w:val="en-US"/>
        </w:rPr>
        <w:t xml:space="preserve"> </w:t>
      </w:r>
      <w:r>
        <w:rPr>
          <w:rFonts w:ascii="Times New Roman" w:hAnsi="Times New Roman" w:cs="Times New Roman"/>
          <w:sz w:val="24"/>
          <w:szCs w:val="24"/>
          <w:lang w:val="en-US"/>
        </w:rPr>
        <w:t>Instead</w:t>
      </w:r>
      <w:r w:rsidR="00BB6226" w:rsidRPr="00806697">
        <w:rPr>
          <w:rFonts w:ascii="Times New Roman" w:hAnsi="Times New Roman" w:cs="Times New Roman"/>
          <w:sz w:val="24"/>
          <w:szCs w:val="24"/>
          <w:lang w:val="en-US"/>
        </w:rPr>
        <w:t xml:space="preserve">, </w:t>
      </w:r>
      <w:r w:rsidR="00C7330C">
        <w:rPr>
          <w:rFonts w:ascii="Times New Roman" w:hAnsi="Times New Roman" w:cs="Times New Roman"/>
          <w:sz w:val="24"/>
          <w:szCs w:val="24"/>
          <w:lang w:val="en-US"/>
        </w:rPr>
        <w:t>considering</w:t>
      </w:r>
      <w:r w:rsidR="00BB6226" w:rsidRPr="00806697">
        <w:rPr>
          <w:rFonts w:ascii="Times New Roman" w:hAnsi="Times New Roman" w:cs="Times New Roman"/>
          <w:sz w:val="24"/>
          <w:szCs w:val="24"/>
          <w:lang w:val="en-US"/>
        </w:rPr>
        <w:t xml:space="preserve"> the novelty of the MSPs topic in </w:t>
      </w:r>
      <w:r w:rsidR="00F2799B">
        <w:rPr>
          <w:rFonts w:ascii="Times New Roman" w:hAnsi="Times New Roman" w:cs="Times New Roman"/>
          <w:sz w:val="24"/>
          <w:szCs w:val="24"/>
          <w:lang w:val="en-US"/>
        </w:rPr>
        <w:t>relation with</w:t>
      </w:r>
      <w:r w:rsidR="00BB6226" w:rsidRPr="00806697">
        <w:rPr>
          <w:rFonts w:ascii="Times New Roman" w:hAnsi="Times New Roman" w:cs="Times New Roman"/>
          <w:sz w:val="24"/>
          <w:szCs w:val="24"/>
          <w:lang w:val="en-US"/>
        </w:rPr>
        <w:t xml:space="preserve"> </w:t>
      </w:r>
      <w:r w:rsidR="00F2799B">
        <w:rPr>
          <w:rFonts w:ascii="Times New Roman" w:hAnsi="Times New Roman" w:cs="Times New Roman"/>
          <w:sz w:val="24"/>
          <w:szCs w:val="24"/>
          <w:lang w:val="en-US"/>
        </w:rPr>
        <w:t>CBMs/</w:t>
      </w:r>
      <w:r w:rsidR="00BB6226" w:rsidRPr="00806697">
        <w:rPr>
          <w:rFonts w:ascii="Times New Roman" w:hAnsi="Times New Roman" w:cs="Times New Roman"/>
          <w:sz w:val="24"/>
          <w:szCs w:val="24"/>
          <w:lang w:val="en-US"/>
        </w:rPr>
        <w:t>C</w:t>
      </w:r>
      <w:r w:rsidR="003F2C92">
        <w:rPr>
          <w:rFonts w:ascii="Times New Roman" w:hAnsi="Times New Roman" w:cs="Times New Roman"/>
          <w:sz w:val="24"/>
          <w:szCs w:val="24"/>
          <w:lang w:val="en-US"/>
        </w:rPr>
        <w:t>SC</w:t>
      </w:r>
      <w:r w:rsidR="00F2799B">
        <w:rPr>
          <w:rFonts w:ascii="Times New Roman" w:hAnsi="Times New Roman" w:cs="Times New Roman"/>
          <w:sz w:val="24"/>
          <w:szCs w:val="24"/>
          <w:lang w:val="en-US"/>
        </w:rPr>
        <w:t>s</w:t>
      </w:r>
      <w:r w:rsidR="00BB6226" w:rsidRPr="00806697">
        <w:rPr>
          <w:rFonts w:ascii="Times New Roman" w:hAnsi="Times New Roman" w:cs="Times New Roman"/>
          <w:sz w:val="24"/>
          <w:szCs w:val="24"/>
          <w:lang w:val="en-US"/>
        </w:rPr>
        <w:t xml:space="preserve"> within academia, </w:t>
      </w:r>
      <w:r w:rsidR="00BB6226">
        <w:rPr>
          <w:rFonts w:ascii="Times New Roman" w:hAnsi="Times New Roman" w:cs="Times New Roman"/>
          <w:sz w:val="24"/>
          <w:szCs w:val="24"/>
          <w:lang w:val="en-US"/>
        </w:rPr>
        <w:t xml:space="preserve">experts were chosen among </w:t>
      </w:r>
      <w:r w:rsidR="00BB6226" w:rsidRPr="00806697">
        <w:rPr>
          <w:rFonts w:ascii="Times New Roman" w:hAnsi="Times New Roman" w:cs="Times New Roman"/>
          <w:sz w:val="24"/>
          <w:szCs w:val="24"/>
          <w:lang w:val="en-US"/>
        </w:rPr>
        <w:t xml:space="preserve">practitioners </w:t>
      </w:r>
      <w:r w:rsidR="007D52BB">
        <w:rPr>
          <w:rFonts w:ascii="Times New Roman" w:hAnsi="Times New Roman" w:cs="Times New Roman"/>
          <w:sz w:val="24"/>
          <w:szCs w:val="24"/>
          <w:lang w:val="en-US"/>
        </w:rPr>
        <w:t>dealing with MSPs</w:t>
      </w:r>
      <w:r w:rsidR="003F2C92">
        <w:rPr>
          <w:rFonts w:ascii="Times New Roman" w:hAnsi="Times New Roman" w:cs="Times New Roman"/>
          <w:sz w:val="24"/>
          <w:szCs w:val="24"/>
          <w:lang w:val="en-US"/>
        </w:rPr>
        <w:t xml:space="preserve"> </w:t>
      </w:r>
      <w:r w:rsidR="00F2799B">
        <w:rPr>
          <w:rFonts w:ascii="Times New Roman" w:hAnsi="Times New Roman" w:cs="Times New Roman"/>
          <w:sz w:val="24"/>
          <w:szCs w:val="24"/>
          <w:lang w:val="en-US"/>
        </w:rPr>
        <w:t>enabling CBMs/</w:t>
      </w:r>
      <w:r w:rsidR="00F2799B" w:rsidRPr="00806697">
        <w:rPr>
          <w:rFonts w:ascii="Times New Roman" w:hAnsi="Times New Roman" w:cs="Times New Roman"/>
          <w:sz w:val="24"/>
          <w:szCs w:val="24"/>
          <w:lang w:val="en-US"/>
        </w:rPr>
        <w:t>C</w:t>
      </w:r>
      <w:r w:rsidR="00F2799B">
        <w:rPr>
          <w:rFonts w:ascii="Times New Roman" w:hAnsi="Times New Roman" w:cs="Times New Roman"/>
          <w:sz w:val="24"/>
          <w:szCs w:val="24"/>
          <w:lang w:val="en-US"/>
        </w:rPr>
        <w:t>SCs</w:t>
      </w:r>
      <w:r>
        <w:rPr>
          <w:rFonts w:ascii="Times New Roman" w:hAnsi="Times New Roman" w:cs="Times New Roman"/>
          <w:sz w:val="24"/>
          <w:szCs w:val="24"/>
          <w:lang w:val="en-US"/>
        </w:rPr>
        <w:t xml:space="preserve">, by </w:t>
      </w:r>
      <w:r w:rsidRPr="75A96201">
        <w:rPr>
          <w:rFonts w:ascii="Times New Roman" w:hAnsi="Times New Roman" w:cs="Times New Roman"/>
          <w:sz w:val="24"/>
          <w:szCs w:val="24"/>
          <w:lang w:val="en-US"/>
        </w:rPr>
        <w:t xml:space="preserve">scouting practitioner-oriented newspapers or databases </w:t>
      </w:r>
      <w:r w:rsidR="00F2799B">
        <w:rPr>
          <w:rFonts w:ascii="Times New Roman" w:hAnsi="Times New Roman" w:cs="Times New Roman"/>
          <w:sz w:val="24"/>
          <w:szCs w:val="24"/>
          <w:lang w:val="en-US"/>
        </w:rPr>
        <w:t xml:space="preserve">addressing </w:t>
      </w:r>
      <w:r w:rsidR="00F2799B" w:rsidRPr="75A96201">
        <w:rPr>
          <w:rFonts w:ascii="Times New Roman" w:hAnsi="Times New Roman" w:cs="Times New Roman"/>
          <w:sz w:val="24"/>
          <w:szCs w:val="24"/>
          <w:lang w:val="en-US"/>
        </w:rPr>
        <w:t>(even if not limited to)</w:t>
      </w:r>
      <w:r w:rsidR="00F2799B">
        <w:rPr>
          <w:rFonts w:ascii="Times New Roman" w:hAnsi="Times New Roman" w:cs="Times New Roman"/>
          <w:sz w:val="24"/>
          <w:szCs w:val="24"/>
          <w:lang w:val="en-US"/>
        </w:rPr>
        <w:t xml:space="preserve"> </w:t>
      </w:r>
      <w:r w:rsidR="00F2799B" w:rsidRPr="75A96201">
        <w:rPr>
          <w:rFonts w:ascii="Times New Roman" w:hAnsi="Times New Roman" w:cs="Times New Roman"/>
          <w:sz w:val="24"/>
          <w:szCs w:val="24"/>
          <w:lang w:val="en-US"/>
        </w:rPr>
        <w:t>th</w:t>
      </w:r>
      <w:r w:rsidR="00F2799B">
        <w:rPr>
          <w:rFonts w:ascii="Times New Roman" w:hAnsi="Times New Roman" w:cs="Times New Roman"/>
          <w:sz w:val="24"/>
          <w:szCs w:val="24"/>
          <w:lang w:val="en-US"/>
        </w:rPr>
        <w:t>is</w:t>
      </w:r>
      <w:r w:rsidR="00F2799B"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 xml:space="preserve">topic, such as TechCrunch or CrunchBase. </w:t>
      </w:r>
    </w:p>
    <w:p w14:paraId="154042B4" w14:textId="33582487" w:rsidR="00B93D26" w:rsidRPr="00F77FF5" w:rsidRDefault="00585D86" w:rsidP="00B70C57">
      <w:pPr>
        <w:spacing w:after="0" w:line="36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Overall, </w:t>
      </w:r>
      <w:r w:rsidR="00F0060F">
        <w:rPr>
          <w:rFonts w:ascii="Times New Roman" w:hAnsi="Times New Roman" w:cs="Times New Roman"/>
          <w:sz w:val="24"/>
          <w:szCs w:val="24"/>
          <w:lang w:val="en-US"/>
        </w:rPr>
        <w:t xml:space="preserve">more than 50 </w:t>
      </w:r>
      <w:r>
        <w:rPr>
          <w:rFonts w:ascii="Times New Roman" w:hAnsi="Times New Roman" w:cs="Times New Roman"/>
          <w:sz w:val="24"/>
          <w:szCs w:val="24"/>
          <w:lang w:val="en-US"/>
        </w:rPr>
        <w:t xml:space="preserve">experts </w:t>
      </w:r>
      <w:r w:rsidR="00F0060F">
        <w:rPr>
          <w:rFonts w:ascii="Times New Roman" w:hAnsi="Times New Roman" w:cs="Times New Roman"/>
          <w:sz w:val="24"/>
          <w:szCs w:val="24"/>
          <w:lang w:val="en-US"/>
        </w:rPr>
        <w:t xml:space="preserve">among scholars and practitioners </w:t>
      </w:r>
      <w:r>
        <w:rPr>
          <w:rFonts w:ascii="Times New Roman" w:hAnsi="Times New Roman" w:cs="Times New Roman"/>
          <w:sz w:val="24"/>
          <w:szCs w:val="24"/>
          <w:lang w:val="en-US"/>
        </w:rPr>
        <w:t>were</w:t>
      </w:r>
      <w:r w:rsidR="00853950">
        <w:rPr>
          <w:rFonts w:ascii="Times New Roman" w:hAnsi="Times New Roman" w:cs="Times New Roman"/>
          <w:sz w:val="24"/>
          <w:szCs w:val="24"/>
          <w:lang w:val="en-US"/>
        </w:rPr>
        <w:t xml:space="preserve"> identified in accordance with the above-mentioned search criteria</w:t>
      </w:r>
      <w:r w:rsidR="00014069">
        <w:rPr>
          <w:rFonts w:ascii="Times New Roman" w:hAnsi="Times New Roman" w:cs="Times New Roman"/>
          <w:sz w:val="24"/>
          <w:szCs w:val="24"/>
          <w:lang w:val="en-US"/>
        </w:rPr>
        <w:t xml:space="preserve"> and</w:t>
      </w:r>
      <w:r>
        <w:rPr>
          <w:rFonts w:ascii="Times New Roman" w:hAnsi="Times New Roman" w:cs="Times New Roman"/>
          <w:sz w:val="24"/>
          <w:szCs w:val="24"/>
          <w:lang w:val="en-US"/>
        </w:rPr>
        <w:t xml:space="preserve"> then</w:t>
      </w:r>
      <w:r w:rsidR="00CC0BAD">
        <w:rPr>
          <w:rFonts w:ascii="Times New Roman" w:hAnsi="Times New Roman" w:cs="Times New Roman"/>
          <w:sz w:val="24"/>
          <w:szCs w:val="24"/>
          <w:lang w:val="en-US"/>
        </w:rPr>
        <w:t xml:space="preserve"> contacted by email or phone to check the availability to be involved in the research.</w:t>
      </w:r>
      <w:r w:rsidRPr="75A96201">
        <w:rPr>
          <w:rFonts w:ascii="Times New Roman" w:hAnsi="Times New Roman" w:cs="Times New Roman"/>
          <w:sz w:val="24"/>
          <w:szCs w:val="24"/>
          <w:lang w:val="en-US"/>
        </w:rPr>
        <w:t xml:space="preserve"> The final panel included six experts, i.e., three scholars and three practitioners </w:t>
      </w:r>
      <w:r w:rsidR="00363215">
        <w:rPr>
          <w:rFonts w:ascii="Times New Roman" w:hAnsi="Times New Roman" w:cs="Times New Roman"/>
          <w:sz w:val="24"/>
          <w:szCs w:val="24"/>
          <w:lang w:val="en-US"/>
        </w:rPr>
        <w:t xml:space="preserve">(see Appendix 1 for further details about the involved experts). </w:t>
      </w:r>
      <w:r w:rsidR="00CC0BAD" w:rsidRPr="00CC0BAD">
        <w:rPr>
          <w:rFonts w:ascii="Times New Roman" w:hAnsi="Times New Roman" w:cs="Times New Roman"/>
          <w:sz w:val="24"/>
          <w:szCs w:val="24"/>
          <w:lang w:val="en-US"/>
        </w:rPr>
        <w:t xml:space="preserve">Although existing research recommends to involve among </w:t>
      </w:r>
      <w:r w:rsidR="00853950">
        <w:rPr>
          <w:rFonts w:ascii="Times New Roman" w:hAnsi="Times New Roman" w:cs="Times New Roman"/>
          <w:sz w:val="24"/>
          <w:szCs w:val="24"/>
          <w:lang w:val="en-US"/>
        </w:rPr>
        <w:t>ten</w:t>
      </w:r>
      <w:r w:rsidR="00CC0BAD" w:rsidRPr="00CC0BAD">
        <w:rPr>
          <w:rFonts w:ascii="Times New Roman" w:hAnsi="Times New Roman" w:cs="Times New Roman"/>
          <w:sz w:val="24"/>
          <w:szCs w:val="24"/>
          <w:lang w:val="en-US"/>
        </w:rPr>
        <w:t xml:space="preserve"> and 18 experts</w:t>
      </w:r>
      <w:r w:rsidR="00CC0BAD">
        <w:rPr>
          <w:rFonts w:ascii="Times New Roman" w:hAnsi="Times New Roman" w:cs="Times New Roman"/>
          <w:sz w:val="24"/>
          <w:szCs w:val="24"/>
          <w:lang w:val="en-US"/>
        </w:rPr>
        <w:t xml:space="preserve"> </w:t>
      </w:r>
      <w:r w:rsidR="00CC0BAD" w:rsidRPr="75A96201">
        <w:rPr>
          <w:rFonts w:ascii="Times New Roman" w:hAnsi="Times New Roman" w:cs="Times New Roman"/>
          <w:sz w:val="24"/>
          <w:szCs w:val="24"/>
          <w:lang w:val="en-GB"/>
        </w:rPr>
        <w:fldChar w:fldCharType="begin" w:fldLock="1"/>
      </w:r>
      <w:r w:rsidR="00CC0BAD" w:rsidRPr="75A96201">
        <w:rPr>
          <w:rFonts w:ascii="Times New Roman" w:hAnsi="Times New Roman" w:cs="Times New Roman"/>
          <w:sz w:val="24"/>
          <w:szCs w:val="24"/>
          <w:lang w:val="en-GB"/>
        </w:rPr>
        <w:instrText>ADDIN CSL_CITATION {"citationItems":[{"id":"ITEM-1","itemData":{"DOI":"10.1016/J.IM.2003.11.002","ISSN":"0378-7206","abstract":"The Delphi method has proven a popular tool in information systems research for identifying and prioritizing issues for managerial decision-making. However, many past studies have not adopted a systematic approach to conduct a Delphi study. This article provides rigorous guidelines for the process of selecting appropriate experts for the study and gives detailed principles for making design choices during the process that ensure a valid study. A detailed example of a study to identify key factors affecting the diffusion of e-commerce in Sub-Saharan Africa illustrates the design choices that may be involved. We conclude with suggestions for theoretical applications. © 2004 Elsevier B.V. All rights reserved.","author":[{"dropping-particle":"","family":"Okoli","given":"Chitu","non-dropping-particle":"","parse-names":false,"suffix":""},{"dropping-particle":"","family":"Pawlowski","given":"Suanne D.","non-dropping-particle":"","parse-names":false,"suffix":""}],"container-title":"Information &amp; Management","id":"ITEM-1","issue":"1","issued":{"date-parts":[["2004","12","1"]]},"page":"15-29","publisher":"North-Holland","title":"The Delphi method as a research tool: an example, design considerations and applications","type":"article-journal","volume":"42"},"uris":["http://www.mendeley.com/documents/?uuid=2896dfd1-6986-3fae-9edf-bea4f69c2c0e"]}],"mendeley":{"formattedCitation":"(Okoli &amp; Pawlowski, 2004)","plainTextFormattedCitation":"(Okoli &amp; Pawlowski, 2004)","previouslyFormattedCitation":"(Okoli &amp; Pawlowski, 2004)"},"properties":{"noteIndex":0},"schema":"https://github.com/citation-style-language/schema/raw/master/csl-citation.json"}</w:instrText>
      </w:r>
      <w:r w:rsidR="00CC0BAD" w:rsidRPr="75A96201">
        <w:rPr>
          <w:rFonts w:ascii="Times New Roman" w:hAnsi="Times New Roman" w:cs="Times New Roman"/>
          <w:sz w:val="24"/>
          <w:szCs w:val="24"/>
          <w:lang w:val="en-GB"/>
        </w:rPr>
        <w:fldChar w:fldCharType="separate"/>
      </w:r>
      <w:r w:rsidR="00CC0BAD" w:rsidRPr="75A96201">
        <w:rPr>
          <w:rFonts w:ascii="Times New Roman" w:hAnsi="Times New Roman" w:cs="Times New Roman"/>
          <w:noProof/>
          <w:sz w:val="24"/>
          <w:szCs w:val="24"/>
          <w:lang w:val="en-GB"/>
        </w:rPr>
        <w:t>(Okoli &amp; Pawlowski, 2004)</w:t>
      </w:r>
      <w:r w:rsidR="00CC0BAD" w:rsidRPr="75A96201">
        <w:rPr>
          <w:rFonts w:ascii="Times New Roman" w:hAnsi="Times New Roman" w:cs="Times New Roman"/>
          <w:sz w:val="24"/>
          <w:szCs w:val="24"/>
          <w:lang w:val="en-GB"/>
        </w:rPr>
        <w:fldChar w:fldCharType="end"/>
      </w:r>
      <w:r w:rsidR="00CC0BAD" w:rsidRPr="00CC0BAD">
        <w:rPr>
          <w:rFonts w:ascii="Times New Roman" w:hAnsi="Times New Roman" w:cs="Times New Roman"/>
          <w:sz w:val="24"/>
          <w:szCs w:val="24"/>
          <w:lang w:val="en-US"/>
        </w:rPr>
        <w:t xml:space="preserve">, the </w:t>
      </w:r>
      <w:r w:rsidR="00CC0BAD">
        <w:rPr>
          <w:rFonts w:ascii="Times New Roman" w:hAnsi="Times New Roman" w:cs="Times New Roman"/>
          <w:sz w:val="24"/>
          <w:szCs w:val="24"/>
          <w:lang w:val="en-US"/>
        </w:rPr>
        <w:t xml:space="preserve">emerging nature of the research </w:t>
      </w:r>
      <w:r w:rsidR="00CC0BAD" w:rsidRPr="00CC0BAD">
        <w:rPr>
          <w:rFonts w:ascii="Times New Roman" w:hAnsi="Times New Roman" w:cs="Times New Roman"/>
          <w:sz w:val="24"/>
          <w:szCs w:val="24"/>
          <w:lang w:val="en-US"/>
        </w:rPr>
        <w:t>topic justif</w:t>
      </w:r>
      <w:r w:rsidR="00CC0BAD">
        <w:rPr>
          <w:rFonts w:ascii="Times New Roman" w:hAnsi="Times New Roman" w:cs="Times New Roman"/>
          <w:sz w:val="24"/>
          <w:szCs w:val="24"/>
          <w:lang w:val="en-US"/>
        </w:rPr>
        <w:t>ies</w:t>
      </w:r>
      <w:r w:rsidR="00CC0BAD" w:rsidRPr="00CC0BAD">
        <w:rPr>
          <w:rFonts w:ascii="Times New Roman" w:hAnsi="Times New Roman" w:cs="Times New Roman"/>
          <w:sz w:val="24"/>
          <w:szCs w:val="24"/>
          <w:lang w:val="en-US"/>
        </w:rPr>
        <w:t xml:space="preserve"> a slightly</w:t>
      </w:r>
      <w:r w:rsidR="00CC0BAD">
        <w:rPr>
          <w:rFonts w:ascii="Times New Roman" w:hAnsi="Times New Roman" w:cs="Times New Roman"/>
          <w:sz w:val="24"/>
          <w:szCs w:val="24"/>
          <w:lang w:val="en-US"/>
        </w:rPr>
        <w:t xml:space="preserve"> </w:t>
      </w:r>
      <w:r w:rsidR="00CC0BAD" w:rsidRPr="00CC0BAD">
        <w:rPr>
          <w:rFonts w:ascii="Times New Roman" w:hAnsi="Times New Roman" w:cs="Times New Roman"/>
          <w:sz w:val="24"/>
          <w:szCs w:val="24"/>
          <w:lang w:val="en-US"/>
        </w:rPr>
        <w:t xml:space="preserve">smaller number of </w:t>
      </w:r>
      <w:r w:rsidR="00CC0BAD">
        <w:rPr>
          <w:rFonts w:ascii="Times New Roman" w:hAnsi="Times New Roman" w:cs="Times New Roman"/>
          <w:sz w:val="24"/>
          <w:szCs w:val="24"/>
          <w:lang w:val="en-US"/>
        </w:rPr>
        <w:t>experts</w:t>
      </w:r>
      <w:r w:rsidR="00CC0BAD" w:rsidRPr="00CC0BAD">
        <w:rPr>
          <w:rFonts w:ascii="Times New Roman" w:hAnsi="Times New Roman" w:cs="Times New Roman"/>
          <w:sz w:val="24"/>
          <w:szCs w:val="24"/>
          <w:lang w:val="en-US"/>
        </w:rPr>
        <w:t xml:space="preserve"> involved</w:t>
      </w:r>
      <w:r w:rsidR="00CC0BAD">
        <w:rPr>
          <w:rFonts w:ascii="Times New Roman" w:hAnsi="Times New Roman" w:cs="Times New Roman"/>
          <w:sz w:val="24"/>
          <w:szCs w:val="24"/>
          <w:lang w:val="en-US"/>
        </w:rPr>
        <w:t xml:space="preserve"> </w:t>
      </w:r>
      <w:r w:rsidR="00247672">
        <w:rPr>
          <w:rFonts w:ascii="Times New Roman" w:hAnsi="Times New Roman" w:cs="Times New Roman"/>
          <w:sz w:val="24"/>
          <w:szCs w:val="24"/>
          <w:lang w:val="en-US"/>
        </w:rPr>
        <w:fldChar w:fldCharType="begin" w:fldLock="1"/>
      </w:r>
      <w:r w:rsidR="00247672">
        <w:rPr>
          <w:rFonts w:ascii="Times New Roman" w:hAnsi="Times New Roman" w:cs="Times New Roman"/>
          <w:sz w:val="24"/>
          <w:szCs w:val="24"/>
          <w:lang w:val="en-US"/>
        </w:rPr>
        <w:instrText>ADDIN CSL_CITATION {"citationItems":[{"id":"ITEM-1","itemData":{"DOI":"10.1016/j.jclepro.2017.09.047","ISSN":"09596526","abstract":"Circular Economy has undoubtedly become one of the hot topics in public debates about new and more sustainable industrial paradigms and strategies. In this respect, the fashion of Circular Economy is in the fact that it aims at overcoming the dominant linear take, make, disposal economy model, i.e. “a traditional open-ended economy model developed with no built-in tendency to recycle, which is reflected by treating the environment as a waste reservoir” (Su et al., 2013). Circular Economy, indeed, bases on the establishment of closed production systems, where resources are reused and kept in a loop of production and usage, allowing generating more value and for a longer period. Despite the interest for Circular Economy by politicians and practitioners, scholars, particularly in the strategic management field, are still struggling with a lack of a framework explaining how companies willing to become circular adapt their existing business model or create a new one. By extensively reviewing, through the lens of business model literature, the extant contributions on Circular Economy, we propose a taxonomy of Circular Economy Business Models based on the degree of adoption of circularity along two major dimensions: (i) the customer value proposition &amp; interface, i.e. the implementation of the circularity concept in proposing value to customers; (ii) the value network, i.e. the ways through which interacting with suppliers and reorganizing the own internal activities. The taxonomy is then initially tested through some explorative case studies, showing in practice the ability of the framework to properly distinguish different modes of adoption of Circular Economy.","author":[{"dropping-particle":"","family":"Urbinati","given":"Andrea","non-dropping-particle":"","parse-names":false,"suffix":""},{"dropping-particle":"","family":"Chiaroni","given":"Davide","non-dropping-particle":"","parse-names":false,"suffix":""},{"dropping-particle":"","family":"Chiesa","given":"Vittorio","non-dropping-particle":"","parse-names":false,"suffix":""}],"container-title":"Journal of Cleaner Production","id":"ITEM-1","issued":{"date-parts":[["2017"]]},"page":"487-498","publisher":"Elsevier Ltd","title":"Towards a new taxonomy of circular economy business models","type":"article-journal","volume":"168"},"uris":["http://www.mendeley.com/documents/?uuid=affcec8e-daa4-4ba9-90f7-af52e9f84621"]}],"mendeley":{"formattedCitation":"(Urbinati et al., 2017)","plainTextFormattedCitation":"(Urbinati et al., 2017)"},"properties":{"noteIndex":0},"schema":"https://github.com/citation-style-language/schema/raw/master/csl-citation.json"}</w:instrText>
      </w:r>
      <w:r w:rsidR="00247672">
        <w:rPr>
          <w:rFonts w:ascii="Times New Roman" w:hAnsi="Times New Roman" w:cs="Times New Roman"/>
          <w:sz w:val="24"/>
          <w:szCs w:val="24"/>
          <w:lang w:val="en-US"/>
        </w:rPr>
        <w:fldChar w:fldCharType="separate"/>
      </w:r>
      <w:r w:rsidR="00247672" w:rsidRPr="00247672">
        <w:rPr>
          <w:rFonts w:ascii="Times New Roman" w:hAnsi="Times New Roman" w:cs="Times New Roman"/>
          <w:noProof/>
          <w:sz w:val="24"/>
          <w:szCs w:val="24"/>
          <w:lang w:val="en-US"/>
        </w:rPr>
        <w:t>(Urbinati et al., 2017)</w:t>
      </w:r>
      <w:r w:rsidR="00247672">
        <w:rPr>
          <w:rFonts w:ascii="Times New Roman" w:hAnsi="Times New Roman" w:cs="Times New Roman"/>
          <w:sz w:val="24"/>
          <w:szCs w:val="24"/>
          <w:lang w:val="en-US"/>
        </w:rPr>
        <w:fldChar w:fldCharType="end"/>
      </w:r>
      <w:r w:rsidR="00CC0BAD">
        <w:rPr>
          <w:rFonts w:ascii="Times New Roman" w:hAnsi="Times New Roman" w:cs="Times New Roman"/>
          <w:sz w:val="24"/>
          <w:szCs w:val="24"/>
          <w:lang w:val="en-US"/>
        </w:rPr>
        <w:t>.</w:t>
      </w:r>
      <w:r w:rsidR="00DF40A2">
        <w:rPr>
          <w:rFonts w:ascii="Times New Roman" w:hAnsi="Times New Roman" w:cs="Times New Roman"/>
          <w:sz w:val="24"/>
          <w:szCs w:val="24"/>
          <w:lang w:val="en-US"/>
        </w:rPr>
        <w:t xml:space="preserve"> </w:t>
      </w:r>
    </w:p>
    <w:p w14:paraId="5D4BB733" w14:textId="5EC8219A" w:rsidR="00B93D26" w:rsidRDefault="00000000" w:rsidP="00E9324B">
      <w:pPr>
        <w:spacing w:after="0" w:line="36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To identify </w:t>
      </w:r>
      <w:r w:rsidRPr="00463171">
        <w:rPr>
          <w:rFonts w:ascii="Times New Roman" w:hAnsi="Times New Roman" w:cs="Times New Roman"/>
          <w:sz w:val="24"/>
          <w:szCs w:val="24"/>
          <w:lang w:val="en-GB"/>
        </w:rPr>
        <w:t>MSPs</w:t>
      </w:r>
      <w:r>
        <w:rPr>
          <w:rFonts w:ascii="Times New Roman" w:hAnsi="Times New Roman" w:cs="Times New Roman"/>
          <w:sz w:val="24"/>
          <w:szCs w:val="24"/>
          <w:lang w:val="en-GB"/>
        </w:rPr>
        <w:t xml:space="preserve"> to be investigated, it was decided to focus on start-ups.</w:t>
      </w:r>
      <w:r w:rsidRPr="000635EA">
        <w:rPr>
          <w:rFonts w:ascii="Times New Roman" w:hAnsi="Times New Roman" w:cs="Times New Roman"/>
          <w:sz w:val="24"/>
          <w:szCs w:val="24"/>
          <w:lang w:val="en-US"/>
        </w:rPr>
        <w:t xml:space="preserve"> </w:t>
      </w:r>
      <w:r>
        <w:rPr>
          <w:rFonts w:ascii="Times New Roman" w:hAnsi="Times New Roman" w:cs="Times New Roman"/>
          <w:sz w:val="24"/>
          <w:szCs w:val="24"/>
          <w:lang w:val="en-US"/>
        </w:rPr>
        <w:t>Theoretically</w:t>
      </w:r>
      <w:r w:rsidRPr="000635EA">
        <w:rPr>
          <w:rFonts w:ascii="Times New Roman" w:hAnsi="Times New Roman" w:cs="Times New Roman"/>
          <w:sz w:val="24"/>
          <w:szCs w:val="24"/>
          <w:lang w:val="en-US"/>
        </w:rPr>
        <w:t xml:space="preserve">, CE pioneers </w:t>
      </w:r>
      <w:r>
        <w:rPr>
          <w:rFonts w:ascii="Times New Roman" w:hAnsi="Times New Roman" w:cs="Times New Roman"/>
          <w:sz w:val="24"/>
          <w:szCs w:val="24"/>
          <w:lang w:val="en-US"/>
        </w:rPr>
        <w:t>can</w:t>
      </w:r>
      <w:r w:rsidRPr="000635EA">
        <w:rPr>
          <w:rFonts w:ascii="Times New Roman" w:hAnsi="Times New Roman" w:cs="Times New Roman"/>
          <w:sz w:val="24"/>
          <w:szCs w:val="24"/>
          <w:lang w:val="en-US"/>
        </w:rPr>
        <w:t xml:space="preserve"> be</w:t>
      </w:r>
      <w:r>
        <w:rPr>
          <w:rFonts w:ascii="Times New Roman" w:hAnsi="Times New Roman" w:cs="Times New Roman"/>
          <w:sz w:val="24"/>
          <w:szCs w:val="24"/>
          <w:lang w:val="en-US"/>
        </w:rPr>
        <w:t xml:space="preserve"> both</w:t>
      </w:r>
      <w:r w:rsidRPr="000635EA">
        <w:rPr>
          <w:rFonts w:ascii="Times New Roman" w:hAnsi="Times New Roman" w:cs="Times New Roman"/>
          <w:sz w:val="24"/>
          <w:szCs w:val="24"/>
          <w:lang w:val="en-US"/>
        </w:rPr>
        <w:t xml:space="preserve"> start-ups as well as </w:t>
      </w:r>
      <w:r>
        <w:rPr>
          <w:rFonts w:ascii="Times New Roman" w:hAnsi="Times New Roman" w:cs="Times New Roman"/>
          <w:sz w:val="24"/>
          <w:szCs w:val="24"/>
          <w:lang w:val="en-US"/>
        </w:rPr>
        <w:t xml:space="preserve">large, </w:t>
      </w:r>
      <w:r w:rsidRPr="000635EA">
        <w:rPr>
          <w:rFonts w:ascii="Times New Roman" w:hAnsi="Times New Roman" w:cs="Times New Roman"/>
          <w:sz w:val="24"/>
          <w:szCs w:val="24"/>
          <w:lang w:val="en-US"/>
        </w:rPr>
        <w:t>incumbent</w:t>
      </w:r>
      <w:r>
        <w:rPr>
          <w:rFonts w:ascii="Times New Roman" w:hAnsi="Times New Roman" w:cs="Times New Roman"/>
          <w:sz w:val="24"/>
          <w:szCs w:val="24"/>
          <w:lang w:val="en-US"/>
        </w:rPr>
        <w:t xml:space="preserve"> companie</w:t>
      </w:r>
      <w:r w:rsidRPr="000635EA">
        <w:rPr>
          <w:rFonts w:ascii="Times New Roman" w:hAnsi="Times New Roman" w:cs="Times New Roman"/>
          <w:sz w:val="24"/>
          <w:szCs w:val="24"/>
          <w:lang w:val="en-US"/>
        </w:rPr>
        <w:t xml:space="preserve">s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{"citationItems":[{"id":"ITEM-1","itemData":{"DOI":"10.1016/J.JCLEPRO.2016.10.130","ISSN":"0959-6526","abstract":"Implementing practices for a circular economy transforms the way companies do business, notably in the manufacturing industry. However, a circular economy requires a transformation of both production and consumption systems; the standard approach for creation, fabrication, and commerce of products is challenged. Authors repeatedly call for the development of new proficiencies to attend to system transformations, but these so far have not been described for design and engineering. Given that the design of a product directly influences the way a value chain will be managed, building circular, globally sustainable value chains inevitably signifies a fundamental change in the practice of design. Comprehensive analyses were conducted on case studies from a variety of multinational enterprises that are transforming their product strategies for climate change. Changes in design processes were identified, revealing a growing necessity for industry to employ new proficiencies that support closure of material loops. This paper contributes to existing literature by depicting successful practices being implemented in industry. A variety of new capabilities are key to design for a sustainable future; these range from deeper knowledge of material composition to rich understanding of social behaviour. Resulting from this research, learning goals are proposed to serve as guidance for manufacturing companies seeking to tackle climate change. Conclusions aim to encourage researchers and academics to respond to emerging needs by re-thinking education in design and engineering.","author":[{"dropping-particle":"","family":"los Rios","given":"Irel Carolina","non-dropping-particle":"De","parse-names":false,"suffix":""},{"dropping-particle":"","family":"Charnley","given":"Fiona J.S.","non-dropping-particle":"","parse-names":false,"suffix":""}],"container-title":"Journal of Cleaner Production","id":"ITEM-1","issued":{"date-parts":[["2017","9","1"]]},"page":"109-122","publisher":"Elsevier","title":"Skills and capabilities for a sustainable and circular economy: The changing role of design","type":"article-journal","volume":"160"},"uris":["http://www.mendeley.com/documents/?uuid=70595e48-5941-38b9-8e70-540b0be499d5"]}],"mendeley":{"formattedCitation":"(De los Rios &amp; Charnley, 2017)","plainTextFormattedCitation":"(De los Rios &amp; Charnley, 2017)","previouslyFormattedCitation":"(De los Rios &amp; Charnley, 2017)"},"properties":{"noteIndex":0},"schema":"https://github.com/citation-style-language/schema/raw/master/csl-citation.json"}</w:instrText>
      </w:r>
      <w:r>
        <w:rPr>
          <w:rFonts w:ascii="Times New Roman" w:hAnsi="Times New Roman" w:cs="Times New Roman"/>
          <w:sz w:val="24"/>
          <w:szCs w:val="24"/>
          <w:lang w:val="en-US"/>
        </w:rPr>
        <w:fldChar w:fldCharType="separate"/>
      </w:r>
      <w:r w:rsidRPr="000A47B3">
        <w:rPr>
          <w:rFonts w:ascii="Times New Roman" w:hAnsi="Times New Roman" w:cs="Times New Roman"/>
          <w:noProof/>
          <w:sz w:val="24"/>
          <w:szCs w:val="24"/>
          <w:lang w:val="en-US"/>
        </w:rPr>
        <w:t>(De los Rios &amp; Charnley, 2017)</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However, e</w:t>
      </w:r>
      <w:r w:rsidRPr="000635EA">
        <w:rPr>
          <w:rFonts w:ascii="Times New Roman" w:hAnsi="Times New Roman" w:cs="Times New Roman"/>
          <w:sz w:val="24"/>
          <w:szCs w:val="24"/>
          <w:lang w:val="en-US"/>
        </w:rPr>
        <w:t xml:space="preserve">mpirical evidence </w:t>
      </w:r>
      <w:r>
        <w:rPr>
          <w:rFonts w:ascii="Times New Roman" w:hAnsi="Times New Roman" w:cs="Times New Roman"/>
          <w:sz w:val="24"/>
          <w:szCs w:val="24"/>
          <w:lang w:val="en-US"/>
        </w:rPr>
        <w:t>suggests</w:t>
      </w:r>
      <w:r w:rsidRPr="000635EA">
        <w:rPr>
          <w:rFonts w:ascii="Times New Roman" w:hAnsi="Times New Roman" w:cs="Times New Roman"/>
          <w:sz w:val="24"/>
          <w:szCs w:val="24"/>
          <w:lang w:val="en-US"/>
        </w:rPr>
        <w:t xml:space="preserve"> that incumbents tend to focus on widespread </w:t>
      </w:r>
      <w:r>
        <w:rPr>
          <w:rFonts w:ascii="Times New Roman" w:hAnsi="Times New Roman" w:cs="Times New Roman"/>
          <w:sz w:val="24"/>
          <w:szCs w:val="24"/>
          <w:lang w:val="en-US"/>
        </w:rPr>
        <w:t>managerial practices,</w:t>
      </w:r>
      <w:r w:rsidRPr="000635EA">
        <w:rPr>
          <w:rFonts w:ascii="Times New Roman" w:hAnsi="Times New Roman" w:cs="Times New Roman"/>
          <w:sz w:val="24"/>
          <w:szCs w:val="24"/>
          <w:lang w:val="en-US"/>
        </w:rPr>
        <w:t xml:space="preserve"> </w:t>
      </w:r>
      <w:r>
        <w:rPr>
          <w:rFonts w:ascii="Times New Roman" w:hAnsi="Times New Roman" w:cs="Times New Roman"/>
          <w:sz w:val="24"/>
          <w:szCs w:val="24"/>
          <w:lang w:val="en-US"/>
        </w:rPr>
        <w:t>such as</w:t>
      </w:r>
      <w:r w:rsidRPr="000635EA">
        <w:rPr>
          <w:rFonts w:ascii="Times New Roman" w:hAnsi="Times New Roman" w:cs="Times New Roman"/>
          <w:sz w:val="24"/>
          <w:szCs w:val="24"/>
          <w:lang w:val="en-US"/>
        </w:rPr>
        <w:t xml:space="preserve"> </w:t>
      </w:r>
      <w:r w:rsidR="00C27D54" w:rsidRPr="000635EA">
        <w:rPr>
          <w:rFonts w:ascii="Times New Roman" w:hAnsi="Times New Roman" w:cs="Times New Roman"/>
          <w:sz w:val="24"/>
          <w:szCs w:val="24"/>
          <w:lang w:val="en-US"/>
        </w:rPr>
        <w:t>recycl</w:t>
      </w:r>
      <w:r w:rsidR="00C27D54">
        <w:rPr>
          <w:rFonts w:ascii="Times New Roman" w:hAnsi="Times New Roman" w:cs="Times New Roman"/>
          <w:sz w:val="24"/>
          <w:szCs w:val="24"/>
          <w:lang w:val="en-US"/>
        </w:rPr>
        <w:t>e</w:t>
      </w:r>
      <w:r w:rsidRPr="000635EA">
        <w:rPr>
          <w:rFonts w:ascii="Times New Roman" w:hAnsi="Times New Roman" w:cs="Times New Roman"/>
          <w:sz w:val="24"/>
          <w:szCs w:val="24"/>
          <w:lang w:val="en-US"/>
        </w:rPr>
        <w:t xml:space="preserve">, which do not </w:t>
      </w:r>
      <w:r>
        <w:rPr>
          <w:rFonts w:ascii="Times New Roman" w:hAnsi="Times New Roman" w:cs="Times New Roman"/>
          <w:sz w:val="24"/>
          <w:szCs w:val="24"/>
          <w:lang w:val="en-US"/>
        </w:rPr>
        <w:t>require</w:t>
      </w:r>
      <w:r w:rsidRPr="000635E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 huge </w:t>
      </w:r>
      <w:r w:rsidRPr="000635EA">
        <w:rPr>
          <w:rFonts w:ascii="Times New Roman" w:hAnsi="Times New Roman" w:cs="Times New Roman"/>
          <w:sz w:val="24"/>
          <w:szCs w:val="24"/>
          <w:lang w:val="en-US"/>
        </w:rPr>
        <w:t>shift</w:t>
      </w:r>
      <w:r>
        <w:rPr>
          <w:rFonts w:ascii="Times New Roman" w:hAnsi="Times New Roman" w:cs="Times New Roman"/>
          <w:sz w:val="24"/>
          <w:szCs w:val="24"/>
          <w:lang w:val="en-US"/>
        </w:rPr>
        <w:t xml:space="preserve"> away from their traditional</w:t>
      </w:r>
      <w:r w:rsidRPr="000635EA">
        <w:rPr>
          <w:rFonts w:ascii="Times New Roman" w:hAnsi="Times New Roman" w:cs="Times New Roman"/>
          <w:sz w:val="24"/>
          <w:szCs w:val="24"/>
          <w:lang w:val="en-US"/>
        </w:rPr>
        <w:t xml:space="preserve"> business models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{"citationItems":[{"id":"ITEM-1","itemData":{"DOI":"10.1002/bse.2956","ISSN":"10990836","abstract":"The circular economy is promoted as a contributor to sustainable development; however, the process of circular business model innovation remains under-explored to date, hindering its implementation. Dynamic capabilities research provides a theoretical perspective to explore how incumbent firms can innovate in rapidly changing environments. An abductive qualitative research is done through an exploratory multiple case study on 10 incumbents that implemented a circular business model innovation. We identify 26 practices, aggregated in 12 micro-foundations of the dynamic capabilities of sensing, seizing, and reconfiguring. By integrating the few empirical studies characterizing dynamic capabilities for sustainability-oriented business model innovation, we offer a comprehensive framework of 33 practices. This study proposes that the most relevant practices for circular business model innovation processes are adopting a lifecycle perspective, employing sustainability-oriented instruments, ideating sustainable value propositions, developing a sustainability strategy and culture, and engaging and coordinating stakeholders in the business ecosystem. We also suggest seven particularly relevant practices for long-term business model transformations (e.g., top management commitment), four for innovations focused on short and medium loops of the circular economy (e.g., early customer engagement), and four for long loops (e.g., business ecosystem coordination). This study corroborates and expands recent research on dynamic capabilities for sustainability-oriented innovation and provides practitioners with a set of 33 skills, processes, procedures, and activities to be prioritized to successfully innovate their business models for the circular economy.","author":[{"dropping-particle":"","family":"Santa-Maria","given":"Tomas","non-dropping-particle":"","parse-names":false,"suffix":""},{"dropping-particle":"","family":"Vermeulen","given":"Walter J.V.","non-dropping-particle":"","parse-names":false,"suffix":""},{"dropping-particle":"","family":"Baumgartner","given":"Rupert J.","non-dropping-particle":"","parse-names":false,"suffix":""}],"container-title":"Business Strategy and the Environment","id":"ITEM-1","issued":{"date-parts":[["2021"]]},"page":"1-28","title":"How do incumbent firms innovate their business models for the circular economy? Identifying micro-foundations of dynamic capabilities","type":"article-journal"},"uris":["http://www.mendeley.com/documents/?uuid=7b5e2f36-7204-4992-ad97-f029f8fff092"]},{"id":"ITEM-2","itemData":{"DOI":"10.1016/J.SPC.2020.12.037","ISSN":"2352-5509","abstract":"Widespread adoption of sustainable and circular business models is required to accelerate the transition to a more sustainable society, however, the literature supporting the process of Business Model Innovation for the Circular Economy - or Circular Business Model Innovation (CBMI) - is currently emerging. Several publications on this field have been published since 2014, nevertheless, there is still a lack of understanding on the process of CBMI, particularly for incumbent firms; and, as most of the literature is theoretical, further empirical insights are required. Furthermore, there is a need for an updated and comprehensive review of this fast-paced field, and a need to further integrate the CBMI field with the conventional Business Model Innovation (BMI) domain. The present research aims to first, map and frame the field of CBMI, building upon the structure of the conventional BMI field; second, to assess the current state of research of the field, proposing a future research agenda; and third, to explore the most relevant elements of the CBMI process in the practice. The article uses a combined literature and multiple case study approach. It begins by synthesizing a BMI framework, which is then combined with the findings of a systematic literature review (n=84) on the emergent CBMI field, to propose an original framework that structures the field. The review includes an assessment per article on the state-of-research. The framework is then illustrated through a multiple case study on ten incumbent firms that have implemented a substantial CBMI, revealing which topics are more relevant from a practice perspective and offering valuable empirical insights. We suggest that future research should prioritize those topics that are very important from the practice and still un- or under-researched in the CBMI field (i.e. organizational culture and structure as moderators of the CBMI change process, sustainability strategy as an antecedent of CBMI and top management role as key elements of the CBMI process) and to those identified as important though under-researched (i.e. organizational change management as a key element of the CBMI process; organizational inertia, ambidexterity and CBMI uncertainties as moderators of the CBMI process; and systemic change as an effect of the CBMI). The literature on Sustainable BMI is integrated to propose contributions to the identified gaps. This research contributes by framing and assessing the field of CBMI, proposin…","author":[{"dropping-particle":"","family":"Santa-Maria","given":"Tomas","non-dropping-particle":"","parse-names":false,"suffix":""},{"dropping-particle":"","family":"Vermeulen","given":"Walter J.V.","non-dropping-particle":"","parse-names":false,"suffix":""},{"dropping-particle":"","family":"Baumgartner","given":"Rupert J.","non-dropping-particle":"","parse-names":false,"suffix":""}],"container-title":"Sustainable Production and Consumption","id":"ITEM-2","issued":{"date-parts":[["2021","4","1"]]},"page":"872-891","publisher":"Elsevier","title":"Framing and assessing the emergent field of business model innovation for the circular economy: A combined literature review and multiple case study approach","type":"article-journal","volume":"26"},"uris":["http://www.mendeley.com/documents/?uuid=7535a927-7260-3c03-9496-7bfc1d31d222"]}],"mendeley":{"formattedCitation":"(Santa-Maria et al., 2021a, 2021b)","plainTextFormattedCitation":"(Santa-Maria et al., 2021a, 2021b)","previouslyFormattedCitation":"(Santa-Maria et al., 2021a, 2021b)"},"properties":{"noteIndex":0},"schema":"https://github.com/citation-style-language/schema/raw/master/csl-citation.json"}</w:instrText>
      </w:r>
      <w:r>
        <w:rPr>
          <w:rFonts w:ascii="Times New Roman" w:hAnsi="Times New Roman" w:cs="Times New Roman"/>
          <w:sz w:val="24"/>
          <w:szCs w:val="24"/>
          <w:lang w:val="en-US"/>
        </w:rPr>
        <w:fldChar w:fldCharType="separate"/>
      </w:r>
      <w:r w:rsidRPr="000A47B3">
        <w:rPr>
          <w:rFonts w:ascii="Times New Roman" w:hAnsi="Times New Roman" w:cs="Times New Roman"/>
          <w:noProof/>
          <w:sz w:val="24"/>
          <w:szCs w:val="24"/>
          <w:lang w:val="en-US"/>
        </w:rPr>
        <w:t>(Santa-Maria et al., 2021a, 2021b)</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Pr="000635EA">
        <w:rPr>
          <w:rFonts w:ascii="Times New Roman" w:hAnsi="Times New Roman" w:cs="Times New Roman"/>
          <w:sz w:val="24"/>
          <w:szCs w:val="24"/>
          <w:lang w:val="en-US"/>
        </w:rPr>
        <w:t xml:space="preserve"> </w:t>
      </w:r>
      <w:r>
        <w:rPr>
          <w:rFonts w:ascii="Times New Roman" w:hAnsi="Times New Roman" w:cs="Times New Roman"/>
          <w:sz w:val="24"/>
          <w:szCs w:val="24"/>
          <w:lang w:val="en-US"/>
        </w:rPr>
        <w:t>Thus</w:t>
      </w:r>
      <w:r w:rsidRPr="000635E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it has been argued that </w:t>
      </w:r>
      <w:r w:rsidRPr="000635EA">
        <w:rPr>
          <w:rFonts w:ascii="Times New Roman" w:hAnsi="Times New Roman" w:cs="Times New Roman"/>
          <w:sz w:val="24"/>
          <w:szCs w:val="24"/>
          <w:lang w:val="en-US"/>
        </w:rPr>
        <w:t>start-ups have a higher capacity</w:t>
      </w:r>
      <w:r>
        <w:rPr>
          <w:rFonts w:ascii="Times New Roman" w:hAnsi="Times New Roman" w:cs="Times New Roman"/>
          <w:sz w:val="24"/>
          <w:szCs w:val="24"/>
          <w:lang w:val="en-US"/>
        </w:rPr>
        <w:t xml:space="preserve"> than incumbents</w:t>
      </w:r>
      <w:r w:rsidRPr="000635EA">
        <w:rPr>
          <w:rFonts w:ascii="Times New Roman" w:hAnsi="Times New Roman" w:cs="Times New Roman"/>
          <w:sz w:val="24"/>
          <w:szCs w:val="24"/>
          <w:lang w:val="en-US"/>
        </w:rPr>
        <w:t xml:space="preserve"> to adopt more disruptive CBMs,</w:t>
      </w:r>
      <w:r>
        <w:rPr>
          <w:rFonts w:ascii="Times New Roman" w:hAnsi="Times New Roman" w:cs="Times New Roman"/>
          <w:sz w:val="24"/>
          <w:szCs w:val="24"/>
          <w:lang w:val="en-US"/>
        </w:rPr>
        <w:t xml:space="preserve"> </w:t>
      </w:r>
      <w:r w:rsidRPr="000635EA">
        <w:rPr>
          <w:rFonts w:ascii="Times New Roman" w:hAnsi="Times New Roman" w:cs="Times New Roman"/>
          <w:sz w:val="24"/>
          <w:szCs w:val="24"/>
          <w:lang w:val="en-US"/>
        </w:rPr>
        <w:t xml:space="preserve">such as sharing </w:t>
      </w:r>
      <w:r>
        <w:rPr>
          <w:rFonts w:ascii="Times New Roman" w:hAnsi="Times New Roman" w:cs="Times New Roman"/>
          <w:sz w:val="24"/>
          <w:szCs w:val="24"/>
          <w:lang w:val="en-US"/>
        </w:rPr>
        <w:t xml:space="preserve">platforms </w:t>
      </w:r>
      <w:r w:rsidRPr="000635EA">
        <w:rPr>
          <w:rFonts w:ascii="Times New Roman" w:hAnsi="Times New Roman" w:cs="Times New Roman"/>
          <w:sz w:val="24"/>
          <w:szCs w:val="24"/>
          <w:lang w:val="en-US"/>
        </w:rPr>
        <w:t>or product-service systems (PSS</w:t>
      </w:r>
      <w:r>
        <w:rPr>
          <w:rFonts w:ascii="Times New Roman" w:hAnsi="Times New Roman" w:cs="Times New Roman"/>
          <w:sz w:val="24"/>
          <w:szCs w:val="24"/>
          <w:lang w:val="en-US"/>
        </w:rPr>
        <w:t>)</w:t>
      </w:r>
      <w:r w:rsidRPr="000635EA">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{"citationItems":[{"id":"ITEM-1","itemData":{"DOI":"10.1007/s10458-017-9365-9","ISSN":"15737454","abstract":"This paper introduces an agent-based approach to study customer behavior in terms of their acceptance of new business models in Circular Economy (CE) context. In a CE customers are perceived as integral part of the business and therefore customer acceptance of new business models becomes crucial as it determines the successful implementation of CE. However, tools or methods are missing to capture customer behavior to assess how customers will react if an organization introduces a new business model such as leasing or functional sales. The purpose of this research is to bring forward a quantitative analysis tool for identifying proper marketing and pricing strategies to obtain best fit demand behavior for the chosen new business model. This tool will support decision makers in determining the impact of introducing new (circular) business models. The model has been developed using an agent-based modeling approach which delivers results based on socio-demographic factors of a population and customers’ relative preferences of product attributes price, environmental friendliness and service-orientation. The implementation of the model has been tested using the practical business example of a washing machine. This research presents the first agent-based tool that can assess customer behavior and determine whether introduction of new business models will be accepted or not and how customer acceptance can be influenced to accelerate CE implementation. The tool integrates socio-demographic factors, product utility functions, social network structures and inter-agent communication in order to comprehensively describe behavior on individual customer level. In addition to the tool itself the results of this research indicates the need for systematic marketing strategies which emphasize CE value propositions in order to accelerate customer acceptance and shorten the transition time from linear to circular. Agent-based models are emphasized as highly capable to fill the gap between diffusion-based penetration of information and resulting behavior in the form of purchase decisions.","author":[{"dropping-particle":"","family":"Lieder","given":"Michael","non-dropping-particle":"","parse-names":false,"suffix":""},{"dropping-particle":"","family":"Asif","given":"Farazee M.A.","non-dropping-particle":"","parse-names":false,"suffix":""},{"dropping-particle":"","family":"Rashid","given":"Amir","non-dropping-particle":"","parse-names":false,"suffix":""}],"container-title":"Autonomous Agents and Multi-Agent Systems","id":"ITEM-1","issue":"6","issued":{"date-parts":[["2017"]]},"page":"1377-1402","publisher":"Springer US","title":"Towards Circular Economy implementation: an agent-based simulation approach for business model changes","type":"article-journal","volume":"31"},"uris":["http://www.mendeley.com/documents/?uuid=8fa9b2f7-f395-49e5-aa2f-2b30536c94a4"]}],"mendeley":{"formattedCitation":"(Lieder et al., 2017)","plainTextFormattedCitation":"(Lieder et al., 2017)","previouslyFormattedCitation":"(Lieder et al., 2017)"},"properties":{"noteIndex":0},"schema":"https://github.com/citation-style-language/schema/raw/master/csl-citation.json"}</w:instrText>
      </w:r>
      <w:r>
        <w:rPr>
          <w:rFonts w:ascii="Times New Roman" w:hAnsi="Times New Roman" w:cs="Times New Roman"/>
          <w:sz w:val="24"/>
          <w:szCs w:val="24"/>
          <w:lang w:val="en-US"/>
        </w:rPr>
        <w:fldChar w:fldCharType="separate"/>
      </w:r>
      <w:r w:rsidRPr="001E6DCB">
        <w:rPr>
          <w:rFonts w:ascii="Times New Roman" w:hAnsi="Times New Roman" w:cs="Times New Roman"/>
          <w:noProof/>
          <w:sz w:val="24"/>
          <w:szCs w:val="24"/>
          <w:lang w:val="en-US"/>
        </w:rPr>
        <w:t>(Lieder et al., 2017)</w:t>
      </w:r>
      <w:r>
        <w:rPr>
          <w:rFonts w:ascii="Times New Roman" w:hAnsi="Times New Roman" w:cs="Times New Roman"/>
          <w:sz w:val="24"/>
          <w:szCs w:val="24"/>
          <w:lang w:val="en-US"/>
        </w:rPr>
        <w:fldChar w:fldCharType="end"/>
      </w:r>
      <w:r w:rsidRPr="000635EA">
        <w:rPr>
          <w:rFonts w:ascii="Times New Roman" w:hAnsi="Times New Roman" w:cs="Times New Roman"/>
          <w:sz w:val="24"/>
          <w:szCs w:val="24"/>
          <w:lang w:val="en-US"/>
        </w:rPr>
        <w:t xml:space="preserve">, due to their higher flexibility and responsivity to market changes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{"citationItems":[{"id":"ITEM-1","itemData":{"DOI":"10.24840/2183-0606_003.003_0009","ISSN":"2183-0606","abstract":"There is a growing political consensus about the necessity to decouple economic growth from environmental impacts. For a transition towards a green economy radical innovation plays a central role. Start-ups are key marketin the development and market introduction of radical sustainable innovation, but so far there is little research on the specific challenges and opportunities of “green” start-ups. In this conceptual paper, we bring together research and theory on entrepreneurship and innovation as well as sustainable business practice and ask why and how different types of “green” start-ups may encounter specific financing challenges and opportunities when developing their products/services. As existing typologies are too unspecific to properly explain the financing challenges and opportunities of green start-ups, we elaborate on these and develop a new typology of green start-ups. This typology will enable further empirical exploration of specific challenges and opportunities that such start-ups have when looking for finance.","author":[{"dropping-particle":"","family":"Bergset","given":"Linda","non-dropping-particle":"","parse-names":false,"suffix":""},{"dropping-particle":"","family":"Fichter","given":"Klaus","non-dropping-particle":"","parse-names":false,"suffix":""}],"container-title":"Journal of Innovation Management","id":"ITEM-1","issue":"3","issued":{"date-parts":[["2015","10","19"]]},"page":"118-144","publisher":"Universidade do Porto - Faculdade de Engenharia","title":"Green start-ups – a new typology for sustainable entrepre-neurship and innovation research","type":"article-journal","volume":"3"},"uris":["http://www.mendeley.com/documents/?uuid=9e82f99e-eae6-3fa8-b1a8-d20a6376338a"]}],"mendeley":{"formattedCitation":"(Bergset &amp; Fichter, 2015)","plainTextFormattedCitation":"(Bergset &amp; Fichter, 2015)","previouslyFormattedCitation":"(Bergset &amp; Fichter, 2015)"},"properties":{"noteIndex":0},"schema":"https://github.com/citation-style-language/schema/raw/master/csl-citation.json"}</w:instrText>
      </w:r>
      <w:r>
        <w:rPr>
          <w:rFonts w:ascii="Times New Roman" w:hAnsi="Times New Roman" w:cs="Times New Roman"/>
          <w:sz w:val="24"/>
          <w:szCs w:val="24"/>
          <w:lang w:val="en-US"/>
        </w:rPr>
        <w:fldChar w:fldCharType="separate"/>
      </w:r>
      <w:r w:rsidRPr="000A47B3">
        <w:rPr>
          <w:rFonts w:ascii="Times New Roman" w:hAnsi="Times New Roman" w:cs="Times New Roman"/>
          <w:noProof/>
          <w:sz w:val="24"/>
          <w:szCs w:val="24"/>
          <w:lang w:val="en-US"/>
        </w:rPr>
        <w:t>(Bergset &amp; Fichter, 2015)</w:t>
      </w:r>
      <w:r>
        <w:rPr>
          <w:rFonts w:ascii="Times New Roman" w:hAnsi="Times New Roman" w:cs="Times New Roman"/>
          <w:sz w:val="24"/>
          <w:szCs w:val="24"/>
          <w:lang w:val="en-US"/>
        </w:rPr>
        <w:fldChar w:fldCharType="end"/>
      </w:r>
      <w:r w:rsidRPr="000635E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w:t>
      </w:r>
      <w:r w:rsidRPr="00F77FF5">
        <w:rPr>
          <w:rFonts w:ascii="Times New Roman" w:hAnsi="Times New Roman" w:cs="Times New Roman"/>
          <w:sz w:val="24"/>
          <w:szCs w:val="24"/>
          <w:lang w:val="en-US"/>
        </w:rPr>
        <w:t xml:space="preserve">experts </w:t>
      </w:r>
      <w:r>
        <w:rPr>
          <w:rFonts w:ascii="Times New Roman" w:hAnsi="Times New Roman" w:cs="Times New Roman"/>
          <w:sz w:val="24"/>
          <w:szCs w:val="24"/>
          <w:lang w:val="en-US"/>
        </w:rPr>
        <w:t xml:space="preserve">were asked to provide </w:t>
      </w:r>
      <w:r w:rsidRPr="00F77FF5">
        <w:rPr>
          <w:rFonts w:ascii="Times New Roman" w:hAnsi="Times New Roman" w:cs="Times New Roman"/>
          <w:sz w:val="24"/>
          <w:szCs w:val="24"/>
          <w:lang w:val="en-US"/>
        </w:rPr>
        <w:t>a set of CE-related start-up acceleration programs wh</w:t>
      </w:r>
      <w:r>
        <w:rPr>
          <w:rFonts w:ascii="Times New Roman" w:hAnsi="Times New Roman" w:cs="Times New Roman"/>
          <w:sz w:val="24"/>
          <w:szCs w:val="24"/>
          <w:lang w:val="en-US"/>
        </w:rPr>
        <w:t>ile</w:t>
      </w:r>
      <w:r w:rsidRPr="00F77FF5">
        <w:rPr>
          <w:rFonts w:ascii="Times New Roman" w:hAnsi="Times New Roman" w:cs="Times New Roman"/>
          <w:sz w:val="24"/>
          <w:szCs w:val="24"/>
          <w:lang w:val="en-US"/>
        </w:rPr>
        <w:t xml:space="preserve"> searching for MSPs</w:t>
      </w:r>
      <w:r w:rsidR="003A57D4">
        <w:rPr>
          <w:rFonts w:ascii="Times New Roman" w:hAnsi="Times New Roman" w:cs="Times New Roman"/>
          <w:sz w:val="24"/>
          <w:szCs w:val="24"/>
          <w:lang w:val="en-US"/>
        </w:rPr>
        <w:t xml:space="preserve"> </w:t>
      </w:r>
      <w:r w:rsidRPr="00F77FF5">
        <w:rPr>
          <w:rFonts w:ascii="Times New Roman" w:hAnsi="Times New Roman" w:cs="Times New Roman"/>
          <w:sz w:val="24"/>
          <w:szCs w:val="24"/>
          <w:lang w:val="en-US"/>
        </w:rPr>
        <w:t xml:space="preserve">that enable CSCs in </w:t>
      </w:r>
      <w:r w:rsidR="00F2799B">
        <w:rPr>
          <w:rFonts w:ascii="Times New Roman" w:hAnsi="Times New Roman" w:cs="Times New Roman"/>
          <w:sz w:val="24"/>
          <w:szCs w:val="24"/>
          <w:lang w:val="en-US"/>
        </w:rPr>
        <w:t xml:space="preserve">the </w:t>
      </w:r>
      <w:r>
        <w:rPr>
          <w:rFonts w:ascii="Times New Roman" w:hAnsi="Times New Roman" w:cs="Times New Roman"/>
          <w:sz w:val="24"/>
          <w:szCs w:val="24"/>
          <w:lang w:val="en-US"/>
        </w:rPr>
        <w:t>B2B</w:t>
      </w:r>
      <w:r w:rsidRPr="00F77FF5">
        <w:rPr>
          <w:rFonts w:ascii="Times New Roman" w:hAnsi="Times New Roman" w:cs="Times New Roman"/>
          <w:sz w:val="24"/>
          <w:szCs w:val="24"/>
          <w:lang w:val="en-US"/>
        </w:rPr>
        <w:t xml:space="preserve"> setting. </w:t>
      </w:r>
      <w:r>
        <w:rPr>
          <w:rFonts w:ascii="Times New Roman" w:hAnsi="Times New Roman" w:cs="Times New Roman"/>
          <w:sz w:val="24"/>
          <w:szCs w:val="24"/>
          <w:lang w:val="en-US"/>
        </w:rPr>
        <w:t xml:space="preserve">Examples of the suggested programs are </w:t>
      </w:r>
      <w:r w:rsidRPr="00F77FF5">
        <w:rPr>
          <w:rFonts w:ascii="Times New Roman" w:hAnsi="Times New Roman" w:cs="Times New Roman"/>
          <w:sz w:val="24"/>
          <w:szCs w:val="24"/>
          <w:lang w:val="en-US"/>
        </w:rPr>
        <w:t>the Circular Economy Accelerator managed by Circular Valley</w:t>
      </w:r>
      <w:r>
        <w:rPr>
          <w:rFonts w:ascii="Times New Roman" w:hAnsi="Times New Roman" w:cs="Times New Roman"/>
          <w:sz w:val="24"/>
          <w:szCs w:val="24"/>
          <w:lang w:val="en-US"/>
        </w:rPr>
        <w:t>,</w:t>
      </w:r>
      <w:r w:rsidRPr="00F77FF5">
        <w:rPr>
          <w:rFonts w:ascii="Times New Roman" w:hAnsi="Times New Roman" w:cs="Times New Roman"/>
          <w:sz w:val="24"/>
          <w:szCs w:val="24"/>
          <w:lang w:val="en-US"/>
        </w:rPr>
        <w:t xml:space="preserve"> the </w:t>
      </w:r>
      <w:r w:rsidRPr="00F77FF5">
        <w:rPr>
          <w:rFonts w:ascii="Times New Roman" w:hAnsi="Times New Roman" w:cs="Times New Roman"/>
          <w:sz w:val="24"/>
          <w:szCs w:val="24"/>
          <w:lang w:val="en-US"/>
        </w:rPr>
        <w:lastRenderedPageBreak/>
        <w:t xml:space="preserve">accelerator programs managed by </w:t>
      </w:r>
      <w:r>
        <w:rPr>
          <w:rFonts w:ascii="Times New Roman" w:hAnsi="Times New Roman" w:cs="Times New Roman"/>
          <w:sz w:val="24"/>
          <w:szCs w:val="24"/>
          <w:lang w:val="en-US"/>
        </w:rPr>
        <w:t xml:space="preserve">the </w:t>
      </w:r>
      <w:r w:rsidRPr="00F77FF5">
        <w:rPr>
          <w:rFonts w:ascii="Times New Roman" w:hAnsi="Times New Roman" w:cs="Times New Roman"/>
          <w:sz w:val="24"/>
          <w:szCs w:val="24"/>
          <w:lang w:val="en-US"/>
        </w:rPr>
        <w:t>EIT Climate-KIC</w:t>
      </w:r>
      <w:r>
        <w:rPr>
          <w:rFonts w:ascii="Times New Roman" w:hAnsi="Times New Roman" w:cs="Times New Roman"/>
          <w:sz w:val="24"/>
          <w:szCs w:val="24"/>
          <w:lang w:val="en-US"/>
        </w:rPr>
        <w:t>,</w:t>
      </w:r>
      <w:r w:rsidRPr="00F77FF5">
        <w:rPr>
          <w:rFonts w:ascii="Times New Roman" w:hAnsi="Times New Roman" w:cs="Times New Roman"/>
          <w:sz w:val="24"/>
          <w:szCs w:val="24"/>
          <w:lang w:val="en-US"/>
        </w:rPr>
        <w:t xml:space="preserve"> and </w:t>
      </w:r>
      <w:proofErr w:type="spellStart"/>
      <w:r w:rsidRPr="00F77FF5">
        <w:rPr>
          <w:rFonts w:ascii="Times New Roman" w:hAnsi="Times New Roman" w:cs="Times New Roman"/>
          <w:sz w:val="24"/>
          <w:szCs w:val="24"/>
          <w:lang w:val="en-US"/>
        </w:rPr>
        <w:t>Techfounders</w:t>
      </w:r>
      <w:proofErr w:type="spellEnd"/>
      <w:r>
        <w:rPr>
          <w:rFonts w:ascii="Times New Roman" w:hAnsi="Times New Roman" w:cs="Times New Roman"/>
          <w:sz w:val="24"/>
          <w:szCs w:val="24"/>
          <w:lang w:val="en-US"/>
        </w:rPr>
        <w:t xml:space="preserve"> managed by the </w:t>
      </w:r>
      <w:proofErr w:type="spellStart"/>
      <w:r w:rsidRPr="000C6D97">
        <w:rPr>
          <w:rFonts w:ascii="Times New Roman" w:hAnsi="Times New Roman" w:cs="Times New Roman"/>
          <w:sz w:val="24"/>
          <w:szCs w:val="24"/>
          <w:lang w:val="en-US"/>
        </w:rPr>
        <w:t>UnternehmerTUM</w:t>
      </w:r>
      <w:proofErr w:type="spellEnd"/>
      <w:r>
        <w:rPr>
          <w:rFonts w:ascii="Times New Roman" w:hAnsi="Times New Roman" w:cs="Times New Roman"/>
          <w:sz w:val="24"/>
          <w:szCs w:val="24"/>
          <w:lang w:val="en-US"/>
        </w:rPr>
        <w:t xml:space="preserve">. Then, through a careful scanning of each </w:t>
      </w:r>
      <w:r w:rsidRPr="00F77FF5">
        <w:rPr>
          <w:rFonts w:ascii="Times New Roman" w:hAnsi="Times New Roman" w:cs="Times New Roman"/>
          <w:sz w:val="24"/>
          <w:szCs w:val="24"/>
          <w:lang w:val="en-US"/>
        </w:rPr>
        <w:t>program</w:t>
      </w:r>
      <w:r>
        <w:rPr>
          <w:rFonts w:ascii="Times New Roman" w:hAnsi="Times New Roman" w:cs="Times New Roman"/>
          <w:sz w:val="24"/>
          <w:szCs w:val="24"/>
          <w:lang w:val="en-US"/>
        </w:rPr>
        <w:t>’s website, the authors identified a set of 2</w:t>
      </w:r>
      <w:r>
        <w:rPr>
          <w:rFonts w:ascii="Times New Roman" w:hAnsi="Times New Roman" w:cs="Times New Roman"/>
          <w:sz w:val="24"/>
          <w:szCs w:val="24"/>
          <w:lang w:val="en-GB"/>
        </w:rPr>
        <w:t>6</w:t>
      </w:r>
      <w:r w:rsidRPr="00AF7BC6">
        <w:rPr>
          <w:rFonts w:ascii="Times New Roman" w:hAnsi="Times New Roman" w:cs="Times New Roman"/>
          <w:sz w:val="24"/>
          <w:szCs w:val="24"/>
          <w:lang w:val="en-GB"/>
        </w:rPr>
        <w:t xml:space="preserve"> </w:t>
      </w:r>
      <w:r w:rsidRPr="005A7B90">
        <w:rPr>
          <w:rFonts w:ascii="Times New Roman" w:hAnsi="Times New Roman" w:cs="Times New Roman"/>
          <w:sz w:val="24"/>
          <w:szCs w:val="24"/>
          <w:lang w:val="en-GB"/>
        </w:rPr>
        <w:t xml:space="preserve">MSPs </w:t>
      </w:r>
      <w:r w:rsidRPr="00681DA3">
        <w:rPr>
          <w:rFonts w:ascii="Times New Roman" w:hAnsi="Times New Roman" w:cs="Times New Roman"/>
          <w:sz w:val="24"/>
          <w:szCs w:val="24"/>
          <w:lang w:val="en-GB"/>
        </w:rPr>
        <w:t>operat</w:t>
      </w:r>
      <w:r>
        <w:rPr>
          <w:rFonts w:ascii="Times New Roman" w:hAnsi="Times New Roman" w:cs="Times New Roman"/>
          <w:sz w:val="24"/>
          <w:szCs w:val="24"/>
          <w:lang w:val="en-GB"/>
        </w:rPr>
        <w:t>ing</w:t>
      </w:r>
      <w:r w:rsidRPr="00681DA3">
        <w:rPr>
          <w:rFonts w:ascii="Times New Roman" w:hAnsi="Times New Roman" w:cs="Times New Roman"/>
          <w:sz w:val="24"/>
          <w:szCs w:val="24"/>
          <w:lang w:val="en-GB"/>
        </w:rPr>
        <w:t xml:space="preserve"> in </w:t>
      </w:r>
      <w:r w:rsidR="00F2799B">
        <w:rPr>
          <w:rFonts w:ascii="Times New Roman" w:hAnsi="Times New Roman" w:cs="Times New Roman"/>
          <w:sz w:val="24"/>
          <w:szCs w:val="24"/>
          <w:lang w:val="en-GB"/>
        </w:rPr>
        <w:t>the</w:t>
      </w:r>
      <w:r w:rsidR="00F2799B" w:rsidRPr="00681DA3">
        <w:rPr>
          <w:rFonts w:ascii="Times New Roman" w:hAnsi="Times New Roman" w:cs="Times New Roman"/>
          <w:sz w:val="24"/>
          <w:szCs w:val="24"/>
          <w:lang w:val="en-GB"/>
        </w:rPr>
        <w:t xml:space="preserve"> </w:t>
      </w:r>
      <w:r w:rsidRPr="00681DA3">
        <w:rPr>
          <w:rFonts w:ascii="Times New Roman" w:hAnsi="Times New Roman" w:cs="Times New Roman"/>
          <w:sz w:val="24"/>
          <w:szCs w:val="24"/>
          <w:lang w:val="en-GB"/>
        </w:rPr>
        <w:t>B2B setting and that enable CSCs</w:t>
      </w:r>
      <w:r>
        <w:rPr>
          <w:rFonts w:ascii="Times New Roman" w:hAnsi="Times New Roman" w:cs="Times New Roman"/>
          <w:sz w:val="24"/>
          <w:szCs w:val="24"/>
          <w:lang w:val="en-GB"/>
        </w:rPr>
        <w:t>.</w:t>
      </w:r>
      <w:r>
        <w:rPr>
          <w:rFonts w:ascii="Times New Roman" w:hAnsi="Times New Roman" w:cs="Times New Roman"/>
          <w:sz w:val="24"/>
          <w:szCs w:val="24"/>
          <w:lang w:val="en-US"/>
        </w:rPr>
        <w:t xml:space="preserve"> </w:t>
      </w:r>
      <w:r w:rsidR="003A57D4" w:rsidRPr="00F77FF5">
        <w:rPr>
          <w:rFonts w:ascii="Times New Roman" w:hAnsi="Times New Roman" w:cs="Times New Roman"/>
          <w:sz w:val="24"/>
          <w:szCs w:val="24"/>
          <w:lang w:val="en-US"/>
        </w:rPr>
        <w:t>Table 2</w:t>
      </w:r>
      <w:r w:rsidR="003A57D4">
        <w:rPr>
          <w:rFonts w:ascii="Times New Roman" w:hAnsi="Times New Roman" w:cs="Times New Roman"/>
          <w:sz w:val="24"/>
          <w:szCs w:val="24"/>
          <w:lang w:val="en-US"/>
        </w:rPr>
        <w:t xml:space="preserve"> provides t</w:t>
      </w:r>
      <w:r w:rsidRPr="00F77FF5">
        <w:rPr>
          <w:rFonts w:ascii="Times New Roman" w:hAnsi="Times New Roman" w:cs="Times New Roman"/>
          <w:sz w:val="24"/>
          <w:szCs w:val="24"/>
          <w:lang w:val="en-US"/>
        </w:rPr>
        <w:t>he</w:t>
      </w:r>
      <w:r>
        <w:rPr>
          <w:rFonts w:ascii="Times New Roman" w:hAnsi="Times New Roman" w:cs="Times New Roman"/>
          <w:sz w:val="24"/>
          <w:szCs w:val="24"/>
          <w:lang w:val="en-US"/>
        </w:rPr>
        <w:t xml:space="preserve"> full</w:t>
      </w:r>
      <w:r w:rsidRPr="00F77FF5">
        <w:rPr>
          <w:rFonts w:ascii="Times New Roman" w:hAnsi="Times New Roman" w:cs="Times New Roman"/>
          <w:sz w:val="24"/>
          <w:szCs w:val="24"/>
          <w:lang w:val="en-US"/>
        </w:rPr>
        <w:t xml:space="preserve"> list of the </w:t>
      </w:r>
      <w:r>
        <w:rPr>
          <w:rFonts w:ascii="Times New Roman" w:hAnsi="Times New Roman" w:cs="Times New Roman"/>
          <w:sz w:val="24"/>
          <w:szCs w:val="24"/>
          <w:lang w:val="en-US"/>
        </w:rPr>
        <w:t>identified</w:t>
      </w:r>
      <w:r w:rsidRPr="00F77FF5">
        <w:rPr>
          <w:rFonts w:ascii="Times New Roman" w:hAnsi="Times New Roman" w:cs="Times New Roman"/>
          <w:sz w:val="24"/>
          <w:szCs w:val="24"/>
          <w:lang w:val="en-US"/>
        </w:rPr>
        <w:t xml:space="preserve"> MSPs.</w:t>
      </w:r>
    </w:p>
    <w:p w14:paraId="3CC00821" w14:textId="77777777" w:rsidR="00B93D26" w:rsidRDefault="00B93D26">
      <w:pPr>
        <w:spacing w:after="0" w:line="360" w:lineRule="auto"/>
        <w:ind w:firstLine="284"/>
        <w:jc w:val="both"/>
        <w:rPr>
          <w:rFonts w:ascii="Times New Roman" w:hAnsi="Times New Roman" w:cs="Times New Roman"/>
          <w:sz w:val="24"/>
          <w:szCs w:val="24"/>
          <w:lang w:val="en-US"/>
        </w:rPr>
      </w:pPr>
    </w:p>
    <w:p w14:paraId="2E04A358" w14:textId="77777777" w:rsidR="00B93D26" w:rsidRPr="001962BB" w:rsidRDefault="00B93D26" w:rsidP="007B6B7A">
      <w:pPr>
        <w:spacing w:after="0" w:line="360" w:lineRule="auto"/>
        <w:jc w:val="both"/>
        <w:rPr>
          <w:rFonts w:ascii="Times New Roman" w:hAnsi="Times New Roman" w:cs="Times New Roman"/>
          <w:sz w:val="24"/>
          <w:szCs w:val="24"/>
          <w:lang w:val="en-US"/>
        </w:rPr>
        <w:sectPr w:rsidR="00B93D26" w:rsidRPr="001962BB" w:rsidSect="001E3A53">
          <w:pgSz w:w="11906" w:h="16838"/>
          <w:pgMar w:top="1417" w:right="1134" w:bottom="1134" w:left="1134" w:header="708" w:footer="708" w:gutter="0"/>
          <w:cols w:space="708"/>
          <w:docGrid w:linePitch="360"/>
        </w:sectPr>
      </w:pPr>
    </w:p>
    <w:p w14:paraId="02FB3A25" w14:textId="3EBDE910" w:rsidR="00B93D26" w:rsidRDefault="00000000" w:rsidP="00932EBC">
      <w:pPr>
        <w:spacing w:line="360" w:lineRule="auto"/>
        <w:jc w:val="center"/>
        <w:rPr>
          <w:rFonts w:ascii="Times New Roman" w:hAnsi="Times New Roman" w:cs="Times New Roman"/>
          <w:sz w:val="20"/>
          <w:szCs w:val="20"/>
          <w:lang w:val="en-GB"/>
        </w:rPr>
      </w:pPr>
      <w:r w:rsidRPr="000B621C">
        <w:rPr>
          <w:rFonts w:ascii="Times New Roman" w:hAnsi="Times New Roman" w:cs="Times New Roman"/>
          <w:b/>
          <w:bCs/>
          <w:sz w:val="20"/>
          <w:szCs w:val="20"/>
          <w:lang w:val="en-GB"/>
        </w:rPr>
        <w:lastRenderedPageBreak/>
        <w:t xml:space="preserve">Table </w:t>
      </w:r>
      <w:r>
        <w:rPr>
          <w:rFonts w:ascii="Times New Roman" w:hAnsi="Times New Roman" w:cs="Times New Roman"/>
          <w:b/>
          <w:bCs/>
          <w:sz w:val="20"/>
          <w:szCs w:val="20"/>
          <w:lang w:val="en-GB"/>
        </w:rPr>
        <w:t>2</w:t>
      </w:r>
      <w:r w:rsidRPr="000B621C">
        <w:rPr>
          <w:rFonts w:ascii="Times New Roman" w:hAnsi="Times New Roman" w:cs="Times New Roman"/>
          <w:b/>
          <w:bCs/>
          <w:sz w:val="20"/>
          <w:szCs w:val="20"/>
          <w:lang w:val="en-GB"/>
        </w:rPr>
        <w:t>.</w:t>
      </w:r>
      <w:r w:rsidRPr="000B621C">
        <w:rPr>
          <w:rFonts w:ascii="Times New Roman" w:hAnsi="Times New Roman" w:cs="Times New Roman"/>
          <w:sz w:val="20"/>
          <w:szCs w:val="20"/>
          <w:lang w:val="en-GB"/>
        </w:rPr>
        <w:t xml:space="preserve"> List of the </w:t>
      </w:r>
      <w:r w:rsidR="00DB543B">
        <w:rPr>
          <w:rFonts w:ascii="Times New Roman" w:hAnsi="Times New Roman" w:cs="Times New Roman"/>
          <w:sz w:val="20"/>
          <w:szCs w:val="20"/>
          <w:lang w:val="en-GB"/>
        </w:rPr>
        <w:t>identified</w:t>
      </w:r>
      <w:r w:rsidR="00DB543B" w:rsidRPr="000B621C">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MSPs </w:t>
      </w:r>
      <w:r w:rsidR="00DB543B">
        <w:rPr>
          <w:rFonts w:ascii="Times New Roman" w:hAnsi="Times New Roman" w:cs="Times New Roman"/>
          <w:sz w:val="20"/>
          <w:szCs w:val="20"/>
          <w:lang w:val="en-GB"/>
        </w:rPr>
        <w:t xml:space="preserve">that </w:t>
      </w:r>
      <w:r>
        <w:rPr>
          <w:rFonts w:ascii="Times New Roman" w:hAnsi="Times New Roman" w:cs="Times New Roman"/>
          <w:sz w:val="20"/>
          <w:szCs w:val="20"/>
          <w:lang w:val="en-GB"/>
        </w:rPr>
        <w:t>enabl</w:t>
      </w:r>
      <w:r w:rsidR="00DB543B">
        <w:rPr>
          <w:rFonts w:ascii="Times New Roman" w:hAnsi="Times New Roman" w:cs="Times New Roman"/>
          <w:sz w:val="20"/>
          <w:szCs w:val="20"/>
          <w:lang w:val="en-GB"/>
        </w:rPr>
        <w:t>e</w:t>
      </w:r>
      <w:r>
        <w:rPr>
          <w:rFonts w:ascii="Times New Roman" w:hAnsi="Times New Roman" w:cs="Times New Roman"/>
          <w:sz w:val="20"/>
          <w:szCs w:val="20"/>
          <w:lang w:val="en-GB"/>
        </w:rPr>
        <w:t xml:space="preserve"> CSCs in </w:t>
      </w:r>
      <w:r w:rsidR="00F2799B">
        <w:rPr>
          <w:rFonts w:ascii="Times New Roman" w:hAnsi="Times New Roman" w:cs="Times New Roman"/>
          <w:sz w:val="20"/>
          <w:szCs w:val="20"/>
          <w:lang w:val="en-GB"/>
        </w:rPr>
        <w:t xml:space="preserve">the </w:t>
      </w:r>
      <w:r w:rsidRPr="000B621C">
        <w:rPr>
          <w:rFonts w:ascii="Times New Roman" w:hAnsi="Times New Roman" w:cs="Times New Roman"/>
          <w:sz w:val="20"/>
          <w:szCs w:val="20"/>
          <w:lang w:val="en-GB"/>
        </w:rPr>
        <w:t>B2B</w:t>
      </w:r>
      <w:r>
        <w:rPr>
          <w:rFonts w:ascii="Times New Roman" w:hAnsi="Times New Roman" w:cs="Times New Roman"/>
          <w:sz w:val="20"/>
          <w:szCs w:val="20"/>
          <w:lang w:val="en-GB"/>
        </w:rPr>
        <w:t xml:space="preserve"> setting (accessed at the latest in June 2022)</w:t>
      </w:r>
      <w:r w:rsidRPr="000B621C">
        <w:rPr>
          <w:rFonts w:ascii="Times New Roman" w:hAnsi="Times New Roman" w:cs="Times New Roman"/>
          <w:sz w:val="20"/>
          <w:szCs w:val="20"/>
          <w:lang w:val="en-GB"/>
        </w:rPr>
        <w:t>.</w:t>
      </w:r>
    </w:p>
    <w:tbl>
      <w:tblPr>
        <w:tblStyle w:val="Grigliatabella"/>
        <w:tblW w:w="0" w:type="auto"/>
        <w:jc w:val="center"/>
        <w:tblLook w:val="04A0" w:firstRow="1" w:lastRow="0" w:firstColumn="1" w:lastColumn="0" w:noHBand="0" w:noVBand="1"/>
      </w:tblPr>
      <w:tblGrid>
        <w:gridCol w:w="1685"/>
        <w:gridCol w:w="12592"/>
      </w:tblGrid>
      <w:tr w:rsidR="001E3A53" w:rsidRPr="00BE7404" w14:paraId="28CC6CAD" w14:textId="77777777" w:rsidTr="75A96201">
        <w:trPr>
          <w:trHeight w:val="144"/>
          <w:jc w:val="center"/>
        </w:trPr>
        <w:tc>
          <w:tcPr>
            <w:tcW w:w="1696" w:type="dxa"/>
            <w:vAlign w:val="center"/>
          </w:tcPr>
          <w:p w14:paraId="7AF24261" w14:textId="77777777" w:rsidR="00B93D26" w:rsidRPr="007B6B7A" w:rsidRDefault="00000000" w:rsidP="000F3FE2">
            <w:pPr>
              <w:spacing w:line="360" w:lineRule="auto"/>
              <w:jc w:val="center"/>
              <w:rPr>
                <w:rFonts w:ascii="Times New Roman" w:hAnsi="Times New Roman" w:cs="Times New Roman"/>
                <w:b/>
                <w:bCs/>
                <w:sz w:val="18"/>
                <w:szCs w:val="18"/>
                <w:lang w:val="en-GB"/>
              </w:rPr>
            </w:pPr>
            <w:r w:rsidRPr="007B6B7A">
              <w:rPr>
                <w:rFonts w:ascii="Times New Roman" w:hAnsi="Times New Roman" w:cs="Times New Roman"/>
                <w:b/>
                <w:bCs/>
                <w:sz w:val="18"/>
                <w:szCs w:val="18"/>
                <w:lang w:val="en-GB"/>
              </w:rPr>
              <w:t>MSP</w:t>
            </w:r>
          </w:p>
        </w:tc>
        <w:tc>
          <w:tcPr>
            <w:tcW w:w="12829" w:type="dxa"/>
            <w:vAlign w:val="center"/>
          </w:tcPr>
          <w:p w14:paraId="3AE97223" w14:textId="77777777" w:rsidR="00B93D26" w:rsidRPr="007B6B7A" w:rsidRDefault="00000000" w:rsidP="000F3FE2">
            <w:pPr>
              <w:spacing w:line="360" w:lineRule="auto"/>
              <w:jc w:val="center"/>
              <w:rPr>
                <w:rFonts w:ascii="Times New Roman" w:hAnsi="Times New Roman" w:cs="Times New Roman"/>
                <w:b/>
                <w:bCs/>
                <w:sz w:val="18"/>
                <w:szCs w:val="18"/>
                <w:lang w:val="en-GB"/>
              </w:rPr>
            </w:pPr>
            <w:r w:rsidRPr="007B6B7A">
              <w:rPr>
                <w:rFonts w:ascii="Times New Roman" w:hAnsi="Times New Roman" w:cs="Times New Roman"/>
                <w:b/>
                <w:bCs/>
                <w:sz w:val="18"/>
                <w:szCs w:val="18"/>
                <w:lang w:val="en-GB"/>
              </w:rPr>
              <w:t>Brief description</w:t>
            </w:r>
          </w:p>
        </w:tc>
      </w:tr>
      <w:tr w:rsidR="001E3A53" w:rsidRPr="009E7235" w14:paraId="68293D2A" w14:textId="77777777" w:rsidTr="75A96201">
        <w:trPr>
          <w:trHeight w:val="39"/>
          <w:jc w:val="center"/>
        </w:trPr>
        <w:tc>
          <w:tcPr>
            <w:tcW w:w="1696" w:type="dxa"/>
            <w:vAlign w:val="center"/>
          </w:tcPr>
          <w:p w14:paraId="4571F905"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Agricom</w:t>
            </w:r>
            <w:proofErr w:type="spellEnd"/>
          </w:p>
        </w:tc>
        <w:tc>
          <w:tcPr>
            <w:tcW w:w="12829" w:type="dxa"/>
            <w:vAlign w:val="center"/>
          </w:tcPr>
          <w:p w14:paraId="406B1C4B" w14:textId="5B950A3C"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farmers and retailers to sell imperfect and surplus production and to liquidate unsold products to food &amp; beverage companies through an ad hoc marketplace.</w:t>
            </w:r>
          </w:p>
        </w:tc>
      </w:tr>
      <w:tr w:rsidR="001E3A53" w:rsidRPr="009E7235" w14:paraId="69F9FB02" w14:textId="77777777" w:rsidTr="75A96201">
        <w:trPr>
          <w:trHeight w:val="39"/>
          <w:jc w:val="center"/>
        </w:trPr>
        <w:tc>
          <w:tcPr>
            <w:tcW w:w="1696" w:type="dxa"/>
            <w:vAlign w:val="center"/>
          </w:tcPr>
          <w:p w14:paraId="111C5EE2" w14:textId="77777777" w:rsidR="00B93D26" w:rsidRPr="007B6B7A" w:rsidRDefault="00000000" w:rsidP="000F3FE2">
            <w:pPr>
              <w:spacing w:line="360" w:lineRule="auto"/>
              <w:jc w:val="center"/>
              <w:rPr>
                <w:rFonts w:ascii="Times New Roman" w:hAnsi="Times New Roman" w:cs="Times New Roman"/>
                <w:sz w:val="18"/>
                <w:szCs w:val="18"/>
                <w:lang w:val="en-GB"/>
              </w:rPr>
            </w:pPr>
            <w:r w:rsidRPr="007B6B7A">
              <w:rPr>
                <w:rFonts w:ascii="Times New Roman" w:hAnsi="Times New Roman" w:cs="Times New Roman"/>
                <w:sz w:val="18"/>
                <w:szCs w:val="18"/>
                <w:lang w:val="en-GB"/>
              </w:rPr>
              <w:t>Alveoli</w:t>
            </w:r>
          </w:p>
        </w:tc>
        <w:tc>
          <w:tcPr>
            <w:tcW w:w="12829" w:type="dxa"/>
            <w:vAlign w:val="center"/>
          </w:tcPr>
          <w:p w14:paraId="0870C9CA"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agri-food and related businesses to swap, sell, or share equipment, raw materials, human resources, information, and projects.</w:t>
            </w:r>
          </w:p>
        </w:tc>
      </w:tr>
      <w:tr w:rsidR="001E3A53" w:rsidRPr="009E7235" w14:paraId="45632931" w14:textId="77777777" w:rsidTr="75A96201">
        <w:trPr>
          <w:trHeight w:val="39"/>
          <w:jc w:val="center"/>
        </w:trPr>
        <w:tc>
          <w:tcPr>
            <w:tcW w:w="1696" w:type="dxa"/>
            <w:vAlign w:val="center"/>
          </w:tcPr>
          <w:p w14:paraId="361F7782"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Angowaste</w:t>
            </w:r>
            <w:proofErr w:type="spellEnd"/>
          </w:p>
        </w:tc>
        <w:tc>
          <w:tcPr>
            <w:tcW w:w="12829" w:type="dxa"/>
            <w:vAlign w:val="center"/>
          </w:tcPr>
          <w:p w14:paraId="703892C3" w14:textId="691BA340"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Connects the owners of segregated waste (companies or households) with players in the recycling industry to allow the purchase, sale, treatment, and transport of waste in Angola. Waste generators can display their waste on the platform by estimating the quantity and setting a price, while recycling/waste treatment entities can locate and purchase the waste they are interested in.</w:t>
            </w:r>
          </w:p>
        </w:tc>
      </w:tr>
      <w:tr w:rsidR="001E3A53" w:rsidRPr="009E7235" w14:paraId="6E43E0A4" w14:textId="77777777" w:rsidTr="75A96201">
        <w:trPr>
          <w:trHeight w:val="39"/>
          <w:jc w:val="center"/>
        </w:trPr>
        <w:tc>
          <w:tcPr>
            <w:tcW w:w="1696" w:type="dxa"/>
            <w:vAlign w:val="center"/>
          </w:tcPr>
          <w:p w14:paraId="08301B70"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Backacia</w:t>
            </w:r>
            <w:proofErr w:type="spellEnd"/>
          </w:p>
        </w:tc>
        <w:tc>
          <w:tcPr>
            <w:tcW w:w="12829" w:type="dxa"/>
            <w:vAlign w:val="center"/>
          </w:tcPr>
          <w:p w14:paraId="38995AF9"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construction and real estate professionals in implementing profitable operations that integrate reuse of resources either from surplus orders or professional quality deconstructed buildings, by leveraging its digital marketplace and the connection with well-identified local recovery channels.</w:t>
            </w:r>
          </w:p>
        </w:tc>
      </w:tr>
      <w:tr w:rsidR="001E3A53" w:rsidRPr="009E7235" w14:paraId="638A14D8" w14:textId="77777777" w:rsidTr="75A96201">
        <w:trPr>
          <w:trHeight w:val="39"/>
          <w:jc w:val="center"/>
        </w:trPr>
        <w:tc>
          <w:tcPr>
            <w:tcW w:w="1696" w:type="dxa"/>
            <w:vAlign w:val="center"/>
          </w:tcPr>
          <w:p w14:paraId="3D0DD9C8"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Beewe</w:t>
            </w:r>
            <w:proofErr w:type="spellEnd"/>
          </w:p>
        </w:tc>
        <w:tc>
          <w:tcPr>
            <w:tcW w:w="12829" w:type="dxa"/>
            <w:vAlign w:val="center"/>
          </w:tcPr>
          <w:p w14:paraId="57689E34"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industrial companies around the world to browse all inventory and put unused parts back into circulation through a buy-back or exchange principle.</w:t>
            </w:r>
          </w:p>
        </w:tc>
      </w:tr>
      <w:tr w:rsidR="001E3A53" w:rsidRPr="009E7235" w14:paraId="79A0D49F" w14:textId="77777777" w:rsidTr="75A96201">
        <w:trPr>
          <w:trHeight w:val="39"/>
          <w:jc w:val="center"/>
        </w:trPr>
        <w:tc>
          <w:tcPr>
            <w:tcW w:w="1696" w:type="dxa"/>
            <w:vAlign w:val="center"/>
          </w:tcPr>
          <w:p w14:paraId="434E8826"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Circado</w:t>
            </w:r>
            <w:proofErr w:type="spellEnd"/>
          </w:p>
        </w:tc>
        <w:tc>
          <w:tcPr>
            <w:tcW w:w="12829" w:type="dxa"/>
            <w:vAlign w:val="center"/>
          </w:tcPr>
          <w:p w14:paraId="36C9DFF0"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buyers and sellers from different sectors to exchange secondary resources. Its unique buyer-oriented trading mechanic separates the commercial details of buy requests and sell offers from the physical properties of side-streams and requested materials.</w:t>
            </w:r>
          </w:p>
        </w:tc>
      </w:tr>
      <w:tr w:rsidR="001E3A53" w:rsidRPr="009E7235" w14:paraId="0C24191B" w14:textId="77777777" w:rsidTr="75A96201">
        <w:trPr>
          <w:trHeight w:val="39"/>
          <w:jc w:val="center"/>
        </w:trPr>
        <w:tc>
          <w:tcPr>
            <w:tcW w:w="1696" w:type="dxa"/>
            <w:vAlign w:val="center"/>
          </w:tcPr>
          <w:p w14:paraId="2A09E12F" w14:textId="77777777" w:rsidR="00B93D26" w:rsidRPr="007B6B7A" w:rsidRDefault="00000000" w:rsidP="000F3FE2">
            <w:pPr>
              <w:spacing w:line="360" w:lineRule="auto"/>
              <w:jc w:val="center"/>
              <w:rPr>
                <w:rFonts w:ascii="Times New Roman" w:hAnsi="Times New Roman" w:cs="Times New Roman"/>
                <w:sz w:val="18"/>
                <w:szCs w:val="18"/>
                <w:lang w:val="en-GB"/>
              </w:rPr>
            </w:pPr>
            <w:r w:rsidRPr="007B6B7A">
              <w:rPr>
                <w:rFonts w:ascii="Times New Roman" w:hAnsi="Times New Roman" w:cs="Times New Roman"/>
                <w:sz w:val="18"/>
                <w:szCs w:val="18"/>
                <w:lang w:val="en-GB"/>
              </w:rPr>
              <w:t>Circularity</w:t>
            </w:r>
          </w:p>
        </w:tc>
        <w:tc>
          <w:tcPr>
            <w:tcW w:w="12829" w:type="dxa"/>
            <w:vAlign w:val="center"/>
          </w:tcPr>
          <w:p w14:paraId="581080A5" w14:textId="55D5C02F"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Allows for finding the best partners to give new life to waste and enables collaboration and peer-to-peer exchange of materials, thanks to its geo-referenced network of industrial companies that produce waste, companies that can use those wastes in their production processes, waste transformation plants, which make them become SRMs for new products, and authorized transporters.</w:t>
            </w:r>
          </w:p>
        </w:tc>
      </w:tr>
      <w:tr w:rsidR="001E3A53" w:rsidRPr="009E7235" w14:paraId="5A581CE7" w14:textId="77777777" w:rsidTr="75A96201">
        <w:trPr>
          <w:trHeight w:val="39"/>
          <w:jc w:val="center"/>
        </w:trPr>
        <w:tc>
          <w:tcPr>
            <w:tcW w:w="1696" w:type="dxa"/>
            <w:vAlign w:val="center"/>
          </w:tcPr>
          <w:p w14:paraId="5FE3C825"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Ecomateria</w:t>
            </w:r>
            <w:proofErr w:type="spellEnd"/>
          </w:p>
        </w:tc>
        <w:tc>
          <w:tcPr>
            <w:tcW w:w="12829" w:type="dxa"/>
            <w:vAlign w:val="center"/>
          </w:tcPr>
          <w:p w14:paraId="40821B24"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the connection between companies that produce material on site, companies that need material for their processing, recovery and disposal plants, transport companies, inert processing, service companies.</w:t>
            </w:r>
          </w:p>
        </w:tc>
      </w:tr>
      <w:tr w:rsidR="001E3A53" w:rsidRPr="009E7235" w14:paraId="7514C1BE" w14:textId="77777777" w:rsidTr="75A96201">
        <w:trPr>
          <w:trHeight w:val="39"/>
          <w:jc w:val="center"/>
        </w:trPr>
        <w:tc>
          <w:tcPr>
            <w:tcW w:w="1696" w:type="dxa"/>
            <w:vAlign w:val="center"/>
          </w:tcPr>
          <w:p w14:paraId="0159A82F" w14:textId="77777777" w:rsidR="00B93D26" w:rsidRPr="007B6B7A" w:rsidRDefault="00000000" w:rsidP="000F3FE2">
            <w:pPr>
              <w:spacing w:line="360" w:lineRule="auto"/>
              <w:jc w:val="center"/>
              <w:rPr>
                <w:rFonts w:ascii="Times New Roman" w:hAnsi="Times New Roman" w:cs="Times New Roman"/>
                <w:sz w:val="18"/>
                <w:szCs w:val="18"/>
                <w:lang w:val="en-GB"/>
              </w:rPr>
            </w:pPr>
            <w:r w:rsidRPr="007B6B7A">
              <w:rPr>
                <w:rFonts w:ascii="Times New Roman" w:hAnsi="Times New Roman" w:cs="Times New Roman"/>
                <w:sz w:val="18"/>
                <w:szCs w:val="18"/>
                <w:lang w:val="en-GB"/>
              </w:rPr>
              <w:t>Empower</w:t>
            </w:r>
          </w:p>
        </w:tc>
        <w:tc>
          <w:tcPr>
            <w:tcW w:w="12829" w:type="dxa"/>
            <w:vAlign w:val="center"/>
          </w:tcPr>
          <w:p w14:paraId="6795B384" w14:textId="77777777" w:rsidR="00B93D26" w:rsidRPr="007B6B7A" w:rsidRDefault="00000000" w:rsidP="75A96201">
            <w:pPr>
              <w:pStyle w:val="field-comment"/>
              <w:spacing w:before="0" w:beforeAutospacing="0" w:after="0" w:afterAutospacing="0" w:line="360" w:lineRule="auto"/>
              <w:jc w:val="center"/>
              <w:rPr>
                <w:sz w:val="18"/>
                <w:szCs w:val="18"/>
                <w:lang w:val="en-GB"/>
              </w:rPr>
            </w:pPr>
            <w:r w:rsidRPr="75A96201">
              <w:rPr>
                <w:sz w:val="18"/>
                <w:szCs w:val="18"/>
                <w:lang w:val="en-GB"/>
              </w:rPr>
              <w:t>Supports transparent and traceable collection, sourcing, and recycling of plastic waste globally (it currently operates in four continents). By exploiting blockchain, it enables aggregating data on collection and segregation at source of plastic waste, matching collection organisations with potential off-takers that can bring the materials into circular loops.</w:t>
            </w:r>
          </w:p>
        </w:tc>
      </w:tr>
      <w:tr w:rsidR="001E3A53" w:rsidRPr="009E7235" w14:paraId="191DBC5C" w14:textId="77777777" w:rsidTr="75A96201">
        <w:trPr>
          <w:trHeight w:val="39"/>
          <w:jc w:val="center"/>
        </w:trPr>
        <w:tc>
          <w:tcPr>
            <w:tcW w:w="1696" w:type="dxa"/>
            <w:vAlign w:val="center"/>
          </w:tcPr>
          <w:p w14:paraId="385985D1" w14:textId="77777777" w:rsidR="00B93D26" w:rsidRPr="007B6B7A" w:rsidRDefault="00000000" w:rsidP="000F3FE2">
            <w:pPr>
              <w:spacing w:line="360" w:lineRule="auto"/>
              <w:jc w:val="center"/>
              <w:rPr>
                <w:rFonts w:ascii="Times New Roman" w:hAnsi="Times New Roman" w:cs="Times New Roman"/>
                <w:sz w:val="18"/>
                <w:szCs w:val="18"/>
                <w:lang w:val="en-GB"/>
              </w:rPr>
            </w:pPr>
            <w:r w:rsidRPr="007B6B7A">
              <w:rPr>
                <w:rFonts w:ascii="Times New Roman" w:hAnsi="Times New Roman" w:cs="Times New Roman"/>
                <w:sz w:val="18"/>
                <w:szCs w:val="18"/>
                <w:lang w:val="en-GB"/>
              </w:rPr>
              <w:t>Excess Materials Exchange</w:t>
            </w:r>
          </w:p>
        </w:tc>
        <w:tc>
          <w:tcPr>
            <w:tcW w:w="12829" w:type="dxa"/>
            <w:vAlign w:val="center"/>
          </w:tcPr>
          <w:p w14:paraId="5D6F7D10"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companies to exchange any excess of B2B material, finding new high-value reuse options for materials or (waste) products.</w:t>
            </w:r>
          </w:p>
        </w:tc>
      </w:tr>
      <w:tr w:rsidR="001E3A53" w:rsidRPr="009E7235" w14:paraId="388F6431" w14:textId="77777777" w:rsidTr="75A96201">
        <w:trPr>
          <w:trHeight w:val="39"/>
          <w:jc w:val="center"/>
        </w:trPr>
        <w:tc>
          <w:tcPr>
            <w:tcW w:w="1696" w:type="dxa"/>
            <w:vAlign w:val="center"/>
          </w:tcPr>
          <w:p w14:paraId="24CFDE54"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Fixfirst</w:t>
            </w:r>
            <w:proofErr w:type="spellEnd"/>
          </w:p>
        </w:tc>
        <w:tc>
          <w:tcPr>
            <w:tcW w:w="12829" w:type="dxa"/>
            <w:vAlign w:val="center"/>
          </w:tcPr>
          <w:p w14:paraId="55910C3D" w14:textId="043ABADF"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Connects service providers, brands, and product users (businesses) across different product categories, such as electronics or fashion, to make circular services such as repair and refurbishment easy, accessible, and attractive.</w:t>
            </w:r>
          </w:p>
        </w:tc>
      </w:tr>
      <w:tr w:rsidR="001E3A53" w:rsidRPr="009E7235" w14:paraId="5DD49940" w14:textId="77777777" w:rsidTr="75A96201">
        <w:trPr>
          <w:trHeight w:val="39"/>
          <w:jc w:val="center"/>
        </w:trPr>
        <w:tc>
          <w:tcPr>
            <w:tcW w:w="1696" w:type="dxa"/>
            <w:vAlign w:val="center"/>
          </w:tcPr>
          <w:p w14:paraId="70037215"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Greentraders</w:t>
            </w:r>
            <w:proofErr w:type="spellEnd"/>
          </w:p>
        </w:tc>
        <w:tc>
          <w:tcPr>
            <w:tcW w:w="12829" w:type="dxa"/>
            <w:vAlign w:val="center"/>
          </w:tcPr>
          <w:p w14:paraId="4F3C7801" w14:textId="5C1FB0C9"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Offers companies professionally reconditioned products. It manages different ranges of products that can meet the needs of multiple professional activities, while ensuring the quality and ecological approach of its partners.</w:t>
            </w:r>
          </w:p>
        </w:tc>
      </w:tr>
      <w:tr w:rsidR="001E3A53" w:rsidRPr="009E7235" w14:paraId="53453774" w14:textId="77777777" w:rsidTr="75A96201">
        <w:trPr>
          <w:trHeight w:val="39"/>
          <w:jc w:val="center"/>
        </w:trPr>
        <w:tc>
          <w:tcPr>
            <w:tcW w:w="1696" w:type="dxa"/>
            <w:vAlign w:val="center"/>
          </w:tcPr>
          <w:p w14:paraId="400812C1" w14:textId="77777777" w:rsidR="00B93D26" w:rsidRPr="007B6B7A" w:rsidRDefault="00000000" w:rsidP="000F3FE2">
            <w:pPr>
              <w:spacing w:line="360" w:lineRule="auto"/>
              <w:jc w:val="center"/>
              <w:rPr>
                <w:rFonts w:ascii="Times New Roman" w:hAnsi="Times New Roman" w:cs="Times New Roman"/>
                <w:sz w:val="18"/>
                <w:szCs w:val="18"/>
                <w:lang w:val="en-GB"/>
              </w:rPr>
            </w:pPr>
            <w:r w:rsidRPr="007B6B7A">
              <w:rPr>
                <w:rFonts w:ascii="Times New Roman" w:hAnsi="Times New Roman" w:cs="Times New Roman"/>
                <w:sz w:val="18"/>
                <w:szCs w:val="18"/>
                <w:lang w:val="en-GB"/>
              </w:rPr>
              <w:t>Health share</w:t>
            </w:r>
          </w:p>
        </w:tc>
        <w:tc>
          <w:tcPr>
            <w:tcW w:w="12829" w:type="dxa"/>
            <w:vAlign w:val="center"/>
          </w:tcPr>
          <w:p w14:paraId="10C43C2D"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Canadian health care organizations, hospitals, and health-related businesses to efficiently match supply of and demand for medical devices materials excess stock personnel and facilities.</w:t>
            </w:r>
          </w:p>
        </w:tc>
      </w:tr>
      <w:tr w:rsidR="001E3A53" w:rsidRPr="009E7235" w14:paraId="4F66A77C" w14:textId="77777777" w:rsidTr="75A96201">
        <w:trPr>
          <w:trHeight w:val="142"/>
          <w:jc w:val="center"/>
        </w:trPr>
        <w:tc>
          <w:tcPr>
            <w:tcW w:w="1696" w:type="dxa"/>
            <w:vAlign w:val="center"/>
          </w:tcPr>
          <w:p w14:paraId="216D4452"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lastRenderedPageBreak/>
              <w:t>Intrakoop</w:t>
            </w:r>
            <w:proofErr w:type="spellEnd"/>
          </w:p>
        </w:tc>
        <w:tc>
          <w:tcPr>
            <w:tcW w:w="12829" w:type="dxa"/>
            <w:vAlign w:val="center"/>
          </w:tcPr>
          <w:p w14:paraId="77E2B5D5" w14:textId="77777777" w:rsidR="00B93D26" w:rsidRPr="007B6B7A" w:rsidRDefault="00000000" w:rsidP="000F3FE2">
            <w:pPr>
              <w:spacing w:line="360" w:lineRule="auto"/>
              <w:jc w:val="center"/>
              <w:rPr>
                <w:rFonts w:ascii="Times New Roman" w:hAnsi="Times New Roman" w:cs="Times New Roman"/>
                <w:sz w:val="18"/>
                <w:szCs w:val="18"/>
                <w:lang w:val="en-US"/>
              </w:rPr>
            </w:pPr>
            <w:r w:rsidRPr="75A96201">
              <w:rPr>
                <w:rFonts w:ascii="Times New Roman" w:hAnsi="Times New Roman" w:cs="Times New Roman"/>
                <w:sz w:val="18"/>
                <w:szCs w:val="18"/>
                <w:lang w:val="en-GB"/>
              </w:rPr>
              <w:t>Supports healthcare organizations located in the Netherlands to share demand or supply and to sell, rent, exchange, swap, or give away goods in order to make surplus stock from one healthcare organization available to another or enable the sharing of tools, furniture, services, facilities and other products that are not (temporarily) needed.</w:t>
            </w:r>
          </w:p>
        </w:tc>
      </w:tr>
      <w:tr w:rsidR="001E3A53" w:rsidRPr="009E7235" w14:paraId="62D31E9C" w14:textId="77777777" w:rsidTr="75A96201">
        <w:trPr>
          <w:trHeight w:val="142"/>
          <w:jc w:val="center"/>
        </w:trPr>
        <w:tc>
          <w:tcPr>
            <w:tcW w:w="1696" w:type="dxa"/>
            <w:vAlign w:val="center"/>
          </w:tcPr>
          <w:p w14:paraId="30342AAC"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Kudoti</w:t>
            </w:r>
            <w:proofErr w:type="spellEnd"/>
          </w:p>
        </w:tc>
        <w:tc>
          <w:tcPr>
            <w:tcW w:w="12829" w:type="dxa"/>
            <w:vAlign w:val="center"/>
          </w:tcPr>
          <w:p w14:paraId="5C55CE2B" w14:textId="46CDFC91"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Allows companies (as well as households and municipalities) to properly manage their waste, by adding waste data of any material within the platform and managing and displaying inventory to interested parties (e.g., collection points or recycling companies). All parties can order, sell, transport, and pay for materials, with full tracking of each stage and real-time updates.</w:t>
            </w:r>
          </w:p>
        </w:tc>
      </w:tr>
      <w:tr w:rsidR="001E3A53" w:rsidRPr="009E7235" w14:paraId="555F2B33" w14:textId="77777777" w:rsidTr="75A96201">
        <w:trPr>
          <w:trHeight w:val="145"/>
          <w:jc w:val="center"/>
        </w:trPr>
        <w:tc>
          <w:tcPr>
            <w:tcW w:w="1696" w:type="dxa"/>
            <w:vAlign w:val="center"/>
          </w:tcPr>
          <w:p w14:paraId="584A4274" w14:textId="77777777" w:rsidR="00B93D26" w:rsidRPr="007B6B7A" w:rsidRDefault="00000000" w:rsidP="000F3FE2">
            <w:pPr>
              <w:spacing w:line="360" w:lineRule="auto"/>
              <w:jc w:val="center"/>
              <w:rPr>
                <w:rFonts w:ascii="Times New Roman" w:hAnsi="Times New Roman" w:cs="Times New Roman"/>
                <w:sz w:val="18"/>
                <w:szCs w:val="18"/>
                <w:lang w:val="en-GB"/>
              </w:rPr>
            </w:pPr>
            <w:r w:rsidRPr="007B6B7A">
              <w:rPr>
                <w:rFonts w:ascii="Times New Roman" w:hAnsi="Times New Roman" w:cs="Times New Roman"/>
                <w:sz w:val="18"/>
                <w:szCs w:val="18"/>
                <w:lang w:val="en-GB"/>
              </w:rPr>
              <w:t>Materials Marketplace</w:t>
            </w:r>
          </w:p>
        </w:tc>
        <w:tc>
          <w:tcPr>
            <w:tcW w:w="12829" w:type="dxa"/>
            <w:vAlign w:val="center"/>
          </w:tcPr>
          <w:p w14:paraId="33E438AE"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companies in North America to exploit reuse and recycling market opportunities by creating a collaborative network of businesses, organizations, and entrepreneurs where one organization’s hard-to-recycle waste and by-products becomes another organization’s raw material.</w:t>
            </w:r>
          </w:p>
        </w:tc>
      </w:tr>
      <w:tr w:rsidR="001E3A53" w:rsidRPr="009E7235" w14:paraId="02DAA6E7" w14:textId="77777777" w:rsidTr="75A96201">
        <w:trPr>
          <w:trHeight w:val="25"/>
          <w:jc w:val="center"/>
        </w:trPr>
        <w:tc>
          <w:tcPr>
            <w:tcW w:w="1696" w:type="dxa"/>
            <w:vAlign w:val="center"/>
          </w:tcPr>
          <w:p w14:paraId="3F092203"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Parksharing</w:t>
            </w:r>
            <w:proofErr w:type="spellEnd"/>
          </w:p>
        </w:tc>
        <w:tc>
          <w:tcPr>
            <w:tcW w:w="12829" w:type="dxa"/>
            <w:vAlign w:val="center"/>
          </w:tcPr>
          <w:p w14:paraId="5C6AA8CD" w14:textId="7437665A"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 xml:space="preserve">Supports companies located nearby to match demand and supply of all kinds of assets, materials, and services. </w:t>
            </w:r>
            <w:r w:rsidR="00932EBC" w:rsidRPr="75A96201">
              <w:rPr>
                <w:rFonts w:ascii="Times New Roman" w:hAnsi="Times New Roman" w:cs="Times New Roman"/>
                <w:sz w:val="18"/>
                <w:szCs w:val="18"/>
                <w:lang w:val="en-GB"/>
              </w:rPr>
              <w:t>It</w:t>
            </w:r>
            <w:r w:rsidRPr="75A96201">
              <w:rPr>
                <w:rFonts w:ascii="Times New Roman" w:hAnsi="Times New Roman" w:cs="Times New Roman"/>
                <w:sz w:val="18"/>
                <w:szCs w:val="18"/>
                <w:lang w:val="en-GB"/>
              </w:rPr>
              <w:t xml:space="preserve"> gives visibility to companies and organisations that are available locally and to how they can benefit from each other. For example, companies can match and share supply and demand of assets, materials, residual flows, services, personnel, and facilities.</w:t>
            </w:r>
          </w:p>
        </w:tc>
      </w:tr>
      <w:tr w:rsidR="001E3A53" w:rsidRPr="009E7235" w14:paraId="4705783B" w14:textId="77777777" w:rsidTr="75A96201">
        <w:trPr>
          <w:trHeight w:val="142"/>
          <w:jc w:val="center"/>
        </w:trPr>
        <w:tc>
          <w:tcPr>
            <w:tcW w:w="1696" w:type="dxa"/>
            <w:vAlign w:val="center"/>
          </w:tcPr>
          <w:p w14:paraId="1941AB03"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Pharmaswap</w:t>
            </w:r>
            <w:proofErr w:type="spellEnd"/>
          </w:p>
        </w:tc>
        <w:tc>
          <w:tcPr>
            <w:tcW w:w="12829" w:type="dxa"/>
            <w:vAlign w:val="center"/>
          </w:tcPr>
          <w:p w14:paraId="074A4353" w14:textId="44E596DA"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Enables an optimal usage of medication already in the market approaching the expiration date. Through the platform, pharmacists can share demand and supply of subscription medication, while wholesalers can share stock approaching the expiry date.</w:t>
            </w:r>
          </w:p>
        </w:tc>
      </w:tr>
      <w:tr w:rsidR="001E3A53" w:rsidRPr="009E7235" w14:paraId="363F6242" w14:textId="77777777" w:rsidTr="75A96201">
        <w:trPr>
          <w:trHeight w:val="142"/>
          <w:jc w:val="center"/>
        </w:trPr>
        <w:tc>
          <w:tcPr>
            <w:tcW w:w="1696" w:type="dxa"/>
            <w:vAlign w:val="center"/>
          </w:tcPr>
          <w:p w14:paraId="37E2484D"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Plastship</w:t>
            </w:r>
            <w:proofErr w:type="spellEnd"/>
          </w:p>
        </w:tc>
        <w:tc>
          <w:tcPr>
            <w:tcW w:w="12829" w:type="dxa"/>
            <w:vAlign w:val="center"/>
          </w:tcPr>
          <w:p w14:paraId="7EFC75C7" w14:textId="3FDD305A" w:rsidR="00B93D26" w:rsidRPr="007B6B7A" w:rsidRDefault="00000000" w:rsidP="000F3FE2">
            <w:pPr>
              <w:spacing w:line="360" w:lineRule="auto"/>
              <w:jc w:val="center"/>
              <w:rPr>
                <w:rFonts w:ascii="Times New Roman" w:hAnsi="Times New Roman" w:cs="Times New Roman"/>
                <w:sz w:val="18"/>
                <w:szCs w:val="18"/>
                <w:lang w:val="en-US"/>
              </w:rPr>
            </w:pPr>
            <w:r w:rsidRPr="75A96201">
              <w:rPr>
                <w:rFonts w:ascii="Times New Roman" w:hAnsi="Times New Roman" w:cs="Times New Roman"/>
                <w:sz w:val="18"/>
                <w:szCs w:val="18"/>
                <w:lang w:val="en-GB"/>
              </w:rPr>
              <w:t>Promotes sustainability in the use of plastics throughout Europe, with the objective to collectively create closed loops in plastics recycling by supporting the recovery and recycling of plastics thanks to its experience in the industry (from the collection of recyclable plastics from end-users to the use of plastic re-granulates in products).</w:t>
            </w:r>
          </w:p>
        </w:tc>
      </w:tr>
      <w:tr w:rsidR="001E3A53" w:rsidRPr="009E7235" w14:paraId="2E0BCD07" w14:textId="77777777" w:rsidTr="75A96201">
        <w:trPr>
          <w:trHeight w:val="142"/>
          <w:jc w:val="center"/>
        </w:trPr>
        <w:tc>
          <w:tcPr>
            <w:tcW w:w="1696" w:type="dxa"/>
            <w:vAlign w:val="center"/>
          </w:tcPr>
          <w:p w14:paraId="38A94755" w14:textId="77777777" w:rsidR="00B93D26" w:rsidRPr="007B6B7A" w:rsidRDefault="00000000" w:rsidP="000F3FE2">
            <w:pPr>
              <w:spacing w:line="360" w:lineRule="auto"/>
              <w:jc w:val="center"/>
              <w:rPr>
                <w:rFonts w:ascii="Times New Roman" w:hAnsi="Times New Roman" w:cs="Times New Roman"/>
                <w:sz w:val="18"/>
                <w:szCs w:val="18"/>
                <w:lang w:val="en-GB"/>
              </w:rPr>
            </w:pPr>
            <w:r w:rsidRPr="007B6B7A">
              <w:rPr>
                <w:rFonts w:ascii="Times New Roman" w:hAnsi="Times New Roman" w:cs="Times New Roman"/>
                <w:sz w:val="18"/>
                <w:szCs w:val="18"/>
                <w:lang w:val="en-GB"/>
              </w:rPr>
              <w:t>Re-sign</w:t>
            </w:r>
          </w:p>
        </w:tc>
        <w:tc>
          <w:tcPr>
            <w:tcW w:w="12829" w:type="dxa"/>
            <w:vAlign w:val="center"/>
          </w:tcPr>
          <w:p w14:paraId="51225B0C"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companies in the architecture and construction sector to exchange resources, building materials, and second-hand building components.</w:t>
            </w:r>
          </w:p>
        </w:tc>
      </w:tr>
      <w:tr w:rsidR="001E3A53" w:rsidRPr="009E7235" w14:paraId="37CC3E14" w14:textId="77777777" w:rsidTr="75A96201">
        <w:trPr>
          <w:trHeight w:val="142"/>
          <w:jc w:val="center"/>
        </w:trPr>
        <w:tc>
          <w:tcPr>
            <w:tcW w:w="1696" w:type="dxa"/>
            <w:vAlign w:val="center"/>
          </w:tcPr>
          <w:p w14:paraId="15C54E14"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Saveadd</w:t>
            </w:r>
            <w:proofErr w:type="spellEnd"/>
          </w:p>
        </w:tc>
        <w:tc>
          <w:tcPr>
            <w:tcW w:w="12829" w:type="dxa"/>
            <w:vAlign w:val="center"/>
          </w:tcPr>
          <w:p w14:paraId="4D510226" w14:textId="1FBEEE5B"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Manages and trades or donates supermarket and wholesaler surpluses by exploiting artificial intelligence and auditing and controlling transactions through smart permit contracts. It connects supermarkets and grocers with idle surpluses and businesses interested in buying them or NGOs that can receive donations and get a subsidized price, thereby adding value to products that would otherwise be discarded.</w:t>
            </w:r>
          </w:p>
        </w:tc>
      </w:tr>
      <w:tr w:rsidR="001E3A53" w:rsidRPr="009E7235" w14:paraId="5976DB58" w14:textId="77777777" w:rsidTr="75A96201">
        <w:trPr>
          <w:trHeight w:val="142"/>
          <w:jc w:val="center"/>
        </w:trPr>
        <w:tc>
          <w:tcPr>
            <w:tcW w:w="1696" w:type="dxa"/>
            <w:vAlign w:val="center"/>
          </w:tcPr>
          <w:p w14:paraId="317649AD"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Seginus</w:t>
            </w:r>
            <w:proofErr w:type="spellEnd"/>
          </w:p>
        </w:tc>
        <w:tc>
          <w:tcPr>
            <w:tcW w:w="12829" w:type="dxa"/>
            <w:vAlign w:val="center"/>
          </w:tcPr>
          <w:p w14:paraId="21F54578"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 xml:space="preserve">Supports the comprehensive management of end-of-life tyres in Latin America through a collective system which involves actors in the tyre value chain as well as companies dedicated to recycling. </w:t>
            </w:r>
          </w:p>
        </w:tc>
      </w:tr>
      <w:tr w:rsidR="001E3A53" w:rsidRPr="009E7235" w14:paraId="32E515C3" w14:textId="77777777" w:rsidTr="75A96201">
        <w:trPr>
          <w:trHeight w:val="142"/>
          <w:jc w:val="center"/>
        </w:trPr>
        <w:tc>
          <w:tcPr>
            <w:tcW w:w="1696" w:type="dxa"/>
            <w:vAlign w:val="center"/>
          </w:tcPr>
          <w:p w14:paraId="3FC99523"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Sfridoo</w:t>
            </w:r>
            <w:proofErr w:type="spellEnd"/>
          </w:p>
        </w:tc>
        <w:tc>
          <w:tcPr>
            <w:tcW w:w="12829" w:type="dxa"/>
            <w:vAlign w:val="center"/>
          </w:tcPr>
          <w:p w14:paraId="336B3536"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companies to buy and sell scrap, by-products, inventories, and corporate assets as well as preliminary activities such as company assessment (to identify and value scrap, by-products, inventories, and unused corporate assets) and technical and regulatory support.</w:t>
            </w:r>
          </w:p>
        </w:tc>
      </w:tr>
      <w:tr w:rsidR="001E3A53" w:rsidRPr="009E7235" w14:paraId="0755A23B" w14:textId="77777777" w:rsidTr="75A96201">
        <w:trPr>
          <w:trHeight w:val="142"/>
          <w:jc w:val="center"/>
        </w:trPr>
        <w:tc>
          <w:tcPr>
            <w:tcW w:w="1696" w:type="dxa"/>
            <w:vAlign w:val="center"/>
          </w:tcPr>
          <w:p w14:paraId="198095B6"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Wastly</w:t>
            </w:r>
            <w:proofErr w:type="spellEnd"/>
          </w:p>
        </w:tc>
        <w:tc>
          <w:tcPr>
            <w:tcW w:w="12829" w:type="dxa"/>
            <w:vAlign w:val="center"/>
          </w:tcPr>
          <w:p w14:paraId="74FC1F9C" w14:textId="52F4E008"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Contributes to the creation of a dynamic market of Secondary Raw Materials (SRMs). On the one hand, it supports companies in effectively managing their waste by matching them with others that deal with waste collection, transport, and treatment. On the other hand, it supports companies in the recycling value chain (e.g., those dealing with collection or recycling) by finding them the right partners to conduct their business. Furthermore, it encourages the use of recycled materials by promoting awareness campaigns involving schools.</w:t>
            </w:r>
          </w:p>
        </w:tc>
      </w:tr>
      <w:tr w:rsidR="001E3A53" w:rsidRPr="009E7235" w14:paraId="1A37F468" w14:textId="77777777" w:rsidTr="75A96201">
        <w:trPr>
          <w:trHeight w:val="142"/>
          <w:jc w:val="center"/>
        </w:trPr>
        <w:tc>
          <w:tcPr>
            <w:tcW w:w="1696" w:type="dxa"/>
            <w:vAlign w:val="center"/>
          </w:tcPr>
          <w:p w14:paraId="7B3D5CF7"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Werflink</w:t>
            </w:r>
            <w:proofErr w:type="spellEnd"/>
          </w:p>
        </w:tc>
        <w:tc>
          <w:tcPr>
            <w:tcW w:w="12829" w:type="dxa"/>
            <w:vAlign w:val="center"/>
          </w:tcPr>
          <w:p w14:paraId="7C245E06" w14:textId="77777777"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construction companies to swap, sell, and share construction equipment, materials, services, transport, and storage facilities.</w:t>
            </w:r>
          </w:p>
        </w:tc>
      </w:tr>
      <w:tr w:rsidR="001E3A53" w:rsidRPr="009E7235" w14:paraId="3E9A32AB" w14:textId="77777777" w:rsidTr="75A96201">
        <w:trPr>
          <w:trHeight w:val="142"/>
          <w:jc w:val="center"/>
        </w:trPr>
        <w:tc>
          <w:tcPr>
            <w:tcW w:w="1696" w:type="dxa"/>
            <w:vAlign w:val="center"/>
          </w:tcPr>
          <w:p w14:paraId="6FA806BB" w14:textId="77777777" w:rsidR="00B93D26" w:rsidRPr="007B6B7A" w:rsidRDefault="00000000" w:rsidP="000F3FE2">
            <w:pPr>
              <w:spacing w:line="360" w:lineRule="auto"/>
              <w:jc w:val="center"/>
              <w:rPr>
                <w:rFonts w:ascii="Times New Roman" w:hAnsi="Times New Roman" w:cs="Times New Roman"/>
                <w:sz w:val="18"/>
                <w:szCs w:val="18"/>
                <w:lang w:val="en-GB"/>
              </w:rPr>
            </w:pPr>
            <w:proofErr w:type="spellStart"/>
            <w:r w:rsidRPr="007B6B7A">
              <w:rPr>
                <w:rFonts w:ascii="Times New Roman" w:hAnsi="Times New Roman" w:cs="Times New Roman"/>
                <w:sz w:val="18"/>
                <w:szCs w:val="18"/>
                <w:lang w:val="en-GB"/>
              </w:rPr>
              <w:t>Yo</w:t>
            </w:r>
            <w:proofErr w:type="spellEnd"/>
            <w:r w:rsidRPr="007B6B7A">
              <w:rPr>
                <w:rFonts w:ascii="Times New Roman" w:hAnsi="Times New Roman" w:cs="Times New Roman"/>
                <w:sz w:val="18"/>
                <w:szCs w:val="18"/>
                <w:lang w:val="en-GB"/>
              </w:rPr>
              <w:t>-waste</w:t>
            </w:r>
          </w:p>
        </w:tc>
        <w:tc>
          <w:tcPr>
            <w:tcW w:w="12829" w:type="dxa"/>
            <w:vAlign w:val="center"/>
          </w:tcPr>
          <w:p w14:paraId="1C1722AE" w14:textId="6DD2876C" w:rsidR="00B93D26" w:rsidRPr="007B6B7A" w:rsidRDefault="00000000" w:rsidP="000F3FE2">
            <w:pPr>
              <w:spacing w:line="360" w:lineRule="auto"/>
              <w:jc w:val="center"/>
              <w:rPr>
                <w:rFonts w:ascii="Times New Roman" w:hAnsi="Times New Roman" w:cs="Times New Roman"/>
                <w:sz w:val="18"/>
                <w:szCs w:val="18"/>
                <w:lang w:val="en-GB"/>
              </w:rPr>
            </w:pPr>
            <w:r w:rsidRPr="75A96201">
              <w:rPr>
                <w:rFonts w:ascii="Times New Roman" w:hAnsi="Times New Roman" w:cs="Times New Roman"/>
                <w:sz w:val="18"/>
                <w:szCs w:val="18"/>
                <w:lang w:val="en-GB"/>
              </w:rPr>
              <w:t>Supports companies (and households) to collect and recycle commercial waste through the exploitation of trucks, mobile app, and a network of partner local waste collectors &amp; haulers.</w:t>
            </w:r>
          </w:p>
        </w:tc>
      </w:tr>
    </w:tbl>
    <w:p w14:paraId="3C96B292" w14:textId="77777777" w:rsidR="00B93D26" w:rsidRPr="007B6B7A" w:rsidRDefault="00B93D26" w:rsidP="001E3A53">
      <w:pPr>
        <w:spacing w:line="360" w:lineRule="auto"/>
        <w:jc w:val="both"/>
        <w:rPr>
          <w:rFonts w:ascii="Times New Roman" w:hAnsi="Times New Roman" w:cs="Times New Roman"/>
          <w:sz w:val="24"/>
          <w:szCs w:val="24"/>
          <w:lang w:val="en-GB"/>
        </w:rPr>
        <w:sectPr w:rsidR="00B93D26" w:rsidRPr="007B6B7A" w:rsidSect="001E3A53">
          <w:pgSz w:w="16838" w:h="11906" w:orient="landscape"/>
          <w:pgMar w:top="1134" w:right="1417" w:bottom="1134" w:left="1134" w:header="708" w:footer="708" w:gutter="0"/>
          <w:cols w:space="708"/>
          <w:docGrid w:linePitch="360"/>
        </w:sectPr>
      </w:pPr>
    </w:p>
    <w:p w14:paraId="7C4D6CD1" w14:textId="77777777" w:rsidR="00B93D26" w:rsidRPr="004B1CF3" w:rsidRDefault="00000000" w:rsidP="004B1CF3">
      <w:pPr>
        <w:spacing w:after="0" w:line="360" w:lineRule="auto"/>
        <w:rPr>
          <w:rFonts w:ascii="Times New Roman" w:eastAsiaTheme="majorEastAsia" w:hAnsi="Times New Roman" w:cs="Times New Roman"/>
          <w:b/>
          <w:bCs/>
          <w:i/>
          <w:iCs/>
          <w:sz w:val="24"/>
          <w:szCs w:val="24"/>
          <w:lang w:val="en-GB"/>
        </w:rPr>
      </w:pPr>
      <w:r>
        <w:rPr>
          <w:rFonts w:ascii="Times New Roman" w:eastAsiaTheme="majorEastAsia" w:hAnsi="Times New Roman" w:cs="Times New Roman"/>
          <w:b/>
          <w:bCs/>
          <w:i/>
          <w:iCs/>
          <w:sz w:val="24"/>
          <w:szCs w:val="24"/>
          <w:lang w:val="en-GB"/>
        </w:rPr>
        <w:lastRenderedPageBreak/>
        <w:t>3</w:t>
      </w:r>
      <w:r w:rsidRPr="00F7590D">
        <w:rPr>
          <w:rFonts w:ascii="Times New Roman" w:eastAsiaTheme="majorEastAsia" w:hAnsi="Times New Roman" w:cs="Times New Roman"/>
          <w:b/>
          <w:bCs/>
          <w:i/>
          <w:iCs/>
          <w:sz w:val="24"/>
          <w:szCs w:val="24"/>
          <w:lang w:val="en-GB"/>
        </w:rPr>
        <w:t>.</w:t>
      </w:r>
      <w:r>
        <w:rPr>
          <w:rFonts w:ascii="Times New Roman" w:eastAsiaTheme="majorEastAsia" w:hAnsi="Times New Roman" w:cs="Times New Roman"/>
          <w:b/>
          <w:bCs/>
          <w:i/>
          <w:iCs/>
          <w:sz w:val="24"/>
          <w:szCs w:val="24"/>
          <w:lang w:val="en-GB"/>
        </w:rPr>
        <w:t>2</w:t>
      </w:r>
      <w:r w:rsidRPr="00F7590D">
        <w:rPr>
          <w:rFonts w:ascii="Times New Roman" w:eastAsiaTheme="majorEastAsia" w:hAnsi="Times New Roman" w:cs="Times New Roman"/>
          <w:b/>
          <w:bCs/>
          <w:i/>
          <w:iCs/>
          <w:sz w:val="24"/>
          <w:szCs w:val="24"/>
          <w:lang w:val="en-GB"/>
        </w:rPr>
        <w:t xml:space="preserve"> </w:t>
      </w:r>
      <w:r>
        <w:rPr>
          <w:rFonts w:ascii="Times New Roman" w:eastAsiaTheme="majorEastAsia" w:hAnsi="Times New Roman" w:cs="Times New Roman"/>
          <w:b/>
          <w:bCs/>
          <w:i/>
          <w:iCs/>
          <w:sz w:val="24"/>
          <w:szCs w:val="24"/>
          <w:lang w:val="en-GB"/>
        </w:rPr>
        <w:t xml:space="preserve">Analysis of the </w:t>
      </w:r>
      <w:r w:rsidRPr="004857B7">
        <w:rPr>
          <w:rFonts w:ascii="Times New Roman" w:eastAsiaTheme="majorEastAsia" w:hAnsi="Times New Roman" w:cs="Times New Roman"/>
          <w:b/>
          <w:bCs/>
          <w:i/>
          <w:iCs/>
          <w:sz w:val="24"/>
          <w:szCs w:val="24"/>
          <w:lang w:val="en-GB"/>
        </w:rPr>
        <w:t>MSPs</w:t>
      </w:r>
      <w:r>
        <w:rPr>
          <w:rFonts w:ascii="Times New Roman" w:eastAsiaTheme="majorEastAsia" w:hAnsi="Times New Roman" w:cs="Times New Roman"/>
          <w:b/>
          <w:bCs/>
          <w:i/>
          <w:iCs/>
          <w:sz w:val="24"/>
          <w:szCs w:val="24"/>
          <w:lang w:val="en-GB"/>
        </w:rPr>
        <w:t xml:space="preserve">: </w:t>
      </w:r>
      <w:r w:rsidRPr="00BD446D">
        <w:rPr>
          <w:rFonts w:ascii="Times New Roman" w:eastAsiaTheme="majorEastAsia" w:hAnsi="Times New Roman" w:cs="Times New Roman"/>
          <w:b/>
          <w:bCs/>
          <w:i/>
          <w:iCs/>
          <w:sz w:val="24"/>
          <w:szCs w:val="24"/>
          <w:lang w:val="en-GB"/>
        </w:rPr>
        <w:t>Delphi method and Delphi study design</w:t>
      </w:r>
    </w:p>
    <w:p w14:paraId="41548FB4" w14:textId="17726446" w:rsidR="00B93D26" w:rsidRDefault="00000000" w:rsidP="00686DB9">
      <w:pPr>
        <w:spacing w:after="0" w:line="360" w:lineRule="auto"/>
        <w:jc w:val="both"/>
        <w:rPr>
          <w:rFonts w:ascii="Times New Roman" w:hAnsi="Times New Roman" w:cs="Times New Roman"/>
          <w:sz w:val="24"/>
          <w:szCs w:val="24"/>
          <w:lang w:val="en-GB"/>
        </w:rPr>
      </w:pPr>
      <w:r w:rsidRPr="75A96201">
        <w:rPr>
          <w:rFonts w:ascii="Times New Roman" w:eastAsiaTheme="majorEastAsia" w:hAnsi="Times New Roman" w:cs="Times New Roman"/>
          <w:sz w:val="24"/>
          <w:szCs w:val="24"/>
          <w:lang w:val="en-GB"/>
        </w:rPr>
        <w:t>T</w:t>
      </w:r>
      <w:r w:rsidRPr="75A96201">
        <w:rPr>
          <w:rFonts w:ascii="Times New Roman" w:hAnsi="Times New Roman" w:cs="Times New Roman"/>
          <w:sz w:val="24"/>
          <w:szCs w:val="24"/>
          <w:lang w:val="en-GB"/>
        </w:rPr>
        <w:t>he analysis of the identified MSPs involved the same panel of experts. Interestingly, there are several studies in different domains of the CE topic where the opinions of experts are</w:t>
      </w:r>
      <w:r w:rsidR="00DB543B">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leveraged using different methods, such as semi-structured interviews, surveys, Delphi studies, and workshops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{"citationItems":[{"id":"ITEM-1","itemData":{"DOI":"10.1016/J.JCLEPRO.2021.128574","ISSN":"0959-6526","abstract":"The Circular Economy (CE) concept has received immense traction among various stakeholders. This study aims to provide an assessment of its evolution and its positioning amidst “competing” concepts in the academic discourse. We do so by a mixed-methods approach combining text mining (topic modelling on CE literature) and Delphi study with 68 international scholars. In its evolution, we observe a structural change in the years 2014–2015 characterised by CE research undergoing immense proliferation, adopting a distinct line of inquiry from industrial ecology, becoming dispersed across topics and shifting from macro to micro-level interventions. This change is attributed to the use of CE to denote ideas and practices that existed before, increased interest from policymakers, adoption of CE terminology by businesses, and the research cycle of the concept itself shifting from being exploratory into different areas of practical implementation. In its positioning, we observe that scholars use several other “competing” concepts along with CE and do not consider it dominant despite the immense attention. The reason being, mainstream CE research is largely focussed on resource flows with limited attention to some of the long-term environmental challenges and it also overlooks the social dimension of sustainability, notwithstanding the efforts to make it inclusive. This study provides further impetus to academic knowledge on CE by a combination of quantitative analysis with a systematic, expert-based interpretive assessment of the literature. The enumeration of a wide range of concepts used by scholars provides an overview and a conceptual toolkit to researchers and newcomers to the field. This study also provides a set of informed future research avenues based on the expert assessment. The methodological contribution is of additional value to the research community.","author":[{"dropping-particle":"","family":"Mahanty","given":"Sampriti","non-dropping-particle":"","parse-names":false,"suffix":""},{"dropping-particle":"","family":"Boons","given":"Frank","non-dropping-particle":"","parse-names":false,"suffix":""},{"dropping-particle":"","family":"Handl","given":"Julia","non-dropping-particle":"","parse-names":false,"suffix":""},{"dropping-particle":"","family":"Batista-Navarro","given":"Riza","non-dropping-particle":"","parse-names":false,"suffix":""}],"container-title":"Journal of Cleaner Production","id":"ITEM-1","issued":{"date-parts":[["2021","10","15"]]},"page":"128574","publisher":"Elsevier","title":"An investigation of academic perspectives on the ‘circular economy’ using text mining and a Delphi study","type":"article-journal","volume":"319"},"uris":["http://www.mendeley.com/documents/?uuid=97a1ccd9-8b78-3ec5-8f96-7886214732c5"]}],"mendeley":{"formattedCitation":"(Mahanty et al., 2021)","plainTextFormattedCitation":"(Mahanty et al., 2021)","previouslyFormattedCitation":"(Mahanty et al., 2021)"},"properties":{"noteIndex":0},"schema":"https://github.com/citation-style-language/schema/raw/master/csl-citation.json"}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(Mahanty et al., 2021)</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p>
    <w:p w14:paraId="5AED1BED" w14:textId="080ACA1D" w:rsidR="00DB543B" w:rsidRDefault="00267CFB" w:rsidP="00531EE1">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Among them</w:t>
      </w:r>
      <w:r w:rsidRPr="75A96201">
        <w:rPr>
          <w:rFonts w:ascii="Times New Roman" w:hAnsi="Times New Roman" w:cs="Times New Roman"/>
          <w:sz w:val="24"/>
          <w:szCs w:val="24"/>
          <w:lang w:val="en-GB"/>
        </w:rPr>
        <w:t xml:space="preserve">, the present research leveraged the Delphi method, i.e., a group process used to survey and collect expert opinions on a particular subject </w:t>
      </w:r>
      <w:r w:rsidRPr="75A96201">
        <w:rPr>
          <w:rFonts w:ascii="Times New Roman" w:hAnsi="Times New Roman" w:cs="Times New Roman"/>
          <w:sz w:val="24"/>
          <w:szCs w:val="24"/>
          <w:lang w:val="en-GB"/>
        </w:rPr>
        <w:fldChar w:fldCharType="begin" w:fldLock="1"/>
      </w:r>
      <w:r w:rsidR="00282DE6">
        <w:rPr>
          <w:rFonts w:ascii="Times New Roman" w:hAnsi="Times New Roman" w:cs="Times New Roman"/>
          <w:sz w:val="24"/>
          <w:szCs w:val="24"/>
          <w:lang w:val="en-GB"/>
        </w:rPr>
        <w:instrText>ADDIN CSL_CITATION {"citationItems":[{"id":"ITEM-1","itemData":{"ISSN":"1527-9359","author":[{"dropping-particle":"","family":"Yousuf","given":"Muhammad","non-dropping-particle":"","parse-names":false,"suffix":""}],"container-title":"Essays in Education","id":"ITEM-1","issue":"1","issued":{"date-parts":[["2007","3","1"]]},"title":"The Delphi Technique","type":"article-journal","volume":"20"},"uris":["http://www.mendeley.com/documents/?uuid=1601c6a0-7f50-3684-8b2b-2d70cd1e174d"]}],"mendeley":{"formattedCitation":"(Yousuf, 2007)","manualFormatting":"(Yousuf, 2007).","plainTextFormattedCitation":"(Yousuf, 2007)","previouslyFormattedCitation":"(Yousuf, 2007)"},"properties":{"noteIndex":0},"schema":"https://github.com/citation-style-language/schema/raw/master/csl-citation.json"}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(Yousuf, 2007).</w:t>
      </w:r>
      <w:r w:rsidRPr="75A96201">
        <w:rPr>
          <w:rFonts w:ascii="Times New Roman" w:hAnsi="Times New Roman" w:cs="Times New Roman"/>
          <w:sz w:val="24"/>
          <w:szCs w:val="24"/>
          <w:lang w:val="en-GB"/>
        </w:rPr>
        <w:fldChar w:fldCharType="end"/>
      </w:r>
      <w:r w:rsidRPr="75A96201">
        <w:rPr>
          <w:rFonts w:ascii="Times New Roman" w:hAnsi="Times New Roman" w:cs="Times New Roman"/>
          <w:noProof/>
          <w:sz w:val="24"/>
          <w:szCs w:val="24"/>
          <w:lang w:val="en-GB"/>
        </w:rPr>
        <w:t xml:space="preserve"> The method</w:t>
      </w:r>
      <w:r w:rsidR="00DB543B">
        <w:rPr>
          <w:rFonts w:ascii="Times New Roman" w:hAnsi="Times New Roman" w:cs="Times New Roman"/>
          <w:noProof/>
          <w:sz w:val="24"/>
          <w:szCs w:val="24"/>
          <w:lang w:val="en-GB"/>
        </w:rPr>
        <w:t xml:space="preserve"> </w:t>
      </w:r>
      <w:r w:rsidRPr="75A96201">
        <w:rPr>
          <w:rFonts w:ascii="Times New Roman" w:hAnsi="Times New Roman" w:cs="Times New Roman"/>
          <w:sz w:val="24"/>
          <w:szCs w:val="24"/>
          <w:lang w:val="en-GB"/>
        </w:rPr>
        <w:t xml:space="preserve">is especially helpful in the exploration of information in cases where there is insufficient historical data, knowledge, or agreement in the field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{"citationItems":[{"id":"ITEM-1","itemData":{"DOI":"10.1016/J.IM.2003.11.002","ISSN":"0378-7206","abstract":"The Delphi method has proven a popular tool in information systems research for identifying and prioritizing issues for managerial decision-making. However, many past studies have not adopted a systematic approach to conduct a Delphi study. This article provides rigorous guidelines for the process of selecting appropriate experts for the study and gives detailed principles for making design choices during the process that ensure a valid study. A detailed example of a study to identify key factors affecting the diffusion of e-commerce in Sub-Saharan Africa illustrates the design choices that may be involved. We conclude with suggestions for theoretical applications. © 2004 Elsevier B.V. All rights reserved.","author":[{"dropping-particle":"","family":"Okoli","given":"Chitu","non-dropping-particle":"","parse-names":false,"suffix":""},{"dropping-particle":"","family":"Pawlowski","given":"Suanne D.","non-dropping-particle":"","parse-names":false,"suffix":""}],"container-title":"Information &amp; Management","id":"ITEM-1","issue":"1","issued":{"date-parts":[["2004","12","1"]]},"page":"15-29","publisher":"North-Holland","title":"The Delphi method as a research tool: an example, design considerations and applications","type":"article-journal","volume":"42"},"uris":["http://www.mendeley.com/documents/?uuid=2896dfd1-6986-3fae-9edf-bea4f69c2c0e"]}],"mendeley":{"formattedCitation":"(Okoli &amp; Pawlowski, 2004)","plainTextFormattedCitation":"(Okoli &amp; Pawlowski, 2004)","previouslyFormattedCitation":"(Okoli &amp; Pawlowski, 2004)"},"properties":{"noteIndex":0},"schema":"https://github.com/citation-style-language/schema/raw/master/csl-citation.json"}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(Okoli &amp; Pawlowski, 2004)</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as in our case. The Delphi method has been applied in a wide range of studies </w:t>
      </w:r>
      <w:r w:rsidRPr="75A96201">
        <w:rPr>
          <w:rFonts w:ascii="Times New Roman" w:hAnsi="Times New Roman" w:cs="Times New Roman"/>
          <w:sz w:val="24"/>
          <w:szCs w:val="24"/>
          <w:lang w:val="en-GB"/>
        </w:rPr>
        <w:fldChar w:fldCharType="begin" w:fldLock="1"/>
      </w:r>
      <w:r w:rsidR="005C4CF4">
        <w:rPr>
          <w:rFonts w:ascii="Times New Roman" w:hAnsi="Times New Roman" w:cs="Times New Roman"/>
          <w:sz w:val="24"/>
          <w:szCs w:val="24"/>
          <w:lang w:val="en-GB"/>
        </w:rPr>
        <w:instrText>ADDIN CSL_CITATION {"citationItems":[{"id":"ITEM-1","itemData":{"DOI":"10.1016/S0160-7383(99)00094-8","ISSN":"0160-7383","abstract":"This article discusses the findings of a Delphi survey of owners and managers of historic properties, officers of heritage-based organizations, consultants, and academics from across the United Kingdom. The purpose of the study was to investigate the major constraints and imperatives relating to the long-term management of built heritage attractions. Three related issues were assessed: the fundamental mission of heritage attractions; the factors which impact upon decisions relating to charging for tourist entry; and the perceptions of heritage managers as to the respective roles of such attractions and public agencies in funding tourism management and heritage conservation programs. The paper then considers the significance of these issues in assessing potential strategies for moving heritage tourism toward sustainability. © 2000 Elsevier Science Ltd. All rights reserved.","author":[{"dropping-particle":"","family":"Garrod","given":"Brian","non-dropping-particle":"","parse-names":false,"suffix":""},{"dropping-particle":"","family":"Fyall","given":"Alan","non-dropping-particle":"","parse-names":false,"suffix":""}],"container-title":"Annals of Tourism Research","id":"ITEM-1","issue":"3","issued":{"date-parts":[["2000","7","1"]]},"page":"682-708","publisher":"Pergamon","title":"Managing heritage tourism","type":"article-journal","volume":"27"},"uris":["http://www.mendeley.com/documents/?uuid=66becc42-ab10-30f5-93e2-0a03873d5d61"]},{"id":"ITEM-2","itemData":{"DOI":"10.1080/07421222.2001.11045662","ISSN":"07421222","abstract":"Advocates of software risk management claim that by identifying and analyzing threats to success (i.e., risks) action can be taken to reduce the chance of failure of a project. The first step in th...","author":[{"dropping-particle":"","family":"Schmidt","given":"Roy","non-dropping-particle":"","parse-names":false,"suffix":""},{"dropping-particle":"","family":"Lyytinen","given":"Kalle","non-dropping-particle":"","parse-names":false,"suffix":""},{"dropping-particle":"","family":"Keil","given":"Mark","non-dropping-particle":"","parse-names":false,"suffix":""},{"dropping-particle":"","family":"Cule","given":"Paul","non-dropping-particle":"","parse-names":false,"suffix":""}],"container-title":"https://doi.org/10.1080/07421222.2001.11045662","id":"ITEM-2","issue":"4","issued":{"date-parts":[["2001"]]},"page":"5-36","publisher":"Routledge","title":"Identifying Software Project Risks: An International Delphi Study","type":"article-journal","volume":"17"},"uris":["http://www.mendeley.com/documents/?uuid=eda3066a-7884-3050-9ba9-9220c5b0e5c2"]},{"id":"ITEM-3","itemData":{"DOI":"10.1002/BSE.607","ISSN":"1099-0836","abstract":"Sustainable supply chain management has emerged as a growing topic, receiving increasing interest in the sustainability and supply chain management area. So far, the field is dominated by either case or survey based research. Few attempts have been made to take a broader look at the overarching issues, which form core topics of sustainable supply chain management. This paper presents the findings from a Delphi study where experts were asked to contribute their opinion. The Delphi study allows an aggregation of these opinions and extracts underlying topics in a structured manner. Four major topics were identified, which are (1) pressures and incentives for sustainable supply chain management, (2) identifying and measuring impacts on sustainable supply chain management, (3) supplier management (particularly addressing issues at the supplier-buyer interface) and (4) supply chain management (dealing with issues across all companies involved in the supply chain). The research presented contributes to substantiating and consolidating the field of sustainable supply chain management. Copyright © 2007 John Wiley &amp; Sons, Ltd and ERP Environment.","author":[{"dropping-particle":"","family":"Seuring","given":"Stefan","non-dropping-particle":"","parse-names":false,"suffix":""},{"dropping-particle":"","family":"Müller","given":"Martin","non-dropping-particle":"","parse-names":false,"suffix":""}],"container-title":"Business Strategy and the Environment","id":"ITEM-3","issue":"8","issued":{"date-parts":[["2008","12","1"]]},"page":"455-466","publisher":"John Wiley &amp; Sons, Ltd","title":"Core issues in sustainable supply chain management – a Delphi study","type":"article-journal","volume":"17"},"uris":["http://www.mendeley.com/documents/?uuid=e419b6c8-0ae2-3662-92ba-f0d278fcdceb"]},{"id":"ITEM-4","itemData":{"DOI":"10.1371/JOURNAL.PONE.0020476","ISSN":"1932-6203","PMID":"21694759","abstract":"Objective Delphi technique is a structured process commonly used to developed healthcare quality indicators, but there is a little recommendation for researchers who wish to use it. This study aimed 1) to describe reporting of the Delphi method to develop quality indicators, 2) to discuss specific methodological skills for quality indicators selection 3) to give guidance about this practice.   Methodology and Main Finding Three electronic data bases were searched over a 30 years period (1978–2009). All articles that used the Delphi method to select quality indicators were identified. A standardized data extraction form was developed. Four domains (questionnaire preparation, expert panel, progress of the survey and Delphi results) were assessed. Of 80 included studies, quality of reporting varied significantly between items (9% for year's number of experience of the experts to 98% for the type of Delphi used). Reporting of methodological aspects needed to evaluate the reliability of the survey was insufficient: only 39% (31/80) of studies reported response rates for all rounds, 60% (48/80) that feedback was given between rounds, 77% (62/80) the method used to achieve consensus and 57% (48/80) listed quality indicators selected at the end of the survey. A modified Delphi procedure was used in 49/78 (63%) with a physical meeting of the panel members, usually between Delphi rounds. Median number of panel members was 17(Q1:11; Q3:31). In 40/70 (57%) studies, the panel included multiple stakeholders, who were healthcare professionals in 95% (38/40) of cases. Among 75 studies describing criteria to select quality indicators, 28 (37%) used validity and 17(23%) feasibility.   Conclusion The use and reporting of the Delphi method for quality indicators selection need to be improved. We provide some guidance to the investigators to improve the using and reporting of the method in future surveys.","author":[{"dropping-particle":"","family":"Boulkedid","given":"Rym","non-dropping-particle":"","parse-names":false,"suffix":""},{"dropping-particle":"","family":"Abdoul","given":"Hendy","non-dropping-particle":"","parse-names":false,"suffix":""},{"dropping-particle":"","family":"Loustau","given":"Marine","non-dropping-particle":"","parse-names":false,"suffix":""},{"dropping-particle":"","family":"Sibony","given":"Olivier","non-dropping-particle":"","parse-names":false,"suffix":""},{"dropping-particle":"","family":"Alberti","given":"Corinne","non-dropping-particle":"","parse-names":false,"suffix":""}],"container-title":"PLOS ONE","id":"ITEM-4","issue":"6","issued":{"date-parts":[["2011"]]},"page":"e20476","publisher":"Public Library of Science","title":"Using and Reporting the Delphi Method for Selecting Healthcare Quality Indicators: A Systematic Review","type":"article-journal","volume":"6"},"uris":["http://www.mendeley.com/documents/?uuid=87bc10e0-b5fb-3be1-b71c-33cf07545836"]},{"id":"ITEM-5","itemData":{"DOI":"10.1016/J.NEDT.2013.04.014","ISSN":"0260-6917","PMID":"23664106","abstract":"Background: In order to foster a culture of lifelong learning in nursing, it is important to identify what the concept means in the nursing profession as well as the characteristics of a lifelong learner. Objectives: The purpose of this Delphi study was to conceptualize lifelong learning from the perspective of nursing, and to identify characteristics and essential elements of lifelong learning. Design and Method: A Delphi Study technique in three phases was completed using an online survey tool. Data were analyzed for conceptual description, ratings of characteristics and attributes, and expert consensus in these three phases. Setting: An online survey tool was used in this study. Participants: Recognized experts in nursing education, administration and public policy participated in this study. Results: Lifelong learning in nursing is defined as a dynamic process, which encompasses both personal and professional life. This learning process is also both formal and informal. Lifelong learning involves seeking and appreciating new worlds or ideas in order to gain a new perspective as well as questioning one's environment, knowledge, skills and interactions. The most essential characteristics of a lifelong learner are reflection, questioning, enjoying learning, understanding the dynamic nature of knowledge, and engaging in learning by actively seeking learning opportunities. Keeping the mind active is essential to both lifelong learning and being able to translate knowledge into the capacity to deliver high quality nursing care. Conclusions: It is hoped that a clearer understanding of lifelong learning in nursing will foster more discussion and research about intentional, active inclusion of lifelong learning behaviors in nursing curricula. © 2013 Elsevier Ltd.","author":[{"dropping-particle":"","family":"Davis","given":"Lisa","non-dropping-particle":"","parse-names":false,"suffix":""},{"dropping-particle":"","family":"Taylor","given":"Heidi","non-dropping-particle":"","parse-names":false,"suffix":""},{"dropping-particle":"","family":"Reyes","given":"Helen","non-dropping-particle":"","parse-names":false,"suffix":""}],"container-title":"Nurse Education Today","id":"ITEM-5","issue":"3","issued":{"date-parts":[["2014","3","1"]]},"page":"441-445","publisher":"Churchill Livingstone","title":"Lifelong learning in nursing: A Delphi study","type":"article-journal","volume":"34"},"uris":["http://www.mendeley.com/documents/?uuid=5c773928-100f-31f1-a504-6e8c50857fdf"]}],"mendeley":{"formattedCitation":"(Boulkedid et al., 2011; Davis et al., 2014; Garrod &amp; Fyall, 2000; Schmidt et al., 2001; Seuring &amp; Müller, 2008b)","manualFormatting":"(Boulkedid et al., 2011; Davis et al., 2014; Garrod &amp; Fyall, 2000; Schmidt et al., 2015; Seuring &amp; Müller, 2008b) ","plainTextFormattedCitation":"(Boulkedid et al., 2011; Davis et al., 2014; Garrod &amp; Fyall, 2000; Schmidt et al., 2001; Seuring &amp; Müller, 2008b)","previouslyFormattedCitation":"(Boulkedid et al., 2011; Davis et al., 2014; Garrod &amp; Fyall, 2000; Schmidt et al., 2001; Seuring &amp; Müller, 2008b)"},"properties":{"noteIndex":0},"schema":"https://github.com/citation-style-language/schema/raw/master/csl-citation.json"}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 xml:space="preserve">(Boulkedid et al., 2011; Davis et al., 2014; Garrod &amp; Fyall, 2000; Schmidt et al., 2015; Seuring &amp; Müller, 2008b) </w:t>
      </w:r>
      <w:r w:rsidRPr="75A96201">
        <w:rPr>
          <w:rFonts w:ascii="Times New Roman" w:hAnsi="Times New Roman" w:cs="Times New Roman"/>
          <w:sz w:val="24"/>
          <w:szCs w:val="24"/>
          <w:lang w:val="en-GB"/>
        </w:rPr>
        <w:fldChar w:fldCharType="end"/>
      </w:r>
      <w:r w:rsidRPr="75A96201">
        <w:rPr>
          <w:rFonts w:ascii="Times New Roman" w:hAnsi="Times New Roman" w:cs="Times New Roman"/>
          <w:noProof/>
          <w:sz w:val="24"/>
          <w:szCs w:val="24"/>
          <w:lang w:val="en-GB"/>
        </w:rPr>
        <w:t>and there</w:t>
      </w:r>
      <w:r w:rsidRPr="75A96201">
        <w:rPr>
          <w:rFonts w:ascii="Times New Roman" w:hAnsi="Times New Roman" w:cs="Times New Roman"/>
          <w:sz w:val="24"/>
          <w:szCs w:val="24"/>
          <w:lang w:val="en-GB"/>
        </w:rPr>
        <w:t xml:space="preserve"> are different types of Delphi approaches: classical Delphi, policy Delphi, decision Delphi, and group Delphi/expert workshop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{"citationItems":[{"id":"ITEM-1","itemData":{"DOI":"10.1016/S0040-1625(02)00202-0","ISSN":"0040-1625","abstract":"The focus of this study is the Delphi method. First, a short history of the Delphi method is given. Then, different types of the Delphi method are described, and the validity and reliability of the Delphi method are discussed. Finally, this study reports on the selection processes and assessments faced when a policy Delphi was conducted into qualification issues in Senior Secondary Vocational Education in the Netherlands. © 2002 Elsevier Science Inc. All rights reserved.","author":[{"dropping-particle":"","family":"Zolingen","given":"Simone J.","non-dropping-particle":"van","parse-names":false,"suffix":""},{"dropping-particle":"","family":"Klaassen","given":"Cees A.","non-dropping-particle":"","parse-names":false,"suffix":""}],"container-title":"Technological Forecasting and Social Change","id":"ITEM-1","issue":"4","issued":{"date-parts":[["2003","5","1"]]},"page":"317-340","publisher":"North-Holland","title":"Selection processes in a Delphi study about key qualifications in Senior Secondary Vocational Education","type":"article-journal","volume":"70"},"uris":["http://www.mendeley.com/documents/?uuid=63e0e548-3fd0-3b92-8478-50542de476ea"]}],"mendeley":{"formattedCitation":"(van Zolingen &amp; Klaassen, 2003)","plainTextFormattedCitation":"(van Zolingen &amp; Klaassen, 2003)","previouslyFormattedCitation":"(van Zolingen &amp; Klaassen, 2003)"},"properties":{"noteIndex":0},"schema":"https://github.com/citation-style-language/schema/raw/master/csl-citation.json"}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(van Zolingen &amp; Klaassen, 2003)</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In this research, the classical Delphi method was used </w:t>
      </w:r>
      <w:r>
        <w:rPr>
          <w:rFonts w:ascii="Times New Roman" w:hAnsi="Times New Roman" w:cs="Times New Roman"/>
          <w:sz w:val="24"/>
          <w:szCs w:val="24"/>
          <w:lang w:val="en-GB"/>
        </w:rPr>
        <w:t>with the aim to</w:t>
      </w:r>
      <w:r w:rsidRPr="75A96201">
        <w:rPr>
          <w:rFonts w:ascii="Times New Roman" w:hAnsi="Times New Roman" w:cs="Times New Roman"/>
          <w:sz w:val="24"/>
          <w:szCs w:val="24"/>
          <w:lang w:val="en-GB"/>
        </w:rPr>
        <w:t xml:space="preserve"> obtain a reliable convergence of opinions on </w:t>
      </w:r>
      <w:r>
        <w:rPr>
          <w:rFonts w:ascii="Times New Roman" w:hAnsi="Times New Roman" w:cs="Times New Roman"/>
          <w:sz w:val="24"/>
          <w:szCs w:val="24"/>
          <w:lang w:val="en-GB"/>
        </w:rPr>
        <w:t>emerging</w:t>
      </w:r>
      <w:r w:rsidRPr="75A96201">
        <w:rPr>
          <w:rFonts w:ascii="Times New Roman" w:hAnsi="Times New Roman" w:cs="Times New Roman"/>
          <w:sz w:val="24"/>
          <w:szCs w:val="24"/>
          <w:lang w:val="en-GB"/>
        </w:rPr>
        <w:t xml:space="preserve"> issues by a group of experts, avoiding the negative effects of their direct and face-to-face interaction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{"citationItems":[{"id":"ITEM-1","itemData":{"DOI":"10.1016/J.EVALPROGPLAN.2009.06.006","ISSN":"0149-7189","PMID":"19581002","abstract":"Involving stakeholders can greatly impact evaluation results. The Delphi method, a consensus-building tool, is a promising process to promote and encourage involvement from all stakeholders during the evaluation framing process. The Delphi method removes geographic challenges and time boundaries allowing all stakeholders to participate. The Delphi method uses a series of surveys interspersed with controlled feedback designed to gather information and build consensus without requiring face-to-face meetings. Two different formats of the Delphi method, a paper-and-pencil, postal-mail version and a web-based, real-time computer version are compared in this study. Both versions of the Delphi were administered to a non-profit community based organization as part of framing an evaluation. Participation rates were better with the paper-pencil version. The quantity and quality of data collected were comparable in both versions. © 2009 Elsevier Ltd. All rights reserved.","author":[{"dropping-particle":"","family":"Geist","given":"Monica R.","non-dropping-particle":"","parse-names":false,"suffix":""}],"container-title":"Evaluation and Program Planning","id":"ITEM-1","issue":"2","issued":{"date-parts":[["2010","5","1"]]},"page":"147-154","publisher":"Pergamon","title":"Using the Delphi method to engage stakeholders: A comparison of two studies","type":"article-journal","volume":"33"},"uris":["http://www.mendeley.com/documents/?uuid=b923487f-6ba4-3782-bd42-f97a934155fc"]}],"mendeley":{"formattedCitation":"(Geist, 2010)","plainTextFormattedCitation":"(Geist, 2010)","previouslyFormattedCitation":"(Geist, 2010)"},"properties":{"noteIndex":0},"schema":"https://github.com/citation-style-language/schema/raw/master/csl-citation.json"}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(Geist, 2010)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Such a method has been  demonstrated to be particularly useful for the development of taxonomies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{"citationItems":[{"id":"ITEM-1","itemData":{"DOI":"10.1016/J.IM.2003.11.002","ISSN":"0378-7206","abstract":"The Delphi method has proven a popular tool in information systems research for identifying and prioritizing issues for managerial decision-making. However, many past studies have not adopted a systematic approach to conduct a Delphi study. This article provides rigorous guidelines for the process of selecting appropriate experts for the study and gives detailed principles for making design choices during the process that ensure a valid study. A detailed example of a study to identify key factors affecting the diffusion of e-commerce in Sub-Saharan Africa illustrates the design choices that may be involved. We conclude with suggestions for theoretical applications. © 2004 Elsevier B.V. All rights reserved.","author":[{"dropping-particle":"","family":"Okoli","given":"Chitu","non-dropping-particle":"","parse-names":false,"suffix":""},{"dropping-particle":"","family":"Pawlowski","given":"Suanne D.","non-dropping-particle":"","parse-names":false,"suffix":""}],"container-title":"Information &amp; Management","id":"ITEM-1","issue":"1","issued":{"date-parts":[["2004","12","1"]]},"page":"15-29","publisher":"North-Holland","title":"The Delphi method as a research tool: an example, design considerations and applications","type":"article-journal","volume":"42"},"uris":["http://www.mendeley.com/documents/?uuid=2896dfd1-6986-3fae-9edf-bea4f69c2c0e"]},{"id":"ITEM-2","itemData":{"DOI":"10.1016/J.JCLEPRO.2017.12.224","ISSN":"0959-6526","abstract":"The growing importance of the concept of the circular economy as a way to attain sustainable development has encouraged scholars to propose different ways to understand it. Given the large number of studies done on the circular economy, their differing approaches and their multiple applications, this paper attempts to propose a consensus view of the basic notions of the circular economy framework and highlight its relationship with eco-innovation. To that end, this study carried out a systematic literature review that resulted in four main outputs: a knowledge map of the circular economy, an analysis of the main notions of the concept, principles, and determinants of a circular economy. Finally, this study brings to light some remarkable examples of eco-innovations developed for implementation in the circular economy.","author":[{"dropping-particle":"","family":"Prieto-Sandoval","given":"Vanessa","non-dropping-particle":"","parse-names":false,"suffix":""},{"dropping-particle":"","family":"Jaca","given":"Carmen","non-dropping-particle":"","parse-names":false,"suffix":""},{"dropping-particle":"","family":"Ormazabal","given":"Marta","non-dropping-particle":"","parse-names":false,"suffix":""}],"container-title":"Journal of Cleaner Production","id":"ITEM-2","issued":{"date-parts":[["2018","4","1"]]},"page":"605-615","publisher":"Elsevier","title":"Towards a consensus on the circular economy","type":"article-journal","volume":"179"},"uris":["http://www.mendeley.com/documents/?uuid=0d56ddb2-0311-3189-ab05-0af578089883"]}],"mendeley":{"formattedCitation":"(Okoli &amp; Pawlowski, 2004; Prieto-Sandoval et al., 2018)","plainTextFormattedCitation":"(Okoli &amp; Pawlowski, 2004; Prieto-Sandoval et al., 2018)","previouslyFormattedCitation":"(Okoli &amp; Pawlowski, 2004; Prieto-Sandoval et al., 2018)"},"properties":{"noteIndex":0},"schema":"https://github.com/citation-style-language/schema/raw/master/csl-citation.json"}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(Okoli &amp; Pawlowski, 2004; Prieto-Sandoval et al., 2018)</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as in this case. </w:t>
      </w:r>
    </w:p>
    <w:p w14:paraId="7E834E1C" w14:textId="4C7A7939" w:rsidR="004152D0" w:rsidRPr="004B1CF3" w:rsidRDefault="00000000" w:rsidP="00247672">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The execution of the classical Delphi method is usually designed around two to three stages (see, e.g.,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{"citationItems":[{"id":"ITEM-1","itemData":{"DOI":"10.1016/J.IM.2003.11.002","ISSN":"0378-7206","abstract":"The Delphi method has proven a popular tool in information systems research for identifying and prioritizing issues for managerial decision-making. However, many past studies have not adopted a systematic approach to conduct a Delphi study. This article provides rigorous guidelines for the process of selecting appropriate experts for the study and gives detailed principles for making design choices during the process that ensure a valid study. A detailed example of a study to identify key factors affecting the diffusion of e-commerce in Sub-Saharan Africa illustrates the design choices that may be involved. We conclude with suggestions for theoretical applications. © 2004 Elsevier B.V. All rights reserved.","author":[{"dropping-particle":"","family":"Okoli","given":"Chitu","non-dropping-particle":"","parse-names":false,"suffix":""},{"dropping-particle":"","family":"Pawlowski","given":"Suanne D.","non-dropping-particle":"","parse-names":false,"suffix":""}],"container-title":"Information &amp; Management","id":"ITEM-1","issue":"1","issued":{"date-parts":[["2004","12","1"]]},"page":"15-29","publisher":"North-Holland","title":"The Delphi method as a research tool: an example, design considerations and applications","type":"article-journal","volume":"42"},"uris":["http://www.mendeley.com/documents/?uuid=2896dfd1-6986-3fae-9edf-bea4f69c2c0e"]},{"id":"ITEM-2","itemData":{"DOI":"10.1002/BSE.607","ISSN":"1099-0836","abstract":"Sustainable supply chain management has emerged as a growing topic, receiving increasing interest in the sustainability and supply chain management area. So far, the field is dominated by either case or survey based research. Few attempts have been made to take a broader look at the overarching issues, which form core topics of sustainable supply chain management. This paper presents the findings from a Delphi study where experts were asked to contribute their opinion. The Delphi study allows an aggregation of these opinions and extracts underlying topics in a structured manner. Four major topics were identified, which are (1) pressures and incentives for sustainable supply chain management, (2) identifying and measuring impacts on sustainable supply chain management, (3) supplier management (particularly addressing issues at the supplier-buyer interface) and (4) supply chain management (dealing with issues across all companies involved in the supply chain). The research presented contributes to substantiating and consolidating the field of sustainable supply chain management. Copyright © 2007 John Wiley &amp; Sons, Ltd and ERP Environment.","author":[{"dropping-particle":"","family":"Seuring","given":"Stefan","non-dropping-particle":"","parse-names":false,"suffix":""},{"dropping-particle":"","family":"Müller","given":"Martin","non-dropping-particle":"","parse-names":false,"suffix":""}],"container-title":"Business Strategy and the Environment","id":"ITEM-2","issue":"8","issued":{"date-parts":[["2008","12","1"]]},"page":"455-466","publisher":"John Wiley &amp; Sons, Ltd","title":"Core issues in sustainable supply chain management – a Delphi study","type":"article-journal","volume":"17"},"uris":["http://www.mendeley.com/documents/?uuid=e419b6c8-0ae2-3662-92ba-f0d278fcdceb"]},{"id":"ITEM-3","itemData":{"DOI":"10.1016/j.jclepro.2017.09.047","ISSN":"09596526","abstract":"Circular Economy has undoubtedly become one of the hot topics in public debates about new and more sustainable industrial paradigms and strategies. In this respect, the fashion of Circular Economy is in the fact that it aims at overcoming the dominant linear take, make, disposal economy model, i.e. “a traditional open-ended economy model developed with no built-in tendency to recycle, which is reflected by treating the environment as a waste reservoir” (Su et al., 2013). Circular Economy, indeed, bases on the establishment of closed production systems, where resources are reused and kept in a loop of production and usage, allowing generating more value and for a longer period. Despite the interest for Circular Economy by politicians and practitioners, scholars, particularly in the strategic management field, are still struggling with a lack of a framework explaining how companies willing to become circular adapt their existing business model or create a new one. By extensively reviewing, through the lens of business model literature, the extant contributions on Circular Economy, we propose a taxonomy of Circular Economy Business Models based on the degree of adoption of circularity along two major dimensions: (i) the customer value proposition &amp; interface, i.e. the implementation of the circularity concept in proposing value to customers; (ii) the value network, i.e. the ways through which interacting with suppliers and reorganizing the own internal activities. The taxonomy is then initially tested through some explorative case studies, showing in practice the ability of the framework to properly distinguish different modes of adoption of Circular Economy.","author":[{"dropping-particle":"","family":"Urbinati","given":"Andrea","non-dropping-particle":"","parse-names":false,"suffix":""},{"dropping-particle":"","family":"Chiaroni","given":"Davide","non-dropping-particle":"","parse-names":false,"suffix":""},{"dropping-particle":"","family":"Chiesa","given":"Vittorio","non-dropping-particle":"","parse-names":false,"suffix":""}],"container-title":"Journal of Cleaner Production","id":"ITEM-3","issued":{"date-parts":[["2017"]]},"page":"487-498","publisher":"Elsevier Ltd","title":"Towards a new taxonomy of circular economy business models","type":"article-journal","volume":"168"},"uris":["http://www.mendeley.com/documents/?uuid=affcec8e-daa4-4ba9-90f7-af52e9f84621"]}],"mendeley":{"formattedCitation":"(Okoli &amp; Pawlowski, 2004; Seuring &amp; Müller, 2008b; Urbinati et al., 2017)","manualFormatting":"Okoli &amp; Pawlowski, 2004; Seuring &amp; Müller, 2008b; Urbinati et al., 2017)","plainTextFormattedCitation":"(Okoli &amp; Pawlowski, 2004; Seuring &amp; Müller, 2008b; Urbinati et al., 2017)","previouslyFormattedCitation":"(Okoli &amp; Pawlowski, 2004; Seuring &amp; Müller, 2008b; Urbinati et al., 2017)"},"properties":{"noteIndex":0},"schema":"https://github.com/citation-style-language/schema/raw/master/csl-citation.json"}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Okoli &amp; Pawlowski, 2004; Seuring &amp; Müller, 2008b; Urbinati et al., 2017)</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Accordingly, the present research followed three stages, as </w:t>
      </w:r>
      <w:r w:rsidR="009A46F5">
        <w:rPr>
          <w:rFonts w:ascii="Times New Roman" w:hAnsi="Times New Roman" w:cs="Times New Roman"/>
          <w:sz w:val="24"/>
          <w:szCs w:val="24"/>
          <w:lang w:val="en-GB"/>
        </w:rPr>
        <w:t xml:space="preserve">already </w:t>
      </w:r>
      <w:r w:rsidRPr="75A96201">
        <w:rPr>
          <w:rFonts w:ascii="Times New Roman" w:hAnsi="Times New Roman" w:cs="Times New Roman"/>
          <w:sz w:val="24"/>
          <w:szCs w:val="24"/>
          <w:lang w:val="en-GB"/>
        </w:rPr>
        <w:t xml:space="preserve">shown in Figure 1. </w:t>
      </w:r>
    </w:p>
    <w:p w14:paraId="735D4963" w14:textId="755C3DDD" w:rsidR="00B93D26" w:rsidRPr="004B1CF3" w:rsidRDefault="00000000" w:rsidP="004152D0">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In the first stage (“projection” stage), </w:t>
      </w:r>
      <w:r w:rsidR="00B60DFD" w:rsidRPr="75A96201">
        <w:rPr>
          <w:rFonts w:ascii="Times New Roman" w:hAnsi="Times New Roman" w:cs="Times New Roman"/>
          <w:sz w:val="24"/>
          <w:szCs w:val="24"/>
          <w:lang w:val="en-GB"/>
        </w:rPr>
        <w:t xml:space="preserve">the authors </w:t>
      </w:r>
      <w:r w:rsidR="00B60DFD">
        <w:rPr>
          <w:rFonts w:ascii="Times New Roman" w:hAnsi="Times New Roman" w:cs="Times New Roman"/>
          <w:sz w:val="24"/>
          <w:szCs w:val="24"/>
          <w:lang w:val="en-GB"/>
        </w:rPr>
        <w:t xml:space="preserve">drafted </w:t>
      </w:r>
      <w:r w:rsidRPr="75A96201">
        <w:rPr>
          <w:rFonts w:ascii="Times New Roman" w:hAnsi="Times New Roman" w:cs="Times New Roman"/>
          <w:sz w:val="24"/>
          <w:szCs w:val="24"/>
          <w:lang w:val="en-GB"/>
        </w:rPr>
        <w:t>a document to effectively involve experts and gather meaningful responses during the following stage</w:t>
      </w:r>
      <w:r w:rsidR="00B60DFD">
        <w:rPr>
          <w:rFonts w:ascii="Times New Roman" w:hAnsi="Times New Roman" w:cs="Times New Roman"/>
          <w:sz w:val="24"/>
          <w:szCs w:val="24"/>
          <w:lang w:val="en-GB"/>
        </w:rPr>
        <w:t>s</w:t>
      </w:r>
      <w:r w:rsidRPr="75A96201">
        <w:rPr>
          <w:rFonts w:ascii="Times New Roman" w:hAnsi="Times New Roman" w:cs="Times New Roman"/>
          <w:sz w:val="24"/>
          <w:szCs w:val="24"/>
          <w:lang w:val="en-GB"/>
        </w:rPr>
        <w:t xml:space="preserve">. The document </w:t>
      </w:r>
      <w:r w:rsidR="00014069" w:rsidRPr="75A96201">
        <w:rPr>
          <w:rFonts w:ascii="Times New Roman" w:hAnsi="Times New Roman" w:cs="Times New Roman"/>
          <w:sz w:val="24"/>
          <w:szCs w:val="24"/>
          <w:lang w:val="en-GB"/>
        </w:rPr>
        <w:t>include</w:t>
      </w:r>
      <w:r w:rsidR="00014069">
        <w:rPr>
          <w:rFonts w:ascii="Times New Roman" w:hAnsi="Times New Roman" w:cs="Times New Roman"/>
          <w:sz w:val="24"/>
          <w:szCs w:val="24"/>
          <w:lang w:val="en-GB"/>
        </w:rPr>
        <w:t>d</w:t>
      </w:r>
      <w:r w:rsidR="00014069"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the research </w:t>
      </w:r>
      <w:r w:rsidR="00A2703E" w:rsidRPr="75A96201">
        <w:rPr>
          <w:rFonts w:ascii="Times New Roman" w:hAnsi="Times New Roman" w:cs="Times New Roman"/>
          <w:sz w:val="24"/>
          <w:szCs w:val="24"/>
          <w:lang w:val="en-GB"/>
        </w:rPr>
        <w:t>goal</w:t>
      </w:r>
      <w:r w:rsidRPr="75A96201">
        <w:rPr>
          <w:rFonts w:ascii="Times New Roman" w:hAnsi="Times New Roman" w:cs="Times New Roman"/>
          <w:sz w:val="24"/>
          <w:szCs w:val="24"/>
          <w:lang w:val="en-GB"/>
        </w:rPr>
        <w:t xml:space="preserve"> and the task </w:t>
      </w:r>
      <w:r w:rsidR="00A2703E">
        <w:rPr>
          <w:rFonts w:ascii="Times New Roman" w:hAnsi="Times New Roman" w:cs="Times New Roman"/>
          <w:sz w:val="24"/>
          <w:szCs w:val="24"/>
          <w:lang w:val="en-GB"/>
        </w:rPr>
        <w:t xml:space="preserve">that the </w:t>
      </w:r>
      <w:r w:rsidRPr="75A96201">
        <w:rPr>
          <w:rFonts w:ascii="Times New Roman" w:hAnsi="Times New Roman" w:cs="Times New Roman"/>
          <w:sz w:val="24"/>
          <w:szCs w:val="24"/>
          <w:lang w:val="en-GB"/>
        </w:rPr>
        <w:t xml:space="preserve">experts were asked to perform </w:t>
      </w:r>
      <w:r w:rsidR="00014069">
        <w:rPr>
          <w:rFonts w:ascii="Times New Roman" w:hAnsi="Times New Roman" w:cs="Times New Roman"/>
          <w:sz w:val="24"/>
          <w:szCs w:val="24"/>
          <w:lang w:val="en-GB"/>
        </w:rPr>
        <w:t>to</w:t>
      </w:r>
      <w:r w:rsidR="00014069"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evaluat</w:t>
      </w:r>
      <w:r w:rsidR="00014069">
        <w:rPr>
          <w:rFonts w:ascii="Times New Roman" w:hAnsi="Times New Roman" w:cs="Times New Roman"/>
          <w:sz w:val="24"/>
          <w:szCs w:val="24"/>
          <w:lang w:val="en-GB"/>
        </w:rPr>
        <w:t>e</w:t>
      </w:r>
      <w:r w:rsidRPr="75A96201">
        <w:rPr>
          <w:rFonts w:ascii="Times New Roman" w:hAnsi="Times New Roman" w:cs="Times New Roman"/>
          <w:sz w:val="24"/>
          <w:szCs w:val="24"/>
          <w:lang w:val="en-GB"/>
        </w:rPr>
        <w:t xml:space="preserve"> the identified MSPs to support the development of a taxonomy of MSPs </w:t>
      </w:r>
      <w:r w:rsidR="00014069" w:rsidRPr="75A96201">
        <w:rPr>
          <w:rFonts w:ascii="Times New Roman" w:hAnsi="Times New Roman" w:cs="Times New Roman"/>
          <w:sz w:val="24"/>
          <w:szCs w:val="24"/>
          <w:lang w:val="en-GB"/>
        </w:rPr>
        <w:t>enabl</w:t>
      </w:r>
      <w:r w:rsidR="00014069">
        <w:rPr>
          <w:rFonts w:ascii="Times New Roman" w:hAnsi="Times New Roman" w:cs="Times New Roman"/>
          <w:sz w:val="24"/>
          <w:szCs w:val="24"/>
          <w:lang w:val="en-GB"/>
        </w:rPr>
        <w:t xml:space="preserve">ing </w:t>
      </w:r>
      <w:r w:rsidRPr="75A96201">
        <w:rPr>
          <w:rFonts w:ascii="Times New Roman" w:hAnsi="Times New Roman" w:cs="Times New Roman"/>
          <w:sz w:val="24"/>
          <w:szCs w:val="24"/>
          <w:lang w:val="en-GB"/>
        </w:rPr>
        <w:t xml:space="preserve">CSCs in </w:t>
      </w:r>
      <w:r w:rsidR="00E902FE">
        <w:rPr>
          <w:rFonts w:ascii="Times New Roman" w:hAnsi="Times New Roman" w:cs="Times New Roman"/>
          <w:sz w:val="24"/>
          <w:szCs w:val="24"/>
          <w:lang w:val="en-GB"/>
        </w:rPr>
        <w:t>the</w:t>
      </w:r>
      <w:r w:rsidR="00E902F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w:t>
      </w:r>
      <w:r w:rsidR="00A2703E">
        <w:rPr>
          <w:rFonts w:ascii="Times New Roman" w:hAnsi="Times New Roman" w:cs="Times New Roman"/>
          <w:sz w:val="24"/>
          <w:szCs w:val="24"/>
          <w:lang w:val="en-GB"/>
        </w:rPr>
        <w:t>The e</w:t>
      </w:r>
      <w:r w:rsidRPr="75A96201">
        <w:rPr>
          <w:rFonts w:ascii="Times New Roman" w:hAnsi="Times New Roman" w:cs="Times New Roman"/>
          <w:sz w:val="24"/>
          <w:szCs w:val="24"/>
          <w:lang w:val="en-GB"/>
        </w:rPr>
        <w:t xml:space="preserve">xperts were asked to evaluate each platform with reference to the different </w:t>
      </w:r>
      <w:r w:rsidR="00C94104">
        <w:rPr>
          <w:rFonts w:ascii="Times New Roman" w:hAnsi="Times New Roman" w:cs="Times New Roman"/>
          <w:sz w:val="24"/>
          <w:szCs w:val="24"/>
          <w:lang w:val="en-GB"/>
        </w:rPr>
        <w:t>dimensions</w:t>
      </w:r>
      <w:r w:rsidR="00C9410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that emerged from the literature review, which could affect a platform’s role in enabling a CSC in </w:t>
      </w:r>
      <w:r w:rsidR="00E902FE">
        <w:rPr>
          <w:rFonts w:ascii="Times New Roman" w:hAnsi="Times New Roman" w:cs="Times New Roman"/>
          <w:sz w:val="24"/>
          <w:szCs w:val="24"/>
          <w:lang w:val="en-GB"/>
        </w:rPr>
        <w:t>the</w:t>
      </w:r>
      <w:r w:rsidR="00E902F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i.e., CSC strategies, related enabling CBM practices, and supply chain(s) addressed. In particular, for each platform, </w:t>
      </w:r>
      <w:r w:rsidR="00A2703E">
        <w:rPr>
          <w:rFonts w:ascii="Times New Roman" w:hAnsi="Times New Roman" w:cs="Times New Roman"/>
          <w:sz w:val="24"/>
          <w:szCs w:val="24"/>
          <w:lang w:val="en-GB"/>
        </w:rPr>
        <w:t xml:space="preserve">the </w:t>
      </w:r>
      <w:r w:rsidRPr="75A96201">
        <w:rPr>
          <w:rFonts w:ascii="Times New Roman" w:hAnsi="Times New Roman" w:cs="Times New Roman"/>
          <w:sz w:val="24"/>
          <w:szCs w:val="24"/>
          <w:lang w:val="en-GB"/>
        </w:rPr>
        <w:t>experts were asked to answer the following nine questions (based on a 5-point Likert scale, where 1 means “low” and 5 means “high”): (</w:t>
      </w:r>
      <w:proofErr w:type="spellStart"/>
      <w:r w:rsidRPr="75A96201">
        <w:rPr>
          <w:rFonts w:ascii="Times New Roman" w:hAnsi="Times New Roman" w:cs="Times New Roman"/>
          <w:sz w:val="24"/>
          <w:szCs w:val="24"/>
          <w:lang w:val="en-GB"/>
        </w:rPr>
        <w:t>i</w:t>
      </w:r>
      <w:proofErr w:type="spellEnd"/>
      <w:r w:rsidRPr="75A96201">
        <w:rPr>
          <w:rFonts w:ascii="Times New Roman" w:hAnsi="Times New Roman" w:cs="Times New Roman"/>
          <w:sz w:val="24"/>
          <w:szCs w:val="24"/>
          <w:lang w:val="en-GB"/>
        </w:rPr>
        <w:t>)</w:t>
      </w:r>
      <w:r w:rsidRPr="75A96201">
        <w:rPr>
          <w:rFonts w:ascii="Times New Roman" w:hAnsi="Times New Roman" w:cs="Times New Roman"/>
          <w:i/>
          <w:iCs/>
          <w:sz w:val="24"/>
          <w:szCs w:val="24"/>
          <w:lang w:val="en-GB"/>
        </w:rPr>
        <w:t xml:space="preserve">“How much does the platform allow for the achievement of closing CSC strategy?”; </w:t>
      </w:r>
      <w:r w:rsidRPr="75A96201">
        <w:rPr>
          <w:rFonts w:ascii="Times New Roman" w:hAnsi="Times New Roman" w:cs="Times New Roman"/>
          <w:sz w:val="24"/>
          <w:szCs w:val="24"/>
          <w:lang w:val="en-GB"/>
        </w:rPr>
        <w:t>(ii)</w:t>
      </w:r>
      <w:r w:rsidRPr="75A96201">
        <w:rPr>
          <w:rFonts w:ascii="Times New Roman" w:hAnsi="Times New Roman" w:cs="Times New Roman"/>
          <w:i/>
          <w:iCs/>
          <w:sz w:val="24"/>
          <w:szCs w:val="24"/>
          <w:lang w:val="en-GB"/>
        </w:rPr>
        <w:t xml:space="preserve">“How much does the platform allow for the achievement of slowing CSC strategy?”; </w:t>
      </w:r>
      <w:r w:rsidRPr="75A96201">
        <w:rPr>
          <w:rFonts w:ascii="Times New Roman" w:hAnsi="Times New Roman" w:cs="Times New Roman"/>
          <w:sz w:val="24"/>
          <w:szCs w:val="24"/>
          <w:lang w:val="en-GB"/>
        </w:rPr>
        <w:t>(iii)</w:t>
      </w:r>
      <w:r w:rsidRPr="75A96201">
        <w:rPr>
          <w:rFonts w:ascii="Times New Roman" w:hAnsi="Times New Roman" w:cs="Times New Roman"/>
          <w:i/>
          <w:iCs/>
          <w:sz w:val="24"/>
          <w:szCs w:val="24"/>
          <w:lang w:val="en-GB"/>
        </w:rPr>
        <w:t xml:space="preserve">“How much does the platform allow for the achievement of narrowing CSC strategy?”; </w:t>
      </w:r>
      <w:r w:rsidRPr="75A96201">
        <w:rPr>
          <w:rFonts w:ascii="Times New Roman" w:hAnsi="Times New Roman" w:cs="Times New Roman"/>
          <w:sz w:val="24"/>
          <w:szCs w:val="24"/>
          <w:lang w:val="en-GB"/>
        </w:rPr>
        <w:t xml:space="preserve">(iv) </w:t>
      </w:r>
      <w:r w:rsidRPr="75A96201">
        <w:rPr>
          <w:rFonts w:ascii="Times New Roman" w:hAnsi="Times New Roman" w:cs="Times New Roman"/>
          <w:i/>
          <w:iCs/>
          <w:sz w:val="24"/>
          <w:szCs w:val="24"/>
          <w:lang w:val="en-GB"/>
        </w:rPr>
        <w:t xml:space="preserve">“How much does the platform allow for the achievement of closing CSC strategy in the original supply chain?”; </w:t>
      </w:r>
      <w:r w:rsidRPr="75A96201">
        <w:rPr>
          <w:rFonts w:ascii="Times New Roman" w:hAnsi="Times New Roman" w:cs="Times New Roman"/>
          <w:sz w:val="24"/>
          <w:szCs w:val="24"/>
          <w:lang w:val="en-GB"/>
        </w:rPr>
        <w:t xml:space="preserve">(v) </w:t>
      </w:r>
      <w:r w:rsidRPr="75A96201">
        <w:rPr>
          <w:rFonts w:ascii="Times New Roman" w:hAnsi="Times New Roman" w:cs="Times New Roman"/>
          <w:i/>
          <w:iCs/>
          <w:sz w:val="24"/>
          <w:szCs w:val="24"/>
          <w:lang w:val="en-GB"/>
        </w:rPr>
        <w:t xml:space="preserve">“How much does the platform allow for the achievement of closing CSC strategy in different supply chains?”; </w:t>
      </w:r>
      <w:r w:rsidRPr="75A96201">
        <w:rPr>
          <w:rFonts w:ascii="Times New Roman" w:hAnsi="Times New Roman" w:cs="Times New Roman"/>
          <w:sz w:val="24"/>
          <w:szCs w:val="24"/>
          <w:lang w:val="en-GB"/>
        </w:rPr>
        <w:t xml:space="preserve">(vi) </w:t>
      </w:r>
      <w:r w:rsidRPr="75A96201">
        <w:rPr>
          <w:rFonts w:ascii="Times New Roman" w:hAnsi="Times New Roman" w:cs="Times New Roman"/>
          <w:i/>
          <w:iCs/>
          <w:sz w:val="24"/>
          <w:szCs w:val="24"/>
          <w:lang w:val="en-GB"/>
        </w:rPr>
        <w:t xml:space="preserve">“How much does the platform allow for the </w:t>
      </w:r>
      <w:r w:rsidRPr="75A96201">
        <w:rPr>
          <w:rFonts w:ascii="Times New Roman" w:hAnsi="Times New Roman" w:cs="Times New Roman"/>
          <w:i/>
          <w:iCs/>
          <w:sz w:val="24"/>
          <w:szCs w:val="24"/>
          <w:lang w:val="en-GB"/>
        </w:rPr>
        <w:lastRenderedPageBreak/>
        <w:t xml:space="preserve">achievement of slowing CSC strategy in the original supply chain?”; </w:t>
      </w:r>
      <w:r w:rsidRPr="75A96201">
        <w:rPr>
          <w:rFonts w:ascii="Times New Roman" w:hAnsi="Times New Roman" w:cs="Times New Roman"/>
          <w:sz w:val="24"/>
          <w:szCs w:val="24"/>
          <w:lang w:val="en-GB"/>
        </w:rPr>
        <w:t xml:space="preserve">(vii) </w:t>
      </w:r>
      <w:r w:rsidRPr="75A96201">
        <w:rPr>
          <w:rFonts w:ascii="Times New Roman" w:hAnsi="Times New Roman" w:cs="Times New Roman"/>
          <w:i/>
          <w:iCs/>
          <w:sz w:val="24"/>
          <w:szCs w:val="24"/>
          <w:lang w:val="en-GB"/>
        </w:rPr>
        <w:t xml:space="preserve">“How much does the platform allow for the achievement of slowing CSC strategy in different supply chains?”; </w:t>
      </w:r>
      <w:r w:rsidRPr="75A96201">
        <w:rPr>
          <w:rFonts w:ascii="Times New Roman" w:hAnsi="Times New Roman" w:cs="Times New Roman"/>
          <w:sz w:val="24"/>
          <w:szCs w:val="24"/>
          <w:lang w:val="en-GB"/>
        </w:rPr>
        <w:t xml:space="preserve">(viii) </w:t>
      </w:r>
      <w:r w:rsidRPr="75A96201">
        <w:rPr>
          <w:rFonts w:ascii="Times New Roman" w:hAnsi="Times New Roman" w:cs="Times New Roman"/>
          <w:i/>
          <w:iCs/>
          <w:sz w:val="24"/>
          <w:szCs w:val="24"/>
          <w:lang w:val="en-GB"/>
        </w:rPr>
        <w:t xml:space="preserve">“How much does the platform allow for the achievement of narrowing CSC strategy in the original supply chain?”; and, </w:t>
      </w:r>
      <w:r w:rsidRPr="75A96201">
        <w:rPr>
          <w:rFonts w:ascii="Times New Roman" w:hAnsi="Times New Roman" w:cs="Times New Roman"/>
          <w:sz w:val="24"/>
          <w:szCs w:val="24"/>
          <w:lang w:val="en-GB"/>
        </w:rPr>
        <w:t xml:space="preserve">(ix) </w:t>
      </w:r>
      <w:r w:rsidRPr="75A96201">
        <w:rPr>
          <w:rFonts w:ascii="Times New Roman" w:hAnsi="Times New Roman" w:cs="Times New Roman"/>
          <w:i/>
          <w:iCs/>
          <w:sz w:val="24"/>
          <w:szCs w:val="24"/>
          <w:lang w:val="en-GB"/>
        </w:rPr>
        <w:t xml:space="preserve">“How much does the platform allow for the achievement of narrowing CSC strategy in different supply chains?”. </w:t>
      </w:r>
      <w:r w:rsidRPr="75A96201">
        <w:rPr>
          <w:rFonts w:ascii="Times New Roman" w:hAnsi="Times New Roman" w:cs="Times New Roman"/>
          <w:sz w:val="24"/>
          <w:szCs w:val="24"/>
          <w:lang w:val="en-GB"/>
        </w:rPr>
        <w:t xml:space="preserve">Finally, a last open-ended question was asked with reference to which CBM practices were enabled by each MSP to achieve CSCs strategies. </w:t>
      </w:r>
    </w:p>
    <w:p w14:paraId="11D852C9" w14:textId="50C4A983" w:rsidR="001A1BB1" w:rsidRDefault="00000000" w:rsidP="001A1BB1">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In the second stage (“iteration” stage), an iterative approach was exploited to </w:t>
      </w:r>
      <w:r w:rsidR="00894C8F" w:rsidRPr="75A96201">
        <w:rPr>
          <w:rFonts w:ascii="Times New Roman" w:hAnsi="Times New Roman" w:cs="Times New Roman"/>
          <w:sz w:val="24"/>
          <w:szCs w:val="24"/>
          <w:lang w:val="en-GB"/>
        </w:rPr>
        <w:t>evaluat</w:t>
      </w:r>
      <w:r w:rsidR="00894C8F">
        <w:rPr>
          <w:rFonts w:ascii="Times New Roman" w:hAnsi="Times New Roman" w:cs="Times New Roman"/>
          <w:sz w:val="24"/>
          <w:szCs w:val="24"/>
          <w:lang w:val="en-GB"/>
        </w:rPr>
        <w:t>e</w:t>
      </w:r>
      <w:r w:rsidR="00894C8F" w:rsidRPr="75A96201">
        <w:rPr>
          <w:rFonts w:ascii="Times New Roman" w:hAnsi="Times New Roman" w:cs="Times New Roman"/>
          <w:sz w:val="24"/>
          <w:szCs w:val="24"/>
          <w:lang w:val="en-GB"/>
        </w:rPr>
        <w:t xml:space="preserve"> the identified platform</w:t>
      </w:r>
      <w:r w:rsidR="00E902FE">
        <w:rPr>
          <w:rFonts w:ascii="Times New Roman" w:hAnsi="Times New Roman" w:cs="Times New Roman"/>
          <w:sz w:val="24"/>
          <w:szCs w:val="24"/>
          <w:lang w:val="en-GB"/>
        </w:rPr>
        <w:t>s</w:t>
      </w:r>
      <w:r w:rsidR="00894C8F">
        <w:rPr>
          <w:rFonts w:ascii="Times New Roman" w:hAnsi="Times New Roman" w:cs="Times New Roman"/>
          <w:sz w:val="24"/>
          <w:szCs w:val="24"/>
          <w:lang w:val="en-GB"/>
        </w:rPr>
        <w:t xml:space="preserve"> through the involvement of</w:t>
      </w:r>
      <w:r w:rsidRPr="75A96201">
        <w:rPr>
          <w:rFonts w:ascii="Times New Roman" w:hAnsi="Times New Roman" w:cs="Times New Roman"/>
          <w:sz w:val="24"/>
          <w:szCs w:val="24"/>
          <w:lang w:val="en-GB"/>
        </w:rPr>
        <w:t xml:space="preserve"> </w:t>
      </w:r>
      <w:r w:rsidR="00B6696B">
        <w:rPr>
          <w:rFonts w:ascii="Times New Roman" w:hAnsi="Times New Roman" w:cs="Times New Roman"/>
          <w:sz w:val="24"/>
          <w:szCs w:val="24"/>
          <w:lang w:val="en-GB"/>
        </w:rPr>
        <w:t xml:space="preserve">the </w:t>
      </w:r>
      <w:r w:rsidRPr="75A96201">
        <w:rPr>
          <w:rFonts w:ascii="Times New Roman" w:hAnsi="Times New Roman" w:cs="Times New Roman"/>
          <w:sz w:val="24"/>
          <w:szCs w:val="24"/>
          <w:lang w:val="en-GB"/>
        </w:rPr>
        <w:t xml:space="preserve">experts. </w:t>
      </w:r>
      <w:bookmarkStart w:id="0" w:name="_Hlk133742999"/>
      <w:r w:rsidRPr="75A96201">
        <w:rPr>
          <w:rFonts w:ascii="Times New Roman" w:hAnsi="Times New Roman" w:cs="Times New Roman"/>
          <w:sz w:val="24"/>
          <w:szCs w:val="24"/>
          <w:lang w:val="en-GB"/>
        </w:rPr>
        <w:t>First, a digital version of the above</w:t>
      </w:r>
      <w:r w:rsidR="004A4C06">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mentioned document was created on Google Form and sent to </w:t>
      </w:r>
      <w:r w:rsidR="00894C8F">
        <w:rPr>
          <w:rFonts w:ascii="Times New Roman" w:hAnsi="Times New Roman" w:cs="Times New Roman"/>
          <w:sz w:val="24"/>
          <w:szCs w:val="24"/>
          <w:lang w:val="en-GB"/>
        </w:rPr>
        <w:t xml:space="preserve">each </w:t>
      </w:r>
      <w:r w:rsidRPr="75A96201">
        <w:rPr>
          <w:rFonts w:ascii="Times New Roman" w:hAnsi="Times New Roman" w:cs="Times New Roman"/>
          <w:sz w:val="24"/>
          <w:szCs w:val="24"/>
          <w:lang w:val="en-GB"/>
        </w:rPr>
        <w:t xml:space="preserve">expert by email. </w:t>
      </w:r>
      <w:r w:rsidR="00B6696B">
        <w:rPr>
          <w:rFonts w:ascii="Times New Roman" w:hAnsi="Times New Roman" w:cs="Times New Roman"/>
          <w:sz w:val="24"/>
          <w:szCs w:val="24"/>
          <w:lang w:val="en-GB"/>
        </w:rPr>
        <w:t>Second</w:t>
      </w:r>
      <w:r w:rsidR="00894C8F">
        <w:rPr>
          <w:rFonts w:ascii="Times New Roman" w:hAnsi="Times New Roman" w:cs="Times New Roman"/>
          <w:sz w:val="24"/>
          <w:szCs w:val="24"/>
          <w:lang w:val="en-GB"/>
        </w:rPr>
        <w:t>, three</w:t>
      </w:r>
      <w:r w:rsidR="000E136B">
        <w:rPr>
          <w:rFonts w:ascii="Times New Roman" w:hAnsi="Times New Roman" w:cs="Times New Roman"/>
          <w:sz w:val="24"/>
          <w:szCs w:val="24"/>
          <w:lang w:val="en-GB"/>
        </w:rPr>
        <w:t xml:space="preserve"> iterations for collecting and analysing the </w:t>
      </w:r>
      <w:r w:rsidR="004A4C06">
        <w:rPr>
          <w:rFonts w:ascii="Times New Roman" w:hAnsi="Times New Roman" w:cs="Times New Roman"/>
          <w:sz w:val="24"/>
          <w:szCs w:val="24"/>
          <w:lang w:val="en-GB"/>
        </w:rPr>
        <w:t xml:space="preserve">replies </w:t>
      </w:r>
      <w:r w:rsidR="000E136B">
        <w:rPr>
          <w:rFonts w:ascii="Times New Roman" w:hAnsi="Times New Roman" w:cs="Times New Roman"/>
          <w:sz w:val="24"/>
          <w:szCs w:val="24"/>
          <w:lang w:val="en-GB"/>
        </w:rPr>
        <w:t xml:space="preserve">provided </w:t>
      </w:r>
      <w:r w:rsidR="004A4C06">
        <w:rPr>
          <w:rFonts w:ascii="Times New Roman" w:hAnsi="Times New Roman" w:cs="Times New Roman"/>
          <w:sz w:val="24"/>
          <w:szCs w:val="24"/>
          <w:lang w:val="en-GB"/>
        </w:rPr>
        <w:t>by</w:t>
      </w:r>
      <w:r w:rsidR="00B33B5A">
        <w:rPr>
          <w:rFonts w:ascii="Times New Roman" w:hAnsi="Times New Roman" w:cs="Times New Roman"/>
          <w:sz w:val="24"/>
          <w:szCs w:val="24"/>
          <w:lang w:val="en-GB"/>
        </w:rPr>
        <w:t xml:space="preserve"> the</w:t>
      </w:r>
      <w:r w:rsidR="004A4C06">
        <w:rPr>
          <w:rFonts w:ascii="Times New Roman" w:hAnsi="Times New Roman" w:cs="Times New Roman"/>
          <w:sz w:val="24"/>
          <w:szCs w:val="24"/>
          <w:lang w:val="en-GB"/>
        </w:rPr>
        <w:t xml:space="preserve"> experts wer</w:t>
      </w:r>
      <w:r w:rsidR="000E136B">
        <w:rPr>
          <w:rFonts w:ascii="Times New Roman" w:hAnsi="Times New Roman" w:cs="Times New Roman"/>
          <w:sz w:val="24"/>
          <w:szCs w:val="24"/>
          <w:lang w:val="en-GB"/>
        </w:rPr>
        <w:t>e carried out.</w:t>
      </w:r>
      <w:r w:rsidRPr="75A96201">
        <w:rPr>
          <w:rFonts w:ascii="Times New Roman" w:hAnsi="Times New Roman" w:cs="Times New Roman"/>
          <w:sz w:val="24"/>
          <w:szCs w:val="24"/>
          <w:lang w:val="en-GB"/>
        </w:rPr>
        <w:t xml:space="preserve"> </w:t>
      </w:r>
      <w:r w:rsidR="001A1BB1">
        <w:rPr>
          <w:rFonts w:ascii="Times New Roman" w:hAnsi="Times New Roman" w:cs="Times New Roman"/>
          <w:sz w:val="24"/>
          <w:szCs w:val="24"/>
          <w:lang w:val="en-GB"/>
        </w:rPr>
        <w:t>During each iteration, d</w:t>
      </w:r>
      <w:r w:rsidR="00894C8F">
        <w:rPr>
          <w:rFonts w:ascii="Times New Roman" w:hAnsi="Times New Roman" w:cs="Times New Roman"/>
          <w:sz w:val="24"/>
          <w:szCs w:val="24"/>
          <w:lang w:val="en-GB"/>
        </w:rPr>
        <w:t xml:space="preserve">ata gathered from each expert was collected in a MS Excel spreadsheet to be </w:t>
      </w:r>
      <w:r w:rsidR="00894C8F" w:rsidRPr="75A96201">
        <w:rPr>
          <w:rFonts w:ascii="Times New Roman" w:hAnsi="Times New Roman" w:cs="Times New Roman"/>
          <w:sz w:val="24"/>
          <w:szCs w:val="24"/>
          <w:lang w:val="en-GB"/>
        </w:rPr>
        <w:t>analys</w:t>
      </w:r>
      <w:r w:rsidR="00894C8F">
        <w:rPr>
          <w:rFonts w:ascii="Times New Roman" w:hAnsi="Times New Roman" w:cs="Times New Roman"/>
          <w:sz w:val="24"/>
          <w:szCs w:val="24"/>
          <w:lang w:val="en-GB"/>
        </w:rPr>
        <w:t>ed.</w:t>
      </w:r>
      <w:r w:rsidR="00894C8F" w:rsidRPr="75A96201">
        <w:rPr>
          <w:rFonts w:ascii="Times New Roman" w:hAnsi="Times New Roman" w:cs="Times New Roman"/>
          <w:sz w:val="24"/>
          <w:szCs w:val="24"/>
          <w:lang w:val="en-GB"/>
        </w:rPr>
        <w:t xml:space="preserve"> </w:t>
      </w:r>
      <w:r w:rsidR="00014069">
        <w:rPr>
          <w:rFonts w:ascii="Times New Roman" w:hAnsi="Times New Roman" w:cs="Times New Roman"/>
          <w:sz w:val="24"/>
          <w:szCs w:val="24"/>
          <w:lang w:val="en-GB"/>
        </w:rPr>
        <w:t>T</w:t>
      </w:r>
      <w:r w:rsidR="00B6696B">
        <w:rPr>
          <w:rFonts w:ascii="Times New Roman" w:hAnsi="Times New Roman" w:cs="Times New Roman"/>
          <w:sz w:val="24"/>
          <w:szCs w:val="24"/>
          <w:lang w:val="en-GB"/>
        </w:rPr>
        <w:t>he analysis started with the calculation of</w:t>
      </w:r>
      <w:r w:rsidR="00894C8F">
        <w:rPr>
          <w:rFonts w:ascii="Times New Roman" w:hAnsi="Times New Roman" w:cs="Times New Roman"/>
          <w:sz w:val="24"/>
          <w:szCs w:val="24"/>
          <w:lang w:val="en-GB"/>
        </w:rPr>
        <w:t xml:space="preserve"> the average </w:t>
      </w:r>
      <w:r w:rsidR="009E78E5">
        <w:rPr>
          <w:rFonts w:ascii="Times New Roman" w:hAnsi="Times New Roman" w:cs="Times New Roman"/>
          <w:sz w:val="24"/>
          <w:szCs w:val="24"/>
          <w:lang w:val="en-GB"/>
        </w:rPr>
        <w:t>score</w:t>
      </w:r>
      <w:r w:rsidR="00894C8F">
        <w:rPr>
          <w:rFonts w:ascii="Times New Roman" w:hAnsi="Times New Roman" w:cs="Times New Roman"/>
          <w:sz w:val="24"/>
          <w:szCs w:val="24"/>
          <w:lang w:val="en-GB"/>
        </w:rPr>
        <w:t xml:space="preserve"> </w:t>
      </w:r>
      <w:r w:rsidR="00B33B5A">
        <w:rPr>
          <w:rFonts w:ascii="Times New Roman" w:hAnsi="Times New Roman" w:cs="Times New Roman"/>
          <w:sz w:val="24"/>
          <w:szCs w:val="24"/>
          <w:lang w:val="en-GB"/>
        </w:rPr>
        <w:t xml:space="preserve">provided by the experts on each </w:t>
      </w:r>
      <w:r w:rsidR="00B33B5A" w:rsidRPr="75A96201">
        <w:rPr>
          <w:rFonts w:ascii="Times New Roman" w:hAnsi="Times New Roman" w:cs="Times New Roman"/>
          <w:sz w:val="24"/>
          <w:szCs w:val="24"/>
          <w:lang w:val="en-GB"/>
        </w:rPr>
        <w:t xml:space="preserve">question based on </w:t>
      </w:r>
      <w:r w:rsidR="00B33B5A">
        <w:rPr>
          <w:rFonts w:ascii="Times New Roman" w:hAnsi="Times New Roman" w:cs="Times New Roman"/>
          <w:sz w:val="24"/>
          <w:szCs w:val="24"/>
          <w:lang w:val="en-GB"/>
        </w:rPr>
        <w:t>the 5-point</w:t>
      </w:r>
      <w:r w:rsidR="00B33B5A" w:rsidRPr="75A96201">
        <w:rPr>
          <w:rFonts w:ascii="Times New Roman" w:hAnsi="Times New Roman" w:cs="Times New Roman"/>
          <w:sz w:val="24"/>
          <w:szCs w:val="24"/>
          <w:lang w:val="en-GB"/>
        </w:rPr>
        <w:t xml:space="preserve"> Likert scale</w:t>
      </w:r>
      <w:r w:rsidR="00894C8F">
        <w:rPr>
          <w:rFonts w:ascii="Times New Roman" w:hAnsi="Times New Roman" w:cs="Times New Roman"/>
          <w:sz w:val="24"/>
          <w:szCs w:val="24"/>
          <w:lang w:val="en-GB"/>
        </w:rPr>
        <w:t xml:space="preserve">, along with the identification of the minimum and maximum </w:t>
      </w:r>
      <w:r w:rsidR="009E78E5">
        <w:rPr>
          <w:rFonts w:ascii="Times New Roman" w:hAnsi="Times New Roman" w:cs="Times New Roman"/>
          <w:sz w:val="24"/>
          <w:szCs w:val="24"/>
          <w:lang w:val="en-GB"/>
        </w:rPr>
        <w:t xml:space="preserve">scores </w:t>
      </w:r>
      <w:r w:rsidR="00894C8F">
        <w:rPr>
          <w:rFonts w:ascii="Times New Roman" w:hAnsi="Times New Roman" w:cs="Times New Roman"/>
          <w:sz w:val="24"/>
          <w:szCs w:val="24"/>
          <w:lang w:val="en-GB"/>
        </w:rPr>
        <w:t xml:space="preserve">assigned by </w:t>
      </w:r>
      <w:r w:rsidR="00014069">
        <w:rPr>
          <w:rFonts w:ascii="Times New Roman" w:hAnsi="Times New Roman" w:cs="Times New Roman"/>
          <w:sz w:val="24"/>
          <w:szCs w:val="24"/>
          <w:lang w:val="en-GB"/>
        </w:rPr>
        <w:t xml:space="preserve">the </w:t>
      </w:r>
      <w:r w:rsidR="00894C8F">
        <w:rPr>
          <w:rFonts w:ascii="Times New Roman" w:hAnsi="Times New Roman" w:cs="Times New Roman"/>
          <w:sz w:val="24"/>
          <w:szCs w:val="24"/>
          <w:lang w:val="en-GB"/>
        </w:rPr>
        <w:t>experts</w:t>
      </w:r>
      <w:r w:rsidR="00B6696B">
        <w:rPr>
          <w:rFonts w:ascii="Times New Roman" w:hAnsi="Times New Roman" w:cs="Times New Roman"/>
          <w:sz w:val="24"/>
          <w:szCs w:val="24"/>
          <w:lang w:val="en-GB"/>
        </w:rPr>
        <w:t xml:space="preserve"> </w:t>
      </w:r>
      <w:r w:rsidR="00014069">
        <w:rPr>
          <w:rFonts w:ascii="Times New Roman" w:hAnsi="Times New Roman" w:cs="Times New Roman"/>
          <w:sz w:val="24"/>
          <w:szCs w:val="24"/>
          <w:lang w:val="en-GB"/>
        </w:rPr>
        <w:t>(</w:t>
      </w:r>
      <w:r w:rsidR="00894C8F">
        <w:rPr>
          <w:rFonts w:ascii="Times New Roman" w:hAnsi="Times New Roman" w:cs="Times New Roman"/>
          <w:sz w:val="24"/>
          <w:szCs w:val="24"/>
          <w:lang w:val="en-GB"/>
        </w:rPr>
        <w:t>to measure the level of agreement among experts on the evaluation of the sampled platforms</w:t>
      </w:r>
      <w:r w:rsidR="00014069">
        <w:rPr>
          <w:rFonts w:ascii="Times New Roman" w:hAnsi="Times New Roman" w:cs="Times New Roman"/>
          <w:sz w:val="24"/>
          <w:szCs w:val="24"/>
          <w:lang w:val="en-GB"/>
        </w:rPr>
        <w:t>)</w:t>
      </w:r>
      <w:r w:rsidR="00894C8F">
        <w:rPr>
          <w:rFonts w:ascii="Times New Roman" w:hAnsi="Times New Roman" w:cs="Times New Roman"/>
          <w:sz w:val="24"/>
          <w:szCs w:val="24"/>
          <w:lang w:val="en-GB"/>
        </w:rPr>
        <w:t xml:space="preserve">. </w:t>
      </w:r>
      <w:r w:rsidR="00B33B5A">
        <w:rPr>
          <w:rFonts w:ascii="Times New Roman" w:hAnsi="Times New Roman" w:cs="Times New Roman"/>
          <w:sz w:val="24"/>
          <w:szCs w:val="24"/>
          <w:lang w:val="en-GB"/>
        </w:rPr>
        <w:t>Then</w:t>
      </w:r>
      <w:r w:rsidR="001A1BB1">
        <w:rPr>
          <w:rFonts w:ascii="Times New Roman" w:hAnsi="Times New Roman" w:cs="Times New Roman"/>
          <w:sz w:val="24"/>
          <w:szCs w:val="24"/>
          <w:lang w:val="en-GB"/>
        </w:rPr>
        <w:t>,</w:t>
      </w:r>
      <w:r w:rsidR="001A1BB1" w:rsidRPr="75A96201">
        <w:rPr>
          <w:rFonts w:ascii="Times New Roman" w:hAnsi="Times New Roman" w:cs="Times New Roman"/>
          <w:sz w:val="24"/>
          <w:szCs w:val="24"/>
          <w:lang w:val="en-GB"/>
        </w:rPr>
        <w:t xml:space="preserve"> when </w:t>
      </w:r>
      <w:r w:rsidR="00A2703E">
        <w:rPr>
          <w:rFonts w:ascii="Times New Roman" w:hAnsi="Times New Roman" w:cs="Times New Roman"/>
          <w:sz w:val="24"/>
          <w:szCs w:val="24"/>
          <w:lang w:val="en-GB"/>
        </w:rPr>
        <w:t xml:space="preserve">the </w:t>
      </w:r>
      <w:r w:rsidR="00B33B5A">
        <w:rPr>
          <w:rFonts w:ascii="Times New Roman" w:hAnsi="Times New Roman" w:cs="Times New Roman"/>
          <w:sz w:val="24"/>
          <w:szCs w:val="24"/>
          <w:lang w:val="en-GB"/>
        </w:rPr>
        <w:t>experts’</w:t>
      </w:r>
      <w:r w:rsidR="001A1BB1" w:rsidRPr="75A96201">
        <w:rPr>
          <w:rFonts w:ascii="Times New Roman" w:hAnsi="Times New Roman" w:cs="Times New Roman"/>
          <w:sz w:val="24"/>
          <w:szCs w:val="24"/>
          <w:lang w:val="en-GB"/>
        </w:rPr>
        <w:t xml:space="preserve"> opinions were very different from each other</w:t>
      </w:r>
      <w:r w:rsidR="00B33B5A">
        <w:rPr>
          <w:rFonts w:ascii="Times New Roman" w:hAnsi="Times New Roman" w:cs="Times New Roman"/>
          <w:sz w:val="24"/>
          <w:szCs w:val="24"/>
          <w:lang w:val="en-GB"/>
        </w:rPr>
        <w:t>, they</w:t>
      </w:r>
      <w:r w:rsidR="00B33B5A" w:rsidRPr="75A96201">
        <w:rPr>
          <w:rFonts w:ascii="Times New Roman" w:hAnsi="Times New Roman" w:cs="Times New Roman"/>
          <w:sz w:val="24"/>
          <w:szCs w:val="24"/>
          <w:lang w:val="en-GB"/>
        </w:rPr>
        <w:t xml:space="preserve"> were contacted via email to be asked about</w:t>
      </w:r>
      <w:r w:rsidR="00B33B5A">
        <w:rPr>
          <w:rFonts w:ascii="Times New Roman" w:hAnsi="Times New Roman" w:cs="Times New Roman"/>
          <w:sz w:val="24"/>
          <w:szCs w:val="24"/>
          <w:lang w:val="en-GB"/>
        </w:rPr>
        <w:t xml:space="preserve"> </w:t>
      </w:r>
      <w:r w:rsidR="00B33B5A" w:rsidRPr="75A96201">
        <w:rPr>
          <w:rFonts w:ascii="Times New Roman" w:hAnsi="Times New Roman" w:cs="Times New Roman"/>
          <w:sz w:val="24"/>
          <w:szCs w:val="24"/>
          <w:lang w:val="en-GB"/>
        </w:rPr>
        <w:t>any clarification regarding their answers</w:t>
      </w:r>
      <w:r w:rsidR="001A1BB1">
        <w:rPr>
          <w:rFonts w:ascii="Times New Roman" w:hAnsi="Times New Roman" w:cs="Times New Roman"/>
          <w:sz w:val="24"/>
          <w:szCs w:val="24"/>
          <w:lang w:val="en-GB"/>
        </w:rPr>
        <w:t>.</w:t>
      </w:r>
    </w:p>
    <w:p w14:paraId="7C687CC9" w14:textId="6EBE36DA" w:rsidR="00B93D26" w:rsidRDefault="00894C8F" w:rsidP="00054977">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As result</w:t>
      </w:r>
      <w:r w:rsidR="001A1BB1" w:rsidRPr="001A1BB1">
        <w:rPr>
          <w:rFonts w:ascii="Times New Roman" w:hAnsi="Times New Roman" w:cs="Times New Roman"/>
          <w:sz w:val="24"/>
          <w:szCs w:val="24"/>
          <w:lang w:val="en-GB"/>
        </w:rPr>
        <w:t xml:space="preserve"> </w:t>
      </w:r>
      <w:r w:rsidR="001A1BB1">
        <w:rPr>
          <w:rFonts w:ascii="Times New Roman" w:hAnsi="Times New Roman" w:cs="Times New Roman"/>
          <w:sz w:val="24"/>
          <w:szCs w:val="24"/>
          <w:lang w:val="en-GB"/>
        </w:rPr>
        <w:t>of the first iteration, a</w:t>
      </w:r>
      <w:r w:rsidR="001A1BB1" w:rsidRPr="75A96201">
        <w:rPr>
          <w:rFonts w:ascii="Times New Roman" w:hAnsi="Times New Roman" w:cs="Times New Roman"/>
          <w:sz w:val="24"/>
          <w:szCs w:val="24"/>
          <w:lang w:val="en-GB"/>
        </w:rPr>
        <w:t xml:space="preserve"> report</w:t>
      </w:r>
      <w:r w:rsidR="00B33B5A" w:rsidRPr="00B33B5A">
        <w:rPr>
          <w:rFonts w:ascii="Times New Roman" w:hAnsi="Times New Roman" w:cs="Times New Roman"/>
          <w:sz w:val="24"/>
          <w:szCs w:val="24"/>
          <w:lang w:val="en-GB"/>
        </w:rPr>
        <w:t xml:space="preserve"> </w:t>
      </w:r>
      <w:r w:rsidR="00B33B5A">
        <w:rPr>
          <w:rFonts w:ascii="Times New Roman" w:hAnsi="Times New Roman" w:cs="Times New Roman"/>
          <w:sz w:val="24"/>
          <w:szCs w:val="24"/>
          <w:lang w:val="en-GB"/>
        </w:rPr>
        <w:t xml:space="preserve">was drafted and shared with </w:t>
      </w:r>
      <w:r w:rsidR="00A2703E">
        <w:rPr>
          <w:rFonts w:ascii="Times New Roman" w:hAnsi="Times New Roman" w:cs="Times New Roman"/>
          <w:sz w:val="24"/>
          <w:szCs w:val="24"/>
          <w:lang w:val="en-GB"/>
        </w:rPr>
        <w:t xml:space="preserve">the </w:t>
      </w:r>
      <w:r w:rsidR="00B33B5A">
        <w:rPr>
          <w:rFonts w:ascii="Times New Roman" w:hAnsi="Times New Roman" w:cs="Times New Roman"/>
          <w:sz w:val="24"/>
          <w:szCs w:val="24"/>
          <w:lang w:val="en-GB"/>
        </w:rPr>
        <w:t>experts</w:t>
      </w:r>
      <w:r w:rsidR="009E78E5">
        <w:rPr>
          <w:rFonts w:ascii="Times New Roman" w:hAnsi="Times New Roman" w:cs="Times New Roman"/>
          <w:sz w:val="24"/>
          <w:szCs w:val="24"/>
          <w:lang w:val="en-GB"/>
        </w:rPr>
        <w:t>,</w:t>
      </w:r>
      <w:r w:rsidR="009D5E68">
        <w:rPr>
          <w:rFonts w:ascii="Times New Roman" w:hAnsi="Times New Roman" w:cs="Times New Roman"/>
          <w:sz w:val="24"/>
          <w:szCs w:val="24"/>
          <w:lang w:val="en-GB"/>
        </w:rPr>
        <w:t xml:space="preserve"> </w:t>
      </w:r>
      <w:r w:rsidR="009E78E5">
        <w:rPr>
          <w:rFonts w:ascii="Times New Roman" w:hAnsi="Times New Roman" w:cs="Times New Roman"/>
          <w:sz w:val="24"/>
          <w:szCs w:val="24"/>
          <w:lang w:val="en-GB"/>
        </w:rPr>
        <w:t>which</w:t>
      </w:r>
      <w:r w:rsidR="001A1BB1" w:rsidRPr="75A96201">
        <w:rPr>
          <w:rFonts w:ascii="Times New Roman" w:hAnsi="Times New Roman" w:cs="Times New Roman"/>
          <w:sz w:val="24"/>
          <w:szCs w:val="24"/>
          <w:lang w:val="en-GB"/>
        </w:rPr>
        <w:t xml:space="preserve"> </w:t>
      </w:r>
      <w:r w:rsidR="00B33B5A">
        <w:rPr>
          <w:rFonts w:ascii="Times New Roman" w:hAnsi="Times New Roman" w:cs="Times New Roman"/>
          <w:sz w:val="24"/>
          <w:szCs w:val="24"/>
          <w:lang w:val="en-GB"/>
        </w:rPr>
        <w:t>included</w:t>
      </w:r>
      <w:r w:rsidR="001A1BB1">
        <w:rPr>
          <w:rFonts w:ascii="Times New Roman" w:hAnsi="Times New Roman" w:cs="Times New Roman"/>
          <w:sz w:val="24"/>
          <w:szCs w:val="24"/>
          <w:lang w:val="en-GB"/>
        </w:rPr>
        <w:t xml:space="preserve"> for each MSP</w:t>
      </w:r>
      <w:r w:rsidR="00B33B5A">
        <w:rPr>
          <w:rFonts w:ascii="Times New Roman" w:hAnsi="Times New Roman" w:cs="Times New Roman"/>
          <w:sz w:val="24"/>
          <w:szCs w:val="24"/>
          <w:lang w:val="en-GB"/>
        </w:rPr>
        <w:t xml:space="preserve"> the average, minimum, and maximum </w:t>
      </w:r>
      <w:r w:rsidR="004D063D">
        <w:rPr>
          <w:rFonts w:ascii="Times New Roman" w:hAnsi="Times New Roman" w:cs="Times New Roman"/>
          <w:sz w:val="24"/>
          <w:szCs w:val="24"/>
          <w:lang w:val="en-GB"/>
        </w:rPr>
        <w:t>scores</w:t>
      </w:r>
      <w:r w:rsidR="00B33B5A">
        <w:rPr>
          <w:rFonts w:ascii="Times New Roman" w:hAnsi="Times New Roman" w:cs="Times New Roman"/>
          <w:sz w:val="24"/>
          <w:szCs w:val="24"/>
          <w:lang w:val="en-GB"/>
        </w:rPr>
        <w:t xml:space="preserve"> assigned by the experts on</w:t>
      </w:r>
      <w:r w:rsidR="001A1BB1" w:rsidRPr="75A96201">
        <w:rPr>
          <w:rFonts w:ascii="Times New Roman" w:hAnsi="Times New Roman" w:cs="Times New Roman"/>
          <w:sz w:val="24"/>
          <w:szCs w:val="24"/>
          <w:lang w:val="en-GB"/>
        </w:rPr>
        <w:t xml:space="preserve"> the CSC strategies fulfilled </w:t>
      </w:r>
      <w:r w:rsidR="00B33B5A">
        <w:rPr>
          <w:rFonts w:ascii="Times New Roman" w:hAnsi="Times New Roman" w:cs="Times New Roman"/>
          <w:sz w:val="24"/>
          <w:szCs w:val="24"/>
          <w:lang w:val="en-GB"/>
        </w:rPr>
        <w:t>and</w:t>
      </w:r>
      <w:r w:rsidR="001A1BB1" w:rsidRPr="75A96201">
        <w:rPr>
          <w:rFonts w:ascii="Times New Roman" w:hAnsi="Times New Roman" w:cs="Times New Roman"/>
          <w:sz w:val="24"/>
          <w:szCs w:val="24"/>
          <w:lang w:val="en-GB"/>
        </w:rPr>
        <w:t xml:space="preserve"> the supply chain(s) involved</w:t>
      </w:r>
      <w:r w:rsidR="00054977">
        <w:rPr>
          <w:rFonts w:ascii="Times New Roman" w:hAnsi="Times New Roman" w:cs="Times New Roman"/>
          <w:sz w:val="24"/>
          <w:szCs w:val="24"/>
          <w:lang w:val="en-GB"/>
        </w:rPr>
        <w:t xml:space="preserve">, </w:t>
      </w:r>
      <w:r w:rsidR="00B33B5A">
        <w:rPr>
          <w:rFonts w:ascii="Times New Roman" w:hAnsi="Times New Roman" w:cs="Times New Roman"/>
          <w:sz w:val="24"/>
          <w:szCs w:val="24"/>
          <w:lang w:val="en-GB"/>
        </w:rPr>
        <w:t>along with the</w:t>
      </w:r>
      <w:r w:rsidR="00B33B5A" w:rsidRPr="00B33B5A">
        <w:rPr>
          <w:rFonts w:ascii="Times New Roman" w:hAnsi="Times New Roman" w:cs="Times New Roman"/>
          <w:sz w:val="24"/>
          <w:szCs w:val="24"/>
          <w:lang w:val="en-GB"/>
        </w:rPr>
        <w:t xml:space="preserve"> </w:t>
      </w:r>
      <w:r w:rsidR="00B33B5A">
        <w:rPr>
          <w:rFonts w:ascii="Times New Roman" w:hAnsi="Times New Roman" w:cs="Times New Roman"/>
          <w:sz w:val="24"/>
          <w:szCs w:val="24"/>
          <w:lang w:val="en-GB"/>
        </w:rPr>
        <w:t>enabl</w:t>
      </w:r>
      <w:r w:rsidR="009D5E68">
        <w:rPr>
          <w:rFonts w:ascii="Times New Roman" w:hAnsi="Times New Roman" w:cs="Times New Roman"/>
          <w:sz w:val="24"/>
          <w:szCs w:val="24"/>
          <w:lang w:val="en-GB"/>
        </w:rPr>
        <w:t>ing</w:t>
      </w:r>
      <w:r w:rsidR="00B33B5A" w:rsidRPr="75A96201">
        <w:rPr>
          <w:rFonts w:ascii="Times New Roman" w:hAnsi="Times New Roman" w:cs="Times New Roman"/>
          <w:sz w:val="24"/>
          <w:szCs w:val="24"/>
          <w:lang w:val="en-GB"/>
        </w:rPr>
        <w:t xml:space="preserve"> CBM practices</w:t>
      </w:r>
      <w:r w:rsidR="001A1BB1" w:rsidRPr="75A96201">
        <w:rPr>
          <w:rFonts w:ascii="Times New Roman" w:hAnsi="Times New Roman" w:cs="Times New Roman"/>
          <w:sz w:val="24"/>
          <w:szCs w:val="24"/>
          <w:lang w:val="en-GB"/>
        </w:rPr>
        <w:t>.</w:t>
      </w:r>
      <w:r w:rsidR="00054977">
        <w:rPr>
          <w:rFonts w:ascii="Times New Roman" w:hAnsi="Times New Roman" w:cs="Times New Roman"/>
          <w:sz w:val="24"/>
          <w:szCs w:val="24"/>
          <w:lang w:val="en-GB"/>
        </w:rPr>
        <w:t xml:space="preserve"> A</w:t>
      </w:r>
      <w:r w:rsidR="00B33B5A">
        <w:rPr>
          <w:rFonts w:ascii="Times New Roman" w:hAnsi="Times New Roman" w:cs="Times New Roman"/>
          <w:sz w:val="24"/>
          <w:szCs w:val="24"/>
          <w:lang w:val="en-GB"/>
        </w:rPr>
        <w:t>s result of the</w:t>
      </w:r>
      <w:r w:rsidRPr="75A96201">
        <w:rPr>
          <w:rFonts w:ascii="Times New Roman" w:hAnsi="Times New Roman" w:cs="Times New Roman"/>
          <w:sz w:val="24"/>
          <w:szCs w:val="24"/>
          <w:lang w:val="en-GB"/>
        </w:rPr>
        <w:t xml:space="preserve"> second </w:t>
      </w:r>
      <w:r w:rsidR="00B33B5A">
        <w:rPr>
          <w:rFonts w:ascii="Times New Roman" w:hAnsi="Times New Roman" w:cs="Times New Roman"/>
          <w:sz w:val="24"/>
          <w:szCs w:val="24"/>
          <w:lang w:val="en-GB"/>
        </w:rPr>
        <w:t>iteration</w:t>
      </w:r>
      <w:r w:rsidRPr="75A96201">
        <w:rPr>
          <w:rFonts w:ascii="Times New Roman" w:hAnsi="Times New Roman" w:cs="Times New Roman"/>
          <w:sz w:val="24"/>
          <w:szCs w:val="24"/>
          <w:lang w:val="en-GB"/>
        </w:rPr>
        <w:t xml:space="preserve">, </w:t>
      </w:r>
      <w:r w:rsidR="00B33B5A">
        <w:rPr>
          <w:rFonts w:ascii="Times New Roman" w:hAnsi="Times New Roman" w:cs="Times New Roman"/>
          <w:sz w:val="24"/>
          <w:szCs w:val="24"/>
          <w:lang w:val="en-GB"/>
        </w:rPr>
        <w:t>a</w:t>
      </w:r>
      <w:r w:rsidR="00054977">
        <w:rPr>
          <w:rFonts w:ascii="Times New Roman" w:hAnsi="Times New Roman" w:cs="Times New Roman"/>
          <w:sz w:val="24"/>
          <w:szCs w:val="24"/>
          <w:lang w:val="en-GB"/>
        </w:rPr>
        <w:t xml:space="preserve">n updated version of </w:t>
      </w:r>
      <w:r w:rsidRPr="75A96201">
        <w:rPr>
          <w:rFonts w:ascii="Times New Roman" w:hAnsi="Times New Roman" w:cs="Times New Roman"/>
          <w:sz w:val="24"/>
          <w:szCs w:val="24"/>
          <w:lang w:val="en-GB"/>
        </w:rPr>
        <w:t xml:space="preserve">the report </w:t>
      </w:r>
      <w:r w:rsidR="00054977">
        <w:rPr>
          <w:rFonts w:ascii="Times New Roman" w:hAnsi="Times New Roman" w:cs="Times New Roman"/>
          <w:sz w:val="24"/>
          <w:szCs w:val="24"/>
          <w:lang w:val="en-GB"/>
        </w:rPr>
        <w:t>was shared with</w:t>
      </w:r>
      <w:r w:rsidR="009D5E68">
        <w:rPr>
          <w:rFonts w:ascii="Times New Roman" w:hAnsi="Times New Roman" w:cs="Times New Roman"/>
          <w:sz w:val="24"/>
          <w:szCs w:val="24"/>
          <w:lang w:val="en-GB"/>
        </w:rPr>
        <w:t xml:space="preserve"> the</w:t>
      </w:r>
      <w:r w:rsidR="00054977">
        <w:rPr>
          <w:rFonts w:ascii="Times New Roman" w:hAnsi="Times New Roman" w:cs="Times New Roman"/>
          <w:sz w:val="24"/>
          <w:szCs w:val="24"/>
          <w:lang w:val="en-GB"/>
        </w:rPr>
        <w:t xml:space="preserve"> experts</w:t>
      </w:r>
      <w:r w:rsidR="00245234">
        <w:rPr>
          <w:rFonts w:ascii="Times New Roman" w:hAnsi="Times New Roman" w:cs="Times New Roman"/>
          <w:sz w:val="24"/>
          <w:szCs w:val="24"/>
          <w:lang w:val="en-GB"/>
        </w:rPr>
        <w:t>.</w:t>
      </w:r>
      <w:r w:rsidR="00054977">
        <w:rPr>
          <w:rFonts w:ascii="Times New Roman" w:hAnsi="Times New Roman" w:cs="Times New Roman"/>
          <w:sz w:val="24"/>
          <w:szCs w:val="24"/>
          <w:lang w:val="en-GB"/>
        </w:rPr>
        <w:t xml:space="preserve"> </w:t>
      </w:r>
      <w:r w:rsidR="00245234">
        <w:rPr>
          <w:rFonts w:ascii="Times New Roman" w:hAnsi="Times New Roman" w:cs="Times New Roman"/>
          <w:sz w:val="24"/>
          <w:szCs w:val="24"/>
          <w:lang w:val="en-GB"/>
        </w:rPr>
        <w:t>B</w:t>
      </w:r>
      <w:r w:rsidR="00245234" w:rsidRPr="75A96201">
        <w:rPr>
          <w:rFonts w:ascii="Times New Roman" w:hAnsi="Times New Roman" w:cs="Times New Roman"/>
          <w:sz w:val="24"/>
          <w:szCs w:val="24"/>
          <w:lang w:val="en-GB"/>
        </w:rPr>
        <w:t xml:space="preserve">ecause of the progressive convergence among </w:t>
      </w:r>
      <w:r w:rsidR="00A2703E">
        <w:rPr>
          <w:rFonts w:ascii="Times New Roman" w:hAnsi="Times New Roman" w:cs="Times New Roman"/>
          <w:sz w:val="24"/>
          <w:szCs w:val="24"/>
          <w:lang w:val="en-GB"/>
        </w:rPr>
        <w:t xml:space="preserve">the </w:t>
      </w:r>
      <w:r w:rsidR="00245234" w:rsidRPr="75A96201">
        <w:rPr>
          <w:rFonts w:ascii="Times New Roman" w:hAnsi="Times New Roman" w:cs="Times New Roman"/>
          <w:sz w:val="24"/>
          <w:szCs w:val="24"/>
          <w:lang w:val="en-GB"/>
        </w:rPr>
        <w:t>experts’ replies,</w:t>
      </w:r>
      <w:r w:rsidR="00245234">
        <w:rPr>
          <w:rFonts w:ascii="Times New Roman" w:hAnsi="Times New Roman" w:cs="Times New Roman"/>
          <w:sz w:val="24"/>
          <w:szCs w:val="24"/>
          <w:lang w:val="en-GB"/>
        </w:rPr>
        <w:t xml:space="preserve"> this report</w:t>
      </w:r>
      <w:r w:rsidR="00B33B5A">
        <w:rPr>
          <w:rFonts w:ascii="Times New Roman" w:hAnsi="Times New Roman" w:cs="Times New Roman"/>
          <w:sz w:val="24"/>
          <w:szCs w:val="24"/>
          <w:lang w:val="en-GB"/>
        </w:rPr>
        <w:t xml:space="preserve"> </w:t>
      </w:r>
      <w:r w:rsidR="00054977">
        <w:rPr>
          <w:rFonts w:ascii="Times New Roman" w:hAnsi="Times New Roman" w:cs="Times New Roman"/>
          <w:sz w:val="24"/>
          <w:szCs w:val="24"/>
          <w:lang w:val="en-GB"/>
        </w:rPr>
        <w:t xml:space="preserve">also </w:t>
      </w:r>
      <w:r w:rsidRPr="75A96201">
        <w:rPr>
          <w:rFonts w:ascii="Times New Roman" w:hAnsi="Times New Roman" w:cs="Times New Roman"/>
          <w:sz w:val="24"/>
          <w:szCs w:val="24"/>
          <w:lang w:val="en-GB"/>
        </w:rPr>
        <w:t>includ</w:t>
      </w:r>
      <w:r w:rsidR="00B33B5A">
        <w:rPr>
          <w:rFonts w:ascii="Times New Roman" w:hAnsi="Times New Roman" w:cs="Times New Roman"/>
          <w:sz w:val="24"/>
          <w:szCs w:val="24"/>
          <w:lang w:val="en-GB"/>
        </w:rPr>
        <w:t>ed</w:t>
      </w:r>
      <w:r w:rsidRPr="75A96201">
        <w:rPr>
          <w:rFonts w:ascii="Times New Roman" w:hAnsi="Times New Roman" w:cs="Times New Roman"/>
          <w:sz w:val="24"/>
          <w:szCs w:val="24"/>
          <w:lang w:val="en-GB"/>
        </w:rPr>
        <w:t xml:space="preserve"> a preliminary version of the taxonomy </w:t>
      </w:r>
      <w:r w:rsidR="002F2130">
        <w:rPr>
          <w:rFonts w:ascii="Times New Roman" w:hAnsi="Times New Roman" w:cs="Times New Roman"/>
          <w:sz w:val="24"/>
          <w:szCs w:val="24"/>
          <w:lang w:val="en-GB"/>
        </w:rPr>
        <w:t xml:space="preserve">including different clusters </w:t>
      </w:r>
      <w:r w:rsidRPr="75A96201">
        <w:rPr>
          <w:rFonts w:ascii="Times New Roman" w:hAnsi="Times New Roman" w:cs="Times New Roman"/>
          <w:sz w:val="24"/>
          <w:szCs w:val="24"/>
          <w:lang w:val="en-GB"/>
        </w:rPr>
        <w:t>of MSPs enabl</w:t>
      </w:r>
      <w:r w:rsidR="00245234">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CSCs in </w:t>
      </w:r>
      <w:r w:rsidR="007B6DDC">
        <w:rPr>
          <w:rFonts w:ascii="Times New Roman" w:hAnsi="Times New Roman" w:cs="Times New Roman"/>
          <w:sz w:val="24"/>
          <w:szCs w:val="24"/>
          <w:lang w:val="en-GB"/>
        </w:rPr>
        <w:t>the</w:t>
      </w:r>
      <w:r w:rsidR="007B6DDC"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w:t>
      </w:r>
      <w:r w:rsidR="00245234">
        <w:rPr>
          <w:rFonts w:ascii="Times New Roman" w:hAnsi="Times New Roman" w:cs="Times New Roman"/>
          <w:sz w:val="24"/>
          <w:szCs w:val="24"/>
          <w:lang w:val="en-GB"/>
        </w:rPr>
        <w:t>As result of the</w:t>
      </w:r>
      <w:r w:rsidR="00245234" w:rsidRPr="75A96201">
        <w:rPr>
          <w:rFonts w:ascii="Times New Roman" w:hAnsi="Times New Roman" w:cs="Times New Roman"/>
          <w:sz w:val="24"/>
          <w:szCs w:val="24"/>
          <w:lang w:val="en-GB"/>
        </w:rPr>
        <w:t xml:space="preserve"> </w:t>
      </w:r>
      <w:r w:rsidR="00245234">
        <w:rPr>
          <w:rFonts w:ascii="Times New Roman" w:hAnsi="Times New Roman" w:cs="Times New Roman"/>
          <w:sz w:val="24"/>
          <w:szCs w:val="24"/>
          <w:lang w:val="en-GB"/>
        </w:rPr>
        <w:t>third</w:t>
      </w:r>
      <w:r w:rsidR="00245234" w:rsidRPr="75A96201">
        <w:rPr>
          <w:rFonts w:ascii="Times New Roman" w:hAnsi="Times New Roman" w:cs="Times New Roman"/>
          <w:sz w:val="24"/>
          <w:szCs w:val="24"/>
          <w:lang w:val="en-GB"/>
        </w:rPr>
        <w:t xml:space="preserve"> </w:t>
      </w:r>
      <w:r w:rsidR="00245234">
        <w:rPr>
          <w:rFonts w:ascii="Times New Roman" w:hAnsi="Times New Roman" w:cs="Times New Roman"/>
          <w:sz w:val="24"/>
          <w:szCs w:val="24"/>
          <w:lang w:val="en-GB"/>
        </w:rPr>
        <w:t>iteration</w:t>
      </w:r>
      <w:r w:rsidRPr="75A96201">
        <w:rPr>
          <w:rFonts w:ascii="Times New Roman" w:hAnsi="Times New Roman" w:cs="Times New Roman"/>
          <w:sz w:val="24"/>
          <w:szCs w:val="24"/>
          <w:lang w:val="en-GB"/>
        </w:rPr>
        <w:t xml:space="preserve">, an updated version of the taxonomy </w:t>
      </w:r>
      <w:r w:rsidR="00245234">
        <w:rPr>
          <w:rFonts w:ascii="Times New Roman" w:hAnsi="Times New Roman" w:cs="Times New Roman"/>
          <w:sz w:val="24"/>
          <w:szCs w:val="24"/>
          <w:lang w:val="en-GB"/>
        </w:rPr>
        <w:t>was drafted, which</w:t>
      </w:r>
      <w:r w:rsidR="00054977">
        <w:rPr>
          <w:rFonts w:ascii="Times New Roman" w:hAnsi="Times New Roman" w:cs="Times New Roman"/>
          <w:sz w:val="24"/>
          <w:szCs w:val="24"/>
          <w:lang w:val="en-GB"/>
        </w:rPr>
        <w:t xml:space="preserve"> leveraged the</w:t>
      </w:r>
      <w:r w:rsidR="00706CE3">
        <w:rPr>
          <w:rFonts w:ascii="Times New Roman" w:hAnsi="Times New Roman" w:cs="Times New Roman"/>
          <w:sz w:val="24"/>
          <w:szCs w:val="24"/>
          <w:lang w:val="en-GB"/>
        </w:rPr>
        <w:t xml:space="preserve"> </w:t>
      </w:r>
      <w:r w:rsidR="00B6696B">
        <w:rPr>
          <w:rFonts w:ascii="Times New Roman" w:hAnsi="Times New Roman" w:cs="Times New Roman"/>
          <w:sz w:val="24"/>
          <w:szCs w:val="24"/>
          <w:lang w:val="en-GB"/>
        </w:rPr>
        <w:t>last</w:t>
      </w:r>
      <w:r w:rsidR="00B6696B"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feedback collected by the experts </w:t>
      </w:r>
      <w:r w:rsidR="00FE0DB0">
        <w:rPr>
          <w:rFonts w:ascii="Times New Roman" w:hAnsi="Times New Roman" w:cs="Times New Roman"/>
          <w:sz w:val="24"/>
          <w:szCs w:val="24"/>
          <w:lang w:val="en-GB"/>
        </w:rPr>
        <w:t>(see Appendix 2 for an overview about the</w:t>
      </w:r>
      <w:r w:rsidR="00FE0DB0" w:rsidRPr="00653706">
        <w:rPr>
          <w:rFonts w:ascii="Times New Roman" w:hAnsi="Times New Roman" w:cs="Times New Roman"/>
          <w:sz w:val="24"/>
          <w:szCs w:val="24"/>
          <w:lang w:val="en-GB"/>
        </w:rPr>
        <w:t xml:space="preserve"> scores received by </w:t>
      </w:r>
      <w:r w:rsidR="00EA2906">
        <w:rPr>
          <w:rFonts w:ascii="Times New Roman" w:hAnsi="Times New Roman" w:cs="Times New Roman"/>
          <w:sz w:val="24"/>
          <w:szCs w:val="24"/>
          <w:lang w:val="en-GB"/>
        </w:rPr>
        <w:t xml:space="preserve">the </w:t>
      </w:r>
      <w:r w:rsidR="00FE0DB0" w:rsidRPr="00653706">
        <w:rPr>
          <w:rFonts w:ascii="Times New Roman" w:hAnsi="Times New Roman" w:cs="Times New Roman"/>
          <w:sz w:val="24"/>
          <w:szCs w:val="24"/>
          <w:lang w:val="en-GB"/>
        </w:rPr>
        <w:t xml:space="preserve">experts at the end of the </w:t>
      </w:r>
      <w:r w:rsidR="00FE0DB0">
        <w:rPr>
          <w:rFonts w:ascii="Times New Roman" w:hAnsi="Times New Roman" w:cs="Times New Roman"/>
          <w:sz w:val="24"/>
          <w:szCs w:val="24"/>
          <w:lang w:val="en-GB"/>
        </w:rPr>
        <w:t>third iteration,</w:t>
      </w:r>
      <w:r w:rsidR="00FE0DB0" w:rsidRPr="00653706">
        <w:rPr>
          <w:rFonts w:ascii="Times New Roman" w:hAnsi="Times New Roman" w:cs="Times New Roman"/>
          <w:sz w:val="24"/>
          <w:szCs w:val="24"/>
          <w:lang w:val="en-GB"/>
        </w:rPr>
        <w:t xml:space="preserve"> with reference to </w:t>
      </w:r>
      <w:r w:rsidR="00FE0DB0">
        <w:rPr>
          <w:rFonts w:ascii="Times New Roman" w:hAnsi="Times New Roman" w:cs="Times New Roman"/>
          <w:sz w:val="24"/>
          <w:szCs w:val="24"/>
          <w:lang w:val="en-GB"/>
        </w:rPr>
        <w:t xml:space="preserve">the </w:t>
      </w:r>
      <w:r w:rsidR="00FE0DB0" w:rsidRPr="00653706">
        <w:rPr>
          <w:rFonts w:ascii="Times New Roman" w:hAnsi="Times New Roman" w:cs="Times New Roman"/>
          <w:sz w:val="24"/>
          <w:szCs w:val="24"/>
          <w:lang w:val="en-GB"/>
        </w:rPr>
        <w:t xml:space="preserve">MSPs belonging to the </w:t>
      </w:r>
      <w:r w:rsidR="00FE0DB0">
        <w:rPr>
          <w:rFonts w:ascii="Times New Roman" w:hAnsi="Times New Roman" w:cs="Times New Roman"/>
          <w:sz w:val="24"/>
          <w:szCs w:val="24"/>
          <w:lang w:val="en-GB"/>
        </w:rPr>
        <w:t>emerging</w:t>
      </w:r>
      <w:r w:rsidR="00FE0DB0" w:rsidRPr="00653706">
        <w:rPr>
          <w:rFonts w:ascii="Times New Roman" w:hAnsi="Times New Roman" w:cs="Times New Roman"/>
          <w:sz w:val="24"/>
          <w:szCs w:val="24"/>
          <w:lang w:val="en-GB"/>
        </w:rPr>
        <w:t xml:space="preserve"> clusters)</w:t>
      </w:r>
      <w:r w:rsidR="00FE0DB0">
        <w:rPr>
          <w:rFonts w:ascii="Times New Roman" w:hAnsi="Times New Roman" w:cs="Times New Roman"/>
          <w:sz w:val="24"/>
          <w:szCs w:val="24"/>
          <w:lang w:val="en-GB"/>
        </w:rPr>
        <w:t xml:space="preserve">. </w:t>
      </w:r>
      <w:r w:rsidR="00245234">
        <w:rPr>
          <w:rFonts w:ascii="Times New Roman" w:hAnsi="Times New Roman" w:cs="Times New Roman"/>
          <w:sz w:val="24"/>
          <w:szCs w:val="24"/>
          <w:lang w:val="en-GB"/>
        </w:rPr>
        <w:t>D</w:t>
      </w:r>
      <w:r w:rsidR="00245234" w:rsidRPr="75A96201">
        <w:rPr>
          <w:rFonts w:ascii="Times New Roman" w:hAnsi="Times New Roman" w:cs="Times New Roman"/>
          <w:sz w:val="24"/>
          <w:szCs w:val="24"/>
          <w:lang w:val="en-GB"/>
        </w:rPr>
        <w:t xml:space="preserve">ue to a stable and reliable convergence of the platforms’ evaluation by </w:t>
      </w:r>
      <w:r w:rsidR="00245234">
        <w:rPr>
          <w:rFonts w:ascii="Times New Roman" w:hAnsi="Times New Roman" w:cs="Times New Roman"/>
          <w:sz w:val="24"/>
          <w:szCs w:val="24"/>
          <w:lang w:val="en-GB"/>
        </w:rPr>
        <w:t xml:space="preserve">the </w:t>
      </w:r>
      <w:r w:rsidR="00245234" w:rsidRPr="75A96201">
        <w:rPr>
          <w:rFonts w:ascii="Times New Roman" w:hAnsi="Times New Roman" w:cs="Times New Roman"/>
          <w:sz w:val="24"/>
          <w:szCs w:val="24"/>
          <w:lang w:val="en-GB"/>
        </w:rPr>
        <w:t>experts</w:t>
      </w:r>
      <w:r w:rsidR="00245234">
        <w:rPr>
          <w:rFonts w:ascii="Times New Roman" w:hAnsi="Times New Roman" w:cs="Times New Roman"/>
          <w:sz w:val="24"/>
          <w:szCs w:val="24"/>
          <w:lang w:val="en-GB"/>
        </w:rPr>
        <w:t xml:space="preserve">, it was </w:t>
      </w:r>
      <w:r w:rsidRPr="75A96201">
        <w:rPr>
          <w:rFonts w:ascii="Times New Roman" w:hAnsi="Times New Roman" w:cs="Times New Roman"/>
          <w:sz w:val="24"/>
          <w:szCs w:val="24"/>
          <w:lang w:val="en-GB"/>
        </w:rPr>
        <w:t>decided to end the iteration</w:t>
      </w:r>
      <w:bookmarkEnd w:id="0"/>
      <w:r w:rsidRPr="75A96201">
        <w:rPr>
          <w:rFonts w:ascii="Times New Roman" w:hAnsi="Times New Roman" w:cs="Times New Roman"/>
          <w:sz w:val="24"/>
          <w:szCs w:val="24"/>
          <w:lang w:val="en-GB"/>
        </w:rPr>
        <w:t>.</w:t>
      </w:r>
    </w:p>
    <w:p w14:paraId="7F30704B" w14:textId="513B9F3E" w:rsidR="00A2703E" w:rsidRPr="004B1CF3" w:rsidRDefault="00000000" w:rsidP="00A2703E">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In the third stage (“consolidation” stage), the </w:t>
      </w:r>
      <w:r w:rsidR="002F2130">
        <w:rPr>
          <w:rFonts w:ascii="Times New Roman" w:hAnsi="Times New Roman" w:cs="Times New Roman"/>
          <w:sz w:val="24"/>
          <w:szCs w:val="24"/>
          <w:lang w:val="en-GB"/>
        </w:rPr>
        <w:t>last</w:t>
      </w:r>
      <w:r w:rsidR="002F2130"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version of the taxonomy </w:t>
      </w:r>
      <w:r w:rsidR="00EE69A6" w:rsidRPr="75A96201">
        <w:rPr>
          <w:rFonts w:ascii="Times New Roman" w:hAnsi="Times New Roman" w:cs="Times New Roman"/>
          <w:sz w:val="24"/>
          <w:szCs w:val="24"/>
          <w:lang w:val="en-GB"/>
        </w:rPr>
        <w:t>of MSPs enabl</w:t>
      </w:r>
      <w:r w:rsidR="00EE69A6">
        <w:rPr>
          <w:rFonts w:ascii="Times New Roman" w:hAnsi="Times New Roman" w:cs="Times New Roman"/>
          <w:sz w:val="24"/>
          <w:szCs w:val="24"/>
          <w:lang w:val="en-GB"/>
        </w:rPr>
        <w:t>ing</w:t>
      </w:r>
      <w:r w:rsidR="00EE69A6" w:rsidRPr="75A96201">
        <w:rPr>
          <w:rFonts w:ascii="Times New Roman" w:hAnsi="Times New Roman" w:cs="Times New Roman"/>
          <w:sz w:val="24"/>
          <w:szCs w:val="24"/>
          <w:lang w:val="en-GB"/>
        </w:rPr>
        <w:t xml:space="preserve"> CSCs in </w:t>
      </w:r>
      <w:r w:rsidR="00354072">
        <w:rPr>
          <w:rFonts w:ascii="Times New Roman" w:hAnsi="Times New Roman" w:cs="Times New Roman"/>
          <w:sz w:val="24"/>
          <w:szCs w:val="24"/>
          <w:lang w:val="en-GB"/>
        </w:rPr>
        <w:t>the</w:t>
      </w:r>
      <w:r w:rsidR="00354072" w:rsidRPr="75A96201">
        <w:rPr>
          <w:rFonts w:ascii="Times New Roman" w:hAnsi="Times New Roman" w:cs="Times New Roman"/>
          <w:sz w:val="24"/>
          <w:szCs w:val="24"/>
          <w:lang w:val="en-GB"/>
        </w:rPr>
        <w:t xml:space="preserve"> </w:t>
      </w:r>
      <w:r w:rsidR="00EE69A6" w:rsidRPr="75A96201">
        <w:rPr>
          <w:rFonts w:ascii="Times New Roman" w:hAnsi="Times New Roman" w:cs="Times New Roman"/>
          <w:sz w:val="24"/>
          <w:szCs w:val="24"/>
          <w:lang w:val="en-GB"/>
        </w:rPr>
        <w:t>B2B setting</w:t>
      </w:r>
      <w:r w:rsidR="00EE69A6">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was shared with </w:t>
      </w:r>
      <w:r w:rsidR="00EE69A6">
        <w:rPr>
          <w:rFonts w:ascii="Times New Roman" w:hAnsi="Times New Roman" w:cs="Times New Roman"/>
          <w:sz w:val="24"/>
          <w:szCs w:val="24"/>
          <w:lang w:val="en-GB"/>
        </w:rPr>
        <w:t xml:space="preserve">the </w:t>
      </w:r>
      <w:r w:rsidRPr="75A96201">
        <w:rPr>
          <w:rFonts w:ascii="Times New Roman" w:hAnsi="Times New Roman" w:cs="Times New Roman"/>
          <w:sz w:val="24"/>
          <w:szCs w:val="24"/>
          <w:lang w:val="en-GB"/>
        </w:rPr>
        <w:t>experts for their final validation</w:t>
      </w:r>
      <w:r w:rsidR="009A46F5">
        <w:rPr>
          <w:rFonts w:ascii="Times New Roman" w:hAnsi="Times New Roman" w:cs="Times New Roman"/>
          <w:sz w:val="24"/>
          <w:szCs w:val="24"/>
          <w:lang w:val="en-GB"/>
        </w:rPr>
        <w:t xml:space="preserve">. </w:t>
      </w:r>
      <w:r w:rsidR="0092527B">
        <w:rPr>
          <w:rFonts w:ascii="Times New Roman" w:hAnsi="Times New Roman" w:cs="Times New Roman"/>
          <w:sz w:val="24"/>
          <w:szCs w:val="24"/>
          <w:lang w:val="en-GB"/>
        </w:rPr>
        <w:t>S</w:t>
      </w:r>
      <w:r w:rsidR="00EE69A6">
        <w:rPr>
          <w:rFonts w:ascii="Times New Roman" w:hAnsi="Times New Roman" w:cs="Times New Roman"/>
          <w:sz w:val="24"/>
          <w:szCs w:val="24"/>
          <w:lang w:val="en-GB"/>
        </w:rPr>
        <w:t xml:space="preserve">ince </w:t>
      </w:r>
      <w:r w:rsidR="0092527B">
        <w:rPr>
          <w:rFonts w:ascii="Times New Roman" w:hAnsi="Times New Roman" w:cs="Times New Roman"/>
          <w:sz w:val="24"/>
          <w:szCs w:val="24"/>
          <w:lang w:val="en-GB"/>
        </w:rPr>
        <w:t>all the experts declared a full alignment with the last</w:t>
      </w:r>
      <w:r w:rsidR="0092527B" w:rsidRPr="75A96201">
        <w:rPr>
          <w:rFonts w:ascii="Times New Roman" w:hAnsi="Times New Roman" w:cs="Times New Roman"/>
          <w:sz w:val="24"/>
          <w:szCs w:val="24"/>
          <w:lang w:val="en-GB"/>
        </w:rPr>
        <w:t xml:space="preserve"> version of the taxonomy</w:t>
      </w:r>
      <w:r w:rsidR="00EE69A6">
        <w:rPr>
          <w:rFonts w:ascii="Times New Roman" w:hAnsi="Times New Roman" w:cs="Times New Roman"/>
          <w:sz w:val="24"/>
          <w:szCs w:val="24"/>
          <w:lang w:val="en-GB"/>
        </w:rPr>
        <w:t xml:space="preserve">, </w:t>
      </w:r>
      <w:r w:rsidR="00A2703E">
        <w:rPr>
          <w:rFonts w:ascii="Times New Roman" w:hAnsi="Times New Roman" w:cs="Times New Roman"/>
          <w:sz w:val="24"/>
          <w:szCs w:val="24"/>
          <w:lang w:val="en-GB"/>
        </w:rPr>
        <w:t>this</w:t>
      </w:r>
      <w:r w:rsidR="009E78E5">
        <w:rPr>
          <w:rFonts w:ascii="Times New Roman" w:hAnsi="Times New Roman" w:cs="Times New Roman"/>
          <w:sz w:val="24"/>
          <w:szCs w:val="24"/>
          <w:lang w:val="en-GB"/>
        </w:rPr>
        <w:t xml:space="preserve"> was finalized as </w:t>
      </w:r>
      <w:r w:rsidRPr="75A96201">
        <w:rPr>
          <w:rFonts w:ascii="Times New Roman" w:hAnsi="Times New Roman" w:cs="Times New Roman"/>
          <w:sz w:val="24"/>
          <w:szCs w:val="24"/>
          <w:lang w:val="en-GB"/>
        </w:rPr>
        <w:t>the final version of the taxonomy.</w:t>
      </w:r>
    </w:p>
    <w:p w14:paraId="328242F9" w14:textId="77777777" w:rsidR="00B93D26" w:rsidRPr="00B507D0" w:rsidRDefault="00B93D26" w:rsidP="00B507D0">
      <w:pPr>
        <w:spacing w:after="0" w:line="360" w:lineRule="auto"/>
        <w:jc w:val="both"/>
        <w:rPr>
          <w:rFonts w:ascii="Times New Roman" w:hAnsi="Times New Roman" w:cs="Times New Roman"/>
          <w:sz w:val="24"/>
          <w:szCs w:val="24"/>
          <w:lang w:val="en-GB"/>
        </w:rPr>
      </w:pPr>
    </w:p>
    <w:p w14:paraId="4A5028B7" w14:textId="77777777" w:rsidR="00B93D26" w:rsidRPr="00EE5EE9" w:rsidRDefault="00000000" w:rsidP="001B0EE7">
      <w:pPr>
        <w:spacing w:after="0" w:line="360" w:lineRule="auto"/>
        <w:rPr>
          <w:rFonts w:ascii="Times New Roman" w:eastAsiaTheme="majorEastAsia" w:hAnsi="Times New Roman" w:cs="Times New Roman"/>
          <w:b/>
          <w:bCs/>
          <w:sz w:val="24"/>
          <w:szCs w:val="24"/>
          <w:lang w:val="en-GB"/>
        </w:rPr>
      </w:pPr>
      <w:r w:rsidRPr="00EE5EE9">
        <w:rPr>
          <w:rFonts w:ascii="Times New Roman" w:eastAsiaTheme="majorEastAsia" w:hAnsi="Times New Roman" w:cs="Times New Roman"/>
          <w:b/>
          <w:bCs/>
          <w:sz w:val="24"/>
          <w:szCs w:val="24"/>
          <w:lang w:val="en-GB"/>
        </w:rPr>
        <w:t xml:space="preserve">4. Results and </w:t>
      </w:r>
      <w:r>
        <w:rPr>
          <w:rFonts w:ascii="Times New Roman" w:eastAsiaTheme="majorEastAsia" w:hAnsi="Times New Roman" w:cs="Times New Roman"/>
          <w:b/>
          <w:bCs/>
          <w:sz w:val="24"/>
          <w:szCs w:val="24"/>
          <w:lang w:val="en-GB"/>
        </w:rPr>
        <w:t>d</w:t>
      </w:r>
      <w:r w:rsidRPr="00EE5EE9">
        <w:rPr>
          <w:rFonts w:ascii="Times New Roman" w:eastAsiaTheme="majorEastAsia" w:hAnsi="Times New Roman" w:cs="Times New Roman"/>
          <w:b/>
          <w:bCs/>
          <w:sz w:val="24"/>
          <w:szCs w:val="24"/>
          <w:lang w:val="en-GB"/>
        </w:rPr>
        <w:t xml:space="preserve">iscussion </w:t>
      </w:r>
    </w:p>
    <w:p w14:paraId="547B9018" w14:textId="6FDBA37F" w:rsidR="00B93D26" w:rsidRPr="00526FBC" w:rsidRDefault="00000000" w:rsidP="00015E5D">
      <w:pPr>
        <w:spacing w:after="0" w:line="360" w:lineRule="auto"/>
        <w:jc w:val="both"/>
        <w:rPr>
          <w:rFonts w:ascii="Times New Roman" w:hAnsi="Times New Roman" w:cs="Times New Roman"/>
          <w:sz w:val="24"/>
          <w:szCs w:val="24"/>
          <w:lang w:val="en-US"/>
        </w:rPr>
      </w:pPr>
      <w:r w:rsidRPr="75A96201">
        <w:rPr>
          <w:rFonts w:ascii="Times New Roman" w:hAnsi="Times New Roman" w:cs="Times New Roman"/>
          <w:sz w:val="24"/>
          <w:szCs w:val="24"/>
          <w:lang w:val="en-GB"/>
        </w:rPr>
        <w:lastRenderedPageBreak/>
        <w:t xml:space="preserve">This section presents the </w:t>
      </w:r>
      <w:r w:rsidRPr="00531EE1">
        <w:rPr>
          <w:rFonts w:ascii="Times New Roman" w:hAnsi="Times New Roman" w:cs="Times New Roman"/>
          <w:sz w:val="24"/>
          <w:szCs w:val="24"/>
          <w:lang w:val="en-GB"/>
        </w:rPr>
        <w:t>taxonomy of MSPs enabl</w:t>
      </w:r>
      <w:r w:rsidR="00EA020D">
        <w:rPr>
          <w:rFonts w:ascii="Times New Roman" w:hAnsi="Times New Roman" w:cs="Times New Roman"/>
          <w:sz w:val="24"/>
          <w:szCs w:val="24"/>
          <w:lang w:val="en-GB"/>
        </w:rPr>
        <w:t>ing</w:t>
      </w:r>
      <w:r w:rsidRPr="00531EE1">
        <w:rPr>
          <w:rFonts w:ascii="Times New Roman" w:hAnsi="Times New Roman" w:cs="Times New Roman"/>
          <w:sz w:val="24"/>
          <w:szCs w:val="24"/>
          <w:lang w:val="en-GB"/>
        </w:rPr>
        <w:t xml:space="preserve"> CSCs in </w:t>
      </w:r>
      <w:r w:rsidR="0012320B">
        <w:rPr>
          <w:rFonts w:ascii="Times New Roman" w:hAnsi="Times New Roman" w:cs="Times New Roman"/>
          <w:sz w:val="24"/>
          <w:szCs w:val="24"/>
          <w:lang w:val="en-GB"/>
        </w:rPr>
        <w:t>the</w:t>
      </w:r>
      <w:r w:rsidR="0012320B" w:rsidRPr="00531EE1">
        <w:rPr>
          <w:rFonts w:ascii="Times New Roman" w:hAnsi="Times New Roman" w:cs="Times New Roman"/>
          <w:sz w:val="24"/>
          <w:szCs w:val="24"/>
          <w:lang w:val="en-GB"/>
        </w:rPr>
        <w:t xml:space="preserve"> </w:t>
      </w:r>
      <w:r w:rsidRPr="00531EE1">
        <w:rPr>
          <w:rFonts w:ascii="Times New Roman" w:hAnsi="Times New Roman" w:cs="Times New Roman"/>
          <w:sz w:val="24"/>
          <w:szCs w:val="24"/>
          <w:lang w:val="en-GB"/>
        </w:rPr>
        <w:t>B2B setting</w:t>
      </w:r>
      <w:r w:rsidR="00531EE1" w:rsidRPr="00531EE1">
        <w:rPr>
          <w:rFonts w:ascii="Times New Roman" w:hAnsi="Times New Roman" w:cs="Times New Roman"/>
          <w:sz w:val="24"/>
          <w:szCs w:val="24"/>
          <w:lang w:val="en-GB"/>
        </w:rPr>
        <w:t>, which</w:t>
      </w:r>
      <w:r w:rsidRPr="00531EE1">
        <w:rPr>
          <w:rFonts w:ascii="Times New Roman" w:hAnsi="Times New Roman" w:cs="Times New Roman"/>
          <w:sz w:val="24"/>
          <w:szCs w:val="24"/>
          <w:lang w:val="en-GB"/>
        </w:rPr>
        <w:t xml:space="preserve"> emerges from</w:t>
      </w:r>
      <w:r w:rsidR="00E502C7">
        <w:rPr>
          <w:rFonts w:ascii="Times New Roman" w:hAnsi="Times New Roman" w:cs="Times New Roman"/>
          <w:sz w:val="24"/>
          <w:szCs w:val="24"/>
          <w:lang w:val="en-GB"/>
        </w:rPr>
        <w:t xml:space="preserve"> the</w:t>
      </w:r>
      <w:r w:rsidRPr="00531EE1">
        <w:rPr>
          <w:rFonts w:ascii="Times New Roman" w:hAnsi="Times New Roman" w:cs="Times New Roman"/>
          <w:sz w:val="24"/>
          <w:szCs w:val="24"/>
          <w:lang w:val="en-GB"/>
        </w:rPr>
        <w:t xml:space="preserve"> theoretical elaboration and the empirical i</w:t>
      </w:r>
      <w:r w:rsidRPr="75A96201">
        <w:rPr>
          <w:rFonts w:ascii="Times New Roman" w:hAnsi="Times New Roman" w:cs="Times New Roman"/>
          <w:sz w:val="24"/>
          <w:szCs w:val="24"/>
          <w:lang w:val="en-GB"/>
        </w:rPr>
        <w:t>nvestigation</w:t>
      </w:r>
      <w:r w:rsidR="006F5B7C">
        <w:rPr>
          <w:rFonts w:ascii="Times New Roman" w:hAnsi="Times New Roman" w:cs="Times New Roman"/>
          <w:sz w:val="24"/>
          <w:szCs w:val="24"/>
          <w:lang w:val="en-GB"/>
        </w:rPr>
        <w:t xml:space="preserve"> (as illustrated in Section 3</w:t>
      </w:r>
      <w:r w:rsidR="00F36BD8">
        <w:rPr>
          <w:rFonts w:ascii="Times New Roman" w:hAnsi="Times New Roman" w:cs="Times New Roman"/>
          <w:sz w:val="24"/>
          <w:szCs w:val="24"/>
          <w:lang w:val="en-GB"/>
        </w:rPr>
        <w:t>)</w:t>
      </w:r>
      <w:r w:rsidR="00F36BD8" w:rsidRPr="75A96201">
        <w:rPr>
          <w:rFonts w:ascii="Times New Roman" w:hAnsi="Times New Roman" w:cs="Times New Roman"/>
          <w:sz w:val="24"/>
          <w:szCs w:val="24"/>
          <w:lang w:val="en-GB"/>
        </w:rPr>
        <w:t xml:space="preserve"> and</w:t>
      </w:r>
      <w:r w:rsidRPr="75A96201">
        <w:rPr>
          <w:rFonts w:ascii="Times New Roman" w:hAnsi="Times New Roman" w:cs="Times New Roman"/>
          <w:sz w:val="24"/>
          <w:szCs w:val="24"/>
          <w:lang w:val="en-GB"/>
        </w:rPr>
        <w:t xml:space="preserve"> discusses it against the existing literature.</w:t>
      </w:r>
    </w:p>
    <w:p w14:paraId="3CF6CC6E" w14:textId="2D337A35" w:rsidR="008C4765" w:rsidRDefault="007845CC" w:rsidP="00E502C7">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First, t</w:t>
      </w:r>
      <w:r w:rsidRPr="75A96201">
        <w:rPr>
          <w:rFonts w:ascii="Times New Roman" w:hAnsi="Times New Roman" w:cs="Times New Roman"/>
          <w:sz w:val="24"/>
          <w:szCs w:val="24"/>
          <w:lang w:val="en-GB"/>
        </w:rPr>
        <w:t>he empirical investigation</w:t>
      </w:r>
      <w:r w:rsidR="004F683E">
        <w:rPr>
          <w:rFonts w:ascii="Times New Roman" w:hAnsi="Times New Roman" w:cs="Times New Roman"/>
          <w:sz w:val="24"/>
          <w:szCs w:val="24"/>
          <w:lang w:val="en-GB"/>
        </w:rPr>
        <w:t xml:space="preserve"> points out the dimensions on which the taxonomy is based upon, i.e.</w:t>
      </w:r>
      <w:r w:rsidR="00F36BD8">
        <w:rPr>
          <w:rFonts w:ascii="Times New Roman" w:hAnsi="Times New Roman" w:cs="Times New Roman"/>
          <w:sz w:val="24"/>
          <w:szCs w:val="24"/>
          <w:lang w:val="en-GB"/>
        </w:rPr>
        <w:t>,</w:t>
      </w:r>
      <w:r w:rsidR="004F683E">
        <w:rPr>
          <w:rFonts w:ascii="Times New Roman" w:hAnsi="Times New Roman" w:cs="Times New Roman"/>
          <w:sz w:val="24"/>
          <w:szCs w:val="24"/>
          <w:lang w:val="en-GB"/>
        </w:rPr>
        <w:t xml:space="preserve"> (</w:t>
      </w:r>
      <w:proofErr w:type="spellStart"/>
      <w:r w:rsidR="004F683E">
        <w:rPr>
          <w:rFonts w:ascii="Times New Roman" w:hAnsi="Times New Roman" w:cs="Times New Roman"/>
          <w:sz w:val="24"/>
          <w:szCs w:val="24"/>
          <w:lang w:val="en-GB"/>
        </w:rPr>
        <w:t>i</w:t>
      </w:r>
      <w:proofErr w:type="spellEnd"/>
      <w:r w:rsidR="004F683E">
        <w:rPr>
          <w:rFonts w:ascii="Times New Roman" w:hAnsi="Times New Roman" w:cs="Times New Roman"/>
          <w:sz w:val="24"/>
          <w:szCs w:val="24"/>
          <w:lang w:val="en-GB"/>
        </w:rPr>
        <w:t>)</w:t>
      </w:r>
      <w:r w:rsidR="004F683E" w:rsidRPr="75A96201">
        <w:rPr>
          <w:rFonts w:ascii="Times New Roman" w:hAnsi="Times New Roman" w:cs="Times New Roman"/>
          <w:sz w:val="24"/>
          <w:szCs w:val="24"/>
          <w:lang w:val="en-GB"/>
        </w:rPr>
        <w:t xml:space="preserve"> the CSCs strategy that can be fulfilled through MSPs; and </w:t>
      </w:r>
      <w:r w:rsidR="004F683E">
        <w:rPr>
          <w:rFonts w:ascii="Times New Roman" w:hAnsi="Times New Roman" w:cs="Times New Roman"/>
          <w:sz w:val="24"/>
          <w:szCs w:val="24"/>
          <w:lang w:val="en-GB"/>
        </w:rPr>
        <w:t>(</w:t>
      </w:r>
      <w:r w:rsidR="004F683E" w:rsidRPr="75A96201">
        <w:rPr>
          <w:rFonts w:ascii="Times New Roman" w:hAnsi="Times New Roman" w:cs="Times New Roman"/>
          <w:sz w:val="24"/>
          <w:szCs w:val="24"/>
          <w:lang w:val="en-GB"/>
        </w:rPr>
        <w:t>ii) the supply chain(s) involved by the resource loops to fulfil such strategy</w:t>
      </w:r>
      <w:r w:rsidR="004F683E">
        <w:rPr>
          <w:rFonts w:ascii="Times New Roman" w:hAnsi="Times New Roman" w:cs="Times New Roman"/>
          <w:sz w:val="24"/>
          <w:szCs w:val="24"/>
          <w:lang w:val="en-GB"/>
        </w:rPr>
        <w:t xml:space="preserve">, which </w:t>
      </w:r>
      <w:r w:rsidR="00E502C7">
        <w:rPr>
          <w:rFonts w:ascii="Times New Roman" w:hAnsi="Times New Roman" w:cs="Times New Roman"/>
          <w:sz w:val="24"/>
          <w:szCs w:val="24"/>
          <w:lang w:val="en-GB"/>
        </w:rPr>
        <w:t>to</w:t>
      </w:r>
      <w:r w:rsidR="004F683E">
        <w:rPr>
          <w:rFonts w:ascii="Times New Roman" w:hAnsi="Times New Roman" w:cs="Times New Roman"/>
          <w:sz w:val="24"/>
          <w:szCs w:val="24"/>
          <w:lang w:val="en-GB"/>
        </w:rPr>
        <w:t xml:space="preserve"> some extent already emerged from the literature review analysis (see Section 2). </w:t>
      </w:r>
      <w:r w:rsidRPr="75A96201">
        <w:rPr>
          <w:rFonts w:ascii="Times New Roman" w:hAnsi="Times New Roman" w:cs="Times New Roman"/>
          <w:sz w:val="24"/>
          <w:szCs w:val="24"/>
          <w:lang w:val="en-GB"/>
        </w:rPr>
        <w:t xml:space="preserve">Regarding the former, three different CSC strategies that can be fulfilled through MSPs emerge, i.e., closing, slowing, and narrowing of resource loops. </w:t>
      </w:r>
      <w:r w:rsidR="008C4765" w:rsidRPr="75A96201">
        <w:rPr>
          <w:rFonts w:ascii="Times New Roman" w:hAnsi="Times New Roman" w:cs="Times New Roman"/>
          <w:sz w:val="24"/>
          <w:szCs w:val="24"/>
          <w:lang w:val="en-GB"/>
        </w:rPr>
        <w:t>Regarding the latter,</w:t>
      </w:r>
      <w:r w:rsidR="008C4765" w:rsidRPr="75A96201" w:rsidDel="003D47AE">
        <w:rPr>
          <w:rFonts w:ascii="Times New Roman" w:hAnsi="Times New Roman" w:cs="Times New Roman"/>
          <w:sz w:val="24"/>
          <w:szCs w:val="24"/>
          <w:lang w:val="en-GB"/>
        </w:rPr>
        <w:t xml:space="preserve"> </w:t>
      </w:r>
      <w:r w:rsidR="008C4765" w:rsidRPr="75A96201">
        <w:rPr>
          <w:rFonts w:ascii="Times New Roman" w:hAnsi="Times New Roman" w:cs="Times New Roman"/>
          <w:sz w:val="24"/>
          <w:szCs w:val="24"/>
          <w:lang w:val="en-GB"/>
        </w:rPr>
        <w:t>MSP</w:t>
      </w:r>
      <w:r w:rsidR="008C4765">
        <w:rPr>
          <w:rFonts w:ascii="Times New Roman" w:hAnsi="Times New Roman" w:cs="Times New Roman"/>
          <w:sz w:val="24"/>
          <w:szCs w:val="24"/>
          <w:lang w:val="en-GB"/>
        </w:rPr>
        <w:t>s</w:t>
      </w:r>
      <w:r w:rsidR="008C4765" w:rsidRPr="75A96201">
        <w:rPr>
          <w:rFonts w:ascii="Times New Roman" w:hAnsi="Times New Roman" w:cs="Times New Roman"/>
          <w:sz w:val="24"/>
          <w:szCs w:val="24"/>
          <w:lang w:val="en-GB"/>
        </w:rPr>
        <w:t xml:space="preserve"> enabling CSCs in </w:t>
      </w:r>
      <w:r w:rsidR="00F969C7">
        <w:rPr>
          <w:rFonts w:ascii="Times New Roman" w:hAnsi="Times New Roman" w:cs="Times New Roman"/>
          <w:sz w:val="24"/>
          <w:szCs w:val="24"/>
          <w:lang w:val="en-GB"/>
        </w:rPr>
        <w:t>the</w:t>
      </w:r>
      <w:r w:rsidR="008C4765" w:rsidRPr="75A96201">
        <w:rPr>
          <w:rFonts w:ascii="Times New Roman" w:hAnsi="Times New Roman" w:cs="Times New Roman"/>
          <w:sz w:val="24"/>
          <w:szCs w:val="24"/>
          <w:lang w:val="en-GB"/>
        </w:rPr>
        <w:t xml:space="preserve"> B2B setting may</w:t>
      </w:r>
      <w:r w:rsidR="008C4765">
        <w:rPr>
          <w:rFonts w:ascii="Times New Roman" w:hAnsi="Times New Roman" w:cs="Times New Roman"/>
          <w:sz w:val="24"/>
          <w:szCs w:val="24"/>
          <w:lang w:val="en-GB"/>
        </w:rPr>
        <w:t xml:space="preserve"> involve </w:t>
      </w:r>
      <w:r w:rsidR="008C4765" w:rsidRPr="75A96201">
        <w:rPr>
          <w:rFonts w:ascii="Times New Roman" w:hAnsi="Times New Roman" w:cs="Times New Roman"/>
          <w:sz w:val="24"/>
          <w:szCs w:val="24"/>
          <w:lang w:val="en-GB"/>
        </w:rPr>
        <w:t>actors belong</w:t>
      </w:r>
      <w:r w:rsidR="008C4765">
        <w:rPr>
          <w:rFonts w:ascii="Times New Roman" w:hAnsi="Times New Roman" w:cs="Times New Roman"/>
          <w:sz w:val="24"/>
          <w:szCs w:val="24"/>
          <w:lang w:val="en-GB"/>
        </w:rPr>
        <w:t>ing</w:t>
      </w:r>
      <w:r w:rsidR="008C4765" w:rsidRPr="75A96201">
        <w:rPr>
          <w:rFonts w:ascii="Times New Roman" w:hAnsi="Times New Roman" w:cs="Times New Roman"/>
          <w:sz w:val="24"/>
          <w:szCs w:val="24"/>
          <w:lang w:val="en-GB"/>
        </w:rPr>
        <w:t xml:space="preserve"> to either the supply chain in which a resource was originally addressed to or different supply chains</w:t>
      </w:r>
      <w:r w:rsidR="008C4765">
        <w:rPr>
          <w:rFonts w:ascii="Times New Roman" w:hAnsi="Times New Roman" w:cs="Times New Roman"/>
          <w:sz w:val="24"/>
          <w:szCs w:val="24"/>
          <w:lang w:val="en-GB"/>
        </w:rPr>
        <w:t>.</w:t>
      </w:r>
    </w:p>
    <w:p w14:paraId="093807CB" w14:textId="0AF90ADA" w:rsidR="00B93D26" w:rsidRDefault="00000000" w:rsidP="002238B8">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Table 3 shows the CSCs strategies fulfilled </w:t>
      </w:r>
      <w:r w:rsidRPr="75A96201">
        <w:rPr>
          <w:rFonts w:ascii="Times New Roman" w:hAnsi="Times New Roman" w:cs="Times New Roman"/>
          <w:sz w:val="24"/>
          <w:szCs w:val="24"/>
          <w:lang w:val="en-US"/>
        </w:rPr>
        <w:t xml:space="preserve">through </w:t>
      </w:r>
      <w:r w:rsidRPr="75A96201">
        <w:rPr>
          <w:rFonts w:ascii="Times New Roman" w:hAnsi="Times New Roman" w:cs="Times New Roman"/>
          <w:sz w:val="24"/>
          <w:szCs w:val="24"/>
          <w:lang w:val="en-GB"/>
        </w:rPr>
        <w:t>the identified MSPs. Interestingly, e</w:t>
      </w:r>
      <w:r w:rsidRPr="75A96201">
        <w:rPr>
          <w:rFonts w:ascii="Times New Roman" w:hAnsi="Times New Roman" w:cs="Times New Roman"/>
          <w:sz w:val="24"/>
          <w:szCs w:val="24"/>
          <w:lang w:val="en-US"/>
        </w:rPr>
        <w:t>ach strategy affects the role played by a MSP, since it is linked to one or more specific</w:t>
      </w:r>
      <w:r w:rsidR="00706CE3">
        <w:rPr>
          <w:rFonts w:ascii="Times New Roman" w:hAnsi="Times New Roman" w:cs="Times New Roman"/>
          <w:sz w:val="24"/>
          <w:szCs w:val="24"/>
          <w:lang w:val="en-US"/>
        </w:rPr>
        <w:t xml:space="preserve"> enabling</w:t>
      </w:r>
      <w:r w:rsidRPr="75A96201">
        <w:rPr>
          <w:rFonts w:ascii="Times New Roman" w:hAnsi="Times New Roman" w:cs="Times New Roman"/>
          <w:sz w:val="24"/>
          <w:szCs w:val="24"/>
          <w:lang w:val="en-US"/>
        </w:rPr>
        <w:t xml:space="preserve"> CBM managerial practices</w:t>
      </w:r>
      <w:r w:rsidR="003D47AE">
        <w:rPr>
          <w:rFonts w:ascii="Times New Roman" w:hAnsi="Times New Roman" w:cs="Times New Roman"/>
          <w:sz w:val="24"/>
          <w:szCs w:val="24"/>
          <w:lang w:val="en-US"/>
        </w:rPr>
        <w:t>, as reported in Table 3</w:t>
      </w:r>
      <w:r w:rsidRPr="75A96201">
        <w:rPr>
          <w:rFonts w:ascii="Times New Roman" w:hAnsi="Times New Roman" w:cs="Times New Roman"/>
          <w:sz w:val="24"/>
          <w:szCs w:val="24"/>
          <w:lang w:val="en-US"/>
        </w:rPr>
        <w:t xml:space="preserve">. For example, </w:t>
      </w:r>
      <w:proofErr w:type="spellStart"/>
      <w:r w:rsidRPr="75A96201">
        <w:rPr>
          <w:rFonts w:ascii="Times New Roman" w:hAnsi="Times New Roman" w:cs="Times New Roman"/>
          <w:sz w:val="24"/>
          <w:szCs w:val="24"/>
          <w:lang w:val="en-US"/>
        </w:rPr>
        <w:t>Agricom</w:t>
      </w:r>
      <w:proofErr w:type="spellEnd"/>
      <w:r w:rsidRPr="75A96201">
        <w:rPr>
          <w:rFonts w:ascii="Times New Roman" w:hAnsi="Times New Roman" w:cs="Times New Roman"/>
          <w:sz w:val="24"/>
          <w:szCs w:val="24"/>
          <w:lang w:val="en-US"/>
        </w:rPr>
        <w:t xml:space="preserve"> and Alveoli enable the fulfillment of the narrowing strategy by </w:t>
      </w:r>
      <w:proofErr w:type="spellStart"/>
      <w:r w:rsidRPr="75A96201">
        <w:rPr>
          <w:rFonts w:ascii="Times New Roman" w:hAnsi="Times New Roman" w:cs="Times New Roman"/>
          <w:sz w:val="24"/>
          <w:szCs w:val="24"/>
          <w:lang w:val="en-US"/>
        </w:rPr>
        <w:t>favo</w:t>
      </w:r>
      <w:r w:rsidR="003D47AE">
        <w:rPr>
          <w:rFonts w:ascii="Times New Roman" w:hAnsi="Times New Roman" w:cs="Times New Roman"/>
          <w:sz w:val="24"/>
          <w:szCs w:val="24"/>
          <w:lang w:val="en-US"/>
        </w:rPr>
        <w:t>u</w:t>
      </w:r>
      <w:r w:rsidRPr="75A96201">
        <w:rPr>
          <w:rFonts w:ascii="Times New Roman" w:hAnsi="Times New Roman" w:cs="Times New Roman"/>
          <w:sz w:val="24"/>
          <w:szCs w:val="24"/>
          <w:lang w:val="en-US"/>
        </w:rPr>
        <w:t>ring</w:t>
      </w:r>
      <w:proofErr w:type="spellEnd"/>
      <w:r w:rsidRPr="75A96201">
        <w:rPr>
          <w:rFonts w:ascii="Times New Roman" w:hAnsi="Times New Roman" w:cs="Times New Roman"/>
          <w:sz w:val="24"/>
          <w:szCs w:val="24"/>
          <w:lang w:val="en-US"/>
        </w:rPr>
        <w:t xml:space="preserve"> the implementation of the reuse practice by </w:t>
      </w:r>
      <w:r w:rsidR="00730FA4">
        <w:rPr>
          <w:rFonts w:ascii="Times New Roman" w:hAnsi="Times New Roman" w:cs="Times New Roman"/>
          <w:sz w:val="24"/>
          <w:szCs w:val="24"/>
          <w:lang w:val="en-US"/>
        </w:rPr>
        <w:t>the actors</w:t>
      </w:r>
      <w:r w:rsidR="00730FA4"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involved around the platforms.</w:t>
      </w:r>
      <w:r w:rsidRPr="75A96201">
        <w:rPr>
          <w:rFonts w:ascii="Times New Roman" w:hAnsi="Times New Roman" w:cs="Times New Roman"/>
          <w:sz w:val="24"/>
          <w:szCs w:val="24"/>
          <w:lang w:val="en-GB"/>
        </w:rPr>
        <w:t xml:space="preserve"> Accordingly, the empirical analysis brings </w:t>
      </w:r>
      <w:r w:rsidR="003D47AE">
        <w:rPr>
          <w:rFonts w:ascii="Times New Roman" w:hAnsi="Times New Roman" w:cs="Times New Roman"/>
          <w:sz w:val="24"/>
          <w:szCs w:val="24"/>
          <w:lang w:val="en-GB"/>
        </w:rPr>
        <w:t>in</w:t>
      </w:r>
      <w:r w:rsidRPr="75A96201">
        <w:rPr>
          <w:rFonts w:ascii="Times New Roman" w:hAnsi="Times New Roman" w:cs="Times New Roman"/>
          <w:sz w:val="24"/>
          <w:szCs w:val="24"/>
          <w:lang w:val="en-GB"/>
        </w:rPr>
        <w:t xml:space="preserve">to light that all the three CSC strategies identified within the </w:t>
      </w:r>
      <w:r w:rsidRPr="75A96201">
        <w:rPr>
          <w:rFonts w:ascii="Times New Roman" w:hAnsi="Times New Roman" w:cs="Times New Roman"/>
          <w:sz w:val="24"/>
          <w:szCs w:val="24"/>
          <w:lang w:val="en-US"/>
        </w:rPr>
        <w:t xml:space="preserve">existing literature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{"citationItems":[{"id":"ITEM-1","itemData":{"DOI":"10.1080/21681015.2016.1172124","abstract":"The transition within business from a linear to a circular economy brings with it a range of practical challenges for companies. The following question is addressed: What are the product design and...","author":[{"dropping-particle":"","family":"Bocken","given":"Nancy M. P.","non-dropping-particle":"","parse-names":false,"suffix":""},{"dropping-particle":"de","family":"Pauw","given":"Ingrid","non-dropping-particle":"","parse-names":false,"suffix":""},{"dropping-particle":"","family":"Bakker","given":"Conny","non-dropping-particle":"","parse-names":false,"suffix":""},{"dropping-particle":"van der","family":"Grinten","given":"Bram","non-dropping-particle":"","parse-names":false,"suffix":""}],"container-title":"https://doi.org/10.1080/21681015.2016.1172124","id":"ITEM-1","issue":"5","issued":{"date-parts":[["2016","7"]]},"page":"308-320","publisher":"Taylor &amp; Francis","title":"Product design and business model strategies for a circular economy","type":"article-journal","volume":"33"},"uris":["http://www.mendeley.com/documents/?uuid=1775037c-0c9f-4dc9-a480-d25f03eb5daf"]},{"id":"ITEM-2","itemData":{"DOI":"10.1016/j.jclepro.2018.04.159","ISSN":"09596526","abstract":"The Circular Economy is increasingly seen as a possible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and circular supply chains necessary to implement the concept on an organisational level and proposes a framework to integrate circular business models and circular supply chain management towards sustainable development. It was developed based on literature analysis and four case studies. The proposed framework shows how different circular business models are driving circular supply chain in different loops: closing loops, slowing loops, intensifying loops, narrowing loops, and dematerialising loops. The identified circular business models vary in complexity of the circular supply chain and in the value proposition. Our research indicates circular business and circular supply chain help in realising sustainability ambitions.","author":[{"dropping-particle":"","family":"Geissdoerfer","given":"Martin","non-dropping-particle":"","parse-names":false,"suffix":""},{"dropping-particle":"","family":"Morioka","given":"Sandra Naomi","non-dropping-particle":"","parse-names":false,"suffix":""},{"dropping-particle":"","family":"Carvalho","given":"Marly Monteiro","non-dropping-particle":"de","parse-names":false,"suffix":""},{"dropping-particle":"","family":"Evans","given":"Steve","non-dropping-particle":"","parse-names":false,"suffix":""}],"container-title":"Journal of Cleaner Production","id":"ITEM-2","issued":{"date-parts":[["2018"]]},"page":"712-721","publisher":"Elsevier Ltd","title":"Business models and supply chains for the circular economy","type":"article-journal","volume":"190"},"uris":["http://www.mendeley.com/documents/?uuid=247dad4e-a4ad-42c4-a234-a22c5645f5f0"]}],"mendeley":{"formattedCitation":"(N. M. P. Bocken et al., 2016; Geissdoerfer et al., 2018)","manualFormatting":"(Bocken et al., 2016; Geissdoerfer et al., 2018)","plainTextFormattedCitation":"(N. M. P. Bocken et al., 2016; Geissdoerfer et al., 2018)","previouslyFormattedCitation":"(N. M. P. Bocken et al., 2016; Geissdoerfer et al., 2018)"},"properties":{"noteIndex":0},"schema":"https://github.com/citation-style-language/schema/raw/master/csl-citation.json"}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(Bocken et al., 2016; Geissdoerfer et al., 2018)</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can be fulfilled through MSPs.</w:t>
      </w:r>
      <w:r w:rsidRPr="75A96201">
        <w:rPr>
          <w:rFonts w:ascii="Times New Roman" w:hAnsi="Times New Roman" w:cs="Times New Roman"/>
          <w:sz w:val="24"/>
          <w:szCs w:val="24"/>
          <w:lang w:val="en-GB"/>
        </w:rPr>
        <w:t xml:space="preserve"> </w:t>
      </w:r>
      <w:r w:rsidR="008C4765">
        <w:rPr>
          <w:rFonts w:ascii="Times New Roman" w:hAnsi="Times New Roman" w:cs="Times New Roman"/>
          <w:sz w:val="24"/>
          <w:szCs w:val="24"/>
          <w:lang w:val="en-GB"/>
        </w:rPr>
        <w:t xml:space="preserve">Moreover, </w:t>
      </w:r>
      <w:r w:rsidR="002238B8">
        <w:rPr>
          <w:rFonts w:ascii="Times New Roman" w:hAnsi="Times New Roman" w:cs="Times New Roman"/>
          <w:sz w:val="24"/>
          <w:szCs w:val="24"/>
          <w:lang w:val="en-GB"/>
        </w:rPr>
        <w:t>T</w:t>
      </w:r>
      <w:r w:rsidR="008C4765">
        <w:rPr>
          <w:rFonts w:ascii="Times New Roman" w:hAnsi="Times New Roman" w:cs="Times New Roman"/>
          <w:sz w:val="24"/>
          <w:szCs w:val="24"/>
          <w:lang w:val="en-GB"/>
        </w:rPr>
        <w:t>able</w:t>
      </w:r>
      <w:r w:rsidR="002238B8">
        <w:rPr>
          <w:rFonts w:ascii="Times New Roman" w:hAnsi="Times New Roman" w:cs="Times New Roman"/>
          <w:sz w:val="24"/>
          <w:szCs w:val="24"/>
          <w:lang w:val="en-GB"/>
        </w:rPr>
        <w:t xml:space="preserve"> 3</w:t>
      </w:r>
      <w:r w:rsidR="008C4765">
        <w:rPr>
          <w:rFonts w:ascii="Times New Roman" w:hAnsi="Times New Roman" w:cs="Times New Roman"/>
          <w:sz w:val="24"/>
          <w:szCs w:val="24"/>
          <w:lang w:val="en-GB"/>
        </w:rPr>
        <w:t xml:space="preserve"> shows the s</w:t>
      </w:r>
      <w:r w:rsidR="008C4765" w:rsidRPr="008C4765">
        <w:rPr>
          <w:rFonts w:ascii="Times New Roman" w:hAnsi="Times New Roman" w:cs="Times New Roman"/>
          <w:sz w:val="24"/>
          <w:szCs w:val="24"/>
          <w:lang w:val="en-GB"/>
        </w:rPr>
        <w:t>upply chain</w:t>
      </w:r>
      <w:r w:rsidR="008C4765">
        <w:rPr>
          <w:rFonts w:ascii="Times New Roman" w:hAnsi="Times New Roman" w:cs="Times New Roman"/>
          <w:sz w:val="24"/>
          <w:szCs w:val="24"/>
          <w:lang w:val="en-GB"/>
        </w:rPr>
        <w:t>(</w:t>
      </w:r>
      <w:r w:rsidR="008C4765" w:rsidRPr="008C4765">
        <w:rPr>
          <w:rFonts w:ascii="Times New Roman" w:hAnsi="Times New Roman" w:cs="Times New Roman"/>
          <w:sz w:val="24"/>
          <w:szCs w:val="24"/>
          <w:lang w:val="en-GB"/>
        </w:rPr>
        <w:t>s</w:t>
      </w:r>
      <w:r w:rsidR="008C4765">
        <w:rPr>
          <w:rFonts w:ascii="Times New Roman" w:hAnsi="Times New Roman" w:cs="Times New Roman"/>
          <w:sz w:val="24"/>
          <w:szCs w:val="24"/>
          <w:lang w:val="en-GB"/>
        </w:rPr>
        <w:t>)</w:t>
      </w:r>
      <w:r w:rsidR="008C4765" w:rsidRPr="008C4765">
        <w:rPr>
          <w:rFonts w:ascii="Times New Roman" w:hAnsi="Times New Roman" w:cs="Times New Roman"/>
          <w:sz w:val="24"/>
          <w:szCs w:val="24"/>
          <w:lang w:val="en-GB"/>
        </w:rPr>
        <w:t xml:space="preserve"> involved</w:t>
      </w:r>
      <w:r w:rsidR="008C4765">
        <w:rPr>
          <w:rFonts w:ascii="Times New Roman" w:hAnsi="Times New Roman" w:cs="Times New Roman"/>
          <w:sz w:val="24"/>
          <w:szCs w:val="24"/>
          <w:lang w:val="en-GB"/>
        </w:rPr>
        <w:t xml:space="preserve"> </w:t>
      </w:r>
      <w:r w:rsidR="008C4765" w:rsidRPr="75A96201">
        <w:rPr>
          <w:rFonts w:ascii="Times New Roman" w:hAnsi="Times New Roman" w:cs="Times New Roman"/>
          <w:sz w:val="24"/>
          <w:szCs w:val="24"/>
          <w:lang w:val="en-US"/>
        </w:rPr>
        <w:t xml:space="preserve">through </w:t>
      </w:r>
      <w:r w:rsidR="008C4765" w:rsidRPr="75A96201">
        <w:rPr>
          <w:rFonts w:ascii="Times New Roman" w:hAnsi="Times New Roman" w:cs="Times New Roman"/>
          <w:sz w:val="24"/>
          <w:szCs w:val="24"/>
          <w:lang w:val="en-GB"/>
        </w:rPr>
        <w:t>the identified MSPs</w:t>
      </w:r>
      <w:r w:rsidR="008C4765">
        <w:rPr>
          <w:rFonts w:ascii="Times New Roman" w:hAnsi="Times New Roman" w:cs="Times New Roman"/>
          <w:sz w:val="24"/>
          <w:szCs w:val="24"/>
          <w:lang w:val="en-GB"/>
        </w:rPr>
        <w:t xml:space="preserve">. </w:t>
      </w:r>
      <w:r w:rsidR="00A715D6">
        <w:rPr>
          <w:rFonts w:ascii="Times New Roman" w:hAnsi="Times New Roman" w:cs="Times New Roman"/>
          <w:sz w:val="24"/>
          <w:szCs w:val="24"/>
          <w:lang w:val="en-GB"/>
        </w:rPr>
        <w:t>For example,</w:t>
      </w:r>
      <w:r w:rsidRPr="75A96201">
        <w:rPr>
          <w:rFonts w:ascii="Times New Roman" w:hAnsi="Times New Roman" w:cs="Times New Roman"/>
          <w:sz w:val="24"/>
          <w:szCs w:val="24"/>
          <w:lang w:val="en-GB"/>
        </w:rPr>
        <w:t xml:space="preserve"> </w:t>
      </w:r>
      <w:proofErr w:type="spellStart"/>
      <w:r w:rsidRPr="75A96201">
        <w:rPr>
          <w:rFonts w:ascii="Times New Roman" w:hAnsi="Times New Roman" w:cs="Times New Roman"/>
          <w:sz w:val="24"/>
          <w:szCs w:val="24"/>
          <w:lang w:val="en-GB"/>
        </w:rPr>
        <w:t>Ecomateria</w:t>
      </w:r>
      <w:proofErr w:type="spellEnd"/>
      <w:r w:rsidRPr="75A96201">
        <w:rPr>
          <w:rFonts w:ascii="Times New Roman" w:hAnsi="Times New Roman" w:cs="Times New Roman"/>
          <w:sz w:val="24"/>
          <w:szCs w:val="24"/>
          <w:lang w:val="en-GB"/>
        </w:rPr>
        <w:t xml:space="preserve"> supports the connection between </w:t>
      </w:r>
      <w:r w:rsidR="00730FA4">
        <w:rPr>
          <w:rFonts w:ascii="Times New Roman" w:hAnsi="Times New Roman" w:cs="Times New Roman"/>
          <w:sz w:val="24"/>
          <w:szCs w:val="24"/>
          <w:lang w:val="en-GB"/>
        </w:rPr>
        <w:t>actors</w:t>
      </w:r>
      <w:r w:rsidR="00730FA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belonging to</w:t>
      </w:r>
      <w:r w:rsidR="00A715D6">
        <w:rPr>
          <w:rFonts w:ascii="Times New Roman" w:hAnsi="Times New Roman" w:cs="Times New Roman"/>
          <w:sz w:val="24"/>
          <w:szCs w:val="24"/>
          <w:lang w:val="en-GB"/>
        </w:rPr>
        <w:t xml:space="preserve"> </w:t>
      </w:r>
      <w:r w:rsidR="00A715D6" w:rsidRPr="75A96201">
        <w:rPr>
          <w:rFonts w:ascii="Times New Roman" w:hAnsi="Times New Roman" w:cs="Times New Roman"/>
          <w:sz w:val="24"/>
          <w:szCs w:val="24"/>
          <w:lang w:val="en-GB"/>
        </w:rPr>
        <w:t xml:space="preserve">the </w:t>
      </w:r>
      <w:r w:rsidR="00A715D6">
        <w:rPr>
          <w:rFonts w:ascii="Times New Roman" w:hAnsi="Times New Roman" w:cs="Times New Roman"/>
          <w:sz w:val="24"/>
          <w:szCs w:val="24"/>
          <w:lang w:val="en-GB"/>
        </w:rPr>
        <w:t xml:space="preserve">same </w:t>
      </w:r>
      <w:r w:rsidR="00A715D6" w:rsidRPr="75A96201">
        <w:rPr>
          <w:rFonts w:ascii="Times New Roman" w:hAnsi="Times New Roman" w:cs="Times New Roman"/>
          <w:sz w:val="24"/>
          <w:szCs w:val="24"/>
          <w:lang w:val="en-GB"/>
        </w:rPr>
        <w:t xml:space="preserve">supply chain </w:t>
      </w:r>
      <w:r w:rsidR="00A715D6">
        <w:rPr>
          <w:rFonts w:ascii="Times New Roman" w:hAnsi="Times New Roman" w:cs="Times New Roman"/>
          <w:sz w:val="24"/>
          <w:szCs w:val="24"/>
          <w:lang w:val="en-GB"/>
        </w:rPr>
        <w:t xml:space="preserve">(i.e., </w:t>
      </w:r>
      <w:r w:rsidRPr="75A96201">
        <w:rPr>
          <w:rFonts w:ascii="Times New Roman" w:hAnsi="Times New Roman" w:cs="Times New Roman"/>
          <w:sz w:val="24"/>
          <w:szCs w:val="24"/>
          <w:lang w:val="en-GB"/>
        </w:rPr>
        <w:t>the built environment supply chain</w:t>
      </w:r>
      <w:r w:rsidR="00A715D6">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for the reuse of excess materials (e.g., construction materials). </w:t>
      </w:r>
      <w:r w:rsidR="00A715D6">
        <w:rPr>
          <w:rFonts w:ascii="Times New Roman" w:hAnsi="Times New Roman" w:cs="Times New Roman"/>
          <w:sz w:val="24"/>
          <w:szCs w:val="24"/>
          <w:lang w:val="en-GB"/>
        </w:rPr>
        <w:t xml:space="preserve">Instead, </w:t>
      </w:r>
      <w:proofErr w:type="spellStart"/>
      <w:r w:rsidRPr="75A96201">
        <w:rPr>
          <w:rFonts w:ascii="Times New Roman" w:hAnsi="Times New Roman" w:cs="Times New Roman"/>
          <w:sz w:val="24"/>
          <w:szCs w:val="24"/>
          <w:lang w:val="en-GB"/>
        </w:rPr>
        <w:t>Circado</w:t>
      </w:r>
      <w:proofErr w:type="spellEnd"/>
      <w:r w:rsidRPr="75A96201">
        <w:rPr>
          <w:rFonts w:ascii="Times New Roman" w:hAnsi="Times New Roman" w:cs="Times New Roman"/>
          <w:sz w:val="24"/>
          <w:szCs w:val="24"/>
          <w:lang w:val="en-GB"/>
        </w:rPr>
        <w:t xml:space="preserve"> supports buyers and sellers </w:t>
      </w:r>
      <w:r w:rsidR="00A715D6">
        <w:rPr>
          <w:rFonts w:ascii="Times New Roman" w:hAnsi="Times New Roman" w:cs="Times New Roman"/>
          <w:sz w:val="24"/>
          <w:szCs w:val="24"/>
          <w:lang w:val="en-GB"/>
        </w:rPr>
        <w:t>belonging to</w:t>
      </w:r>
      <w:r w:rsidR="00A715D6" w:rsidRPr="75A96201">
        <w:rPr>
          <w:rFonts w:ascii="Times New Roman" w:hAnsi="Times New Roman" w:cs="Times New Roman"/>
          <w:sz w:val="24"/>
          <w:szCs w:val="24"/>
          <w:lang w:val="en-GB"/>
        </w:rPr>
        <w:t xml:space="preserve"> different supply chains</w:t>
      </w:r>
      <w:r w:rsidRPr="75A96201">
        <w:rPr>
          <w:rFonts w:ascii="Times New Roman" w:hAnsi="Times New Roman" w:cs="Times New Roman"/>
          <w:sz w:val="24"/>
          <w:szCs w:val="24"/>
          <w:lang w:val="en-GB"/>
        </w:rPr>
        <w:t xml:space="preserve"> to exchange secondary resources (i.e., industrial side streams) for their reuse. </w:t>
      </w:r>
      <w:r w:rsidR="00BD3978">
        <w:rPr>
          <w:rFonts w:ascii="Times New Roman" w:hAnsi="Times New Roman" w:cs="Times New Roman"/>
          <w:sz w:val="24"/>
          <w:szCs w:val="24"/>
          <w:lang w:val="en-GB"/>
        </w:rPr>
        <w:t>Accordingly, t</w:t>
      </w:r>
      <w:r w:rsidRPr="75A96201">
        <w:rPr>
          <w:rFonts w:ascii="Times New Roman" w:hAnsi="Times New Roman" w:cs="Times New Roman"/>
          <w:sz w:val="24"/>
          <w:szCs w:val="24"/>
          <w:lang w:val="en-GB"/>
        </w:rPr>
        <w:t xml:space="preserve">he empirical analysis confirms the </w:t>
      </w:r>
      <w:r w:rsidR="00BD3978">
        <w:rPr>
          <w:rFonts w:ascii="Times New Roman" w:hAnsi="Times New Roman" w:cs="Times New Roman"/>
          <w:sz w:val="24"/>
          <w:szCs w:val="24"/>
          <w:lang w:val="en-GB"/>
        </w:rPr>
        <w:t>earlier scholarly research showing that</w:t>
      </w:r>
      <w:r w:rsidRPr="75A96201">
        <w:rPr>
          <w:rFonts w:ascii="Times New Roman" w:hAnsi="Times New Roman" w:cs="Times New Roman"/>
          <w:sz w:val="24"/>
          <w:szCs w:val="24"/>
          <w:lang w:val="en-GB"/>
        </w:rPr>
        <w:t xml:space="preserve"> actors involved through MSPs to implement CE principles may belong to either the supply chain in which a targeted resource was originally addressed to or to different supply chains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{"citationItems":[{"id":"ITEM-1","itemData":{"DOI":"10.4324/9781003207481-3","ISBN":"9781003207481","abstract":"The way digital platforms change interrelations and flows within supply chains is often disruptive. By combining information from different stakeholders on an almost real-time basis, platforms have started to be a competitive business model for traditional pipeline solutions. Platforms might be quickly implemented at any stage of the supply chain process: from sourcing to manufacturing to differentiation of distribution channels. Additionally, the disruptive impact of platforms in supply chain management is noticeable in their ability to develop flexible or sustainable supply chain business models which immediately respond and adapt to fluctuations in the external environment. However, when analysing a platform business model in terms of supply chain management, one can observe several conditions that have to be met to benefit from this solution. The aim of this chapter is to indicate the potential place of a digital platform within supply chain management and its role in this process. The conditions for successful platform implementation in terms of supply chain management and competitiveness in an uncertain environment will also be discussed.","author":[{"dropping-particle":"","family":"Nowicka","given":"Katarzyna","non-dropping-particle":"","parse-names":false,"suffix":""}],"container-title":"Disruptive Platforms","id":"ITEM-1","issued":{"date-parts":[["2021","12","19"]]},"page":"39-55","publisher":"Routledge","title":"Platforms in supply chain management : Disruption or evolution?","type":"article-journal"},"uris":["http://www.mendeley.com/documents/?uuid=fbf04612-726e-3e6c-b36b-3a1073a79e56"]}],"mendeley":{"formattedCitation":"(Nowicka, 2021)","plainTextFormattedCitation":"(Nowicka, 2021)","previouslyFormattedCitation":"(Nowicka, 2021)"},"properties":{"noteIndex":0},"schema":"https://github.com/citation-style-language/schema/raw/master/csl-citation.json"}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(Nowicka, 2021)</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p>
    <w:p w14:paraId="458F9D09" w14:textId="77777777" w:rsidR="00B93D26" w:rsidRDefault="00B93D26" w:rsidP="008B6CA7">
      <w:pPr>
        <w:spacing w:after="0" w:line="360" w:lineRule="auto"/>
        <w:ind w:firstLine="284"/>
        <w:jc w:val="both"/>
        <w:rPr>
          <w:rFonts w:ascii="Times New Roman" w:hAnsi="Times New Roman" w:cs="Times New Roman"/>
          <w:sz w:val="24"/>
          <w:szCs w:val="24"/>
          <w:lang w:val="en-GB"/>
        </w:rPr>
        <w:sectPr w:rsidR="00B93D26" w:rsidSect="008940A4">
          <w:pgSz w:w="11906" w:h="16838"/>
          <w:pgMar w:top="1417" w:right="1134" w:bottom="1134" w:left="1134" w:header="708" w:footer="708" w:gutter="0"/>
          <w:cols w:space="708"/>
          <w:docGrid w:linePitch="360"/>
        </w:sectPr>
      </w:pPr>
    </w:p>
    <w:p w14:paraId="31883524" w14:textId="0F2200F9" w:rsidR="00B93D26" w:rsidRDefault="00000000" w:rsidP="00932EBC">
      <w:pPr>
        <w:spacing w:line="360" w:lineRule="auto"/>
        <w:jc w:val="center"/>
        <w:rPr>
          <w:rFonts w:ascii="Times New Roman" w:hAnsi="Times New Roman" w:cs="Times New Roman"/>
          <w:sz w:val="20"/>
          <w:szCs w:val="20"/>
          <w:lang w:val="en-GB"/>
        </w:rPr>
      </w:pPr>
      <w:r w:rsidRPr="75A96201">
        <w:rPr>
          <w:rFonts w:ascii="Times New Roman" w:hAnsi="Times New Roman" w:cs="Times New Roman"/>
          <w:b/>
          <w:bCs/>
          <w:sz w:val="20"/>
          <w:szCs w:val="20"/>
          <w:lang w:val="en-GB"/>
        </w:rPr>
        <w:lastRenderedPageBreak/>
        <w:t>Table 3.</w:t>
      </w:r>
      <w:r w:rsidRPr="75A96201">
        <w:rPr>
          <w:rFonts w:ascii="Times New Roman" w:hAnsi="Times New Roman" w:cs="Times New Roman"/>
          <w:sz w:val="20"/>
          <w:szCs w:val="20"/>
          <w:lang w:val="en-GB"/>
        </w:rPr>
        <w:t xml:space="preserve"> The evaluation of the sampled MSPs enabl</w:t>
      </w:r>
      <w:r w:rsidR="00BE6861">
        <w:rPr>
          <w:rFonts w:ascii="Times New Roman" w:hAnsi="Times New Roman" w:cs="Times New Roman"/>
          <w:sz w:val="20"/>
          <w:szCs w:val="20"/>
          <w:lang w:val="en-GB"/>
        </w:rPr>
        <w:t>ing</w:t>
      </w:r>
      <w:r w:rsidRPr="75A96201">
        <w:rPr>
          <w:rFonts w:ascii="Times New Roman" w:hAnsi="Times New Roman" w:cs="Times New Roman"/>
          <w:sz w:val="20"/>
          <w:szCs w:val="20"/>
          <w:lang w:val="en-GB"/>
        </w:rPr>
        <w:t xml:space="preserve"> CSCs in </w:t>
      </w:r>
      <w:r w:rsidR="0012320B">
        <w:rPr>
          <w:rFonts w:ascii="Times New Roman" w:hAnsi="Times New Roman" w:cs="Times New Roman"/>
          <w:sz w:val="20"/>
          <w:szCs w:val="20"/>
          <w:lang w:val="en-GB"/>
        </w:rPr>
        <w:t xml:space="preserve">the </w:t>
      </w:r>
      <w:r w:rsidRPr="75A96201">
        <w:rPr>
          <w:rFonts w:ascii="Times New Roman" w:hAnsi="Times New Roman" w:cs="Times New Roman"/>
          <w:sz w:val="20"/>
          <w:szCs w:val="20"/>
          <w:lang w:val="en-GB"/>
        </w:rPr>
        <w:t>B2B setting</w:t>
      </w:r>
      <w:r w:rsidR="00B626F0">
        <w:rPr>
          <w:rFonts w:ascii="Times New Roman" w:hAnsi="Times New Roman" w:cs="Times New Roman"/>
          <w:sz w:val="20"/>
          <w:szCs w:val="20"/>
          <w:lang w:val="en-GB"/>
        </w:rPr>
        <w:t xml:space="preserve">, as result of the </w:t>
      </w:r>
      <w:r w:rsidRPr="75A96201">
        <w:rPr>
          <w:rFonts w:ascii="Times New Roman" w:hAnsi="Times New Roman" w:cs="Times New Roman"/>
          <w:sz w:val="20"/>
          <w:szCs w:val="20"/>
          <w:lang w:val="en-GB"/>
        </w:rPr>
        <w:t>Delphi method.</w:t>
      </w:r>
    </w:p>
    <w:tbl>
      <w:tblPr>
        <w:tblStyle w:val="Grigliatabella"/>
        <w:tblW w:w="0" w:type="auto"/>
        <w:jc w:val="center"/>
        <w:tblLook w:val="04A0" w:firstRow="1" w:lastRow="0" w:firstColumn="1" w:lastColumn="0" w:noHBand="0" w:noVBand="1"/>
      </w:tblPr>
      <w:tblGrid>
        <w:gridCol w:w="2320"/>
        <w:gridCol w:w="4943"/>
        <w:gridCol w:w="5669"/>
      </w:tblGrid>
      <w:tr w:rsidR="00733B86" w:rsidRPr="00DB7020" w14:paraId="29CE683E" w14:textId="77777777" w:rsidTr="00EF41BE">
        <w:trPr>
          <w:trHeight w:val="144"/>
          <w:jc w:val="center"/>
        </w:trPr>
        <w:tc>
          <w:tcPr>
            <w:tcW w:w="2320" w:type="dxa"/>
            <w:vAlign w:val="center"/>
          </w:tcPr>
          <w:p w14:paraId="516B7BDF" w14:textId="77777777" w:rsidR="00B93D26" w:rsidRPr="00DB7020" w:rsidRDefault="00000000" w:rsidP="00EF41BE">
            <w:pPr>
              <w:spacing w:line="360" w:lineRule="auto"/>
              <w:jc w:val="center"/>
              <w:rPr>
                <w:rFonts w:ascii="Times New Roman" w:hAnsi="Times New Roman" w:cs="Times New Roman"/>
                <w:b/>
                <w:bCs/>
                <w:sz w:val="14"/>
                <w:szCs w:val="14"/>
                <w:lang w:val="en-GB"/>
              </w:rPr>
            </w:pPr>
            <w:r w:rsidRPr="00DB7020">
              <w:rPr>
                <w:rFonts w:ascii="Times New Roman" w:hAnsi="Times New Roman" w:cs="Times New Roman"/>
                <w:b/>
                <w:bCs/>
                <w:sz w:val="14"/>
                <w:szCs w:val="14"/>
                <w:lang w:val="en-GB"/>
              </w:rPr>
              <w:t>MSP</w:t>
            </w:r>
          </w:p>
        </w:tc>
        <w:tc>
          <w:tcPr>
            <w:tcW w:w="4943" w:type="dxa"/>
            <w:vAlign w:val="center"/>
          </w:tcPr>
          <w:p w14:paraId="237BF307" w14:textId="77777777" w:rsidR="00B93D26" w:rsidRPr="00DB7020" w:rsidRDefault="00000000" w:rsidP="00EF41BE">
            <w:pPr>
              <w:spacing w:line="360" w:lineRule="auto"/>
              <w:jc w:val="center"/>
              <w:rPr>
                <w:rFonts w:ascii="Times New Roman" w:hAnsi="Times New Roman" w:cs="Times New Roman"/>
                <w:b/>
                <w:bCs/>
                <w:sz w:val="14"/>
                <w:szCs w:val="14"/>
                <w:lang w:val="en-GB"/>
              </w:rPr>
            </w:pPr>
            <w:r w:rsidRPr="00DB7020">
              <w:rPr>
                <w:rFonts w:ascii="Times New Roman" w:hAnsi="Times New Roman" w:cs="Times New Roman"/>
                <w:b/>
                <w:bCs/>
                <w:sz w:val="14"/>
                <w:szCs w:val="14"/>
                <w:lang w:val="en-GB"/>
              </w:rPr>
              <w:t>CSCs strategy/strategies (related CBM practice/s)</w:t>
            </w:r>
          </w:p>
        </w:tc>
        <w:tc>
          <w:tcPr>
            <w:tcW w:w="5669" w:type="dxa"/>
            <w:vAlign w:val="center"/>
          </w:tcPr>
          <w:p w14:paraId="6527254A" w14:textId="77777777" w:rsidR="00B93D26" w:rsidRPr="00DB7020" w:rsidRDefault="00000000" w:rsidP="00EF41BE">
            <w:pPr>
              <w:spacing w:line="360" w:lineRule="auto"/>
              <w:jc w:val="center"/>
              <w:rPr>
                <w:rFonts w:ascii="Times New Roman" w:hAnsi="Times New Roman" w:cs="Times New Roman"/>
                <w:b/>
                <w:bCs/>
                <w:sz w:val="14"/>
                <w:szCs w:val="14"/>
                <w:lang w:val="en-GB"/>
              </w:rPr>
            </w:pPr>
            <w:r w:rsidRPr="00DB7020">
              <w:rPr>
                <w:rFonts w:ascii="Times New Roman" w:hAnsi="Times New Roman" w:cs="Times New Roman"/>
                <w:b/>
                <w:bCs/>
                <w:sz w:val="14"/>
                <w:szCs w:val="14"/>
                <w:lang w:val="en-GB"/>
              </w:rPr>
              <w:t>Supply chain/s involved</w:t>
            </w:r>
          </w:p>
        </w:tc>
      </w:tr>
      <w:tr w:rsidR="00733B86" w:rsidRPr="00DB7020" w14:paraId="776CB6D5" w14:textId="77777777" w:rsidTr="00EF41BE">
        <w:trPr>
          <w:trHeight w:val="39"/>
          <w:jc w:val="center"/>
        </w:trPr>
        <w:tc>
          <w:tcPr>
            <w:tcW w:w="2320" w:type="dxa"/>
            <w:vAlign w:val="center"/>
          </w:tcPr>
          <w:p w14:paraId="6E81DCA0"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Agricom</w:t>
            </w:r>
            <w:proofErr w:type="spellEnd"/>
          </w:p>
        </w:tc>
        <w:tc>
          <w:tcPr>
            <w:tcW w:w="4943" w:type="dxa"/>
            <w:vAlign w:val="center"/>
          </w:tcPr>
          <w:p w14:paraId="06F9D89F"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39F7EDDB"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DB7020" w14:paraId="7173D412" w14:textId="77777777" w:rsidTr="00EF41BE">
        <w:trPr>
          <w:trHeight w:val="39"/>
          <w:jc w:val="center"/>
        </w:trPr>
        <w:tc>
          <w:tcPr>
            <w:tcW w:w="2320" w:type="dxa"/>
            <w:vAlign w:val="center"/>
          </w:tcPr>
          <w:p w14:paraId="20AF0623"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Alveoli</w:t>
            </w:r>
          </w:p>
        </w:tc>
        <w:tc>
          <w:tcPr>
            <w:tcW w:w="4943" w:type="dxa"/>
            <w:vAlign w:val="center"/>
          </w:tcPr>
          <w:p w14:paraId="758B30D2"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77DCECC2"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DB7020" w14:paraId="2397596A" w14:textId="77777777" w:rsidTr="00EF41BE">
        <w:trPr>
          <w:trHeight w:val="39"/>
          <w:jc w:val="center"/>
        </w:trPr>
        <w:tc>
          <w:tcPr>
            <w:tcW w:w="2320" w:type="dxa"/>
            <w:vAlign w:val="center"/>
          </w:tcPr>
          <w:p w14:paraId="039BB1A6"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Angowaste</w:t>
            </w:r>
            <w:proofErr w:type="spellEnd"/>
          </w:p>
        </w:tc>
        <w:tc>
          <w:tcPr>
            <w:tcW w:w="4943" w:type="dxa"/>
            <w:vAlign w:val="center"/>
          </w:tcPr>
          <w:p w14:paraId="06FAF191"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Closing (Recycle)</w:t>
            </w:r>
          </w:p>
        </w:tc>
        <w:tc>
          <w:tcPr>
            <w:tcW w:w="5669" w:type="dxa"/>
            <w:vAlign w:val="center"/>
          </w:tcPr>
          <w:p w14:paraId="64120D5B" w14:textId="77777777" w:rsidR="00B93D26" w:rsidRPr="004B1CF3" w:rsidRDefault="00000000" w:rsidP="00EF41BE">
            <w:pPr>
              <w:spacing w:line="360" w:lineRule="auto"/>
              <w:jc w:val="center"/>
              <w:rPr>
                <w:rFonts w:ascii="Times New Roman" w:hAnsi="Times New Roman" w:cs="Times New Roman"/>
                <w:sz w:val="14"/>
                <w:szCs w:val="14"/>
                <w:lang w:val="en-GB"/>
              </w:rPr>
            </w:pPr>
            <w:r w:rsidRPr="004B1CF3">
              <w:rPr>
                <w:rFonts w:ascii="Times New Roman" w:hAnsi="Times New Roman" w:cs="Times New Roman"/>
                <w:sz w:val="14"/>
                <w:szCs w:val="14"/>
                <w:lang w:val="en-GB"/>
              </w:rPr>
              <w:t xml:space="preserve">Original supply chain </w:t>
            </w:r>
          </w:p>
        </w:tc>
      </w:tr>
      <w:tr w:rsidR="00733B86" w:rsidRPr="00DB7020" w14:paraId="0B05ACC4" w14:textId="77777777" w:rsidTr="00EF41BE">
        <w:trPr>
          <w:trHeight w:val="39"/>
          <w:jc w:val="center"/>
        </w:trPr>
        <w:tc>
          <w:tcPr>
            <w:tcW w:w="2320" w:type="dxa"/>
            <w:vAlign w:val="center"/>
          </w:tcPr>
          <w:p w14:paraId="004E0CEE"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Backacia</w:t>
            </w:r>
            <w:proofErr w:type="spellEnd"/>
          </w:p>
        </w:tc>
        <w:tc>
          <w:tcPr>
            <w:tcW w:w="4943" w:type="dxa"/>
            <w:vAlign w:val="center"/>
          </w:tcPr>
          <w:p w14:paraId="4D52BCA2"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7A1B7934"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9E7235" w14:paraId="14830D4C" w14:textId="77777777" w:rsidTr="00EF41BE">
        <w:trPr>
          <w:trHeight w:val="39"/>
          <w:jc w:val="center"/>
        </w:trPr>
        <w:tc>
          <w:tcPr>
            <w:tcW w:w="2320" w:type="dxa"/>
            <w:vAlign w:val="center"/>
          </w:tcPr>
          <w:p w14:paraId="73C18BD4"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Beewe</w:t>
            </w:r>
            <w:proofErr w:type="spellEnd"/>
          </w:p>
        </w:tc>
        <w:tc>
          <w:tcPr>
            <w:tcW w:w="4943" w:type="dxa"/>
            <w:vAlign w:val="center"/>
          </w:tcPr>
          <w:p w14:paraId="631E3FCC"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1A8251A6"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 or different supply chains</w:t>
            </w:r>
          </w:p>
        </w:tc>
      </w:tr>
      <w:tr w:rsidR="00733B86" w:rsidRPr="009E7235" w14:paraId="2484FF9B" w14:textId="77777777" w:rsidTr="00EF41BE">
        <w:trPr>
          <w:trHeight w:val="39"/>
          <w:jc w:val="center"/>
        </w:trPr>
        <w:tc>
          <w:tcPr>
            <w:tcW w:w="2320" w:type="dxa"/>
            <w:vAlign w:val="center"/>
          </w:tcPr>
          <w:p w14:paraId="02A1D4BC"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Circado</w:t>
            </w:r>
            <w:proofErr w:type="spellEnd"/>
          </w:p>
        </w:tc>
        <w:tc>
          <w:tcPr>
            <w:tcW w:w="4943" w:type="dxa"/>
            <w:vAlign w:val="center"/>
          </w:tcPr>
          <w:p w14:paraId="156AE5A6"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40F8D15F"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 or different supply chains</w:t>
            </w:r>
          </w:p>
        </w:tc>
      </w:tr>
      <w:tr w:rsidR="00733B86" w:rsidRPr="009E7235" w14:paraId="17CAC819" w14:textId="77777777" w:rsidTr="00EF41BE">
        <w:trPr>
          <w:trHeight w:val="39"/>
          <w:jc w:val="center"/>
        </w:trPr>
        <w:tc>
          <w:tcPr>
            <w:tcW w:w="2320" w:type="dxa"/>
            <w:vAlign w:val="center"/>
          </w:tcPr>
          <w:p w14:paraId="1D4EABD6"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Circularity</w:t>
            </w:r>
          </w:p>
        </w:tc>
        <w:tc>
          <w:tcPr>
            <w:tcW w:w="4943" w:type="dxa"/>
            <w:vAlign w:val="center"/>
          </w:tcPr>
          <w:p w14:paraId="6E22F201"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 Slowing (Repurpose), Closing (Recycle)</w:t>
            </w:r>
          </w:p>
        </w:tc>
        <w:tc>
          <w:tcPr>
            <w:tcW w:w="5669" w:type="dxa"/>
            <w:vAlign w:val="center"/>
          </w:tcPr>
          <w:p w14:paraId="4DAAF238"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original supply chain or different supply chains</w:t>
            </w:r>
          </w:p>
          <w:p w14:paraId="321B30E0"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Slowing: different supply chains</w:t>
            </w:r>
          </w:p>
          <w:p w14:paraId="582ED5BE" w14:textId="77777777" w:rsidR="00B93D26" w:rsidRPr="00DB7020" w:rsidRDefault="00000000" w:rsidP="00EF41BE">
            <w:pPr>
              <w:spacing w:line="360" w:lineRule="auto"/>
              <w:jc w:val="center"/>
              <w:rPr>
                <w:rFonts w:ascii="Times New Roman" w:hAnsi="Times New Roman" w:cs="Times New Roman"/>
                <w:sz w:val="14"/>
                <w:szCs w:val="14"/>
                <w:lang w:val="en-GB"/>
              </w:rPr>
            </w:pPr>
            <w:r w:rsidRPr="004B1CF3">
              <w:rPr>
                <w:rFonts w:ascii="Times New Roman" w:hAnsi="Times New Roman" w:cs="Times New Roman"/>
                <w:sz w:val="14"/>
                <w:szCs w:val="14"/>
                <w:lang w:val="en-GB"/>
              </w:rPr>
              <w:t xml:space="preserve">Closing: </w:t>
            </w:r>
            <w:r w:rsidRPr="00DB7020">
              <w:rPr>
                <w:rFonts w:ascii="Times New Roman" w:hAnsi="Times New Roman" w:cs="Times New Roman"/>
                <w:sz w:val="14"/>
                <w:szCs w:val="14"/>
                <w:lang w:val="en-GB"/>
              </w:rPr>
              <w:t>original supply chain or different supply chains</w:t>
            </w:r>
          </w:p>
        </w:tc>
      </w:tr>
      <w:tr w:rsidR="00733B86" w:rsidRPr="00DB7020" w14:paraId="3AF236E7" w14:textId="77777777" w:rsidTr="00EF41BE">
        <w:trPr>
          <w:trHeight w:val="39"/>
          <w:jc w:val="center"/>
        </w:trPr>
        <w:tc>
          <w:tcPr>
            <w:tcW w:w="2320" w:type="dxa"/>
            <w:vAlign w:val="center"/>
          </w:tcPr>
          <w:p w14:paraId="596B140A"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Ecomateria</w:t>
            </w:r>
            <w:proofErr w:type="spellEnd"/>
          </w:p>
        </w:tc>
        <w:tc>
          <w:tcPr>
            <w:tcW w:w="4943" w:type="dxa"/>
            <w:vAlign w:val="center"/>
          </w:tcPr>
          <w:p w14:paraId="7BEC9CDE"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3F4AFDAA"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9E7235" w14:paraId="765C4682" w14:textId="77777777" w:rsidTr="00EF41BE">
        <w:trPr>
          <w:trHeight w:val="39"/>
          <w:jc w:val="center"/>
        </w:trPr>
        <w:tc>
          <w:tcPr>
            <w:tcW w:w="2320" w:type="dxa"/>
            <w:vAlign w:val="center"/>
          </w:tcPr>
          <w:p w14:paraId="79311514"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Empower</w:t>
            </w:r>
          </w:p>
        </w:tc>
        <w:tc>
          <w:tcPr>
            <w:tcW w:w="4943" w:type="dxa"/>
            <w:vAlign w:val="center"/>
          </w:tcPr>
          <w:p w14:paraId="6B02A64F"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Closing (Recycle)</w:t>
            </w:r>
          </w:p>
        </w:tc>
        <w:tc>
          <w:tcPr>
            <w:tcW w:w="5669" w:type="dxa"/>
            <w:vAlign w:val="center"/>
          </w:tcPr>
          <w:p w14:paraId="5FB32340" w14:textId="77777777" w:rsidR="00B93D26" w:rsidRPr="004B1CF3"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 or different supply chains</w:t>
            </w:r>
          </w:p>
        </w:tc>
      </w:tr>
      <w:tr w:rsidR="00733B86" w:rsidRPr="00DB7020" w14:paraId="06EE1264" w14:textId="77777777" w:rsidTr="00EF41BE">
        <w:trPr>
          <w:trHeight w:val="39"/>
          <w:jc w:val="center"/>
        </w:trPr>
        <w:tc>
          <w:tcPr>
            <w:tcW w:w="2320" w:type="dxa"/>
            <w:vAlign w:val="center"/>
          </w:tcPr>
          <w:p w14:paraId="4D09D785"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Excess Materials Exchange</w:t>
            </w:r>
          </w:p>
        </w:tc>
        <w:tc>
          <w:tcPr>
            <w:tcW w:w="4943" w:type="dxa"/>
            <w:vAlign w:val="center"/>
          </w:tcPr>
          <w:p w14:paraId="0D9DF18C"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 Slowing (Repurpose)</w:t>
            </w:r>
          </w:p>
        </w:tc>
        <w:tc>
          <w:tcPr>
            <w:tcW w:w="5669" w:type="dxa"/>
            <w:vAlign w:val="center"/>
          </w:tcPr>
          <w:p w14:paraId="7F482E5E"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original supply chain or different supply chains</w:t>
            </w:r>
          </w:p>
          <w:p w14:paraId="0F27DA4A"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Slowing: different supply chains</w:t>
            </w:r>
          </w:p>
        </w:tc>
      </w:tr>
      <w:tr w:rsidR="00733B86" w:rsidRPr="009E7235" w14:paraId="034166B7" w14:textId="77777777" w:rsidTr="00EF41BE">
        <w:trPr>
          <w:trHeight w:val="39"/>
          <w:jc w:val="center"/>
        </w:trPr>
        <w:tc>
          <w:tcPr>
            <w:tcW w:w="2320" w:type="dxa"/>
            <w:vAlign w:val="center"/>
          </w:tcPr>
          <w:p w14:paraId="76444112"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Fixfirst</w:t>
            </w:r>
            <w:proofErr w:type="spellEnd"/>
          </w:p>
        </w:tc>
        <w:tc>
          <w:tcPr>
            <w:tcW w:w="4943" w:type="dxa"/>
            <w:vAlign w:val="center"/>
          </w:tcPr>
          <w:p w14:paraId="338138F7"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 Slowing (Repair, Refurbish, Remanufacture)</w:t>
            </w:r>
          </w:p>
        </w:tc>
        <w:tc>
          <w:tcPr>
            <w:tcW w:w="5669" w:type="dxa"/>
            <w:vAlign w:val="center"/>
          </w:tcPr>
          <w:p w14:paraId="7F732515"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original supply chain or different supply chains</w:t>
            </w:r>
          </w:p>
          <w:p w14:paraId="7F629029"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Slowing: original supply chain or different supply chains</w:t>
            </w:r>
          </w:p>
        </w:tc>
      </w:tr>
      <w:tr w:rsidR="00733B86" w:rsidRPr="009E7235" w14:paraId="34A218A2" w14:textId="77777777" w:rsidTr="00EF41BE">
        <w:trPr>
          <w:trHeight w:val="39"/>
          <w:jc w:val="center"/>
        </w:trPr>
        <w:tc>
          <w:tcPr>
            <w:tcW w:w="2320" w:type="dxa"/>
            <w:vAlign w:val="center"/>
          </w:tcPr>
          <w:p w14:paraId="7F0E2AA8"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Greentraders</w:t>
            </w:r>
            <w:proofErr w:type="spellEnd"/>
          </w:p>
        </w:tc>
        <w:tc>
          <w:tcPr>
            <w:tcW w:w="4943" w:type="dxa"/>
            <w:vAlign w:val="center"/>
          </w:tcPr>
          <w:p w14:paraId="5D87675E"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Slowing (Refurbish)</w:t>
            </w:r>
          </w:p>
        </w:tc>
        <w:tc>
          <w:tcPr>
            <w:tcW w:w="5669" w:type="dxa"/>
            <w:vAlign w:val="center"/>
          </w:tcPr>
          <w:p w14:paraId="2E956721"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 or different supply chains</w:t>
            </w:r>
          </w:p>
        </w:tc>
      </w:tr>
      <w:tr w:rsidR="00733B86" w:rsidRPr="00DB7020" w14:paraId="121F5413" w14:textId="77777777" w:rsidTr="00EF41BE">
        <w:trPr>
          <w:trHeight w:val="39"/>
          <w:jc w:val="center"/>
        </w:trPr>
        <w:tc>
          <w:tcPr>
            <w:tcW w:w="2320" w:type="dxa"/>
            <w:vAlign w:val="center"/>
          </w:tcPr>
          <w:p w14:paraId="4997C8CE"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Health share</w:t>
            </w:r>
          </w:p>
        </w:tc>
        <w:tc>
          <w:tcPr>
            <w:tcW w:w="4943" w:type="dxa"/>
            <w:vAlign w:val="center"/>
          </w:tcPr>
          <w:p w14:paraId="5EFF6B63"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07C7AC08"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DB7020" w14:paraId="47C85F3A" w14:textId="77777777" w:rsidTr="00EF41BE">
        <w:trPr>
          <w:trHeight w:val="142"/>
          <w:jc w:val="center"/>
        </w:trPr>
        <w:tc>
          <w:tcPr>
            <w:tcW w:w="2320" w:type="dxa"/>
            <w:vAlign w:val="center"/>
          </w:tcPr>
          <w:p w14:paraId="56E913F9"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Intrakoop</w:t>
            </w:r>
            <w:proofErr w:type="spellEnd"/>
          </w:p>
        </w:tc>
        <w:tc>
          <w:tcPr>
            <w:tcW w:w="4943" w:type="dxa"/>
            <w:vAlign w:val="center"/>
          </w:tcPr>
          <w:p w14:paraId="46B024B4"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6E7CE0C9"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9E7235" w14:paraId="3392A06A" w14:textId="77777777" w:rsidTr="00EF41BE">
        <w:trPr>
          <w:trHeight w:val="142"/>
          <w:jc w:val="center"/>
        </w:trPr>
        <w:tc>
          <w:tcPr>
            <w:tcW w:w="2320" w:type="dxa"/>
            <w:vAlign w:val="center"/>
          </w:tcPr>
          <w:p w14:paraId="6CFA1699"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Kudoti</w:t>
            </w:r>
            <w:proofErr w:type="spellEnd"/>
          </w:p>
        </w:tc>
        <w:tc>
          <w:tcPr>
            <w:tcW w:w="4943" w:type="dxa"/>
            <w:vAlign w:val="center"/>
          </w:tcPr>
          <w:p w14:paraId="5141E650"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Closing (Recycle)</w:t>
            </w:r>
          </w:p>
        </w:tc>
        <w:tc>
          <w:tcPr>
            <w:tcW w:w="5669" w:type="dxa"/>
            <w:vAlign w:val="center"/>
          </w:tcPr>
          <w:p w14:paraId="682D7948" w14:textId="77777777" w:rsidR="00B93D26" w:rsidRPr="004B1CF3"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 or different supply chains</w:t>
            </w:r>
          </w:p>
        </w:tc>
      </w:tr>
      <w:tr w:rsidR="00733B86" w:rsidRPr="009E7235" w14:paraId="004CBCD2" w14:textId="77777777" w:rsidTr="00EF41BE">
        <w:trPr>
          <w:trHeight w:val="144"/>
          <w:jc w:val="center"/>
        </w:trPr>
        <w:tc>
          <w:tcPr>
            <w:tcW w:w="2320" w:type="dxa"/>
            <w:vAlign w:val="center"/>
          </w:tcPr>
          <w:p w14:paraId="1B20D382"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Materials Marketplace</w:t>
            </w:r>
          </w:p>
        </w:tc>
        <w:tc>
          <w:tcPr>
            <w:tcW w:w="4943" w:type="dxa"/>
            <w:vAlign w:val="center"/>
          </w:tcPr>
          <w:p w14:paraId="555EE343"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 Closing (Recycle)</w:t>
            </w:r>
          </w:p>
        </w:tc>
        <w:tc>
          <w:tcPr>
            <w:tcW w:w="5669" w:type="dxa"/>
            <w:vAlign w:val="center"/>
          </w:tcPr>
          <w:p w14:paraId="344174A8" w14:textId="77777777" w:rsidR="00B93D26" w:rsidRPr="004B1CF3" w:rsidRDefault="00000000" w:rsidP="00EF41BE">
            <w:pPr>
              <w:spacing w:line="360" w:lineRule="auto"/>
              <w:jc w:val="center"/>
              <w:rPr>
                <w:rFonts w:ascii="Times New Roman" w:hAnsi="Times New Roman" w:cs="Times New Roman"/>
                <w:sz w:val="14"/>
                <w:szCs w:val="14"/>
                <w:lang w:val="en-GB"/>
              </w:rPr>
            </w:pPr>
            <w:r w:rsidRPr="004B1CF3">
              <w:rPr>
                <w:rFonts w:ascii="Times New Roman" w:hAnsi="Times New Roman" w:cs="Times New Roman"/>
                <w:sz w:val="14"/>
                <w:szCs w:val="14"/>
                <w:lang w:val="en-GB"/>
              </w:rPr>
              <w:t xml:space="preserve">Narrowing: </w:t>
            </w:r>
            <w:r w:rsidRPr="00DB7020">
              <w:rPr>
                <w:rFonts w:ascii="Times New Roman" w:hAnsi="Times New Roman" w:cs="Times New Roman"/>
                <w:sz w:val="14"/>
                <w:szCs w:val="14"/>
                <w:lang w:val="en-GB"/>
              </w:rPr>
              <w:t>original supply chain or different supply chains</w:t>
            </w:r>
          </w:p>
          <w:p w14:paraId="4E251969" w14:textId="77777777" w:rsidR="00B93D26" w:rsidRPr="004B1CF3" w:rsidRDefault="00000000" w:rsidP="00EF41BE">
            <w:pPr>
              <w:spacing w:line="360" w:lineRule="auto"/>
              <w:jc w:val="center"/>
              <w:rPr>
                <w:rFonts w:ascii="Times New Roman" w:hAnsi="Times New Roman" w:cs="Times New Roman"/>
                <w:sz w:val="14"/>
                <w:szCs w:val="14"/>
                <w:lang w:val="en-GB"/>
              </w:rPr>
            </w:pPr>
            <w:r w:rsidRPr="004B1CF3">
              <w:rPr>
                <w:rFonts w:ascii="Times New Roman" w:hAnsi="Times New Roman" w:cs="Times New Roman"/>
                <w:sz w:val="14"/>
                <w:szCs w:val="14"/>
                <w:lang w:val="en-GB"/>
              </w:rPr>
              <w:t xml:space="preserve">Closing: </w:t>
            </w:r>
            <w:r w:rsidRPr="00DB7020">
              <w:rPr>
                <w:rFonts w:ascii="Times New Roman" w:hAnsi="Times New Roman" w:cs="Times New Roman"/>
                <w:sz w:val="14"/>
                <w:szCs w:val="14"/>
                <w:lang w:val="en-GB"/>
              </w:rPr>
              <w:t>original supply chain or different supply chains</w:t>
            </w:r>
          </w:p>
        </w:tc>
      </w:tr>
      <w:tr w:rsidR="00733B86" w:rsidRPr="009E7235" w14:paraId="60E76B6C" w14:textId="77777777" w:rsidTr="00EF41BE">
        <w:trPr>
          <w:trHeight w:val="25"/>
          <w:jc w:val="center"/>
        </w:trPr>
        <w:tc>
          <w:tcPr>
            <w:tcW w:w="2320" w:type="dxa"/>
            <w:vAlign w:val="center"/>
          </w:tcPr>
          <w:p w14:paraId="1AF47871"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Parksharing</w:t>
            </w:r>
            <w:proofErr w:type="spellEnd"/>
          </w:p>
        </w:tc>
        <w:tc>
          <w:tcPr>
            <w:tcW w:w="4943" w:type="dxa"/>
            <w:vAlign w:val="center"/>
          </w:tcPr>
          <w:p w14:paraId="2FBD4AB7"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0BE8112C"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 or different supply chains</w:t>
            </w:r>
          </w:p>
        </w:tc>
      </w:tr>
      <w:tr w:rsidR="00733B86" w:rsidRPr="00DB7020" w14:paraId="3732BED4" w14:textId="77777777" w:rsidTr="00EF41BE">
        <w:trPr>
          <w:trHeight w:val="142"/>
          <w:jc w:val="center"/>
        </w:trPr>
        <w:tc>
          <w:tcPr>
            <w:tcW w:w="2320" w:type="dxa"/>
            <w:vAlign w:val="center"/>
          </w:tcPr>
          <w:p w14:paraId="2910EF0B"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Pharmaswap</w:t>
            </w:r>
            <w:proofErr w:type="spellEnd"/>
          </w:p>
        </w:tc>
        <w:tc>
          <w:tcPr>
            <w:tcW w:w="4943" w:type="dxa"/>
            <w:vAlign w:val="center"/>
          </w:tcPr>
          <w:p w14:paraId="09AF468D"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243242A0"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9E7235" w14:paraId="4922E5D0" w14:textId="77777777" w:rsidTr="00EF41BE">
        <w:trPr>
          <w:trHeight w:val="142"/>
          <w:jc w:val="center"/>
        </w:trPr>
        <w:tc>
          <w:tcPr>
            <w:tcW w:w="2320" w:type="dxa"/>
            <w:vAlign w:val="center"/>
          </w:tcPr>
          <w:p w14:paraId="30CFA887"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Plastship</w:t>
            </w:r>
            <w:proofErr w:type="spellEnd"/>
          </w:p>
        </w:tc>
        <w:tc>
          <w:tcPr>
            <w:tcW w:w="4943" w:type="dxa"/>
            <w:vAlign w:val="center"/>
          </w:tcPr>
          <w:p w14:paraId="298110E5"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Closing (Recycle)</w:t>
            </w:r>
          </w:p>
        </w:tc>
        <w:tc>
          <w:tcPr>
            <w:tcW w:w="5669" w:type="dxa"/>
            <w:vAlign w:val="center"/>
          </w:tcPr>
          <w:p w14:paraId="5771F077" w14:textId="77777777" w:rsidR="00B93D26" w:rsidRPr="004B1CF3"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 or different supply chains</w:t>
            </w:r>
          </w:p>
        </w:tc>
      </w:tr>
      <w:tr w:rsidR="00733B86" w:rsidRPr="00DB7020" w14:paraId="4D58619A" w14:textId="77777777" w:rsidTr="00EF41BE">
        <w:trPr>
          <w:trHeight w:val="142"/>
          <w:jc w:val="center"/>
        </w:trPr>
        <w:tc>
          <w:tcPr>
            <w:tcW w:w="2320" w:type="dxa"/>
            <w:vAlign w:val="center"/>
          </w:tcPr>
          <w:p w14:paraId="5AD73B92"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Re-sign</w:t>
            </w:r>
          </w:p>
        </w:tc>
        <w:tc>
          <w:tcPr>
            <w:tcW w:w="4943" w:type="dxa"/>
            <w:vAlign w:val="center"/>
          </w:tcPr>
          <w:p w14:paraId="0E15362B"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5ECBD933"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DB7020" w14:paraId="251B088D" w14:textId="77777777" w:rsidTr="00EF41BE">
        <w:trPr>
          <w:trHeight w:val="142"/>
          <w:jc w:val="center"/>
        </w:trPr>
        <w:tc>
          <w:tcPr>
            <w:tcW w:w="2320" w:type="dxa"/>
            <w:vAlign w:val="center"/>
          </w:tcPr>
          <w:p w14:paraId="52A5363F"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Saveadd</w:t>
            </w:r>
            <w:proofErr w:type="spellEnd"/>
          </w:p>
        </w:tc>
        <w:tc>
          <w:tcPr>
            <w:tcW w:w="4943" w:type="dxa"/>
            <w:vAlign w:val="center"/>
          </w:tcPr>
          <w:p w14:paraId="271EFEE8"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6B25D2F6"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DB7020" w14:paraId="0EDB6056" w14:textId="77777777" w:rsidTr="00EF41BE">
        <w:trPr>
          <w:trHeight w:val="142"/>
          <w:jc w:val="center"/>
        </w:trPr>
        <w:tc>
          <w:tcPr>
            <w:tcW w:w="2320" w:type="dxa"/>
            <w:vAlign w:val="center"/>
          </w:tcPr>
          <w:p w14:paraId="1923D354"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Seginus</w:t>
            </w:r>
            <w:proofErr w:type="spellEnd"/>
          </w:p>
        </w:tc>
        <w:tc>
          <w:tcPr>
            <w:tcW w:w="4943" w:type="dxa"/>
            <w:vAlign w:val="center"/>
          </w:tcPr>
          <w:p w14:paraId="0E6F09A5"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Closing (Recycle)</w:t>
            </w:r>
          </w:p>
        </w:tc>
        <w:tc>
          <w:tcPr>
            <w:tcW w:w="5669" w:type="dxa"/>
            <w:vAlign w:val="center"/>
          </w:tcPr>
          <w:p w14:paraId="54D1C765" w14:textId="77777777" w:rsidR="00B93D26" w:rsidRPr="004B1CF3" w:rsidRDefault="00000000" w:rsidP="00EF41BE">
            <w:pPr>
              <w:spacing w:line="360" w:lineRule="auto"/>
              <w:jc w:val="center"/>
              <w:rPr>
                <w:rFonts w:ascii="Times New Roman" w:hAnsi="Times New Roman" w:cs="Times New Roman"/>
                <w:sz w:val="14"/>
                <w:szCs w:val="14"/>
                <w:lang w:val="en-GB"/>
              </w:rPr>
            </w:pPr>
            <w:r w:rsidRPr="004B1CF3">
              <w:rPr>
                <w:rFonts w:ascii="Times New Roman" w:hAnsi="Times New Roman" w:cs="Times New Roman"/>
                <w:sz w:val="14"/>
                <w:szCs w:val="14"/>
                <w:lang w:val="en-GB"/>
              </w:rPr>
              <w:t xml:space="preserve">Original supply chain </w:t>
            </w:r>
          </w:p>
        </w:tc>
      </w:tr>
      <w:tr w:rsidR="00733B86" w:rsidRPr="00DB7020" w14:paraId="69906FD0" w14:textId="77777777" w:rsidTr="00EF41BE">
        <w:trPr>
          <w:trHeight w:val="142"/>
          <w:jc w:val="center"/>
        </w:trPr>
        <w:tc>
          <w:tcPr>
            <w:tcW w:w="2320" w:type="dxa"/>
            <w:vAlign w:val="center"/>
          </w:tcPr>
          <w:p w14:paraId="110B7346"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Sfridoo</w:t>
            </w:r>
            <w:proofErr w:type="spellEnd"/>
          </w:p>
        </w:tc>
        <w:tc>
          <w:tcPr>
            <w:tcW w:w="4943" w:type="dxa"/>
            <w:vAlign w:val="center"/>
          </w:tcPr>
          <w:p w14:paraId="7F520876"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 Slowing (Repurpose)</w:t>
            </w:r>
          </w:p>
        </w:tc>
        <w:tc>
          <w:tcPr>
            <w:tcW w:w="5669" w:type="dxa"/>
            <w:vAlign w:val="center"/>
          </w:tcPr>
          <w:p w14:paraId="091B9460"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original supply chain or different supply chains</w:t>
            </w:r>
          </w:p>
          <w:p w14:paraId="0217E3F2"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Slowing: different supply chains</w:t>
            </w:r>
          </w:p>
        </w:tc>
      </w:tr>
      <w:tr w:rsidR="00733B86" w:rsidRPr="009E7235" w14:paraId="0689A2C9" w14:textId="77777777" w:rsidTr="00EF41BE">
        <w:trPr>
          <w:trHeight w:val="142"/>
          <w:jc w:val="center"/>
        </w:trPr>
        <w:tc>
          <w:tcPr>
            <w:tcW w:w="2320" w:type="dxa"/>
            <w:vAlign w:val="center"/>
          </w:tcPr>
          <w:p w14:paraId="651E618B"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Wastly</w:t>
            </w:r>
            <w:proofErr w:type="spellEnd"/>
          </w:p>
        </w:tc>
        <w:tc>
          <w:tcPr>
            <w:tcW w:w="4943" w:type="dxa"/>
            <w:vAlign w:val="center"/>
          </w:tcPr>
          <w:p w14:paraId="59910050"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Closing (Recycle)</w:t>
            </w:r>
          </w:p>
        </w:tc>
        <w:tc>
          <w:tcPr>
            <w:tcW w:w="5669" w:type="dxa"/>
            <w:vAlign w:val="center"/>
          </w:tcPr>
          <w:p w14:paraId="2AC5EFB4" w14:textId="77777777" w:rsidR="00B93D26" w:rsidRPr="004B1CF3"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 or different supply chains</w:t>
            </w:r>
          </w:p>
        </w:tc>
      </w:tr>
      <w:tr w:rsidR="00733B86" w:rsidRPr="00DB7020" w14:paraId="14900F0B" w14:textId="77777777" w:rsidTr="00EF41BE">
        <w:trPr>
          <w:trHeight w:val="142"/>
          <w:jc w:val="center"/>
        </w:trPr>
        <w:tc>
          <w:tcPr>
            <w:tcW w:w="2320" w:type="dxa"/>
            <w:vAlign w:val="center"/>
          </w:tcPr>
          <w:p w14:paraId="6936BD0D"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Werflink</w:t>
            </w:r>
            <w:proofErr w:type="spellEnd"/>
          </w:p>
        </w:tc>
        <w:tc>
          <w:tcPr>
            <w:tcW w:w="4943" w:type="dxa"/>
            <w:vAlign w:val="center"/>
          </w:tcPr>
          <w:p w14:paraId="73FF993A"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Narrowing (Reuse)</w:t>
            </w:r>
          </w:p>
        </w:tc>
        <w:tc>
          <w:tcPr>
            <w:tcW w:w="5669" w:type="dxa"/>
            <w:vAlign w:val="center"/>
          </w:tcPr>
          <w:p w14:paraId="2FA6296D"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w:t>
            </w:r>
          </w:p>
        </w:tc>
      </w:tr>
      <w:tr w:rsidR="00733B86" w:rsidRPr="009E7235" w14:paraId="4AF45B70" w14:textId="77777777" w:rsidTr="00EF41BE">
        <w:trPr>
          <w:trHeight w:val="142"/>
          <w:jc w:val="center"/>
        </w:trPr>
        <w:tc>
          <w:tcPr>
            <w:tcW w:w="2320" w:type="dxa"/>
            <w:vAlign w:val="center"/>
          </w:tcPr>
          <w:p w14:paraId="759DE7AB" w14:textId="77777777" w:rsidR="00B93D26" w:rsidRPr="00DB7020" w:rsidRDefault="00000000" w:rsidP="00EF41BE">
            <w:pPr>
              <w:spacing w:line="360" w:lineRule="auto"/>
              <w:jc w:val="center"/>
              <w:rPr>
                <w:rFonts w:ascii="Times New Roman" w:hAnsi="Times New Roman" w:cs="Times New Roman"/>
                <w:sz w:val="14"/>
                <w:szCs w:val="14"/>
                <w:lang w:val="en-GB"/>
              </w:rPr>
            </w:pPr>
            <w:proofErr w:type="spellStart"/>
            <w:r w:rsidRPr="00DB7020">
              <w:rPr>
                <w:rFonts w:ascii="Times New Roman" w:hAnsi="Times New Roman" w:cs="Times New Roman"/>
                <w:sz w:val="14"/>
                <w:szCs w:val="14"/>
                <w:lang w:val="en-GB"/>
              </w:rPr>
              <w:t>Yo</w:t>
            </w:r>
            <w:proofErr w:type="spellEnd"/>
            <w:r w:rsidRPr="00DB7020">
              <w:rPr>
                <w:rFonts w:ascii="Times New Roman" w:hAnsi="Times New Roman" w:cs="Times New Roman"/>
                <w:sz w:val="14"/>
                <w:szCs w:val="14"/>
                <w:lang w:val="en-GB"/>
              </w:rPr>
              <w:t>-waste</w:t>
            </w:r>
          </w:p>
        </w:tc>
        <w:tc>
          <w:tcPr>
            <w:tcW w:w="4943" w:type="dxa"/>
            <w:vAlign w:val="center"/>
          </w:tcPr>
          <w:p w14:paraId="45CD80AF"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Closing (Recycle)</w:t>
            </w:r>
          </w:p>
        </w:tc>
        <w:tc>
          <w:tcPr>
            <w:tcW w:w="5669" w:type="dxa"/>
            <w:vAlign w:val="center"/>
          </w:tcPr>
          <w:p w14:paraId="77CE9343" w14:textId="77777777" w:rsidR="00B93D26" w:rsidRPr="00DB7020" w:rsidRDefault="00000000" w:rsidP="00EF41BE">
            <w:pPr>
              <w:spacing w:line="360" w:lineRule="auto"/>
              <w:jc w:val="center"/>
              <w:rPr>
                <w:rFonts w:ascii="Times New Roman" w:hAnsi="Times New Roman" w:cs="Times New Roman"/>
                <w:sz w:val="14"/>
                <w:szCs w:val="14"/>
                <w:lang w:val="en-GB"/>
              </w:rPr>
            </w:pPr>
            <w:r w:rsidRPr="00DB7020">
              <w:rPr>
                <w:rFonts w:ascii="Times New Roman" w:hAnsi="Times New Roman" w:cs="Times New Roman"/>
                <w:sz w:val="14"/>
                <w:szCs w:val="14"/>
                <w:lang w:val="en-GB"/>
              </w:rPr>
              <w:t>Original supply chain or different supply chains</w:t>
            </w:r>
          </w:p>
        </w:tc>
      </w:tr>
    </w:tbl>
    <w:p w14:paraId="1B64B952" w14:textId="77777777" w:rsidR="00B93D26" w:rsidRDefault="00B93D26" w:rsidP="008B6CA7">
      <w:pPr>
        <w:spacing w:after="0" w:line="360" w:lineRule="auto"/>
        <w:ind w:firstLine="284"/>
        <w:jc w:val="both"/>
        <w:rPr>
          <w:rFonts w:ascii="Times New Roman" w:hAnsi="Times New Roman" w:cs="Times New Roman"/>
          <w:sz w:val="24"/>
          <w:szCs w:val="24"/>
          <w:lang w:val="en-GB"/>
        </w:rPr>
      </w:pPr>
    </w:p>
    <w:p w14:paraId="02264C45" w14:textId="77777777" w:rsidR="00B93D26" w:rsidRDefault="00B93D26" w:rsidP="008B6CA7">
      <w:pPr>
        <w:spacing w:after="0" w:line="360" w:lineRule="auto"/>
        <w:ind w:firstLine="284"/>
        <w:jc w:val="both"/>
        <w:rPr>
          <w:rFonts w:ascii="Times New Roman" w:hAnsi="Times New Roman" w:cs="Times New Roman"/>
          <w:sz w:val="24"/>
          <w:szCs w:val="24"/>
          <w:lang w:val="en-GB"/>
        </w:rPr>
        <w:sectPr w:rsidR="00B93D26" w:rsidSect="004B1CF3">
          <w:pgSz w:w="16838" w:h="11906" w:orient="landscape"/>
          <w:pgMar w:top="1134" w:right="1134" w:bottom="1134" w:left="1417" w:header="708" w:footer="708" w:gutter="0"/>
          <w:cols w:space="708"/>
          <w:docGrid w:linePitch="360"/>
        </w:sectPr>
      </w:pPr>
    </w:p>
    <w:p w14:paraId="071BC055" w14:textId="71203B25" w:rsidR="00B93D26" w:rsidRDefault="007845CC" w:rsidP="00247672">
      <w:pPr>
        <w:spacing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Second</w:t>
      </w:r>
      <w:r w:rsidR="006F5B7C">
        <w:rPr>
          <w:rFonts w:ascii="Times New Roman" w:hAnsi="Times New Roman" w:cs="Times New Roman"/>
          <w:sz w:val="24"/>
          <w:szCs w:val="24"/>
          <w:lang w:val="en-GB"/>
        </w:rPr>
        <w:t>, the</w:t>
      </w:r>
      <w:r w:rsidR="00DB1630" w:rsidRPr="75A96201">
        <w:rPr>
          <w:rFonts w:ascii="Times New Roman" w:hAnsi="Times New Roman" w:cs="Times New Roman"/>
          <w:sz w:val="24"/>
          <w:szCs w:val="24"/>
          <w:lang w:val="en-GB"/>
        </w:rPr>
        <w:t xml:space="preserve"> empirical investigation brings </w:t>
      </w:r>
      <w:r w:rsidR="00DB1630">
        <w:rPr>
          <w:rFonts w:ascii="Times New Roman" w:hAnsi="Times New Roman" w:cs="Times New Roman"/>
          <w:sz w:val="24"/>
          <w:szCs w:val="24"/>
          <w:lang w:val="en-GB"/>
        </w:rPr>
        <w:t>in</w:t>
      </w:r>
      <w:r w:rsidR="00DB1630" w:rsidRPr="75A96201">
        <w:rPr>
          <w:rFonts w:ascii="Times New Roman" w:hAnsi="Times New Roman" w:cs="Times New Roman"/>
          <w:sz w:val="24"/>
          <w:szCs w:val="24"/>
          <w:lang w:val="en-GB"/>
        </w:rPr>
        <w:t>to light the</w:t>
      </w:r>
      <w:r w:rsidR="00DB1630">
        <w:rPr>
          <w:rFonts w:ascii="Times New Roman" w:hAnsi="Times New Roman" w:cs="Times New Roman"/>
          <w:sz w:val="24"/>
          <w:szCs w:val="24"/>
          <w:lang w:val="en-GB"/>
        </w:rPr>
        <w:t xml:space="preserve"> different </w:t>
      </w:r>
      <w:r w:rsidR="00DB1630" w:rsidRPr="75A96201">
        <w:rPr>
          <w:rFonts w:ascii="Times New Roman" w:hAnsi="Times New Roman" w:cs="Times New Roman"/>
          <w:sz w:val="24"/>
          <w:szCs w:val="24"/>
          <w:lang w:val="en-GB"/>
        </w:rPr>
        <w:t>role</w:t>
      </w:r>
      <w:r w:rsidR="00DB1630">
        <w:rPr>
          <w:rFonts w:ascii="Times New Roman" w:hAnsi="Times New Roman" w:cs="Times New Roman"/>
          <w:sz w:val="24"/>
          <w:szCs w:val="24"/>
          <w:lang w:val="en-GB"/>
        </w:rPr>
        <w:t>s</w:t>
      </w:r>
      <w:r w:rsidR="00DB1630" w:rsidRPr="75A96201">
        <w:rPr>
          <w:rFonts w:ascii="Times New Roman" w:hAnsi="Times New Roman" w:cs="Times New Roman"/>
          <w:sz w:val="24"/>
          <w:szCs w:val="24"/>
          <w:lang w:val="en-GB"/>
        </w:rPr>
        <w:t xml:space="preserve"> of MSPs enabling CSCs in </w:t>
      </w:r>
      <w:r w:rsidR="00DB1630">
        <w:rPr>
          <w:rFonts w:ascii="Times New Roman" w:hAnsi="Times New Roman" w:cs="Times New Roman"/>
          <w:sz w:val="24"/>
          <w:szCs w:val="24"/>
          <w:lang w:val="en-GB"/>
        </w:rPr>
        <w:t>the</w:t>
      </w:r>
      <w:r w:rsidR="00DB1630" w:rsidRPr="75A96201">
        <w:rPr>
          <w:rFonts w:ascii="Times New Roman" w:hAnsi="Times New Roman" w:cs="Times New Roman"/>
          <w:sz w:val="24"/>
          <w:szCs w:val="24"/>
          <w:lang w:val="en-GB"/>
        </w:rPr>
        <w:t xml:space="preserve"> B2B setting</w:t>
      </w:r>
      <w:r w:rsidR="00C61E35">
        <w:rPr>
          <w:rFonts w:ascii="Times New Roman" w:hAnsi="Times New Roman" w:cs="Times New Roman"/>
          <w:sz w:val="24"/>
          <w:szCs w:val="24"/>
          <w:lang w:val="en-GB"/>
        </w:rPr>
        <w:t>,</w:t>
      </w:r>
      <w:r w:rsidR="00C61E35" w:rsidRPr="00C61E35">
        <w:rPr>
          <w:rFonts w:ascii="Times New Roman" w:hAnsi="Times New Roman" w:cs="Times New Roman"/>
          <w:sz w:val="24"/>
          <w:szCs w:val="24"/>
          <w:lang w:val="en-GB"/>
        </w:rPr>
        <w:t xml:space="preserve"> </w:t>
      </w:r>
      <w:r w:rsidR="00C61E35">
        <w:rPr>
          <w:rFonts w:ascii="Times New Roman" w:hAnsi="Times New Roman" w:cs="Times New Roman"/>
          <w:sz w:val="24"/>
          <w:szCs w:val="24"/>
          <w:lang w:val="en-GB"/>
        </w:rPr>
        <w:t>which are characterized in accordance with the two above-mentioned dimensions of the taxonomy</w:t>
      </w:r>
      <w:r w:rsidR="004D3A7B">
        <w:rPr>
          <w:rFonts w:ascii="Times New Roman" w:hAnsi="Times New Roman" w:cs="Times New Roman"/>
          <w:sz w:val="24"/>
          <w:szCs w:val="24"/>
          <w:lang w:val="en-GB"/>
        </w:rPr>
        <w:t>.</w:t>
      </w:r>
      <w:r w:rsidR="006F5B7C">
        <w:rPr>
          <w:rFonts w:ascii="Times New Roman" w:hAnsi="Times New Roman" w:cs="Times New Roman"/>
          <w:sz w:val="24"/>
          <w:szCs w:val="24"/>
          <w:lang w:val="en-GB"/>
        </w:rPr>
        <w:t xml:space="preserve"> </w:t>
      </w:r>
      <w:r w:rsidR="004D3A7B" w:rsidRPr="002F4417">
        <w:rPr>
          <w:rFonts w:ascii="Times New Roman" w:hAnsi="Times New Roman" w:cs="Times New Roman"/>
          <w:sz w:val="24"/>
          <w:szCs w:val="24"/>
          <w:lang w:val="en-GB"/>
        </w:rPr>
        <w:t xml:space="preserve">Figure </w:t>
      </w:r>
      <w:r w:rsidR="004D3A7B">
        <w:rPr>
          <w:rFonts w:ascii="Times New Roman" w:hAnsi="Times New Roman" w:cs="Times New Roman"/>
          <w:sz w:val="24"/>
          <w:szCs w:val="24"/>
          <w:lang w:val="en-GB"/>
        </w:rPr>
        <w:t>2</w:t>
      </w:r>
      <w:r w:rsidR="004D3A7B" w:rsidRPr="002F4417">
        <w:rPr>
          <w:rFonts w:ascii="Times New Roman" w:hAnsi="Times New Roman" w:cs="Times New Roman"/>
          <w:sz w:val="24"/>
          <w:szCs w:val="24"/>
          <w:lang w:val="en-GB"/>
        </w:rPr>
        <w:t xml:space="preserve"> show</w:t>
      </w:r>
      <w:r w:rsidR="004D3A7B">
        <w:rPr>
          <w:rFonts w:ascii="Times New Roman" w:hAnsi="Times New Roman" w:cs="Times New Roman"/>
          <w:sz w:val="24"/>
          <w:szCs w:val="24"/>
          <w:lang w:val="en-GB"/>
        </w:rPr>
        <w:t>s</w:t>
      </w:r>
      <w:r w:rsidR="004D3A7B" w:rsidRPr="002F4417">
        <w:rPr>
          <w:rFonts w:ascii="Times New Roman" w:hAnsi="Times New Roman" w:cs="Times New Roman"/>
          <w:sz w:val="24"/>
          <w:szCs w:val="24"/>
          <w:lang w:val="en-GB"/>
        </w:rPr>
        <w:t xml:space="preserve"> </w:t>
      </w:r>
      <w:r w:rsidR="004D3A7B">
        <w:rPr>
          <w:rFonts w:ascii="Times New Roman" w:hAnsi="Times New Roman" w:cs="Times New Roman"/>
          <w:sz w:val="24"/>
          <w:szCs w:val="24"/>
          <w:lang w:val="en-GB"/>
        </w:rPr>
        <w:t xml:space="preserve">the taxonomy, </w:t>
      </w:r>
      <w:r w:rsidR="00C61E35">
        <w:rPr>
          <w:rFonts w:ascii="Times New Roman" w:hAnsi="Times New Roman" w:cs="Times New Roman"/>
          <w:sz w:val="24"/>
          <w:szCs w:val="24"/>
          <w:lang w:val="en-GB"/>
        </w:rPr>
        <w:t>which</w:t>
      </w:r>
      <w:r w:rsidR="004D3A7B">
        <w:rPr>
          <w:rFonts w:ascii="Times New Roman" w:hAnsi="Times New Roman" w:cs="Times New Roman"/>
          <w:sz w:val="24"/>
          <w:szCs w:val="24"/>
          <w:lang w:val="en-GB"/>
        </w:rPr>
        <w:t xml:space="preserve"> </w:t>
      </w:r>
      <w:r w:rsidR="006F5B7C">
        <w:rPr>
          <w:rFonts w:ascii="Times New Roman" w:hAnsi="Times New Roman" w:cs="Times New Roman"/>
          <w:sz w:val="24"/>
          <w:szCs w:val="24"/>
          <w:lang w:val="en-GB"/>
        </w:rPr>
        <w:t xml:space="preserve">includes </w:t>
      </w:r>
      <w:r w:rsidR="006F5B7C" w:rsidRPr="002F4417">
        <w:rPr>
          <w:rFonts w:ascii="Times New Roman" w:hAnsi="Times New Roman" w:cs="Times New Roman"/>
          <w:sz w:val="24"/>
          <w:szCs w:val="24"/>
          <w:lang w:val="en-GB"/>
        </w:rPr>
        <w:t xml:space="preserve">six </w:t>
      </w:r>
      <w:r w:rsidR="006F5B7C">
        <w:rPr>
          <w:rFonts w:ascii="Times New Roman" w:hAnsi="Times New Roman" w:cs="Times New Roman"/>
          <w:sz w:val="24"/>
          <w:szCs w:val="24"/>
          <w:lang w:val="en-GB"/>
        </w:rPr>
        <w:t>clusters of MSPs</w:t>
      </w:r>
      <w:r w:rsidR="000F5B44">
        <w:rPr>
          <w:rFonts w:ascii="Times New Roman" w:hAnsi="Times New Roman" w:cs="Times New Roman"/>
          <w:sz w:val="24"/>
          <w:szCs w:val="24"/>
          <w:lang w:val="en-GB"/>
        </w:rPr>
        <w:t>,</w:t>
      </w:r>
      <w:r w:rsidR="00B626F0">
        <w:rPr>
          <w:rFonts w:ascii="Times New Roman" w:hAnsi="Times New Roman" w:cs="Times New Roman"/>
          <w:sz w:val="24"/>
          <w:szCs w:val="24"/>
          <w:lang w:val="en-GB"/>
        </w:rPr>
        <w:t xml:space="preserve"> e</w:t>
      </w:r>
      <w:r w:rsidR="003166D1">
        <w:rPr>
          <w:rFonts w:ascii="Times New Roman" w:hAnsi="Times New Roman" w:cs="Times New Roman"/>
          <w:sz w:val="24"/>
          <w:szCs w:val="24"/>
          <w:lang w:val="en-GB"/>
        </w:rPr>
        <w:t xml:space="preserve">ach </w:t>
      </w:r>
      <w:r w:rsidR="00B626F0">
        <w:rPr>
          <w:rFonts w:ascii="Times New Roman" w:hAnsi="Times New Roman" w:cs="Times New Roman"/>
          <w:sz w:val="24"/>
          <w:szCs w:val="24"/>
          <w:lang w:val="en-GB"/>
        </w:rPr>
        <w:t>one</w:t>
      </w:r>
      <w:r w:rsidR="003166D1">
        <w:rPr>
          <w:rFonts w:ascii="Times New Roman" w:hAnsi="Times New Roman" w:cs="Times New Roman"/>
          <w:sz w:val="24"/>
          <w:szCs w:val="24"/>
          <w:lang w:val="en-GB"/>
        </w:rPr>
        <w:t xml:space="preserve"> </w:t>
      </w:r>
      <w:r w:rsidR="004D3A7B">
        <w:rPr>
          <w:rFonts w:ascii="Times New Roman" w:hAnsi="Times New Roman" w:cs="Times New Roman"/>
          <w:sz w:val="24"/>
          <w:szCs w:val="24"/>
          <w:lang w:val="en-GB"/>
        </w:rPr>
        <w:t xml:space="preserve">representing a specific role </w:t>
      </w:r>
      <w:r w:rsidR="00C61E35">
        <w:rPr>
          <w:rFonts w:ascii="Times New Roman" w:hAnsi="Times New Roman" w:cs="Times New Roman"/>
          <w:sz w:val="24"/>
          <w:szCs w:val="24"/>
          <w:lang w:val="en-GB"/>
        </w:rPr>
        <w:t>they can cover to</w:t>
      </w:r>
      <w:r w:rsidR="004D3A7B" w:rsidRPr="75A96201">
        <w:rPr>
          <w:rFonts w:ascii="Times New Roman" w:hAnsi="Times New Roman" w:cs="Times New Roman"/>
          <w:sz w:val="24"/>
          <w:szCs w:val="24"/>
          <w:lang w:val="en-GB"/>
        </w:rPr>
        <w:t xml:space="preserve"> enabl</w:t>
      </w:r>
      <w:r w:rsidR="00C61E35">
        <w:rPr>
          <w:rFonts w:ascii="Times New Roman" w:hAnsi="Times New Roman" w:cs="Times New Roman"/>
          <w:sz w:val="24"/>
          <w:szCs w:val="24"/>
          <w:lang w:val="en-GB"/>
        </w:rPr>
        <w:t>e</w:t>
      </w:r>
      <w:r w:rsidR="004D3A7B" w:rsidRPr="75A96201">
        <w:rPr>
          <w:rFonts w:ascii="Times New Roman" w:hAnsi="Times New Roman" w:cs="Times New Roman"/>
          <w:sz w:val="24"/>
          <w:szCs w:val="24"/>
          <w:lang w:val="en-GB"/>
        </w:rPr>
        <w:t xml:space="preserve"> CSCs in </w:t>
      </w:r>
      <w:r w:rsidR="004D3A7B">
        <w:rPr>
          <w:rFonts w:ascii="Times New Roman" w:hAnsi="Times New Roman" w:cs="Times New Roman"/>
          <w:sz w:val="24"/>
          <w:szCs w:val="24"/>
          <w:lang w:val="en-GB"/>
        </w:rPr>
        <w:t>the</w:t>
      </w:r>
      <w:r w:rsidR="004D3A7B" w:rsidRPr="75A96201">
        <w:rPr>
          <w:rFonts w:ascii="Times New Roman" w:hAnsi="Times New Roman" w:cs="Times New Roman"/>
          <w:sz w:val="24"/>
          <w:szCs w:val="24"/>
          <w:lang w:val="en-GB"/>
        </w:rPr>
        <w:t xml:space="preserve"> B2B setting</w:t>
      </w:r>
      <w:r w:rsidR="003166D1">
        <w:rPr>
          <w:rFonts w:ascii="Times New Roman" w:hAnsi="Times New Roman" w:cs="Times New Roman"/>
          <w:sz w:val="24"/>
          <w:szCs w:val="24"/>
          <w:lang w:val="en-GB"/>
        </w:rPr>
        <w:t>.</w:t>
      </w:r>
    </w:p>
    <w:p w14:paraId="4EAE244A" w14:textId="2A66BF1E" w:rsidR="00B93D26" w:rsidRDefault="002A71FD" w:rsidP="00012C62">
      <w:pPr>
        <w:spacing w:after="0" w:line="360" w:lineRule="auto"/>
        <w:jc w:val="center"/>
        <w:rPr>
          <w:rFonts w:ascii="Times New Roman" w:hAnsi="Times New Roman" w:cs="Times New Roman"/>
          <w:sz w:val="24"/>
          <w:szCs w:val="24"/>
          <w:lang w:val="en-GB"/>
        </w:rPr>
      </w:pPr>
      <w:r w:rsidRPr="00247672" w:rsidDel="00F61C5E">
        <w:rPr>
          <w:rFonts w:ascii="Times New Roman" w:hAnsi="Times New Roman" w:cs="Times New Roman"/>
          <w:sz w:val="24"/>
          <w:szCs w:val="24"/>
          <w:lang w:val="en-US"/>
        </w:rPr>
        <w:t xml:space="preserve"> </w:t>
      </w:r>
      <w:r w:rsidR="00DD6616">
        <w:rPr>
          <w:rFonts w:ascii="Times New Roman" w:hAnsi="Times New Roman" w:cs="Times New Roman"/>
          <w:noProof/>
          <w:sz w:val="24"/>
          <w:szCs w:val="24"/>
          <w:lang w:val="en-US"/>
        </w:rPr>
        <w:drawing>
          <wp:inline distT="0" distB="0" distL="0" distR="0" wp14:anchorId="56EF46CA" wp14:editId="4F1772A4">
            <wp:extent cx="4569235" cy="4007639"/>
            <wp:effectExtent l="0" t="0" r="0" b="0"/>
            <wp:docPr id="2400229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86228" cy="4022543"/>
                    </a:xfrm>
                    <a:prstGeom prst="rect">
                      <a:avLst/>
                    </a:prstGeom>
                    <a:noFill/>
                  </pic:spPr>
                </pic:pic>
              </a:graphicData>
            </a:graphic>
          </wp:inline>
        </w:drawing>
      </w:r>
    </w:p>
    <w:p w14:paraId="09B3198E" w14:textId="378200F9" w:rsidR="00B93D26" w:rsidRPr="004B1CF3" w:rsidRDefault="00000000" w:rsidP="004B1CF3">
      <w:pPr>
        <w:spacing w:line="360" w:lineRule="auto"/>
        <w:jc w:val="center"/>
        <w:rPr>
          <w:rFonts w:ascii="Times New Roman" w:hAnsi="Times New Roman" w:cs="Times New Roman"/>
          <w:sz w:val="24"/>
          <w:szCs w:val="24"/>
          <w:lang w:val="en-GB"/>
        </w:rPr>
      </w:pPr>
      <w:r w:rsidRPr="003612D4">
        <w:rPr>
          <w:rFonts w:ascii="Times New Roman" w:hAnsi="Times New Roman" w:cs="Times New Roman"/>
          <w:b/>
          <w:bCs/>
          <w:sz w:val="20"/>
          <w:szCs w:val="20"/>
          <w:lang w:val="en-GB"/>
        </w:rPr>
        <w:t xml:space="preserve">Figure </w:t>
      </w:r>
      <w:r>
        <w:rPr>
          <w:rFonts w:ascii="Times New Roman" w:hAnsi="Times New Roman" w:cs="Times New Roman"/>
          <w:b/>
          <w:bCs/>
          <w:sz w:val="20"/>
          <w:szCs w:val="20"/>
          <w:lang w:val="en-GB"/>
        </w:rPr>
        <w:t>2</w:t>
      </w:r>
      <w:r w:rsidRPr="003612D4">
        <w:rPr>
          <w:rFonts w:ascii="Times New Roman" w:hAnsi="Times New Roman" w:cs="Times New Roman"/>
          <w:b/>
          <w:bCs/>
          <w:sz w:val="20"/>
          <w:szCs w:val="20"/>
          <w:lang w:val="en-GB"/>
        </w:rPr>
        <w:t>.</w:t>
      </w:r>
      <w:r w:rsidRPr="003612D4">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A taxonomy of </w:t>
      </w:r>
      <w:r w:rsidRPr="003612D4">
        <w:rPr>
          <w:rFonts w:ascii="Times New Roman" w:hAnsi="Times New Roman" w:cs="Times New Roman"/>
          <w:sz w:val="20"/>
          <w:szCs w:val="20"/>
          <w:lang w:val="en-GB"/>
        </w:rPr>
        <w:t>MSPs enabling CSCs</w:t>
      </w:r>
      <w:r>
        <w:rPr>
          <w:rFonts w:ascii="Times New Roman" w:hAnsi="Times New Roman" w:cs="Times New Roman"/>
          <w:sz w:val="20"/>
          <w:szCs w:val="20"/>
          <w:lang w:val="en-GB"/>
        </w:rPr>
        <w:t xml:space="preserve"> </w:t>
      </w:r>
      <w:r w:rsidR="008E1FDA" w:rsidRPr="003612D4">
        <w:rPr>
          <w:rFonts w:ascii="Times New Roman" w:hAnsi="Times New Roman" w:cs="Times New Roman"/>
          <w:sz w:val="20"/>
          <w:szCs w:val="20"/>
          <w:lang w:val="en-GB"/>
        </w:rPr>
        <w:t xml:space="preserve">in </w:t>
      </w:r>
      <w:r w:rsidR="008E1FDA">
        <w:rPr>
          <w:rFonts w:ascii="Times New Roman" w:hAnsi="Times New Roman" w:cs="Times New Roman"/>
          <w:sz w:val="20"/>
          <w:szCs w:val="20"/>
          <w:lang w:val="en-GB"/>
        </w:rPr>
        <w:t xml:space="preserve">the </w:t>
      </w:r>
      <w:r w:rsidR="008E1FDA" w:rsidRPr="003612D4">
        <w:rPr>
          <w:rFonts w:ascii="Times New Roman" w:hAnsi="Times New Roman" w:cs="Times New Roman"/>
          <w:sz w:val="20"/>
          <w:szCs w:val="20"/>
          <w:lang w:val="en-GB"/>
        </w:rPr>
        <w:t>B2B</w:t>
      </w:r>
      <w:r w:rsidR="008E1FDA">
        <w:rPr>
          <w:rFonts w:ascii="Times New Roman" w:hAnsi="Times New Roman" w:cs="Times New Roman"/>
          <w:sz w:val="20"/>
          <w:szCs w:val="20"/>
          <w:lang w:val="en-GB"/>
        </w:rPr>
        <w:t xml:space="preserve"> setting </w:t>
      </w:r>
      <w:r>
        <w:rPr>
          <w:rFonts w:ascii="Times New Roman" w:hAnsi="Times New Roman" w:cs="Times New Roman"/>
          <w:sz w:val="20"/>
          <w:szCs w:val="20"/>
          <w:lang w:val="en-GB"/>
        </w:rPr>
        <w:t>(</w:t>
      </w:r>
      <w:r w:rsidR="008E1FDA">
        <w:rPr>
          <w:rFonts w:ascii="Times New Roman" w:hAnsi="Times New Roman" w:cs="Times New Roman"/>
          <w:sz w:val="20"/>
          <w:szCs w:val="20"/>
          <w:lang w:val="en-GB"/>
        </w:rPr>
        <w:t xml:space="preserve">each cluster </w:t>
      </w:r>
      <w:r w:rsidR="00CC3166">
        <w:rPr>
          <w:rFonts w:ascii="Times New Roman" w:hAnsi="Times New Roman" w:cs="Times New Roman"/>
          <w:sz w:val="20"/>
          <w:szCs w:val="20"/>
          <w:lang w:val="en-GB"/>
        </w:rPr>
        <w:t xml:space="preserve">in the Figure </w:t>
      </w:r>
      <w:r w:rsidR="00EC2388">
        <w:rPr>
          <w:rFonts w:ascii="Times New Roman" w:hAnsi="Times New Roman" w:cs="Times New Roman"/>
          <w:sz w:val="20"/>
          <w:szCs w:val="20"/>
          <w:lang w:val="en-GB"/>
        </w:rPr>
        <w:t>includes</w:t>
      </w:r>
      <w:r w:rsidR="008E1FDA">
        <w:rPr>
          <w:rFonts w:ascii="Times New Roman" w:hAnsi="Times New Roman" w:cs="Times New Roman"/>
          <w:sz w:val="20"/>
          <w:szCs w:val="20"/>
          <w:lang w:val="en-GB"/>
        </w:rPr>
        <w:t xml:space="preserve"> </w:t>
      </w:r>
      <w:r w:rsidR="00AB2AD6">
        <w:rPr>
          <w:rFonts w:ascii="Times New Roman" w:hAnsi="Times New Roman" w:cs="Times New Roman"/>
          <w:sz w:val="20"/>
          <w:szCs w:val="20"/>
          <w:lang w:val="en-GB"/>
        </w:rPr>
        <w:t xml:space="preserve">both </w:t>
      </w:r>
      <w:r w:rsidR="00F4648D">
        <w:rPr>
          <w:rFonts w:ascii="Times New Roman" w:hAnsi="Times New Roman" w:cs="Times New Roman"/>
          <w:sz w:val="20"/>
          <w:szCs w:val="20"/>
          <w:lang w:val="en-GB"/>
        </w:rPr>
        <w:t xml:space="preserve">the </w:t>
      </w:r>
      <w:r>
        <w:rPr>
          <w:rFonts w:ascii="Times New Roman" w:hAnsi="Times New Roman" w:cs="Times New Roman"/>
          <w:sz w:val="20"/>
          <w:szCs w:val="20"/>
          <w:lang w:val="en-GB"/>
        </w:rPr>
        <w:t>related managerial practice</w:t>
      </w:r>
      <w:r w:rsidR="00CF10E5">
        <w:rPr>
          <w:rFonts w:ascii="Times New Roman" w:hAnsi="Times New Roman" w:cs="Times New Roman"/>
          <w:sz w:val="20"/>
          <w:szCs w:val="20"/>
          <w:lang w:val="en-GB"/>
        </w:rPr>
        <w:t>(s)</w:t>
      </w:r>
      <w:r w:rsidR="00F4648D">
        <w:rPr>
          <w:rFonts w:ascii="Times New Roman" w:hAnsi="Times New Roman" w:cs="Times New Roman"/>
          <w:sz w:val="20"/>
          <w:szCs w:val="20"/>
          <w:lang w:val="en-GB"/>
        </w:rPr>
        <w:t xml:space="preserve"> </w:t>
      </w:r>
      <w:r w:rsidR="00EC2388">
        <w:rPr>
          <w:rFonts w:ascii="Times New Roman" w:hAnsi="Times New Roman" w:cs="Times New Roman"/>
          <w:sz w:val="20"/>
          <w:szCs w:val="20"/>
          <w:lang w:val="en-GB"/>
        </w:rPr>
        <w:t>(</w:t>
      </w:r>
      <w:r w:rsidR="004852A5">
        <w:rPr>
          <w:rFonts w:ascii="Times New Roman" w:hAnsi="Times New Roman" w:cs="Times New Roman"/>
          <w:sz w:val="20"/>
          <w:szCs w:val="20"/>
          <w:lang w:val="en-GB"/>
        </w:rPr>
        <w:t>within</w:t>
      </w:r>
      <w:r>
        <w:rPr>
          <w:rFonts w:ascii="Times New Roman" w:hAnsi="Times New Roman" w:cs="Times New Roman"/>
          <w:sz w:val="20"/>
          <w:szCs w:val="20"/>
          <w:lang w:val="en-GB"/>
        </w:rPr>
        <w:t xml:space="preserve"> brackets</w:t>
      </w:r>
      <w:r w:rsidR="00EC2388">
        <w:rPr>
          <w:rFonts w:ascii="Times New Roman" w:hAnsi="Times New Roman" w:cs="Times New Roman"/>
          <w:sz w:val="20"/>
          <w:szCs w:val="20"/>
          <w:lang w:val="en-GB"/>
        </w:rPr>
        <w:t>) and</w:t>
      </w:r>
      <w:r w:rsidR="008E1FDA">
        <w:rPr>
          <w:rFonts w:ascii="Times New Roman" w:hAnsi="Times New Roman" w:cs="Times New Roman"/>
          <w:sz w:val="20"/>
          <w:szCs w:val="20"/>
          <w:lang w:val="en-GB"/>
        </w:rPr>
        <w:t xml:space="preserve"> the number </w:t>
      </w:r>
      <w:r w:rsidR="004852A5">
        <w:rPr>
          <w:rFonts w:ascii="Times New Roman" w:hAnsi="Times New Roman" w:cs="Times New Roman"/>
          <w:sz w:val="20"/>
          <w:szCs w:val="20"/>
          <w:lang w:val="en-GB"/>
        </w:rPr>
        <w:t xml:space="preserve">“n” </w:t>
      </w:r>
      <w:r w:rsidR="008E1FDA">
        <w:rPr>
          <w:rFonts w:ascii="Times New Roman" w:hAnsi="Times New Roman" w:cs="Times New Roman"/>
          <w:sz w:val="20"/>
          <w:szCs w:val="20"/>
          <w:lang w:val="en-GB"/>
        </w:rPr>
        <w:t xml:space="preserve">of the sampled MSPs </w:t>
      </w:r>
      <w:r w:rsidR="00DD578C">
        <w:rPr>
          <w:rFonts w:ascii="Times New Roman" w:hAnsi="Times New Roman" w:cs="Times New Roman"/>
          <w:sz w:val="20"/>
          <w:szCs w:val="20"/>
          <w:lang w:val="en-GB"/>
        </w:rPr>
        <w:t>that belongs to it</w:t>
      </w:r>
      <w:r w:rsidR="008E1FDA">
        <w:rPr>
          <w:rFonts w:ascii="Times New Roman" w:hAnsi="Times New Roman" w:cs="Times New Roman"/>
          <w:sz w:val="20"/>
          <w:szCs w:val="20"/>
          <w:lang w:val="en-GB"/>
        </w:rPr>
        <w:t>)</w:t>
      </w:r>
      <w:r w:rsidR="00EC2388">
        <w:rPr>
          <w:rFonts w:ascii="Times New Roman" w:hAnsi="Times New Roman" w:cs="Times New Roman"/>
          <w:sz w:val="20"/>
          <w:szCs w:val="20"/>
          <w:lang w:val="en-GB"/>
        </w:rPr>
        <w:t>.</w:t>
      </w:r>
    </w:p>
    <w:p w14:paraId="50EDA6A8" w14:textId="26017D70" w:rsidR="007C69D2" w:rsidRDefault="00000000" w:rsidP="000F5B44">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i/>
          <w:iCs/>
          <w:sz w:val="24"/>
          <w:szCs w:val="24"/>
          <w:lang w:val="en-GB"/>
        </w:rPr>
        <w:t xml:space="preserve">Limited Scrapping </w:t>
      </w:r>
      <w:r w:rsidRPr="75A96201">
        <w:rPr>
          <w:rFonts w:ascii="Times New Roman" w:hAnsi="Times New Roman" w:cs="Times New Roman"/>
          <w:sz w:val="24"/>
          <w:szCs w:val="24"/>
          <w:lang w:val="en-GB"/>
        </w:rPr>
        <w:t>platforms include MSPs enabl</w:t>
      </w:r>
      <w:r w:rsidR="009E78E5">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the exchange of resources among companies belonging to the supply chain </w:t>
      </w:r>
      <w:r w:rsidR="008E1FDA">
        <w:rPr>
          <w:rFonts w:ascii="Times New Roman" w:hAnsi="Times New Roman" w:cs="Times New Roman"/>
          <w:sz w:val="24"/>
          <w:szCs w:val="24"/>
          <w:lang w:val="en-GB"/>
        </w:rPr>
        <w:t>in</w:t>
      </w:r>
      <w:r w:rsidR="008E1FDA" w:rsidRPr="00531EE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which a resource was originally addressed </w:t>
      </w:r>
      <w:r w:rsidR="00285A8D">
        <w:rPr>
          <w:rFonts w:ascii="Times New Roman" w:hAnsi="Times New Roman" w:cs="Times New Roman"/>
          <w:sz w:val="24"/>
          <w:szCs w:val="24"/>
          <w:lang w:val="en-GB"/>
        </w:rPr>
        <w:t>to</w:t>
      </w:r>
      <w:r w:rsidRPr="75A96201">
        <w:rPr>
          <w:rFonts w:ascii="Times New Roman" w:hAnsi="Times New Roman" w:cs="Times New Roman"/>
          <w:sz w:val="24"/>
          <w:szCs w:val="24"/>
          <w:lang w:val="en-GB"/>
        </w:rPr>
        <w:t>, with the aim to fulfil the closing CSC strategy.</w:t>
      </w:r>
      <w:r w:rsidRPr="75A96201">
        <w:rPr>
          <w:rFonts w:ascii="Times New Roman" w:hAnsi="Times New Roman" w:cs="Times New Roman"/>
          <w:i/>
          <w:iCs/>
          <w:sz w:val="24"/>
          <w:szCs w:val="24"/>
          <w:lang w:val="en-GB"/>
        </w:rPr>
        <w:t xml:space="preserve"> Enhanced Scrapping </w:t>
      </w:r>
      <w:r w:rsidRPr="75A96201">
        <w:rPr>
          <w:rFonts w:ascii="Times New Roman" w:hAnsi="Times New Roman" w:cs="Times New Roman"/>
          <w:sz w:val="24"/>
          <w:szCs w:val="24"/>
          <w:lang w:val="en-GB"/>
        </w:rPr>
        <w:t>platforms include MSPs enabl</w:t>
      </w:r>
      <w:r w:rsidR="009E78E5">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the exchange of resources among companies belonging to the supply chain </w:t>
      </w:r>
      <w:r w:rsidR="008E1FDA">
        <w:rPr>
          <w:rFonts w:ascii="Times New Roman" w:hAnsi="Times New Roman" w:cs="Times New Roman"/>
          <w:sz w:val="24"/>
          <w:szCs w:val="24"/>
          <w:lang w:val="en-GB"/>
        </w:rPr>
        <w:t>in</w:t>
      </w:r>
      <w:r w:rsidR="008E1FD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which a resource was originally addressed to or to different supply chains, with the aim to fulfil the closing CSC strategy. </w:t>
      </w:r>
      <w:r w:rsidRPr="75A96201">
        <w:rPr>
          <w:rFonts w:ascii="Times New Roman" w:hAnsi="Times New Roman" w:cs="Times New Roman"/>
          <w:i/>
          <w:iCs/>
          <w:sz w:val="24"/>
          <w:szCs w:val="24"/>
          <w:lang w:val="en-GB"/>
        </w:rPr>
        <w:t xml:space="preserve">Stretching </w:t>
      </w:r>
      <w:r w:rsidRPr="75A96201">
        <w:rPr>
          <w:rFonts w:ascii="Times New Roman" w:hAnsi="Times New Roman" w:cs="Times New Roman"/>
          <w:sz w:val="24"/>
          <w:szCs w:val="24"/>
          <w:lang w:val="en-GB"/>
        </w:rPr>
        <w:t xml:space="preserve">platforms include MSPs </w:t>
      </w:r>
      <w:r w:rsidR="009E78E5" w:rsidRPr="75A96201">
        <w:rPr>
          <w:rFonts w:ascii="Times New Roman" w:hAnsi="Times New Roman" w:cs="Times New Roman"/>
          <w:sz w:val="24"/>
          <w:szCs w:val="24"/>
          <w:lang w:val="en-GB"/>
        </w:rPr>
        <w:t>enabl</w:t>
      </w:r>
      <w:r w:rsidR="009E78E5">
        <w:rPr>
          <w:rFonts w:ascii="Times New Roman" w:hAnsi="Times New Roman" w:cs="Times New Roman"/>
          <w:sz w:val="24"/>
          <w:szCs w:val="24"/>
          <w:lang w:val="en-GB"/>
        </w:rPr>
        <w:t>ing</w:t>
      </w:r>
      <w:r w:rsidR="009E78E5"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the exchange of resources among companies belonging to the supply chain </w:t>
      </w:r>
      <w:r w:rsidR="008E1FDA">
        <w:rPr>
          <w:rFonts w:ascii="Times New Roman" w:hAnsi="Times New Roman" w:cs="Times New Roman"/>
          <w:sz w:val="24"/>
          <w:szCs w:val="24"/>
          <w:lang w:val="en-GB"/>
        </w:rPr>
        <w:t>in</w:t>
      </w:r>
      <w:r w:rsidR="008E1FDA" w:rsidRPr="00531EE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which a resource was originally addressed to or to different supply chains, with the aim to fulfil the slowing CSC strategy.</w:t>
      </w:r>
      <w:r w:rsidRPr="75A96201">
        <w:rPr>
          <w:rFonts w:ascii="Times New Roman" w:hAnsi="Times New Roman" w:cs="Times New Roman"/>
          <w:i/>
          <w:iCs/>
          <w:sz w:val="24"/>
          <w:szCs w:val="24"/>
          <w:lang w:val="en-GB"/>
        </w:rPr>
        <w:t xml:space="preserve"> Switching </w:t>
      </w:r>
      <w:r w:rsidRPr="75A96201">
        <w:rPr>
          <w:rFonts w:ascii="Times New Roman" w:hAnsi="Times New Roman" w:cs="Times New Roman"/>
          <w:sz w:val="24"/>
          <w:szCs w:val="24"/>
          <w:lang w:val="en-GB"/>
        </w:rPr>
        <w:t xml:space="preserve">platforms include MSPs </w:t>
      </w:r>
      <w:r w:rsidR="009E78E5" w:rsidRPr="75A96201">
        <w:rPr>
          <w:rFonts w:ascii="Times New Roman" w:hAnsi="Times New Roman" w:cs="Times New Roman"/>
          <w:sz w:val="24"/>
          <w:szCs w:val="24"/>
          <w:lang w:val="en-GB"/>
        </w:rPr>
        <w:t>enabl</w:t>
      </w:r>
      <w:r w:rsidR="009E78E5">
        <w:rPr>
          <w:rFonts w:ascii="Times New Roman" w:hAnsi="Times New Roman" w:cs="Times New Roman"/>
          <w:sz w:val="24"/>
          <w:szCs w:val="24"/>
          <w:lang w:val="en-GB"/>
        </w:rPr>
        <w:t>ing</w:t>
      </w:r>
      <w:r w:rsidR="009E78E5"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the exchange of resources among companies belonging to different supply chains with the aim to fulfil the slowing CSC strategy. </w:t>
      </w:r>
      <w:r w:rsidRPr="75A96201">
        <w:rPr>
          <w:rFonts w:ascii="Times New Roman" w:hAnsi="Times New Roman" w:cs="Times New Roman"/>
          <w:i/>
          <w:iCs/>
          <w:sz w:val="24"/>
          <w:szCs w:val="24"/>
          <w:lang w:val="en-GB"/>
        </w:rPr>
        <w:t xml:space="preserve">Specialized Swapping </w:t>
      </w:r>
      <w:r w:rsidRPr="75A96201">
        <w:rPr>
          <w:rFonts w:ascii="Times New Roman" w:hAnsi="Times New Roman" w:cs="Times New Roman"/>
          <w:sz w:val="24"/>
          <w:szCs w:val="24"/>
          <w:lang w:val="en-GB"/>
        </w:rPr>
        <w:t xml:space="preserve">platforms include MSPs </w:t>
      </w:r>
      <w:r w:rsidR="009E78E5" w:rsidRPr="75A96201">
        <w:rPr>
          <w:rFonts w:ascii="Times New Roman" w:hAnsi="Times New Roman" w:cs="Times New Roman"/>
          <w:sz w:val="24"/>
          <w:szCs w:val="24"/>
          <w:lang w:val="en-GB"/>
        </w:rPr>
        <w:t>enabl</w:t>
      </w:r>
      <w:r w:rsidR="009E78E5">
        <w:rPr>
          <w:rFonts w:ascii="Times New Roman" w:hAnsi="Times New Roman" w:cs="Times New Roman"/>
          <w:sz w:val="24"/>
          <w:szCs w:val="24"/>
          <w:lang w:val="en-GB"/>
        </w:rPr>
        <w:t>ing</w:t>
      </w:r>
      <w:r w:rsidR="009E78E5"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the exchange of resources among companies belonging to the supply chain </w:t>
      </w:r>
      <w:r w:rsidR="008E1FDA">
        <w:rPr>
          <w:rFonts w:ascii="Times New Roman" w:hAnsi="Times New Roman" w:cs="Times New Roman"/>
          <w:sz w:val="24"/>
          <w:szCs w:val="24"/>
          <w:lang w:val="en-GB"/>
        </w:rPr>
        <w:t>in</w:t>
      </w:r>
      <w:r w:rsidR="008E1FD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which a resource was originally addressed to, with the aim to fulfil the narrowing CSC strategy. Finally, </w:t>
      </w:r>
      <w:r w:rsidRPr="75A96201">
        <w:rPr>
          <w:rFonts w:ascii="Times New Roman" w:hAnsi="Times New Roman" w:cs="Times New Roman"/>
          <w:i/>
          <w:iCs/>
          <w:sz w:val="24"/>
          <w:szCs w:val="24"/>
          <w:lang w:val="en-GB"/>
        </w:rPr>
        <w:t xml:space="preserve">Generic Swapping </w:t>
      </w:r>
      <w:r w:rsidRPr="75A96201">
        <w:rPr>
          <w:rFonts w:ascii="Times New Roman" w:hAnsi="Times New Roman" w:cs="Times New Roman"/>
          <w:sz w:val="24"/>
          <w:szCs w:val="24"/>
          <w:lang w:val="en-GB"/>
        </w:rPr>
        <w:t xml:space="preserve">platforms include MSPs </w:t>
      </w:r>
      <w:r w:rsidR="009E78E5" w:rsidRPr="75A96201">
        <w:rPr>
          <w:rFonts w:ascii="Times New Roman" w:hAnsi="Times New Roman" w:cs="Times New Roman"/>
          <w:sz w:val="24"/>
          <w:szCs w:val="24"/>
          <w:lang w:val="en-GB"/>
        </w:rPr>
        <w:lastRenderedPageBreak/>
        <w:t>enabl</w:t>
      </w:r>
      <w:r w:rsidR="009E78E5">
        <w:rPr>
          <w:rFonts w:ascii="Times New Roman" w:hAnsi="Times New Roman" w:cs="Times New Roman"/>
          <w:sz w:val="24"/>
          <w:szCs w:val="24"/>
          <w:lang w:val="en-GB"/>
        </w:rPr>
        <w:t>ing</w:t>
      </w:r>
      <w:r w:rsidR="009E78E5"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the exchange of resources among companies belonging to the supply chain </w:t>
      </w:r>
      <w:r w:rsidR="008E1FDA">
        <w:rPr>
          <w:rFonts w:ascii="Times New Roman" w:hAnsi="Times New Roman" w:cs="Times New Roman"/>
          <w:sz w:val="24"/>
          <w:szCs w:val="24"/>
          <w:lang w:val="en-GB"/>
        </w:rPr>
        <w:t>in</w:t>
      </w:r>
      <w:r w:rsidR="008E1FD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which a resource was originally addressed to or to different supply chains</w:t>
      </w:r>
      <w:r w:rsidR="00285A8D">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with the aim to fulfil the narrowing CSC strategy</w:t>
      </w:r>
      <w:r w:rsidR="007C69D2">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Interestingly, each cluster of MSPs enabl</w:t>
      </w:r>
      <w:r w:rsidR="0013600C">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CSCs in </w:t>
      </w:r>
      <w:r w:rsidR="008E1FDA">
        <w:rPr>
          <w:rFonts w:ascii="Times New Roman" w:hAnsi="Times New Roman" w:cs="Times New Roman"/>
          <w:sz w:val="24"/>
          <w:szCs w:val="24"/>
          <w:lang w:val="en-GB"/>
        </w:rPr>
        <w:t>the</w:t>
      </w:r>
      <w:r w:rsidR="008E1FD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is characterized by specific </w:t>
      </w:r>
      <w:r w:rsidR="008E1FDA">
        <w:rPr>
          <w:rFonts w:ascii="Times New Roman" w:hAnsi="Times New Roman" w:cs="Times New Roman"/>
          <w:sz w:val="24"/>
          <w:szCs w:val="24"/>
          <w:lang w:val="en-GB"/>
        </w:rPr>
        <w:t>managerial</w:t>
      </w:r>
      <w:r w:rsidR="008E1FD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practices it can facilitate to fulfil the related CSC strategy, as shown in Figure 2. </w:t>
      </w:r>
    </w:p>
    <w:p w14:paraId="33441A02" w14:textId="0D481CD8" w:rsidR="007C69D2" w:rsidRDefault="00000000" w:rsidP="007C69D2">
      <w:pPr>
        <w:spacing w:after="0" w:line="360" w:lineRule="auto"/>
        <w:ind w:firstLine="284"/>
        <w:jc w:val="both"/>
        <w:rPr>
          <w:rFonts w:ascii="Times New Roman" w:hAnsi="Times New Roman" w:cs="Times New Roman"/>
          <w:sz w:val="24"/>
          <w:szCs w:val="24"/>
          <w:lang w:val="en-US"/>
        </w:rPr>
      </w:pPr>
      <w:r w:rsidRPr="75A96201">
        <w:rPr>
          <w:rFonts w:ascii="Times New Roman" w:hAnsi="Times New Roman" w:cs="Times New Roman"/>
          <w:i/>
          <w:iCs/>
          <w:sz w:val="24"/>
          <w:szCs w:val="24"/>
          <w:lang w:val="en-GB"/>
        </w:rPr>
        <w:t xml:space="preserve">Limited Scrapping </w:t>
      </w:r>
      <w:r w:rsidRPr="75A96201">
        <w:rPr>
          <w:rFonts w:ascii="Times New Roman" w:hAnsi="Times New Roman" w:cs="Times New Roman"/>
          <w:sz w:val="24"/>
          <w:szCs w:val="24"/>
          <w:lang w:val="en-GB"/>
        </w:rPr>
        <w:t>and</w:t>
      </w:r>
      <w:r w:rsidRPr="75A96201">
        <w:rPr>
          <w:rFonts w:ascii="Times New Roman" w:hAnsi="Times New Roman" w:cs="Times New Roman"/>
          <w:i/>
          <w:iCs/>
          <w:sz w:val="24"/>
          <w:szCs w:val="24"/>
          <w:lang w:val="en-GB"/>
        </w:rPr>
        <w:t xml:space="preserve"> Enhanced Scrapping </w:t>
      </w:r>
      <w:r w:rsidRPr="75A96201">
        <w:rPr>
          <w:rFonts w:ascii="Times New Roman" w:hAnsi="Times New Roman" w:cs="Times New Roman"/>
          <w:sz w:val="24"/>
          <w:szCs w:val="24"/>
          <w:lang w:val="en-GB"/>
        </w:rPr>
        <w:t xml:space="preserve">platforms especially support the </w:t>
      </w:r>
      <w:r w:rsidR="00C27D54" w:rsidRPr="75A96201">
        <w:rPr>
          <w:rFonts w:ascii="Times New Roman" w:hAnsi="Times New Roman" w:cs="Times New Roman"/>
          <w:sz w:val="24"/>
          <w:szCs w:val="24"/>
          <w:lang w:val="en-GB"/>
        </w:rPr>
        <w:t>recyc</w:t>
      </w:r>
      <w:r w:rsidR="00C27D54">
        <w:rPr>
          <w:rFonts w:ascii="Times New Roman" w:hAnsi="Times New Roman" w:cs="Times New Roman"/>
          <w:sz w:val="24"/>
          <w:szCs w:val="24"/>
          <w:lang w:val="en-GB"/>
        </w:rPr>
        <w:t>le</w:t>
      </w:r>
      <w:r w:rsidR="00C27D5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of resources (e.g., products) that have completely exhausted their intrinsic economic value and, thus, require interventions to be reintroduced in the economic cycle as secondary raw materials (i.e., the output of the recycling process)</w:t>
      </w:r>
      <w:r w:rsidRPr="75A96201">
        <w:rPr>
          <w:rFonts w:ascii="Times New Roman" w:hAnsi="Times New Roman" w:cs="Times New Roman"/>
          <w:sz w:val="24"/>
          <w:szCs w:val="24"/>
          <w:lang w:val="en-US"/>
        </w:rPr>
        <w:t>.</w:t>
      </w:r>
      <w:r w:rsidRPr="75A96201">
        <w:rPr>
          <w:rFonts w:ascii="Times New Roman" w:hAnsi="Times New Roman" w:cs="Times New Roman"/>
          <w:sz w:val="24"/>
          <w:szCs w:val="24"/>
          <w:lang w:val="en-GB"/>
        </w:rPr>
        <w:t xml:space="preserve"> The difference between the two clusters lies in the </w:t>
      </w:r>
      <w:r w:rsidR="00730FA4">
        <w:rPr>
          <w:rFonts w:ascii="Times New Roman" w:hAnsi="Times New Roman" w:cs="Times New Roman"/>
          <w:sz w:val="24"/>
          <w:szCs w:val="24"/>
          <w:lang w:val="en-GB"/>
        </w:rPr>
        <w:t>actors</w:t>
      </w:r>
      <w:r w:rsidR="00730FA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involved around the platforms. The former enables the </w:t>
      </w:r>
      <w:r w:rsidR="00C27D54" w:rsidRPr="75A96201">
        <w:rPr>
          <w:rFonts w:ascii="Times New Roman" w:hAnsi="Times New Roman" w:cs="Times New Roman"/>
          <w:sz w:val="24"/>
          <w:szCs w:val="24"/>
          <w:lang w:val="en-GB"/>
        </w:rPr>
        <w:t>recycl</w:t>
      </w:r>
      <w:r w:rsidR="00C27D54">
        <w:rPr>
          <w:rFonts w:ascii="Times New Roman" w:hAnsi="Times New Roman" w:cs="Times New Roman"/>
          <w:sz w:val="24"/>
          <w:szCs w:val="24"/>
          <w:lang w:val="en-GB"/>
        </w:rPr>
        <w:t>e</w:t>
      </w:r>
      <w:r w:rsidR="00C27D5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of resources by favouring the interaction between </w:t>
      </w:r>
      <w:r w:rsidR="0013600C">
        <w:rPr>
          <w:rFonts w:ascii="Times New Roman" w:hAnsi="Times New Roman" w:cs="Times New Roman"/>
          <w:sz w:val="24"/>
          <w:szCs w:val="24"/>
          <w:lang w:val="en-GB"/>
        </w:rPr>
        <w:t>actors</w:t>
      </w:r>
      <w:r w:rsidR="0013600C"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belonging to the supply chain </w:t>
      </w:r>
      <w:r w:rsidR="0013600C">
        <w:rPr>
          <w:rFonts w:ascii="Times New Roman" w:hAnsi="Times New Roman" w:cs="Times New Roman"/>
          <w:sz w:val="24"/>
          <w:szCs w:val="24"/>
          <w:lang w:val="en-GB"/>
        </w:rPr>
        <w:t>in</w:t>
      </w:r>
      <w:r w:rsidR="0013600C" w:rsidRPr="00282DE6">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which a resource was originally addressed to (i.e., companies generating wastes and recyclers). In this case, </w:t>
      </w:r>
      <w:r w:rsidR="0013600C">
        <w:rPr>
          <w:rFonts w:ascii="Times New Roman" w:hAnsi="Times New Roman" w:cs="Times New Roman"/>
          <w:sz w:val="24"/>
          <w:szCs w:val="24"/>
          <w:lang w:val="en-GB"/>
        </w:rPr>
        <w:t>actors</w:t>
      </w:r>
      <w:r w:rsidR="0013600C"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dealing with the subsequent exploitation of secondary raw materials are not involved around the platform. </w:t>
      </w:r>
      <w:r w:rsidR="00C27D54">
        <w:rPr>
          <w:rFonts w:ascii="Times New Roman" w:hAnsi="Times New Roman" w:cs="Times New Roman"/>
          <w:sz w:val="24"/>
          <w:szCs w:val="24"/>
          <w:lang w:val="en-GB"/>
        </w:rPr>
        <w:t>For example,</w:t>
      </w:r>
      <w:r w:rsidRPr="75A96201">
        <w:rPr>
          <w:rFonts w:ascii="Times New Roman" w:hAnsi="Times New Roman" w:cs="Times New Roman"/>
          <w:sz w:val="24"/>
          <w:szCs w:val="24"/>
          <w:lang w:val="en-GB"/>
        </w:rPr>
        <w:t xml:space="preserve"> </w:t>
      </w:r>
      <w:proofErr w:type="spellStart"/>
      <w:r w:rsidRPr="75A96201">
        <w:rPr>
          <w:rFonts w:ascii="Times New Roman" w:hAnsi="Times New Roman" w:cs="Times New Roman"/>
          <w:sz w:val="24"/>
          <w:szCs w:val="24"/>
          <w:lang w:val="en-GB"/>
        </w:rPr>
        <w:t>Angowaste</w:t>
      </w:r>
      <w:proofErr w:type="spellEnd"/>
      <w:r w:rsidRPr="75A96201">
        <w:rPr>
          <w:rFonts w:ascii="Times New Roman" w:hAnsi="Times New Roman" w:cs="Times New Roman"/>
          <w:sz w:val="24"/>
          <w:szCs w:val="24"/>
          <w:lang w:val="en-GB"/>
        </w:rPr>
        <w:t xml:space="preserve"> and </w:t>
      </w:r>
      <w:proofErr w:type="spellStart"/>
      <w:r w:rsidRPr="75A96201">
        <w:rPr>
          <w:rFonts w:ascii="Times New Roman" w:hAnsi="Times New Roman" w:cs="Times New Roman"/>
          <w:sz w:val="24"/>
          <w:szCs w:val="24"/>
          <w:lang w:val="en-GB"/>
        </w:rPr>
        <w:t>Seginus</w:t>
      </w:r>
      <w:proofErr w:type="spellEnd"/>
      <w:r w:rsidRPr="75A96201">
        <w:rPr>
          <w:rFonts w:ascii="Times New Roman" w:hAnsi="Times New Roman" w:cs="Times New Roman"/>
          <w:sz w:val="24"/>
          <w:szCs w:val="24"/>
          <w:lang w:val="en-GB"/>
        </w:rPr>
        <w:t xml:space="preserve"> connect the owners of wastes (i.e., segregated wastes and tires, respectively) with recyclers. The latter enables the </w:t>
      </w:r>
      <w:r w:rsidR="00C27D54" w:rsidRPr="75A96201">
        <w:rPr>
          <w:rFonts w:ascii="Times New Roman" w:hAnsi="Times New Roman" w:cs="Times New Roman"/>
          <w:sz w:val="24"/>
          <w:szCs w:val="24"/>
          <w:lang w:val="en-GB"/>
        </w:rPr>
        <w:t>recycl</w:t>
      </w:r>
      <w:r w:rsidR="00C27D54">
        <w:rPr>
          <w:rFonts w:ascii="Times New Roman" w:hAnsi="Times New Roman" w:cs="Times New Roman"/>
          <w:sz w:val="24"/>
          <w:szCs w:val="24"/>
          <w:lang w:val="en-GB"/>
        </w:rPr>
        <w:t>e</w:t>
      </w:r>
      <w:r w:rsidR="00C27D5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of resources by favouring the interaction between </w:t>
      </w:r>
      <w:r w:rsidR="0013600C">
        <w:rPr>
          <w:rFonts w:ascii="Times New Roman" w:hAnsi="Times New Roman" w:cs="Times New Roman"/>
          <w:sz w:val="24"/>
          <w:szCs w:val="24"/>
          <w:lang w:val="en-GB"/>
        </w:rPr>
        <w:t>actors</w:t>
      </w:r>
      <w:r w:rsidR="0013600C"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belonging to the supply chain </w:t>
      </w:r>
      <w:r w:rsidR="0013600C">
        <w:rPr>
          <w:rFonts w:ascii="Times New Roman" w:hAnsi="Times New Roman" w:cs="Times New Roman"/>
          <w:sz w:val="24"/>
          <w:szCs w:val="24"/>
          <w:lang w:val="en-GB"/>
        </w:rPr>
        <w:t>in</w:t>
      </w:r>
      <w:r w:rsidR="0013600C" w:rsidRPr="00282DE6">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which a resource was originally addressed to or to different supply chains. In this case, </w:t>
      </w:r>
      <w:r w:rsidR="0013600C">
        <w:rPr>
          <w:rFonts w:ascii="Times New Roman" w:hAnsi="Times New Roman" w:cs="Times New Roman"/>
          <w:sz w:val="24"/>
          <w:szCs w:val="24"/>
          <w:lang w:val="en-GB"/>
        </w:rPr>
        <w:t>actors</w:t>
      </w:r>
      <w:r w:rsidR="0013600C"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generating waste and recyclers are involved, along with </w:t>
      </w:r>
      <w:r w:rsidR="0013600C">
        <w:rPr>
          <w:rFonts w:ascii="Times New Roman" w:hAnsi="Times New Roman" w:cs="Times New Roman"/>
          <w:sz w:val="24"/>
          <w:szCs w:val="24"/>
          <w:lang w:val="en-GB"/>
        </w:rPr>
        <w:t>actors</w:t>
      </w:r>
      <w:r w:rsidR="0013600C"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exploiting the secondary raw materials coming from recycling process. </w:t>
      </w:r>
      <w:r w:rsidR="00C27D54">
        <w:rPr>
          <w:rFonts w:ascii="Times New Roman" w:hAnsi="Times New Roman" w:cs="Times New Roman"/>
          <w:sz w:val="24"/>
          <w:szCs w:val="24"/>
          <w:lang w:val="en-US"/>
        </w:rPr>
        <w:t>For example,</w:t>
      </w:r>
      <w:r w:rsidR="00CD3F3A" w:rsidRPr="75A96201">
        <w:rPr>
          <w:rFonts w:ascii="Times New Roman" w:hAnsi="Times New Roman" w:cs="Times New Roman"/>
          <w:sz w:val="24"/>
          <w:szCs w:val="24"/>
          <w:lang w:val="en-US"/>
        </w:rPr>
        <w:t xml:space="preserve"> </w:t>
      </w:r>
      <w:proofErr w:type="spellStart"/>
      <w:r w:rsidRPr="75A96201">
        <w:rPr>
          <w:rFonts w:ascii="Times New Roman" w:hAnsi="Times New Roman" w:cs="Times New Roman"/>
          <w:sz w:val="24"/>
          <w:szCs w:val="24"/>
          <w:lang w:val="en-US"/>
        </w:rPr>
        <w:t>Kudoti</w:t>
      </w:r>
      <w:proofErr w:type="spellEnd"/>
      <w:r w:rsidRPr="75A96201">
        <w:rPr>
          <w:rFonts w:ascii="Times New Roman" w:hAnsi="Times New Roman" w:cs="Times New Roman"/>
          <w:sz w:val="24"/>
          <w:szCs w:val="24"/>
          <w:lang w:val="en-US"/>
        </w:rPr>
        <w:t xml:space="preserve"> works across supply chains to ensure the continuous flow of materials. </w:t>
      </w:r>
    </w:p>
    <w:p w14:paraId="032018B6" w14:textId="620FA1AC" w:rsidR="007C69D2" w:rsidRDefault="00000000" w:rsidP="007C69D2">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i/>
          <w:iCs/>
          <w:sz w:val="24"/>
          <w:szCs w:val="24"/>
          <w:lang w:val="en-GB"/>
        </w:rPr>
        <w:t xml:space="preserve">Stretching </w:t>
      </w:r>
      <w:r w:rsidRPr="75A96201">
        <w:rPr>
          <w:rFonts w:ascii="Times New Roman" w:hAnsi="Times New Roman" w:cs="Times New Roman"/>
          <w:sz w:val="24"/>
          <w:szCs w:val="24"/>
          <w:lang w:val="en-GB"/>
        </w:rPr>
        <w:t>platforms especially support the repair, refurbish, and remanufacture of resources that still have an intrinsic economic value, which can be further exploited either in the supply chain in which the resources were originally addressed</w:t>
      </w:r>
      <w:r w:rsidR="00497018">
        <w:rPr>
          <w:rFonts w:ascii="Times New Roman" w:hAnsi="Times New Roman" w:cs="Times New Roman"/>
          <w:sz w:val="24"/>
          <w:szCs w:val="24"/>
          <w:lang w:val="en-GB"/>
        </w:rPr>
        <w:t xml:space="preserve"> to</w:t>
      </w:r>
      <w:r w:rsidRPr="75A96201">
        <w:rPr>
          <w:rFonts w:ascii="Times New Roman" w:hAnsi="Times New Roman" w:cs="Times New Roman"/>
          <w:sz w:val="24"/>
          <w:szCs w:val="24"/>
          <w:lang w:val="en-GB"/>
        </w:rPr>
        <w:t xml:space="preserve"> or </w:t>
      </w:r>
      <w:r w:rsidR="007C69D2">
        <w:rPr>
          <w:rFonts w:ascii="Times New Roman" w:hAnsi="Times New Roman" w:cs="Times New Roman"/>
          <w:sz w:val="24"/>
          <w:szCs w:val="24"/>
          <w:lang w:val="en-GB"/>
        </w:rPr>
        <w:t>in</w:t>
      </w:r>
      <w:r w:rsidR="007C69D2" w:rsidRPr="00282DE6">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different supply chains. Such exploitation requires an intervention on the resources to extend their life cycle, while maintaining their original function. </w:t>
      </w:r>
      <w:r w:rsidR="008D51AE">
        <w:rPr>
          <w:rFonts w:ascii="Times New Roman" w:hAnsi="Times New Roman" w:cs="Times New Roman"/>
          <w:sz w:val="24"/>
          <w:szCs w:val="24"/>
          <w:lang w:val="en-US"/>
        </w:rPr>
        <w:t>One of the</w:t>
      </w:r>
      <w:r w:rsidR="008D51AE"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only</w:t>
      </w:r>
      <w:r w:rsidR="008D51AE">
        <w:rPr>
          <w:rFonts w:ascii="Times New Roman" w:hAnsi="Times New Roman" w:cs="Times New Roman"/>
          <w:sz w:val="24"/>
          <w:szCs w:val="24"/>
          <w:lang w:val="en-US"/>
        </w:rPr>
        <w:t xml:space="preserve"> two</w:t>
      </w:r>
      <w:r w:rsidRPr="75A96201">
        <w:rPr>
          <w:rFonts w:ascii="Times New Roman" w:hAnsi="Times New Roman" w:cs="Times New Roman"/>
          <w:sz w:val="24"/>
          <w:szCs w:val="24"/>
          <w:lang w:val="en-US"/>
        </w:rPr>
        <w:t xml:space="preserve"> </w:t>
      </w:r>
      <w:r w:rsidR="007C69D2">
        <w:rPr>
          <w:rFonts w:ascii="Times New Roman" w:hAnsi="Times New Roman" w:cs="Times New Roman"/>
          <w:sz w:val="24"/>
          <w:szCs w:val="24"/>
          <w:lang w:val="en-US"/>
        </w:rPr>
        <w:t>platforms</w:t>
      </w:r>
      <w:r w:rsidR="007C69D2"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 xml:space="preserve">among the </w:t>
      </w:r>
      <w:r w:rsidR="00497018">
        <w:rPr>
          <w:rFonts w:ascii="Times New Roman" w:hAnsi="Times New Roman" w:cs="Times New Roman"/>
          <w:sz w:val="24"/>
          <w:szCs w:val="24"/>
          <w:lang w:val="en-US"/>
        </w:rPr>
        <w:t>identified</w:t>
      </w:r>
      <w:r w:rsidR="00497018" w:rsidRPr="75A96201">
        <w:rPr>
          <w:rFonts w:ascii="Times New Roman" w:hAnsi="Times New Roman" w:cs="Times New Roman"/>
          <w:sz w:val="24"/>
          <w:szCs w:val="24"/>
          <w:lang w:val="en-US"/>
        </w:rPr>
        <w:t xml:space="preserve"> </w:t>
      </w:r>
      <w:r w:rsidR="007C69D2">
        <w:rPr>
          <w:rFonts w:ascii="Times New Roman" w:hAnsi="Times New Roman" w:cs="Times New Roman"/>
          <w:sz w:val="24"/>
          <w:szCs w:val="24"/>
          <w:lang w:val="en-US"/>
        </w:rPr>
        <w:t>ones</w:t>
      </w:r>
      <w:r w:rsidR="007C69D2" w:rsidRPr="75A96201">
        <w:rPr>
          <w:rFonts w:ascii="Times New Roman" w:hAnsi="Times New Roman" w:cs="Times New Roman"/>
          <w:sz w:val="24"/>
          <w:szCs w:val="24"/>
          <w:lang w:val="en-US"/>
        </w:rPr>
        <w:t xml:space="preserve"> </w:t>
      </w:r>
      <w:r w:rsidR="007C69D2">
        <w:rPr>
          <w:rFonts w:ascii="Times New Roman" w:hAnsi="Times New Roman" w:cs="Times New Roman"/>
          <w:sz w:val="24"/>
          <w:szCs w:val="24"/>
          <w:lang w:val="en-US"/>
        </w:rPr>
        <w:t xml:space="preserve">that belongs to this cluster </w:t>
      </w:r>
      <w:r w:rsidRPr="75A96201">
        <w:rPr>
          <w:rFonts w:ascii="Times New Roman" w:hAnsi="Times New Roman" w:cs="Times New Roman"/>
          <w:sz w:val="24"/>
          <w:szCs w:val="24"/>
          <w:lang w:val="en-US"/>
        </w:rPr>
        <w:t xml:space="preserve">refers to </w:t>
      </w:r>
      <w:proofErr w:type="spellStart"/>
      <w:r w:rsidRPr="75A96201">
        <w:rPr>
          <w:rFonts w:ascii="Times New Roman" w:hAnsi="Times New Roman" w:cs="Times New Roman"/>
          <w:sz w:val="24"/>
          <w:szCs w:val="24"/>
          <w:lang w:val="en-US"/>
        </w:rPr>
        <w:t>Fixfirst</w:t>
      </w:r>
      <w:proofErr w:type="spellEnd"/>
      <w:r w:rsidRPr="75A96201">
        <w:rPr>
          <w:rFonts w:ascii="Times New Roman" w:hAnsi="Times New Roman" w:cs="Times New Roman"/>
          <w:sz w:val="24"/>
          <w:szCs w:val="24"/>
          <w:lang w:val="en-US"/>
        </w:rPr>
        <w:t>, which connects service providers, resources’ owners, and potential users (</w:t>
      </w:r>
      <w:r w:rsidR="00730FA4" w:rsidRPr="75A96201">
        <w:rPr>
          <w:rFonts w:ascii="Times New Roman" w:hAnsi="Times New Roman" w:cs="Times New Roman"/>
          <w:sz w:val="24"/>
          <w:szCs w:val="24"/>
          <w:lang w:val="en-US"/>
        </w:rPr>
        <w:t>industr</w:t>
      </w:r>
      <w:r w:rsidR="00730FA4">
        <w:rPr>
          <w:rFonts w:ascii="Times New Roman" w:hAnsi="Times New Roman" w:cs="Times New Roman"/>
          <w:sz w:val="24"/>
          <w:szCs w:val="24"/>
          <w:lang w:val="en-US"/>
        </w:rPr>
        <w:t>ial</w:t>
      </w:r>
      <w:r w:rsidR="00730FA4"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 xml:space="preserve">players) across different product categories, such as electronics or fashion, to </w:t>
      </w:r>
      <w:r w:rsidR="00497018">
        <w:rPr>
          <w:rFonts w:ascii="Times New Roman" w:hAnsi="Times New Roman" w:cs="Times New Roman"/>
          <w:sz w:val="24"/>
          <w:szCs w:val="24"/>
          <w:lang w:val="en-US"/>
        </w:rPr>
        <w:t>facilitate</w:t>
      </w:r>
      <w:r w:rsidR="00497018"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circular services</w:t>
      </w:r>
      <w:r w:rsidR="00497018">
        <w:rPr>
          <w:rFonts w:ascii="Times New Roman" w:hAnsi="Times New Roman" w:cs="Times New Roman"/>
          <w:sz w:val="24"/>
          <w:szCs w:val="24"/>
          <w:lang w:val="en-US"/>
        </w:rPr>
        <w:t>,</w:t>
      </w:r>
      <w:r w:rsidRPr="75A96201">
        <w:rPr>
          <w:rFonts w:ascii="Times New Roman" w:hAnsi="Times New Roman" w:cs="Times New Roman"/>
          <w:sz w:val="24"/>
          <w:szCs w:val="24"/>
          <w:lang w:val="en-US"/>
        </w:rPr>
        <w:t xml:space="preserve"> such as </w:t>
      </w:r>
      <w:r w:rsidRPr="75A96201">
        <w:rPr>
          <w:rFonts w:ascii="Times New Roman" w:hAnsi="Times New Roman" w:cs="Times New Roman"/>
          <w:sz w:val="24"/>
          <w:szCs w:val="24"/>
          <w:lang w:val="en-GB"/>
        </w:rPr>
        <w:t>repair, refurbish, and remanufacture</w:t>
      </w:r>
      <w:r w:rsidRPr="75A96201">
        <w:rPr>
          <w:rFonts w:ascii="Times New Roman" w:hAnsi="Times New Roman" w:cs="Times New Roman"/>
          <w:sz w:val="24"/>
          <w:szCs w:val="24"/>
          <w:lang w:val="en-US"/>
        </w:rPr>
        <w:t xml:space="preserve">. </w:t>
      </w:r>
      <w:r w:rsidR="00A2703E">
        <w:rPr>
          <w:rFonts w:ascii="Times New Roman" w:hAnsi="Times New Roman" w:cs="Times New Roman"/>
          <w:sz w:val="24"/>
          <w:szCs w:val="24"/>
          <w:lang w:val="en-GB"/>
        </w:rPr>
        <w:t xml:space="preserve">In a similar way </w:t>
      </w:r>
      <w:r w:rsidR="007C69D2">
        <w:rPr>
          <w:rFonts w:ascii="Times New Roman" w:hAnsi="Times New Roman" w:cs="Times New Roman"/>
          <w:sz w:val="24"/>
          <w:szCs w:val="24"/>
          <w:lang w:val="en-GB"/>
        </w:rPr>
        <w:t xml:space="preserve">to what happens for the examples of platforms belonging to the </w:t>
      </w:r>
      <w:r w:rsidR="007C69D2" w:rsidRPr="75A96201">
        <w:rPr>
          <w:rFonts w:ascii="Times New Roman" w:hAnsi="Times New Roman" w:cs="Times New Roman"/>
          <w:i/>
          <w:iCs/>
          <w:sz w:val="24"/>
          <w:szCs w:val="24"/>
          <w:lang w:val="en-GB"/>
        </w:rPr>
        <w:t xml:space="preserve">Enhanced Scrapping </w:t>
      </w:r>
      <w:r w:rsidR="00781AEE">
        <w:rPr>
          <w:rFonts w:ascii="Times New Roman" w:hAnsi="Times New Roman" w:cs="Times New Roman"/>
          <w:sz w:val="24"/>
          <w:szCs w:val="24"/>
          <w:lang w:val="en-GB"/>
        </w:rPr>
        <w:t>cluster</w:t>
      </w:r>
      <w:r w:rsidR="007C69D2">
        <w:rPr>
          <w:rFonts w:ascii="Times New Roman" w:hAnsi="Times New Roman" w:cs="Times New Roman"/>
          <w:sz w:val="24"/>
          <w:szCs w:val="24"/>
          <w:lang w:val="en-GB"/>
        </w:rPr>
        <w:t xml:space="preserve"> mentioned above</w:t>
      </w:r>
      <w:r w:rsidRPr="75A96201">
        <w:rPr>
          <w:rFonts w:ascii="Times New Roman" w:hAnsi="Times New Roman" w:cs="Times New Roman"/>
          <w:sz w:val="24"/>
          <w:szCs w:val="24"/>
          <w:lang w:val="en-GB"/>
        </w:rPr>
        <w:t xml:space="preserve">, multiple sides are involved around </w:t>
      </w:r>
      <w:proofErr w:type="spellStart"/>
      <w:r w:rsidR="00781AEE" w:rsidRPr="75A96201">
        <w:rPr>
          <w:rFonts w:ascii="Times New Roman" w:hAnsi="Times New Roman" w:cs="Times New Roman"/>
          <w:sz w:val="24"/>
          <w:szCs w:val="24"/>
          <w:lang w:val="en-US"/>
        </w:rPr>
        <w:t>Fixfirst</w:t>
      </w:r>
      <w:proofErr w:type="spellEnd"/>
      <w:r w:rsidR="00781AE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beyond the resources’ owners and the users of repaired, refurbished, and remanufactured resources. </w:t>
      </w:r>
    </w:p>
    <w:p w14:paraId="65D409DF" w14:textId="77EC9F7A" w:rsidR="007C69D2" w:rsidRDefault="00000000" w:rsidP="007C69D2">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i/>
          <w:iCs/>
          <w:sz w:val="24"/>
          <w:szCs w:val="24"/>
          <w:lang w:val="en-GB"/>
        </w:rPr>
        <w:t xml:space="preserve">Switching </w:t>
      </w:r>
      <w:r w:rsidRPr="75A96201">
        <w:rPr>
          <w:rFonts w:ascii="Times New Roman" w:hAnsi="Times New Roman" w:cs="Times New Roman"/>
          <w:sz w:val="24"/>
          <w:szCs w:val="24"/>
          <w:lang w:val="en-GB"/>
        </w:rPr>
        <w:t xml:space="preserve">platforms support the repurpose of resources that still have an intrinsic economic value, but that cannot longer be exploited in the supply chain </w:t>
      </w:r>
      <w:r w:rsidR="00237DA1">
        <w:rPr>
          <w:rFonts w:ascii="Times New Roman" w:hAnsi="Times New Roman" w:cs="Times New Roman"/>
          <w:sz w:val="24"/>
          <w:szCs w:val="24"/>
          <w:lang w:val="en-GB"/>
        </w:rPr>
        <w:t>in</w:t>
      </w:r>
      <w:r w:rsidR="00237DA1"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which they were originally addressed to. Indeed, these resources require interventions to be reintroduced into the economic cycle through the involvement of companies belonging to different supply chains. The </w:t>
      </w:r>
      <w:r w:rsidR="008D51AE">
        <w:rPr>
          <w:rFonts w:ascii="Times New Roman" w:hAnsi="Times New Roman" w:cs="Times New Roman"/>
          <w:sz w:val="24"/>
          <w:szCs w:val="24"/>
          <w:lang w:val="en-GB"/>
        </w:rPr>
        <w:t>three</w:t>
      </w:r>
      <w:r w:rsidR="008D51AE"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platforms belonging to this </w:t>
      </w:r>
      <w:r w:rsidRPr="75A96201">
        <w:rPr>
          <w:rFonts w:ascii="Times New Roman" w:hAnsi="Times New Roman" w:cs="Times New Roman"/>
          <w:sz w:val="24"/>
          <w:szCs w:val="24"/>
          <w:lang w:val="en-GB"/>
        </w:rPr>
        <w:lastRenderedPageBreak/>
        <w:t xml:space="preserve">cluster refer to </w:t>
      </w:r>
      <w:r w:rsidR="008D51AE" w:rsidRPr="008D51AE">
        <w:rPr>
          <w:rFonts w:ascii="Times New Roman" w:hAnsi="Times New Roman" w:cs="Times New Roman"/>
          <w:sz w:val="24"/>
          <w:szCs w:val="24"/>
          <w:lang w:val="en-GB"/>
        </w:rPr>
        <w:t>Circularity</w:t>
      </w:r>
      <w:r w:rsidR="008D51AE">
        <w:rPr>
          <w:rFonts w:ascii="Times New Roman" w:hAnsi="Times New Roman" w:cs="Times New Roman"/>
          <w:sz w:val="24"/>
          <w:szCs w:val="24"/>
          <w:lang w:val="en-GB"/>
        </w:rPr>
        <w:t>, which a</w:t>
      </w:r>
      <w:r w:rsidR="008D51AE" w:rsidRPr="008D51AE">
        <w:rPr>
          <w:rFonts w:ascii="Times New Roman" w:hAnsi="Times New Roman" w:cs="Times New Roman"/>
          <w:sz w:val="24"/>
          <w:szCs w:val="24"/>
          <w:lang w:val="en-GB"/>
        </w:rPr>
        <w:t xml:space="preserve">llows for finding the best partners to give new life to waste </w:t>
      </w:r>
      <w:r w:rsidR="008D51AE">
        <w:rPr>
          <w:rFonts w:ascii="Times New Roman" w:hAnsi="Times New Roman" w:cs="Times New Roman"/>
          <w:sz w:val="24"/>
          <w:szCs w:val="24"/>
          <w:lang w:val="en-GB"/>
        </w:rPr>
        <w:t xml:space="preserve">through repurposing </w:t>
      </w:r>
      <w:r w:rsidR="008D51AE" w:rsidRPr="008D51AE">
        <w:rPr>
          <w:rFonts w:ascii="Times New Roman" w:hAnsi="Times New Roman" w:cs="Times New Roman"/>
          <w:sz w:val="24"/>
          <w:szCs w:val="24"/>
          <w:lang w:val="en-GB"/>
        </w:rPr>
        <w:t>and enables collaboration and peer-to-peer exchange of materials</w:t>
      </w:r>
      <w:r w:rsidR="008D51AE">
        <w:rPr>
          <w:rFonts w:ascii="Times New Roman" w:hAnsi="Times New Roman" w:cs="Times New Roman"/>
          <w:sz w:val="24"/>
          <w:szCs w:val="24"/>
          <w:lang w:val="en-GB"/>
        </w:rPr>
        <w:t xml:space="preserve"> and products even among different supply chains, </w:t>
      </w:r>
      <w:r w:rsidRPr="75A96201">
        <w:rPr>
          <w:rFonts w:ascii="Times New Roman" w:hAnsi="Times New Roman" w:cs="Times New Roman"/>
          <w:sz w:val="24"/>
          <w:szCs w:val="24"/>
          <w:lang w:val="en-GB"/>
        </w:rPr>
        <w:t xml:space="preserve">Excess Materials Exchange, which supports the identification of repurposing options for different kinds of resources across industries, and </w:t>
      </w:r>
      <w:proofErr w:type="spellStart"/>
      <w:r w:rsidRPr="75A96201">
        <w:rPr>
          <w:rFonts w:ascii="Times New Roman" w:hAnsi="Times New Roman" w:cs="Times New Roman"/>
          <w:sz w:val="24"/>
          <w:szCs w:val="24"/>
          <w:lang w:val="en-GB"/>
        </w:rPr>
        <w:t>Sfridoo</w:t>
      </w:r>
      <w:proofErr w:type="spellEnd"/>
      <w:r w:rsidRPr="75A96201">
        <w:rPr>
          <w:rFonts w:ascii="Times New Roman" w:hAnsi="Times New Roman" w:cs="Times New Roman"/>
          <w:sz w:val="24"/>
          <w:szCs w:val="24"/>
          <w:lang w:val="en-GB"/>
        </w:rPr>
        <w:t xml:space="preserve">, which supports the creation of a network of companies belonging to different supply chains to exploit repurposing. </w:t>
      </w:r>
    </w:p>
    <w:p w14:paraId="36E81AED" w14:textId="2235FDBE" w:rsidR="00B93D26" w:rsidRDefault="00000000" w:rsidP="007C69D2">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Finally, </w:t>
      </w:r>
      <w:r w:rsidRPr="75A96201">
        <w:rPr>
          <w:rFonts w:ascii="Times New Roman" w:hAnsi="Times New Roman" w:cs="Times New Roman"/>
          <w:i/>
          <w:iCs/>
          <w:sz w:val="24"/>
          <w:szCs w:val="24"/>
          <w:lang w:val="en-GB"/>
        </w:rPr>
        <w:t xml:space="preserve">Specialized Swapping </w:t>
      </w:r>
      <w:r w:rsidRPr="75A96201">
        <w:rPr>
          <w:rFonts w:ascii="Times New Roman" w:hAnsi="Times New Roman" w:cs="Times New Roman"/>
          <w:sz w:val="24"/>
          <w:szCs w:val="24"/>
          <w:lang w:val="en-GB"/>
        </w:rPr>
        <w:t xml:space="preserve">and </w:t>
      </w:r>
      <w:r w:rsidRPr="75A96201">
        <w:rPr>
          <w:rFonts w:ascii="Times New Roman" w:hAnsi="Times New Roman" w:cs="Times New Roman"/>
          <w:i/>
          <w:iCs/>
          <w:sz w:val="24"/>
          <w:szCs w:val="24"/>
          <w:lang w:val="en-GB"/>
        </w:rPr>
        <w:t>Generic</w:t>
      </w:r>
      <w:r w:rsidRPr="75A96201">
        <w:rPr>
          <w:rFonts w:ascii="Times New Roman" w:hAnsi="Times New Roman" w:cs="Times New Roman"/>
          <w:sz w:val="24"/>
          <w:szCs w:val="24"/>
          <w:lang w:val="en-GB"/>
        </w:rPr>
        <w:t xml:space="preserve"> </w:t>
      </w:r>
      <w:r w:rsidRPr="75A96201">
        <w:rPr>
          <w:rFonts w:ascii="Times New Roman" w:hAnsi="Times New Roman" w:cs="Times New Roman"/>
          <w:i/>
          <w:iCs/>
          <w:sz w:val="24"/>
          <w:szCs w:val="24"/>
          <w:lang w:val="en-GB"/>
        </w:rPr>
        <w:t xml:space="preserve">Swapping </w:t>
      </w:r>
      <w:r w:rsidRPr="75A96201">
        <w:rPr>
          <w:rFonts w:ascii="Times New Roman" w:hAnsi="Times New Roman" w:cs="Times New Roman"/>
          <w:sz w:val="24"/>
          <w:szCs w:val="24"/>
          <w:lang w:val="en-GB"/>
        </w:rPr>
        <w:t xml:space="preserve">platforms especially support the reuse of resources that are at the height of their life cycle and, thus, do not require any intervention to be reintroduced into the economic cycle. The difference between the two clusters lies in the </w:t>
      </w:r>
      <w:r w:rsidR="00730FA4">
        <w:rPr>
          <w:rFonts w:ascii="Times New Roman" w:hAnsi="Times New Roman" w:cs="Times New Roman"/>
          <w:sz w:val="24"/>
          <w:szCs w:val="24"/>
          <w:lang w:val="en-GB"/>
        </w:rPr>
        <w:t>actors</w:t>
      </w:r>
      <w:r w:rsidR="00730FA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involved around the platforms. </w:t>
      </w:r>
      <w:r w:rsidRPr="75A96201">
        <w:rPr>
          <w:rFonts w:ascii="Times New Roman" w:hAnsi="Times New Roman" w:cs="Times New Roman"/>
          <w:i/>
          <w:iCs/>
          <w:sz w:val="24"/>
          <w:szCs w:val="24"/>
          <w:lang w:val="en-GB"/>
        </w:rPr>
        <w:t xml:space="preserve">Specialized Swapping </w:t>
      </w:r>
      <w:r w:rsidRPr="75A96201">
        <w:rPr>
          <w:rFonts w:ascii="Times New Roman" w:hAnsi="Times New Roman" w:cs="Times New Roman"/>
          <w:sz w:val="24"/>
          <w:szCs w:val="24"/>
          <w:lang w:val="en-GB"/>
        </w:rPr>
        <w:t>platforms</w:t>
      </w:r>
      <w:r w:rsidRPr="75A96201">
        <w:rPr>
          <w:rFonts w:ascii="Times New Roman" w:hAnsi="Times New Roman" w:cs="Times New Roman"/>
          <w:i/>
          <w:iCs/>
          <w:sz w:val="24"/>
          <w:szCs w:val="24"/>
          <w:lang w:val="en-GB"/>
        </w:rPr>
        <w:t xml:space="preserve"> </w:t>
      </w:r>
      <w:r w:rsidRPr="75A96201">
        <w:rPr>
          <w:rFonts w:ascii="Times New Roman" w:hAnsi="Times New Roman" w:cs="Times New Roman"/>
          <w:sz w:val="24"/>
          <w:szCs w:val="24"/>
          <w:lang w:val="en-GB"/>
        </w:rPr>
        <w:t xml:space="preserve">enable the reuse of resources by favouring interactions between </w:t>
      </w:r>
      <w:r w:rsidR="00237DA1">
        <w:rPr>
          <w:rFonts w:ascii="Times New Roman" w:hAnsi="Times New Roman" w:cs="Times New Roman"/>
          <w:sz w:val="24"/>
          <w:szCs w:val="24"/>
          <w:lang w:val="en-GB"/>
        </w:rPr>
        <w:t>actors</w:t>
      </w:r>
      <w:r w:rsidR="00237DA1"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belonging to the supply chain </w:t>
      </w:r>
      <w:r w:rsidR="00237DA1">
        <w:rPr>
          <w:rFonts w:ascii="Times New Roman" w:hAnsi="Times New Roman" w:cs="Times New Roman"/>
          <w:sz w:val="24"/>
          <w:szCs w:val="24"/>
          <w:lang w:val="en-GB"/>
        </w:rPr>
        <w:t>in</w:t>
      </w:r>
      <w:r w:rsidR="00237DA1"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which a resource was originally addressed to. For example, </w:t>
      </w:r>
      <w:proofErr w:type="spellStart"/>
      <w:r w:rsidRPr="75A96201">
        <w:rPr>
          <w:rFonts w:ascii="Times New Roman" w:hAnsi="Times New Roman" w:cs="Times New Roman"/>
          <w:sz w:val="24"/>
          <w:szCs w:val="24"/>
          <w:lang w:val="en-GB"/>
        </w:rPr>
        <w:t>Agricom</w:t>
      </w:r>
      <w:proofErr w:type="spellEnd"/>
      <w:r w:rsidRPr="75A96201">
        <w:rPr>
          <w:rFonts w:ascii="Times New Roman" w:hAnsi="Times New Roman" w:cs="Times New Roman"/>
          <w:sz w:val="24"/>
          <w:szCs w:val="24"/>
          <w:lang w:val="en-GB"/>
        </w:rPr>
        <w:t xml:space="preserve">, </w:t>
      </w:r>
      <w:proofErr w:type="spellStart"/>
      <w:r w:rsidRPr="75A96201">
        <w:rPr>
          <w:rFonts w:ascii="Times New Roman" w:hAnsi="Times New Roman" w:cs="Times New Roman"/>
          <w:sz w:val="24"/>
          <w:szCs w:val="24"/>
          <w:lang w:val="en-GB"/>
        </w:rPr>
        <w:t>Backacia</w:t>
      </w:r>
      <w:proofErr w:type="spellEnd"/>
      <w:r w:rsidRPr="75A96201">
        <w:rPr>
          <w:rFonts w:ascii="Times New Roman" w:hAnsi="Times New Roman" w:cs="Times New Roman"/>
          <w:sz w:val="24"/>
          <w:szCs w:val="24"/>
          <w:lang w:val="en-GB"/>
        </w:rPr>
        <w:t>, and Health Share platforms favour the exchange of imperfect and surplus food production, construction materials, and medical devices in the agri-food, built environment, and health care</w:t>
      </w:r>
      <w:r w:rsidR="00785AB7" w:rsidRPr="00785AB7">
        <w:rPr>
          <w:rFonts w:ascii="Times New Roman" w:hAnsi="Times New Roman" w:cs="Times New Roman"/>
          <w:sz w:val="24"/>
          <w:szCs w:val="24"/>
          <w:lang w:val="en-GB"/>
        </w:rPr>
        <w:t xml:space="preserve"> </w:t>
      </w:r>
      <w:r w:rsidR="00785AB7" w:rsidRPr="75A96201">
        <w:rPr>
          <w:rFonts w:ascii="Times New Roman" w:hAnsi="Times New Roman" w:cs="Times New Roman"/>
          <w:sz w:val="24"/>
          <w:szCs w:val="24"/>
          <w:lang w:val="en-GB"/>
        </w:rPr>
        <w:t>supply chains</w:t>
      </w:r>
      <w:r w:rsidRPr="75A96201">
        <w:rPr>
          <w:rFonts w:ascii="Times New Roman" w:hAnsi="Times New Roman" w:cs="Times New Roman"/>
          <w:sz w:val="24"/>
          <w:szCs w:val="24"/>
          <w:lang w:val="en-GB"/>
        </w:rPr>
        <w:t xml:space="preserve">, respectively. It is worth highlighting that these supply chains have been recognized within existing literature as some of the most fertile grounds for the spread of CE-related platforms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{"citationItems":[{"id":"ITEM-1","itemData":{"DOI":"10.1016/J.JCLEPRO.2019.118528","ISSN":"0959-6526","abstract":"The circular economy (CE) concept is much-heralded among policy-makers, scholars and industry professionals as an accelerated pathway towards sustainability. This move away from the dominant linear system where products are discarded at the end of product lifecycle is deemed necessary since it is the main cause of an accelerated resource consumption. Business models are considered as a key enabler for the shift from a linear to a CE. However, research on circular business models has mainly focused on circular approaches adopted by incumbent firms, while the contributions of newly established firms (the authors call these ’circular start-ups’) have been largely overlooked. This article scrutinises the business models of circular start-ups and how they may differ from those of incumbent firms embracing CE. For this, it analyses the circular business model strategies and innovations adopted by circular start-ups, relying on a novel data sample of 128 circular start-ups identified in three major CE ecosystems in Europe: the Randstad region in the Netherlands, Berlin and London. Based on this data, a novel typology of circular start-ups is proposed, distinguishing between five circular start-up archetypes: design-based, waste-based, platform-based, service-based and nature-based start-ups. The results also show that circular start-ups tend to embrace strategies corresponding to higher levels of circularity than those of incumbents. This preliminarily suggests that circular start-ups can indeed make major contributions to transitioning towards CE.","author":[{"dropping-particle":"","family":"Henry","given":"Marvin","non-dropping-particle":"","parse-names":false,"suffix":""},{"dropping-particle":"","family":"Bauwens","given":"Thomas","non-dropping-particle":"","parse-names":false,"suffix":""},{"dropping-particle":"","family":"Hekkert","given":"Marko","non-dropping-particle":"","parse-names":false,"suffix":""},{"dropping-particle":"","family":"Kirchherr","given":"Julian","non-dropping-particle":"","parse-names":false,"suffix":""}],"container-title":"Journal of Cleaner Production","id":"ITEM-1","issued":{"date-parts":[["2020"]]},"page":"118528","publisher":"Elsevier","title":"A typology of circular start-ups: An Analysis of 128 circular business models","type":"article-journal","volume":"245"},"uris":["http://www.mendeley.com/documents/?uuid=5ee70ed3-235b-3efe-851e-e2659db8b1cd"]}],"mendeley":{"formattedCitation":"(Henry et al., 2020)","plainTextFormattedCitation":"(Henry et al., 2020)","previouslyFormattedCitation":"(Henry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(Henry et al.,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especially due to their peculiarities, such as the lack of coordination among supply chain actors (e.g.,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{"citationItems":[{"id":"ITEM-1","itemData":{"DOI":"10.1016/J.WASMAN.2018.07.033","ISSN":"0956-053X","PMID":"30343746","abstract":"There is growing evidence that a significant share of global food is thrown away, with concomitant detrimental repercussions for sustainability. Reducing food waste is a key sustainability challenge for the food service industry. Despite the significance of this issue to the global foodservice industry, the link between innovation practices and food waste management has received limited attention in the academic literature. This paper uses innovation management and social constructionism to investigate interrelationships of food service provisions and innovations in waste management. It is based on the evaluation of food waste solutions and innovations that combine strategic dimensions of waste management with practice-driven initiatives, including incremental (processes and technologies) and radical innovations. The paper presents a range of waste management initiatives, showing that their implementation in the foodservice sector varies depending on management's beliefs, knowledge, goals and actions. The concepts discussed here could help practitioners to become more aware of the factors that drive the adoption of food waste innovations.","author":[{"dropping-particle":"","family":"Martin-Rios","given":"Carlos","non-dropping-particle":"","parse-names":false,"suffix":""},{"dropping-particle":"","family":"Demen-Meier","given":"Christine","non-dropping-particle":"","parse-names":false,"suffix":""},{"dropping-particle":"","family":"Gössling","given":"Stefan","non-dropping-particle":"","parse-names":false,"suffix":""},{"dropping-particle":"","family":"Cornuz","given":"Clémence","non-dropping-particle":"","parse-names":false,"suffix":""}],"container-title":"Waste Management","id":"ITEM-1","issued":{"date-parts":[["2018","9","1"]]},"page":"196-206","publisher":"Pergamon","title":"Food waste management innovations in the foodservice industry","type":"article-journal","volume":"79"},"uris":["http://www.mendeley.com/documents/?uuid=f2841b00-113b-3ca3-b316-b5178ec3c05a"]}],"mendeley":{"formattedCitation":"(Martin-Rios et al., 2018)","manualFormatting":"Martin-Rios et al., 2018)","plainTextFormattedCitation":"(Martin-Rios et al., 2018)","previouslyFormattedCitation":"(Martin-Rios et al., 2018)"},"properties":{"noteIndex":0},"schema":"https://github.com/citation-style-language/schema/raw/master/csl-citation.json"}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Martin-Rios et al., 2018)</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r w:rsidRPr="75A96201">
        <w:rPr>
          <w:rFonts w:ascii="Times New Roman" w:hAnsi="Times New Roman" w:cs="Times New Roman"/>
          <w:i/>
          <w:iCs/>
          <w:sz w:val="24"/>
          <w:szCs w:val="24"/>
          <w:lang w:val="en-GB"/>
        </w:rPr>
        <w:t>Generic</w:t>
      </w:r>
      <w:r w:rsidRPr="75A96201">
        <w:rPr>
          <w:rFonts w:ascii="Times New Roman" w:hAnsi="Times New Roman" w:cs="Times New Roman"/>
          <w:sz w:val="24"/>
          <w:szCs w:val="24"/>
          <w:lang w:val="en-GB"/>
        </w:rPr>
        <w:t xml:space="preserve"> </w:t>
      </w:r>
      <w:r w:rsidRPr="75A96201">
        <w:rPr>
          <w:rFonts w:ascii="Times New Roman" w:hAnsi="Times New Roman" w:cs="Times New Roman"/>
          <w:i/>
          <w:iCs/>
          <w:sz w:val="24"/>
          <w:szCs w:val="24"/>
          <w:lang w:val="en-GB"/>
        </w:rPr>
        <w:t xml:space="preserve">Swapping </w:t>
      </w:r>
      <w:r w:rsidRPr="75A96201">
        <w:rPr>
          <w:rFonts w:ascii="Times New Roman" w:hAnsi="Times New Roman" w:cs="Times New Roman"/>
          <w:sz w:val="24"/>
          <w:szCs w:val="24"/>
          <w:lang w:val="en-GB"/>
        </w:rPr>
        <w:t xml:space="preserve">platforms enable the reuse of resources by favouring interactions between </w:t>
      </w:r>
      <w:r w:rsidR="00237DA1">
        <w:rPr>
          <w:rFonts w:ascii="Times New Roman" w:hAnsi="Times New Roman" w:cs="Times New Roman"/>
          <w:sz w:val="24"/>
          <w:szCs w:val="24"/>
          <w:lang w:val="en-GB"/>
        </w:rPr>
        <w:t>actors</w:t>
      </w:r>
      <w:r w:rsidR="00237DA1"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belonging to either the supply chain </w:t>
      </w:r>
      <w:r w:rsidR="00C27D54">
        <w:rPr>
          <w:rFonts w:ascii="Times New Roman" w:hAnsi="Times New Roman" w:cs="Times New Roman"/>
          <w:sz w:val="24"/>
          <w:szCs w:val="24"/>
          <w:lang w:val="en-GB"/>
        </w:rPr>
        <w:t>in</w:t>
      </w:r>
      <w:r w:rsidR="00C27D5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which a resource was originally addressed to or different supply chains, since targeted resources are not supply chain-specific and may be used even beyond the supply chain in which they were originally exploited. For example, </w:t>
      </w:r>
      <w:proofErr w:type="spellStart"/>
      <w:r w:rsidRPr="75A96201">
        <w:rPr>
          <w:rFonts w:ascii="Times New Roman" w:hAnsi="Times New Roman" w:cs="Times New Roman"/>
          <w:sz w:val="24"/>
          <w:szCs w:val="24"/>
          <w:lang w:val="en-GB"/>
        </w:rPr>
        <w:t>Circado</w:t>
      </w:r>
      <w:proofErr w:type="spellEnd"/>
      <w:r w:rsidRPr="75A96201">
        <w:rPr>
          <w:rFonts w:ascii="Times New Roman" w:hAnsi="Times New Roman" w:cs="Times New Roman"/>
          <w:sz w:val="24"/>
          <w:szCs w:val="24"/>
          <w:lang w:val="en-GB"/>
        </w:rPr>
        <w:t xml:space="preserve"> and </w:t>
      </w:r>
      <w:proofErr w:type="spellStart"/>
      <w:r w:rsidRPr="75A96201">
        <w:rPr>
          <w:rFonts w:ascii="Times New Roman" w:hAnsi="Times New Roman" w:cs="Times New Roman"/>
          <w:sz w:val="24"/>
          <w:szCs w:val="24"/>
          <w:lang w:val="en-GB"/>
        </w:rPr>
        <w:t>Parksharing</w:t>
      </w:r>
      <w:proofErr w:type="spellEnd"/>
      <w:r w:rsidRPr="75A96201">
        <w:rPr>
          <w:rFonts w:ascii="Times New Roman" w:hAnsi="Times New Roman" w:cs="Times New Roman"/>
          <w:sz w:val="24"/>
          <w:szCs w:val="24"/>
          <w:lang w:val="en-GB"/>
        </w:rPr>
        <w:t xml:space="preserve"> enable the reuse of different kinds of idle assets among </w:t>
      </w:r>
      <w:r w:rsidR="00730FA4">
        <w:rPr>
          <w:rFonts w:ascii="Times New Roman" w:hAnsi="Times New Roman" w:cs="Times New Roman"/>
          <w:sz w:val="24"/>
          <w:szCs w:val="24"/>
          <w:lang w:val="en-GB"/>
        </w:rPr>
        <w:t>actors</w:t>
      </w:r>
      <w:r w:rsidR="00730FA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belonging to different supply chains. </w:t>
      </w:r>
    </w:p>
    <w:p w14:paraId="235D6E49" w14:textId="4D1DAE33" w:rsidR="00BE195B" w:rsidRDefault="00000000" w:rsidP="00984196">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Despite the relatively small number of the sampled MSPs, it is worth highlighting the different spread of </w:t>
      </w:r>
      <w:r w:rsidR="008E1FDA">
        <w:rPr>
          <w:rFonts w:ascii="Times New Roman" w:hAnsi="Times New Roman" w:cs="Times New Roman"/>
          <w:sz w:val="24"/>
          <w:szCs w:val="24"/>
          <w:lang w:val="en-GB"/>
        </w:rPr>
        <w:t>managerial</w:t>
      </w:r>
      <w:r w:rsidR="008E1FD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practices facilitated by such platforms. </w:t>
      </w:r>
      <w:r w:rsidRPr="75A96201">
        <w:rPr>
          <w:rFonts w:ascii="Times New Roman" w:hAnsi="Times New Roman" w:cs="Times New Roman"/>
          <w:i/>
          <w:iCs/>
          <w:sz w:val="24"/>
          <w:szCs w:val="24"/>
          <w:lang w:val="en-GB"/>
        </w:rPr>
        <w:t xml:space="preserve">Limited Scrapping </w:t>
      </w:r>
      <w:r w:rsidRPr="75A96201">
        <w:rPr>
          <w:rFonts w:ascii="Times New Roman" w:hAnsi="Times New Roman" w:cs="Times New Roman"/>
          <w:sz w:val="24"/>
          <w:szCs w:val="24"/>
          <w:lang w:val="en-GB"/>
        </w:rPr>
        <w:t>and</w:t>
      </w:r>
      <w:r w:rsidRPr="75A96201">
        <w:rPr>
          <w:rFonts w:ascii="Times New Roman" w:hAnsi="Times New Roman" w:cs="Times New Roman"/>
          <w:i/>
          <w:iCs/>
          <w:sz w:val="24"/>
          <w:szCs w:val="24"/>
          <w:lang w:val="en-GB"/>
        </w:rPr>
        <w:t xml:space="preserve"> Enhanced Scrapping </w:t>
      </w:r>
      <w:r w:rsidRPr="75A96201">
        <w:rPr>
          <w:rFonts w:ascii="Times New Roman" w:hAnsi="Times New Roman" w:cs="Times New Roman"/>
          <w:sz w:val="24"/>
          <w:szCs w:val="24"/>
          <w:lang w:val="en-GB"/>
        </w:rPr>
        <w:t xml:space="preserve">platforms </w:t>
      </w:r>
      <w:r w:rsidR="00391267" w:rsidRPr="75A96201">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which include </w:t>
      </w:r>
      <w:r w:rsidR="00BD2C15">
        <w:rPr>
          <w:rFonts w:ascii="Times New Roman" w:hAnsi="Times New Roman" w:cs="Times New Roman"/>
          <w:sz w:val="24"/>
          <w:szCs w:val="24"/>
          <w:lang w:val="en-GB"/>
        </w:rPr>
        <w:t>two</w:t>
      </w:r>
      <w:r w:rsidRPr="75A96201">
        <w:rPr>
          <w:rFonts w:ascii="Times New Roman" w:hAnsi="Times New Roman" w:cs="Times New Roman"/>
          <w:sz w:val="24"/>
          <w:szCs w:val="24"/>
          <w:lang w:val="en-GB"/>
        </w:rPr>
        <w:t xml:space="preserve"> and </w:t>
      </w:r>
      <w:r w:rsidR="00BD2C15">
        <w:rPr>
          <w:rFonts w:ascii="Times New Roman" w:hAnsi="Times New Roman" w:cs="Times New Roman"/>
          <w:sz w:val="24"/>
          <w:szCs w:val="24"/>
          <w:lang w:val="en-GB"/>
        </w:rPr>
        <w:t>seven</w:t>
      </w:r>
      <w:r w:rsidRPr="75A96201">
        <w:rPr>
          <w:rFonts w:ascii="Times New Roman" w:hAnsi="Times New Roman" w:cs="Times New Roman"/>
          <w:sz w:val="24"/>
          <w:szCs w:val="24"/>
          <w:lang w:val="en-GB"/>
        </w:rPr>
        <w:t xml:space="preserve"> MSPs out of the 26 platforms analysed, respectively – facilitate the recycle practice, which is a rather common practice in the CE domain in </w:t>
      </w:r>
      <w:r w:rsidR="008E1FDA">
        <w:rPr>
          <w:rFonts w:ascii="Times New Roman" w:hAnsi="Times New Roman" w:cs="Times New Roman"/>
          <w:sz w:val="24"/>
          <w:szCs w:val="24"/>
          <w:lang w:val="en-GB"/>
        </w:rPr>
        <w:t>the</w:t>
      </w:r>
      <w:r w:rsidR="008E1FD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{"citationItems":[{"id":"ITEM-1","itemData":{"DOI":"10.1016/j.jclepro.2017.09.047","ISSN":"09596526","abstract":"Circular Economy has undoubtedly become one of the hot topics in public debates about new and more sustainable industrial paradigms and strategies. In this respect, the fashion of Circular Economy is in the fact that it aims at overcoming the dominant linear take, make, disposal economy model, i.e. “a traditional open-ended economy model developed with no built-in tendency to recycle, which is reflected by treating the environment as a waste reservoir” (Su et al., 2013). Circular Economy, indeed, bases on the establishment of closed production systems, where resources are reused and kept in a loop of production and usage, allowing generating more value and for a longer period. Despite the interest for Circular Economy by politicians and practitioners, scholars, particularly in the strategic management field, are still struggling with a lack of a framework explaining how companies willing to become circular adapt their existing business model or create a new one. By extensively reviewing, through the lens of business model literature, the extant contributions on Circular Economy, we propose a taxonomy of Circular Economy Business Models based on the degree of adoption of circularity along two major dimensions: (i) the customer value proposition &amp; interface, i.e. the implementation of the circularity concept in proposing value to customers; (ii) the value network, i.e. the ways through which interacting with suppliers and reorganizing the own internal activities. The taxonomy is then initially tested through some explorative case studies, showing in practice the ability of the framework to properly distinguish different modes of adoption of Circular Economy.","author":[{"dropping-particle":"","family":"Urbinati","given":"Andrea","non-dropping-particle":"","parse-names":false,"suffix":""},{"dropping-particle":"","family":"Chiaroni","given":"Davide","non-dropping-particle":"","parse-names":false,"suffix":""},{"dropping-particle":"","family":"Chiesa","given":"Vittorio","non-dropping-particle":"","parse-names":false,"suffix":""}],"container-title":"Journal of Cleaner Production","id":"ITEM-1","issued":{"date-parts":[["2017"]]},"page":"487-498","publisher":"Elsevier Ltd","title":"Towards a new taxonomy of circular economy business models","type":"article-journal","volume":"168"},"uris":["http://www.mendeley.com/documents/?uuid=affcec8e-daa4-4ba9-90f7-af52e9f84621"]}],"mendeley":{"formattedCitation":"(Urbinati et al., 2017)","plainTextFormattedCitation":"(Urbinati et al., 2017)","previouslyFormattedCitation":"(Urbinati et al., 2017)"},"properties":{"noteIndex":0},"schema":"https://github.com/citation-style-language/schema/raw/master/csl-citation.json"}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(Urbinati et al., 2017)</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r w:rsidR="00D55AB7">
        <w:rPr>
          <w:rFonts w:ascii="Times New Roman" w:hAnsi="Times New Roman" w:cs="Times New Roman"/>
          <w:sz w:val="24"/>
          <w:szCs w:val="24"/>
          <w:lang w:val="en-GB"/>
        </w:rPr>
        <w:t>T</w:t>
      </w:r>
      <w:r w:rsidRPr="75A96201">
        <w:rPr>
          <w:rFonts w:ascii="Times New Roman" w:hAnsi="Times New Roman" w:cs="Times New Roman"/>
          <w:sz w:val="24"/>
          <w:szCs w:val="24"/>
          <w:lang w:val="en-GB"/>
        </w:rPr>
        <w:t>he empirical analysis shows that such practice can be facilitated by MSPs. In particular, the added value of</w:t>
      </w:r>
      <w:r w:rsidR="00E8114C">
        <w:rPr>
          <w:rFonts w:ascii="Times New Roman" w:hAnsi="Times New Roman" w:cs="Times New Roman"/>
          <w:sz w:val="24"/>
          <w:szCs w:val="24"/>
          <w:lang w:val="en-GB"/>
        </w:rPr>
        <w:t xml:space="preserve"> the</w:t>
      </w:r>
      <w:r w:rsidRPr="75A96201">
        <w:rPr>
          <w:rFonts w:ascii="Times New Roman" w:hAnsi="Times New Roman" w:cs="Times New Roman"/>
          <w:sz w:val="24"/>
          <w:szCs w:val="24"/>
          <w:lang w:val="en-GB"/>
        </w:rPr>
        <w:t xml:space="preserve"> </w:t>
      </w:r>
      <w:r w:rsidR="006630AD" w:rsidRPr="75A96201">
        <w:rPr>
          <w:rFonts w:ascii="Times New Roman" w:hAnsi="Times New Roman" w:cs="Times New Roman"/>
          <w:i/>
          <w:iCs/>
          <w:sz w:val="24"/>
          <w:szCs w:val="24"/>
          <w:lang w:val="en-GB"/>
        </w:rPr>
        <w:t xml:space="preserve">Enhanced Scrapping </w:t>
      </w:r>
      <w:r w:rsidRPr="75A96201">
        <w:rPr>
          <w:rFonts w:ascii="Times New Roman" w:hAnsi="Times New Roman" w:cs="Times New Roman"/>
          <w:sz w:val="24"/>
          <w:szCs w:val="24"/>
          <w:lang w:val="en-GB"/>
        </w:rPr>
        <w:t xml:space="preserve">platforms lies in their ability to involve multiple sides of actors belonging to different supply chains. </w:t>
      </w:r>
      <w:r w:rsidR="006630AD">
        <w:rPr>
          <w:rFonts w:ascii="Times New Roman" w:hAnsi="Times New Roman" w:cs="Times New Roman"/>
          <w:sz w:val="24"/>
          <w:szCs w:val="24"/>
          <w:lang w:val="en-GB"/>
        </w:rPr>
        <w:t>T</w:t>
      </w:r>
      <w:r w:rsidRPr="75A96201">
        <w:rPr>
          <w:rFonts w:ascii="Times New Roman" w:hAnsi="Times New Roman" w:cs="Times New Roman"/>
          <w:sz w:val="24"/>
          <w:szCs w:val="24"/>
          <w:lang w:val="en-GB"/>
        </w:rPr>
        <w:t xml:space="preserve">his </w:t>
      </w:r>
      <w:r w:rsidR="006630AD">
        <w:rPr>
          <w:rFonts w:ascii="Times New Roman" w:hAnsi="Times New Roman" w:cs="Times New Roman"/>
          <w:sz w:val="24"/>
          <w:szCs w:val="24"/>
          <w:lang w:val="en-GB"/>
        </w:rPr>
        <w:t xml:space="preserve">is not the case for </w:t>
      </w:r>
      <w:r w:rsidR="00E8114C">
        <w:rPr>
          <w:rFonts w:ascii="Times New Roman" w:hAnsi="Times New Roman" w:cs="Times New Roman"/>
          <w:sz w:val="24"/>
          <w:szCs w:val="24"/>
          <w:lang w:val="en-GB"/>
        </w:rPr>
        <w:t xml:space="preserve">the </w:t>
      </w:r>
      <w:r w:rsidRPr="75A96201">
        <w:rPr>
          <w:rFonts w:ascii="Times New Roman" w:hAnsi="Times New Roman" w:cs="Times New Roman"/>
          <w:i/>
          <w:iCs/>
          <w:sz w:val="24"/>
          <w:szCs w:val="24"/>
          <w:lang w:val="en-GB"/>
        </w:rPr>
        <w:t>Limited Scrapping</w:t>
      </w:r>
      <w:r w:rsidRPr="75A96201">
        <w:rPr>
          <w:rFonts w:ascii="Times New Roman" w:hAnsi="Times New Roman" w:cs="Times New Roman"/>
          <w:sz w:val="24"/>
          <w:szCs w:val="24"/>
          <w:lang w:val="en-GB"/>
        </w:rPr>
        <w:t xml:space="preserve"> platforms</w:t>
      </w:r>
      <w:r w:rsidR="006630AD">
        <w:rPr>
          <w:rFonts w:ascii="Times New Roman" w:hAnsi="Times New Roman" w:cs="Times New Roman"/>
          <w:sz w:val="24"/>
          <w:szCs w:val="24"/>
          <w:lang w:val="en-GB"/>
        </w:rPr>
        <w:t>, whose</w:t>
      </w:r>
      <w:r w:rsidRPr="75A96201">
        <w:rPr>
          <w:rFonts w:ascii="Times New Roman" w:hAnsi="Times New Roman" w:cs="Times New Roman"/>
          <w:sz w:val="24"/>
          <w:szCs w:val="24"/>
          <w:lang w:val="en-GB"/>
        </w:rPr>
        <w:t xml:space="preserve"> </w:t>
      </w:r>
      <w:r w:rsidR="006630AD" w:rsidRPr="75A96201">
        <w:rPr>
          <w:rFonts w:ascii="Times New Roman" w:hAnsi="Times New Roman" w:cs="Times New Roman"/>
          <w:sz w:val="24"/>
          <w:szCs w:val="24"/>
          <w:lang w:val="en-GB"/>
        </w:rPr>
        <w:t>main added value lies in the proper identification, collection, and treatment of waste streams rather than the subsequent exploitation of secondary raw materials coming from recycling activities</w:t>
      </w:r>
      <w:r w:rsidR="006630AD">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due to the idiosyncratic characteristics of the supply chains addressed by these platforms</w:t>
      </w:r>
      <w:r w:rsidR="006630AD">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i.e., very fragmented ones). </w:t>
      </w:r>
      <w:r w:rsidRPr="75A96201">
        <w:rPr>
          <w:rFonts w:ascii="Times New Roman" w:hAnsi="Times New Roman" w:cs="Times New Roman"/>
          <w:i/>
          <w:iCs/>
          <w:sz w:val="24"/>
          <w:szCs w:val="24"/>
          <w:lang w:val="en-GB"/>
        </w:rPr>
        <w:t xml:space="preserve">Stretching </w:t>
      </w:r>
      <w:r w:rsidRPr="75A96201">
        <w:rPr>
          <w:rFonts w:ascii="Times New Roman" w:hAnsi="Times New Roman" w:cs="Times New Roman"/>
          <w:sz w:val="24"/>
          <w:szCs w:val="24"/>
          <w:lang w:val="en-GB"/>
        </w:rPr>
        <w:t xml:space="preserve">and </w:t>
      </w:r>
      <w:r w:rsidRPr="75A96201">
        <w:rPr>
          <w:rFonts w:ascii="Times New Roman" w:hAnsi="Times New Roman" w:cs="Times New Roman"/>
          <w:i/>
          <w:iCs/>
          <w:sz w:val="24"/>
          <w:szCs w:val="24"/>
          <w:lang w:val="en-GB"/>
        </w:rPr>
        <w:t xml:space="preserve">Switching </w:t>
      </w:r>
      <w:r w:rsidRPr="75A96201">
        <w:rPr>
          <w:rFonts w:ascii="Times New Roman" w:hAnsi="Times New Roman" w:cs="Times New Roman"/>
          <w:sz w:val="24"/>
          <w:szCs w:val="24"/>
          <w:lang w:val="en-GB"/>
        </w:rPr>
        <w:t>platforms</w:t>
      </w:r>
      <w:r w:rsidRPr="75A96201">
        <w:rPr>
          <w:rFonts w:ascii="Times New Roman" w:hAnsi="Times New Roman" w:cs="Times New Roman"/>
          <w:i/>
          <w:iCs/>
          <w:sz w:val="24"/>
          <w:szCs w:val="24"/>
          <w:lang w:val="en-GB"/>
        </w:rPr>
        <w:t xml:space="preserve"> </w:t>
      </w:r>
      <w:r w:rsidR="00E8114C">
        <w:rPr>
          <w:rFonts w:ascii="Times New Roman" w:hAnsi="Times New Roman" w:cs="Times New Roman"/>
          <w:sz w:val="24"/>
          <w:szCs w:val="24"/>
          <w:lang w:val="en-GB"/>
        </w:rPr>
        <w:t>include</w:t>
      </w:r>
      <w:r w:rsidRPr="75A96201">
        <w:rPr>
          <w:rFonts w:ascii="Times New Roman" w:hAnsi="Times New Roman" w:cs="Times New Roman"/>
          <w:sz w:val="24"/>
          <w:szCs w:val="24"/>
          <w:lang w:val="en-GB"/>
        </w:rPr>
        <w:t xml:space="preserve"> a very limited number of cases. This evidence </w:t>
      </w:r>
      <w:r w:rsidRPr="75A96201">
        <w:rPr>
          <w:rFonts w:ascii="Times New Roman" w:hAnsi="Times New Roman" w:cs="Times New Roman"/>
          <w:sz w:val="24"/>
          <w:szCs w:val="24"/>
          <w:lang w:val="en-US"/>
        </w:rPr>
        <w:t xml:space="preserve">is consistent with the fact that they facilitate the implementation of </w:t>
      </w:r>
      <w:r w:rsidR="008E1FDA">
        <w:rPr>
          <w:rFonts w:ascii="Times New Roman" w:hAnsi="Times New Roman" w:cs="Times New Roman"/>
          <w:sz w:val="24"/>
          <w:szCs w:val="24"/>
          <w:lang w:val="en-US"/>
        </w:rPr>
        <w:t>managerial</w:t>
      </w:r>
      <w:r w:rsidR="008E1FDA"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practices</w:t>
      </w:r>
      <w:r w:rsidRPr="75A96201">
        <w:rPr>
          <w:rFonts w:ascii="Times New Roman" w:hAnsi="Times New Roman" w:cs="Times New Roman"/>
          <w:sz w:val="24"/>
          <w:szCs w:val="24"/>
          <w:lang w:val="en-GB"/>
        </w:rPr>
        <w:t xml:space="preserve"> that require an intervention on resources (i.e., repair, </w:t>
      </w:r>
      <w:r w:rsidRPr="75A96201">
        <w:rPr>
          <w:rFonts w:ascii="Times New Roman" w:hAnsi="Times New Roman" w:cs="Times New Roman"/>
          <w:sz w:val="24"/>
          <w:szCs w:val="24"/>
          <w:lang w:val="en-GB"/>
        </w:rPr>
        <w:lastRenderedPageBreak/>
        <w:t xml:space="preserve">refurbish, remanufacture, and repurpose), which are more difficult to be implemented compared to </w:t>
      </w:r>
      <w:r w:rsidRPr="00E8114C">
        <w:rPr>
          <w:rFonts w:ascii="Times New Roman" w:hAnsi="Times New Roman" w:cs="Times New Roman"/>
          <w:sz w:val="24"/>
          <w:szCs w:val="24"/>
          <w:lang w:val="en-GB"/>
        </w:rPr>
        <w:t>recycle and</w:t>
      </w:r>
      <w:r w:rsidR="00E8114C">
        <w:rPr>
          <w:rFonts w:ascii="Times New Roman" w:hAnsi="Times New Roman" w:cs="Times New Roman"/>
          <w:sz w:val="24"/>
          <w:szCs w:val="24"/>
          <w:lang w:val="en-GB"/>
        </w:rPr>
        <w:t xml:space="preserve"> reuse</w:t>
      </w:r>
      <w:r w:rsidRPr="75A96201">
        <w:rPr>
          <w:rFonts w:ascii="Times New Roman" w:hAnsi="Times New Roman" w:cs="Times New Roman"/>
          <w:sz w:val="24"/>
          <w:szCs w:val="24"/>
          <w:lang w:val="en-GB"/>
        </w:rPr>
        <w:t xml:space="preserve"> practices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{"citationItems":[{"id":"ITEM-1","itemData":{"DOI":"10.1016/J.RESCONREC.2019.104553","ISSN":"0921-3449","abstract":"The transition to a circular economy requires actions and policies. In the praxis of governance, a common way to steer the transition to a different state proceeds through the setting of targets. Thus far, no study has investigated circular economy targets in a systematic way. To bridge this gap, this study examines which targets can facilitate the transition towards a circular economy. The analysis focuses both on existing and new targets; the latter complement existing targets which are limited to a few discrete cases addressing only partially the goal of a more circular economy. A framework based on 10 common circular economy strategies (i.e. recover, recycling, repurpose, remanufacture, refurbish, repair, re-use, reduce, rethink, refuse) is applied to scrutinise the selected targets. The study clarifies that existing targets for recovery and recycling do not necessarily promote a circular economy, though they are the most commonly applied targets so far. Because of lack of efficacy of recovery and recycling, targets should instead favour other more powerful circular economy strategies. In relation to these, the study looks into new and existing targets showing how they can reduce waste, increase efficiency, close production loops, and maximise retention of the economic value of materials and products. In particular, the study proposes an expanded set of brand new targets for the transition to a circular economy together with a fresh view on targets aimed at scholars and decision-makers alike.","author":[{"dropping-particle":"","family":"Morseletto","given":"Piero","non-dropping-particle":"","parse-names":false,"suffix":""}],"container-title":"Resources, Conservation and Recycling","id":"ITEM-1","issued":{"date-parts":[["2020","2","1"]]},"page":"104553","publisher":"Elsevier","title":"Targets for a circular economy","type":"article-journal","volume":"153"},"uris":["http://www.mendeley.com/documents/?uuid=b8c8ec4f-9e6f-3f3e-9a26-677892f49257"]}],"mendeley":{"formattedCitation":"(Morseletto, 2020)","plainTextFormattedCitation":"(Morseletto, 2020)","previouslyFormattedCitation":"(Morseletto,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(Morseletto,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Nevertheless, by showing the ability of MSPs to facilitate such practices, the empirical analysis sheds light on this further promising role that can be played by MSPs to implement CE principles in </w:t>
      </w:r>
      <w:r w:rsidR="00F969C7">
        <w:rPr>
          <w:rFonts w:ascii="Times New Roman" w:hAnsi="Times New Roman" w:cs="Times New Roman"/>
          <w:sz w:val="24"/>
          <w:szCs w:val="24"/>
          <w:lang w:val="en-GB"/>
        </w:rPr>
        <w:t>the</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Finally, </w:t>
      </w:r>
      <w:r w:rsidRPr="75A96201">
        <w:rPr>
          <w:rFonts w:ascii="Times New Roman" w:hAnsi="Times New Roman" w:cs="Times New Roman"/>
          <w:i/>
          <w:iCs/>
          <w:sz w:val="24"/>
          <w:szCs w:val="24"/>
          <w:lang w:val="en-GB"/>
        </w:rPr>
        <w:t xml:space="preserve">Specialized Swapping </w:t>
      </w:r>
      <w:r w:rsidRPr="75A96201">
        <w:rPr>
          <w:rFonts w:ascii="Times New Roman" w:hAnsi="Times New Roman" w:cs="Times New Roman"/>
          <w:sz w:val="24"/>
          <w:szCs w:val="24"/>
          <w:lang w:val="en-GB"/>
        </w:rPr>
        <w:t xml:space="preserve">and </w:t>
      </w:r>
      <w:r w:rsidRPr="75A96201">
        <w:rPr>
          <w:rFonts w:ascii="Times New Roman" w:hAnsi="Times New Roman" w:cs="Times New Roman"/>
          <w:i/>
          <w:iCs/>
          <w:sz w:val="24"/>
          <w:szCs w:val="24"/>
          <w:lang w:val="en-GB"/>
        </w:rPr>
        <w:t>Generic</w:t>
      </w:r>
      <w:r w:rsidRPr="75A96201">
        <w:rPr>
          <w:rFonts w:ascii="Times New Roman" w:hAnsi="Times New Roman" w:cs="Times New Roman"/>
          <w:sz w:val="24"/>
          <w:szCs w:val="24"/>
          <w:lang w:val="en-GB"/>
        </w:rPr>
        <w:t xml:space="preserve"> </w:t>
      </w:r>
      <w:r w:rsidRPr="75A96201">
        <w:rPr>
          <w:rFonts w:ascii="Times New Roman" w:hAnsi="Times New Roman" w:cs="Times New Roman"/>
          <w:i/>
          <w:iCs/>
          <w:sz w:val="24"/>
          <w:szCs w:val="24"/>
          <w:lang w:val="en-GB"/>
        </w:rPr>
        <w:t xml:space="preserve">Swapping </w:t>
      </w:r>
      <w:r w:rsidRPr="75A96201">
        <w:rPr>
          <w:rFonts w:ascii="Times New Roman" w:hAnsi="Times New Roman" w:cs="Times New Roman"/>
          <w:sz w:val="24"/>
          <w:szCs w:val="24"/>
          <w:lang w:val="en-GB"/>
        </w:rPr>
        <w:t xml:space="preserve">platforms </w:t>
      </w:r>
      <w:r w:rsidR="006630AD">
        <w:rPr>
          <w:rFonts w:ascii="Times New Roman" w:hAnsi="Times New Roman" w:cs="Times New Roman"/>
          <w:sz w:val="24"/>
          <w:szCs w:val="24"/>
          <w:lang w:val="en-GB"/>
        </w:rPr>
        <w:t xml:space="preserve">that </w:t>
      </w:r>
      <w:r w:rsidRPr="75A96201">
        <w:rPr>
          <w:rFonts w:ascii="Times New Roman" w:hAnsi="Times New Roman" w:cs="Times New Roman"/>
          <w:sz w:val="24"/>
          <w:szCs w:val="24"/>
          <w:lang w:val="en-GB"/>
        </w:rPr>
        <w:t>enabl</w:t>
      </w:r>
      <w:r w:rsidR="006630AD">
        <w:rPr>
          <w:rFonts w:ascii="Times New Roman" w:hAnsi="Times New Roman" w:cs="Times New Roman"/>
          <w:sz w:val="24"/>
          <w:szCs w:val="24"/>
          <w:lang w:val="en-GB"/>
        </w:rPr>
        <w:t>e</w:t>
      </w:r>
      <w:r w:rsidRPr="75A96201">
        <w:rPr>
          <w:rFonts w:ascii="Times New Roman" w:hAnsi="Times New Roman" w:cs="Times New Roman"/>
          <w:sz w:val="24"/>
          <w:szCs w:val="24"/>
          <w:lang w:val="en-GB"/>
        </w:rPr>
        <w:t xml:space="preserve"> the reuse practice are the clusters with the highest number of </w:t>
      </w:r>
      <w:r w:rsidR="001071F6">
        <w:rPr>
          <w:rFonts w:ascii="Times New Roman" w:hAnsi="Times New Roman" w:cs="Times New Roman"/>
          <w:sz w:val="24"/>
          <w:szCs w:val="24"/>
          <w:lang w:val="en-GB"/>
        </w:rPr>
        <w:t>cases</w:t>
      </w:r>
      <w:r w:rsidR="001071F6"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(including </w:t>
      </w:r>
      <w:r w:rsidR="006630AD">
        <w:rPr>
          <w:rFonts w:ascii="Times New Roman" w:hAnsi="Times New Roman" w:cs="Times New Roman"/>
          <w:sz w:val="24"/>
          <w:szCs w:val="24"/>
          <w:lang w:val="en-GB"/>
        </w:rPr>
        <w:t>ten</w:t>
      </w:r>
      <w:r w:rsidR="006630AD"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and </w:t>
      </w:r>
      <w:r w:rsidR="006630AD">
        <w:rPr>
          <w:rFonts w:ascii="Times New Roman" w:hAnsi="Times New Roman" w:cs="Times New Roman"/>
          <w:sz w:val="24"/>
          <w:szCs w:val="24"/>
          <w:lang w:val="en-GB"/>
        </w:rPr>
        <w:t>eight</w:t>
      </w:r>
      <w:r w:rsidRPr="75A96201">
        <w:rPr>
          <w:rFonts w:ascii="Times New Roman" w:hAnsi="Times New Roman" w:cs="Times New Roman"/>
          <w:sz w:val="24"/>
          <w:szCs w:val="24"/>
          <w:lang w:val="en-GB"/>
        </w:rPr>
        <w:t xml:space="preserve"> MSPs out of the 26 platforms analysed, respectively). This evidence is consistent with the existing literature, which argues that</w:t>
      </w:r>
      <w:r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GB"/>
        </w:rPr>
        <w:t xml:space="preserve">MSPs have mainly spread to foster the reutilization of resources, as well as </w:t>
      </w:r>
      <w:r w:rsidRPr="75A96201">
        <w:rPr>
          <w:rFonts w:ascii="Times New Roman" w:hAnsi="Times New Roman" w:cs="Times New Roman"/>
          <w:sz w:val="24"/>
          <w:szCs w:val="24"/>
          <w:lang w:val="en-US"/>
        </w:rPr>
        <w:t xml:space="preserve">a reduction of material throughput </w:t>
      </w:r>
      <w:r w:rsidR="001071F6">
        <w:rPr>
          <w:rFonts w:ascii="Times New Roman" w:hAnsi="Times New Roman" w:cs="Times New Roman"/>
          <w:sz w:val="24"/>
          <w:szCs w:val="24"/>
          <w:lang w:val="en-US"/>
        </w:rPr>
        <w:t>via</w:t>
      </w:r>
      <w:r w:rsidR="001071F6"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shared use/access/ownership</w:t>
      </w:r>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{"citationItems":[{"id":"ITEM-1","itemData":{"DOI":"10.1016/J.JCLEPRO.2019.118528","ISSN":"0959-6526","abstract":"The circular economy (CE) concept is much-heralded among policy-makers, scholars and industry professionals as an accelerated pathway towards sustainability. This move away from the dominant linear system where products are discarded at the end of product lifecycle is deemed necessary since it is the main cause of an accelerated resource consumption. Business models are considered as a key enabler for the shift from a linear to a CE. However, research on circular business models has mainly focused on circular approaches adopted by incumbent firms, while the contributions of newly established firms (the authors call these ’circular start-ups’) have been largely overlooked. This article scrutinises the business models of circular start-ups and how they may differ from those of incumbent firms embracing CE. For this, it analyses the circular business model strategies and innovations adopted by circular start-ups, relying on a novel data sample of 128 circular start-ups identified in three major CE ecosystems in Europe: the Randstad region in the Netherlands, Berlin and London. Based on this data, a novel typology of circular start-ups is proposed, distinguishing between five circular start-up archetypes: design-based, waste-based, platform-based, service-based and nature-based start-ups. The results also show that circular start-ups tend to embrace strategies corresponding to higher levels of circularity than those of incumbents. This preliminarily suggests that circular start-ups can indeed make major contributions to transitioning towards CE.","author":[{"dropping-particle":"","family":"Henry","given":"Marvin","non-dropping-particle":"","parse-names":false,"suffix":""},{"dropping-particle":"","family":"Bauwens","given":"Thomas","non-dropping-particle":"","parse-names":false,"suffix":""},{"dropping-particle":"","family":"Hekkert","given":"Marko","non-dropping-particle":"","parse-names":false,"suffix":""},{"dropping-particle":"","family":"Kirchherr","given":"Julian","non-dropping-particle":"","parse-names":false,"suffix":""}],"container-title":"Journal of Cleaner Production","id":"ITEM-1","issued":{"date-parts":[["2020"]]},"page":"118528","publisher":"Elsevier","title":"A typology of circular start-ups: An Analysis of 128 circular business models","type":"article-journal","volume":"245"},"uris":["http://www.mendeley.com/documents/?uuid=5ee70ed3-235b-3efe-851e-e2659db8b1cd"]}],"mendeley":{"formattedCitation":"(Henry et al., 2020)","plainTextFormattedCitation":"(Henry et al., 2020)","previouslyFormattedCitation":"(Henry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(Henry et al.,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p>
    <w:p w14:paraId="701C453C" w14:textId="63EBC186" w:rsidR="00A7619A" w:rsidRDefault="00A7619A" w:rsidP="00A7619A">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Moreover,</w:t>
      </w:r>
      <w:r>
        <w:rPr>
          <w:rFonts w:ascii="Times New Roman" w:hAnsi="Times New Roman" w:cs="Times New Roman"/>
          <w:sz w:val="24"/>
          <w:szCs w:val="24"/>
          <w:lang w:val="en-GB"/>
        </w:rPr>
        <w:t xml:space="preserve"> it is worth mentioning that, </w:t>
      </w:r>
      <w:r w:rsidRPr="75A96201">
        <w:rPr>
          <w:rFonts w:ascii="Times New Roman" w:hAnsi="Times New Roman" w:cs="Times New Roman"/>
          <w:sz w:val="24"/>
          <w:szCs w:val="24"/>
          <w:lang w:val="en-GB"/>
        </w:rPr>
        <w:t xml:space="preserve">while the vast majority of MSPs facilitate a single </w:t>
      </w:r>
      <w:r w:rsidR="00F969C7">
        <w:rPr>
          <w:rFonts w:ascii="Times New Roman" w:hAnsi="Times New Roman" w:cs="Times New Roman"/>
          <w:sz w:val="24"/>
          <w:szCs w:val="24"/>
          <w:lang w:val="en-GB"/>
        </w:rPr>
        <w:t>managerial</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practice, </w:t>
      </w:r>
      <w:r>
        <w:rPr>
          <w:rFonts w:ascii="Times New Roman" w:hAnsi="Times New Roman" w:cs="Times New Roman"/>
          <w:sz w:val="24"/>
          <w:szCs w:val="24"/>
          <w:lang w:val="en-GB"/>
        </w:rPr>
        <w:t>a few</w:t>
      </w:r>
      <w:r w:rsidRPr="75A96201">
        <w:rPr>
          <w:rFonts w:ascii="Times New Roman" w:hAnsi="Times New Roman" w:cs="Times New Roman"/>
          <w:sz w:val="24"/>
          <w:szCs w:val="24"/>
          <w:lang w:val="en-GB"/>
        </w:rPr>
        <w:t xml:space="preserve"> MSPs concurrently facilitate more </w:t>
      </w:r>
      <w:r w:rsidR="00F969C7">
        <w:rPr>
          <w:rFonts w:ascii="Times New Roman" w:hAnsi="Times New Roman" w:cs="Times New Roman"/>
          <w:sz w:val="24"/>
          <w:szCs w:val="24"/>
          <w:lang w:val="en-GB"/>
        </w:rPr>
        <w:t>managerial</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practices. Indeed,</w:t>
      </w:r>
      <w:r>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Circularity, Excess Materials Exchange, </w:t>
      </w:r>
      <w:proofErr w:type="spellStart"/>
      <w:r w:rsidRPr="75A96201">
        <w:rPr>
          <w:rFonts w:ascii="Times New Roman" w:hAnsi="Times New Roman" w:cs="Times New Roman"/>
          <w:sz w:val="24"/>
          <w:szCs w:val="24"/>
          <w:lang w:val="en-GB"/>
        </w:rPr>
        <w:t>Fixfirst</w:t>
      </w:r>
      <w:proofErr w:type="spellEnd"/>
      <w:r w:rsidRPr="75A96201">
        <w:rPr>
          <w:rFonts w:ascii="Times New Roman" w:hAnsi="Times New Roman" w:cs="Times New Roman"/>
          <w:sz w:val="24"/>
          <w:szCs w:val="24"/>
          <w:lang w:val="en-GB"/>
        </w:rPr>
        <w:t xml:space="preserve">, Materials Marketplace, and </w:t>
      </w:r>
      <w:proofErr w:type="spellStart"/>
      <w:r w:rsidRPr="75A96201">
        <w:rPr>
          <w:rFonts w:ascii="Times New Roman" w:hAnsi="Times New Roman" w:cs="Times New Roman"/>
          <w:sz w:val="24"/>
          <w:szCs w:val="24"/>
          <w:lang w:val="en-GB"/>
        </w:rPr>
        <w:t>Sfridoo</w:t>
      </w:r>
      <w:proofErr w:type="spellEnd"/>
      <w:r w:rsidRPr="75A96201">
        <w:rPr>
          <w:rFonts w:ascii="Times New Roman" w:hAnsi="Times New Roman" w:cs="Times New Roman"/>
          <w:sz w:val="24"/>
          <w:szCs w:val="24"/>
          <w:lang w:val="en-GB"/>
        </w:rPr>
        <w:t xml:space="preserve"> facilitate </w:t>
      </w:r>
      <w:r>
        <w:rPr>
          <w:rFonts w:ascii="Times New Roman" w:hAnsi="Times New Roman" w:cs="Times New Roman"/>
          <w:sz w:val="24"/>
          <w:szCs w:val="24"/>
          <w:lang w:val="en-GB"/>
        </w:rPr>
        <w:t>different</w:t>
      </w:r>
      <w:r w:rsidRPr="75A96201">
        <w:rPr>
          <w:rFonts w:ascii="Times New Roman" w:hAnsi="Times New Roman" w:cs="Times New Roman"/>
          <w:sz w:val="24"/>
          <w:szCs w:val="24"/>
          <w:lang w:val="en-GB"/>
        </w:rPr>
        <w:t xml:space="preserve"> CBM practices</w:t>
      </w:r>
      <w:r>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thus showing their ability to cover different roles in enabling CSCs in </w:t>
      </w:r>
      <w:r w:rsidR="00F969C7">
        <w:rPr>
          <w:rFonts w:ascii="Times New Roman" w:hAnsi="Times New Roman" w:cs="Times New Roman"/>
          <w:sz w:val="24"/>
          <w:szCs w:val="24"/>
          <w:lang w:val="en-GB"/>
        </w:rPr>
        <w:t>the</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B2B setting</w:t>
      </w:r>
      <w:r>
        <w:rPr>
          <w:rFonts w:ascii="Times New Roman" w:hAnsi="Times New Roman" w:cs="Times New Roman"/>
          <w:sz w:val="24"/>
          <w:szCs w:val="24"/>
          <w:lang w:val="en-GB"/>
        </w:rPr>
        <w:t xml:space="preserve"> by </w:t>
      </w:r>
      <w:r w:rsidRPr="75A96201">
        <w:rPr>
          <w:rFonts w:ascii="Times New Roman" w:hAnsi="Times New Roman" w:cs="Times New Roman"/>
          <w:sz w:val="24"/>
          <w:szCs w:val="24"/>
          <w:lang w:val="en-GB"/>
        </w:rPr>
        <w:t>belong</w:t>
      </w:r>
      <w:r>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to two or more clusters.</w:t>
      </w:r>
    </w:p>
    <w:p w14:paraId="7AA54E76" w14:textId="220AA07D" w:rsidR="00EF0DBD" w:rsidRDefault="00000000" w:rsidP="007917E9">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Finally, the empirical analysis brings </w:t>
      </w:r>
      <w:r w:rsidR="00BE195B">
        <w:rPr>
          <w:rFonts w:ascii="Times New Roman" w:hAnsi="Times New Roman" w:cs="Times New Roman"/>
          <w:sz w:val="24"/>
          <w:szCs w:val="24"/>
          <w:lang w:val="en-GB"/>
        </w:rPr>
        <w:t>in</w:t>
      </w:r>
      <w:r w:rsidRPr="75A96201">
        <w:rPr>
          <w:rFonts w:ascii="Times New Roman" w:hAnsi="Times New Roman" w:cs="Times New Roman"/>
          <w:sz w:val="24"/>
          <w:szCs w:val="24"/>
          <w:lang w:val="en-GB"/>
        </w:rPr>
        <w:t xml:space="preserve">to light that some of the </w:t>
      </w:r>
      <w:r w:rsidR="00F969C7">
        <w:rPr>
          <w:rFonts w:ascii="Times New Roman" w:hAnsi="Times New Roman" w:cs="Times New Roman"/>
          <w:sz w:val="24"/>
          <w:szCs w:val="24"/>
          <w:lang w:val="en-GB"/>
        </w:rPr>
        <w:t>managerial</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practices enabling CSCs strategies that have been identified within the existing literature (see Table 1) are not facilitated by the </w:t>
      </w:r>
      <w:r w:rsidR="006630AD">
        <w:rPr>
          <w:rFonts w:ascii="Times New Roman" w:hAnsi="Times New Roman" w:cs="Times New Roman"/>
          <w:sz w:val="24"/>
          <w:szCs w:val="24"/>
          <w:lang w:val="en-GB"/>
        </w:rPr>
        <w:t>identified</w:t>
      </w:r>
      <w:r w:rsidR="006630AD"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MSPs. </w:t>
      </w:r>
      <w:r w:rsidR="00EC29E5">
        <w:rPr>
          <w:rFonts w:ascii="Times New Roman" w:hAnsi="Times New Roman" w:cs="Times New Roman"/>
          <w:sz w:val="24"/>
          <w:szCs w:val="24"/>
          <w:lang w:val="en-GB"/>
        </w:rPr>
        <w:t>A</w:t>
      </w:r>
      <w:r w:rsidRPr="75A96201">
        <w:rPr>
          <w:rFonts w:ascii="Times New Roman" w:hAnsi="Times New Roman" w:cs="Times New Roman"/>
          <w:sz w:val="24"/>
          <w:szCs w:val="24"/>
          <w:lang w:val="en-GB"/>
        </w:rPr>
        <w:t xml:space="preserve">mong the </w:t>
      </w:r>
      <w:r w:rsidR="00F969C7">
        <w:rPr>
          <w:rFonts w:ascii="Times New Roman" w:hAnsi="Times New Roman" w:cs="Times New Roman"/>
          <w:sz w:val="24"/>
          <w:szCs w:val="24"/>
          <w:lang w:val="en-GB"/>
        </w:rPr>
        <w:t>managerial</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practices enabling the narrowing strategy, the refuse, rethink, and reduce practices are not addressed by the </w:t>
      </w:r>
      <w:r w:rsidR="00EC29E5">
        <w:rPr>
          <w:rFonts w:ascii="Times New Roman" w:hAnsi="Times New Roman" w:cs="Times New Roman"/>
          <w:sz w:val="24"/>
          <w:szCs w:val="24"/>
          <w:lang w:val="en-GB"/>
        </w:rPr>
        <w:t>identified</w:t>
      </w:r>
      <w:r w:rsidR="00EC29E5"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MSPs. This evidence is consistent with existing literature, which stresses the potential role of MSPs in fostering resources reutilization as well as a reduction of material throughput </w:t>
      </w:r>
      <w:r w:rsidR="00A7619A">
        <w:rPr>
          <w:rFonts w:ascii="Times New Roman" w:hAnsi="Times New Roman" w:cs="Times New Roman"/>
          <w:sz w:val="24"/>
          <w:szCs w:val="24"/>
          <w:lang w:val="en-GB"/>
        </w:rPr>
        <w:t>via</w:t>
      </w:r>
      <w:r w:rsidR="00A7619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shared use/access/ownership, rather than refuse, rethink, and reduce practices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{"citationItems":[{"id":"ITEM-1","itemData":{"DOI":"10.1016/J.INDMARMAN.2019.07.001","ISSN":"00198501","abstract":"Multi-sided platforms, enabling interactions between different user sides, hold an important place in the contemporary economy. Current literature, focusing on established and successful platforms, has neglected to study B2B multi-sided platform adoption mechanisms. In this article, we analyze these mechanisms by investigating the case of dematerialization platforms for B2B transactions between the multiple actors involved in public works contracts. Various qualitative materials, including 28 semi-structured interviews, were gathered over a thirty-month period. Adopting a business user perspective, this study contributes to the literature on multi-sided platforms in various ways. We show that platform adoption, in project-based B2B contexts, is mainly constrained by a high level of affiliation costs and the existence of tight-interdependencies between users' activities at project level. Thus, a consecutive adoption path would result in negative cross-group network externalities and undermine the platform's attractiveness. Conversely, a concurrent adoption path would activate positive network externalities and encourage platform adoption decisions.","author":[{"dropping-particle":"","family":"Loux","given":"Patrick","non-dropping-particle":"","parse-names":false,"suffix":""},{"dropping-particle":"","family":"Aubry","given":"Mathilde","non-dropping-particle":"","parse-names":false,"suffix":""},{"dropping-particle":"","family":"Tran","given":"Sébastien","non-dropping-particle":"","parse-names":false,"suffix":""},{"dropping-particle":"","family":"Baudoin","given":"Emmanuel","non-dropping-particle":"","parse-names":false,"suffix":""}],"container-title":"Industrial Marketing Management","id":"ITEM-1","issued":{"date-parts":[["2020","1","1"]]},"page":"212-223","publisher":"Elsevier Inc.","title":"Multi-sided platforms in B2B contexts: The role of affiliation costs and interdependencies in adoption decisions","type":"article-journal","volume":"84"},"uris":["http://www.mendeley.com/documents/?uuid=137e3e9d-9687-317a-bbbf-16d5b25baab9"]}],"mendeley":{"formattedCitation":"(Loux et al., 2020)","manualFormatting":"(Trevisan et al., 2022)","plainTextFormattedCitation":"(Loux et al., 2020)","previouslyFormattedCitation":"(Loux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(Trevisan et al., 2022)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US"/>
        </w:rPr>
        <w:t xml:space="preserve">The only exemption is represented by the reduce practice, which has been advanced only recently within some studies dealing with platforms in </w:t>
      </w:r>
      <w:r w:rsidR="00F969C7">
        <w:rPr>
          <w:rFonts w:ascii="Times New Roman" w:hAnsi="Times New Roman" w:cs="Times New Roman"/>
          <w:sz w:val="24"/>
          <w:szCs w:val="24"/>
          <w:lang w:val="en-US"/>
        </w:rPr>
        <w:t xml:space="preserve">the </w:t>
      </w:r>
      <w:r w:rsidRPr="75A96201">
        <w:rPr>
          <w:rFonts w:ascii="Times New Roman" w:hAnsi="Times New Roman" w:cs="Times New Roman"/>
          <w:sz w:val="24"/>
          <w:szCs w:val="24"/>
          <w:lang w:val="en-US"/>
        </w:rPr>
        <w:t xml:space="preserve">B2B, B2C, and C2C settings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{"citationItems":[{"id":"ITEM-1","itemData":{"DOI":"10.1016/J.JCLEPRO.2019.118528","ISSN":"0959-6526","abstract":"The circular economy (CE) concept is much-heralded among policy-makers, scholars and industry professionals as an accelerated pathway towards sustainability. This move away from the dominant linear system where products are discarded at the end of product lifecycle is deemed necessary since it is the main cause of an accelerated resource consumption. Business models are considered as a key enabler for the shift from a linear to a CE. However, research on circular business models has mainly focused on circular approaches adopted by incumbent firms, while the contributions of newly established firms (the authors call these ’circular start-ups’) have been largely overlooked. This article scrutinises the business models of circular start-ups and how they may differ from those of incumbent firms embracing CE. For this, it analyses the circular business model strategies and innovations adopted by circular start-ups, relying on a novel data sample of 128 circular start-ups identified in three major CE ecosystems in Europe: the Randstad region in the Netherlands, Berlin and London. Based on this data, a novel typology of circular start-ups is proposed, distinguishing between five circular start-up archetypes: design-based, waste-based, platform-based, service-based and nature-based start-ups. The results also show that circular start-ups tend to embrace strategies corresponding to higher levels of circularity than those of incumbents. This preliminarily suggests that circular start-ups can indeed make major contributions to transitioning towards CE.","author":[{"dropping-particle":"","family":"Henry","given":"Marvin","non-dropping-particle":"","parse-names":false,"suffix":""},{"dropping-particle":"","family":"Bauwens","given":"Thomas","non-dropping-particle":"","parse-names":false,"suffix":""},{"dropping-particle":"","family":"Hekkert","given":"Marko","non-dropping-particle":"","parse-names":false,"suffix":""},{"dropping-particle":"","family":"Kirchherr","given":"Julian","non-dropping-particle":"","parse-names":false,"suffix":""}],"container-title":"Journal of Cleaner Production","id":"ITEM-1","issued":{"date-parts":[["2020"]]},"page":"118528","publisher":"Elsevier","title":"A typology of circular start-ups: An Analysis of 128 circular business models","type":"article-journal","volume":"245"},"uris":["http://www.mendeley.com/documents/?uuid=5ee70ed3-235b-3efe-851e-e2659db8b1cd"]}],"mendeley":{"formattedCitation":"(Henry et al., 2020)","manualFormatting":"(e.g., Henry et al., 2020)","plainTextFormattedCitation":"(Henry et al., 2020)","previouslyFormattedCitation":"(Henry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(e.g., Henry et al.,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w:t>
      </w:r>
      <w:r w:rsidRPr="75A96201">
        <w:rPr>
          <w:rFonts w:ascii="Times New Roman" w:hAnsi="Times New Roman" w:cs="Times New Roman"/>
          <w:color w:val="FF0000"/>
          <w:sz w:val="24"/>
          <w:szCs w:val="24"/>
          <w:lang w:val="en-US"/>
        </w:rPr>
        <w:t xml:space="preserve"> </w:t>
      </w:r>
      <w:r w:rsidR="00EC29E5">
        <w:rPr>
          <w:rFonts w:ascii="Times New Roman" w:hAnsi="Times New Roman" w:cs="Times New Roman"/>
          <w:sz w:val="24"/>
          <w:szCs w:val="24"/>
          <w:lang w:val="en-GB"/>
        </w:rPr>
        <w:t>Moreover</w:t>
      </w:r>
      <w:r w:rsidRPr="75A96201">
        <w:rPr>
          <w:rFonts w:ascii="Times New Roman" w:hAnsi="Times New Roman" w:cs="Times New Roman"/>
          <w:sz w:val="24"/>
          <w:szCs w:val="24"/>
          <w:lang w:val="en-GB"/>
        </w:rPr>
        <w:t xml:space="preserve">, among the </w:t>
      </w:r>
      <w:r w:rsidR="00F969C7">
        <w:rPr>
          <w:rFonts w:ascii="Times New Roman" w:hAnsi="Times New Roman" w:cs="Times New Roman"/>
          <w:sz w:val="24"/>
          <w:szCs w:val="24"/>
          <w:lang w:val="en-GB"/>
        </w:rPr>
        <w:t>managerial</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practices enabling the closing strategy, the recovery practice, which considers the incineration of products, is not addressed by the </w:t>
      </w:r>
      <w:r w:rsidR="00EC29E5">
        <w:rPr>
          <w:rFonts w:ascii="Times New Roman" w:hAnsi="Times New Roman" w:cs="Times New Roman"/>
          <w:sz w:val="24"/>
          <w:szCs w:val="24"/>
          <w:lang w:val="en-GB"/>
        </w:rPr>
        <w:t>identified</w:t>
      </w:r>
      <w:r w:rsidR="00EC29E5"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MSPs. </w:t>
      </w:r>
      <w:r w:rsidR="00C82BBB">
        <w:rPr>
          <w:rFonts w:ascii="Times New Roman" w:hAnsi="Times New Roman" w:cs="Times New Roman"/>
          <w:sz w:val="24"/>
          <w:szCs w:val="24"/>
          <w:lang w:val="en-GB"/>
        </w:rPr>
        <w:t>Also t</w:t>
      </w:r>
      <w:r w:rsidRPr="75A96201">
        <w:rPr>
          <w:rFonts w:ascii="Times New Roman" w:hAnsi="Times New Roman" w:cs="Times New Roman"/>
          <w:sz w:val="24"/>
          <w:szCs w:val="24"/>
          <w:lang w:val="en-GB"/>
        </w:rPr>
        <w:t xml:space="preserve">his evidence is consistent with existing literature, </w:t>
      </w:r>
      <w:r w:rsidR="00EC29E5">
        <w:rPr>
          <w:rFonts w:ascii="Times New Roman" w:hAnsi="Times New Roman" w:cs="Times New Roman"/>
          <w:sz w:val="24"/>
          <w:szCs w:val="24"/>
          <w:lang w:val="en-GB"/>
        </w:rPr>
        <w:t xml:space="preserve">which </w:t>
      </w:r>
      <w:r w:rsidRPr="75A96201">
        <w:rPr>
          <w:rFonts w:ascii="Times New Roman" w:hAnsi="Times New Roman" w:cs="Times New Roman"/>
          <w:sz w:val="24"/>
          <w:szCs w:val="24"/>
          <w:lang w:val="en-GB"/>
        </w:rPr>
        <w:t>highligh</w:t>
      </w:r>
      <w:r w:rsidR="00EC29E5">
        <w:rPr>
          <w:rFonts w:ascii="Times New Roman" w:hAnsi="Times New Roman" w:cs="Times New Roman"/>
          <w:sz w:val="24"/>
          <w:szCs w:val="24"/>
          <w:lang w:val="en-GB"/>
        </w:rPr>
        <w:t>ts</w:t>
      </w:r>
      <w:r w:rsidRPr="75A96201">
        <w:rPr>
          <w:rFonts w:ascii="Times New Roman" w:hAnsi="Times New Roman" w:cs="Times New Roman"/>
          <w:sz w:val="24"/>
          <w:szCs w:val="24"/>
          <w:lang w:val="en-GB"/>
        </w:rPr>
        <w:t xml:space="preserve"> that this practice is not related to the circulation of flows of resources</w:t>
      </w:r>
      <w:r w:rsidR="00EC29E5">
        <w:rPr>
          <w:rFonts w:ascii="Times New Roman" w:hAnsi="Times New Roman" w:cs="Times New Roman"/>
          <w:sz w:val="24"/>
          <w:szCs w:val="24"/>
          <w:lang w:val="en-GB"/>
        </w:rPr>
        <w:t xml:space="preserve"> that</w:t>
      </w:r>
      <w:r w:rsidRPr="75A96201">
        <w:rPr>
          <w:rFonts w:ascii="Times New Roman" w:hAnsi="Times New Roman" w:cs="Times New Roman"/>
          <w:sz w:val="24"/>
          <w:szCs w:val="24"/>
          <w:lang w:val="en-GB"/>
        </w:rPr>
        <w:t xml:space="preserve"> can be enabled by MSPs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{"citationItems":[{"id":"ITEM-1","itemData":{"DOI":"10.1016/J.JCLEPRO.2015.12.020","ISSN":"0959-6526","abstract":"A circular economy has been proposed as a sustainable alternative to our current linear economic system, mainly by recirculating material resources for new product development. To understand resource recirculation in practice, this paper analyses over 50 examples of products developed from discarded materials, categorising them into the recovery routes described in the circular economy literature. The examples were obtained during interviews with waste management professionals and designers who had developed products with discards. Practical challenges to implementing a circular economy were identified based on the example categorisation and comments from the interviews. The main difference observed was that the examples mostly recirculate resources to make different types of products, whereas a circular economy requires manufacturing companies to take back their own products to secure their material resources. This is partly because in practice the material collection system in place is waste management, rather than manufacturing-centred take-back systems. A revised model for recovery routes in society in which waste management is allocated an important role in facilitating material recirculation is therefore presented. The study highlights that current product design is facing a new challenge of anticipating social, economic and environmental challenges to realise the goals of a circular economy.","author":[{"dropping-particle":"","family":"Singh","given":"Jagdeep","non-dropping-particle":"","parse-names":false,"suffix":""},{"dropping-particle":"","family":"Ordoñez","given":"Isabel","non-dropping-particle":"","parse-names":false,"suffix":""}],"container-title":"Journal of Cleaner Production","id":"ITEM-1","issued":{"date-parts":[["2016","10","15"]]},"page":"342-353","publisher":"Elsevier","title":"Resource recovery from post-consumer waste: important lessons for the upcoming circular economy","type":"article-journal","volume":"134"},"uris":["http://www.mendeley.com/documents/?uuid=2830e578-03eb-3398-abc0-7e5a860bb1ad"]}],"mendeley":{"formattedCitation":"(Singh &amp; Ordoñez, 2016)","plainTextFormattedCitation":"(Singh &amp; Ordoñez, 2016)","previouslyFormattedCitation":"(Singh &amp; Ordoñez, 2016)"},"properties":{"noteIndex":0},"schema":"https://github.com/citation-style-language/schema/raw/master/csl-citation.json"}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(Singh &amp; Ordoñez, 2016)</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w:t>
      </w:r>
    </w:p>
    <w:p w14:paraId="10AB7951" w14:textId="77777777" w:rsidR="00B93D26" w:rsidRDefault="00B93D26" w:rsidP="007917E9">
      <w:pPr>
        <w:spacing w:after="0" w:line="360" w:lineRule="auto"/>
        <w:ind w:firstLine="284"/>
        <w:jc w:val="both"/>
        <w:rPr>
          <w:rFonts w:ascii="Times New Roman" w:hAnsi="Times New Roman" w:cs="Times New Roman"/>
          <w:sz w:val="24"/>
          <w:szCs w:val="24"/>
          <w:lang w:val="en-GB"/>
        </w:rPr>
      </w:pPr>
    </w:p>
    <w:p w14:paraId="1D59E3C5" w14:textId="77777777" w:rsidR="00B93D26" w:rsidRDefault="00000000" w:rsidP="00247672">
      <w:pPr>
        <w:spacing w:after="0"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5. Conclusions </w:t>
      </w:r>
    </w:p>
    <w:p w14:paraId="27CC6B02" w14:textId="070D12EC" w:rsidR="0091203D" w:rsidRDefault="005F05FE" w:rsidP="0091203D">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00974818" w:rsidRPr="75A96201">
        <w:rPr>
          <w:rFonts w:ascii="Times New Roman" w:hAnsi="Times New Roman" w:cs="Times New Roman"/>
          <w:sz w:val="24"/>
          <w:szCs w:val="24"/>
          <w:lang w:val="en-GB"/>
        </w:rPr>
        <w:t xml:space="preserve">he paper addresses the research question of how MSPs enable CSCs in </w:t>
      </w:r>
      <w:r w:rsidR="00F969C7">
        <w:rPr>
          <w:rFonts w:ascii="Times New Roman" w:hAnsi="Times New Roman" w:cs="Times New Roman"/>
          <w:sz w:val="24"/>
          <w:szCs w:val="24"/>
          <w:lang w:val="en-GB"/>
        </w:rPr>
        <w:t xml:space="preserve">the </w:t>
      </w:r>
      <w:r>
        <w:rPr>
          <w:rFonts w:ascii="Times New Roman" w:hAnsi="Times New Roman" w:cs="Times New Roman"/>
          <w:sz w:val="24"/>
          <w:szCs w:val="24"/>
          <w:lang w:val="en-GB"/>
        </w:rPr>
        <w:t>B2B setting b</w:t>
      </w:r>
      <w:r w:rsidRPr="75A96201">
        <w:rPr>
          <w:rFonts w:ascii="Times New Roman" w:hAnsi="Times New Roman" w:cs="Times New Roman"/>
          <w:sz w:val="24"/>
          <w:szCs w:val="24"/>
          <w:lang w:val="en-GB"/>
        </w:rPr>
        <w:t>y developing a taxonomy of MSPs that includes six clusters represent</w:t>
      </w:r>
      <w:r w:rsidR="005C335D">
        <w:rPr>
          <w:rFonts w:ascii="Times New Roman" w:hAnsi="Times New Roman" w:cs="Times New Roman"/>
          <w:sz w:val="24"/>
          <w:szCs w:val="24"/>
          <w:lang w:val="en-GB"/>
        </w:rPr>
        <w:t>ing</w:t>
      </w:r>
      <w:r w:rsidRPr="75A96201">
        <w:rPr>
          <w:rFonts w:ascii="Times New Roman" w:hAnsi="Times New Roman" w:cs="Times New Roman"/>
          <w:sz w:val="24"/>
          <w:szCs w:val="24"/>
          <w:lang w:val="en-GB"/>
        </w:rPr>
        <w:t xml:space="preserve"> the different roles these platforms may play in </w:t>
      </w:r>
      <w:r w:rsidR="00F969C7">
        <w:rPr>
          <w:rFonts w:ascii="Times New Roman" w:hAnsi="Times New Roman" w:cs="Times New Roman"/>
          <w:sz w:val="24"/>
          <w:szCs w:val="24"/>
          <w:lang w:val="en-GB"/>
        </w:rPr>
        <w:t>the</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B2B setting</w:t>
      </w:r>
      <w:r w:rsidR="00974818"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The</w:t>
      </w:r>
      <w:r>
        <w:rPr>
          <w:rFonts w:ascii="Times New Roman" w:hAnsi="Times New Roman" w:cs="Times New Roman"/>
          <w:sz w:val="24"/>
          <w:szCs w:val="24"/>
          <w:lang w:val="en-GB"/>
        </w:rPr>
        <w:t xml:space="preserve">se </w:t>
      </w:r>
      <w:r w:rsidRPr="75A96201">
        <w:rPr>
          <w:rFonts w:ascii="Times New Roman" w:hAnsi="Times New Roman" w:cs="Times New Roman"/>
          <w:sz w:val="24"/>
          <w:szCs w:val="24"/>
          <w:lang w:val="en-GB"/>
        </w:rPr>
        <w:t>role</w:t>
      </w:r>
      <w:r>
        <w:rPr>
          <w:rFonts w:ascii="Times New Roman" w:hAnsi="Times New Roman" w:cs="Times New Roman"/>
          <w:sz w:val="24"/>
          <w:szCs w:val="24"/>
          <w:lang w:val="en-GB"/>
        </w:rPr>
        <w:t>s</w:t>
      </w:r>
      <w:r w:rsidRPr="75A96201">
        <w:rPr>
          <w:rFonts w:ascii="Times New Roman" w:hAnsi="Times New Roman" w:cs="Times New Roman"/>
          <w:sz w:val="24"/>
          <w:szCs w:val="24"/>
          <w:lang w:val="en-GB"/>
        </w:rPr>
        <w:t xml:space="preserve"> </w:t>
      </w:r>
      <w:r>
        <w:rPr>
          <w:rFonts w:ascii="Times New Roman" w:hAnsi="Times New Roman" w:cs="Times New Roman"/>
          <w:sz w:val="24"/>
          <w:szCs w:val="24"/>
          <w:lang w:val="en-GB"/>
        </w:rPr>
        <w:t>are</w:t>
      </w:r>
      <w:r w:rsidRPr="75A96201">
        <w:rPr>
          <w:rFonts w:ascii="Times New Roman" w:hAnsi="Times New Roman" w:cs="Times New Roman"/>
          <w:sz w:val="24"/>
          <w:szCs w:val="24"/>
          <w:lang w:val="en-GB"/>
        </w:rPr>
        <w:t xml:space="preserve"> characterized </w:t>
      </w:r>
      <w:r>
        <w:rPr>
          <w:rFonts w:ascii="Times New Roman" w:hAnsi="Times New Roman" w:cs="Times New Roman"/>
          <w:sz w:val="24"/>
          <w:szCs w:val="24"/>
          <w:lang w:val="en-GB"/>
        </w:rPr>
        <w:t xml:space="preserve">by two dimensions, i.e., </w:t>
      </w:r>
      <w:r w:rsidRPr="75A96201">
        <w:rPr>
          <w:rFonts w:ascii="Times New Roman" w:hAnsi="Times New Roman" w:cs="Times New Roman"/>
          <w:sz w:val="24"/>
          <w:szCs w:val="24"/>
          <w:lang w:val="en-GB"/>
        </w:rPr>
        <w:t>the CSCs strategy that can be fulfilled through MSPs and the supply chain(s) involved by the resource loops to fulfil such strategy.</w:t>
      </w:r>
      <w:r w:rsidR="0091203D">
        <w:rPr>
          <w:rFonts w:ascii="Times New Roman" w:hAnsi="Times New Roman" w:cs="Times New Roman"/>
          <w:sz w:val="24"/>
          <w:szCs w:val="24"/>
          <w:lang w:val="en-GB"/>
        </w:rPr>
        <w:t xml:space="preserve"> </w:t>
      </w:r>
      <w:r w:rsidR="00974818" w:rsidRPr="75A96201">
        <w:rPr>
          <w:rFonts w:ascii="Times New Roman" w:hAnsi="Times New Roman" w:cs="Times New Roman"/>
          <w:sz w:val="24"/>
          <w:szCs w:val="24"/>
          <w:lang w:val="en-GB"/>
        </w:rPr>
        <w:t>To the best of the authors’ knowledge, the</w:t>
      </w:r>
      <w:r w:rsidR="00974818">
        <w:rPr>
          <w:rFonts w:ascii="Times New Roman" w:hAnsi="Times New Roman" w:cs="Times New Roman"/>
          <w:sz w:val="24"/>
          <w:szCs w:val="24"/>
          <w:lang w:val="en-GB"/>
        </w:rPr>
        <w:t xml:space="preserve"> proposed</w:t>
      </w:r>
      <w:r w:rsidR="00974818" w:rsidRPr="75A96201">
        <w:rPr>
          <w:rFonts w:ascii="Times New Roman" w:hAnsi="Times New Roman" w:cs="Times New Roman"/>
          <w:sz w:val="24"/>
          <w:szCs w:val="24"/>
          <w:lang w:val="en-GB"/>
        </w:rPr>
        <w:t xml:space="preserve"> taxonomy represents </w:t>
      </w:r>
      <w:r w:rsidR="00974818" w:rsidRPr="75A96201">
        <w:rPr>
          <w:rFonts w:ascii="Times New Roman" w:hAnsi="Times New Roman" w:cs="Times New Roman"/>
          <w:sz w:val="24"/>
          <w:szCs w:val="24"/>
          <w:lang w:val="en-GB"/>
        </w:rPr>
        <w:lastRenderedPageBreak/>
        <w:t xml:space="preserve">the first attempt to provide an overarching conceptualization of the </w:t>
      </w:r>
      <w:r w:rsidR="00974818">
        <w:rPr>
          <w:rFonts w:ascii="Times New Roman" w:hAnsi="Times New Roman" w:cs="Times New Roman"/>
          <w:sz w:val="24"/>
          <w:szCs w:val="24"/>
          <w:lang w:val="en-GB"/>
        </w:rPr>
        <w:t xml:space="preserve">different </w:t>
      </w:r>
      <w:r w:rsidR="00974818" w:rsidRPr="75A96201">
        <w:rPr>
          <w:rFonts w:ascii="Times New Roman" w:hAnsi="Times New Roman" w:cs="Times New Roman"/>
          <w:sz w:val="24"/>
          <w:szCs w:val="24"/>
          <w:lang w:val="en-GB"/>
        </w:rPr>
        <w:t xml:space="preserve">roles played by MSPs in enabling CSCs in </w:t>
      </w:r>
      <w:r w:rsidR="00F969C7">
        <w:rPr>
          <w:rFonts w:ascii="Times New Roman" w:hAnsi="Times New Roman" w:cs="Times New Roman"/>
          <w:sz w:val="24"/>
          <w:szCs w:val="24"/>
          <w:lang w:val="en-GB"/>
        </w:rPr>
        <w:t>the</w:t>
      </w:r>
      <w:r w:rsidR="00F969C7" w:rsidRPr="75A96201">
        <w:rPr>
          <w:rFonts w:ascii="Times New Roman" w:hAnsi="Times New Roman" w:cs="Times New Roman"/>
          <w:sz w:val="24"/>
          <w:szCs w:val="24"/>
          <w:lang w:val="en-GB"/>
        </w:rPr>
        <w:t xml:space="preserve"> </w:t>
      </w:r>
      <w:r w:rsidR="00974818" w:rsidRPr="75A96201">
        <w:rPr>
          <w:rFonts w:ascii="Times New Roman" w:hAnsi="Times New Roman" w:cs="Times New Roman"/>
          <w:sz w:val="24"/>
          <w:szCs w:val="24"/>
          <w:lang w:val="en-GB"/>
        </w:rPr>
        <w:t xml:space="preserve">B2B setting. </w:t>
      </w:r>
    </w:p>
    <w:p w14:paraId="6890D266" w14:textId="77777777" w:rsidR="00974818" w:rsidRDefault="00974818" w:rsidP="00247672">
      <w:pPr>
        <w:spacing w:after="0" w:line="360" w:lineRule="auto"/>
        <w:jc w:val="both"/>
        <w:rPr>
          <w:rFonts w:ascii="Times New Roman" w:hAnsi="Times New Roman" w:cs="Times New Roman"/>
          <w:b/>
          <w:bCs/>
          <w:sz w:val="24"/>
          <w:szCs w:val="24"/>
          <w:lang w:val="en-GB"/>
        </w:rPr>
      </w:pPr>
    </w:p>
    <w:p w14:paraId="1C83B567" w14:textId="77777777" w:rsidR="00B93D26" w:rsidRDefault="00000000" w:rsidP="0091203D">
      <w:pPr>
        <w:spacing w:after="0" w:line="360" w:lineRule="auto"/>
        <w:rPr>
          <w:rFonts w:ascii="Times New Roman" w:eastAsiaTheme="majorEastAsia" w:hAnsi="Times New Roman" w:cs="Times New Roman"/>
          <w:b/>
          <w:bCs/>
          <w:i/>
          <w:iCs/>
          <w:sz w:val="24"/>
          <w:szCs w:val="24"/>
          <w:lang w:val="en-GB"/>
        </w:rPr>
      </w:pPr>
      <w:r w:rsidRPr="00B507D0">
        <w:rPr>
          <w:rFonts w:ascii="Times New Roman" w:eastAsiaTheme="majorEastAsia" w:hAnsi="Times New Roman" w:cs="Times New Roman"/>
          <w:b/>
          <w:bCs/>
          <w:i/>
          <w:iCs/>
          <w:sz w:val="24"/>
          <w:szCs w:val="24"/>
          <w:lang w:val="en-GB"/>
        </w:rPr>
        <w:t>5.1</w:t>
      </w:r>
      <w:r>
        <w:rPr>
          <w:rFonts w:ascii="Times New Roman" w:eastAsiaTheme="majorEastAsia" w:hAnsi="Times New Roman" w:cs="Times New Roman"/>
          <w:b/>
          <w:bCs/>
          <w:i/>
          <w:iCs/>
          <w:sz w:val="24"/>
          <w:szCs w:val="24"/>
          <w:lang w:val="en-GB"/>
        </w:rPr>
        <w:t xml:space="preserve"> Implications for theory and practice</w:t>
      </w:r>
    </w:p>
    <w:p w14:paraId="46FCBD50" w14:textId="77777777" w:rsidR="00714E85" w:rsidRDefault="00000000" w:rsidP="0091203D">
      <w:pPr>
        <w:spacing w:after="0" w:line="360" w:lineRule="auto"/>
        <w:jc w:val="both"/>
        <w:rPr>
          <w:rFonts w:ascii="Times New Roman" w:eastAsiaTheme="majorEastAsia" w:hAnsi="Times New Roman" w:cs="Times New Roman"/>
          <w:sz w:val="24"/>
          <w:szCs w:val="24"/>
          <w:lang w:val="en-GB"/>
        </w:rPr>
      </w:pPr>
      <w:r w:rsidRPr="75A96201">
        <w:rPr>
          <w:rFonts w:ascii="Times New Roman" w:eastAsiaTheme="majorEastAsia" w:hAnsi="Times New Roman" w:cs="Times New Roman"/>
          <w:sz w:val="24"/>
          <w:szCs w:val="24"/>
          <w:lang w:val="en-GB"/>
        </w:rPr>
        <w:t xml:space="preserve">The paper provides several theoretical and practical contributions. From a theoretical perspective, it contributes in several ways to the research at the intersection between CBMs, CSCs, and MSPs. </w:t>
      </w:r>
    </w:p>
    <w:p w14:paraId="4E1177B1" w14:textId="77C7CC7D" w:rsidR="00B93D26" w:rsidRDefault="00000000" w:rsidP="00714E85">
      <w:pPr>
        <w:spacing w:after="0" w:line="360" w:lineRule="auto"/>
        <w:ind w:firstLine="284"/>
        <w:jc w:val="both"/>
        <w:rPr>
          <w:rFonts w:ascii="Times New Roman" w:eastAsiaTheme="majorEastAsia" w:hAnsi="Times New Roman" w:cs="Times New Roman"/>
          <w:sz w:val="24"/>
          <w:szCs w:val="24"/>
          <w:lang w:val="en-GB"/>
        </w:rPr>
      </w:pPr>
      <w:r w:rsidRPr="75A96201">
        <w:rPr>
          <w:rFonts w:ascii="Times New Roman" w:eastAsiaTheme="majorEastAsia" w:hAnsi="Times New Roman" w:cs="Times New Roman"/>
          <w:sz w:val="24"/>
          <w:szCs w:val="24"/>
          <w:lang w:val="en-GB"/>
        </w:rPr>
        <w:t>First, the CBM and CSC research streams</w:t>
      </w:r>
      <w:r w:rsidRPr="75A96201">
        <w:rPr>
          <w:rFonts w:ascii="Times New Roman" w:hAnsi="Times New Roman" w:cs="Times New Roman"/>
          <w:sz w:val="24"/>
          <w:szCs w:val="24"/>
          <w:lang w:val="en-GB"/>
        </w:rPr>
        <w:t xml:space="preserve"> still struggle to understand how companies and supply chains can make the transition towards CE, e.g., by redesigning their business model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{"citationItems":[{"id":"ITEM-1","itemData":{"DOI":"10.1016/J.RESCONREC.2019.104553","ISSN":"0921-3449","abstract":"The transition to a circular economy requires actions and policies. In the praxis of governance, a common way to steer the transition to a different state proceeds through the setting of targets. Thus far, no study has investigated circular economy targets in a systematic way. To bridge this gap, this study examines which targets can facilitate the transition towards a circular economy. The analysis focuses both on existing and new targets; the latter complement existing targets which are limited to a few discrete cases addressing only partially the goal of a more circular economy. A framework based on 10 common circular economy strategies (i.e. recover, recycling, repurpose, remanufacture, refurbish, repair, re-use, reduce, rethink, refuse) is applied to scrutinise the selected targets. The study clarifies that existing targets for recovery and recycling do not necessarily promote a circular economy, though they are the most commonly applied targets so far. Because of lack of efficacy of recovery and recycling, targets should instead favour other more powerful circular economy strategies. In relation to these, the study looks into new and existing targets showing how they can reduce waste, increase efficiency, close production loops, and maximise retention of the economic value of materials and products. In particular, the study proposes an expanded set of brand new targets for the transition to a circular economy together with a fresh view on targets aimed at scholars and decision-makers alike.","author":[{"dropping-particle":"","family":"Morseletto","given":"Piero","non-dropping-particle":"","parse-names":false,"suffix":""}],"container-title":"Resources, Conservation and Recycling","id":"ITEM-1","issued":{"date-parts":[["2020","2","1"]]},"page":"104553","publisher":"Elsevier","title":"Targets for a circular economy","type":"article-journal","volume":"153"},"uris":["http://www.mendeley.com/documents/?uuid=b8c8ec4f-9e6f-3f3e-9a26-677892f49257"]}],"mendeley":{"formattedCitation":"(Morseletto, 2020)","plainTextFormattedCitation":"(Morseletto, 2020)","previouslyFormattedCitation":"(Morseletto,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(Morseletto,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and inter-organizational collaborations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{"citationItems":[{"id":"ITEM-1","itemData":{"DOI":"10.1080/09537287.2018.1449244","ISSN":"13665871","abstract":"Circular modes of production, known as the circular economy, are welcomed in political and business circles to overcome the shortcomings of traditional linear operating models. This article presents preliminary propositions concerning implications for the development of what we term ‘circular supply chains’, defined here as the embodiment of circular economy principles within supply chain management. Our propositions are based on the following arguments: a shift from product ownership to leasing and access in supply chain relationships; the relevance of structural flexibility and start-ups in regional or local loops; open and closed material loops in technical and biological cycles; closer collaboration within and beyond immediate industry boundaries and public and private procurement in the service industry as a lever for the scaling up of circular business models. We discuss what these circular economy principles mean in terms of supply chain challenges and conclude with limitations and future research agenda.","author":[{"dropping-particle":"","family":"Angelis","given":"Roberta","non-dropping-particle":"De","parse-names":false,"suffix":""},{"dropping-particle":"","family":"Howard","given":"Mickey","non-dropping-particle":"","parse-names":false,"suffix":""},{"dropping-particle":"","family":"Miemczyk","given":"Joe","non-dropping-particle":"","parse-names":false,"suffix":""}],"container-title":"Production Planning and Control","id":"ITEM-1","issue":"6","issued":{"date-parts":[["2018"]]},"page":"425-437","title":"Supply chain management and the circular economy: towards the circular supply chain","type":"article-journal","volume":"29"},"uris":["http://www.mendeley.com/documents/?uuid=16dfbfce-396d-4da5-9047-d67405352fb4"]}],"mendeley":{"formattedCitation":"(De Angelis et al., 2018)","plainTextFormattedCitation":"(De Angelis et al., 2018)","previouslyFormattedCitation":"(De Angelis et al., 2018)"},"properties":{"noteIndex":0},"schema":"https://github.com/citation-style-language/schema/raw/master/csl-citation.json"}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(De Angelis et al., 2018)</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respectively. Recent research shows how the transition by companies towards CE becomes more powerful if it is embraced by a network of actors who either operate in the same supply chain, or even in different supply chains, rather than being conducted by individual companies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{"citationItems":[{"id":"ITEM-1","itemData":{"DOI":"10.1002/bse.2216","ISSN":"10990836","abstract":"Our aim is to provide a better understanding of a business model based on circular principles. In particular, we focus on two issues that support the development of a circular business model: (a) the focal actor as orchestrator of the circular network and (b) the circular ecosystem encompassing suppliers, customers, research centers, and public authorities, in which each actor/stakeholder plays a specific role, based on effective interorganizational relationships. The research method applied is an in-depth nested single case study of a circular project. Our results highlight an exemplar case of an ecosystemic business model in agriculture, involving different types of innovation and strong collaboration among network members, orchestrated by a focal firm. The abductive approach used led to the formulation of some research propositions and to the identification of some adoption factors and barriers to growth in circular business models.","author":[{"dropping-particle":"","family":"Zucchella","given":"Antonella","non-dropping-particle":"","parse-names":false,"suffix":""},{"dropping-particle":"","family":"Previtali","given":"Pietro","non-dropping-particle":"","parse-names":false,"suffix":""}],"container-title":"Business Strategy and the Environment","id":"ITEM-1","issue":"2","issued":{"date-parts":[["2019","2","1"]]},"page":"274-285","publisher":"John Wiley and Sons Ltd","title":"Circular business models for sustainable development: A “waste is food” restorative ecosystem","type":"article-journal","volume":"28"},"uris":["http://www.mendeley.com/documents/?uuid=465620ae-84fd-3f7a-bf05-92155ab392fb"]}],"mendeley":{"formattedCitation":"(Zucchella &amp; Previtali, 2019)","plainTextFormattedCitation":"(Zucchella &amp; Previtali, 2019)","previouslyFormattedCitation":"(Zucchella &amp; Previtali, 2019)"},"properties":{"noteIndex":0},"schema":"https://github.com/citation-style-language/schema/raw/master/csl-citation.json"}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(Zucchella &amp; Previtali, 2019)</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Accordingly, the paper </w:t>
      </w:r>
      <w:r w:rsidRPr="75A96201">
        <w:rPr>
          <w:rFonts w:ascii="Times New Roman" w:eastAsiaTheme="majorEastAsia" w:hAnsi="Times New Roman" w:cs="Times New Roman"/>
          <w:sz w:val="24"/>
          <w:szCs w:val="24"/>
          <w:lang w:val="en-GB"/>
        </w:rPr>
        <w:t xml:space="preserve">shows how inter-organizational collaborations among supply chain actors orchestrated by MSPs can effectively enable the implementation of different CE principles by companies </w:t>
      </w:r>
      <w:r w:rsidRPr="75A96201">
        <w:rPr>
          <w:rFonts w:ascii="Times New Roman" w:eastAsiaTheme="majorEastAsia" w:hAnsi="Times New Roman" w:cs="Times New Roman"/>
          <w:sz w:val="24"/>
          <w:szCs w:val="24"/>
          <w:lang w:val="en-GB"/>
        </w:rPr>
        <w:fldChar w:fldCharType="begin" w:fldLock="1"/>
      </w:r>
      <w:r w:rsidRPr="75A96201">
        <w:rPr>
          <w:rFonts w:ascii="Times New Roman" w:eastAsiaTheme="majorEastAsia" w:hAnsi="Times New Roman" w:cs="Times New Roman"/>
          <w:sz w:val="24"/>
          <w:szCs w:val="24"/>
          <w:lang w:val="en-GB"/>
        </w:rPr>
        <w:instrText>ADDIN CSL_CITATION {"citationItems":[{"id":"ITEM-1","itemData":{"DOI":"10.1016/j.indmarman.2020.01.004","abstract":"This paper explains the institutional logics of academia, and of practitioners within industry and government, as well as the alignment and misalignment that occurs when these actors collaborate. This is achieved by building on the theories on alignment and misalignment and institutional logics, whilst conducting an explorative case study of a circular economy cluster from the Tampere Region of Finland. This paper offers three main contributions: First, convergence and divergence of institutional logics by industry, government, and academic actors can lead to alignment and misalignment at three levels: actor-type, relationship, and system levels. Second, partial alignment and misalignment are found to be in-between modes of alignment, which challenges the idea that alignment and misalignment are dichotomous. Instead, alignment and misalignment should be seen as the two ends of a continuum. Third, alignment and misalignment are dynamic by nature, because institutional logics change and modify during collaboration. For practice, this paper gives advice on how collaboration between academia and practitioners can be advanced to achieve alignment and avoid misalignment.","author":[{"dropping-particle":"","family":"Bruun Ingstrup","given":"Mads","non-dropping-particle":"","parse-names":false,"suffix":""},{"dropping-particle":"","family":"Aarikka-Stenroos","given":"Leena","non-dropping-particle":"","parse-names":false,"suffix":""},{"dropping-particle":"","family":"Adlin","given":"Nillo","non-dropping-particle":"","parse-names":false,"suffix":""}],"container-title":"Industrial Marketing Management","id":"ITEM-1","issued":{"date-parts":[["2021"]]},"page":"267-276","title":"When institutional logics meet: Alignment and misalignment in collaboration between academia and practitioners","type":"article-journal","volume":"92"},"uris":["http://www.mendeley.com/documents/?uuid=63382c83-331d-3e43-a284-2844a1aa3b8d"]}],"mendeley":{"formattedCitation":"(Bruun Ingstrup et al., 2021)","plainTextFormattedCitation":"(Bruun Ingstrup et al., 2021)","previouslyFormattedCitation":"(Bruun Ingstrup et al., 2021)"},"properties":{"noteIndex":0},"schema":"https://github.com/citation-style-language/schema/raw/master/csl-citation.json"}</w:instrText>
      </w:r>
      <w:r w:rsidRPr="75A96201">
        <w:rPr>
          <w:rFonts w:ascii="Times New Roman" w:eastAsiaTheme="majorEastAsia" w:hAnsi="Times New Roman" w:cs="Times New Roman"/>
          <w:sz w:val="24"/>
          <w:szCs w:val="24"/>
          <w:lang w:val="en-GB"/>
        </w:rPr>
        <w:fldChar w:fldCharType="separate"/>
      </w:r>
      <w:r w:rsidRPr="75A96201">
        <w:rPr>
          <w:rFonts w:ascii="Times New Roman" w:eastAsiaTheme="majorEastAsia" w:hAnsi="Times New Roman" w:cs="Times New Roman"/>
          <w:noProof/>
          <w:sz w:val="24"/>
          <w:szCs w:val="24"/>
          <w:lang w:val="en-GB"/>
        </w:rPr>
        <w:t>(Bruun Ingstrup et al., 2021)</w:t>
      </w:r>
      <w:r w:rsidRPr="75A96201">
        <w:rPr>
          <w:rFonts w:ascii="Times New Roman" w:eastAsiaTheme="majorEastAsia" w:hAnsi="Times New Roman" w:cs="Times New Roman"/>
          <w:sz w:val="24"/>
          <w:szCs w:val="24"/>
          <w:lang w:val="en-GB"/>
        </w:rPr>
        <w:fldChar w:fldCharType="end"/>
      </w:r>
      <w:r w:rsidRPr="75A96201">
        <w:rPr>
          <w:rFonts w:ascii="Times New Roman" w:eastAsiaTheme="majorEastAsia" w:hAnsi="Times New Roman" w:cs="Times New Roman"/>
          <w:sz w:val="24"/>
          <w:szCs w:val="24"/>
          <w:lang w:val="en-GB"/>
        </w:rPr>
        <w:t xml:space="preserve">.  </w:t>
      </w:r>
    </w:p>
    <w:p w14:paraId="0F29AA51" w14:textId="50FA7963" w:rsidR="00B93D26" w:rsidRDefault="00000000" w:rsidP="00B45385">
      <w:pPr>
        <w:spacing w:after="0" w:line="360" w:lineRule="auto"/>
        <w:ind w:firstLine="284"/>
        <w:jc w:val="both"/>
        <w:rPr>
          <w:rFonts w:ascii="Times New Roman" w:hAnsi="Times New Roman" w:cs="Times New Roman"/>
          <w:sz w:val="24"/>
          <w:szCs w:val="24"/>
          <w:lang w:val="en-US"/>
        </w:rPr>
      </w:pPr>
      <w:r w:rsidRPr="75A96201">
        <w:rPr>
          <w:rFonts w:ascii="Times New Roman" w:hAnsi="Times New Roman" w:cs="Times New Roman"/>
          <w:sz w:val="24"/>
          <w:szCs w:val="24"/>
          <w:lang w:val="en-GB"/>
        </w:rPr>
        <w:t>Second</w:t>
      </w:r>
      <w:r w:rsidRPr="75A96201">
        <w:rPr>
          <w:rFonts w:ascii="Times New Roman" w:hAnsi="Times New Roman" w:cs="Times New Roman"/>
          <w:sz w:val="24"/>
          <w:szCs w:val="24"/>
          <w:lang w:val="en-US"/>
        </w:rPr>
        <w:t xml:space="preserve">, the paper conceptualizes the role of MSPs to enable CSCs in </w:t>
      </w:r>
      <w:r w:rsidR="00F969C7">
        <w:rPr>
          <w:rFonts w:ascii="Times New Roman" w:hAnsi="Times New Roman" w:cs="Times New Roman"/>
          <w:sz w:val="24"/>
          <w:szCs w:val="24"/>
          <w:lang w:val="en-US"/>
        </w:rPr>
        <w:t>the</w:t>
      </w:r>
      <w:r w:rsidR="00F969C7"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B2B setting, which has been rather neglected within the existing literature</w:t>
      </w:r>
      <w:r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{"citationItems":[{"id":"ITEM-1","itemData":{"DOI":"10.1016/J.INDMARMAN.2019.07.001","ISSN":"00198501","abstract":"Multi-sided platforms, enabling interactions between different user sides, hold an important place in the contemporary economy. Current literature, focusing on established and successful platforms, has neglected to study B2B multi-sided platform adoption mechanisms. In this article, we analyze these mechanisms by investigating the case of dematerialization platforms for B2B transactions between the multiple actors involved in public works contracts. Various qualitative materials, including 28 semi-structured interviews, were gathered over a thirty-month period. Adopting a business user perspective, this study contributes to the literature on multi-sided platforms in various ways. We show that platform adoption, in project-based B2B contexts, is mainly constrained by a high level of affiliation costs and the existence of tight-interdependencies between users' activities at project level. Thus, a consecutive adoption path would result in negative cross-group network externalities and undermine the platform's attractiveness. Conversely, a concurrent adoption path would activate positive network externalities and encourage platform adoption decisions.","author":[{"dropping-particle":"","family":"Loux","given":"Patrick","non-dropping-particle":"","parse-names":false,"suffix":""},{"dropping-particle":"","family":"Aubry","given":"Mathilde","non-dropping-particle":"","parse-names":false,"suffix":""},{"dropping-particle":"","family":"Tran","given":"Sébastien","non-dropping-particle":"","parse-names":false,"suffix":""},{"dropping-particle":"","family":"Baudoin","given":"Emmanuel","non-dropping-particle":"","parse-names":false,"suffix":""}],"container-title":"Industrial Marketing Management","id":"ITEM-1","issued":{"date-parts":[["2020","1","1"]]},"page":"212-223","publisher":"Elsevier Inc.","title":"Multi-sided platforms in B2B contexts: The role of affiliation costs and interdependencies in adoption decisions","type":"article-journal","volume":"84"},"uris":["http://www.mendeley.com/documents/?uuid=137e3e9d-9687-317a-bbbf-16d5b25baab9"]}],"mendeley":{"formattedCitation":"(Loux et al., 2020)","manualFormatting":"(Loux et al., 2020; Trabucchi &amp; Buganza, 2020)","plainTextFormattedCitation":"(Loux et al., 2020)","previouslyFormattedCitation":"(Loux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(Loux et al., 2020;</w:t>
      </w:r>
      <w:r w:rsidRPr="75A96201">
        <w:rPr>
          <w:rFonts w:ascii="Times New Roman" w:hAnsi="Times New Roman" w:cs="Times New Roman"/>
          <w:noProof/>
          <w:sz w:val="24"/>
          <w:szCs w:val="24"/>
          <w:lang w:val="en-US"/>
        </w:rPr>
        <w:t xml:space="preserve"> Trabucchi &amp; Buganza, 2020</w:t>
      </w:r>
      <w:r w:rsidRPr="75A96201">
        <w:rPr>
          <w:rFonts w:ascii="Times New Roman" w:hAnsi="Times New Roman" w:cs="Times New Roman"/>
          <w:noProof/>
          <w:sz w:val="24"/>
          <w:szCs w:val="24"/>
          <w:lang w:val="en-GB"/>
        </w:rPr>
        <w:t>)</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r w:rsidRPr="75A96201">
        <w:rPr>
          <w:rFonts w:ascii="Times New Roman" w:eastAsiaTheme="majorEastAsia" w:hAnsi="Times New Roman" w:cs="Times New Roman"/>
          <w:sz w:val="24"/>
          <w:szCs w:val="24"/>
          <w:lang w:val="en-GB"/>
        </w:rPr>
        <w:t xml:space="preserve">Indeed, the paper particularly brings </w:t>
      </w:r>
      <w:r w:rsidR="00D07027">
        <w:rPr>
          <w:rFonts w:ascii="Times New Roman" w:eastAsiaTheme="majorEastAsia" w:hAnsi="Times New Roman" w:cs="Times New Roman"/>
          <w:sz w:val="24"/>
          <w:szCs w:val="24"/>
          <w:lang w:val="en-GB"/>
        </w:rPr>
        <w:t>t</w:t>
      </w:r>
      <w:r w:rsidRPr="75A96201">
        <w:rPr>
          <w:rFonts w:ascii="Times New Roman" w:eastAsiaTheme="majorEastAsia" w:hAnsi="Times New Roman" w:cs="Times New Roman"/>
          <w:sz w:val="24"/>
          <w:szCs w:val="24"/>
          <w:lang w:val="en-GB"/>
        </w:rPr>
        <w:t>o light that inter-organizational collaborations among supply chain actors</w:t>
      </w:r>
      <w:r w:rsidRPr="75A96201">
        <w:rPr>
          <w:rFonts w:ascii="Times New Roman" w:hAnsi="Times New Roman" w:cs="Times New Roman"/>
          <w:sz w:val="24"/>
          <w:szCs w:val="24"/>
          <w:lang w:val="en-US"/>
        </w:rPr>
        <w:t xml:space="preserve"> in </w:t>
      </w:r>
      <w:r w:rsidR="00F969C7">
        <w:rPr>
          <w:rFonts w:ascii="Times New Roman" w:hAnsi="Times New Roman" w:cs="Times New Roman"/>
          <w:sz w:val="24"/>
          <w:szCs w:val="24"/>
          <w:lang w:val="en-US"/>
        </w:rPr>
        <w:t>the</w:t>
      </w:r>
      <w:r w:rsidR="00F969C7"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B2B setting</w:t>
      </w:r>
      <w:r w:rsidRPr="75A96201">
        <w:rPr>
          <w:rFonts w:ascii="Times New Roman" w:eastAsiaTheme="majorEastAsia" w:hAnsi="Times New Roman" w:cs="Times New Roman"/>
          <w:sz w:val="24"/>
          <w:szCs w:val="24"/>
          <w:lang w:val="en-GB"/>
        </w:rPr>
        <w:t xml:space="preserve"> may be enabled by different clusters of MSPs, each one dealing with specific CSC strategies (and related managerial practices) and supply chains.</w:t>
      </w:r>
      <w:r w:rsidRPr="75A96201">
        <w:rPr>
          <w:rFonts w:ascii="Times New Roman" w:hAnsi="Times New Roman" w:cs="Times New Roman"/>
          <w:sz w:val="24"/>
          <w:szCs w:val="24"/>
          <w:lang w:val="en-GB"/>
        </w:rPr>
        <w:t xml:space="preserve"> While </w:t>
      </w:r>
      <w:r w:rsidRPr="75A96201">
        <w:rPr>
          <w:rFonts w:ascii="Times New Roman" w:eastAsiaTheme="majorEastAsia" w:hAnsi="Times New Roman" w:cs="Times New Roman"/>
          <w:sz w:val="24"/>
          <w:szCs w:val="24"/>
          <w:lang w:val="en-GB"/>
        </w:rPr>
        <w:t>existing</w:t>
      </w:r>
      <w:r w:rsidRPr="75A96201">
        <w:rPr>
          <w:rFonts w:ascii="Times New Roman" w:hAnsi="Times New Roman" w:cs="Times New Roman"/>
          <w:sz w:val="24"/>
          <w:szCs w:val="24"/>
          <w:lang w:val="en-US"/>
        </w:rPr>
        <w:t xml:space="preserve"> literature has emphasized the role played by focal companies (i.e., established companies having bargaining power over the other actors in the supply chain </w:t>
      </w:r>
      <w:r w:rsidRPr="75A96201">
        <w:rPr>
          <w:rFonts w:ascii="Times New Roman" w:hAnsi="Times New Roman" w:cs="Times New Roman"/>
          <w:sz w:val="24"/>
          <w:szCs w:val="24"/>
          <w:lang w:val="en-US"/>
        </w:rPr>
        <w:fldChar w:fldCharType="begin" w:fldLock="1"/>
      </w:r>
      <w:r w:rsidR="00102716">
        <w:rPr>
          <w:rFonts w:ascii="Times New Roman" w:hAnsi="Times New Roman" w:cs="Times New Roman"/>
          <w:sz w:val="24"/>
          <w:szCs w:val="24"/>
          <w:lang w:val="en-US"/>
        </w:rPr>
        <w:instrText>ADDIN CSL_CITATION {"citationItems":[{"id":"ITEM-1","itemData":{"DOI":"10.4018/978-1-7998-0202-0.CH013","author":[{"dropping-particle":"","family":"Miranda-Ackerman","given":"Marco A.","non-dropping-particle":"","parse-names":false,"suffix":""},{"dropping-particle":"","family":"Colin-Chávez","given":"Citlali","non-dropping-particle":"","parse-names":false,"suffix":""},{"dropping-particle":"","family":"Espitia-Moreno","given":"Irma Cristina","non-dropping-particle":"","parse-names":false,"suffix":""},{"dropping-particle":"","family":"Ruiz-Morales","given":"Betzabé","non-dropping-particle":"","parse-names":false,"suffix":""},{"dropping-particle":"","family":"Arredondo-Soto","given":"Karina Cecilia","non-dropping-particle":"","parse-names":false,"suffix":""}],"container-title":"Handbook of Research on Industrial Applications for Improved Supply Chain Performance (pp. 299-324). IGI Global.","id":"ITEM-1","issued":{"date-parts":[["2020","1","1"]]},"page":"299-324","publisher":"IGI Global","title":"Managing Risk in Global Food Supply Chains: Improving Food Security and Sustainability","type":"chapter"},"uris":["http://www.mendeley.com/documents/?uuid=c31155c6-f41b-3a4b-921d-d7f7df363858"]}],"mendeley":{"formattedCitation":"(Miranda-Ackerman et al., 2020)","plainTextFormattedCitation":"(Miranda-Ackerman et al., 2020)","previouslyFormattedCitation":"(Miranda-Ackerman et al., 2020)"},"properties":{"noteIndex":0},"schema":"https://github.com/citation-style-language/schema/raw/master/csl-citation.json"}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00282DE6" w:rsidRPr="00282DE6">
        <w:rPr>
          <w:rFonts w:ascii="Times New Roman" w:hAnsi="Times New Roman" w:cs="Times New Roman"/>
          <w:noProof/>
          <w:sz w:val="24"/>
          <w:szCs w:val="24"/>
          <w:lang w:val="en-US"/>
        </w:rPr>
        <w:t>(Miranda-Ackerman et al., 2020)</w:t>
      </w:r>
      <w:r w:rsidRPr="75A96201">
        <w:rPr>
          <w:rFonts w:ascii="Times New Roman" w:hAnsi="Times New Roman" w:cs="Times New Roman"/>
          <w:sz w:val="24"/>
          <w:szCs w:val="24"/>
          <w:lang w:val="en-US"/>
        </w:rPr>
        <w:fldChar w:fldCharType="end"/>
      </w:r>
      <w:r w:rsidR="00B22432">
        <w:rPr>
          <w:rFonts w:ascii="Times New Roman" w:hAnsi="Times New Roman" w:cs="Times New Roman"/>
          <w:sz w:val="24"/>
          <w:szCs w:val="24"/>
          <w:lang w:val="en-US"/>
        </w:rPr>
        <w:t>)</w:t>
      </w:r>
      <w:r w:rsidRPr="75A96201">
        <w:rPr>
          <w:rFonts w:ascii="Times New Roman" w:hAnsi="Times New Roman" w:cs="Times New Roman"/>
          <w:sz w:val="24"/>
          <w:szCs w:val="24"/>
          <w:lang w:val="en-US"/>
        </w:rPr>
        <w:t xml:space="preserve"> in orchestrating the actors within their supply chains to promote sustainability-related initiatives (e.g.,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{"citationItems":[{"id":"ITEM-1","itemData":{"DOI":"10.1016/J.JCLEPRO.2019.118798","ISSN":"0959-6526","abstract":"Food supply chains face challenges of sustainable supply chain management, such as waste management and environmental issues. Vertical integration or system integration is a corporate strategy for chicken production managed by the focal company. This research study discusses the role of the focal company for achieving sustainable development goals (SDGs) in a Brazilian food poultry supply chain. The research consisted of a single case study with the following steps: literature review, identification of the gaps, concepts synthesis, and case study. The findings indicated theoretical and empirical guidelines for SDGs. The literature review indicated the relevance of exploring some approaches to achieve sustainable supply chain management: corporate social responsibility, green supply chain management, industrial ecology, stakeholder theory, circular economy (reduce, reuse, and recycle with economic prosperity), and sustainability science. The focal company plays a strategic role in the vertical integration operation of the Brazilian poultry supply chain. The case study findings indicate the role of the focal company toward the actors, including the feed mill supplier, live poultry transport, poultry processor, rendering plant, and distributor. However, much remains to be accomplished to answer the question “how to be sustainable?“, especially in environmental and social issues involving all actors in the poultry supply chain. The Brazilian environmental legislation still needs to be revised to be aligned with SDGs because the legislation will not guarantee sustainable management and efficient use of natural resources. The critical issues and challenges are radical changes in business models, measurement of supply chain impacts, collaboration and network picturing, corporate social responsibility versus supply chain responsibility, stakeholder engagement, frameworks to implement SDGs, education about SDGs and public participation, and food supply chain integrated system forums.","author":[{"dropping-particle":"","family":"Pohlmann","given":"Christopher Rosa","non-dropping-particle":"","parse-names":false,"suffix":""},{"dropping-particle":"","family":"Scavarda","given":"Annibal José","non-dropping-particle":"","parse-names":false,"suffix":""},{"dropping-particle":"","family":"Alves","given":"Murilo Barros","non-dropping-particle":"","parse-names":false,"suffix":""},{"dropping-particle":"","family":"Korzenowski","given":"André Luis","non-dropping-particle":"","parse-names":false,"suffix":""}],"container-title":"Journal of Cleaner Production","id":"ITEM-1","issued":{"date-parts":[["2020","2","1"]]},"page":"118798","publisher":"Elsevier","title":"The role of the focal company in sustainable development goals: A Brazilian food poultry supply chain case study","type":"article-journal","volume":"245"},"uris":["http://www.mendeley.com/documents/?uuid=f76d9d96-ce37-3943-b113-231427d2f5b6"]}],"mendeley":{"formattedCitation":"(Pohlmann et al., 2020)","plainTextFormattedCitation":"(Pohlmann et al., 2020)","previouslyFormattedCitation":"(Pohlmann et al., 2020)"},"properties":{"noteIndex":0},"schema":"https://github.com/citation-style-language/schema/raw/master/csl-citation.json"}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(Pohlmann et al., 2020)</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and, more specifically, CE-related initiatives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{"citationItems":[{"id":"ITEM-1","itemData":{"DOI":"10.1016/J.JBUSRES.2019.01.006","ISSN":"0148-2963","abstract":"Making the transition to a circular economy is an important goal for society and individual companies, particularly in resource-intensive manufacturing industries. Yet the complexity and interdependencies of such an undertaking mean that no single company can achieve it alone and ecosystem-wide orchestration is necessary. Based on a qualitative study of six large manufacturing companies (ecosystem orchestrators) and their ecosystem partners, we develop a process model that describes the scarcely understood process of ecosystem transformation toward a circular economy paradigm. We provide evidence that ecosystem orchestrators achieve the transition toward a circular economy in two stages: 1) ecosystem readiness assessment and 2) ecosystem transformation. In each stage, specific and complementary mechanisms are deployed. The article elaborates on ecosystem transformation mechanisms and their purpose, use, and interdependencies in moving toward a circular economy paradigm.","author":[{"dropping-particle":"","family":"Parida","given":"Vinit","non-dropping-particle":"","parse-names":false,"suffix":""},{"dropping-particle":"","family":"Burström","given":"Thommie","non-dropping-particle":"","parse-names":false,"suffix":""},{"dropping-particle":"","family":"Visnjic","given":"Ivanka","non-dropping-particle":"","parse-names":false,"suffix":""},{"dropping-particle":"","family":"Wincent","given":"Joakim","non-dropping-particle":"","parse-names":false,"suffix":""}],"container-title":"Journal of Business Research","id":"ITEM-1","issued":{"date-parts":[["2019","8","1"]]},"page":"715-725","publisher":"Elsevier","title":"Orchestrating industrial ecosystem in circular economy: A two-stage transformation model for large manufacturing companies","type":"article-journal","volume":"101"},"uris":["http://www.mendeley.com/documents/?uuid=f0a86677-6ffd-3f50-a346-cb3b84f7944e"]},{"id":"ITEM-2","itemData":{"DOI":"10.3390/SU9061068","ISSN":"2071-1050","abstract":"The business ecosystem has provided a new paradigm for management research. Most research in the field has focused on profit-driven industries, neglecting the area of the circular economy. This research sets out to capture the mechanisms that the leading firm in the circular economy uses to govern its business ecosystem. The research strategy adopted is a longitudinal case study of the largest glass recycling company in Taiwan, Spring Pool Glass. Our findings illustrate that continuous value capture is the key to governing a sustainable business ecosystem in the glass recycling industry. The mechanisms include continuous value capture to enter new markets, using stakeholder networks to enlarge the business ecosystem, brand image and corporate social responsibility, company capabilities and research and development in the recycling process, and reacting to government policy.","author":[{"dropping-particle":"","family":"Hsieh","given":"Ying Che","non-dropping-particle":"","parse-names":false,"suffix":""},{"dropping-particle":"","family":"Lin","given":"Kuo Yi","non-dropping-particle":"","parse-names":false,"suffix":""},{"dropping-particle":"","family":"Lu","given":"Chao","non-dropping-particle":"","parse-names":false,"suffix":""},{"dropping-particle":"","family":"Rong","given":"Ke","non-dropping-particle":"","parse-names":false,"suffix":""}],"container-title":"Sustainability 2017, Vol. 9, Page 1068","id":"ITEM-2","issue":"6","issued":{"date-parts":[["2017","6","20"]]},"page":"1068","publisher":"Multidisciplinary Digital Publishing Institute","title":"Governing a Sustainable Business Ecosystem in Taiwan’s Circular Economy: The Story of Spring Pool Glass","type":"article-journal","volume":"9"},"uris":["http://www.mendeley.com/documents/?uuid=da3981e0-19d8-3b2c-b319-aeca5c2fd5b3"]}],"mendeley":{"formattedCitation":"(Hsieh et al., 2017; Parida et al., 2019)","plainTextFormattedCitation":"(Hsieh et al., 2017; Parida et al., 2019)","previouslyFormattedCitation":"(Hsieh et al., 2017; Parida et al., 2019)"},"properties":{"noteIndex":0},"schema":"https://github.com/citation-style-language/schema/raw/master/csl-citation.json"}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(Hsieh et al., 2017; Parida et al., 2019)</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the paper sheds light on the role played by MSPs as orchestrators of actors within CSCs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{"citationItems":[{"id":"ITEM-1","itemData":{"DOI":"10.1016/J.SPC.2021.10.020","ISSN":"2352-5509","abstract":"Circular ecosystem is a fast-growing phenomenon in which a set of autonomous but interdependent actors jointly create and deliver a coherent circular value proposition to the customer. Although the circular ecosystem represents a promising initial bridge between the circular economy literature and the business ecosystem literature, studies remain largely descriptive with a conflictive and imprecise theoretical understanding of what a circular ecosystem is and its unique features. Consequently, the literature on circular ecosystems may tend to diverge due to a proliferation of definitions, rendering the accumulation of knowledge more difficult. To address this gap, we investigate how circular ecosystems are organized and the essential elements incorporated into this type of collaborative structure. Through a systematic literature review, we present the evolution of research over time and provide a framework that synthesizes the five main and unique elements of a circular ecosystem (1. Value, 2. Actors, 3. Data, Materials and flows, 4. Circular activities and strategies, and 5. Governance). In particular, the results show that a value proposition that allows multiple cycles of value (e.g. activities that ensure materials continually returning to the industrial system) is a critical aspect of the ecosystem. Also, the actors within this structure should be balanced to ensure that the circular activities are being successfully performed. The proposed framework serves to characterize a circular ecosystem and to provide unique features that distinguish it from non-circular ecosystems. In addition, this conceptual and strategic tool helps researchers to understand how this type of structure creates and captures value and allows companies to identify ecosystem partners and enhance their circular initiatives. Finally, we summarize the opportunities for future studies.","author":[{"dropping-particle":"","family":"Trevisan","given":"Adriana Hofmann","non-dropping-particle":"","parse-names":false,"suffix":""},{"dropping-particle":"","family":"Castro","given":"Camila Gonçalves","non-dropping-particle":"","parse-names":false,"suffix":""},{"dropping-particle":"","family":"Gomes","given":"L. A.V.","non-dropping-particle":"","parse-names":false,"suffix":""},{"dropping-particle":"","family":"Mascarenhas","given":"J.","non-dropping-particle":"","parse-names":false,"suffix":""}],"container-title":"Sustainable Production and Consumption","id":"ITEM-1","issued":{"date-parts":[["2022","1","1"]]},"page":"286-298","publisher":"Elsevier","title":"Unlocking the circular ecosystem concept: Evolution, current research, and future directions","type":"article-journal","volume":"29"},"uris":["http://www.mendeley.com/documents/?uuid=d1f234ec-f1d9-3cc0-b390-4bef0183f05f"]}],"mendeley":{"formattedCitation":"(Trevisan et al., 2022)","plainTextFormattedCitation":"(Trevisan et al., 2022)","previouslyFormattedCitation":"(Trevisan et al., 2022)"},"properties":{"noteIndex":0},"schema":"https://github.com/citation-style-language/schema/raw/master/csl-citation.json"}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(Trevisan et al., 2022)</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Moreover, </w:t>
      </w:r>
      <w:r w:rsidR="00714E85">
        <w:rPr>
          <w:rFonts w:ascii="Times New Roman" w:hAnsi="Times New Roman" w:cs="Times New Roman"/>
          <w:sz w:val="24"/>
          <w:szCs w:val="24"/>
          <w:lang w:val="en-GB"/>
        </w:rPr>
        <w:t>the present</w:t>
      </w:r>
      <w:r w:rsidR="00714E85"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study extends recent research addressing the anatomy of the platforms’ business model (e.g.,</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{"citationItems":[{"id":"ITEM-1","itemData":{"DOI":"10.1016/j.jclepro.2013.11.049","abstract":"Since the 1990s, Product Service Systems (PSS) have been heralded as one of the most effective instruments for moving society towards a resource-efficient, circular economy and creating a much-needed 'resource revolution'. This paper reviews the literature on PSS in the last decade and compares the findings with those from an earlier review in this journal in 2006. Close to 300 relevant papers were identified, over 140 of which have been referenced in this review. Research in the field of PSS has become more prolific, with the output of refereed papers quadrupling since 2000, while on average scientific output has only doubled. PSS has also become embedded in a wider range of science fields (such as manufacturing, ICT, business management, and design) and geographical regions (Asia now produces more papers than Europe). The literature of the last seven years has refined insights with regard to the design of PSS, as well as their business and environmental benefits, and confirmed the definitions and PSS concepts already available in 2006. A major contribution of the recent literature is research into how firms have implemented PSS in their organization and what the key success factors and issues that require special attention are (such as a focus on product availability for clients; an emphasis on diversity in terms of services provided rather than the range of products; and the need for staff to possess both knowledge of the product and relationship management skills). The reasons why PSS have nonetheless still not been widely implemented, particularly in the B2C context, seem to have already been explained fairly well in the literature available in 2006. For consumers, having control over things, artifacts, and life itself is one of the most valued attributes. PSS are often less accessible, or have less intangible value, than the competing product, in part because PSS usually do not allow consumers as much behavioral freedom or even leave them with the impression that the PSS provider could prescribe how they should behave.","author":[{"dropping-particle":"","family":"Tukker","given":"Arnold","non-dropping-particle":"","parse-names":false,"suffix":""}],"id":"ITEM-1","issued":{"date-parts":[["2015"]]},"page":"76-91","title":"Product services for a resource-efficient and circular economy e a review","type":"article-journal","volume":"97"},"uris":["http://www.mendeley.com/documents/?uuid=1b6ea89b-4365-3aa1-ae17-8facfd8331cc"]}],"mendeley":{"formattedCitation":"(Tukker, 2015)","manualFormatting":" Tukker, 2015)","plainTextFormattedCitation":"(Tukker, 2015)","previouslyFormattedCitation":"(Tukker, 2015)"},"properties":{"noteIndex":0},"schema":"https://github.com/citation-style-language/schema/raw/master/csl-citation.json"}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 xml:space="preserve"> Tukker, 2015)</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which is characterized by a very limited number of contributions addressing CBMs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{"citationItems":[{"id":"ITEM-1","itemData":{"DOI":"10.1177/10860266221130717/ASSET/IMAGES/LARGE/10.1177_10860266221130717-FIG2.JPEG","ISSN":"15527417","abstract":"Digital platform technology enables circular business models that facilitate the reduction, reuse, and recycling of resources and materials across large ecosystems of platform actors. However, little is currently known about the inner workings of such platforms and how they are organized. Framing these platforms as meta-organizations, this study examines the orchestration mechanisms deployed by platform owners to facilitate economic value creation with a circular business model among a large group of actors. Building on an inductive analysis of 10 European platform organizations, this study identifies five meta-organizational orchestration mechanisms and develops an empirically grounded model that explains how the focal firm orchestrates value creation with a platform-based circular business model. This study advances the existing knowledge on orchestration mechanisms in platform-based meta-organizations in a circular economy context and highlights novel implications for theory and practice.","author":[{"dropping-particle":"","family":"Blackburn","given":"Outi","non-dropping-particle":"","parse-names":false,"suffix":""},{"dropping-particle":"","family":"Ritala","given":"Paavo","non-dropping-particle":"","parse-names":false,"suffix":""},{"dropping-particle":"","family":"Keränen","given":"Joona","non-dropping-particle":"","parse-names":false,"suffix":""}],"container-title":"Organization and Environment","id":"ITEM-1","issued":{"date-parts":[["2022","11","24"]]},"publisher":"SAGE Publications Inc.","title":"Digital Platforms for the Circular Economy: Exploring Meta-Organizational Orchestration Mechanisms","type":"article-journal"},"uris":["http://www.mendeley.com/documents/?uuid=57eb3a62-54ff-38bb-9757-7168179085c7"]}],"mendeley":{"formattedCitation":"(Blackburn et al., 2022)","plainTextFormattedCitation":"(Blackburn et al., 2022)","previouslyFormattedCitation":"(Blackburn et al., 2022)"},"properties":{"noteIndex":0},"schema":"https://github.com/citation-style-language/schema/raw/master/csl-citation.json"}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(Blackburn et al., 2022)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and the B2B setting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10.2139/SSRN.4399864","ISSN":"1556-5068","author":[{"dropping-particle":"","family":"Ritala","given":"Paavo","non-dropping-particle":"","parse-names":false,"suffix":""},{"dropping-particle":"","family":"Jovanovic","given":"Marin","non-dropping-particle":"","parse-names":false,"suffix":""}],"container-title":"SSRN Electronic Journal","id":"ITEM-1","issued":{"date-parts":[["2023","3","24"]]},"title":"Platformizers, Orchestrators, and Guardians: Three Types of B2B Platform Business Models","type":"article-journal"},"uris":["http://www.mendeley.com/documents/?uuid=3a8a61b6-6e21-3307-b890-1f54ca1edaad"]}],"mendeley":{"formattedCitation":"(Ritala &amp; Jovanovic, 2023)","plainTextFormattedCitation":"(Ritala &amp; Jovanovic, 2023)","previouslyFormattedCitation":"(Ritala &amp; Jovanovic, 2023)"},"properties":{"noteIndex":0},"schema":"https://github.com/citation-style-language/schema/raw/master/csl-citation.json"}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(Ritala &amp; Jovanovic, 2023)</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Indeed, it shows how MSPs can help overcome the “circularity holes” </w:t>
      </w:r>
      <w:r w:rsidRPr="75A96201">
        <w:rPr>
          <w:rFonts w:ascii="Times New Roman" w:hAnsi="Times New Roman" w:cs="Times New Roman"/>
          <w:sz w:val="24"/>
          <w:szCs w:val="24"/>
          <w:lang w:val="en-US"/>
        </w:rPr>
        <w:t xml:space="preserve">in </w:t>
      </w:r>
      <w:r w:rsidR="00F969C7">
        <w:rPr>
          <w:rFonts w:ascii="Times New Roman" w:hAnsi="Times New Roman" w:cs="Times New Roman"/>
          <w:sz w:val="24"/>
          <w:szCs w:val="24"/>
          <w:lang w:val="en-US"/>
        </w:rPr>
        <w:t>the</w:t>
      </w:r>
      <w:r w:rsidR="00F969C7"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B2B setting</w:t>
      </w:r>
      <w:r w:rsidRPr="75A96201">
        <w:rPr>
          <w:rFonts w:ascii="Times New Roman" w:hAnsi="Times New Roman" w:cs="Times New Roman"/>
          <w:sz w:val="24"/>
          <w:szCs w:val="24"/>
          <w:lang w:val="en-GB"/>
        </w:rPr>
        <w:t xml:space="preserve">, i.e., disconnections among supply chain actors that hamper the flow of resources between supply chain actors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{"citationItems":[{"id":"ITEM-1","itemData":{"DOI":"10.1007/s10551-019-04160-5","ISBN":"0123456789","abstract":"In recent years, researchers and practitioners have increasingly paid attention to food waste, which is seen as highly unethi-cal given its negative environmental and societal implications. Waste recovery is dependent on the creation of connections along the supply chain, so that actors with goods at risk of becoming waste can transfer them to those who may be able to use them as inputs or for their own consumption. Such waste recovery is, however, often hampered by what we call 'circular-ity holes', i.e., missing linkages between waste generators and potential receivers. A new type of actor, the digital platform organization, has recently taken on a brokerage function to bridge circularity holes, particularly in the food supply chain. Yet, extant literature has overlooked this novel type of brokerage that exploits digital technology for the transfer and recovery of discarded resources between supply chain actors. Our study investigates this actor, conceptualized as a 'circularity broker', and thus unites network research and circular supply chain research. Focusing on the food supply chain, we adopt an interpretive inductive theory-building approach to uncover how platform organizations foster the recovery of waste by bridging circularity holes. We identify and explicate six brokerage roles, i.e., connecting, informing, protecting, mobilizing, integrating and measuring, and discuss them in relation to extant literature, highlighting novelties compared to earlier studies. The final section reflects on contributions, implications, limitations and areas for further research.","author":[{"dropping-particle":"","family":"Ciulli","given":"Francesca","non-dropping-particle":"","parse-names":false,"suffix":""},{"dropping-particle":"","family":"Kolk","given":"Ans","non-dropping-particle":"","parse-names":false,"suffix":""},{"dropping-particle":"","family":"Siri Boe-Lillegraven","given":"·","non-dropping-particle":"","parse-names":false,"suffix":""}],"container-title":"Journal of Business Ethics","id":"ITEM-1","issued":{"date-parts":[["2020"]]},"page":"299-331","title":"Circularity Brokers: Digital Platform Organizations and Waste Recovery in Food Supply Chains","type":"article-journal","volume":"167"},"uris":["http://www.mendeley.com/documents/?uuid=efa454eb-3d5e-33b3-8386-f56bcd457076"]}],"mendeley":{"formattedCitation":"(Ciulli et al., 2020)","plainTextFormattedCitation":"(Ciulli et al., 2020)","previouslyFormattedCitation":"(Ciulli et al., 2020)"},"properties":{"noteIndex":0},"schema":"https://github.com/citation-style-language/schema/raw/master/csl-citation.json"}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(Ciulli et al., 2020)</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p>
    <w:p w14:paraId="4C779B86" w14:textId="04828071" w:rsidR="00B93D26" w:rsidRDefault="00000000" w:rsidP="002A73CF">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US"/>
        </w:rPr>
        <w:t xml:space="preserve">Third, the results show that the orchestrating role played by MSPs may </w:t>
      </w:r>
      <w:proofErr w:type="spellStart"/>
      <w:r w:rsidRPr="75A96201">
        <w:rPr>
          <w:rFonts w:ascii="Times New Roman" w:hAnsi="Times New Roman" w:cs="Times New Roman"/>
          <w:sz w:val="24"/>
          <w:szCs w:val="24"/>
          <w:lang w:val="en-US"/>
        </w:rPr>
        <w:t>favo</w:t>
      </w:r>
      <w:r w:rsidR="003D47AE">
        <w:rPr>
          <w:rFonts w:ascii="Times New Roman" w:hAnsi="Times New Roman" w:cs="Times New Roman"/>
          <w:sz w:val="24"/>
          <w:szCs w:val="24"/>
          <w:lang w:val="en-US"/>
        </w:rPr>
        <w:t>u</w:t>
      </w:r>
      <w:r w:rsidRPr="75A96201">
        <w:rPr>
          <w:rFonts w:ascii="Times New Roman" w:hAnsi="Times New Roman" w:cs="Times New Roman"/>
          <w:sz w:val="24"/>
          <w:szCs w:val="24"/>
          <w:lang w:val="en-US"/>
        </w:rPr>
        <w:t>r</w:t>
      </w:r>
      <w:proofErr w:type="spellEnd"/>
      <w:r w:rsidRPr="75A96201">
        <w:rPr>
          <w:rFonts w:ascii="Times New Roman" w:hAnsi="Times New Roman" w:cs="Times New Roman"/>
          <w:sz w:val="24"/>
          <w:szCs w:val="24"/>
          <w:lang w:val="en-US"/>
        </w:rPr>
        <w:t xml:space="preserve"> the involvement of industrial actors belonging to the supply chain </w:t>
      </w:r>
      <w:r w:rsidR="00714E85">
        <w:rPr>
          <w:rFonts w:ascii="Times New Roman" w:hAnsi="Times New Roman" w:cs="Times New Roman"/>
          <w:sz w:val="24"/>
          <w:szCs w:val="24"/>
          <w:lang w:val="en-US"/>
        </w:rPr>
        <w:t>in</w:t>
      </w:r>
      <w:r w:rsidR="00714E85"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t>which a resource was originally addressed to or to different supply chains. This evidence is in line with</w:t>
      </w:r>
      <w:r w:rsidRPr="75A96201">
        <w:rPr>
          <w:rFonts w:ascii="Times New Roman" w:eastAsiaTheme="majorEastAsia" w:hAnsi="Times New Roman" w:cs="Times New Roman"/>
          <w:sz w:val="24"/>
          <w:szCs w:val="24"/>
          <w:lang w:val="en-GB"/>
        </w:rPr>
        <w:t xml:space="preserve"> a few other studies at the intersection between </w:t>
      </w:r>
      <w:r w:rsidRPr="75A96201">
        <w:rPr>
          <w:rFonts w:ascii="Times New Roman" w:eastAsiaTheme="majorEastAsia" w:hAnsi="Times New Roman" w:cs="Times New Roman"/>
          <w:sz w:val="24"/>
          <w:szCs w:val="24"/>
          <w:lang w:val="en-GB"/>
        </w:rPr>
        <w:lastRenderedPageBreak/>
        <w:t xml:space="preserve">MSPs and CSCs </w:t>
      </w:r>
      <w:r w:rsidRPr="75A96201">
        <w:rPr>
          <w:rFonts w:ascii="Times New Roman" w:eastAsiaTheme="majorEastAsia" w:hAnsi="Times New Roman" w:cs="Times New Roman"/>
          <w:sz w:val="24"/>
          <w:szCs w:val="24"/>
          <w:lang w:val="en-GB"/>
        </w:rPr>
        <w:fldChar w:fldCharType="begin" w:fldLock="1"/>
      </w:r>
      <w:r w:rsidRPr="75A96201">
        <w:rPr>
          <w:rFonts w:ascii="Times New Roman" w:eastAsiaTheme="majorEastAsia" w:hAnsi="Times New Roman" w:cs="Times New Roman"/>
          <w:sz w:val="24"/>
          <w:szCs w:val="24"/>
          <w:lang w:val="en-GB"/>
        </w:rPr>
        <w:instrText>ADDIN CSL_CITATION {"citationItems":[{"id":"ITEM-1","itemData":{"DOI":"10.4324/9781003207481-3","ISBN":"9781003207481","abstract":"The way digital platforms change interrelations and flows within supply chains is often disruptive. By combining information from different stakeholders on an almost real-time basis, platforms have started to be a competitive business model for traditional pipeline solutions. Platforms might be quickly implemented at any stage of the supply chain process: from sourcing to manufacturing to differentiation of distribution channels. Additionally, the disruptive impact of platforms in supply chain management is noticeable in their ability to develop flexible or sustainable supply chain business models which immediately respond and adapt to fluctuations in the external environment. However, when analysing a platform business model in terms of supply chain management, one can observe several conditions that have to be met to benefit from this solution. The aim of this chapter is to indicate the potential place of a digital platform within supply chain management and its role in this process. The conditions for successful platform implementation in terms of supply chain management and competitiveness in an uncertain environment will also be discussed.","author":[{"dropping-particle":"","family":"Nowicka","given":"Katarzyna","non-dropping-particle":"","parse-names":false,"suffix":""}],"container-title":"Disruptive Platforms","id":"ITEM-1","issued":{"date-parts":[["2021","12","19"]]},"page":"39-55","publisher":"Routledge","title":"Platforms in supply chain management : Disruption or evolution?","type":"article-journal"},"uris":["http://www.mendeley.com/documents/?uuid=fbf04612-726e-3e6c-b36b-3a1073a79e56"]}],"mendeley":{"formattedCitation":"(Nowicka, 2021)","plainTextFormattedCitation":"(Nowicka, 2021)","previouslyFormattedCitation":"(Nowicka, 2021)"},"properties":{"noteIndex":0},"schema":"https://github.com/citation-style-language/schema/raw/master/csl-citation.json"}</w:instrText>
      </w:r>
      <w:r w:rsidRPr="75A96201">
        <w:rPr>
          <w:rFonts w:ascii="Times New Roman" w:eastAsiaTheme="majorEastAsia" w:hAnsi="Times New Roman" w:cs="Times New Roman"/>
          <w:sz w:val="24"/>
          <w:szCs w:val="24"/>
          <w:lang w:val="en-GB"/>
        </w:rPr>
        <w:fldChar w:fldCharType="separate"/>
      </w:r>
      <w:r w:rsidRPr="75A96201">
        <w:rPr>
          <w:rFonts w:ascii="Times New Roman" w:eastAsiaTheme="majorEastAsia" w:hAnsi="Times New Roman" w:cs="Times New Roman"/>
          <w:noProof/>
          <w:sz w:val="24"/>
          <w:szCs w:val="24"/>
          <w:lang w:val="en-GB"/>
        </w:rPr>
        <w:t>(Nowicka, 2021)</w:t>
      </w:r>
      <w:r w:rsidRPr="75A96201">
        <w:rPr>
          <w:rFonts w:ascii="Times New Roman" w:eastAsiaTheme="majorEastAsia" w:hAnsi="Times New Roman" w:cs="Times New Roman"/>
          <w:sz w:val="24"/>
          <w:szCs w:val="24"/>
          <w:lang w:val="en-GB"/>
        </w:rPr>
        <w:fldChar w:fldCharType="end"/>
      </w:r>
      <w:r w:rsidRPr="75A96201">
        <w:rPr>
          <w:rFonts w:ascii="Times New Roman" w:eastAsiaTheme="majorEastAsia" w:hAnsi="Times New Roman" w:cs="Times New Roman"/>
          <w:sz w:val="24"/>
          <w:szCs w:val="24"/>
          <w:lang w:val="en-GB"/>
        </w:rPr>
        <w:t xml:space="preserve">. </w:t>
      </w:r>
      <w:r w:rsidRPr="75A96201">
        <w:rPr>
          <w:rFonts w:ascii="Times New Roman" w:hAnsi="Times New Roman" w:cs="Times New Roman"/>
          <w:sz w:val="24"/>
          <w:szCs w:val="24"/>
          <w:lang w:val="en-GB"/>
        </w:rPr>
        <w:t xml:space="preserve">Accordingly, the paper contributes to the research stream on </w:t>
      </w:r>
      <w:r w:rsidRPr="75A96201">
        <w:rPr>
          <w:rFonts w:ascii="Times New Roman" w:hAnsi="Times New Roman" w:cs="Times New Roman"/>
          <w:sz w:val="24"/>
          <w:szCs w:val="24"/>
          <w:lang w:val="en-US"/>
        </w:rPr>
        <w:t>industrial symbiosis</w:t>
      </w:r>
      <w:r w:rsidRPr="75A96201">
        <w:rPr>
          <w:rFonts w:ascii="Times New Roman" w:hAnsi="Times New Roman" w:cs="Times New Roman"/>
          <w:sz w:val="24"/>
          <w:szCs w:val="24"/>
          <w:lang w:val="en-GB"/>
        </w:rPr>
        <w:t xml:space="preserve">, dealing with interactions between companies belonging to different supply chains to exchange resources (such as materials, energy, services, and facilities) that, although being a waste for a company, may be useful input for another company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{"citationItems":[{"id":"ITEM-1","itemData":{"DOI":"10.1162/108819806775545411","ISSN":"1530-9290","abstract":"As a subdiscipline of industrial ecology, industrial symbiosis is concerned with resource optimization among colocated companies. The industrial symbiosis complex in Kalundborg, Denmark is the seminal example of industrial symbiosis in the industrial ecology literature. In spite of this, there has been no in-depth quantitative analysis enabling more comprehensive understanding of economic and environmental performances connected to this case. In this article some of the central industrial symbiotic exchanges, involving water and steam, in Kalundborg are analyzed, using detailed economic and environmental data. It is found that both substantial and minor environmental benefits accrue from these industrial symbiosis exchanges and that economic motivation often is connected to upstream or downstream operational performance and not directly associated with the value of the exchanged by-product or waste itself. It is concluded that industrial symbiosis, as viewed from a company perspective, has to be understood both in terms of individual economic and environmental performance, and as a more collective approach to industrial sustainability. © 2006 by the Massachusetts Institute of Technology and Yale University.","author":[{"dropping-particle":"","family":"Jacobsen","given":"Noel Brings","non-dropping-particle":"","parse-names":false,"suffix":""}],"container-title":"Journal of Industrial Ecology","id":"ITEM-1","issue":"1-2","issued":{"date-parts":[["2006","1","1"]]},"page":"239-255","publisher":"John Wiley &amp; Sons, Ltd","title":"Industrial Symbiosis in Kalundborg, Denmark: A Quantitative Assessment of Economic and Environmental Aspects","type":"article-journal","volume":"10"},"uris":["http://www.mendeley.com/documents/?uuid=657fda6c-b1a9-3db1-852b-826bb1f1d51e"]},{"id":"ITEM-2","itemData":{"DOI":"10.1111/j.1530-9290.2012.00455.x","ISBN":"10881980","ISSN":"10881980","abstract":"The most commonly cited definition of industrial symbiosis (IS), by Chertow (2000), has served well to foster discussion and research for more than a decade. The definition reflected the state of research and practice at the time; as both have advanced, some terms have been interpreted in substantially different ways. In this article we analyze those generally used terms for their connection to the ecological metaphor that is the root of industrial ecology, and their varied interpretations in IS research and practice over time. We then propose an updated definition intended to communicate the essence of IS as a tool for innovative green growth: IS engages diverse organizations in a network to foster eco-innovation and long-term culture change. Creating and sharing knowledge through the network yields mutually profitable transactions for novel sourcing of required inputs and value-added destinations for non-product outputs, as well as improved business and technical processes.We posit that, although geographic proximity is often associated with IS, it is neither necessary nor sufficientnor is a singular focus on physical resource exchange","author":[{"dropping-particle":"","family":"Lombardi","given":"D. Rachel","non-dropping-particle":"","parse-names":false,"suffix":""},{"dropping-particle":"","family":"Lyons","given":"Donald","non-dropping-particle":"","parse-names":false,"suffix":""},{"dropping-particle":"","family":"Shi","given":"Han","non-dropping-particle":"","parse-names":false,"suffix":""},{"dropping-particle":"","family":"Agarwal","given":"Abhishek","non-dropping-particle":"","parse-names":false,"suffix":""}],"container-title":"Journal of Industrial Ecology","id":"ITEM-2","issue":"1","issued":{"date-parts":[["2012"]]},"page":"2-7","title":"Industrial Symbiosis: Testing the Boundaries and Advancing Knowledge","type":"article-journal","volume":"16"},"uris":["http://www.mendeley.com/documents/?uuid=0e08d1fa-d311-4197-a593-0910d84b703c"]}],"mendeley":{"formattedCitation":"(Jacobsen, 2006; Lombardi et al., 2012)","plainTextFormattedCitation":"(Jacobsen, 2006; Lombardi et al., 2012)","previouslyFormattedCitation":"(Jacobsen, 2006; Lombardi et al., 2012)"},"properties":{"noteIndex":0},"schema":"https://github.com/citation-style-language/schema/raw/master/csl-citation.json"}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(Jacobsen, 2006; Lombardi et al., 2012)</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Consistently with recent contributions on the topic (e.g.,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{"citationItems":[{"id":"ITEM-1","itemData":{"abstract":"This paper reports the activity, promoted by the Italian agency for new technologies, energy and sustainable economic development (ENEA), in the framework of the project for the development and implementation of the first Italian Platform for Industrial Symbiosis implemented in Sicily (2011-2015). The goals of the project were: to provide a methodology and an instrument for industrial symbiosis implementation at regional scale, to implement a IS Platform as a support to SMEs to individuate symbiosis opportunities in the region. The whole approach includes: network activation, platform architecture design and implementation, analysis of the productive sector in Sicily, data collection and companies involvement. In particular the paper focuses on the activities developed for companies' network creation trough a preliminary analysis of the predominant productive sectors followed by the organization of operative meetings in Sicily for companies' involvement, analysis of potential synergies and resources sharing, and finally platform population. During the first two meetings more than 80 SME were linked giving rise to almost 400 output resources and almost 180 input resources. More than 690 potential matches were found between the participating enterprises showing interesting opportunities both for substituting resources with waste products in real and virtual cases and for sharing waste management services and infrastructures. The discussion occurred during the meeting has remarked the significance and the consequences of the regulatory and control system on IS application, underlining the necessary participation of local stakeholders and control authorities. It has also emerged the need to identify predominant productive activities in well-defined territorial contexts where to investigate the specific/local tangles taking into account legislative and technical-economic feasibility. Technical dossiers on three main resource streams (wastes from processing stone materials; plastics and agro-industrial wastes), which may generate the more interesting potential synergies, are being processed. These dossiers include European, Italian and regional regulations, guidelines, technical standards, logistic and economical aspects useful for supporting companies in synergies implementation. Results of this activity will also be used to improve the algorithm in the platform to find synergies.","author":[{"dropping-particle":"","family":"Cutaia","given":"Laura","non-dropping-particle":"","parse-names":false,"suffix":""},{"dropping-particle":"","family":"Luciano","given":"Antonella","non-dropping-particle":"","parse-names":false,"suffix":""},{"dropping-particle":"","family":"Barberio","given":"Grazia","non-dropping-particle":"","parse-names":false,"suffix":""},{"dropping-particle":"","family":"Sbaffoni","given":"Silvia","non-dropping-particle":"","parse-names":false,"suffix":""},{"dropping-particle":"","family":"Mancuso","given":"Erika","non-dropping-particle":"","parse-names":false,"suffix":""},{"dropping-particle":"","family":"Scagliarino","given":"Claudia","non-dropping-particle":"","parse-names":false,"suffix":""},{"dropping-particle":"La","family":"Monica","given":"Marco","non-dropping-particle":"","parse-names":false,"suffix":""}],"container-title":"Environmental Engineering and Management Journal","id":"ITEM-1","issue":"7","issued":{"date-parts":[["2015"]]},"page":"1521-1533","title":"THE EXPERIENCE OF THE FIRST INDUSTRIAL SYMBIOSIS PLATFORM IN ITALY","type":"article-journal","volume":"14"},"uris":["http://www.mendeley.com/documents/?uuid=d16fc61f-8795-3875-b831-ddbddc24b7ce"]},{"id":"ITEM-2","itemData":{"DOI":"10.1016/J.JCLEPRO.2021.126083","ISSN":"0959-6526","abstract":"Since 95% of the Construction and Demolition Waste (CDW) is down-cycled and the material value is not effectively recovered, the Dutch construction industry strives for implementing Circular Economy (CE). From the recycling/reusing perspective, a key enabler towards CE is Industrial Symbiosis (IS). Although IS has been widely applied in manufacturing industries, its implementation is unclear in the construction industry. Particularly, the potential IS economic convenience is hard to predict in the highly fragmented construction supply chain. This study explores the IS based on the Recycled Concrete Aggregates (RCA) in the context of a concrete waste supply chain in the Twente region of the Netherlands. The research tackles with the CE challenge of lacking economic incentives by investigating the Industrial Symbiosis Network (ISN) emerged by replacing Primary Concrete Aggregates (PCA) with RCA. An Agent-Based Modelling (ABM) approach is proposed by integrating Geographic Information Systems (GIS) to present the dynamic supply-demand of RCA. Besides, supply chain actors are simulated as negotiable agents in a platform model to reveal the IS collaboration dynamics under different economic scenarios. It is found that the IS exists in the construction industry but only in an implicit manner because the RCA treatment requires the collaboration of multiple actors across substantial temporal and spatial differences. The study enriches the IS taxonomy by defining Implicit IS and provides instruments to support the decision-making of business collaborations and policy-making for a circular construction industry.","author":[{"dropping-particle":"","family":"Yu","given":"Yifei","non-dropping-particle":"","parse-names":false,"suffix":""},{"dropping-particle":"","family":"Yazan","given":"Devrim Murat","non-dropping-particle":"","parse-names":false,"suffix":""},{"dropping-particle":"","family":"Bhochhibhoya","given":"Silu","non-dropping-particle":"","parse-names":false,"suffix":""},{"dropping-particle":"","family":"Volker","given":"Leentje","non-dropping-particle":"","parse-names":false,"suffix":""}],"container-title":"Journal of Cleaner Production","id":"ITEM-2","issued":{"date-parts":[["2021","4","15"]]},"page":"126083","publisher":"Elsevier","title":"Towards Circular Economy through Industrial Symbiosis in the Dutch construction industry: A case of recycled concrete aggregates","type":"article-journal","volume":"293"},"uris":["http://www.mendeley.com/documents/?uuid=ecbd9644-6352-31b3-959e-069885824c6d"]}],"mendeley":{"formattedCitation":"(Cutaia et al., 2015; Yu et al., 2021)","manualFormatting":"Cutaia et al., 2015; Yu et al., 2021)","plainTextFormattedCitation":"(Cutaia et al., 2015; Yu et al., 2021)","previouslyFormattedCitation":"(Cutaia et al., 2015; Yu et al., 2021)"},"properties":{"noteIndex":0},"schema":"https://github.com/citation-style-language/schema/raw/master/csl-citation.json"}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Cutaia et al., 2015; Yu et al., 2021)</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the paper shows that MS</w:t>
      </w:r>
      <w:r w:rsidR="002C6F7C">
        <w:rPr>
          <w:rFonts w:ascii="Times New Roman" w:hAnsi="Times New Roman" w:cs="Times New Roman"/>
          <w:sz w:val="24"/>
          <w:szCs w:val="24"/>
          <w:lang w:val="en-GB"/>
        </w:rPr>
        <w:t>P</w:t>
      </w:r>
      <w:r w:rsidRPr="75A96201">
        <w:rPr>
          <w:rFonts w:ascii="Times New Roman" w:hAnsi="Times New Roman" w:cs="Times New Roman"/>
          <w:sz w:val="24"/>
          <w:szCs w:val="24"/>
          <w:lang w:val="en-GB"/>
        </w:rPr>
        <w:t xml:space="preserve">s can enable industrial symbiosis by facilitating the adoption of different managerial practices through the involvement of </w:t>
      </w:r>
      <w:r w:rsidR="00730FA4">
        <w:rPr>
          <w:rFonts w:ascii="Times New Roman" w:hAnsi="Times New Roman" w:cs="Times New Roman"/>
          <w:sz w:val="24"/>
          <w:szCs w:val="24"/>
          <w:lang w:val="en-GB"/>
        </w:rPr>
        <w:t>actors</w:t>
      </w:r>
      <w:r w:rsidR="00730FA4"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belonging to different supply chains. </w:t>
      </w:r>
    </w:p>
    <w:p w14:paraId="23964311" w14:textId="3315F7AC" w:rsidR="00B93D26" w:rsidRDefault="00000000" w:rsidP="00714E85">
      <w:pPr>
        <w:spacing w:after="0" w:line="360" w:lineRule="auto"/>
        <w:ind w:firstLine="284"/>
        <w:jc w:val="both"/>
        <w:rPr>
          <w:rFonts w:ascii="Times New Roman" w:hAnsi="Times New Roman" w:cs="Times New Roman"/>
          <w:sz w:val="24"/>
          <w:szCs w:val="24"/>
          <w:lang w:val="en-US"/>
        </w:rPr>
      </w:pPr>
      <w:r w:rsidRPr="75A96201">
        <w:rPr>
          <w:rFonts w:ascii="Times New Roman" w:eastAsiaTheme="majorEastAsia" w:hAnsi="Times New Roman" w:cs="Times New Roman"/>
          <w:sz w:val="24"/>
          <w:szCs w:val="24"/>
          <w:lang w:val="en-GB"/>
        </w:rPr>
        <w:t xml:space="preserve">Fourth, as far as the managerial practices are concerned, while </w:t>
      </w:r>
      <w:r w:rsidRPr="75A96201">
        <w:rPr>
          <w:rFonts w:ascii="Times New Roman" w:hAnsi="Times New Roman" w:cs="Times New Roman"/>
          <w:sz w:val="24"/>
          <w:szCs w:val="24"/>
          <w:lang w:val="en-GB"/>
        </w:rPr>
        <w:t xml:space="preserve">existing literature emphasizes that MSPs are mostly aimed at supporting the exchange of resources among supply chain actors to guarantee resource life cycle extension and reuse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{"citationItems":[{"id":"ITEM-1","itemData":{"DOI":"10.1007/978-3-319-97385-2_23","ISSN":"26621339","abstract":"Online platforms have a growing influence on how people interact with the physical world. They organise data streams, economic interactions and social exchanges of their users. Competitive dynamics in this emerging ‘platform society’ revolve around the ability to attract users to a platform, and to collect and analyse data from their interactions to achieve network effects. This chapter is about the roles of online platforms in enabling a more sustainable and circular economy. It identifies and describes three potential roles: they can enable people and organisations to (1) market, (2) operate and (3) co-create products, components and material. The identified roles provide a playground for firms to experiment with online platforms to advance their digital transition towards a circular economy.","author":[{"dropping-particle":"","family":"Konietzko","given":"Jan","non-dropping-particle":"","parse-names":false,"suffix":""},{"dropping-particle":"","family":"Bocken","given":"Nancy","non-dropping-particle":"","parse-names":false,"suffix":""},{"dropping-particle":"","family":"Hultink","given":"Erik Jan","non-dropping-particle":"","parse-names":false,"suffix":""}],"container-title":"Palgrave Studies in Sustainable Business in Association with Future Earth","id":"ITEM-1","issued":{"date-parts":[["2019"]]},"page":"435-450","publisher":"Palgrave Macmillan, Cham","title":"Online Platforms and the Circular Economy","type":"article-journal"},"uris":["http://www.mendeley.com/documents/?uuid=813dc2ce-f0db-37d0-ae0e-42f3f9f18a6a"]}],"mendeley":{"formattedCitation":"(Konietzko et al., 2019)","plainTextFormattedCitation":"(Konietzko et al., 2019)","previouslyFormattedCitation":"(Konietzko et al., 2019)"},"properties":{"noteIndex":0},"schema":"https://github.com/citation-style-language/schema/raw/master/csl-citation.json"}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(Konietzko et al., 2019)</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the </w:t>
      </w:r>
      <w:r w:rsidRPr="75A96201">
        <w:rPr>
          <w:rFonts w:ascii="Times New Roman" w:eastAsiaTheme="majorEastAsia" w:hAnsi="Times New Roman" w:cs="Times New Roman"/>
          <w:sz w:val="24"/>
          <w:szCs w:val="24"/>
          <w:lang w:val="en-GB"/>
        </w:rPr>
        <w:t xml:space="preserve">results show that MSPs can facilitate the implementation of a broad set of managerial practices by the involved companies. Interestingly, it emerges that MSPs can eventually </w:t>
      </w:r>
      <w:proofErr w:type="spellStart"/>
      <w:r w:rsidRPr="75A96201">
        <w:rPr>
          <w:rFonts w:ascii="Times New Roman" w:hAnsi="Times New Roman" w:cs="Times New Roman"/>
          <w:sz w:val="24"/>
          <w:szCs w:val="24"/>
          <w:lang w:val="en-US"/>
        </w:rPr>
        <w:t>favo</w:t>
      </w:r>
      <w:r w:rsidR="003D47AE">
        <w:rPr>
          <w:rFonts w:ascii="Times New Roman" w:hAnsi="Times New Roman" w:cs="Times New Roman"/>
          <w:sz w:val="24"/>
          <w:szCs w:val="24"/>
          <w:lang w:val="en-US"/>
        </w:rPr>
        <w:t>u</w:t>
      </w:r>
      <w:r w:rsidRPr="75A96201">
        <w:rPr>
          <w:rFonts w:ascii="Times New Roman" w:hAnsi="Times New Roman" w:cs="Times New Roman"/>
          <w:sz w:val="24"/>
          <w:szCs w:val="24"/>
          <w:lang w:val="en-US"/>
        </w:rPr>
        <w:t>r</w:t>
      </w:r>
      <w:proofErr w:type="spellEnd"/>
      <w:r w:rsidRPr="75A96201">
        <w:rPr>
          <w:rFonts w:ascii="Times New Roman" w:hAnsi="Times New Roman" w:cs="Times New Roman"/>
          <w:sz w:val="24"/>
          <w:szCs w:val="24"/>
          <w:lang w:val="en-US"/>
        </w:rPr>
        <w:t xml:space="preserve"> the adoption of the most challenging </w:t>
      </w:r>
      <w:r w:rsidRPr="75A96201">
        <w:rPr>
          <w:rFonts w:ascii="Times New Roman" w:eastAsiaTheme="majorEastAsia" w:hAnsi="Times New Roman" w:cs="Times New Roman"/>
          <w:sz w:val="24"/>
          <w:szCs w:val="24"/>
          <w:lang w:val="en-GB"/>
        </w:rPr>
        <w:t xml:space="preserve">managerial </w:t>
      </w:r>
      <w:r w:rsidRPr="75A96201">
        <w:rPr>
          <w:rFonts w:ascii="Times New Roman" w:hAnsi="Times New Roman" w:cs="Times New Roman"/>
          <w:sz w:val="24"/>
          <w:szCs w:val="24"/>
          <w:lang w:val="en-US"/>
        </w:rPr>
        <w:t>practices, i.e., those requiring</w:t>
      </w:r>
      <w:r w:rsidRPr="75A96201">
        <w:rPr>
          <w:rFonts w:ascii="Times New Roman" w:hAnsi="Times New Roman" w:cs="Times New Roman"/>
          <w:sz w:val="24"/>
          <w:szCs w:val="24"/>
          <w:lang w:val="en-GB"/>
        </w:rPr>
        <w:t xml:space="preserve"> an intervention on resources (such as repair, refurbish, remanufacture, and repurpose), </w:t>
      </w:r>
      <w:r w:rsidRPr="75A96201">
        <w:rPr>
          <w:rFonts w:ascii="Times New Roman" w:eastAsiaTheme="majorEastAsia" w:hAnsi="Times New Roman" w:cs="Times New Roman"/>
          <w:sz w:val="24"/>
          <w:szCs w:val="24"/>
          <w:lang w:val="en-GB"/>
        </w:rPr>
        <w:t xml:space="preserve">beyond the well-established practices such as reuse or </w:t>
      </w:r>
      <w:r w:rsidR="00714E85">
        <w:rPr>
          <w:rFonts w:ascii="Times New Roman" w:eastAsiaTheme="majorEastAsia" w:hAnsi="Times New Roman" w:cs="Times New Roman"/>
          <w:sz w:val="24"/>
          <w:szCs w:val="24"/>
          <w:lang w:val="en-GB"/>
        </w:rPr>
        <w:t>recycle</w:t>
      </w:r>
      <w:r w:rsidR="00714E85" w:rsidRPr="75A96201">
        <w:rPr>
          <w:rFonts w:ascii="Times New Roman" w:eastAsiaTheme="majorEastAsia" w:hAnsi="Times New Roman" w:cs="Times New Roman"/>
          <w:sz w:val="24"/>
          <w:szCs w:val="24"/>
          <w:lang w:val="en-GB"/>
        </w:rPr>
        <w:t xml:space="preserve"> </w:t>
      </w:r>
      <w:r w:rsidRPr="75A96201">
        <w:rPr>
          <w:rFonts w:ascii="Times New Roman" w:eastAsiaTheme="majorEastAsia" w:hAnsi="Times New Roman" w:cs="Times New Roman"/>
          <w:sz w:val="24"/>
          <w:szCs w:val="24"/>
          <w:lang w:val="en-GB"/>
        </w:rPr>
        <w:fldChar w:fldCharType="begin" w:fldLock="1"/>
      </w:r>
      <w:r w:rsidRPr="75A96201">
        <w:rPr>
          <w:rFonts w:ascii="Times New Roman" w:eastAsiaTheme="majorEastAsia" w:hAnsi="Times New Roman" w:cs="Times New Roman"/>
          <w:sz w:val="24"/>
          <w:szCs w:val="24"/>
          <w:lang w:val="en-GB"/>
        </w:rPr>
        <w:instrText>ADDIN CSL_CITATION {"citationItems":[{"id":"ITEM-1","itemData":{"DOI":"10.1016/J.JCLEPRO.2019.118528","ISSN":"0959-6526","abstract":"The circular economy (CE) concept is much-heralded among policy-makers, scholars and industry professionals as an accelerated pathway towards sustainability. This move away from the dominant linear system where products are discarded at the end of product lifecycle is deemed necessary since it is the main cause of an accelerated resource consumption. Business models are considered as a key enabler for the shift from a linear to a CE. However, research on circular business models has mainly focused on circular approaches adopted by incumbent firms, while the contributions of newly established firms (the authors call these ’circular start-ups’) have been largely overlooked. This article scrutinises the business models of circular start-ups and how they may differ from those of incumbent firms embracing CE. For this, it analyses the circular business model strategies and innovations adopted by circular start-ups, relying on a novel data sample of 128 circular start-ups identified in three major CE ecosystems in Europe: the Randstad region in the Netherlands, Berlin and London. Based on this data, a novel typology of circular start-ups is proposed, distinguishing between five circular start-up archetypes: design-based, waste-based, platform-based, service-based and nature-based start-ups. The results also show that circular start-ups tend to embrace strategies corresponding to higher levels of circularity than those of incumbents. This preliminarily suggests that circular start-ups can indeed make major contributions to transitioning towards CE.","author":[{"dropping-particle":"","family":"Henry","given":"Marvin","non-dropping-particle":"","parse-names":false,"suffix":""},{"dropping-particle":"","family":"Bauwens","given":"Thomas","non-dropping-particle":"","parse-names":false,"suffix":""},{"dropping-particle":"","family":"Hekkert","given":"Marko","non-dropping-particle":"","parse-names":false,"suffix":""},{"dropping-particle":"","family":"Kirchherr","given":"Julian","non-dropping-particle":"","parse-names":false,"suffix":""}],"container-title":"Journal of Cleaner Production","id":"ITEM-1","issued":{"date-parts":[["2020"]]},"page":"118528","publisher":"Elsevier","title":"A typology of circular start-ups: An Analysis of 128 circular business models","type":"article-journal","volume":"245"},"uris":["http://www.mendeley.com/documents/?uuid=5ee70ed3-235b-3efe-851e-e2659db8b1cd"]}],"mendeley":{"formattedCitation":"(Henry et al., 2020)","plainTextFormattedCitation":"(Henry et al., 2020)","previouslyFormattedCitation":"(Henry et al., 2020)"},"properties":{"noteIndex":0},"schema":"https://github.com/citation-style-language/schema/raw/master/csl-citation.json"}</w:instrText>
      </w:r>
      <w:r w:rsidRPr="75A96201">
        <w:rPr>
          <w:rFonts w:ascii="Times New Roman" w:eastAsiaTheme="majorEastAsia" w:hAnsi="Times New Roman" w:cs="Times New Roman"/>
          <w:sz w:val="24"/>
          <w:szCs w:val="24"/>
          <w:lang w:val="en-GB"/>
        </w:rPr>
        <w:fldChar w:fldCharType="separate"/>
      </w:r>
      <w:r w:rsidRPr="75A96201">
        <w:rPr>
          <w:rFonts w:ascii="Times New Roman" w:eastAsiaTheme="majorEastAsia" w:hAnsi="Times New Roman" w:cs="Times New Roman"/>
          <w:noProof/>
          <w:sz w:val="24"/>
          <w:szCs w:val="24"/>
          <w:lang w:val="en-GB"/>
        </w:rPr>
        <w:t>(Henry et al., 2020)</w:t>
      </w:r>
      <w:r w:rsidRPr="75A96201">
        <w:rPr>
          <w:rFonts w:ascii="Times New Roman" w:eastAsiaTheme="majorEastAsia" w:hAnsi="Times New Roman" w:cs="Times New Roman"/>
          <w:sz w:val="24"/>
          <w:szCs w:val="24"/>
          <w:lang w:val="en-GB"/>
        </w:rPr>
        <w:fldChar w:fldCharType="end"/>
      </w:r>
      <w:r w:rsidRPr="75A96201">
        <w:rPr>
          <w:rFonts w:ascii="Times New Roman" w:hAnsi="Times New Roman" w:cs="Times New Roman"/>
          <w:sz w:val="24"/>
          <w:szCs w:val="24"/>
          <w:lang w:val="en-US"/>
        </w:rPr>
        <w:t>.</w:t>
      </w:r>
    </w:p>
    <w:p w14:paraId="5CF6D9AA" w14:textId="31EF59AB" w:rsidR="004915E0" w:rsidRDefault="004915E0" w:rsidP="00247672">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US"/>
        </w:rPr>
        <w:t xml:space="preserve">Finally, the present study contributes to the broader CE field by shedding light on how MSPs can facilitate the achievement of the decoupling principle on which the CE approach is based. </w:t>
      </w:r>
      <w:r w:rsidR="009073CE">
        <w:rPr>
          <w:rFonts w:ascii="Times New Roman" w:hAnsi="Times New Roman" w:cs="Times New Roman"/>
          <w:sz w:val="24"/>
          <w:szCs w:val="24"/>
          <w:lang w:val="en-US"/>
        </w:rPr>
        <w:t>Th</w:t>
      </w:r>
      <w:r w:rsidR="00102716">
        <w:rPr>
          <w:rFonts w:ascii="Times New Roman" w:hAnsi="Times New Roman" w:cs="Times New Roman"/>
          <w:sz w:val="24"/>
          <w:szCs w:val="24"/>
          <w:lang w:val="en-US"/>
        </w:rPr>
        <w:t xml:space="preserve">e decoupling </w:t>
      </w:r>
      <w:r w:rsidR="009073CE">
        <w:rPr>
          <w:rFonts w:ascii="Times New Roman" w:hAnsi="Times New Roman" w:cs="Times New Roman"/>
          <w:sz w:val="24"/>
          <w:szCs w:val="24"/>
          <w:lang w:val="en-US"/>
        </w:rPr>
        <w:t>principle consists of decoupling economic growth from resource consumption</w:t>
      </w:r>
      <w:r w:rsidR="00355AE6">
        <w:rPr>
          <w:rFonts w:ascii="Times New Roman" w:hAnsi="Times New Roman" w:cs="Times New Roman"/>
          <w:sz w:val="24"/>
          <w:szCs w:val="24"/>
          <w:lang w:val="en-US"/>
        </w:rPr>
        <w:t xml:space="preserve">, </w:t>
      </w:r>
      <w:r w:rsidR="009073CE">
        <w:rPr>
          <w:rFonts w:ascii="Times New Roman" w:hAnsi="Times New Roman" w:cs="Times New Roman"/>
          <w:sz w:val="24"/>
          <w:szCs w:val="24"/>
          <w:lang w:val="en-US"/>
        </w:rPr>
        <w:t xml:space="preserve"> </w:t>
      </w:r>
      <w:r w:rsidR="00355AE6">
        <w:rPr>
          <w:rFonts w:ascii="Times New Roman" w:hAnsi="Times New Roman" w:cs="Times New Roman"/>
          <w:sz w:val="24"/>
          <w:szCs w:val="24"/>
          <w:lang w:val="en-US"/>
        </w:rPr>
        <w:t xml:space="preserve">and thus from the related </w:t>
      </w:r>
      <w:r w:rsidR="00355AE6" w:rsidRPr="00355AE6">
        <w:rPr>
          <w:rFonts w:ascii="Times New Roman" w:hAnsi="Times New Roman" w:cs="Times New Roman"/>
          <w:sz w:val="24"/>
          <w:szCs w:val="24"/>
          <w:lang w:val="en-US"/>
        </w:rPr>
        <w:t>nega</w:t>
      </w:r>
      <w:r w:rsidR="00355AE6">
        <w:rPr>
          <w:rFonts w:ascii="Times New Roman" w:hAnsi="Times New Roman" w:cs="Times New Roman"/>
          <w:sz w:val="24"/>
          <w:szCs w:val="24"/>
          <w:lang w:val="en-US"/>
        </w:rPr>
        <w:t>t</w:t>
      </w:r>
      <w:r w:rsidR="00355AE6" w:rsidRPr="00355AE6">
        <w:rPr>
          <w:rFonts w:ascii="Times New Roman" w:hAnsi="Times New Roman" w:cs="Times New Roman"/>
          <w:sz w:val="24"/>
          <w:szCs w:val="24"/>
          <w:lang w:val="en-US"/>
        </w:rPr>
        <w:t>ive consequences of resource depletion and environmental degradation</w:t>
      </w:r>
      <w:r w:rsidR="00355AE6" w:rsidRPr="00355AE6" w:rsidDel="00102716">
        <w:rPr>
          <w:rFonts w:ascii="Times New Roman" w:hAnsi="Times New Roman" w:cs="Times New Roman"/>
          <w:sz w:val="24"/>
          <w:szCs w:val="24"/>
          <w:lang w:val="en-US"/>
        </w:rPr>
        <w:t xml:space="preserve"> </w:t>
      </w:r>
      <w:r w:rsidR="00355AE6">
        <w:rPr>
          <w:rFonts w:ascii="Times New Roman" w:hAnsi="Times New Roman" w:cs="Times New Roman"/>
          <w:sz w:val="24"/>
          <w:szCs w:val="24"/>
          <w:lang w:val="en-US"/>
        </w:rPr>
        <w:fldChar w:fldCharType="begin" w:fldLock="1"/>
      </w:r>
      <w:r w:rsidR="00355AE6">
        <w:rPr>
          <w:rFonts w:ascii="Times New Roman" w:hAnsi="Times New Roman" w:cs="Times New Roman"/>
          <w:sz w:val="24"/>
          <w:szCs w:val="24"/>
          <w:lang w:val="en-US"/>
        </w:rPr>
        <w:instrText>ADDIN CSL_CITATION {"citationItems":[{"id":"ITEM-1","itemData":{"DOI":"10.1016/J.RESCONREC.2019.104553","ISSN":"0921-3449","abstract":"The transition to a circular economy requires actions and policies. In the praxis of governance, a common way to steer the transition to a different state proceeds through the setting of targets. Thus far, no study has investigated circular economy targets in a systematic way. To bridge this gap, this study examines which targets can facilitate the transition towards a circular economy. The analysis focuses both on existing and new targets; the latter complement existing targets which are limited to a few discrete cases addressing only partially the goal of a more circular economy. A framework based on 10 common circular economy strategies (i.e. recover, recycling, repurpose, remanufacture, refurbish, repair, re-use, reduce, rethink, refuse) is applied to scrutinise the selected targets. The study clarifies that existing targets for recovery and recycling do not necessarily promote a circular economy, though they are the most commonly applied targets so far. Because of lack of efficacy of recovery and recycling, targets should instead favour other more powerful circular economy strategies. In relation to these, the study looks into new and existing targets showing how they can reduce waste, increase efficiency, close production loops, and maximise retention of the economic value of materials and products. In particular, the study proposes an expanded set of brand new targets for the transition to a circular economy together with a fresh view on targets aimed at scholars and decision-makers alike.","author":[{"dropping-particle":"","family":"Morseletto","given":"Piero","non-dropping-particle":"","parse-names":false,"suffix":""}],"container-title":"Resources, Conservation and Recycling","id":"ITEM-1","issued":{"date-parts":[["2020","2","1"]]},"page":"104553","publisher":"Elsevier","title":"Targets for a circular economy","type":"article-journal","volume":"153"},"uris":["http://www.mendeley.com/documents/?uuid=b8c8ec4f-9e6f-3f3e-9a26-677892f49257"]}],"mendeley":{"formattedCitation":"(Morseletto, 2020)","plainTextFormattedCitation":"(Morseletto, 2020)","previouslyFormattedCitation":"(Morseletto, 2020)"},"properties":{"noteIndex":0},"schema":"https://github.com/citation-style-language/schema/raw/master/csl-citation.json"}</w:instrText>
      </w:r>
      <w:r w:rsidR="00355AE6">
        <w:rPr>
          <w:rFonts w:ascii="Times New Roman" w:hAnsi="Times New Roman" w:cs="Times New Roman"/>
          <w:sz w:val="24"/>
          <w:szCs w:val="24"/>
          <w:lang w:val="en-US"/>
        </w:rPr>
        <w:fldChar w:fldCharType="separate"/>
      </w:r>
      <w:r w:rsidR="00355AE6" w:rsidRPr="00355AE6">
        <w:rPr>
          <w:rFonts w:ascii="Times New Roman" w:hAnsi="Times New Roman" w:cs="Times New Roman"/>
          <w:noProof/>
          <w:sz w:val="24"/>
          <w:szCs w:val="24"/>
          <w:lang w:val="en-US"/>
        </w:rPr>
        <w:t>(Morseletto, 2020)</w:t>
      </w:r>
      <w:r w:rsidR="00355AE6">
        <w:rPr>
          <w:rFonts w:ascii="Times New Roman" w:hAnsi="Times New Roman" w:cs="Times New Roman"/>
          <w:sz w:val="24"/>
          <w:szCs w:val="24"/>
          <w:lang w:val="en-US"/>
        </w:rPr>
        <w:fldChar w:fldCharType="end"/>
      </w:r>
      <w:r w:rsidR="009073CE">
        <w:rPr>
          <w:rFonts w:ascii="Times New Roman" w:hAnsi="Times New Roman" w:cs="Times New Roman"/>
          <w:sz w:val="24"/>
          <w:szCs w:val="24"/>
          <w:lang w:val="en-US"/>
        </w:rPr>
        <w:t>.</w:t>
      </w:r>
      <w:r w:rsidR="00D15D6C">
        <w:rPr>
          <w:rFonts w:ascii="Times New Roman" w:hAnsi="Times New Roman" w:cs="Times New Roman"/>
          <w:sz w:val="24"/>
          <w:szCs w:val="24"/>
          <w:lang w:val="en-US"/>
        </w:rPr>
        <w:t xml:space="preserve"> According to </w:t>
      </w:r>
      <w:r w:rsidR="00D15D6C">
        <w:rPr>
          <w:rFonts w:ascii="Times New Roman" w:hAnsi="Times New Roman" w:cs="Times New Roman"/>
          <w:sz w:val="24"/>
          <w:szCs w:val="24"/>
          <w:lang w:val="en-US"/>
        </w:rPr>
        <w:fldChar w:fldCharType="begin" w:fldLock="1"/>
      </w:r>
      <w:r w:rsidR="00355AE6">
        <w:rPr>
          <w:rFonts w:ascii="Times New Roman" w:hAnsi="Times New Roman" w:cs="Times New Roman"/>
          <w:sz w:val="24"/>
          <w:szCs w:val="24"/>
          <w:lang w:val="en-US"/>
        </w:rPr>
        <w:instrText>ADDIN CSL_CITATION {"citationItems":[{"id":"ITEM-1","itemData":{"DOI":"10.1111/jiec.12747","ISSN":"15309290","abstract":"Product/service-systems (PSS) that focus on selling service and performance instead of products are often mentioned as means to realize a circular economy (CE), in which economic growth is decoupled from resource consumption. However, a PSS is no implicit guarantee for a CE, and CE strategies do not necessarily lead to decoupling economic growth from resource consumption in absolute terms. Absolute resource decoupling only occurs when the resource use declines, irrespective of the growth rate of the economic driver. In this forum paper, we propose a two-step framework that aims to support analyses of PSS and their potential to lead to absolute resource decoupling. In the first step, we present four PSS enablers of relative resource reduction that qualify as CE strategies. In the second step, three subsequent requirements need to be met, in order to successfully achieve absolute resource decoupling. Conditions and limitations for this accomplishment are discussed. Danish textile cases are used to exemplify the framework elements and its application. We expect that the framework will challenge the debate on the necessary conditions for CE strategies to ensure absolute resource decoupling.","author":[{"dropping-particle":"","family":"Kjaer","given":"Louise Laumann","non-dropping-particle":"","parse-names":false,"suffix":""},{"dropping-particle":"","family":"Pigosso","given":"Daniela C.A.","non-dropping-particle":"","parse-names":false,"suffix":""},{"dropping-particle":"","family":"Niero","given":"Monia","non-dropping-particle":"","parse-names":false,"suffix":""},{"dropping-particle":"","family":"Bech","given":"Nynne Marie","non-dropping-particle":"","parse-names":false,"suffix":""},{"dropping-particle":"","family":"McAloone","given":"Tim C.","non-dropping-particle":"","parse-names":false,"suffix":""}],"container-title":"Journal of Industrial Ecology","id":"ITEM-1","issue":"1","issued":{"date-parts":[["2019","2","1"]]},"page":"22-35","publisher":"Blackwell Publishing","title":"Product/Service-Systems for a Circular Economy: The Route to Decoupling Economic Growth from Resource Consumption?","type":"article-journal","volume":"23"},"uris":["http://www.mendeley.com/documents/?uuid=7e9d3598-8245-3763-ae41-ebdfe7d0204f"]}],"mendeley":{"formattedCitation":"(Kjaer et al., 2019)","manualFormatting":"Kjaer et al. (2019)","plainTextFormattedCitation":"(Kjaer et al., 2019)","previouslyFormattedCitation":"(Kjaer et al., 2019)"},"properties":{"noteIndex":0},"schema":"https://github.com/citation-style-language/schema/raw/master/csl-citation.json"}</w:instrText>
      </w:r>
      <w:r w:rsidR="00D15D6C">
        <w:rPr>
          <w:rFonts w:ascii="Times New Roman" w:hAnsi="Times New Roman" w:cs="Times New Roman"/>
          <w:sz w:val="24"/>
          <w:szCs w:val="24"/>
          <w:lang w:val="en-US"/>
        </w:rPr>
        <w:fldChar w:fldCharType="separate"/>
      </w:r>
      <w:r w:rsidR="00D15D6C" w:rsidRPr="00102716">
        <w:rPr>
          <w:rFonts w:ascii="Times New Roman" w:hAnsi="Times New Roman" w:cs="Times New Roman"/>
          <w:noProof/>
          <w:sz w:val="24"/>
          <w:szCs w:val="24"/>
          <w:lang w:val="en-US"/>
        </w:rPr>
        <w:t xml:space="preserve">Kjaer et al. </w:t>
      </w:r>
      <w:r w:rsidR="00D15D6C">
        <w:rPr>
          <w:rFonts w:ascii="Times New Roman" w:hAnsi="Times New Roman" w:cs="Times New Roman"/>
          <w:noProof/>
          <w:sz w:val="24"/>
          <w:szCs w:val="24"/>
          <w:lang w:val="en-US"/>
        </w:rPr>
        <w:t>(</w:t>
      </w:r>
      <w:r w:rsidR="00D15D6C" w:rsidRPr="00102716">
        <w:rPr>
          <w:rFonts w:ascii="Times New Roman" w:hAnsi="Times New Roman" w:cs="Times New Roman"/>
          <w:noProof/>
          <w:sz w:val="24"/>
          <w:szCs w:val="24"/>
          <w:lang w:val="en-US"/>
        </w:rPr>
        <w:t>2019)</w:t>
      </w:r>
      <w:r w:rsidR="00D15D6C">
        <w:rPr>
          <w:rFonts w:ascii="Times New Roman" w:hAnsi="Times New Roman" w:cs="Times New Roman"/>
          <w:sz w:val="24"/>
          <w:szCs w:val="24"/>
          <w:lang w:val="en-US"/>
        </w:rPr>
        <w:fldChar w:fldCharType="end"/>
      </w:r>
      <w:r w:rsidR="009073CE">
        <w:rPr>
          <w:rFonts w:ascii="Times New Roman" w:hAnsi="Times New Roman" w:cs="Times New Roman"/>
          <w:sz w:val="24"/>
          <w:szCs w:val="24"/>
          <w:lang w:val="en-US"/>
        </w:rPr>
        <w:t xml:space="preserve"> </w:t>
      </w:r>
      <w:r w:rsidR="00D15D6C">
        <w:rPr>
          <w:rFonts w:ascii="Times New Roman" w:hAnsi="Times New Roman" w:cs="Times New Roman"/>
          <w:sz w:val="24"/>
          <w:szCs w:val="24"/>
          <w:lang w:val="en-US"/>
        </w:rPr>
        <w:t>“r</w:t>
      </w:r>
      <w:r w:rsidR="00D15D6C" w:rsidRPr="00D15D6C">
        <w:rPr>
          <w:rFonts w:ascii="Times New Roman" w:hAnsi="Times New Roman" w:cs="Times New Roman"/>
          <w:sz w:val="24"/>
          <w:szCs w:val="24"/>
          <w:lang w:val="en-US"/>
        </w:rPr>
        <w:t xml:space="preserve">esource decoupling </w:t>
      </w:r>
      <w:r w:rsidR="00D15D6C">
        <w:rPr>
          <w:rFonts w:ascii="Times New Roman" w:hAnsi="Times New Roman" w:cs="Times New Roman"/>
          <w:sz w:val="24"/>
          <w:szCs w:val="24"/>
          <w:lang w:val="en-US"/>
        </w:rPr>
        <w:t xml:space="preserve">is aimed </w:t>
      </w:r>
      <w:r w:rsidR="00D15D6C" w:rsidRPr="00D15D6C">
        <w:rPr>
          <w:rFonts w:ascii="Times New Roman" w:hAnsi="Times New Roman" w:cs="Times New Roman"/>
          <w:sz w:val="24"/>
          <w:szCs w:val="24"/>
          <w:lang w:val="en-US"/>
        </w:rPr>
        <w:t>to reduce the rate of resource depletion by raising resource productivity, which is expected to simultaneously reduce environmental impacts</w:t>
      </w:r>
      <w:r w:rsidR="00D15D6C">
        <w:rPr>
          <w:rFonts w:ascii="Times New Roman" w:hAnsi="Times New Roman" w:cs="Times New Roman"/>
          <w:sz w:val="24"/>
          <w:szCs w:val="24"/>
          <w:lang w:val="en-US"/>
        </w:rPr>
        <w:t xml:space="preserve">” (p. 23). </w:t>
      </w:r>
      <w:r w:rsidR="009073CE">
        <w:rPr>
          <w:rFonts w:ascii="Times New Roman" w:hAnsi="Times New Roman" w:cs="Times New Roman"/>
          <w:sz w:val="24"/>
          <w:szCs w:val="24"/>
          <w:lang w:val="en-US"/>
        </w:rPr>
        <w:t xml:space="preserve">Given that MSPs </w:t>
      </w:r>
      <w:r w:rsidR="00D15D6C">
        <w:rPr>
          <w:rFonts w:ascii="Times New Roman" w:hAnsi="Times New Roman" w:cs="Times New Roman"/>
          <w:sz w:val="24"/>
          <w:szCs w:val="24"/>
          <w:lang w:val="en-US"/>
        </w:rPr>
        <w:t xml:space="preserve">can </w:t>
      </w:r>
      <w:r w:rsidR="009073CE">
        <w:rPr>
          <w:rFonts w:ascii="Times New Roman" w:hAnsi="Times New Roman" w:cs="Times New Roman"/>
          <w:sz w:val="24"/>
          <w:szCs w:val="24"/>
          <w:lang w:val="en-US"/>
        </w:rPr>
        <w:t xml:space="preserve">contribute to the fulfillment of the closing, slowing, and narrowing </w:t>
      </w:r>
      <w:r w:rsidR="00D15D6C">
        <w:rPr>
          <w:rFonts w:ascii="Times New Roman" w:hAnsi="Times New Roman" w:cs="Times New Roman"/>
          <w:sz w:val="24"/>
          <w:szCs w:val="24"/>
          <w:lang w:val="en-US"/>
        </w:rPr>
        <w:t xml:space="preserve">of </w:t>
      </w:r>
      <w:r w:rsidR="009073CE">
        <w:rPr>
          <w:rFonts w:ascii="Times New Roman" w:hAnsi="Times New Roman" w:cs="Times New Roman"/>
          <w:sz w:val="24"/>
          <w:szCs w:val="24"/>
          <w:lang w:val="en-US"/>
        </w:rPr>
        <w:t xml:space="preserve">resources loops within CSCs, they </w:t>
      </w:r>
      <w:r w:rsidR="00D15D6C">
        <w:rPr>
          <w:rFonts w:ascii="Times New Roman" w:hAnsi="Times New Roman" w:cs="Times New Roman"/>
          <w:sz w:val="24"/>
          <w:szCs w:val="24"/>
          <w:lang w:val="en-US"/>
        </w:rPr>
        <w:t xml:space="preserve">can therefore </w:t>
      </w:r>
      <w:r w:rsidR="009073CE">
        <w:rPr>
          <w:rFonts w:ascii="Times New Roman" w:hAnsi="Times New Roman" w:cs="Times New Roman"/>
          <w:sz w:val="24"/>
          <w:szCs w:val="24"/>
          <w:lang w:val="en-US"/>
        </w:rPr>
        <w:t>enable the achievement of the decoupling principle</w:t>
      </w:r>
      <w:r>
        <w:rPr>
          <w:rFonts w:ascii="Times New Roman" w:hAnsi="Times New Roman" w:cs="Times New Roman"/>
          <w:sz w:val="24"/>
          <w:szCs w:val="24"/>
          <w:lang w:val="en-US"/>
        </w:rPr>
        <w:t>.</w:t>
      </w:r>
    </w:p>
    <w:p w14:paraId="56979F6B" w14:textId="16D39376" w:rsidR="00B93D26" w:rsidRDefault="00000000" w:rsidP="00776CCC">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From a managerial point of view, the paper holds relevant practical implications for practitioners employed at industrial companies that aim to design a CBM and a related CSC. </w:t>
      </w:r>
      <w:r w:rsidRPr="75A96201">
        <w:rPr>
          <w:rFonts w:ascii="Times New Roman" w:eastAsiaTheme="majorEastAsia" w:hAnsi="Times New Roman" w:cs="Times New Roman"/>
          <w:sz w:val="24"/>
          <w:szCs w:val="24"/>
          <w:lang w:val="en-GB"/>
        </w:rPr>
        <w:t>Indeed, there is a lack of understanding in companies on</w:t>
      </w:r>
      <w:r w:rsidRPr="75A96201">
        <w:rPr>
          <w:rFonts w:ascii="Times New Roman" w:hAnsi="Times New Roman" w:cs="Times New Roman"/>
          <w:sz w:val="24"/>
          <w:szCs w:val="24"/>
          <w:lang w:val="en-GB"/>
        </w:rPr>
        <w:t xml:space="preserve"> how the transition towards CE can be put into place </w:t>
      </w:r>
      <w:r w:rsidR="00D07027" w:rsidRPr="75A96201">
        <w:rPr>
          <w:rFonts w:ascii="Times New Roman" w:hAnsi="Times New Roman" w:cs="Times New Roman"/>
          <w:sz w:val="24"/>
          <w:szCs w:val="24"/>
          <w:lang w:val="en-GB"/>
        </w:rPr>
        <w:t>practically. In</w:t>
      </w:r>
      <w:r w:rsidRPr="75A96201">
        <w:rPr>
          <w:rFonts w:ascii="Times New Roman" w:hAnsi="Times New Roman" w:cs="Times New Roman"/>
          <w:sz w:val="24"/>
          <w:szCs w:val="24"/>
          <w:lang w:val="en-GB"/>
        </w:rPr>
        <w:t xml:space="preserve"> other words, companies need practical guidelines to understand how they must redesign their business model and especially inter-organizational collaborations</w:t>
      </w:r>
      <w:r w:rsidRPr="75A96201">
        <w:rPr>
          <w:rFonts w:ascii="Times New Roman" w:eastAsiaTheme="majorEastAsia" w:hAnsi="Times New Roman" w:cs="Times New Roman"/>
          <w:sz w:val="24"/>
          <w:szCs w:val="24"/>
          <w:lang w:val="en-GB"/>
        </w:rPr>
        <w:t>.</w:t>
      </w:r>
      <w:r w:rsidRPr="75A96201">
        <w:rPr>
          <w:rFonts w:ascii="Times New Roman" w:eastAsiaTheme="majorEastAsia" w:hAnsi="Times New Roman" w:cs="Times New Roman"/>
          <w:sz w:val="24"/>
          <w:szCs w:val="24"/>
          <w:lang w:val="en-US"/>
        </w:rPr>
        <w:t xml:space="preserve"> In this vein, the taxonomy developed in this study may inform B2B </w:t>
      </w:r>
      <w:r w:rsidRPr="75A96201">
        <w:rPr>
          <w:rFonts w:ascii="Times New Roman" w:hAnsi="Times New Roman" w:cs="Times New Roman"/>
          <w:sz w:val="24"/>
          <w:szCs w:val="24"/>
          <w:lang w:val="en-GB"/>
        </w:rPr>
        <w:t xml:space="preserve">companies on how to leverage MSPs to fulfil the CSC strategies of closing, slowing, and narrowing resource loops through the implementation of the related </w:t>
      </w:r>
      <w:r w:rsidR="00F969C7">
        <w:rPr>
          <w:rFonts w:ascii="Times New Roman" w:hAnsi="Times New Roman" w:cs="Times New Roman"/>
          <w:sz w:val="24"/>
          <w:szCs w:val="24"/>
          <w:lang w:val="en-GB"/>
        </w:rPr>
        <w:t>managerial</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practices. Furthermore, the proposed taxonomy </w:t>
      </w:r>
      <w:r w:rsidRPr="00282DE6">
        <w:rPr>
          <w:rFonts w:ascii="Times New Roman" w:hAnsi="Times New Roman" w:cs="Times New Roman"/>
          <w:sz w:val="24"/>
          <w:szCs w:val="24"/>
          <w:lang w:val="en-GB"/>
        </w:rPr>
        <w:t>may inform entrepreneurs dealing with the design of MSP-based ventures in accordance with CE principl</w:t>
      </w:r>
      <w:r w:rsidRPr="75A96201">
        <w:rPr>
          <w:rFonts w:ascii="Times New Roman" w:hAnsi="Times New Roman" w:cs="Times New Roman"/>
          <w:sz w:val="24"/>
          <w:szCs w:val="24"/>
          <w:lang w:val="en-GB"/>
        </w:rPr>
        <w:t>es by showing the different roles that such platforms may play in orchestrating actors within CSCs to achieve CE targets.</w:t>
      </w:r>
    </w:p>
    <w:p w14:paraId="11CBA736" w14:textId="77777777" w:rsidR="00B93D26" w:rsidRPr="00860EEB" w:rsidRDefault="00000000" w:rsidP="007B6B7A">
      <w:pPr>
        <w:spacing w:after="0" w:line="360" w:lineRule="auto"/>
        <w:ind w:firstLine="284"/>
        <w:jc w:val="both"/>
        <w:rPr>
          <w:rFonts w:ascii="Times New Roman" w:eastAsiaTheme="majorEastAsia" w:hAnsi="Times New Roman" w:cs="Times New Roman"/>
          <w:b/>
          <w:bCs/>
          <w:sz w:val="24"/>
          <w:szCs w:val="24"/>
          <w:lang w:val="en-GB"/>
        </w:rPr>
      </w:pPr>
      <w:r>
        <w:rPr>
          <w:rFonts w:ascii="Times New Roman" w:hAnsi="Times New Roman" w:cs="Times New Roman"/>
          <w:sz w:val="24"/>
          <w:szCs w:val="24"/>
          <w:lang w:val="en-GB"/>
        </w:rPr>
        <w:lastRenderedPageBreak/>
        <w:t>Finally,</w:t>
      </w:r>
      <w:r w:rsidRPr="002A79D4">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w:t>
      </w:r>
      <w:r w:rsidRPr="002A79D4">
        <w:rPr>
          <w:rFonts w:ascii="Times New Roman" w:hAnsi="Times New Roman" w:cs="Times New Roman"/>
          <w:sz w:val="24"/>
          <w:szCs w:val="24"/>
          <w:lang w:val="en-GB"/>
        </w:rPr>
        <w:t>results</w:t>
      </w:r>
      <w:r>
        <w:rPr>
          <w:rFonts w:ascii="Times New Roman" w:hAnsi="Times New Roman" w:cs="Times New Roman"/>
          <w:sz w:val="24"/>
          <w:szCs w:val="24"/>
          <w:lang w:val="en-GB"/>
        </w:rPr>
        <w:t xml:space="preserve"> </w:t>
      </w:r>
      <w:r w:rsidRPr="002A79D4">
        <w:rPr>
          <w:rFonts w:ascii="Times New Roman" w:hAnsi="Times New Roman" w:cs="Times New Roman"/>
          <w:sz w:val="24"/>
          <w:szCs w:val="24"/>
          <w:lang w:val="en-GB"/>
        </w:rPr>
        <w:t>may inspire policy makers</w:t>
      </w:r>
      <w:r>
        <w:rPr>
          <w:rFonts w:ascii="Times New Roman" w:hAnsi="Times New Roman" w:cs="Times New Roman"/>
          <w:sz w:val="24"/>
          <w:szCs w:val="24"/>
          <w:lang w:val="en-GB"/>
        </w:rPr>
        <w:t xml:space="preserve"> dealing with CE-related topics</w:t>
      </w:r>
      <w:r w:rsidRPr="002A79D4">
        <w:rPr>
          <w:rFonts w:ascii="Times New Roman" w:hAnsi="Times New Roman" w:cs="Times New Roman"/>
          <w:sz w:val="24"/>
          <w:szCs w:val="24"/>
          <w:lang w:val="en-GB"/>
        </w:rPr>
        <w:t xml:space="preserve"> to define policies that aim to support </w:t>
      </w:r>
      <w:r>
        <w:rPr>
          <w:rFonts w:ascii="Times New Roman" w:hAnsi="Times New Roman" w:cs="Times New Roman"/>
          <w:sz w:val="24"/>
          <w:szCs w:val="24"/>
          <w:lang w:val="en-GB"/>
        </w:rPr>
        <w:t>B2B players</w:t>
      </w:r>
      <w:r w:rsidRPr="002A79D4">
        <w:rPr>
          <w:rFonts w:ascii="Times New Roman" w:hAnsi="Times New Roman" w:cs="Times New Roman"/>
          <w:sz w:val="24"/>
          <w:szCs w:val="24"/>
          <w:lang w:val="en-GB"/>
        </w:rPr>
        <w:t xml:space="preserve"> in</w:t>
      </w:r>
      <w:r>
        <w:rPr>
          <w:rFonts w:ascii="Times New Roman" w:hAnsi="Times New Roman" w:cs="Times New Roman"/>
          <w:sz w:val="24"/>
          <w:szCs w:val="24"/>
          <w:lang w:val="en-GB"/>
        </w:rPr>
        <w:t xml:space="preserve"> implementing CE principles while exploiting MSPs</w:t>
      </w:r>
      <w:r w:rsidRPr="002A79D4">
        <w:rPr>
          <w:rFonts w:ascii="Times New Roman" w:hAnsi="Times New Roman" w:cs="Times New Roman"/>
          <w:sz w:val="24"/>
          <w:szCs w:val="24"/>
          <w:lang w:val="en-GB"/>
        </w:rPr>
        <w:t>.</w:t>
      </w:r>
      <w:r>
        <w:rPr>
          <w:rFonts w:ascii="Times New Roman" w:hAnsi="Times New Roman" w:cs="Times New Roman"/>
          <w:sz w:val="24"/>
          <w:szCs w:val="24"/>
          <w:lang w:val="en-GB"/>
        </w:rPr>
        <w:t xml:space="preserve"> At the same time, the results could inform the development of new policies to support the development of CE-related MSPs, mostly in those contexts where their presence as an orchestrator for facilitating inter-organizational collaborations among supply chain actors could be fundamental to effectively manage the resource loops.  </w:t>
      </w:r>
    </w:p>
    <w:p w14:paraId="4CDA8634" w14:textId="77777777" w:rsidR="00B93D26" w:rsidRDefault="00B93D26" w:rsidP="00C66F61">
      <w:pPr>
        <w:spacing w:after="0" w:line="360" w:lineRule="auto"/>
        <w:jc w:val="both"/>
        <w:rPr>
          <w:rFonts w:ascii="Times New Roman" w:hAnsi="Times New Roman" w:cs="Times New Roman"/>
          <w:sz w:val="24"/>
          <w:szCs w:val="24"/>
          <w:lang w:val="en-GB"/>
        </w:rPr>
      </w:pPr>
    </w:p>
    <w:p w14:paraId="765B4C95" w14:textId="77777777" w:rsidR="00B93D26" w:rsidRPr="007B6B7A" w:rsidRDefault="00000000" w:rsidP="007B6B7A">
      <w:pPr>
        <w:spacing w:after="0" w:line="360" w:lineRule="auto"/>
        <w:jc w:val="both"/>
        <w:rPr>
          <w:rFonts w:ascii="Times New Roman" w:eastAsiaTheme="majorEastAsia" w:hAnsi="Times New Roman" w:cs="Times New Roman"/>
          <w:b/>
          <w:bCs/>
          <w:i/>
          <w:iCs/>
          <w:sz w:val="24"/>
          <w:szCs w:val="24"/>
          <w:lang w:val="en-GB"/>
        </w:rPr>
      </w:pPr>
      <w:r w:rsidRPr="007B6B7A">
        <w:rPr>
          <w:rFonts w:ascii="Times New Roman" w:eastAsiaTheme="majorEastAsia" w:hAnsi="Times New Roman" w:cs="Times New Roman"/>
          <w:b/>
          <w:bCs/>
          <w:i/>
          <w:iCs/>
          <w:sz w:val="24"/>
          <w:szCs w:val="24"/>
          <w:lang w:val="en-GB"/>
        </w:rPr>
        <w:t>5.</w:t>
      </w:r>
      <w:r>
        <w:rPr>
          <w:rFonts w:ascii="Times New Roman" w:eastAsiaTheme="majorEastAsia" w:hAnsi="Times New Roman" w:cs="Times New Roman"/>
          <w:b/>
          <w:bCs/>
          <w:i/>
          <w:iCs/>
          <w:sz w:val="24"/>
          <w:szCs w:val="24"/>
          <w:lang w:val="en-GB"/>
        </w:rPr>
        <w:t>2</w:t>
      </w:r>
      <w:r w:rsidRPr="007B6B7A">
        <w:rPr>
          <w:rFonts w:ascii="Times New Roman" w:eastAsiaTheme="majorEastAsia" w:hAnsi="Times New Roman" w:cs="Times New Roman"/>
          <w:b/>
          <w:bCs/>
          <w:i/>
          <w:iCs/>
          <w:sz w:val="24"/>
          <w:szCs w:val="24"/>
          <w:lang w:val="en-GB"/>
        </w:rPr>
        <w:t xml:space="preserve"> Limitations and avenues for future research</w:t>
      </w:r>
    </w:p>
    <w:p w14:paraId="2795EC36" w14:textId="77777777" w:rsidR="00B93D26" w:rsidRDefault="00000000" w:rsidP="007B6B7A">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authors acknowledge the presence of several limitations characterizing their research, </w:t>
      </w:r>
      <w:r w:rsidRPr="002A79D4">
        <w:rPr>
          <w:rFonts w:ascii="Times New Roman" w:hAnsi="Times New Roman" w:cs="Times New Roman"/>
          <w:sz w:val="24"/>
          <w:szCs w:val="24"/>
          <w:lang w:val="en-GB"/>
        </w:rPr>
        <w:t>which will hopefully open avenues for future research on the topic</w:t>
      </w:r>
      <w:r>
        <w:rPr>
          <w:rFonts w:ascii="Times New Roman" w:hAnsi="Times New Roman" w:cs="Times New Roman"/>
          <w:sz w:val="24"/>
          <w:szCs w:val="24"/>
          <w:lang w:val="en-GB"/>
        </w:rPr>
        <w:t>.</w:t>
      </w:r>
    </w:p>
    <w:p w14:paraId="20FD9E30" w14:textId="34FF66DE" w:rsidR="005F6384" w:rsidRDefault="00000000" w:rsidP="00AA08A3">
      <w:pPr>
        <w:spacing w:after="0" w:line="360" w:lineRule="auto"/>
        <w:ind w:firstLine="284"/>
        <w:jc w:val="both"/>
        <w:rPr>
          <w:rFonts w:ascii="Times New Roman" w:hAnsi="Times New Roman" w:cs="Times New Roman"/>
          <w:sz w:val="24"/>
          <w:szCs w:val="24"/>
          <w:lang w:val="en-GB"/>
        </w:rPr>
      </w:pPr>
      <w:r w:rsidRPr="75A96201">
        <w:rPr>
          <w:rFonts w:ascii="Times New Roman" w:hAnsi="Times New Roman" w:cs="Times New Roman"/>
          <w:sz w:val="24"/>
          <w:szCs w:val="24"/>
          <w:lang w:val="en-GB"/>
        </w:rPr>
        <w:t xml:space="preserve">First, the paper develops a taxonomy of MSPs enabling CSCs in </w:t>
      </w:r>
      <w:r w:rsidR="00F969C7">
        <w:rPr>
          <w:rFonts w:ascii="Times New Roman" w:hAnsi="Times New Roman" w:cs="Times New Roman"/>
          <w:sz w:val="24"/>
          <w:szCs w:val="24"/>
          <w:lang w:val="en-GB"/>
        </w:rPr>
        <w:t>the</w:t>
      </w:r>
      <w:r w:rsidR="00F969C7"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B2B setting </w:t>
      </w:r>
      <w:r w:rsidR="005F6384">
        <w:rPr>
          <w:rFonts w:ascii="Times New Roman" w:hAnsi="Times New Roman" w:cs="Times New Roman"/>
          <w:sz w:val="24"/>
          <w:szCs w:val="24"/>
          <w:lang w:val="en-GB"/>
        </w:rPr>
        <w:t>by leveraging a Delphi method, which suffer</w:t>
      </w:r>
      <w:r w:rsidR="007E428B">
        <w:rPr>
          <w:rFonts w:ascii="Times New Roman" w:hAnsi="Times New Roman" w:cs="Times New Roman"/>
          <w:sz w:val="24"/>
          <w:szCs w:val="24"/>
          <w:lang w:val="en-GB"/>
        </w:rPr>
        <w:t>s</w:t>
      </w:r>
      <w:r w:rsidR="005F6384">
        <w:rPr>
          <w:rFonts w:ascii="Times New Roman" w:hAnsi="Times New Roman" w:cs="Times New Roman"/>
          <w:sz w:val="24"/>
          <w:szCs w:val="24"/>
          <w:lang w:val="en-GB"/>
        </w:rPr>
        <w:t xml:space="preserve"> from </w:t>
      </w:r>
      <w:r w:rsidR="00D32B41">
        <w:rPr>
          <w:rFonts w:ascii="Times New Roman" w:hAnsi="Times New Roman" w:cs="Times New Roman"/>
          <w:sz w:val="24"/>
          <w:szCs w:val="24"/>
          <w:lang w:val="en-GB"/>
        </w:rPr>
        <w:t>some</w:t>
      </w:r>
      <w:r w:rsidR="005F6384">
        <w:rPr>
          <w:rFonts w:ascii="Times New Roman" w:hAnsi="Times New Roman" w:cs="Times New Roman"/>
          <w:sz w:val="24"/>
          <w:szCs w:val="24"/>
          <w:lang w:val="en-GB"/>
        </w:rPr>
        <w:t xml:space="preserve"> limitations. A first </w:t>
      </w:r>
      <w:r w:rsidR="00D32B41">
        <w:rPr>
          <w:rFonts w:ascii="Times New Roman" w:hAnsi="Times New Roman" w:cs="Times New Roman"/>
          <w:sz w:val="24"/>
          <w:szCs w:val="24"/>
          <w:lang w:val="en-GB"/>
        </w:rPr>
        <w:t>one</w:t>
      </w:r>
      <w:r w:rsidR="005F6384">
        <w:rPr>
          <w:rFonts w:ascii="Times New Roman" w:hAnsi="Times New Roman" w:cs="Times New Roman"/>
          <w:sz w:val="24"/>
          <w:szCs w:val="24"/>
          <w:lang w:val="en-GB"/>
        </w:rPr>
        <w:t xml:space="preserve"> </w:t>
      </w:r>
      <w:r w:rsidR="007E428B">
        <w:rPr>
          <w:rFonts w:ascii="Times New Roman" w:hAnsi="Times New Roman" w:cs="Times New Roman"/>
          <w:sz w:val="24"/>
          <w:szCs w:val="24"/>
          <w:lang w:val="en-GB"/>
        </w:rPr>
        <w:t xml:space="preserve">is </w:t>
      </w:r>
      <w:r w:rsidR="005F4009">
        <w:rPr>
          <w:rFonts w:ascii="Times New Roman" w:hAnsi="Times New Roman" w:cs="Times New Roman"/>
          <w:sz w:val="24"/>
          <w:szCs w:val="24"/>
          <w:lang w:val="en-GB"/>
        </w:rPr>
        <w:t xml:space="preserve">related </w:t>
      </w:r>
      <w:r w:rsidR="00D32B41">
        <w:rPr>
          <w:rFonts w:ascii="Times New Roman" w:hAnsi="Times New Roman" w:cs="Times New Roman"/>
          <w:sz w:val="24"/>
          <w:szCs w:val="24"/>
          <w:lang w:val="en-GB"/>
        </w:rPr>
        <w:t>to</w:t>
      </w:r>
      <w:r w:rsidR="005F4009">
        <w:rPr>
          <w:rFonts w:ascii="Times New Roman" w:hAnsi="Times New Roman" w:cs="Times New Roman"/>
          <w:sz w:val="24"/>
          <w:szCs w:val="24"/>
          <w:lang w:val="en-GB"/>
        </w:rPr>
        <w:t xml:space="preserve"> </w:t>
      </w:r>
      <w:r w:rsidR="005F6384" w:rsidRPr="005F6384">
        <w:rPr>
          <w:rFonts w:ascii="Times New Roman" w:hAnsi="Times New Roman" w:cs="Times New Roman"/>
          <w:sz w:val="24"/>
          <w:szCs w:val="24"/>
          <w:lang w:val="en-GB"/>
        </w:rPr>
        <w:t xml:space="preserve">the </w:t>
      </w:r>
      <w:r w:rsidR="003A3E7C">
        <w:rPr>
          <w:rFonts w:ascii="Times New Roman" w:hAnsi="Times New Roman" w:cs="Times New Roman"/>
          <w:sz w:val="24"/>
          <w:szCs w:val="24"/>
          <w:lang w:val="en-GB"/>
        </w:rPr>
        <w:t>low number of experts involved</w:t>
      </w:r>
      <w:r w:rsidR="003A3E7C" w:rsidRPr="005F6384">
        <w:rPr>
          <w:rFonts w:ascii="Times New Roman" w:hAnsi="Times New Roman" w:cs="Times New Roman"/>
          <w:sz w:val="24"/>
          <w:szCs w:val="24"/>
          <w:lang w:val="en-GB"/>
        </w:rPr>
        <w:t xml:space="preserve"> </w:t>
      </w:r>
      <w:r w:rsidR="00355AE6">
        <w:rPr>
          <w:rFonts w:ascii="Times New Roman" w:hAnsi="Times New Roman" w:cs="Times New Roman"/>
          <w:sz w:val="24"/>
          <w:szCs w:val="24"/>
          <w:lang w:val="en-GB"/>
        </w:rPr>
        <w:fldChar w:fldCharType="begin" w:fldLock="1"/>
      </w:r>
      <w:r w:rsidR="001061A4">
        <w:rPr>
          <w:rFonts w:ascii="Times New Roman" w:hAnsi="Times New Roman" w:cs="Times New Roman"/>
          <w:sz w:val="24"/>
          <w:szCs w:val="24"/>
          <w:lang w:val="en-GB"/>
        </w:rPr>
        <w:instrText>ADDIN CSL_CITATION {"citationItems":[{"id":"ITEM-1","itemData":{"DOI":"10.1080/07421222.2001.11045662","ISSN":"07421222","abstract":"Advocates of software risk management claim that by identifying and analyzing threats to success (i.e., risks) action can be taken to reduce the chance of failure of a project. The first step in th...","author":[{"dropping-particle":"","family":"Schmidt","given":"Roy","non-dropping-particle":"","parse-names":false,"suffix":""},{"dropping-particle":"","family":"Lyytinen","given":"Kalle","non-dropping-particle":"","parse-names":false,"suffix":""},{"dropping-particle":"","family":"Keil","given":"Mark","non-dropping-particle":"","parse-names":false,"suffix":""},{"dropping-particle":"","family":"Cule","given":"Paul","non-dropping-particle":"","parse-names":false,"suffix":""}],"container-title":"https://doi.org/10.1080/07421222.2001.11045662","id":"ITEM-1","issue":"4","issued":{"date-parts":[["2001"]]},"page":"5-36","publisher":"Routledge","title":"Identifying Software Project Risks: An International Delphi Study","type":"article-journal","volume":"17"},"uris":["http://www.mendeley.com/documents/?uuid=eda3066a-7884-3050-9ba9-9220c5b0e5c2"]},{"id":"ITEM-2","itemData":{"DOI":"10.51936/FCFM6982","ISSN":"18540031","abstract":"The paper presents the Delphi method and tests its usefulness when searching fora consensus on definitions, especially in a particular social science field. Based onan overview of the characteristics and uses of the Delphi method, a special Delphidesign for searching for minimal common definitions of globalisation, Europeanisationand internationalisation in higher education and their mutual relationships ispresented in detail. While the method proved valuable, its strengths and weaknessesare also discussed. Finally, ideas for adjusting the Delphi method are proposed.","author":[{"dropping-particle":"","family":"Fink-Hafner","given":"Danica","non-dropping-particle":"","parse-names":false,"suffix":""},{"dropping-particle":"","family":"Dagen","given":"Tamara","non-dropping-particle":"","parse-names":false,"suffix":""},{"dropping-particle":"","family":"Dousak","given":"May","non-dropping-particle":"","parse-names":false,"suffix":""},{"dropping-particle":"","family":"Novak","given":"Meta","non-dropping-particle":"","parse-names":false,"suffix":""},{"dropping-particle":"","family":"Hafner-Fink","given":"Mitja","non-dropping-particle":"","parse-names":false,"suffix":""}],"container-title":"Metodoloski Zvezki","id":"ITEM-2","issue":"2","issued":{"date-parts":[["2019"]]},"page":"1-19","title":"Delphi Method: Strengths and Weaknesses","type":"article-journal","volume":"16"},"uris":["http://www.mendeley.com/documents/?uuid=6884f199-894e-46c6-9cab-7805d94db49f"]}],"mendeley":{"formattedCitation":"(Fink-Hafner et al., 2019; Schmidt et al., 2001)","plainTextFormattedCitation":"(Fink-Hafner et al., 2019; Schmidt et al., 2001)","previouslyFormattedCitation":"(Fink-Hafner et al., 2019; Schmidt et al., 2001)"},"properties":{"noteIndex":0},"schema":"https://github.com/citation-style-language/schema/raw/master/csl-citation.json"}</w:instrText>
      </w:r>
      <w:r w:rsidR="00355AE6">
        <w:rPr>
          <w:rFonts w:ascii="Times New Roman" w:hAnsi="Times New Roman" w:cs="Times New Roman"/>
          <w:sz w:val="24"/>
          <w:szCs w:val="24"/>
          <w:lang w:val="en-GB"/>
        </w:rPr>
        <w:fldChar w:fldCharType="separate"/>
      </w:r>
      <w:r w:rsidR="005C4CF4" w:rsidRPr="005C4CF4">
        <w:rPr>
          <w:rFonts w:ascii="Times New Roman" w:hAnsi="Times New Roman" w:cs="Times New Roman"/>
          <w:noProof/>
          <w:sz w:val="24"/>
          <w:szCs w:val="24"/>
          <w:lang w:val="en-GB"/>
        </w:rPr>
        <w:t>(Fink-Hafner et al., 2019; Schmidt et al., 2001)</w:t>
      </w:r>
      <w:r w:rsidR="00355AE6">
        <w:rPr>
          <w:rFonts w:ascii="Times New Roman" w:hAnsi="Times New Roman" w:cs="Times New Roman"/>
          <w:sz w:val="24"/>
          <w:szCs w:val="24"/>
          <w:lang w:val="en-GB"/>
        </w:rPr>
        <w:fldChar w:fldCharType="end"/>
      </w:r>
      <w:r w:rsidR="005F6384">
        <w:rPr>
          <w:rFonts w:ascii="Times New Roman" w:hAnsi="Times New Roman" w:cs="Times New Roman"/>
          <w:sz w:val="24"/>
          <w:szCs w:val="24"/>
          <w:lang w:val="en-GB"/>
        </w:rPr>
        <w:t xml:space="preserve">. </w:t>
      </w:r>
      <w:r w:rsidR="005F4009">
        <w:rPr>
          <w:rFonts w:ascii="Times New Roman" w:hAnsi="Times New Roman" w:cs="Times New Roman"/>
          <w:sz w:val="24"/>
          <w:szCs w:val="24"/>
          <w:lang w:val="en-GB"/>
        </w:rPr>
        <w:t>Indeed, w</w:t>
      </w:r>
      <w:r w:rsidR="007E428B">
        <w:rPr>
          <w:rFonts w:ascii="Times New Roman" w:hAnsi="Times New Roman" w:cs="Times New Roman"/>
          <w:sz w:val="24"/>
          <w:szCs w:val="24"/>
          <w:lang w:val="en-GB"/>
        </w:rPr>
        <w:t>hile the experts were chosen based on the</w:t>
      </w:r>
      <w:r w:rsidR="005F4009">
        <w:rPr>
          <w:rFonts w:ascii="Times New Roman" w:hAnsi="Times New Roman" w:cs="Times New Roman"/>
          <w:sz w:val="24"/>
          <w:szCs w:val="24"/>
          <w:lang w:val="en-GB"/>
        </w:rPr>
        <w:t>i</w:t>
      </w:r>
      <w:r w:rsidR="007E428B">
        <w:rPr>
          <w:rFonts w:ascii="Times New Roman" w:hAnsi="Times New Roman" w:cs="Times New Roman"/>
          <w:sz w:val="24"/>
          <w:szCs w:val="24"/>
          <w:lang w:val="en-GB"/>
        </w:rPr>
        <w:t>r</w:t>
      </w:r>
      <w:r w:rsidR="005F4009">
        <w:rPr>
          <w:rFonts w:ascii="Times New Roman" w:hAnsi="Times New Roman" w:cs="Times New Roman"/>
          <w:sz w:val="24"/>
          <w:szCs w:val="24"/>
          <w:lang w:val="en-GB"/>
        </w:rPr>
        <w:t xml:space="preserve"> knowledge and experience on the topics of CBMs/CSCs and MSPs, </w:t>
      </w:r>
      <w:r w:rsidR="00D32B41">
        <w:rPr>
          <w:rFonts w:ascii="Times New Roman" w:hAnsi="Times New Roman" w:cs="Times New Roman"/>
          <w:sz w:val="24"/>
          <w:szCs w:val="24"/>
          <w:lang w:val="en-GB"/>
        </w:rPr>
        <w:t>the authors</w:t>
      </w:r>
      <w:r w:rsidR="005F4009">
        <w:rPr>
          <w:rFonts w:ascii="Times New Roman" w:hAnsi="Times New Roman" w:cs="Times New Roman"/>
          <w:sz w:val="24"/>
          <w:szCs w:val="24"/>
          <w:lang w:val="en-GB"/>
        </w:rPr>
        <w:t xml:space="preserve"> cannot claim about the representativeness of the experts’ sample.</w:t>
      </w:r>
      <w:r w:rsidR="007E428B">
        <w:rPr>
          <w:rFonts w:ascii="Times New Roman" w:hAnsi="Times New Roman" w:cs="Times New Roman"/>
          <w:sz w:val="24"/>
          <w:szCs w:val="24"/>
          <w:lang w:val="en-GB"/>
        </w:rPr>
        <w:t xml:space="preserve"> </w:t>
      </w:r>
      <w:r w:rsidR="005F4009">
        <w:rPr>
          <w:rFonts w:ascii="Times New Roman" w:hAnsi="Times New Roman" w:cs="Times New Roman"/>
          <w:sz w:val="24"/>
          <w:szCs w:val="24"/>
          <w:lang w:val="en-GB"/>
        </w:rPr>
        <w:t xml:space="preserve">A second </w:t>
      </w:r>
      <w:r w:rsidR="00D32B41">
        <w:rPr>
          <w:rFonts w:ascii="Times New Roman" w:hAnsi="Times New Roman" w:cs="Times New Roman"/>
          <w:sz w:val="24"/>
          <w:szCs w:val="24"/>
          <w:lang w:val="en-GB"/>
        </w:rPr>
        <w:t>one</w:t>
      </w:r>
      <w:r w:rsidR="005F4009">
        <w:rPr>
          <w:rFonts w:ascii="Times New Roman" w:hAnsi="Times New Roman" w:cs="Times New Roman"/>
          <w:sz w:val="24"/>
          <w:szCs w:val="24"/>
          <w:lang w:val="en-GB"/>
        </w:rPr>
        <w:t xml:space="preserve"> refers to</w:t>
      </w:r>
      <w:r w:rsidR="007E428B">
        <w:rPr>
          <w:rFonts w:ascii="Times New Roman" w:hAnsi="Times New Roman" w:cs="Times New Roman"/>
          <w:sz w:val="24"/>
          <w:szCs w:val="24"/>
          <w:lang w:val="en-GB"/>
        </w:rPr>
        <w:t xml:space="preserve"> the </w:t>
      </w:r>
      <w:r w:rsidR="007E428B" w:rsidRPr="007E428B">
        <w:rPr>
          <w:rFonts w:ascii="Times New Roman" w:hAnsi="Times New Roman" w:cs="Times New Roman"/>
          <w:sz w:val="24"/>
          <w:szCs w:val="24"/>
          <w:lang w:val="en-GB"/>
        </w:rPr>
        <w:t>generalis</w:t>
      </w:r>
      <w:r w:rsidR="007E428B">
        <w:rPr>
          <w:rFonts w:ascii="Times New Roman" w:hAnsi="Times New Roman" w:cs="Times New Roman"/>
          <w:sz w:val="24"/>
          <w:szCs w:val="24"/>
          <w:lang w:val="en-GB"/>
        </w:rPr>
        <w:t>ability of</w:t>
      </w:r>
      <w:r w:rsidR="007E428B" w:rsidRPr="007E428B">
        <w:rPr>
          <w:rFonts w:ascii="Times New Roman" w:hAnsi="Times New Roman" w:cs="Times New Roman"/>
          <w:sz w:val="24"/>
          <w:szCs w:val="24"/>
          <w:lang w:val="en-GB"/>
        </w:rPr>
        <w:t xml:space="preserve"> the results to a wider population</w:t>
      </w:r>
      <w:r w:rsidR="007E428B">
        <w:rPr>
          <w:rFonts w:ascii="Times New Roman" w:hAnsi="Times New Roman" w:cs="Times New Roman"/>
          <w:sz w:val="24"/>
          <w:szCs w:val="24"/>
          <w:lang w:val="en-GB"/>
        </w:rPr>
        <w:t>,</w:t>
      </w:r>
      <w:r w:rsidR="007E428B" w:rsidRPr="007E428B">
        <w:rPr>
          <w:rFonts w:ascii="Times New Roman" w:hAnsi="Times New Roman" w:cs="Times New Roman"/>
          <w:sz w:val="24"/>
          <w:szCs w:val="24"/>
          <w:lang w:val="en-GB"/>
        </w:rPr>
        <w:t xml:space="preserve"> </w:t>
      </w:r>
      <w:r w:rsidR="005F4009">
        <w:rPr>
          <w:rFonts w:ascii="Times New Roman" w:hAnsi="Times New Roman" w:cs="Times New Roman"/>
          <w:sz w:val="24"/>
          <w:szCs w:val="24"/>
          <w:lang w:val="en-GB"/>
        </w:rPr>
        <w:t>given the number of experts involved</w:t>
      </w:r>
      <w:r w:rsidR="00FC3039">
        <w:rPr>
          <w:rFonts w:ascii="Times New Roman" w:hAnsi="Times New Roman" w:cs="Times New Roman"/>
          <w:sz w:val="24"/>
          <w:szCs w:val="24"/>
          <w:lang w:val="en-GB"/>
        </w:rPr>
        <w:t xml:space="preserve">, </w:t>
      </w:r>
      <w:r w:rsidR="007E428B" w:rsidRPr="007E428B">
        <w:rPr>
          <w:rFonts w:ascii="Times New Roman" w:hAnsi="Times New Roman" w:cs="Times New Roman"/>
          <w:sz w:val="24"/>
          <w:szCs w:val="24"/>
          <w:lang w:val="en-GB"/>
        </w:rPr>
        <w:t xml:space="preserve">the uneven spread of expertise among </w:t>
      </w:r>
      <w:r w:rsidR="005F4009">
        <w:rPr>
          <w:rFonts w:ascii="Times New Roman" w:hAnsi="Times New Roman" w:cs="Times New Roman"/>
          <w:sz w:val="24"/>
          <w:szCs w:val="24"/>
          <w:lang w:val="en-GB"/>
        </w:rPr>
        <w:t>them</w:t>
      </w:r>
      <w:r w:rsidR="00FC3039">
        <w:rPr>
          <w:rFonts w:ascii="Times New Roman" w:hAnsi="Times New Roman" w:cs="Times New Roman"/>
          <w:sz w:val="24"/>
          <w:szCs w:val="24"/>
          <w:lang w:val="en-GB"/>
        </w:rPr>
        <w:t xml:space="preserve">, and their </w:t>
      </w:r>
      <w:r w:rsidR="003B6945">
        <w:rPr>
          <w:rFonts w:ascii="Times New Roman" w:hAnsi="Times New Roman" w:cs="Times New Roman"/>
          <w:sz w:val="24"/>
          <w:szCs w:val="24"/>
          <w:lang w:val="en-GB"/>
        </w:rPr>
        <w:t>in</w:t>
      </w:r>
      <w:r w:rsidR="00FC3039">
        <w:rPr>
          <w:rFonts w:ascii="Times New Roman" w:hAnsi="Times New Roman" w:cs="Times New Roman"/>
          <w:sz w:val="24"/>
          <w:szCs w:val="24"/>
          <w:lang w:val="en-GB"/>
        </w:rPr>
        <w:t>sufficiently heterogeneous geographical origin</w:t>
      </w:r>
      <w:r w:rsidR="007E428B">
        <w:rPr>
          <w:rFonts w:ascii="Times New Roman" w:hAnsi="Times New Roman" w:cs="Times New Roman"/>
          <w:sz w:val="24"/>
          <w:szCs w:val="24"/>
          <w:lang w:val="en-GB"/>
        </w:rPr>
        <w:t xml:space="preserve"> </w:t>
      </w:r>
      <w:r w:rsidR="005C4CF4">
        <w:rPr>
          <w:rFonts w:ascii="Times New Roman" w:hAnsi="Times New Roman" w:cs="Times New Roman"/>
          <w:sz w:val="24"/>
          <w:szCs w:val="24"/>
          <w:lang w:val="en-GB"/>
        </w:rPr>
        <w:fldChar w:fldCharType="begin" w:fldLock="1"/>
      </w:r>
      <w:r w:rsidR="005C4CF4">
        <w:rPr>
          <w:rFonts w:ascii="Times New Roman" w:hAnsi="Times New Roman" w:cs="Times New Roman"/>
          <w:sz w:val="24"/>
          <w:szCs w:val="24"/>
          <w:lang w:val="en-GB"/>
        </w:rPr>
        <w:instrText>ADDIN CSL_CITATION {"citationItems":[{"id":"ITEM-1","itemData":{"ISSN":"15317714","abstract":"When using the Delphi process, investigators need not only to achieve a desirable response rate in the initial round but they must also concern themselves with maintaining high response rates in the following iterations. Due to the potential scarcity of qualified participants and the relatively small number of subjects used in a Delphi study, the ability to achieve and maintain an ideal response rate can either ensure or jeopardize the validity of a Delphi study. The purpose of this paper is to discuss possible options to achieve and maintain a desirable response rate when engaged in a Delphi research project. These possible options focus on the importance of seeking help from well recognized experts or endorsed individuals, the value in establishing the first contact with each participant, the option of utilizing different forms and formats of questions, the use of incentives to encourage response and finally, strategies for dealing with non-respondents. © retained by the first or sole author.","author":[{"dropping-particle":"","family":"Hsu","given":"Chia Chien","non-dropping-particle":"","parse-names":false,"suffix":""},{"dropping-particle":"","family":"Sandford","given":"Brian A.","non-dropping-particle":"","parse-names":false,"suffix":""}],"container-title":"Practical Assessment, Research and Evaluation","id":"ITEM-1","issue":"17","issued":{"date-parts":[["2007"]]},"page":"1-6","title":"Minimizing non-response in the Delphi process: How to respond to non-response","type":"article-journal","volume":"12"},"uris":["http://www.mendeley.com/documents/?uuid=c08eb032-c542-4548-804b-958d59e55da5"]}],"mendeley":{"formattedCitation":"(Hsu &amp; Sandford, 2007)","plainTextFormattedCitation":"(Hsu &amp; Sandford, 2007)","previouslyFormattedCitation":"(Hsu &amp; Sandford, 2007)"},"properties":{"noteIndex":0},"schema":"https://github.com/citation-style-language/schema/raw/master/csl-citation.json"}</w:instrText>
      </w:r>
      <w:r w:rsidR="005C4CF4">
        <w:rPr>
          <w:rFonts w:ascii="Times New Roman" w:hAnsi="Times New Roman" w:cs="Times New Roman"/>
          <w:sz w:val="24"/>
          <w:szCs w:val="24"/>
          <w:lang w:val="en-GB"/>
        </w:rPr>
        <w:fldChar w:fldCharType="separate"/>
      </w:r>
      <w:r w:rsidR="005C4CF4" w:rsidRPr="005C4CF4">
        <w:rPr>
          <w:rFonts w:ascii="Times New Roman" w:hAnsi="Times New Roman" w:cs="Times New Roman"/>
          <w:noProof/>
          <w:sz w:val="24"/>
          <w:szCs w:val="24"/>
          <w:lang w:val="en-GB"/>
        </w:rPr>
        <w:t>(Hsu &amp; Sandford, 2007)</w:t>
      </w:r>
      <w:r w:rsidR="005C4CF4">
        <w:rPr>
          <w:rFonts w:ascii="Times New Roman" w:hAnsi="Times New Roman" w:cs="Times New Roman"/>
          <w:sz w:val="24"/>
          <w:szCs w:val="24"/>
          <w:lang w:val="en-GB"/>
        </w:rPr>
        <w:fldChar w:fldCharType="end"/>
      </w:r>
      <w:r w:rsidR="005F4009">
        <w:rPr>
          <w:rFonts w:ascii="Times New Roman" w:hAnsi="Times New Roman" w:cs="Times New Roman"/>
          <w:sz w:val="24"/>
          <w:szCs w:val="24"/>
          <w:lang w:val="en-GB"/>
        </w:rPr>
        <w:t>.</w:t>
      </w:r>
    </w:p>
    <w:p w14:paraId="3D93A5AA" w14:textId="17A85F7C" w:rsidR="00B93D26" w:rsidRDefault="005F6384" w:rsidP="00AA08A3">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Second, the </w:t>
      </w:r>
      <w:r w:rsidR="00D32B41">
        <w:rPr>
          <w:rFonts w:ascii="Times New Roman" w:hAnsi="Times New Roman" w:cs="Times New Roman"/>
          <w:sz w:val="24"/>
          <w:szCs w:val="24"/>
          <w:lang w:val="en-GB"/>
        </w:rPr>
        <w:t xml:space="preserve">sampled MSPs within the </w:t>
      </w:r>
      <w:r>
        <w:rPr>
          <w:rFonts w:ascii="Times New Roman" w:hAnsi="Times New Roman" w:cs="Times New Roman"/>
          <w:sz w:val="24"/>
          <w:szCs w:val="24"/>
          <w:lang w:val="en-GB"/>
        </w:rPr>
        <w:t xml:space="preserve">empirical analysis </w:t>
      </w:r>
      <w:r w:rsidRPr="75A96201">
        <w:rPr>
          <w:rFonts w:ascii="Times New Roman" w:hAnsi="Times New Roman" w:cs="Times New Roman"/>
          <w:sz w:val="24"/>
          <w:szCs w:val="24"/>
          <w:lang w:val="en-GB"/>
        </w:rPr>
        <w:t xml:space="preserve">only address the exchange of physical resources (i.e., products, components, and materials) among </w:t>
      </w:r>
      <w:r w:rsidR="00D32B41">
        <w:rPr>
          <w:rFonts w:ascii="Times New Roman" w:hAnsi="Times New Roman" w:cs="Times New Roman"/>
          <w:sz w:val="24"/>
          <w:szCs w:val="24"/>
          <w:lang w:val="en-GB"/>
        </w:rPr>
        <w:t>B2B players</w:t>
      </w:r>
      <w:r w:rsidRPr="75A96201">
        <w:rPr>
          <w:rFonts w:ascii="Times New Roman" w:hAnsi="Times New Roman" w:cs="Times New Roman"/>
          <w:sz w:val="24"/>
          <w:szCs w:val="24"/>
          <w:lang w:val="en-GB"/>
        </w:rPr>
        <w:t>, thus overlooking the exchange of information and monetary flows. This is a relevant issue to be addressed in future studies</w:t>
      </w:r>
      <w:r w:rsidR="00D32B41">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since the existing literature on MSPs has emphasized the relevance of such flows to be properly managed along with physical ones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{"citationItems":[{"id":"ITEM-1","itemData":{"DOI":"10.1108/EJIM-11-2020-0467/FULL/PDF","ISSN":"14601060","abstract":"Purpose: This article is based on a systematic and comprehensive review of the literature on two-sided platforms, the business structure based on the concept of matchmaking groups of customers (e.g. Uber or Airbnb). The research aims to identify gaps in the existing literature while providing a structured summary of the existing knowledge in the field. Finally, we propose a conceptual framework enabling platform thinking, the ability to see hybrid multi-sided platforms as a useful resource-orchestration structure to unveil innovation opportunities. Design/methodology/approach: This study adopts a bibliometric approach, combing co-citation and text mining analyses of 196 papers, also implementing a longitudinal analysis that highlights the evolution of the field since its inception till today. Findings: The novel aspect of the paper consists in taking a purely managerial stance of a very peculiar kind of platform, merging existing knowledge in comprehensive frameworks while providing potential avenues for research. Research limitations/implications: From an academic perspective, this research highlights the double nature of two-sided platforms: as an operational choice or as a way to exploit (digital) assets and reach the economic sustainability. A research agenda is proposed, based on three pillars: a side-based standpoint, a business model perspective and an evolutionary stance to see how these businesses may evolve. Practical implications: The research identifies different literature streams that may help practitioners in identifying how two-sided platforms may help them in fostering innovation. Originality/value: The identification of two-sided platforms as a different way to create value (transaction platforms) or to capture value (non-transaction platform), enhancing the debate on this innovative business model. A research agenda to bring the field forward is proposed.","author":[{"dropping-particle":"","family":"Trabucchi","given":"Daniel","non-dropping-particle":"","parse-names":false,"suffix":""},{"dropping-particle":"","family":"Buganza","given":"Tommaso","non-dropping-particle":"","parse-names":false,"suffix":""}],"container-title":"European Journal of Innovation Management","id":"ITEM-1","issue":"6","issued":{"date-parts":[["2021"]]},"page":"64-96","publisher":"Emerald Group Holdings Ltd.","title":"Landlords with no lands: a systematic literature review on hybrid multi-sided platforms and platform thinking","type":"article-journal","volume":"25"},"uris":["http://www.mendeley.com/documents/?uuid=4ccefc13-cefd-36d8-b0d3-a96b05815cb0"]}],"mendeley":{"formattedCitation":"(Trabucchi &amp; Buganza, 2021)","plainTextFormattedCitation":"(Trabucchi &amp; Buganza, 2021)","previouslyFormattedCitation":"(Trabucchi &amp; Buganza, 2021)"},"properties":{"noteIndex":0},"schema":"https://github.com/citation-style-language/schema/raw/master/csl-citation.json"}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(Trabucchi &amp; Buganza, 2021)</w:t>
      </w:r>
      <w:r w:rsidRPr="75A96201">
        <w:rPr>
          <w:rFonts w:ascii="Times New Roman" w:hAnsi="Times New Roman" w:cs="Times New Roman"/>
          <w:sz w:val="24"/>
          <w:szCs w:val="24"/>
          <w:lang w:val="en-GB"/>
        </w:rPr>
        <w:fldChar w:fldCharType="end"/>
      </w:r>
      <w:r w:rsidRPr="75A96201">
        <w:rPr>
          <w:rFonts w:ascii="Times New Roman" w:hAnsi="Times New Roman" w:cs="Times New Roman"/>
          <w:sz w:val="24"/>
          <w:szCs w:val="24"/>
          <w:lang w:val="en-GB"/>
        </w:rPr>
        <w:t xml:space="preserve">. </w:t>
      </w:r>
    </w:p>
    <w:p w14:paraId="644740A0" w14:textId="5343FA4D" w:rsidR="00B93D26" w:rsidRPr="001C7D07" w:rsidRDefault="005F6384" w:rsidP="00CA1956">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Third</w:t>
      </w:r>
      <w:r w:rsidRPr="75A96201">
        <w:rPr>
          <w:rFonts w:ascii="Times New Roman" w:hAnsi="Times New Roman" w:cs="Times New Roman"/>
          <w:sz w:val="24"/>
          <w:szCs w:val="24"/>
          <w:lang w:val="en-GB"/>
        </w:rPr>
        <w:t xml:space="preserve">, the paper brings into light that the relative diffusion of the different clusters of MSPs </w:t>
      </w:r>
      <w:r w:rsidR="00D32B41">
        <w:rPr>
          <w:rFonts w:ascii="Times New Roman" w:hAnsi="Times New Roman" w:cs="Times New Roman"/>
          <w:sz w:val="24"/>
          <w:szCs w:val="24"/>
          <w:lang w:val="en-GB"/>
        </w:rPr>
        <w:t>within the proposed taxonomy</w:t>
      </w:r>
      <w:r w:rsidRPr="75A96201">
        <w:rPr>
          <w:rFonts w:ascii="Times New Roman" w:hAnsi="Times New Roman" w:cs="Times New Roman"/>
          <w:sz w:val="24"/>
          <w:szCs w:val="24"/>
          <w:lang w:val="en-GB"/>
        </w:rPr>
        <w:t xml:space="preserve"> is rather different from one another. Nevertheless, because the size of the sample used to develop the taxonomy is quite small, empirical studies investigating a higher number of MSPs could be useful to statistically speculate about the diffusion of the identified clusters of platforms. Moreover, especially with reference to the clusters that show a small number of platforms to which they belong, further research is recommended to generate valuable insights into the effective ability of platforms to support the fulfilment of the related CSC strategies. </w:t>
      </w:r>
    </w:p>
    <w:p w14:paraId="1C871A1C" w14:textId="002A0E5E" w:rsidR="00B93D26" w:rsidRDefault="005F6384" w:rsidP="003D7EEB">
      <w:pPr>
        <w:spacing w:after="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Fourth</w:t>
      </w:r>
      <w:r w:rsidRPr="75A96201">
        <w:rPr>
          <w:rFonts w:ascii="Times New Roman" w:hAnsi="Times New Roman" w:cs="Times New Roman"/>
          <w:sz w:val="24"/>
          <w:szCs w:val="24"/>
          <w:lang w:val="en-GB"/>
        </w:rPr>
        <w:t xml:space="preserve">, the empirical analysis is based on start-ups by design, as they </w:t>
      </w:r>
      <w:r w:rsidRPr="75A96201">
        <w:rPr>
          <w:rFonts w:ascii="Times New Roman" w:hAnsi="Times New Roman" w:cs="Times New Roman"/>
          <w:sz w:val="24"/>
          <w:szCs w:val="24"/>
          <w:lang w:val="en-US"/>
        </w:rPr>
        <w:t xml:space="preserve">have a higher capacity than large, incumbent companies to adopt more disruptive CBMs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{"citationItems":[{"id":"ITEM-1","itemData":{"DOI":"10.1007/s10458-017-9365-9","ISSN":"15737454","abstract":"This paper introduces an agent-based approach to study customer behavior in terms of their acceptance of new business models in Circular Economy (CE) context. In a CE customers are perceived as integral part of the business and therefore customer acceptance of new business models becomes crucial as it determines the successful implementation of CE. However, tools or methods are missing to capture customer behavior to assess how customers will react if an organization introduces a new business model such as leasing or functional sales. The purpose of this research is to bring forward a quantitative analysis tool for identifying proper marketing and pricing strategies to obtain best fit demand behavior for the chosen new business model. This tool will support decision makers in determining the impact of introducing new (circular) business models. The model has been developed using an agent-based modeling approach which delivers results based on socio-demographic factors of a population and customers’ relative preferences of product attributes price, environmental friendliness and service-orientation. The implementation of the model has been tested using the practical business example of a washing machine. This research presents the first agent-based tool that can assess customer behavior and determine whether introduction of new business models will be accepted or not and how customer acceptance can be influenced to accelerate CE implementation. The tool integrates socio-demographic factors, product utility functions, social network structures and inter-agent communication in order to comprehensively describe behavior on individual customer level. In addition to the tool itself the results of this research indicates the need for systematic marketing strategies which emphasize CE value propositions in order to accelerate customer acceptance and shorten the transition time from linear to circular. Agent-based models are emphasized as highly capable to fill the gap between diffusion-based penetration of information and resulting behavior in the form of purchase decisions.","author":[{"dropping-particle":"","family":"Lieder","given":"Michael","non-dropping-particle":"","parse-names":false,"suffix":""},{"dropping-particle":"","family":"Asif","given":"Farazee M.A.","non-dropping-particle":"","parse-names":false,"suffix":""},{"dropping-particle":"","family":"Rashid","given":"Amir","non-dropping-particle":"","parse-names":false,"suffix":""}],"container-title":"Autonomous Agents and Multi-Agent Systems","id":"ITEM-1","issue":"6","issued":{"date-parts":[["2017"]]},"page":"1377-1402","publisher":"Springer US","title":"Towards Circular Economy implementation: an agent-based simulation approach for business model changes","type":"article-journal","volume":"31"},"uris":["http://www.mendeley.com/documents/?uuid=8fa9b2f7-f395-49e5-aa2f-2b30536c94a4"]}],"mendeley":{"formattedCitation":"(Lieder et al., 2017)","plainTextFormattedCitation":"(Lieder et al., 2017)","previouslyFormattedCitation":"(Lieder et al., 2017)"},"properties":{"noteIndex":0},"schema":"https://github.com/citation-style-language/schema/raw/master/csl-citation.json"}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(Lieder et al., 2017)</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GB"/>
        </w:rPr>
        <w:t xml:space="preserve">However, since </w:t>
      </w:r>
      <w:r w:rsidRPr="75A96201">
        <w:rPr>
          <w:rFonts w:ascii="Times New Roman" w:hAnsi="Times New Roman" w:cs="Times New Roman"/>
          <w:sz w:val="24"/>
          <w:szCs w:val="24"/>
          <w:lang w:val="en-US"/>
        </w:rPr>
        <w:t>CE principles may be implemented by incumbent</w:t>
      </w:r>
      <w:r w:rsidR="0080275C">
        <w:rPr>
          <w:rFonts w:ascii="Times New Roman" w:hAnsi="Times New Roman" w:cs="Times New Roman"/>
          <w:sz w:val="24"/>
          <w:szCs w:val="24"/>
          <w:lang w:val="en-US"/>
        </w:rPr>
        <w:t xml:space="preserve"> companie</w:t>
      </w:r>
      <w:r w:rsidRPr="75A96201">
        <w:rPr>
          <w:rFonts w:ascii="Times New Roman" w:hAnsi="Times New Roman" w:cs="Times New Roman"/>
          <w:sz w:val="24"/>
          <w:szCs w:val="24"/>
          <w:lang w:val="en-US"/>
        </w:rPr>
        <w:t>s</w:t>
      </w:r>
      <w:r w:rsidR="0080275C">
        <w:rPr>
          <w:rFonts w:ascii="Times New Roman" w:hAnsi="Times New Roman" w:cs="Times New Roman"/>
          <w:sz w:val="24"/>
          <w:szCs w:val="24"/>
          <w:lang w:val="en-US"/>
        </w:rPr>
        <w:t xml:space="preserve"> too</w:t>
      </w:r>
      <w:r w:rsidRPr="75A96201">
        <w:rPr>
          <w:rFonts w:ascii="Times New Roman" w:hAnsi="Times New Roman" w:cs="Times New Roman"/>
          <w:sz w:val="24"/>
          <w:szCs w:val="24"/>
          <w:lang w:val="en-US"/>
        </w:rPr>
        <w:t xml:space="preserve">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{"citationItems":[{"id":"ITEM-1","itemData":{"DOI":"10.1016/J.JCLEPRO.2016.10.130","ISSN":"0959-6526","abstract":"Implementing practices for a circular economy transforms the way companies do business, notably in the manufacturing industry. However, a circular economy requires a transformation of both production and consumption systems; the standard approach for creation, fabrication, and commerce of products is challenged. Authors repeatedly call for the development of new proficiencies to attend to system transformations, but these so far have not been described for design and engineering. Given that the design of a product directly influences the way a value chain will be managed, building circular, globally sustainable value chains inevitably signifies a fundamental change in the practice of design. Comprehensive analyses were conducted on case studies from a variety of multinational enterprises that are transforming their product strategies for climate change. Changes in design processes were identified, revealing a growing necessity for industry to employ new proficiencies that support closure of material loops. This paper contributes to existing literature by depicting successful practices being implemented in industry. A variety of new capabilities are key to design for a sustainable future; these range from deeper knowledge of material composition to rich understanding of social behaviour. Resulting from this research, learning goals are proposed to serve as guidance for manufacturing companies seeking to tackle climate change. Conclusions aim to encourage researchers and academics to respond to emerging needs by re-thinking education in design and engineering.","author":[{"dropping-particle":"","family":"los Rios","given":"Irel Carolina","non-dropping-particle":"De","parse-names":false,"suffix":""},{"dropping-particle":"","family":"Charnley","given":"Fiona J.S.","non-dropping-particle":"","parse-names":false,"suffix":""}],"container-title":"Journal of Cleaner Production","id":"ITEM-1","issued":{"date-parts":[["2017","9","1"]]},"page":"109-122","publisher":"Elsevier","title":"Skills and capabilities for a sustainable and circular economy: The changing role of design","type":"article-journal","volume":"160"},"uris":["http://www.mendeley.com/documents/?uuid=70595e48-5941-38b9-8e70-540b0be499d5"]}],"mendeley":{"formattedCitation":"(De los Rios &amp; Charnley, 2017)","plainTextFormattedCitation":"(De los Rios &amp; Charnley, 2017)","previouslyFormattedCitation":"(De los Rios &amp; Charnley, 2017)"},"properties":{"noteIndex":0},"schema":"https://github.com/citation-style-language/schema/raw/master/csl-citation.json"}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(De los Rios &amp; Charnley, 2017)</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 future studies targeting the</w:t>
      </w:r>
      <w:r w:rsidR="0080275C">
        <w:rPr>
          <w:rFonts w:ascii="Times New Roman" w:hAnsi="Times New Roman" w:cs="Times New Roman"/>
          <w:sz w:val="24"/>
          <w:szCs w:val="24"/>
          <w:lang w:val="en-US"/>
        </w:rPr>
        <w:t>m</w:t>
      </w:r>
      <w:r w:rsidRPr="75A96201">
        <w:rPr>
          <w:rFonts w:ascii="Times New Roman" w:hAnsi="Times New Roman" w:cs="Times New Roman"/>
          <w:sz w:val="24"/>
          <w:szCs w:val="24"/>
          <w:lang w:val="en-US"/>
        </w:rPr>
        <w:t xml:space="preserve"> are encouraged</w:t>
      </w:r>
      <w:r w:rsidRPr="75A96201">
        <w:rPr>
          <w:rFonts w:ascii="Times New Roman" w:hAnsi="Times New Roman" w:cs="Times New Roman"/>
          <w:sz w:val="24"/>
          <w:szCs w:val="24"/>
          <w:lang w:val="en-GB"/>
        </w:rPr>
        <w:t xml:space="preserve">. </w:t>
      </w:r>
    </w:p>
    <w:p w14:paraId="060171CD" w14:textId="5BD63F59" w:rsidR="00B93D26" w:rsidRDefault="005F6384" w:rsidP="00915D28">
      <w:pPr>
        <w:spacing w:after="0" w:line="36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GB"/>
        </w:rPr>
        <w:lastRenderedPageBreak/>
        <w:t>Finally</w:t>
      </w:r>
      <w:r w:rsidRPr="75A96201">
        <w:rPr>
          <w:rFonts w:ascii="Times New Roman" w:hAnsi="Times New Roman" w:cs="Times New Roman"/>
          <w:sz w:val="24"/>
          <w:szCs w:val="24"/>
          <w:lang w:val="en-GB"/>
        </w:rPr>
        <w:t xml:space="preserve">, the </w:t>
      </w:r>
      <w:r w:rsidR="00716CFA">
        <w:rPr>
          <w:rFonts w:ascii="Times New Roman" w:hAnsi="Times New Roman" w:cs="Times New Roman"/>
          <w:sz w:val="24"/>
          <w:szCs w:val="24"/>
          <w:lang w:val="en-GB"/>
        </w:rPr>
        <w:t xml:space="preserve">evidence from the </w:t>
      </w:r>
      <w:r w:rsidRPr="75A96201">
        <w:rPr>
          <w:rFonts w:ascii="Times New Roman" w:hAnsi="Times New Roman" w:cs="Times New Roman"/>
          <w:sz w:val="24"/>
          <w:szCs w:val="24"/>
          <w:lang w:val="en-GB"/>
        </w:rPr>
        <w:t xml:space="preserve">empirical </w:t>
      </w:r>
      <w:r w:rsidR="00716CFA">
        <w:rPr>
          <w:rFonts w:ascii="Times New Roman" w:hAnsi="Times New Roman" w:cs="Times New Roman"/>
          <w:sz w:val="24"/>
          <w:szCs w:val="24"/>
          <w:lang w:val="en-GB"/>
        </w:rPr>
        <w:t>analysis</w:t>
      </w:r>
      <w:r w:rsidRPr="75A96201">
        <w:rPr>
          <w:rFonts w:ascii="Times New Roman" w:hAnsi="Times New Roman" w:cs="Times New Roman"/>
          <w:sz w:val="24"/>
          <w:szCs w:val="24"/>
          <w:lang w:val="en-GB"/>
        </w:rPr>
        <w:t xml:space="preserve"> bring</w:t>
      </w:r>
      <w:r w:rsidR="00A2703E">
        <w:rPr>
          <w:rFonts w:ascii="Times New Roman" w:hAnsi="Times New Roman" w:cs="Times New Roman"/>
          <w:sz w:val="24"/>
          <w:szCs w:val="24"/>
          <w:lang w:val="en-GB"/>
        </w:rPr>
        <w:t>s</w:t>
      </w:r>
      <w:r w:rsidRPr="75A96201">
        <w:rPr>
          <w:rFonts w:ascii="Times New Roman" w:hAnsi="Times New Roman" w:cs="Times New Roman"/>
          <w:sz w:val="24"/>
          <w:szCs w:val="24"/>
          <w:lang w:val="en-GB"/>
        </w:rPr>
        <w:t xml:space="preserve"> into light the need of further studies to deepen the anatomy of the business model characterizing MSPs by leveraging qualitative and quantitative approaches. Future research could particularly help to shed light on which capabilities and resources (e.g., digital technologies, such as blockchain, artificial intelligence, and data analytics </w:t>
      </w:r>
      <w:r w:rsidRPr="75A96201">
        <w:rPr>
          <w:rFonts w:ascii="Times New Roman" w:hAnsi="Times New Roman" w:cs="Times New Roman"/>
          <w:sz w:val="24"/>
          <w:szCs w:val="24"/>
          <w:lang w:val="en-GB"/>
        </w:rPr>
        <w:fldChar w:fldCharType="begin" w:fldLock="1"/>
      </w:r>
      <w:r w:rsidRPr="75A96201">
        <w:rPr>
          <w:rFonts w:ascii="Times New Roman" w:hAnsi="Times New Roman" w:cs="Times New Roman"/>
          <w:sz w:val="24"/>
          <w:szCs w:val="24"/>
          <w:lang w:val="en-GB"/>
        </w:rPr>
        <w:instrText>ADDIN CSL_CITATION {"citationItems":[{"id":"ITEM-1","itemData":{"DOI":"10.2139/SSRN.4399864","ISSN":"1556-5068","author":[{"dropping-particle":"","family":"Ritala","given":"Paavo","non-dropping-particle":"","parse-names":false,"suffix":""},{"dropping-particle":"","family":"Jovanovic","given":"Marin","non-dropping-particle":"","parse-names":false,"suffix":""}],"container-title":"SSRN Electronic Journal","id":"ITEM-1","issued":{"date-parts":[["2023","3","24"]]},"title":"Platformizers, Orchestrators, and Guardians: Three Types of B2B Platform Business Models","type":"article-journal"},"uris":["http://www.mendeley.com/documents/?uuid=3a8a61b6-6e21-3307-b890-1f54ca1edaad"]}],"mendeley":{"formattedCitation":"(Ritala &amp; Jovanovic, 2023)","plainTextFormattedCitation":"(Ritala &amp; Jovanovic, 2023)","previouslyFormattedCitation":"(Ritala &amp; Jovanovic, 2023)"},"properties":{"noteIndex":0},"schema":"https://github.com/citation-style-language/schema/raw/master/csl-citation.json"}</w:instrText>
      </w:r>
      <w:r w:rsidRPr="75A96201">
        <w:rPr>
          <w:rFonts w:ascii="Times New Roman" w:hAnsi="Times New Roman" w:cs="Times New Roman"/>
          <w:sz w:val="24"/>
          <w:szCs w:val="24"/>
          <w:lang w:val="en-GB"/>
        </w:rPr>
        <w:fldChar w:fldCharType="separate"/>
      </w:r>
      <w:r w:rsidRPr="75A96201">
        <w:rPr>
          <w:rFonts w:ascii="Times New Roman" w:hAnsi="Times New Roman" w:cs="Times New Roman"/>
          <w:noProof/>
          <w:sz w:val="24"/>
          <w:szCs w:val="24"/>
          <w:lang w:val="en-GB"/>
        </w:rPr>
        <w:t>(Ritala &amp; Jovanovic, 2023)</w:t>
      </w:r>
      <w:r w:rsidRPr="75A96201">
        <w:rPr>
          <w:rFonts w:ascii="Times New Roman" w:hAnsi="Times New Roman" w:cs="Times New Roman"/>
          <w:sz w:val="24"/>
          <w:szCs w:val="24"/>
          <w:lang w:val="en-GB"/>
        </w:rPr>
        <w:fldChar w:fldCharType="end"/>
      </w:r>
      <w:r w:rsidR="00E92682">
        <w:rPr>
          <w:rFonts w:ascii="Times New Roman" w:hAnsi="Times New Roman" w:cs="Times New Roman"/>
          <w:sz w:val="24"/>
          <w:szCs w:val="24"/>
          <w:lang w:val="en-GB"/>
        </w:rPr>
        <w:t>)</w:t>
      </w:r>
      <w:r w:rsidRPr="75A96201">
        <w:rPr>
          <w:rFonts w:ascii="Times New Roman" w:hAnsi="Times New Roman" w:cs="Times New Roman"/>
          <w:sz w:val="24"/>
          <w:szCs w:val="24"/>
          <w:lang w:val="en-GB"/>
        </w:rPr>
        <w:t xml:space="preserve"> MSP-based companies should be equipped with to effectively enable CSCs in </w:t>
      </w:r>
      <w:r w:rsidR="00F969C7">
        <w:rPr>
          <w:rFonts w:ascii="Times New Roman" w:hAnsi="Times New Roman" w:cs="Times New Roman"/>
          <w:sz w:val="24"/>
          <w:szCs w:val="24"/>
          <w:lang w:val="en-GB"/>
        </w:rPr>
        <w:t>the</w:t>
      </w:r>
      <w:r w:rsidRPr="75A96201">
        <w:rPr>
          <w:rFonts w:ascii="Times New Roman" w:hAnsi="Times New Roman" w:cs="Times New Roman"/>
          <w:sz w:val="24"/>
          <w:szCs w:val="24"/>
          <w:lang w:val="en-GB"/>
        </w:rPr>
        <w:t xml:space="preserve"> B2B setting. Moreover, since </w:t>
      </w:r>
      <w:r w:rsidR="00716CFA">
        <w:rPr>
          <w:rFonts w:ascii="Times New Roman" w:hAnsi="Times New Roman" w:cs="Times New Roman"/>
          <w:sz w:val="24"/>
          <w:szCs w:val="24"/>
          <w:lang w:val="en-GB"/>
        </w:rPr>
        <w:t>the present</w:t>
      </w:r>
      <w:r w:rsidR="00716CFA" w:rsidRPr="75A96201">
        <w:rPr>
          <w:rFonts w:ascii="Times New Roman" w:hAnsi="Times New Roman" w:cs="Times New Roman"/>
          <w:sz w:val="24"/>
          <w:szCs w:val="24"/>
          <w:lang w:val="en-GB"/>
        </w:rPr>
        <w:t xml:space="preserve"> </w:t>
      </w:r>
      <w:r w:rsidRPr="75A96201">
        <w:rPr>
          <w:rFonts w:ascii="Times New Roman" w:hAnsi="Times New Roman" w:cs="Times New Roman"/>
          <w:sz w:val="24"/>
          <w:szCs w:val="24"/>
          <w:lang w:val="en-GB"/>
        </w:rPr>
        <w:t xml:space="preserve">study sheds light on the role that MSPs can play to promote industrial symbiosis, an interesting avenue could be related to investigating how and why the MSPs’ business model (e.g., the logics of value creation and capture) should be differently designed for addressing either the upcycling or downcycling of a resource, i.e., </w:t>
      </w:r>
      <w:r w:rsidRPr="75A96201">
        <w:rPr>
          <w:rFonts w:ascii="Times New Roman" w:hAnsi="Times New Roman" w:cs="Times New Roman"/>
          <w:sz w:val="24"/>
          <w:szCs w:val="24"/>
          <w:lang w:val="en-US"/>
        </w:rPr>
        <w:t xml:space="preserve">when a resource becomes an input into a higher valued industry or a lower valued one, respectively </w:t>
      </w:r>
      <w:r w:rsidRPr="75A96201">
        <w:rPr>
          <w:rFonts w:ascii="Times New Roman" w:hAnsi="Times New Roman" w:cs="Times New Roman"/>
          <w:sz w:val="24"/>
          <w:szCs w:val="24"/>
          <w:lang w:val="en-US"/>
        </w:rPr>
        <w:fldChar w:fldCharType="begin" w:fldLock="1"/>
      </w:r>
      <w:r w:rsidRPr="75A96201">
        <w:rPr>
          <w:rFonts w:ascii="Times New Roman" w:hAnsi="Times New Roman" w:cs="Times New Roman"/>
          <w:sz w:val="24"/>
          <w:szCs w:val="24"/>
          <w:lang w:val="en-US"/>
        </w:rPr>
        <w:instrText>ADDIN CSL_CITATION {"citationItems":[{"id":"ITEM-1","itemData":{"author":[{"dropping-particle":"","family":"Domenech","given":"T","non-dropping-particle":"","parse-names":false,"suffix":""},{"dropping-particle":"","family":"Bleischwitz","given":"R","non-dropping-particle":"","parse-names":false,"suffix":""},{"dropping-particle":"","family":"Doranova","given":"A","non-dropping-particle":"","parse-names":false,"suffix":""}],"container-title":"Resources, Conservation &amp; Recycling","id":"ITEM-1","issued":{"date-parts":[["2019"]]},"page":"76-98","title":"Mapping Industrial Symbiosis Development in Europe_ typologies of networks, characteristics, performance and contribution to the Circular Economy","type":"article-journal","volume":"141"},"uris":["http://www.mendeley.com/documents/?uuid=865f879d-b7b3-3e59-807d-0cc74802a70e"]}],"mendeley":{"formattedCitation":"(Domenech et al., 2019)","manualFormatting":"(Campbell-Johnston et al., 2020)","plainTextFormattedCitation":"(Domenech et al., 2019)","previouslyFormattedCitation":"(Domenech et al., 2019)"},"properties":{"noteIndex":0},"schema":"https://github.com/citation-style-language/schema/raw/master/csl-citation.json"}</w:instrText>
      </w:r>
      <w:r w:rsidRPr="75A96201">
        <w:rPr>
          <w:rFonts w:ascii="Times New Roman" w:hAnsi="Times New Roman" w:cs="Times New Roman"/>
          <w:sz w:val="24"/>
          <w:szCs w:val="24"/>
          <w:lang w:val="en-US"/>
        </w:rPr>
        <w:fldChar w:fldCharType="separate"/>
      </w:r>
      <w:r w:rsidRPr="75A96201">
        <w:rPr>
          <w:rFonts w:ascii="Times New Roman" w:hAnsi="Times New Roman" w:cs="Times New Roman"/>
          <w:noProof/>
          <w:sz w:val="24"/>
          <w:szCs w:val="24"/>
          <w:lang w:val="en-US"/>
        </w:rPr>
        <w:t>(</w:t>
      </w:r>
      <w:r w:rsidRPr="75A96201">
        <w:rPr>
          <w:rFonts w:ascii="Times New Roman" w:hAnsi="Times New Roman" w:cs="Times New Roman"/>
          <w:noProof/>
          <w:sz w:val="24"/>
          <w:szCs w:val="24"/>
          <w:lang w:val="en-GB"/>
        </w:rPr>
        <w:fldChar w:fldCharType="begin" w:fldLock="1"/>
      </w:r>
      <w:r w:rsidRPr="75A96201">
        <w:rPr>
          <w:rFonts w:ascii="Times New Roman" w:hAnsi="Times New Roman" w:cs="Times New Roman"/>
          <w:noProof/>
          <w:sz w:val="24"/>
          <w:szCs w:val="24"/>
          <w:lang w:val="en-GB"/>
        </w:rPr>
        <w:instrText>ADDIN CSL_CITATION {"citationItems":[{"id":"ITEM-1","itemData":{"DOI":"10.1016/J.RCRX.2020.100038","ISSN":"2590-289X","abstract":"The principle of cascading, the sequential and consecutive use of resources, is a potential method to create added value in circular economy (CE) practices. Despite conceptual similarities, no research to date has explored how cascading has been operationalised and how to integrate it with CE R-imperatives (Reduce, Reuse etc.) to facilitate implementation practices. CE practices emphasise value creation and retention, yet, there has been little reflexive examination of explicit and intrinsic value considerations; namely, how allocation choices, i.e. the decision-making process, for resource utilization are made. This paper aims to (1) examine how cascading has been operationalised (empirically and theoretically) to understand its normative underpinnings and value considerations; and (2) integrate cascading with the CE practices in a manner that accounts for the complexities of material allocation choices. Through a literature review of 64 articles from three bodies of literature (CE, cascading and up/downcycling), plus additional material on sustainable development, we show the cascading concept is a suitable framework to direct material uses and provides an overarching concept to integrate with CE R-imperatives. From this, we propose a new theoretical framework that considers the socio-organisational necessities for a CE-cascading system, specifically by deconstructing the allocation choices and exchanges of product material combinations between actor groups. This considers a dual perspective of the physical aspects of materials and the social context in which material allocation is made. The framework transcends individual value chain actor configurations to propose an overarching steering/governance framework, based on the triple-P of sustainability (People, Planet, Prosperity), to examine and direct CE-cascading exchanges, between and above individual users/firms.","author":[{"dropping-particle":"","family":"Campbell-Johnston","given":"Kieran","non-dropping-particle":"","parse-names":false,"suffix":""},{"dropping-particle":"","family":"Vermeulen","given":"Walter J.V.","non-dropping-particle":"","parse-names":false,"suffix":""},{"dropping-particle":"","family":"Reike","given":"Denise","non-dropping-particle":"","parse-names":false,"suffix":""},{"dropping-particle":"","family":"Brullot","given":"Sabrina","non-dropping-particle":"","parse-names":false,"suffix":""}],"container-title":"Resources, Conservation &amp; Recycling: X","id":"ITEM-1","issued":{"date-parts":[["2020","9","1"]]},"page":"100038","publisher":"Elsevier","title":"The Circular Economy and Cascading: Towards a Framework","type":"article-journal","volume":"7"},"uris":["http://www.mendeley.com/documents/?uuid=25b92b4b-0ea7-3a77-8093-57b6836404d5"]}],"mendeley":{"formattedCitation":"(Campbell-Johnston et al., 2020)","manualFormatting":"Campbell-Johnston et al., 2020","plainTextFormattedCitation":"(Campbell-Johnston et al., 2020)","previouslyFormattedCitation":"(Campbell-Johnston et al., 2020)"},"properties":{"noteIndex":0},"schema":"https://github.com/citation-style-language/schema/raw/master/csl-citation.json"}</w:instrText>
      </w:r>
      <w:r w:rsidRPr="75A96201">
        <w:rPr>
          <w:rFonts w:ascii="Times New Roman" w:hAnsi="Times New Roman" w:cs="Times New Roman"/>
          <w:noProof/>
          <w:sz w:val="24"/>
          <w:szCs w:val="24"/>
          <w:lang w:val="en-GB"/>
        </w:rPr>
        <w:fldChar w:fldCharType="separate"/>
      </w:r>
      <w:r w:rsidRPr="75A96201">
        <w:rPr>
          <w:rFonts w:ascii="Times New Roman" w:hAnsi="Times New Roman" w:cs="Times New Roman"/>
          <w:noProof/>
          <w:sz w:val="24"/>
          <w:szCs w:val="24"/>
          <w:lang w:val="en-GB"/>
        </w:rPr>
        <w:t>Campbell-Johnston et al., 2020</w:t>
      </w:r>
      <w:r w:rsidRPr="75A96201">
        <w:rPr>
          <w:rFonts w:ascii="Times New Roman" w:hAnsi="Times New Roman" w:cs="Times New Roman"/>
          <w:noProof/>
          <w:sz w:val="24"/>
          <w:szCs w:val="24"/>
          <w:lang w:val="en-GB"/>
        </w:rPr>
        <w:fldChar w:fldCharType="end"/>
      </w:r>
      <w:r w:rsidRPr="75A96201">
        <w:rPr>
          <w:rFonts w:ascii="Times New Roman" w:hAnsi="Times New Roman" w:cs="Times New Roman"/>
          <w:noProof/>
          <w:sz w:val="24"/>
          <w:szCs w:val="24"/>
          <w:lang w:val="en-US"/>
        </w:rPr>
        <w:t>)</w:t>
      </w:r>
      <w:r w:rsidRPr="75A96201">
        <w:rPr>
          <w:rFonts w:ascii="Times New Roman" w:hAnsi="Times New Roman" w:cs="Times New Roman"/>
          <w:sz w:val="24"/>
          <w:szCs w:val="24"/>
          <w:lang w:val="en-US"/>
        </w:rPr>
        <w:fldChar w:fldCharType="end"/>
      </w:r>
      <w:r w:rsidRPr="75A96201">
        <w:rPr>
          <w:rFonts w:ascii="Times New Roman" w:hAnsi="Times New Roman" w:cs="Times New Roman"/>
          <w:sz w:val="24"/>
          <w:szCs w:val="24"/>
          <w:lang w:val="en-US"/>
        </w:rPr>
        <w:t>.</w:t>
      </w:r>
    </w:p>
    <w:p w14:paraId="00777FD9" w14:textId="77777777" w:rsidR="00B93D26" w:rsidRDefault="00B93D26" w:rsidP="00626133">
      <w:pPr>
        <w:spacing w:after="0" w:line="360" w:lineRule="auto"/>
        <w:jc w:val="both"/>
        <w:rPr>
          <w:rFonts w:ascii="Times New Roman" w:hAnsi="Times New Roman" w:cs="Times New Roman"/>
          <w:sz w:val="24"/>
          <w:szCs w:val="24"/>
          <w:lang w:val="en-US"/>
        </w:rPr>
        <w:sectPr w:rsidR="00B93D26" w:rsidSect="00C62757">
          <w:pgSz w:w="11906" w:h="16838"/>
          <w:pgMar w:top="1134" w:right="1134" w:bottom="1417" w:left="1134" w:header="708" w:footer="708" w:gutter="0"/>
          <w:cols w:space="708"/>
          <w:docGrid w:linePitch="360"/>
        </w:sectPr>
      </w:pPr>
    </w:p>
    <w:p w14:paraId="72B64E7F" w14:textId="77777777" w:rsidR="00B93D26" w:rsidRPr="00F7590D" w:rsidRDefault="00000000" w:rsidP="00A036C2">
      <w:pPr>
        <w:spacing w:after="0" w:line="360" w:lineRule="auto"/>
        <w:rPr>
          <w:rFonts w:ascii="Times New Roman" w:hAnsi="Times New Roman" w:cs="Times New Roman"/>
          <w:b/>
          <w:bCs/>
          <w:sz w:val="24"/>
          <w:szCs w:val="24"/>
          <w:lang w:val="en-US"/>
        </w:rPr>
      </w:pPr>
      <w:r w:rsidRPr="00F7590D">
        <w:rPr>
          <w:rFonts w:ascii="Times New Roman" w:hAnsi="Times New Roman" w:cs="Times New Roman"/>
          <w:b/>
          <w:bCs/>
          <w:sz w:val="24"/>
          <w:szCs w:val="24"/>
          <w:lang w:val="en-US"/>
        </w:rPr>
        <w:lastRenderedPageBreak/>
        <w:t>References</w:t>
      </w:r>
    </w:p>
    <w:p w14:paraId="6CC91218" w14:textId="42B729B1" w:rsidR="00247672" w:rsidRPr="00EA2906" w:rsidRDefault="00000000"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 xml:space="preserve">ADDIN Mendeley Bibliography CSL_BIBLIOGRAPHY </w:instrText>
      </w:r>
      <w:r>
        <w:rPr>
          <w:rFonts w:ascii="Times New Roman" w:hAnsi="Times New Roman" w:cs="Times New Roman"/>
          <w:sz w:val="24"/>
          <w:szCs w:val="24"/>
          <w:lang w:val="en-GB"/>
        </w:rPr>
        <w:fldChar w:fldCharType="separate"/>
      </w:r>
      <w:r w:rsidR="00247672" w:rsidRPr="00EA2906">
        <w:rPr>
          <w:rFonts w:ascii="Times New Roman" w:hAnsi="Times New Roman" w:cs="Times New Roman"/>
          <w:noProof/>
          <w:sz w:val="24"/>
          <w:szCs w:val="24"/>
          <w:lang w:val="en-GB"/>
        </w:rPr>
        <w:t xml:space="preserve">Aarikka-Stenroos, L., Chiaroni, D., Kaipainen, J., &amp; Urbinati, A. (2022). Companies’ circular business models enabled by supply chain collaborations: An empirical-based framework, synthesis, and research agenda. </w:t>
      </w:r>
      <w:r w:rsidR="00247672" w:rsidRPr="00EA2906">
        <w:rPr>
          <w:rFonts w:ascii="Times New Roman" w:hAnsi="Times New Roman" w:cs="Times New Roman"/>
          <w:i/>
          <w:iCs/>
          <w:noProof/>
          <w:sz w:val="24"/>
          <w:szCs w:val="24"/>
          <w:lang w:val="en-GB"/>
        </w:rPr>
        <w:t>Industrial Marketing Management</w:t>
      </w:r>
      <w:r w:rsidR="00247672" w:rsidRPr="00EA2906">
        <w:rPr>
          <w:rFonts w:ascii="Times New Roman" w:hAnsi="Times New Roman" w:cs="Times New Roman"/>
          <w:noProof/>
          <w:sz w:val="24"/>
          <w:szCs w:val="24"/>
          <w:lang w:val="en-GB"/>
        </w:rPr>
        <w:t xml:space="preserve">, </w:t>
      </w:r>
      <w:r w:rsidR="00247672" w:rsidRPr="00EA2906">
        <w:rPr>
          <w:rFonts w:ascii="Times New Roman" w:hAnsi="Times New Roman" w:cs="Times New Roman"/>
          <w:i/>
          <w:iCs/>
          <w:noProof/>
          <w:sz w:val="24"/>
          <w:szCs w:val="24"/>
          <w:lang w:val="en-GB"/>
        </w:rPr>
        <w:t>105</w:t>
      </w:r>
      <w:r w:rsidR="00247672" w:rsidRPr="00EA2906">
        <w:rPr>
          <w:rFonts w:ascii="Times New Roman" w:hAnsi="Times New Roman" w:cs="Times New Roman"/>
          <w:noProof/>
          <w:sz w:val="24"/>
          <w:szCs w:val="24"/>
          <w:lang w:val="en-GB"/>
        </w:rPr>
        <w:t>, 322–339. https://doi.org/10.1016/J.INDMARMAN.2022.06.015</w:t>
      </w:r>
    </w:p>
    <w:p w14:paraId="78C8047F"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Acquier, A., Daudigeos, T., &amp; Pinkse, J. (2017). Promises and paradoxes of the sharing economy: An organizing framework. </w:t>
      </w:r>
      <w:r w:rsidRPr="00EA2906">
        <w:rPr>
          <w:rFonts w:ascii="Times New Roman" w:hAnsi="Times New Roman" w:cs="Times New Roman"/>
          <w:i/>
          <w:iCs/>
          <w:noProof/>
          <w:sz w:val="24"/>
          <w:szCs w:val="24"/>
          <w:lang w:val="en-GB"/>
        </w:rPr>
        <w:t>Technological Forecasting and Social Change</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125</w:t>
      </w:r>
      <w:r w:rsidRPr="00EA2906">
        <w:rPr>
          <w:rFonts w:ascii="Times New Roman" w:hAnsi="Times New Roman" w:cs="Times New Roman"/>
          <w:noProof/>
          <w:sz w:val="24"/>
          <w:szCs w:val="24"/>
          <w:lang w:val="en-GB"/>
        </w:rPr>
        <w:t>, 1–10. https://doi.org/10.1016/J.TECHFORE.2017.07.006</w:t>
      </w:r>
    </w:p>
    <w:p w14:paraId="2C617DFD"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Alhawari, O., Awan, U., Bhutta, M. K. S., &amp; Ali Ülkü, M. (2021). </w:t>
      </w:r>
      <w:r w:rsidRPr="00EA2906">
        <w:rPr>
          <w:rFonts w:ascii="Times New Roman" w:hAnsi="Times New Roman" w:cs="Times New Roman"/>
          <w:noProof/>
          <w:sz w:val="24"/>
          <w:szCs w:val="24"/>
          <w:lang w:val="en-GB"/>
        </w:rPr>
        <w:t xml:space="preserve">Insights from Circular Economy Literature: A Review of Extant Definitions and Unravelling Paths to Future Research. </w:t>
      </w:r>
      <w:r w:rsidRPr="00EA2906">
        <w:rPr>
          <w:rFonts w:ascii="Times New Roman" w:hAnsi="Times New Roman" w:cs="Times New Roman"/>
          <w:i/>
          <w:iCs/>
          <w:noProof/>
          <w:sz w:val="24"/>
          <w:szCs w:val="24"/>
          <w:lang w:val="en-GB"/>
        </w:rPr>
        <w:t>Sustainability 2021, Vol. 13, Page 859</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13</w:t>
      </w:r>
      <w:r w:rsidRPr="00EA2906">
        <w:rPr>
          <w:rFonts w:ascii="Times New Roman" w:hAnsi="Times New Roman" w:cs="Times New Roman"/>
          <w:noProof/>
          <w:sz w:val="24"/>
          <w:szCs w:val="24"/>
          <w:lang w:val="en-GB"/>
        </w:rPr>
        <w:t>(2), 859. https://doi.org/10.3390/SU13020859</w:t>
      </w:r>
    </w:p>
    <w:p w14:paraId="332B2482"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Alt, R., &amp; Zimmermann, H.-D. (2014). </w:t>
      </w:r>
      <w:r w:rsidRPr="00EA2906">
        <w:rPr>
          <w:rFonts w:ascii="Times New Roman" w:hAnsi="Times New Roman" w:cs="Times New Roman"/>
          <w:i/>
          <w:iCs/>
          <w:noProof/>
          <w:sz w:val="24"/>
          <w:szCs w:val="24"/>
          <w:lang w:val="en-GB"/>
        </w:rPr>
        <w:t>Editorial 24/3: Electronic Markets and general research</w:t>
      </w:r>
      <w:r w:rsidRPr="00EA2906">
        <w:rPr>
          <w:rFonts w:ascii="Times New Roman" w:hAnsi="Times New Roman" w:cs="Times New Roman"/>
          <w:noProof/>
          <w:sz w:val="24"/>
          <w:szCs w:val="24"/>
          <w:lang w:val="en-GB"/>
        </w:rPr>
        <w:t>. https://doi.org/10.1007/s12525-014-0163-9</w:t>
      </w:r>
    </w:p>
    <w:p w14:paraId="192461A6"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Awan, U., Gölgeci, I., Makhmadshoev, D., &amp; Mishra, N. (2022). Industry 4.0 and circular economy in an era of global value chains: What have we learned and what is still to be explored?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371</w:t>
      </w:r>
      <w:r w:rsidRPr="00EA2906">
        <w:rPr>
          <w:rFonts w:ascii="Times New Roman" w:hAnsi="Times New Roman" w:cs="Times New Roman"/>
          <w:noProof/>
          <w:sz w:val="24"/>
          <w:szCs w:val="24"/>
          <w:lang w:val="en-GB"/>
        </w:rPr>
        <w:t>. https://doi.org/10.1016/J.JCLEPRO.2022.133621</w:t>
      </w:r>
    </w:p>
    <w:p w14:paraId="23C2EFA7"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Awan, U., Sroufe, R., &amp; Bozan, K. (2022). Designing Value Chains for Industry 4.0 and a Circular Economy: A Review of the Literature. </w:t>
      </w:r>
      <w:r w:rsidRPr="00EA2906">
        <w:rPr>
          <w:rFonts w:ascii="Times New Roman" w:hAnsi="Times New Roman" w:cs="Times New Roman"/>
          <w:i/>
          <w:iCs/>
          <w:noProof/>
          <w:sz w:val="24"/>
          <w:szCs w:val="24"/>
          <w:lang w:val="en-GB"/>
        </w:rPr>
        <w:t>Sustainability (Switzerland)</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14</w:t>
      </w:r>
      <w:r w:rsidRPr="00EA2906">
        <w:rPr>
          <w:rFonts w:ascii="Times New Roman" w:hAnsi="Times New Roman" w:cs="Times New Roman"/>
          <w:noProof/>
          <w:sz w:val="24"/>
          <w:szCs w:val="24"/>
          <w:lang w:val="en-GB"/>
        </w:rPr>
        <w:t>(12). https://doi.org/10.3390/su14127084</w:t>
      </w:r>
    </w:p>
    <w:p w14:paraId="0870A50D"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Bailey, K. D. (1994). </w:t>
      </w:r>
      <w:r w:rsidRPr="00EA2906">
        <w:rPr>
          <w:rFonts w:ascii="Times New Roman" w:hAnsi="Times New Roman" w:cs="Times New Roman"/>
          <w:i/>
          <w:iCs/>
          <w:noProof/>
          <w:sz w:val="24"/>
          <w:szCs w:val="24"/>
          <w:lang w:val="en-GB"/>
        </w:rPr>
        <w:t>Typologies and Taxonomies: An Introduction to Classification Techniques - Kenneth D. Bailey - Google Libri</w:t>
      </w:r>
      <w:r w:rsidRPr="00EA2906">
        <w:rPr>
          <w:rFonts w:ascii="Times New Roman" w:hAnsi="Times New Roman" w:cs="Times New Roman"/>
          <w:noProof/>
          <w:sz w:val="24"/>
          <w:szCs w:val="24"/>
          <w:lang w:val="en-GB"/>
        </w:rPr>
        <w:t xml:space="preserve"> (Sage (ed.); Vol. 102). https://books.google.it/books?hl=it&amp;lr=&amp;id=1TaYulGjhLYC&amp;oi=fnd&amp;pg=PP7&amp;dq=Bailey,+1994+taxonomy&amp;ots=LT6K0F8geN&amp;sig=45tfKf_uZRnpUDW_Y76IFpWvL3E&amp;redir_esc=y#v=onepage&amp;q=Bailey%2C 1994 taxonomy&amp;f=false</w:t>
      </w:r>
    </w:p>
    <w:p w14:paraId="64788CDB"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Batista, L., Bourlakis, M., Smart, P., &amp; Maull, R. (2018). In search of a circular supply chain archetype – a content-analysis-based literature review. </w:t>
      </w:r>
      <w:r w:rsidRPr="00EA2906">
        <w:rPr>
          <w:rFonts w:ascii="Times New Roman" w:hAnsi="Times New Roman" w:cs="Times New Roman"/>
          <w:i/>
          <w:iCs/>
          <w:noProof/>
          <w:sz w:val="24"/>
          <w:szCs w:val="24"/>
          <w:lang w:val="en-GB"/>
        </w:rPr>
        <w:t>Https://Doi.Org/10.1080/09537287.2017.1343502</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29</w:t>
      </w:r>
      <w:r w:rsidRPr="00EA2906">
        <w:rPr>
          <w:rFonts w:ascii="Times New Roman" w:hAnsi="Times New Roman" w:cs="Times New Roman"/>
          <w:noProof/>
          <w:sz w:val="24"/>
          <w:szCs w:val="24"/>
          <w:lang w:val="en-GB"/>
        </w:rPr>
        <w:t>(6), 438–451. https://doi.org/10.1080/09537287.2017.1343502</w:t>
      </w:r>
    </w:p>
    <w:p w14:paraId="7FC0A30B"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Berg, H., &amp; Wilts, H. (2018). </w:t>
      </w:r>
      <w:r w:rsidRPr="00EA2906">
        <w:rPr>
          <w:rFonts w:ascii="Times New Roman" w:hAnsi="Times New Roman" w:cs="Times New Roman"/>
          <w:i/>
          <w:iCs/>
          <w:noProof/>
          <w:sz w:val="24"/>
          <w:szCs w:val="24"/>
          <w:lang w:val="en-GB"/>
        </w:rPr>
        <w:t>Digital platforms as market places for the circular economy-requirements and challenges</w:t>
      </w:r>
      <w:r w:rsidRPr="00EA2906">
        <w:rPr>
          <w:rFonts w:ascii="Times New Roman" w:hAnsi="Times New Roman" w:cs="Times New Roman"/>
          <w:noProof/>
          <w:sz w:val="24"/>
          <w:szCs w:val="24"/>
          <w:lang w:val="en-GB"/>
        </w:rPr>
        <w:t>. https://doi.org/10.1007/s00550-018-0468-9</w:t>
      </w:r>
    </w:p>
    <w:p w14:paraId="1C3BD602"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Bergset, L., &amp; Fichter, K. (2015). Green start-ups – a new typology for sustainable entrepre-neurship and innovation research. </w:t>
      </w:r>
      <w:r w:rsidRPr="00EA2906">
        <w:rPr>
          <w:rFonts w:ascii="Times New Roman" w:hAnsi="Times New Roman" w:cs="Times New Roman"/>
          <w:i/>
          <w:iCs/>
          <w:noProof/>
          <w:sz w:val="24"/>
          <w:szCs w:val="24"/>
          <w:lang w:val="en-GB"/>
        </w:rPr>
        <w:t>Journal of Innovation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w:t>
      </w:r>
      <w:r w:rsidRPr="00EA2906">
        <w:rPr>
          <w:rFonts w:ascii="Times New Roman" w:hAnsi="Times New Roman" w:cs="Times New Roman"/>
          <w:noProof/>
          <w:sz w:val="24"/>
          <w:szCs w:val="24"/>
          <w:lang w:val="en-GB"/>
        </w:rPr>
        <w:t>(3), 118–144. https://doi.org/10.24840/2183-0606_003.003_0009</w:t>
      </w:r>
    </w:p>
    <w:p w14:paraId="3E8DCBB1"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Blackburn, O., Ritala, P., &amp; Keränen, J. (2022). Digital Platforms for the Circular Economy: Exploring Meta-Organizational Orchestration Mechanisms. </w:t>
      </w:r>
      <w:r w:rsidRPr="00EA2906">
        <w:rPr>
          <w:rFonts w:ascii="Times New Roman" w:hAnsi="Times New Roman" w:cs="Times New Roman"/>
          <w:i/>
          <w:iCs/>
          <w:noProof/>
          <w:sz w:val="24"/>
          <w:szCs w:val="24"/>
          <w:lang w:val="en-GB"/>
        </w:rPr>
        <w:t>Organization and Environment</w:t>
      </w:r>
      <w:r w:rsidRPr="00EA2906">
        <w:rPr>
          <w:rFonts w:ascii="Times New Roman" w:hAnsi="Times New Roman" w:cs="Times New Roman"/>
          <w:noProof/>
          <w:sz w:val="24"/>
          <w:szCs w:val="24"/>
          <w:lang w:val="en-GB"/>
        </w:rPr>
        <w:t>. https://doi.org/10.1177/10860266221130717/ASSET/IMAGES/LARGE/10.1177_10860266221130717-FIG2.JPEG</w:t>
      </w:r>
    </w:p>
    <w:p w14:paraId="60CC0B48"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Bocken, N. M. P., Pauw, I. de, Bakker, C., &amp; Grinten, B. van der. (2016). Product design and business model strategies for a circular economy. </w:t>
      </w:r>
      <w:r w:rsidRPr="00EA2906">
        <w:rPr>
          <w:rFonts w:ascii="Times New Roman" w:hAnsi="Times New Roman" w:cs="Times New Roman"/>
          <w:i/>
          <w:iCs/>
          <w:noProof/>
          <w:sz w:val="24"/>
          <w:szCs w:val="24"/>
          <w:lang w:val="en-GB"/>
        </w:rPr>
        <w:t>Https://Doi.Org/10.1080/21681015.2016.1172124</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33</w:t>
      </w:r>
      <w:r w:rsidRPr="00EA2906">
        <w:rPr>
          <w:rFonts w:ascii="Times New Roman" w:hAnsi="Times New Roman" w:cs="Times New Roman"/>
          <w:noProof/>
          <w:sz w:val="24"/>
          <w:szCs w:val="24"/>
          <w:lang w:val="en-GB"/>
        </w:rPr>
        <w:t>(5), 308–320. https://doi.org/10.1080/21681015.2016.1172124</w:t>
      </w:r>
    </w:p>
    <w:p w14:paraId="0ED9BC06"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Bocken, N., Miller, K., Weissbrod, I., Holgado, M., &amp; Evans, S. (2019). Slowing resource loops in the circular economy: An experimentation approach in fashion retail. </w:t>
      </w:r>
      <w:r w:rsidRPr="00EA2906">
        <w:rPr>
          <w:rFonts w:ascii="Times New Roman" w:hAnsi="Times New Roman" w:cs="Times New Roman"/>
          <w:i/>
          <w:iCs/>
          <w:noProof/>
          <w:sz w:val="24"/>
          <w:szCs w:val="24"/>
          <w:lang w:val="en-GB"/>
        </w:rPr>
        <w:t>Smart Innovation, Systems and Technologies</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130</w:t>
      </w:r>
      <w:r w:rsidRPr="00EA2906">
        <w:rPr>
          <w:rFonts w:ascii="Times New Roman" w:hAnsi="Times New Roman" w:cs="Times New Roman"/>
          <w:noProof/>
          <w:sz w:val="24"/>
          <w:szCs w:val="24"/>
          <w:lang w:val="en-GB"/>
        </w:rPr>
        <w:t>, 164–173. https://doi.org/10.1007/978-3-030-04290-</w:t>
      </w:r>
      <w:r w:rsidRPr="00EA2906">
        <w:rPr>
          <w:rFonts w:ascii="Times New Roman" w:hAnsi="Times New Roman" w:cs="Times New Roman"/>
          <w:noProof/>
          <w:sz w:val="24"/>
          <w:szCs w:val="24"/>
          <w:lang w:val="en-GB"/>
        </w:rPr>
        <w:lastRenderedPageBreak/>
        <w:t>5_17/COVER/</w:t>
      </w:r>
    </w:p>
    <w:p w14:paraId="520EF71D"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Boulkedid, R., Abdoul, H., Loustau, M., Sibony, O., &amp; Alberti, C. (2011). Using and Reporting the Delphi Method for Selecting Healthcare Quality Indicators: A Systematic Review. </w:t>
      </w:r>
      <w:r w:rsidRPr="00EA2906">
        <w:rPr>
          <w:rFonts w:ascii="Times New Roman" w:hAnsi="Times New Roman" w:cs="Times New Roman"/>
          <w:i/>
          <w:iCs/>
          <w:noProof/>
          <w:sz w:val="24"/>
          <w:szCs w:val="24"/>
          <w:lang w:val="en-GB"/>
        </w:rPr>
        <w:t>PLOS ONE</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6</w:t>
      </w:r>
      <w:r w:rsidRPr="00EA2906">
        <w:rPr>
          <w:rFonts w:ascii="Times New Roman" w:hAnsi="Times New Roman" w:cs="Times New Roman"/>
          <w:noProof/>
          <w:sz w:val="24"/>
          <w:szCs w:val="24"/>
          <w:lang w:val="en-GB"/>
        </w:rPr>
        <w:t>(6), e20476. https://doi.org/10.1371/JOURNAL.PONE.0020476</w:t>
      </w:r>
    </w:p>
    <w:p w14:paraId="232AF192"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Brandão, M. (Miguel M. R., Lazarevic, D., &amp; Finnveden, G. (2020). </w:t>
      </w:r>
      <w:r w:rsidRPr="00EA2906">
        <w:rPr>
          <w:rFonts w:ascii="Times New Roman" w:hAnsi="Times New Roman" w:cs="Times New Roman"/>
          <w:i/>
          <w:iCs/>
          <w:noProof/>
          <w:sz w:val="24"/>
          <w:szCs w:val="24"/>
          <w:lang w:val="en-GB"/>
        </w:rPr>
        <w:t>Handbook of the circular economy</w:t>
      </w:r>
      <w:r w:rsidRPr="00EA2906">
        <w:rPr>
          <w:rFonts w:ascii="Times New Roman" w:hAnsi="Times New Roman" w:cs="Times New Roman"/>
          <w:noProof/>
          <w:sz w:val="24"/>
          <w:szCs w:val="24"/>
          <w:lang w:val="en-GB"/>
        </w:rPr>
        <w:t>. 528.</w:t>
      </w:r>
    </w:p>
    <w:p w14:paraId="4182464E"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Bruun Ingstrup, M., Aarikka-Stenroos, L., &amp; Adlin, N. (2021). When institutional logics meet: Alignment and misalignment in collaboration between academia and practitioners. </w:t>
      </w:r>
      <w:r w:rsidRPr="00EA2906">
        <w:rPr>
          <w:rFonts w:ascii="Times New Roman" w:hAnsi="Times New Roman" w:cs="Times New Roman"/>
          <w:i/>
          <w:iCs/>
          <w:noProof/>
          <w:sz w:val="24"/>
          <w:szCs w:val="24"/>
          <w:lang w:val="en-GB"/>
        </w:rPr>
        <w:t>Industrial Marketing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92</w:t>
      </w:r>
      <w:r w:rsidRPr="00EA2906">
        <w:rPr>
          <w:rFonts w:ascii="Times New Roman" w:hAnsi="Times New Roman" w:cs="Times New Roman"/>
          <w:noProof/>
          <w:sz w:val="24"/>
          <w:szCs w:val="24"/>
          <w:lang w:val="en-GB"/>
        </w:rPr>
        <w:t>, 267–276. https://doi.org/10.1016/j.indmarman.2020.01.004</w:t>
      </w:r>
    </w:p>
    <w:p w14:paraId="3DCFF720"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Campbell-Johnston, K., Vermeulen, W. J. V., Reike, D., &amp; Brullot, S. (2020). The Circular Economy and Cascading: Towards a Framework. </w:t>
      </w:r>
      <w:r w:rsidRPr="00EA2906">
        <w:rPr>
          <w:rFonts w:ascii="Times New Roman" w:hAnsi="Times New Roman" w:cs="Times New Roman"/>
          <w:i/>
          <w:iCs/>
          <w:noProof/>
          <w:sz w:val="24"/>
          <w:szCs w:val="24"/>
          <w:lang w:val="en-GB"/>
        </w:rPr>
        <w:t>Resources, Conservation &amp; Recycling: X</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7</w:t>
      </w:r>
      <w:r w:rsidRPr="00EA2906">
        <w:rPr>
          <w:rFonts w:ascii="Times New Roman" w:hAnsi="Times New Roman" w:cs="Times New Roman"/>
          <w:noProof/>
          <w:sz w:val="24"/>
          <w:szCs w:val="24"/>
          <w:lang w:val="en-GB"/>
        </w:rPr>
        <w:t>, 100038. https://doi.org/10.1016/J.RCRX.2020.100038</w:t>
      </w:r>
    </w:p>
    <w:p w14:paraId="6E4869D4"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Cennamo, C., &amp; Santaló, J. (2018). Generativity Tension and Value Creation in Platform-Based Technology Ecosystems. </w:t>
      </w:r>
      <w:r w:rsidRPr="00EA2906">
        <w:rPr>
          <w:rFonts w:ascii="Times New Roman" w:hAnsi="Times New Roman" w:cs="Times New Roman"/>
          <w:i/>
          <w:iCs/>
          <w:noProof/>
          <w:sz w:val="24"/>
          <w:szCs w:val="24"/>
          <w:lang w:val="en-GB"/>
        </w:rPr>
        <w:t>SSRN Electronic Journal</w:t>
      </w:r>
      <w:r w:rsidRPr="00EA2906">
        <w:rPr>
          <w:rFonts w:ascii="Times New Roman" w:hAnsi="Times New Roman" w:cs="Times New Roman"/>
          <w:noProof/>
          <w:sz w:val="24"/>
          <w:szCs w:val="24"/>
          <w:lang w:val="en-GB"/>
        </w:rPr>
        <w:t>. https://doi.org/10.2139/SSRN.3289574</w:t>
      </w:r>
    </w:p>
    <w:p w14:paraId="6B10D6BC"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Chertow, M. R. (2007). “Uncovering” Industrial Symbiosis. </w:t>
      </w:r>
      <w:r w:rsidRPr="00EA2906">
        <w:rPr>
          <w:rFonts w:ascii="Times New Roman" w:hAnsi="Times New Roman" w:cs="Times New Roman"/>
          <w:i/>
          <w:iCs/>
          <w:noProof/>
          <w:sz w:val="24"/>
          <w:szCs w:val="24"/>
          <w:lang w:val="en-GB"/>
        </w:rPr>
        <w:t>Journal of Industrial Ecology</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11</w:t>
      </w:r>
      <w:r w:rsidRPr="00EA2906">
        <w:rPr>
          <w:rFonts w:ascii="Times New Roman" w:hAnsi="Times New Roman" w:cs="Times New Roman"/>
          <w:noProof/>
          <w:sz w:val="24"/>
          <w:szCs w:val="24"/>
          <w:lang w:val="en-GB"/>
        </w:rPr>
        <w:t>(1), 11–30. https://doi.org/10.1162/JIEC.2007.1110</w:t>
      </w:r>
    </w:p>
    <w:p w14:paraId="000AD9B8"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Ciulli, F., Kolk, A., &amp; Siri Boe-Lillegraven, ·. </w:t>
      </w:r>
      <w:r w:rsidRPr="00EA2906">
        <w:rPr>
          <w:rFonts w:ascii="Times New Roman" w:hAnsi="Times New Roman" w:cs="Times New Roman"/>
          <w:noProof/>
          <w:sz w:val="24"/>
          <w:szCs w:val="24"/>
          <w:lang w:val="en-GB"/>
        </w:rPr>
        <w:t xml:space="preserve">(2020). Circularity Brokers: Digital Platform Organizations and Waste Recovery in Food Supply Chains. </w:t>
      </w:r>
      <w:r w:rsidRPr="00EA2906">
        <w:rPr>
          <w:rFonts w:ascii="Times New Roman" w:hAnsi="Times New Roman" w:cs="Times New Roman"/>
          <w:i/>
          <w:iCs/>
          <w:noProof/>
          <w:sz w:val="24"/>
          <w:szCs w:val="24"/>
          <w:lang w:val="en-GB"/>
        </w:rPr>
        <w:t>Journal of Business Ethics</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167</w:t>
      </w:r>
      <w:r w:rsidRPr="00EA2906">
        <w:rPr>
          <w:rFonts w:ascii="Times New Roman" w:hAnsi="Times New Roman" w:cs="Times New Roman"/>
          <w:noProof/>
          <w:sz w:val="24"/>
          <w:szCs w:val="24"/>
          <w:lang w:val="en-GB"/>
        </w:rPr>
        <w:t>, 299–331. https://doi.org/10.1007/s10551-019-04160-5</w:t>
      </w:r>
    </w:p>
    <w:p w14:paraId="3B4F1F37" w14:textId="77777777" w:rsidR="00247672" w:rsidRPr="00247672"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rPr>
      </w:pPr>
      <w:r w:rsidRPr="00EA2906">
        <w:rPr>
          <w:rFonts w:ascii="Times New Roman" w:hAnsi="Times New Roman" w:cs="Times New Roman"/>
          <w:noProof/>
          <w:sz w:val="24"/>
          <w:szCs w:val="24"/>
          <w:lang w:val="en-GB"/>
        </w:rPr>
        <w:t xml:space="preserve">Cockayne, D. G. (2016). Sharing and neoliberal discourse: The economic function of sharing in the digital on-demand economy. </w:t>
      </w:r>
      <w:r w:rsidRPr="00247672">
        <w:rPr>
          <w:rFonts w:ascii="Times New Roman" w:hAnsi="Times New Roman" w:cs="Times New Roman"/>
          <w:i/>
          <w:iCs/>
          <w:noProof/>
          <w:sz w:val="24"/>
          <w:szCs w:val="24"/>
        </w:rPr>
        <w:t>Geoforum</w:t>
      </w:r>
      <w:r w:rsidRPr="00247672">
        <w:rPr>
          <w:rFonts w:ascii="Times New Roman" w:hAnsi="Times New Roman" w:cs="Times New Roman"/>
          <w:noProof/>
          <w:sz w:val="24"/>
          <w:szCs w:val="24"/>
        </w:rPr>
        <w:t xml:space="preserve">, </w:t>
      </w:r>
      <w:r w:rsidRPr="00247672">
        <w:rPr>
          <w:rFonts w:ascii="Times New Roman" w:hAnsi="Times New Roman" w:cs="Times New Roman"/>
          <w:i/>
          <w:iCs/>
          <w:noProof/>
          <w:sz w:val="24"/>
          <w:szCs w:val="24"/>
        </w:rPr>
        <w:t>77</w:t>
      </w:r>
      <w:r w:rsidRPr="00247672">
        <w:rPr>
          <w:rFonts w:ascii="Times New Roman" w:hAnsi="Times New Roman" w:cs="Times New Roman"/>
          <w:noProof/>
          <w:sz w:val="24"/>
          <w:szCs w:val="24"/>
        </w:rPr>
        <w:t>, 73–82. https://doi.org/10.1016/J.GEOFORUM.2016.10.005</w:t>
      </w:r>
    </w:p>
    <w:p w14:paraId="656D63BC" w14:textId="77777777" w:rsidR="00247672" w:rsidRPr="00247672"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rPr>
      </w:pPr>
      <w:r w:rsidRPr="00247672">
        <w:rPr>
          <w:rFonts w:ascii="Times New Roman" w:hAnsi="Times New Roman" w:cs="Times New Roman"/>
          <w:noProof/>
          <w:sz w:val="24"/>
          <w:szCs w:val="24"/>
        </w:rPr>
        <w:t xml:space="preserve">Creazza, A., Pizzurno, E., &amp; Urbinati, A. (2021). </w:t>
      </w:r>
      <w:r w:rsidRPr="00247672">
        <w:rPr>
          <w:rFonts w:ascii="Times New Roman" w:hAnsi="Times New Roman" w:cs="Times New Roman"/>
          <w:i/>
          <w:iCs/>
          <w:noProof/>
          <w:sz w:val="24"/>
          <w:szCs w:val="24"/>
        </w:rPr>
        <w:t>Economia circolare e management. Un nuovo approccio industriale per la gestione d’impresa</w:t>
      </w:r>
      <w:r w:rsidRPr="00247672">
        <w:rPr>
          <w:rFonts w:ascii="Times New Roman" w:hAnsi="Times New Roman" w:cs="Times New Roman"/>
          <w:noProof/>
          <w:sz w:val="24"/>
          <w:szCs w:val="24"/>
        </w:rPr>
        <w:t>. https://books.google.com/books?hl=it&amp;lr=&amp;id=TDwqEAAAQBAJ&amp;oi=fnd&amp;pg=PT3&amp;dq=Creazza,+A.,+Pizzurno,+E.,+and+Urbinati,+A.+(2020).+Economia+Circolare+e+Management:+Un+nuovo+approccio+industriale+per+la+gestione+d’impresa.+Guerini+Next,+pp.+1-203.+ISBN:+978-88-</w:t>
      </w:r>
    </w:p>
    <w:p w14:paraId="30981A36" w14:textId="77777777" w:rsidR="00247672" w:rsidRPr="00247672"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rPr>
      </w:pPr>
      <w:r w:rsidRPr="00EA2906">
        <w:rPr>
          <w:rFonts w:ascii="Times New Roman" w:hAnsi="Times New Roman" w:cs="Times New Roman"/>
          <w:noProof/>
          <w:sz w:val="24"/>
          <w:szCs w:val="24"/>
          <w:lang w:val="en-GB"/>
        </w:rPr>
        <w:t xml:space="preserve">Cullen, Z., &amp; Farronato, C. (2020). Outsourcing Tasks Online: Matching Supply and Demand on Peer-to-Peer Internet Platforms. </w:t>
      </w:r>
      <w:r w:rsidRPr="00247672">
        <w:rPr>
          <w:rFonts w:ascii="Times New Roman" w:hAnsi="Times New Roman" w:cs="Times New Roman"/>
          <w:i/>
          <w:iCs/>
          <w:noProof/>
          <w:sz w:val="24"/>
          <w:szCs w:val="24"/>
        </w:rPr>
        <w:t>Https://Doi.Org/10.1287/Mnsc.2020.3730</w:t>
      </w:r>
      <w:r w:rsidRPr="00247672">
        <w:rPr>
          <w:rFonts w:ascii="Times New Roman" w:hAnsi="Times New Roman" w:cs="Times New Roman"/>
          <w:noProof/>
          <w:sz w:val="24"/>
          <w:szCs w:val="24"/>
        </w:rPr>
        <w:t xml:space="preserve">, </w:t>
      </w:r>
      <w:r w:rsidRPr="00247672">
        <w:rPr>
          <w:rFonts w:ascii="Times New Roman" w:hAnsi="Times New Roman" w:cs="Times New Roman"/>
          <w:i/>
          <w:iCs/>
          <w:noProof/>
          <w:sz w:val="24"/>
          <w:szCs w:val="24"/>
        </w:rPr>
        <w:t>67</w:t>
      </w:r>
      <w:r w:rsidRPr="00247672">
        <w:rPr>
          <w:rFonts w:ascii="Times New Roman" w:hAnsi="Times New Roman" w:cs="Times New Roman"/>
          <w:noProof/>
          <w:sz w:val="24"/>
          <w:szCs w:val="24"/>
        </w:rPr>
        <w:t>(7), 3985–4003. https://doi.org/10.1287/MNSC.2020.3730</w:t>
      </w:r>
    </w:p>
    <w:p w14:paraId="56324735"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Cutaia, L., Luciano, A., Barberio, G., Sbaffoni, S., Mancuso, E., Scagliarino, C., &amp; Monica, M. La. </w:t>
      </w:r>
      <w:r w:rsidRPr="00EA2906">
        <w:rPr>
          <w:rFonts w:ascii="Times New Roman" w:hAnsi="Times New Roman" w:cs="Times New Roman"/>
          <w:noProof/>
          <w:sz w:val="24"/>
          <w:szCs w:val="24"/>
          <w:lang w:val="en-GB"/>
        </w:rPr>
        <w:t xml:space="preserve">(2015). THE EXPERIENCE OF THE FIRST INDUSTRIAL SYMBIOSIS PLATFORM IN ITALY. </w:t>
      </w:r>
      <w:r w:rsidRPr="00EA2906">
        <w:rPr>
          <w:rFonts w:ascii="Times New Roman" w:hAnsi="Times New Roman" w:cs="Times New Roman"/>
          <w:i/>
          <w:iCs/>
          <w:noProof/>
          <w:sz w:val="24"/>
          <w:szCs w:val="24"/>
          <w:lang w:val="en-GB"/>
        </w:rPr>
        <w:t>Environmental Engineering and Management Journal</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14</w:t>
      </w:r>
      <w:r w:rsidRPr="00EA2906">
        <w:rPr>
          <w:rFonts w:ascii="Times New Roman" w:hAnsi="Times New Roman" w:cs="Times New Roman"/>
          <w:noProof/>
          <w:sz w:val="24"/>
          <w:szCs w:val="24"/>
          <w:lang w:val="en-GB"/>
        </w:rPr>
        <w:t>(7), 1521–1533. http://omicron.ch.tuiasi.ro/EEMJ/</w:t>
      </w:r>
    </w:p>
    <w:p w14:paraId="61E2A1EE"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Davis, L., Taylor, H., &amp; Reyes, H. (2014). Lifelong learning in nursing: A Delphi study. </w:t>
      </w:r>
      <w:r w:rsidRPr="00EA2906">
        <w:rPr>
          <w:rFonts w:ascii="Times New Roman" w:hAnsi="Times New Roman" w:cs="Times New Roman"/>
          <w:i/>
          <w:iCs/>
          <w:noProof/>
          <w:sz w:val="24"/>
          <w:szCs w:val="24"/>
          <w:lang w:val="en-GB"/>
        </w:rPr>
        <w:t>Nurse Education Today</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34</w:t>
      </w:r>
      <w:r w:rsidRPr="00EA2906">
        <w:rPr>
          <w:rFonts w:ascii="Times New Roman" w:hAnsi="Times New Roman" w:cs="Times New Roman"/>
          <w:noProof/>
          <w:sz w:val="24"/>
          <w:szCs w:val="24"/>
          <w:lang w:val="en-GB"/>
        </w:rPr>
        <w:t>(3), 441–445. https://doi.org/10.1016/J.NEDT.2013.04.014</w:t>
      </w:r>
    </w:p>
    <w:p w14:paraId="4E6B13F5"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De Angelis, R., Howard, M., &amp; Miemczyk, J. (2018). Supply chain management and the circular economy: towards the circular supply chain. </w:t>
      </w:r>
      <w:r w:rsidRPr="00EA2906">
        <w:rPr>
          <w:rFonts w:ascii="Times New Roman" w:hAnsi="Times New Roman" w:cs="Times New Roman"/>
          <w:i/>
          <w:iCs/>
          <w:noProof/>
          <w:sz w:val="24"/>
          <w:szCs w:val="24"/>
          <w:lang w:val="en-GB"/>
        </w:rPr>
        <w:t>Production Planning and Control</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29</w:t>
      </w:r>
      <w:r w:rsidRPr="00EA2906">
        <w:rPr>
          <w:rFonts w:ascii="Times New Roman" w:hAnsi="Times New Roman" w:cs="Times New Roman"/>
          <w:noProof/>
          <w:sz w:val="24"/>
          <w:szCs w:val="24"/>
          <w:lang w:val="en-GB"/>
        </w:rPr>
        <w:t>(6), 425–437. https://doi.org/10.1080/09537287.2018.1449244</w:t>
      </w:r>
    </w:p>
    <w:p w14:paraId="7CE97870"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De los Rios, I. C., &amp; Charnley, F. J. S. (2017). Skills and capabilities for a sustainable and circular economy: The changing role of design.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160</w:t>
      </w:r>
      <w:r w:rsidRPr="00EA2906">
        <w:rPr>
          <w:rFonts w:ascii="Times New Roman" w:hAnsi="Times New Roman" w:cs="Times New Roman"/>
          <w:noProof/>
          <w:sz w:val="24"/>
          <w:szCs w:val="24"/>
          <w:lang w:val="en-GB"/>
        </w:rPr>
        <w:t>, 109–122. https://doi.org/10.1016/J.JCLEPRO.2016.10.130</w:t>
      </w:r>
    </w:p>
    <w:p w14:paraId="23BE6A1C"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lastRenderedPageBreak/>
        <w:t xml:space="preserve">De Reuver, M., Sørensen, C., &amp; Basole, R. C. (2017). The digital platform: a research agenda. </w:t>
      </w:r>
      <w:r w:rsidRPr="00EA2906">
        <w:rPr>
          <w:rFonts w:ascii="Times New Roman" w:hAnsi="Times New Roman" w:cs="Times New Roman"/>
          <w:i/>
          <w:iCs/>
          <w:noProof/>
          <w:sz w:val="24"/>
          <w:szCs w:val="24"/>
          <w:lang w:val="en-GB"/>
        </w:rPr>
        <w:t>Journal of Information Technology 2017 33:2</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33</w:t>
      </w:r>
      <w:r w:rsidRPr="00EA2906">
        <w:rPr>
          <w:rFonts w:ascii="Times New Roman" w:hAnsi="Times New Roman" w:cs="Times New Roman"/>
          <w:noProof/>
          <w:sz w:val="24"/>
          <w:szCs w:val="24"/>
          <w:lang w:val="en-GB"/>
        </w:rPr>
        <w:t>(2), 124–135. https://doi.org/10.1057/S41265-016-0033-3</w:t>
      </w:r>
    </w:p>
    <w:p w14:paraId="5AF96CBE"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Delbecq, A., Ven, A. Van de, &amp; Gustafson, D. (1975). </w:t>
      </w:r>
      <w:r w:rsidRPr="00EA2906">
        <w:rPr>
          <w:rFonts w:ascii="Times New Roman" w:hAnsi="Times New Roman" w:cs="Times New Roman"/>
          <w:i/>
          <w:iCs/>
          <w:noProof/>
          <w:sz w:val="24"/>
          <w:szCs w:val="24"/>
          <w:lang w:val="en-GB"/>
        </w:rPr>
        <w:t>Group techniques for program planning: A guide to nominal group and Delphi processes</w:t>
      </w:r>
      <w:r w:rsidRPr="00EA2906">
        <w:rPr>
          <w:rFonts w:ascii="Times New Roman" w:hAnsi="Times New Roman" w:cs="Times New Roman"/>
          <w:noProof/>
          <w:sz w:val="24"/>
          <w:szCs w:val="24"/>
          <w:lang w:val="en-GB"/>
        </w:rPr>
        <w:t>. https://eduq.info/xmlui/handle/11515/11368</w:t>
      </w:r>
    </w:p>
    <w:p w14:paraId="2DCD942F"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Dijck, J. Van, Poell, T., &amp; Waal, M. De. (2018). </w:t>
      </w:r>
      <w:r w:rsidRPr="00EA2906">
        <w:rPr>
          <w:rFonts w:ascii="Times New Roman" w:hAnsi="Times New Roman" w:cs="Times New Roman"/>
          <w:i/>
          <w:iCs/>
          <w:noProof/>
          <w:sz w:val="24"/>
          <w:szCs w:val="24"/>
          <w:lang w:val="en-GB"/>
        </w:rPr>
        <w:t>The platform society: Public values in a connective world</w:t>
      </w:r>
      <w:r w:rsidRPr="00EA2906">
        <w:rPr>
          <w:rFonts w:ascii="Times New Roman" w:hAnsi="Times New Roman" w:cs="Times New Roman"/>
          <w:noProof/>
          <w:sz w:val="24"/>
          <w:szCs w:val="24"/>
          <w:lang w:val="en-GB"/>
        </w:rPr>
        <w:t>. https://books.google.com/books?hl=it&amp;lr=&amp;id=wLhwDwAAQBAJ&amp;oi=fnd&amp;pg=PP1&amp;ots=VKIH_C-xEs&amp;sig=HC7O9dPEBAr8jkmdmZyWKPeWoK4</w:t>
      </w:r>
    </w:p>
    <w:p w14:paraId="42BA9CC6"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Domenech, T., Bleischwitz, R., &amp; Doranova, A. (2019). </w:t>
      </w:r>
      <w:r w:rsidRPr="00EA2906">
        <w:rPr>
          <w:rFonts w:ascii="Times New Roman" w:hAnsi="Times New Roman" w:cs="Times New Roman"/>
          <w:noProof/>
          <w:sz w:val="24"/>
          <w:szCs w:val="24"/>
          <w:lang w:val="en-GB"/>
        </w:rPr>
        <w:t xml:space="preserve">Mapping Industrial Symbiosis Development in Europe_ typologies of networks, characteristics, performance and contribution to the Circular Economy. </w:t>
      </w:r>
      <w:r w:rsidRPr="00EA2906">
        <w:rPr>
          <w:rFonts w:ascii="Times New Roman" w:hAnsi="Times New Roman" w:cs="Times New Roman"/>
          <w:i/>
          <w:iCs/>
          <w:noProof/>
          <w:sz w:val="24"/>
          <w:szCs w:val="24"/>
          <w:lang w:val="en-GB"/>
        </w:rPr>
        <w:t>Resources, Conservation &amp; Recycling</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141</w:t>
      </w:r>
      <w:r w:rsidRPr="00EA2906">
        <w:rPr>
          <w:rFonts w:ascii="Times New Roman" w:hAnsi="Times New Roman" w:cs="Times New Roman"/>
          <w:noProof/>
          <w:sz w:val="24"/>
          <w:szCs w:val="24"/>
          <w:lang w:val="en-GB"/>
        </w:rPr>
        <w:t>, 76–98. https://www.sciencedirect.com/science/article/pii/S0921344918303446?casa_token=jQFKlW9MKCMAAAAA:BX8ju-TxR522myNVYY3I-o3-oBQX_9nFek4Yj6DwpTetP0-7diK9pImlcJJknQUQNFtY8iq7</w:t>
      </w:r>
    </w:p>
    <w:p w14:paraId="0C1D3FA2"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Eckhardt, G. M., &amp; Bardhi, F. (2016). The Relationship between Access Practices  and Economic Systems. </w:t>
      </w:r>
      <w:r w:rsidRPr="00EA2906">
        <w:rPr>
          <w:rFonts w:ascii="Times New Roman" w:hAnsi="Times New Roman" w:cs="Times New Roman"/>
          <w:i/>
          <w:iCs/>
          <w:noProof/>
          <w:sz w:val="24"/>
          <w:szCs w:val="24"/>
          <w:lang w:val="en-GB"/>
        </w:rPr>
        <w:t>Https://Doi.Org/10.1086/684684</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w:t>
      </w:r>
      <w:r w:rsidRPr="00EA2906">
        <w:rPr>
          <w:rFonts w:ascii="Times New Roman" w:hAnsi="Times New Roman" w:cs="Times New Roman"/>
          <w:noProof/>
          <w:sz w:val="24"/>
          <w:szCs w:val="24"/>
          <w:lang w:val="en-GB"/>
        </w:rPr>
        <w:t>(2), 211–225. https://doi.org/10.1086/684684</w:t>
      </w:r>
    </w:p>
    <w:p w14:paraId="591EEC50"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Ellen MacArthur Foundation. (2015). </w:t>
      </w:r>
      <w:r w:rsidRPr="00EA2906">
        <w:rPr>
          <w:rFonts w:ascii="Times New Roman" w:hAnsi="Times New Roman" w:cs="Times New Roman"/>
          <w:i/>
          <w:iCs/>
          <w:noProof/>
          <w:sz w:val="24"/>
          <w:szCs w:val="24"/>
          <w:lang w:val="en-GB"/>
        </w:rPr>
        <w:t>Delivering the circular economy: A toolkit for policymakers.</w:t>
      </w:r>
      <w:r w:rsidRPr="00EA2906">
        <w:rPr>
          <w:rFonts w:ascii="Times New Roman" w:hAnsi="Times New Roman" w:cs="Times New Roman"/>
          <w:noProof/>
          <w:sz w:val="24"/>
          <w:szCs w:val="24"/>
          <w:lang w:val="en-GB"/>
        </w:rPr>
        <w:t xml:space="preserve"> https://scholar.google.com/scholar?hl=it&amp;as_sdt=0%2C5&amp;q=Ellen+MacArthur+Foundation+%282015%29.+Delivering+the+circular+economy.+A+toolkit+for+policymakers.&amp;btnG=#d=gs_cit&amp;u=%2Fscholar%3Fq%3Dinfo%3ATDaqhqvKQZkJ%3Ascholar.google.com%2F%26output%3Dcite%26scirp%3D0%26hl%3Dit</w:t>
      </w:r>
    </w:p>
    <w:p w14:paraId="125C9753"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Farooque, M., Zhang, A., Thürer, M., Qu, T., &amp; Huisingh, D. (2019). Circular supply chain management: A definition and structured literature review.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228</w:t>
      </w:r>
      <w:r w:rsidRPr="00EA2906">
        <w:rPr>
          <w:rFonts w:ascii="Times New Roman" w:hAnsi="Times New Roman" w:cs="Times New Roman"/>
          <w:noProof/>
          <w:sz w:val="24"/>
          <w:szCs w:val="24"/>
          <w:lang w:val="en-GB"/>
        </w:rPr>
        <w:t>(April), 882–900. https://doi.org/10.1016/j.jclepro.2019.04.303</w:t>
      </w:r>
    </w:p>
    <w:p w14:paraId="052611F7"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Ferasso, M., Beliaeva, T., Kraus, S., Clauss, T., &amp; Ribeiro-Soriano, D. (2020). </w:t>
      </w:r>
      <w:r w:rsidRPr="00EA2906">
        <w:rPr>
          <w:rFonts w:ascii="Times New Roman" w:hAnsi="Times New Roman" w:cs="Times New Roman"/>
          <w:noProof/>
          <w:sz w:val="24"/>
          <w:szCs w:val="24"/>
          <w:lang w:val="en-GB"/>
        </w:rPr>
        <w:t xml:space="preserve">Circular economy business models: The state of research and avenues ahead. </w:t>
      </w:r>
      <w:r w:rsidRPr="00EA2906">
        <w:rPr>
          <w:rFonts w:ascii="Times New Roman" w:hAnsi="Times New Roman" w:cs="Times New Roman"/>
          <w:i/>
          <w:iCs/>
          <w:noProof/>
          <w:sz w:val="24"/>
          <w:szCs w:val="24"/>
          <w:lang w:val="en-GB"/>
        </w:rPr>
        <w:t>Business Strategy and the Environment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29</w:t>
      </w:r>
      <w:r w:rsidRPr="00EA2906">
        <w:rPr>
          <w:rFonts w:ascii="Times New Roman" w:hAnsi="Times New Roman" w:cs="Times New Roman"/>
          <w:noProof/>
          <w:sz w:val="24"/>
          <w:szCs w:val="24"/>
          <w:lang w:val="en-GB"/>
        </w:rPr>
        <w:t>(8), 3006–3024. https://doi.org/10.1002/bse.2554</w:t>
      </w:r>
    </w:p>
    <w:p w14:paraId="208BD6CC"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Fink-Hafner, D., Dagen, T., Dousak, M., Novak, M., &amp; Hafner-Fink, M. (2019). Delphi Method: Strengths and Weaknesses. </w:t>
      </w:r>
      <w:r w:rsidRPr="00EA2906">
        <w:rPr>
          <w:rFonts w:ascii="Times New Roman" w:hAnsi="Times New Roman" w:cs="Times New Roman"/>
          <w:i/>
          <w:iCs/>
          <w:noProof/>
          <w:sz w:val="24"/>
          <w:szCs w:val="24"/>
          <w:lang w:val="en-GB"/>
        </w:rPr>
        <w:t>Metodoloski Zvezki</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16</w:t>
      </w:r>
      <w:r w:rsidRPr="00EA2906">
        <w:rPr>
          <w:rFonts w:ascii="Times New Roman" w:hAnsi="Times New Roman" w:cs="Times New Roman"/>
          <w:noProof/>
          <w:sz w:val="24"/>
          <w:szCs w:val="24"/>
          <w:lang w:val="en-GB"/>
        </w:rPr>
        <w:t>(2), 1–19. https://doi.org/10.51936/FCFM6982</w:t>
      </w:r>
    </w:p>
    <w:p w14:paraId="2FBC0E14"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Fisher, C., &amp; Fisher, C. (2019). Create Multi-Sided Platforms to Balance Demand and Capacity. </w:t>
      </w:r>
      <w:r w:rsidRPr="00EA2906">
        <w:rPr>
          <w:rFonts w:ascii="Times New Roman" w:hAnsi="Times New Roman" w:cs="Times New Roman"/>
          <w:i/>
          <w:iCs/>
          <w:noProof/>
          <w:sz w:val="24"/>
          <w:szCs w:val="24"/>
          <w:lang w:val="en-GB"/>
        </w:rPr>
        <w:t>American Journal of Industrial and Business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9</w:t>
      </w:r>
      <w:r w:rsidRPr="00EA2906">
        <w:rPr>
          <w:rFonts w:ascii="Times New Roman" w:hAnsi="Times New Roman" w:cs="Times New Roman"/>
          <w:noProof/>
          <w:sz w:val="24"/>
          <w:szCs w:val="24"/>
          <w:lang w:val="en-GB"/>
        </w:rPr>
        <w:t>(7), 1596–1624. https://doi.org/10.4236/AJIBM.2019.97105</w:t>
      </w:r>
    </w:p>
    <w:p w14:paraId="5C74D10F"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Franzò, S., Urbinati, A., Chiaroni, D., &amp; Chiesa, V. (2021). </w:t>
      </w:r>
      <w:r w:rsidRPr="00EA2906">
        <w:rPr>
          <w:rFonts w:ascii="Times New Roman" w:hAnsi="Times New Roman" w:cs="Times New Roman"/>
          <w:noProof/>
          <w:sz w:val="24"/>
          <w:szCs w:val="24"/>
          <w:lang w:val="en-GB"/>
        </w:rPr>
        <w:t xml:space="preserve">Unravelling the design process of business models from linear to circular: An empirical investigation. </w:t>
      </w:r>
      <w:r w:rsidRPr="00EA2906">
        <w:rPr>
          <w:rFonts w:ascii="Times New Roman" w:hAnsi="Times New Roman" w:cs="Times New Roman"/>
          <w:i/>
          <w:iCs/>
          <w:noProof/>
          <w:sz w:val="24"/>
          <w:szCs w:val="24"/>
          <w:lang w:val="en-GB"/>
        </w:rPr>
        <w:t>Business Strategy and the Environment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30</w:t>
      </w:r>
      <w:r w:rsidRPr="00EA2906">
        <w:rPr>
          <w:rFonts w:ascii="Times New Roman" w:hAnsi="Times New Roman" w:cs="Times New Roman"/>
          <w:noProof/>
          <w:sz w:val="24"/>
          <w:szCs w:val="24"/>
          <w:lang w:val="en-GB"/>
        </w:rPr>
        <w:t>(6), 2758–2772. https://doi.org/10.1002/bse.2892</w:t>
      </w:r>
    </w:p>
    <w:p w14:paraId="08850458"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Frenken, K., &amp; Schor, J. (2017). Putting the sharing economy into perspective. </w:t>
      </w:r>
      <w:r w:rsidRPr="00EA2906">
        <w:rPr>
          <w:rFonts w:ascii="Times New Roman" w:hAnsi="Times New Roman" w:cs="Times New Roman"/>
          <w:i/>
          <w:iCs/>
          <w:noProof/>
          <w:sz w:val="24"/>
          <w:szCs w:val="24"/>
          <w:lang w:val="en-GB"/>
        </w:rPr>
        <w:t>Environmental Innovation and Societal Transitions</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23</w:t>
      </w:r>
      <w:r w:rsidRPr="00EA2906">
        <w:rPr>
          <w:rFonts w:ascii="Times New Roman" w:hAnsi="Times New Roman" w:cs="Times New Roman"/>
          <w:noProof/>
          <w:sz w:val="24"/>
          <w:szCs w:val="24"/>
          <w:lang w:val="en-GB"/>
        </w:rPr>
        <w:t>, 3–10. https://doi.org/10.1016/J.EIST.2017.01.003</w:t>
      </w:r>
    </w:p>
    <w:p w14:paraId="720459EA"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Garrod, B., &amp; Fyall, A. (2000). Managing heritage tourism. </w:t>
      </w:r>
      <w:r w:rsidRPr="00EA2906">
        <w:rPr>
          <w:rFonts w:ascii="Times New Roman" w:hAnsi="Times New Roman" w:cs="Times New Roman"/>
          <w:i/>
          <w:iCs/>
          <w:noProof/>
          <w:sz w:val="24"/>
          <w:szCs w:val="24"/>
          <w:lang w:val="en-GB"/>
        </w:rPr>
        <w:t>Annals of Tourism Research</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27</w:t>
      </w:r>
      <w:r w:rsidRPr="00EA2906">
        <w:rPr>
          <w:rFonts w:ascii="Times New Roman" w:hAnsi="Times New Roman" w:cs="Times New Roman"/>
          <w:noProof/>
          <w:sz w:val="24"/>
          <w:szCs w:val="24"/>
          <w:lang w:val="en-GB"/>
        </w:rPr>
        <w:t>(3), 682–708. https://doi.org/10.1016/S0160-7383(99)00094-8</w:t>
      </w:r>
    </w:p>
    <w:p w14:paraId="2BFA5DD2"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Gawer, A. (2021). Digital platforms’ boundaries: The interplay of firm scope, platform sides, and digital interfaces. </w:t>
      </w:r>
      <w:r w:rsidRPr="00EA2906">
        <w:rPr>
          <w:rFonts w:ascii="Times New Roman" w:hAnsi="Times New Roman" w:cs="Times New Roman"/>
          <w:i/>
          <w:iCs/>
          <w:noProof/>
          <w:sz w:val="24"/>
          <w:szCs w:val="24"/>
          <w:lang w:val="en-GB"/>
        </w:rPr>
        <w:t>Long Range Planning</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54</w:t>
      </w:r>
      <w:r w:rsidRPr="00EA2906">
        <w:rPr>
          <w:rFonts w:ascii="Times New Roman" w:hAnsi="Times New Roman" w:cs="Times New Roman"/>
          <w:noProof/>
          <w:sz w:val="24"/>
          <w:szCs w:val="24"/>
          <w:lang w:val="en-GB"/>
        </w:rPr>
        <w:t>(5), 102045. https://doi.org/10.1016/J.LRP.2020.102045</w:t>
      </w:r>
    </w:p>
    <w:p w14:paraId="3EEE05D9"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lastRenderedPageBreak/>
        <w:t xml:space="preserve">Gawer, A., &amp; Cusumano, M. A. (2014). Industry Platforms and Ecosystem Innovation. </w:t>
      </w:r>
      <w:r w:rsidRPr="00EA2906">
        <w:rPr>
          <w:rFonts w:ascii="Times New Roman" w:hAnsi="Times New Roman" w:cs="Times New Roman"/>
          <w:i/>
          <w:iCs/>
          <w:noProof/>
          <w:sz w:val="24"/>
          <w:szCs w:val="24"/>
          <w:lang w:val="en-GB"/>
        </w:rPr>
        <w:t>Journal of Product Innovation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31</w:t>
      </w:r>
      <w:r w:rsidRPr="00EA2906">
        <w:rPr>
          <w:rFonts w:ascii="Times New Roman" w:hAnsi="Times New Roman" w:cs="Times New Roman"/>
          <w:noProof/>
          <w:sz w:val="24"/>
          <w:szCs w:val="24"/>
          <w:lang w:val="en-GB"/>
        </w:rPr>
        <w:t>(3), 417–433. https://doi.org/10.1111/JPIM.12105</w:t>
      </w:r>
    </w:p>
    <w:p w14:paraId="4C633763"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Geissdoerfer, M., Morioka, S. N., de Carvalho, M. M., &amp; Evans, S. (2018). Business models and supply chains for the circular economy.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190</w:t>
      </w:r>
      <w:r w:rsidRPr="00EA2906">
        <w:rPr>
          <w:rFonts w:ascii="Times New Roman" w:hAnsi="Times New Roman" w:cs="Times New Roman"/>
          <w:noProof/>
          <w:sz w:val="24"/>
          <w:szCs w:val="24"/>
          <w:lang w:val="en-GB"/>
        </w:rPr>
        <w:t>, 712–721. https://doi.org/10.1016/j.jclepro.2018.04.159</w:t>
      </w:r>
    </w:p>
    <w:p w14:paraId="1550BDD7"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Geissdoerfer, M., Savaget, P., Bocken, N. M. P., &amp; Hultink, E. J. (2017). The Circular Economy – A new sustainability paradigm?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143</w:t>
      </w:r>
      <w:r w:rsidRPr="00EA2906">
        <w:rPr>
          <w:rFonts w:ascii="Times New Roman" w:hAnsi="Times New Roman" w:cs="Times New Roman"/>
          <w:noProof/>
          <w:sz w:val="24"/>
          <w:szCs w:val="24"/>
          <w:lang w:val="en-GB"/>
        </w:rPr>
        <w:t>, 757–768. https://doi.org/10.1016/J.JCLEPRO.2016.12.048</w:t>
      </w:r>
    </w:p>
    <w:p w14:paraId="558F91A8"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Geist, M. R. (2010). Using the Delphi method to engage stakeholders: A comparison of two studies. </w:t>
      </w:r>
      <w:r w:rsidRPr="00EA2906">
        <w:rPr>
          <w:rFonts w:ascii="Times New Roman" w:hAnsi="Times New Roman" w:cs="Times New Roman"/>
          <w:i/>
          <w:iCs/>
          <w:noProof/>
          <w:sz w:val="24"/>
          <w:szCs w:val="24"/>
          <w:lang w:val="en-GB"/>
        </w:rPr>
        <w:t>Evaluation and Program Planning</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33</w:t>
      </w:r>
      <w:r w:rsidRPr="00EA2906">
        <w:rPr>
          <w:rFonts w:ascii="Times New Roman" w:hAnsi="Times New Roman" w:cs="Times New Roman"/>
          <w:noProof/>
          <w:sz w:val="24"/>
          <w:szCs w:val="24"/>
          <w:lang w:val="en-GB"/>
        </w:rPr>
        <w:t>(2), 147–154. https://doi.org/10.1016/J.EVALPROGPLAN.2009.06.006</w:t>
      </w:r>
    </w:p>
    <w:p w14:paraId="7FD3CED7"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Genovese, A., Acquaye, A. A., Figueroa, A., &amp; Koh, S. C. L. (2017). Sustainable supply chain management and the transition towards a circular economy: Evidence and some applications. </w:t>
      </w:r>
      <w:r w:rsidRPr="00EA2906">
        <w:rPr>
          <w:rFonts w:ascii="Times New Roman" w:hAnsi="Times New Roman" w:cs="Times New Roman"/>
          <w:i/>
          <w:iCs/>
          <w:noProof/>
          <w:sz w:val="24"/>
          <w:szCs w:val="24"/>
          <w:lang w:val="en-GB"/>
        </w:rPr>
        <w:t>Omega (United Kingdom)</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66</w:t>
      </w:r>
      <w:r w:rsidRPr="00EA2906">
        <w:rPr>
          <w:rFonts w:ascii="Times New Roman" w:hAnsi="Times New Roman" w:cs="Times New Roman"/>
          <w:noProof/>
          <w:sz w:val="24"/>
          <w:szCs w:val="24"/>
          <w:lang w:val="en-GB"/>
        </w:rPr>
        <w:t>, 344–357. https://doi.org/10.1016/j.omega.2015.05.015</w:t>
      </w:r>
    </w:p>
    <w:p w14:paraId="7BB3151F"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Haas, W., Krausmann, F., Wiedenhofer, D., &amp; Heinz, M. (2015). How circular is the global economy?: An assessment of material flows, waste production, and recycling in the European union and the world in 2005. </w:t>
      </w:r>
      <w:r w:rsidRPr="00EA2906">
        <w:rPr>
          <w:rFonts w:ascii="Times New Roman" w:hAnsi="Times New Roman" w:cs="Times New Roman"/>
          <w:i/>
          <w:iCs/>
          <w:noProof/>
          <w:sz w:val="24"/>
          <w:szCs w:val="24"/>
          <w:lang w:val="en-GB"/>
        </w:rPr>
        <w:t>Journal of Industrial Ecology</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19</w:t>
      </w:r>
      <w:r w:rsidRPr="00EA2906">
        <w:rPr>
          <w:rFonts w:ascii="Times New Roman" w:hAnsi="Times New Roman" w:cs="Times New Roman"/>
          <w:noProof/>
          <w:sz w:val="24"/>
          <w:szCs w:val="24"/>
          <w:lang w:val="en-GB"/>
        </w:rPr>
        <w:t>(5), 765–777. https://doi.org/10.1111/jiec.12244</w:t>
      </w:r>
    </w:p>
    <w:p w14:paraId="203E52C1"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Hein, A., Schreieck, M., Riasanow, T., Setzke, D. S., Wiesche, M., Böhm, M., &amp; Krcmar, H. (2020). Digital platform ecosystems. </w:t>
      </w:r>
      <w:r w:rsidRPr="00EA2906">
        <w:rPr>
          <w:rFonts w:ascii="Times New Roman" w:hAnsi="Times New Roman" w:cs="Times New Roman"/>
          <w:i/>
          <w:iCs/>
          <w:noProof/>
          <w:sz w:val="24"/>
          <w:szCs w:val="24"/>
          <w:lang w:val="en-GB"/>
        </w:rPr>
        <w:t>Electronic Markets</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30</w:t>
      </w:r>
      <w:r w:rsidRPr="00EA2906">
        <w:rPr>
          <w:rFonts w:ascii="Times New Roman" w:hAnsi="Times New Roman" w:cs="Times New Roman"/>
          <w:noProof/>
          <w:sz w:val="24"/>
          <w:szCs w:val="24"/>
          <w:lang w:val="en-GB"/>
        </w:rPr>
        <w:t>(1), 87–98. https://doi.org/10.1007/S12525-019-00377-4/TABLES/1</w:t>
      </w:r>
    </w:p>
    <w:p w14:paraId="11F97FC5"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Henry, M., Bauwens, T., Hekkert, M., &amp; Kirchherr, J. (2020). A typology of circular start-ups: An Analysis of 128 circular business models.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245</w:t>
      </w:r>
      <w:r w:rsidRPr="00EA2906">
        <w:rPr>
          <w:rFonts w:ascii="Times New Roman" w:hAnsi="Times New Roman" w:cs="Times New Roman"/>
          <w:noProof/>
          <w:sz w:val="24"/>
          <w:szCs w:val="24"/>
          <w:lang w:val="en-GB"/>
        </w:rPr>
        <w:t>, 118528. https://doi.org/10.1016/J.JCLEPRO.2019.118528</w:t>
      </w:r>
    </w:p>
    <w:p w14:paraId="2BA77140"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Hobson, K., &amp; Lynch, N. (2016). Diversifying and de-growing the circular economy: Radical social transformation in a resource-scarce world. </w:t>
      </w:r>
      <w:r w:rsidRPr="00EA2906">
        <w:rPr>
          <w:rFonts w:ascii="Times New Roman" w:hAnsi="Times New Roman" w:cs="Times New Roman"/>
          <w:i/>
          <w:iCs/>
          <w:noProof/>
          <w:sz w:val="24"/>
          <w:szCs w:val="24"/>
          <w:lang w:val="en-GB"/>
        </w:rPr>
        <w:t>Futures</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82</w:t>
      </w:r>
      <w:r w:rsidRPr="00EA2906">
        <w:rPr>
          <w:rFonts w:ascii="Times New Roman" w:hAnsi="Times New Roman" w:cs="Times New Roman"/>
          <w:noProof/>
          <w:sz w:val="24"/>
          <w:szCs w:val="24"/>
          <w:lang w:val="en-GB"/>
        </w:rPr>
        <w:t>, 15–25. https://doi.org/10.1016/J.FUTURES.2016.05.012</w:t>
      </w:r>
    </w:p>
    <w:p w14:paraId="51B05F11"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Hsieh, Y. C., Lin, K. Y., Lu, C., &amp; Rong, K. (2017). Governing a Sustainable Business Ecosystem in Taiwan’s Circular Economy: The Story of Spring Pool Glass. </w:t>
      </w:r>
      <w:r w:rsidRPr="00EA2906">
        <w:rPr>
          <w:rFonts w:ascii="Times New Roman" w:hAnsi="Times New Roman" w:cs="Times New Roman"/>
          <w:i/>
          <w:iCs/>
          <w:noProof/>
          <w:sz w:val="24"/>
          <w:szCs w:val="24"/>
          <w:lang w:val="en-GB"/>
        </w:rPr>
        <w:t>Sustainability 2017, Vol. 9, Page 1068</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9</w:t>
      </w:r>
      <w:r w:rsidRPr="00EA2906">
        <w:rPr>
          <w:rFonts w:ascii="Times New Roman" w:hAnsi="Times New Roman" w:cs="Times New Roman"/>
          <w:noProof/>
          <w:sz w:val="24"/>
          <w:szCs w:val="24"/>
          <w:lang w:val="en-GB"/>
        </w:rPr>
        <w:t>(6), 1068. https://doi.org/10.3390/SU9061068</w:t>
      </w:r>
    </w:p>
    <w:p w14:paraId="763BFF91"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Hsu, C. C., &amp; Sandford, B. A. (2007). Minimizing non-response in the Delphi process: How to respond to non-response. </w:t>
      </w:r>
      <w:r w:rsidRPr="00EA2906">
        <w:rPr>
          <w:rFonts w:ascii="Times New Roman" w:hAnsi="Times New Roman" w:cs="Times New Roman"/>
          <w:i/>
          <w:iCs/>
          <w:noProof/>
          <w:sz w:val="24"/>
          <w:szCs w:val="24"/>
          <w:lang w:val="en-GB"/>
        </w:rPr>
        <w:t>Practical Assessment, Research and Evaluation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12</w:t>
      </w:r>
      <w:r w:rsidRPr="00EA2906">
        <w:rPr>
          <w:rFonts w:ascii="Times New Roman" w:hAnsi="Times New Roman" w:cs="Times New Roman"/>
          <w:noProof/>
          <w:sz w:val="24"/>
          <w:szCs w:val="24"/>
          <w:lang w:val="en-GB"/>
        </w:rPr>
        <w:t>(17), 1–6.</w:t>
      </w:r>
    </w:p>
    <w:p w14:paraId="76C84932"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Jacobides, M. G., Cennamo, C., &amp; Gawer, A. (2018). Towards a theory of ecosystems. </w:t>
      </w:r>
      <w:r w:rsidRPr="00EA2906">
        <w:rPr>
          <w:rFonts w:ascii="Times New Roman" w:hAnsi="Times New Roman" w:cs="Times New Roman"/>
          <w:i/>
          <w:iCs/>
          <w:noProof/>
          <w:sz w:val="24"/>
          <w:szCs w:val="24"/>
          <w:lang w:val="en-GB"/>
        </w:rPr>
        <w:t>Strategic Management Journal</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39</w:t>
      </w:r>
      <w:r w:rsidRPr="00EA2906">
        <w:rPr>
          <w:rFonts w:ascii="Times New Roman" w:hAnsi="Times New Roman" w:cs="Times New Roman"/>
          <w:noProof/>
          <w:sz w:val="24"/>
          <w:szCs w:val="24"/>
          <w:lang w:val="en-GB"/>
        </w:rPr>
        <w:t>(8), 2255–2276. https://doi.org/10.1002/SMJ.2904</w:t>
      </w:r>
    </w:p>
    <w:p w14:paraId="7CACF62D"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Jacobsen, N. B. (2006). Industrial Symbiosis in Kalundborg, Denmark: A Quantitative Assessment of Economic and Environmental Aspects. </w:t>
      </w:r>
      <w:r w:rsidRPr="00EA2906">
        <w:rPr>
          <w:rFonts w:ascii="Times New Roman" w:hAnsi="Times New Roman" w:cs="Times New Roman"/>
          <w:i/>
          <w:iCs/>
          <w:noProof/>
          <w:sz w:val="24"/>
          <w:szCs w:val="24"/>
          <w:lang w:val="en-GB"/>
        </w:rPr>
        <w:t>Journal of Industrial Ecology</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10</w:t>
      </w:r>
      <w:r w:rsidRPr="00EA2906">
        <w:rPr>
          <w:rFonts w:ascii="Times New Roman" w:hAnsi="Times New Roman" w:cs="Times New Roman"/>
          <w:noProof/>
          <w:sz w:val="24"/>
          <w:szCs w:val="24"/>
          <w:lang w:val="en-GB"/>
        </w:rPr>
        <w:t>(1–2), 239–255. https://doi.org/10.1162/108819806775545411</w:t>
      </w:r>
    </w:p>
    <w:p w14:paraId="126D15A9"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Jørgensen, M. S., Remmen, A., Guldmann, E., Brodersen, S., &amp; Pedersen, S. (2018). </w:t>
      </w:r>
      <w:r w:rsidRPr="00EA2906">
        <w:rPr>
          <w:rFonts w:ascii="Times New Roman" w:hAnsi="Times New Roman" w:cs="Times New Roman"/>
          <w:i/>
          <w:iCs/>
          <w:noProof/>
          <w:sz w:val="24"/>
          <w:szCs w:val="24"/>
          <w:lang w:val="en-GB"/>
        </w:rPr>
        <w:t>Slowing and narrowing resource flows as part of circular economy business strategies — Aalborg University’s Research Portal</w:t>
      </w:r>
      <w:r w:rsidRPr="00EA2906">
        <w:rPr>
          <w:rFonts w:ascii="Times New Roman" w:hAnsi="Times New Roman" w:cs="Times New Roman"/>
          <w:noProof/>
          <w:sz w:val="24"/>
          <w:szCs w:val="24"/>
          <w:lang w:val="en-GB"/>
        </w:rPr>
        <w:t>. https://vbn.aau.dk/en/publications/slowing-and-narrowing-resource-flows-as-part-of-circular-economy-</w:t>
      </w:r>
    </w:p>
    <w:p w14:paraId="7DE4AADD"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Kjaer, L. L., Pigosso, D. C. A., Niero, M., Bech, N. M., &amp; McAloone, T. C. (2019). </w:t>
      </w:r>
      <w:r w:rsidRPr="00EA2906">
        <w:rPr>
          <w:rFonts w:ascii="Times New Roman" w:hAnsi="Times New Roman" w:cs="Times New Roman"/>
          <w:noProof/>
          <w:sz w:val="24"/>
          <w:szCs w:val="24"/>
          <w:lang w:val="en-GB"/>
        </w:rPr>
        <w:t xml:space="preserve">Product/Service-Systems for a Circular Economy: The Route to Decoupling Economic Growth </w:t>
      </w:r>
      <w:r w:rsidRPr="00EA2906">
        <w:rPr>
          <w:rFonts w:ascii="Times New Roman" w:hAnsi="Times New Roman" w:cs="Times New Roman"/>
          <w:noProof/>
          <w:sz w:val="24"/>
          <w:szCs w:val="24"/>
          <w:lang w:val="en-GB"/>
        </w:rPr>
        <w:lastRenderedPageBreak/>
        <w:t xml:space="preserve">from Resource Consumption? </w:t>
      </w:r>
      <w:r w:rsidRPr="00EA2906">
        <w:rPr>
          <w:rFonts w:ascii="Times New Roman" w:hAnsi="Times New Roman" w:cs="Times New Roman"/>
          <w:i/>
          <w:iCs/>
          <w:noProof/>
          <w:sz w:val="24"/>
          <w:szCs w:val="24"/>
          <w:lang w:val="en-GB"/>
        </w:rPr>
        <w:t>Journal of Industrial Ecology</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23</w:t>
      </w:r>
      <w:r w:rsidRPr="00EA2906">
        <w:rPr>
          <w:rFonts w:ascii="Times New Roman" w:hAnsi="Times New Roman" w:cs="Times New Roman"/>
          <w:noProof/>
          <w:sz w:val="24"/>
          <w:szCs w:val="24"/>
          <w:lang w:val="en-GB"/>
        </w:rPr>
        <w:t>(1), 22–35. https://doi.org/10.1111/jiec.12747</w:t>
      </w:r>
    </w:p>
    <w:p w14:paraId="487BE283"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Konietzko, J., Bocken, N., &amp; Hultink, E. J. (2019). Online Platforms and the Circular Economy. </w:t>
      </w:r>
      <w:r w:rsidRPr="00EA2906">
        <w:rPr>
          <w:rFonts w:ascii="Times New Roman" w:hAnsi="Times New Roman" w:cs="Times New Roman"/>
          <w:i/>
          <w:iCs/>
          <w:noProof/>
          <w:sz w:val="24"/>
          <w:szCs w:val="24"/>
          <w:lang w:val="en-GB"/>
        </w:rPr>
        <w:t>Palgrave Studies in Sustainable Business in Association with Future Earth</w:t>
      </w:r>
      <w:r w:rsidRPr="00EA2906">
        <w:rPr>
          <w:rFonts w:ascii="Times New Roman" w:hAnsi="Times New Roman" w:cs="Times New Roman"/>
          <w:noProof/>
          <w:sz w:val="24"/>
          <w:szCs w:val="24"/>
          <w:lang w:val="en-GB"/>
        </w:rPr>
        <w:t>, 435–450. https://doi.org/10.1007/978-3-319-97385-2_23</w:t>
      </w:r>
    </w:p>
    <w:p w14:paraId="53AD89BD"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Konietzko, J., Bocken, N., &amp; Hultink, E. J. (2020). Circular ecosystem innovation: An initial set of principles.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253</w:t>
      </w:r>
      <w:r w:rsidRPr="00EA2906">
        <w:rPr>
          <w:rFonts w:ascii="Times New Roman" w:hAnsi="Times New Roman" w:cs="Times New Roman"/>
          <w:noProof/>
          <w:sz w:val="24"/>
          <w:szCs w:val="24"/>
          <w:lang w:val="en-GB"/>
        </w:rPr>
        <w:t>, 119942. https://doi.org/10.1016/j.jclepro.2019.119942</w:t>
      </w:r>
    </w:p>
    <w:p w14:paraId="438A02CF"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Kunwar, R. R. (2020). Understanding Multisided Platforms, Circular Economy and Tourism. </w:t>
      </w:r>
      <w:r w:rsidRPr="00EA2906">
        <w:rPr>
          <w:rFonts w:ascii="Times New Roman" w:hAnsi="Times New Roman" w:cs="Times New Roman"/>
          <w:i/>
          <w:iCs/>
          <w:noProof/>
          <w:sz w:val="24"/>
          <w:szCs w:val="24"/>
          <w:lang w:val="en-GB"/>
        </w:rPr>
        <w:t>Journal of Tourism &amp; Adventure</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w:t>
      </w:r>
      <w:r w:rsidRPr="00EA2906">
        <w:rPr>
          <w:rFonts w:ascii="Times New Roman" w:hAnsi="Times New Roman" w:cs="Times New Roman"/>
          <w:noProof/>
          <w:sz w:val="24"/>
          <w:szCs w:val="24"/>
          <w:lang w:val="en-GB"/>
        </w:rPr>
        <w:t>(1), 118–141. https://doi.org/10.3126/JOTA.V3I1.31360</w:t>
      </w:r>
    </w:p>
    <w:p w14:paraId="209A8F4D"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Laukkanen, M., &amp; Tura, N. (2020). The potential of sharing economy business models for sustainable value creation.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253</w:t>
      </w:r>
      <w:r w:rsidRPr="00EA2906">
        <w:rPr>
          <w:rFonts w:ascii="Times New Roman" w:hAnsi="Times New Roman" w:cs="Times New Roman"/>
          <w:noProof/>
          <w:sz w:val="24"/>
          <w:szCs w:val="24"/>
          <w:lang w:val="en-GB"/>
        </w:rPr>
        <w:t>. https://doi.org/10.1016/J.JCLEPRO.2020.120004</w:t>
      </w:r>
    </w:p>
    <w:p w14:paraId="6478371D"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Lazarevic, D., &amp; Valve, H. (2017). Narrating expectations for the circular economy: Towards a common and contested European transition. </w:t>
      </w:r>
      <w:r w:rsidRPr="00EA2906">
        <w:rPr>
          <w:rFonts w:ascii="Times New Roman" w:hAnsi="Times New Roman" w:cs="Times New Roman"/>
          <w:i/>
          <w:iCs/>
          <w:noProof/>
          <w:sz w:val="24"/>
          <w:szCs w:val="24"/>
          <w:lang w:val="en-GB"/>
        </w:rPr>
        <w:t>Energy Research &amp; Social Science</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31</w:t>
      </w:r>
      <w:r w:rsidRPr="00EA2906">
        <w:rPr>
          <w:rFonts w:ascii="Times New Roman" w:hAnsi="Times New Roman" w:cs="Times New Roman"/>
          <w:noProof/>
          <w:sz w:val="24"/>
          <w:szCs w:val="24"/>
          <w:lang w:val="en-GB"/>
        </w:rPr>
        <w:t>, 60–69. https://doi.org/10.1016/J.ERSS.2017.05.006</w:t>
      </w:r>
    </w:p>
    <w:p w14:paraId="72E751F0"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Leismann, K., Schmitt, M., Rohn, H., &amp; Baedeker, C. (2013). Collaborative Consumption: Towards a Resource-Saving Consumption Culture. </w:t>
      </w:r>
      <w:r w:rsidRPr="00EA2906">
        <w:rPr>
          <w:rFonts w:ascii="Times New Roman" w:hAnsi="Times New Roman" w:cs="Times New Roman"/>
          <w:i/>
          <w:iCs/>
          <w:noProof/>
          <w:sz w:val="24"/>
          <w:szCs w:val="24"/>
          <w:lang w:val="en-GB"/>
        </w:rPr>
        <w:t>Resources 2013, Vol. 2, Pages 184-203</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w:t>
      </w:r>
      <w:r w:rsidRPr="00EA2906">
        <w:rPr>
          <w:rFonts w:ascii="Times New Roman" w:hAnsi="Times New Roman" w:cs="Times New Roman"/>
          <w:noProof/>
          <w:sz w:val="24"/>
          <w:szCs w:val="24"/>
          <w:lang w:val="en-GB"/>
        </w:rPr>
        <w:t>(3), 184–203. https://doi.org/10.3390/RESOURCES2030184</w:t>
      </w:r>
    </w:p>
    <w:p w14:paraId="2F3F4E70"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Lieder, M., Asif, F. M. A., &amp; Rashid, A. (2017). Towards Circular Economy implementation: an agent-based simulation approach for business model changes. </w:t>
      </w:r>
      <w:r w:rsidRPr="00EA2906">
        <w:rPr>
          <w:rFonts w:ascii="Times New Roman" w:hAnsi="Times New Roman" w:cs="Times New Roman"/>
          <w:i/>
          <w:iCs/>
          <w:noProof/>
          <w:sz w:val="24"/>
          <w:szCs w:val="24"/>
          <w:lang w:val="en-GB"/>
        </w:rPr>
        <w:t>Autonomous Agents and Multi-Agent Systems</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31</w:t>
      </w:r>
      <w:r w:rsidRPr="00EA2906">
        <w:rPr>
          <w:rFonts w:ascii="Times New Roman" w:hAnsi="Times New Roman" w:cs="Times New Roman"/>
          <w:noProof/>
          <w:sz w:val="24"/>
          <w:szCs w:val="24"/>
          <w:lang w:val="en-GB"/>
        </w:rPr>
        <w:t>(6), 1377–1402. https://doi.org/10.1007/s10458-017-9365-9</w:t>
      </w:r>
    </w:p>
    <w:p w14:paraId="2AB0E80B"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Lombardi, D. R., Lyons, D., Shi, H., &amp; Agarwal, A. (2012). </w:t>
      </w:r>
      <w:r w:rsidRPr="00EA2906">
        <w:rPr>
          <w:rFonts w:ascii="Times New Roman" w:hAnsi="Times New Roman" w:cs="Times New Roman"/>
          <w:noProof/>
          <w:sz w:val="24"/>
          <w:szCs w:val="24"/>
          <w:lang w:val="en-GB"/>
        </w:rPr>
        <w:t xml:space="preserve">Industrial Symbiosis: Testing the Boundaries and Advancing Knowledge. </w:t>
      </w:r>
      <w:r w:rsidRPr="00EA2906">
        <w:rPr>
          <w:rFonts w:ascii="Times New Roman" w:hAnsi="Times New Roman" w:cs="Times New Roman"/>
          <w:i/>
          <w:iCs/>
          <w:noProof/>
          <w:sz w:val="24"/>
          <w:szCs w:val="24"/>
          <w:lang w:val="en-GB"/>
        </w:rPr>
        <w:t>Journal of Industrial Ecology</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16</w:t>
      </w:r>
      <w:r w:rsidRPr="00EA2906">
        <w:rPr>
          <w:rFonts w:ascii="Times New Roman" w:hAnsi="Times New Roman" w:cs="Times New Roman"/>
          <w:noProof/>
          <w:sz w:val="24"/>
          <w:szCs w:val="24"/>
          <w:lang w:val="en-GB"/>
        </w:rPr>
        <w:t>(1), 2–7. https://doi.org/10.1111/j.1530-9290.2012.00455.x</w:t>
      </w:r>
    </w:p>
    <w:p w14:paraId="5FC2C12A"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Loux, P., Aubry, M., Tran, S., &amp; Baudoin, E. (2020). Multi-sided platforms in B2B contexts: The role of affiliation costs and interdependencies in adoption decisions. </w:t>
      </w:r>
      <w:r w:rsidRPr="00EA2906">
        <w:rPr>
          <w:rFonts w:ascii="Times New Roman" w:hAnsi="Times New Roman" w:cs="Times New Roman"/>
          <w:i/>
          <w:iCs/>
          <w:noProof/>
          <w:sz w:val="24"/>
          <w:szCs w:val="24"/>
          <w:lang w:val="en-GB"/>
        </w:rPr>
        <w:t>Industrial Marketing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84</w:t>
      </w:r>
      <w:r w:rsidRPr="00EA2906">
        <w:rPr>
          <w:rFonts w:ascii="Times New Roman" w:hAnsi="Times New Roman" w:cs="Times New Roman"/>
          <w:noProof/>
          <w:sz w:val="24"/>
          <w:szCs w:val="24"/>
          <w:lang w:val="en-GB"/>
        </w:rPr>
        <w:t>, 212–223. https://doi.org/10.1016/J.INDMARMAN.2019.07.001</w:t>
      </w:r>
    </w:p>
    <w:p w14:paraId="4D7959EC"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Mahanty, S., Boons, F., Handl, J., &amp; Batista-Navarro, R. (2021). An investigation of academic perspectives on the ‘circular economy’ using text mining and a Delphi study.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319</w:t>
      </w:r>
      <w:r w:rsidRPr="00EA2906">
        <w:rPr>
          <w:rFonts w:ascii="Times New Roman" w:hAnsi="Times New Roman" w:cs="Times New Roman"/>
          <w:noProof/>
          <w:sz w:val="24"/>
          <w:szCs w:val="24"/>
          <w:lang w:val="en-GB"/>
        </w:rPr>
        <w:t>, 128574. https://doi.org/10.1016/J.JCLEPRO.2021.128574</w:t>
      </w:r>
    </w:p>
    <w:p w14:paraId="437BA1A1"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Mangla, S. K., Luthra, S., Mishra, N., Singh, A., Rana, N. P., Dora, M., &amp; Dwivedi, Y. (2018). Barriers to effective circular supply chain management in a developing country context. </w:t>
      </w:r>
      <w:r w:rsidRPr="00EA2906">
        <w:rPr>
          <w:rFonts w:ascii="Times New Roman" w:hAnsi="Times New Roman" w:cs="Times New Roman"/>
          <w:i/>
          <w:iCs/>
          <w:noProof/>
          <w:sz w:val="24"/>
          <w:szCs w:val="24"/>
          <w:lang w:val="en-GB"/>
        </w:rPr>
        <w:t>Production Planning and Control</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29</w:t>
      </w:r>
      <w:r w:rsidRPr="00EA2906">
        <w:rPr>
          <w:rFonts w:ascii="Times New Roman" w:hAnsi="Times New Roman" w:cs="Times New Roman"/>
          <w:noProof/>
          <w:sz w:val="24"/>
          <w:szCs w:val="24"/>
          <w:lang w:val="en-GB"/>
        </w:rPr>
        <w:t>(6), 551–569. https://doi.org/10.1080/09537287.2018.1449265</w:t>
      </w:r>
    </w:p>
    <w:p w14:paraId="78F470BB"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Martín-Peña, M. L., &amp; Díaz-Garrido, E. (2008). Typologies and taxonomies of operations strategy: A literature review. </w:t>
      </w:r>
      <w:r w:rsidRPr="00EA2906">
        <w:rPr>
          <w:rFonts w:ascii="Times New Roman" w:hAnsi="Times New Roman" w:cs="Times New Roman"/>
          <w:i/>
          <w:iCs/>
          <w:noProof/>
          <w:sz w:val="24"/>
          <w:szCs w:val="24"/>
          <w:lang w:val="en-GB"/>
        </w:rPr>
        <w:t>Management Research News</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31</w:t>
      </w:r>
      <w:r w:rsidRPr="00EA2906">
        <w:rPr>
          <w:rFonts w:ascii="Times New Roman" w:hAnsi="Times New Roman" w:cs="Times New Roman"/>
          <w:noProof/>
          <w:sz w:val="24"/>
          <w:szCs w:val="24"/>
          <w:lang w:val="en-GB"/>
        </w:rPr>
        <w:t>(3), 200–218. https://doi.org/10.1108/01409170810851294/FULL/PDF</w:t>
      </w:r>
    </w:p>
    <w:p w14:paraId="5495AE91"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Martin-Rios, C., Demen-Meier, C., Gössling, S., &amp; Cornuz, C. (2018). Food waste management innovations in the foodservice industry. </w:t>
      </w:r>
      <w:r w:rsidRPr="00EA2906">
        <w:rPr>
          <w:rFonts w:ascii="Times New Roman" w:hAnsi="Times New Roman" w:cs="Times New Roman"/>
          <w:i/>
          <w:iCs/>
          <w:noProof/>
          <w:sz w:val="24"/>
          <w:szCs w:val="24"/>
          <w:lang w:val="en-GB"/>
        </w:rPr>
        <w:t>Waste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79</w:t>
      </w:r>
      <w:r w:rsidRPr="00EA2906">
        <w:rPr>
          <w:rFonts w:ascii="Times New Roman" w:hAnsi="Times New Roman" w:cs="Times New Roman"/>
          <w:noProof/>
          <w:sz w:val="24"/>
          <w:szCs w:val="24"/>
          <w:lang w:val="en-GB"/>
        </w:rPr>
        <w:t>, 196–206. https://doi.org/10.1016/J.WASMAN.2018.07.033</w:t>
      </w:r>
    </w:p>
    <w:p w14:paraId="0D56DB9A"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McDowall, W., Geng, Y., Huang, B., Barteková, E., Bleischwitz, R., Türkeli, S., Kemp, R., &amp; Doménech, T. (2017). Circular Economy Policies in China and Europe. </w:t>
      </w:r>
      <w:r w:rsidRPr="00EA2906">
        <w:rPr>
          <w:rFonts w:ascii="Times New Roman" w:hAnsi="Times New Roman" w:cs="Times New Roman"/>
          <w:i/>
          <w:iCs/>
          <w:noProof/>
          <w:sz w:val="24"/>
          <w:szCs w:val="24"/>
          <w:lang w:val="en-GB"/>
        </w:rPr>
        <w:t xml:space="preserve">Journal of Industrial </w:t>
      </w:r>
      <w:r w:rsidRPr="00EA2906">
        <w:rPr>
          <w:rFonts w:ascii="Times New Roman" w:hAnsi="Times New Roman" w:cs="Times New Roman"/>
          <w:i/>
          <w:iCs/>
          <w:noProof/>
          <w:sz w:val="24"/>
          <w:szCs w:val="24"/>
          <w:lang w:val="en-GB"/>
        </w:rPr>
        <w:lastRenderedPageBreak/>
        <w:t>Ecology</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21</w:t>
      </w:r>
      <w:r w:rsidRPr="00EA2906">
        <w:rPr>
          <w:rFonts w:ascii="Times New Roman" w:hAnsi="Times New Roman" w:cs="Times New Roman"/>
          <w:noProof/>
          <w:sz w:val="24"/>
          <w:szCs w:val="24"/>
          <w:lang w:val="en-GB"/>
        </w:rPr>
        <w:t>(3), 651–661. https://doi.org/10.1111/JIEC.12597</w:t>
      </w:r>
    </w:p>
    <w:p w14:paraId="58335E23"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Meath, C., Karlovšek, J., Navarrete, C., Eales, M., &amp; Hastings, P. (2022). Co-designing a multi-level platform for industry level transition to circular economy principles: A case study of the infrastructure CoLab.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347</w:t>
      </w:r>
      <w:r w:rsidRPr="00EA2906">
        <w:rPr>
          <w:rFonts w:ascii="Times New Roman" w:hAnsi="Times New Roman" w:cs="Times New Roman"/>
          <w:noProof/>
          <w:sz w:val="24"/>
          <w:szCs w:val="24"/>
          <w:lang w:val="en-GB"/>
        </w:rPr>
        <w:t>, 131080. https://doi.org/10.1016/J.JCLEPRO.2022.131080</w:t>
      </w:r>
    </w:p>
    <w:p w14:paraId="45AF5196"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Miliute-Plepiene, J., &amp; Plepys, A. (2015). Does food sorting prevents and improves sorting of household waste? A case in Sweden.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101</w:t>
      </w:r>
      <w:r w:rsidRPr="00EA2906">
        <w:rPr>
          <w:rFonts w:ascii="Times New Roman" w:hAnsi="Times New Roman" w:cs="Times New Roman"/>
          <w:noProof/>
          <w:sz w:val="24"/>
          <w:szCs w:val="24"/>
          <w:lang w:val="en-GB"/>
        </w:rPr>
        <w:t>(2015), 182–192. https://doi.org/10.1016/j.jclepro.2015.04.013</w:t>
      </w:r>
    </w:p>
    <w:p w14:paraId="71D9BE68" w14:textId="77777777" w:rsidR="00247672" w:rsidRPr="00247672"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rPr>
      </w:pPr>
      <w:r w:rsidRPr="00247672">
        <w:rPr>
          <w:rFonts w:ascii="Times New Roman" w:hAnsi="Times New Roman" w:cs="Times New Roman"/>
          <w:noProof/>
          <w:sz w:val="24"/>
          <w:szCs w:val="24"/>
        </w:rPr>
        <w:t xml:space="preserve">Miranda-Ackerman, M. A., Colin-Chávez, C., Espitia-Moreno, I. C., Ruiz-Morales, B., &amp; Arredondo-Soto, K. C. (2020). </w:t>
      </w:r>
      <w:r w:rsidRPr="00EA2906">
        <w:rPr>
          <w:rFonts w:ascii="Times New Roman" w:hAnsi="Times New Roman" w:cs="Times New Roman"/>
          <w:noProof/>
          <w:sz w:val="24"/>
          <w:szCs w:val="24"/>
          <w:lang w:val="en-GB"/>
        </w:rPr>
        <w:t xml:space="preserve">Managing Risk in Global Food Supply Chains: Improving Food Security and Sustainability. In </w:t>
      </w:r>
      <w:r w:rsidRPr="00EA2906">
        <w:rPr>
          <w:rFonts w:ascii="Times New Roman" w:hAnsi="Times New Roman" w:cs="Times New Roman"/>
          <w:i/>
          <w:iCs/>
          <w:noProof/>
          <w:sz w:val="24"/>
          <w:szCs w:val="24"/>
          <w:lang w:val="en-GB"/>
        </w:rPr>
        <w:t xml:space="preserve">Handbook of Research on Industrial Applications for Improved Supply Chain Performance (pp. 299-324). </w:t>
      </w:r>
      <w:r w:rsidRPr="00247672">
        <w:rPr>
          <w:rFonts w:ascii="Times New Roman" w:hAnsi="Times New Roman" w:cs="Times New Roman"/>
          <w:i/>
          <w:iCs/>
          <w:noProof/>
          <w:sz w:val="24"/>
          <w:szCs w:val="24"/>
        </w:rPr>
        <w:t>IGI Global.</w:t>
      </w:r>
      <w:r w:rsidRPr="00247672">
        <w:rPr>
          <w:rFonts w:ascii="Times New Roman" w:hAnsi="Times New Roman" w:cs="Times New Roman"/>
          <w:noProof/>
          <w:sz w:val="24"/>
          <w:szCs w:val="24"/>
        </w:rPr>
        <w:t xml:space="preserve"> (pp. 299–324). IGI Global. https://doi.org/10.4018/978-1-7998-0202-0.CH013</w:t>
      </w:r>
    </w:p>
    <w:p w14:paraId="496A9098"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Morseletto, P. (2020). </w:t>
      </w:r>
      <w:r w:rsidRPr="00EA2906">
        <w:rPr>
          <w:rFonts w:ascii="Times New Roman" w:hAnsi="Times New Roman" w:cs="Times New Roman"/>
          <w:noProof/>
          <w:sz w:val="24"/>
          <w:szCs w:val="24"/>
          <w:lang w:val="en-GB"/>
        </w:rPr>
        <w:t xml:space="preserve">Targets for a circular economy. </w:t>
      </w:r>
      <w:r w:rsidRPr="00EA2906">
        <w:rPr>
          <w:rFonts w:ascii="Times New Roman" w:hAnsi="Times New Roman" w:cs="Times New Roman"/>
          <w:i/>
          <w:iCs/>
          <w:noProof/>
          <w:sz w:val="24"/>
          <w:szCs w:val="24"/>
          <w:lang w:val="en-GB"/>
        </w:rPr>
        <w:t>Resources, Conservation and Recycling</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153</w:t>
      </w:r>
      <w:r w:rsidRPr="00EA2906">
        <w:rPr>
          <w:rFonts w:ascii="Times New Roman" w:hAnsi="Times New Roman" w:cs="Times New Roman"/>
          <w:noProof/>
          <w:sz w:val="24"/>
          <w:szCs w:val="24"/>
          <w:lang w:val="en-GB"/>
        </w:rPr>
        <w:t>, 104553. https://doi.org/10.1016/J.RESCONREC.2019.104553</w:t>
      </w:r>
    </w:p>
    <w:p w14:paraId="1839F7F4"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Nowicka, K. (2021). Platforms in supply chain management : Disruption or evolution? </w:t>
      </w:r>
      <w:r w:rsidRPr="00EA2906">
        <w:rPr>
          <w:rFonts w:ascii="Times New Roman" w:hAnsi="Times New Roman" w:cs="Times New Roman"/>
          <w:i/>
          <w:iCs/>
          <w:noProof/>
          <w:sz w:val="24"/>
          <w:szCs w:val="24"/>
          <w:lang w:val="en-GB"/>
        </w:rPr>
        <w:t>Disruptive Platforms</w:t>
      </w:r>
      <w:r w:rsidRPr="00EA2906">
        <w:rPr>
          <w:rFonts w:ascii="Times New Roman" w:hAnsi="Times New Roman" w:cs="Times New Roman"/>
          <w:noProof/>
          <w:sz w:val="24"/>
          <w:szCs w:val="24"/>
          <w:lang w:val="en-GB"/>
        </w:rPr>
        <w:t>, 39–55. https://doi.org/10.4324/9781003207481-3</w:t>
      </w:r>
    </w:p>
    <w:p w14:paraId="02EA123A"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Nußholz, J. L. K. (2017). Circular Business Models: Defining a Concept and Framing an Emerging Research Field. </w:t>
      </w:r>
      <w:r w:rsidRPr="00EA2906">
        <w:rPr>
          <w:rFonts w:ascii="Times New Roman" w:hAnsi="Times New Roman" w:cs="Times New Roman"/>
          <w:i/>
          <w:iCs/>
          <w:noProof/>
          <w:sz w:val="24"/>
          <w:szCs w:val="24"/>
          <w:lang w:val="en-GB"/>
        </w:rPr>
        <w:t>Sustainability 2017, Vol. 9, Page 1810</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9</w:t>
      </w:r>
      <w:r w:rsidRPr="00EA2906">
        <w:rPr>
          <w:rFonts w:ascii="Times New Roman" w:hAnsi="Times New Roman" w:cs="Times New Roman"/>
          <w:noProof/>
          <w:sz w:val="24"/>
          <w:szCs w:val="24"/>
          <w:lang w:val="en-GB"/>
        </w:rPr>
        <w:t>(10), 1810. https://doi.org/10.3390/SU9101810</w:t>
      </w:r>
    </w:p>
    <w:p w14:paraId="68C9F297"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Okoli, C., &amp; Pawlowski, S. D. (2004). The Delphi method as a research tool: an example, design considerations and applications. </w:t>
      </w:r>
      <w:r w:rsidRPr="00EA2906">
        <w:rPr>
          <w:rFonts w:ascii="Times New Roman" w:hAnsi="Times New Roman" w:cs="Times New Roman"/>
          <w:i/>
          <w:iCs/>
          <w:noProof/>
          <w:sz w:val="24"/>
          <w:szCs w:val="24"/>
          <w:lang w:val="en-GB"/>
        </w:rPr>
        <w:t>Information &amp;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42</w:t>
      </w:r>
      <w:r w:rsidRPr="00EA2906">
        <w:rPr>
          <w:rFonts w:ascii="Times New Roman" w:hAnsi="Times New Roman" w:cs="Times New Roman"/>
          <w:noProof/>
          <w:sz w:val="24"/>
          <w:szCs w:val="24"/>
          <w:lang w:val="en-GB"/>
        </w:rPr>
        <w:t>(1), 15–29. https://doi.org/10.1016/J.IM.2003.11.002</w:t>
      </w:r>
    </w:p>
    <w:p w14:paraId="266C7B8D"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Parida, V., Burström, T., Visnjic, I., &amp; Wincent, J. (2019). Orchestrating industrial ecosystem in circular economy: A two-stage transformation model for large manufacturing companies. </w:t>
      </w:r>
      <w:r w:rsidRPr="00EA2906">
        <w:rPr>
          <w:rFonts w:ascii="Times New Roman" w:hAnsi="Times New Roman" w:cs="Times New Roman"/>
          <w:i/>
          <w:iCs/>
          <w:noProof/>
          <w:sz w:val="24"/>
          <w:szCs w:val="24"/>
          <w:lang w:val="en-GB"/>
        </w:rPr>
        <w:t>Journal of Business Research</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101</w:t>
      </w:r>
      <w:r w:rsidRPr="00EA2906">
        <w:rPr>
          <w:rFonts w:ascii="Times New Roman" w:hAnsi="Times New Roman" w:cs="Times New Roman"/>
          <w:noProof/>
          <w:sz w:val="24"/>
          <w:szCs w:val="24"/>
          <w:lang w:val="en-GB"/>
        </w:rPr>
        <w:t>, 715–725. https://doi.org/10.1016/J.JBUSRES.2019.01.006</w:t>
      </w:r>
    </w:p>
    <w:p w14:paraId="2ACCA1E5"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Pohlmann, C. R., Scavarda, A. J., Alves, M. B., &amp; Korzenowski, A. L. (2020). The role of the focal company in sustainable development goals: A Brazilian food poultry supply chain case study.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245</w:t>
      </w:r>
      <w:r w:rsidRPr="00EA2906">
        <w:rPr>
          <w:rFonts w:ascii="Times New Roman" w:hAnsi="Times New Roman" w:cs="Times New Roman"/>
          <w:noProof/>
          <w:sz w:val="24"/>
          <w:szCs w:val="24"/>
          <w:lang w:val="en-GB"/>
        </w:rPr>
        <w:t>, 118798. https://doi.org/10.1016/J.JCLEPRO.2019.118798</w:t>
      </w:r>
    </w:p>
    <w:p w14:paraId="076BA796"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Prieto-Sandoval, V., Jaca, C., &amp; Ormazabal, M. (2018). Towards a consensus on the circular economy.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179</w:t>
      </w:r>
      <w:r w:rsidRPr="00EA2906">
        <w:rPr>
          <w:rFonts w:ascii="Times New Roman" w:hAnsi="Times New Roman" w:cs="Times New Roman"/>
          <w:noProof/>
          <w:sz w:val="24"/>
          <w:szCs w:val="24"/>
          <w:lang w:val="en-GB"/>
        </w:rPr>
        <w:t>, 605–615. https://doi.org/10.1016/J.JCLEPRO.2017.12.224</w:t>
      </w:r>
    </w:p>
    <w:p w14:paraId="4808CD5B"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Ranta, V., Aarikka-Stenroos, L., &amp; Saku, J. M. (2018). </w:t>
      </w:r>
      <w:r w:rsidRPr="00EA2906">
        <w:rPr>
          <w:rFonts w:ascii="Times New Roman" w:hAnsi="Times New Roman" w:cs="Times New Roman"/>
          <w:i/>
          <w:iCs/>
          <w:noProof/>
          <w:sz w:val="24"/>
          <w:szCs w:val="24"/>
          <w:lang w:val="en-GB"/>
        </w:rPr>
        <w:t>Creating value in the circular economy: A structured multiple-case analysis of business models</w:t>
      </w:r>
      <w:r w:rsidRPr="00EA2906">
        <w:rPr>
          <w:rFonts w:ascii="Times New Roman" w:hAnsi="Times New Roman" w:cs="Times New Roman"/>
          <w:noProof/>
          <w:sz w:val="24"/>
          <w:szCs w:val="24"/>
          <w:lang w:val="en-GB"/>
        </w:rPr>
        <w:t>. https://doi.org/10.1016/j.jclepro.2018.08.072</w:t>
      </w:r>
    </w:p>
    <w:p w14:paraId="14BAE7D0"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Ritala, P., &amp; Jovanovic, M. (2023). Platformizers, Orchestrators, and Guardians: Three Types of B2B Platform Business Models. </w:t>
      </w:r>
      <w:r w:rsidRPr="00EA2906">
        <w:rPr>
          <w:rFonts w:ascii="Times New Roman" w:hAnsi="Times New Roman" w:cs="Times New Roman"/>
          <w:i/>
          <w:iCs/>
          <w:noProof/>
          <w:sz w:val="24"/>
          <w:szCs w:val="24"/>
          <w:lang w:val="en-GB"/>
        </w:rPr>
        <w:t>SSRN Electronic Journal</w:t>
      </w:r>
      <w:r w:rsidRPr="00EA2906">
        <w:rPr>
          <w:rFonts w:ascii="Times New Roman" w:hAnsi="Times New Roman" w:cs="Times New Roman"/>
          <w:noProof/>
          <w:sz w:val="24"/>
          <w:szCs w:val="24"/>
          <w:lang w:val="en-GB"/>
        </w:rPr>
        <w:t>. https://doi.org/10.2139/SSRN.4399864</w:t>
      </w:r>
    </w:p>
    <w:p w14:paraId="615BE28A"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Rochet, J. C., &amp; Tirole, J. (2006). Two-sided markets: a progress report. </w:t>
      </w:r>
      <w:r w:rsidRPr="00EA2906">
        <w:rPr>
          <w:rFonts w:ascii="Times New Roman" w:hAnsi="Times New Roman" w:cs="Times New Roman"/>
          <w:i/>
          <w:iCs/>
          <w:noProof/>
          <w:sz w:val="24"/>
          <w:szCs w:val="24"/>
          <w:lang w:val="en-GB"/>
        </w:rPr>
        <w:t>The RAND Journal of Economics</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37</w:t>
      </w:r>
      <w:r w:rsidRPr="00EA2906">
        <w:rPr>
          <w:rFonts w:ascii="Times New Roman" w:hAnsi="Times New Roman" w:cs="Times New Roman"/>
          <w:noProof/>
          <w:sz w:val="24"/>
          <w:szCs w:val="24"/>
          <w:lang w:val="en-GB"/>
        </w:rPr>
        <w:t>(3), 645–667. https://doi.org/10.1111/J.1756-2171.2006.TB00036.X</w:t>
      </w:r>
    </w:p>
    <w:p w14:paraId="1D0EA904"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Santa-Maria, T., Vermeulen, W. J. V., &amp; Baumgartner, R. J. (2021a). </w:t>
      </w:r>
      <w:r w:rsidRPr="00EA2906">
        <w:rPr>
          <w:rFonts w:ascii="Times New Roman" w:hAnsi="Times New Roman" w:cs="Times New Roman"/>
          <w:noProof/>
          <w:sz w:val="24"/>
          <w:szCs w:val="24"/>
          <w:lang w:val="en-GB"/>
        </w:rPr>
        <w:t xml:space="preserve">How do incumbent firms innovate their business models for the circular economy? Identifying micro-foundations of </w:t>
      </w:r>
      <w:r w:rsidRPr="00EA2906">
        <w:rPr>
          <w:rFonts w:ascii="Times New Roman" w:hAnsi="Times New Roman" w:cs="Times New Roman"/>
          <w:noProof/>
          <w:sz w:val="24"/>
          <w:szCs w:val="24"/>
          <w:lang w:val="en-GB"/>
        </w:rPr>
        <w:lastRenderedPageBreak/>
        <w:t xml:space="preserve">dynamic capabilities. </w:t>
      </w:r>
      <w:r w:rsidRPr="00EA2906">
        <w:rPr>
          <w:rFonts w:ascii="Times New Roman" w:hAnsi="Times New Roman" w:cs="Times New Roman"/>
          <w:i/>
          <w:iCs/>
          <w:noProof/>
          <w:sz w:val="24"/>
          <w:szCs w:val="24"/>
          <w:lang w:val="en-GB"/>
        </w:rPr>
        <w:t>Business Strategy and the Environment</w:t>
      </w:r>
      <w:r w:rsidRPr="00EA2906">
        <w:rPr>
          <w:rFonts w:ascii="Times New Roman" w:hAnsi="Times New Roman" w:cs="Times New Roman"/>
          <w:noProof/>
          <w:sz w:val="24"/>
          <w:szCs w:val="24"/>
          <w:lang w:val="en-GB"/>
        </w:rPr>
        <w:t>, 1–28. https://doi.org/10.1002/bse.2956</w:t>
      </w:r>
    </w:p>
    <w:p w14:paraId="5676D2F9"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Santa-Maria, T., Vermeulen, W. J. V., &amp; Baumgartner, R. J. (2021b). </w:t>
      </w:r>
      <w:r w:rsidRPr="00EA2906">
        <w:rPr>
          <w:rFonts w:ascii="Times New Roman" w:hAnsi="Times New Roman" w:cs="Times New Roman"/>
          <w:noProof/>
          <w:sz w:val="24"/>
          <w:szCs w:val="24"/>
          <w:lang w:val="en-GB"/>
        </w:rPr>
        <w:t xml:space="preserve">Framing and assessing the emergent field of business model innovation for the circular economy: A combined literature review and multiple case study approach. </w:t>
      </w:r>
      <w:r w:rsidRPr="00EA2906">
        <w:rPr>
          <w:rFonts w:ascii="Times New Roman" w:hAnsi="Times New Roman" w:cs="Times New Roman"/>
          <w:i/>
          <w:iCs/>
          <w:noProof/>
          <w:sz w:val="24"/>
          <w:szCs w:val="24"/>
          <w:lang w:val="en-GB"/>
        </w:rPr>
        <w:t>Sustainable Production and Consumption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26</w:t>
      </w:r>
      <w:r w:rsidRPr="00EA2906">
        <w:rPr>
          <w:rFonts w:ascii="Times New Roman" w:hAnsi="Times New Roman" w:cs="Times New Roman"/>
          <w:noProof/>
          <w:sz w:val="24"/>
          <w:szCs w:val="24"/>
          <w:lang w:val="en-GB"/>
        </w:rPr>
        <w:t>, 872–891. https://doi.org/10.1016/J.SPC.2020.12.037</w:t>
      </w:r>
    </w:p>
    <w:p w14:paraId="2788701A"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Schmidt, R., Lyytinen, K., Keil, M., &amp; Cule, P. (2001). Identifying Software Project Risks: An International Delphi Study. </w:t>
      </w:r>
      <w:r w:rsidRPr="00EA2906">
        <w:rPr>
          <w:rFonts w:ascii="Times New Roman" w:hAnsi="Times New Roman" w:cs="Times New Roman"/>
          <w:i/>
          <w:iCs/>
          <w:noProof/>
          <w:sz w:val="24"/>
          <w:szCs w:val="24"/>
          <w:lang w:val="en-GB"/>
        </w:rPr>
        <w:t>Https://Doi.Org/10.1080/07421222.2001.11045662</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17</w:t>
      </w:r>
      <w:r w:rsidRPr="00EA2906">
        <w:rPr>
          <w:rFonts w:ascii="Times New Roman" w:hAnsi="Times New Roman" w:cs="Times New Roman"/>
          <w:noProof/>
          <w:sz w:val="24"/>
          <w:szCs w:val="24"/>
          <w:lang w:val="en-GB"/>
        </w:rPr>
        <w:t>(4), 5–36. https://doi.org/10.1080/07421222.2001.11045662</w:t>
      </w:r>
    </w:p>
    <w:p w14:paraId="38416086"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Seuring, S., &amp; Müller, M. (2008a). From a literature review to a conceptual framework for sustainable supply chain management.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16</w:t>
      </w:r>
      <w:r w:rsidRPr="00EA2906">
        <w:rPr>
          <w:rFonts w:ascii="Times New Roman" w:hAnsi="Times New Roman" w:cs="Times New Roman"/>
          <w:noProof/>
          <w:sz w:val="24"/>
          <w:szCs w:val="24"/>
          <w:lang w:val="en-GB"/>
        </w:rPr>
        <w:t>(15), 1699–1710. https://doi.org/10.1016/j.jclepro.2008.04.020</w:t>
      </w:r>
    </w:p>
    <w:p w14:paraId="3F20CEAB"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Seuring, S., &amp; Müller, M. (2008b). Core issues in sustainable supply chain management – a Delphi study. </w:t>
      </w:r>
      <w:r w:rsidRPr="00EA2906">
        <w:rPr>
          <w:rFonts w:ascii="Times New Roman" w:hAnsi="Times New Roman" w:cs="Times New Roman"/>
          <w:i/>
          <w:iCs/>
          <w:noProof/>
          <w:sz w:val="24"/>
          <w:szCs w:val="24"/>
          <w:lang w:val="en-GB"/>
        </w:rPr>
        <w:t>Business Strategy and the Environment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17</w:t>
      </w:r>
      <w:r w:rsidRPr="00EA2906">
        <w:rPr>
          <w:rFonts w:ascii="Times New Roman" w:hAnsi="Times New Roman" w:cs="Times New Roman"/>
          <w:noProof/>
          <w:sz w:val="24"/>
          <w:szCs w:val="24"/>
          <w:lang w:val="en-GB"/>
        </w:rPr>
        <w:t>(8), 455–466. https://doi.org/10.1002/BSE.607</w:t>
      </w:r>
    </w:p>
    <w:p w14:paraId="68A555BA"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Sharma, A. (2020). </w:t>
      </w:r>
      <w:r w:rsidRPr="00EA2906">
        <w:rPr>
          <w:rFonts w:ascii="Times New Roman" w:hAnsi="Times New Roman" w:cs="Times New Roman"/>
          <w:i/>
          <w:iCs/>
          <w:noProof/>
          <w:sz w:val="24"/>
          <w:szCs w:val="24"/>
          <w:lang w:val="en-GB"/>
        </w:rPr>
        <w:t>Sustainability research in business-to-business markets: An agenda for inquiry</w:t>
      </w:r>
      <w:r w:rsidRPr="00EA2906">
        <w:rPr>
          <w:rFonts w:ascii="Times New Roman" w:hAnsi="Times New Roman" w:cs="Times New Roman"/>
          <w:noProof/>
          <w:sz w:val="24"/>
          <w:szCs w:val="24"/>
          <w:lang w:val="en-GB"/>
        </w:rPr>
        <w:t>. https://doi.org/10.1016/j.indmarman.2020.05.037</w:t>
      </w:r>
    </w:p>
    <w:p w14:paraId="29D6B815"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Singh, J., &amp; Ordoñez, I. (2016). Resource recovery from post-consumer waste: important lessons for the upcoming circular economy.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134</w:t>
      </w:r>
      <w:r w:rsidRPr="00EA2906">
        <w:rPr>
          <w:rFonts w:ascii="Times New Roman" w:hAnsi="Times New Roman" w:cs="Times New Roman"/>
          <w:noProof/>
          <w:sz w:val="24"/>
          <w:szCs w:val="24"/>
          <w:lang w:val="en-GB"/>
        </w:rPr>
        <w:t>, 342–353. https://doi.org/10.1016/J.JCLEPRO.2015.12.020</w:t>
      </w:r>
    </w:p>
    <w:p w14:paraId="2D60CC9B"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Stephany, A. (2015). </w:t>
      </w:r>
      <w:r w:rsidRPr="00EA2906">
        <w:rPr>
          <w:rFonts w:ascii="Times New Roman" w:hAnsi="Times New Roman" w:cs="Times New Roman"/>
          <w:i/>
          <w:iCs/>
          <w:noProof/>
          <w:sz w:val="24"/>
          <w:szCs w:val="24"/>
          <w:lang w:val="en-GB"/>
        </w:rPr>
        <w:t>The business of sharing: Making it in the new sharing economy</w:t>
      </w:r>
      <w:r w:rsidRPr="00EA2906">
        <w:rPr>
          <w:rFonts w:ascii="Times New Roman" w:hAnsi="Times New Roman" w:cs="Times New Roman"/>
          <w:noProof/>
          <w:sz w:val="24"/>
          <w:szCs w:val="24"/>
          <w:lang w:val="en-GB"/>
        </w:rPr>
        <w:t>. https://books.google.com/books?hl=it&amp;lr=&amp;id=4rK_BwAAQBAJ&amp;oi=fnd&amp;pg=PP1&amp;dq=The+Business+of+Sharing+-+Making+it+in+the+New+Sharing+Economy&amp;ots=-Vh10NoIU0&amp;sig=cZxwL47FDVTKeotvIN8hz-fuWIU</w:t>
      </w:r>
    </w:p>
    <w:p w14:paraId="75961B04"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Stouten, J., Rousseau, D. M., &amp; De Cremer, D. (2018). Successful Organizational Change: Integrating the Management Practice and Scholarly Literatures. </w:t>
      </w:r>
      <w:r w:rsidRPr="00EA2906">
        <w:rPr>
          <w:rFonts w:ascii="Times New Roman" w:hAnsi="Times New Roman" w:cs="Times New Roman"/>
          <w:i/>
          <w:iCs/>
          <w:noProof/>
          <w:sz w:val="24"/>
          <w:szCs w:val="24"/>
          <w:lang w:val="en-GB"/>
        </w:rPr>
        <w:t>Https://Doi.Org/10.5465/Annals.2016.0095</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12</w:t>
      </w:r>
      <w:r w:rsidRPr="00EA2906">
        <w:rPr>
          <w:rFonts w:ascii="Times New Roman" w:hAnsi="Times New Roman" w:cs="Times New Roman"/>
          <w:noProof/>
          <w:sz w:val="24"/>
          <w:szCs w:val="24"/>
          <w:lang w:val="en-GB"/>
        </w:rPr>
        <w:t>(2), 752–788. https://doi.org/10.5465/ANNALS.2016.0095</w:t>
      </w:r>
    </w:p>
    <w:p w14:paraId="1A9757F3"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Täuscher, K., &amp; Laudien, S. M. (2018). Understanding platform business models: A mixed methods study of marketplaces. </w:t>
      </w:r>
      <w:r w:rsidRPr="00EA2906">
        <w:rPr>
          <w:rFonts w:ascii="Times New Roman" w:hAnsi="Times New Roman" w:cs="Times New Roman"/>
          <w:i/>
          <w:iCs/>
          <w:noProof/>
          <w:sz w:val="24"/>
          <w:szCs w:val="24"/>
          <w:lang w:val="en-GB"/>
        </w:rPr>
        <w:t>European Management Journal</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36</w:t>
      </w:r>
      <w:r w:rsidRPr="00EA2906">
        <w:rPr>
          <w:rFonts w:ascii="Times New Roman" w:hAnsi="Times New Roman" w:cs="Times New Roman"/>
          <w:noProof/>
          <w:sz w:val="24"/>
          <w:szCs w:val="24"/>
          <w:lang w:val="en-GB"/>
        </w:rPr>
        <w:t>(3), 319–329. https://doi.org/10.1016/J.EMJ.2017.06.005</w:t>
      </w:r>
    </w:p>
    <w:p w14:paraId="3B15C38B"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Thomas, L. D. W., &amp; Ritala, P. (2022). Ecosystem Legitimacy Emergence: A Collective Action View. </w:t>
      </w:r>
      <w:r w:rsidRPr="00EA2906">
        <w:rPr>
          <w:rFonts w:ascii="Times New Roman" w:hAnsi="Times New Roman" w:cs="Times New Roman"/>
          <w:i/>
          <w:iCs/>
          <w:noProof/>
          <w:sz w:val="24"/>
          <w:szCs w:val="24"/>
          <w:lang w:val="en-GB"/>
        </w:rPr>
        <w:t>Journal of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48</w:t>
      </w:r>
      <w:r w:rsidRPr="00EA2906">
        <w:rPr>
          <w:rFonts w:ascii="Times New Roman" w:hAnsi="Times New Roman" w:cs="Times New Roman"/>
          <w:noProof/>
          <w:sz w:val="24"/>
          <w:szCs w:val="24"/>
          <w:lang w:val="en-GB"/>
        </w:rPr>
        <w:t>(3), 515–522. https://doi.org/10.1177/0149206320986617</w:t>
      </w:r>
    </w:p>
    <w:p w14:paraId="4CFB8329"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Trabucchi, D., &amp; Buganza, T. (2021). Landlords with no lands: a systematic literature review on hybrid multi-sided platforms and platform thinking. </w:t>
      </w:r>
      <w:r w:rsidRPr="00EA2906">
        <w:rPr>
          <w:rFonts w:ascii="Times New Roman" w:hAnsi="Times New Roman" w:cs="Times New Roman"/>
          <w:i/>
          <w:iCs/>
          <w:noProof/>
          <w:sz w:val="24"/>
          <w:szCs w:val="24"/>
          <w:lang w:val="en-GB"/>
        </w:rPr>
        <w:t>European Journal of Innovation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25</w:t>
      </w:r>
      <w:r w:rsidRPr="00EA2906">
        <w:rPr>
          <w:rFonts w:ascii="Times New Roman" w:hAnsi="Times New Roman" w:cs="Times New Roman"/>
          <w:noProof/>
          <w:sz w:val="24"/>
          <w:szCs w:val="24"/>
          <w:lang w:val="en-GB"/>
        </w:rPr>
        <w:t>(6), 64–96. https://doi.org/10.1108/EJIM-11-2020-0467/FULL/PDF</w:t>
      </w:r>
    </w:p>
    <w:p w14:paraId="67E3A9AA"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t xml:space="preserve">Trabucchi, D., Muzellec, L., &amp; Ronteau, S. (2019). </w:t>
      </w:r>
      <w:r w:rsidRPr="00EA2906">
        <w:rPr>
          <w:rFonts w:ascii="Times New Roman" w:hAnsi="Times New Roman" w:cs="Times New Roman"/>
          <w:noProof/>
          <w:sz w:val="24"/>
          <w:szCs w:val="24"/>
          <w:lang w:val="en-GB"/>
        </w:rPr>
        <w:t xml:space="preserve">Sharing economy: seeing through the fog. </w:t>
      </w:r>
      <w:r w:rsidRPr="00EA2906">
        <w:rPr>
          <w:rFonts w:ascii="Times New Roman" w:hAnsi="Times New Roman" w:cs="Times New Roman"/>
          <w:i/>
          <w:iCs/>
          <w:noProof/>
          <w:sz w:val="24"/>
          <w:szCs w:val="24"/>
          <w:lang w:val="en-GB"/>
        </w:rPr>
        <w:t>Internet Research</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29</w:t>
      </w:r>
      <w:r w:rsidRPr="00EA2906">
        <w:rPr>
          <w:rFonts w:ascii="Times New Roman" w:hAnsi="Times New Roman" w:cs="Times New Roman"/>
          <w:noProof/>
          <w:sz w:val="24"/>
          <w:szCs w:val="24"/>
          <w:lang w:val="en-GB"/>
        </w:rPr>
        <w:t>(5), 996-1013. https://doi.org/10.1108/INTR-03-2018-0113</w:t>
      </w:r>
    </w:p>
    <w:p w14:paraId="23F0BC92"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Trevisan, A. H., Castro, C. G., Gomes, L. A. V., &amp; Mascarenhas, J. (2022). Unlocking the circular ecosystem concept: Evolution, current research, and future directions. </w:t>
      </w:r>
      <w:r w:rsidRPr="00EA2906">
        <w:rPr>
          <w:rFonts w:ascii="Times New Roman" w:hAnsi="Times New Roman" w:cs="Times New Roman"/>
          <w:i/>
          <w:iCs/>
          <w:noProof/>
          <w:sz w:val="24"/>
          <w:szCs w:val="24"/>
          <w:lang w:val="en-GB"/>
        </w:rPr>
        <w:t>Sustainable Production and Consumption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29</w:t>
      </w:r>
      <w:r w:rsidRPr="00EA2906">
        <w:rPr>
          <w:rFonts w:ascii="Times New Roman" w:hAnsi="Times New Roman" w:cs="Times New Roman"/>
          <w:noProof/>
          <w:sz w:val="24"/>
          <w:szCs w:val="24"/>
          <w:lang w:val="en-GB"/>
        </w:rPr>
        <w:t>, 286–298. https://doi.org/10.1016/J.SPC.2021.10.020</w:t>
      </w:r>
    </w:p>
    <w:p w14:paraId="657EF066" w14:textId="77777777" w:rsidR="00247672" w:rsidRPr="00247672"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rPr>
      </w:pPr>
      <w:r w:rsidRPr="00EA2906">
        <w:rPr>
          <w:rFonts w:ascii="Times New Roman" w:hAnsi="Times New Roman" w:cs="Times New Roman"/>
          <w:noProof/>
          <w:sz w:val="24"/>
          <w:szCs w:val="24"/>
          <w:lang w:val="en-GB"/>
        </w:rPr>
        <w:t xml:space="preserve">Tukker, A. (2015). </w:t>
      </w:r>
      <w:r w:rsidRPr="00EA2906">
        <w:rPr>
          <w:rFonts w:ascii="Times New Roman" w:hAnsi="Times New Roman" w:cs="Times New Roman"/>
          <w:i/>
          <w:iCs/>
          <w:noProof/>
          <w:sz w:val="24"/>
          <w:szCs w:val="24"/>
          <w:lang w:val="en-GB"/>
        </w:rPr>
        <w:t>Product services for a resource-efficient and circular economy e a review</w:t>
      </w:r>
      <w:r w:rsidRPr="00EA2906">
        <w:rPr>
          <w:rFonts w:ascii="Times New Roman" w:hAnsi="Times New Roman" w:cs="Times New Roman"/>
          <w:noProof/>
          <w:sz w:val="24"/>
          <w:szCs w:val="24"/>
          <w:lang w:val="en-GB"/>
        </w:rPr>
        <w:t xml:space="preserve">. </w:t>
      </w:r>
      <w:r w:rsidRPr="00247672">
        <w:rPr>
          <w:rFonts w:ascii="Times New Roman" w:hAnsi="Times New Roman" w:cs="Times New Roman"/>
          <w:i/>
          <w:iCs/>
          <w:noProof/>
          <w:sz w:val="24"/>
          <w:szCs w:val="24"/>
        </w:rPr>
        <w:t>97</w:t>
      </w:r>
      <w:r w:rsidRPr="00247672">
        <w:rPr>
          <w:rFonts w:ascii="Times New Roman" w:hAnsi="Times New Roman" w:cs="Times New Roman"/>
          <w:noProof/>
          <w:sz w:val="24"/>
          <w:szCs w:val="24"/>
        </w:rPr>
        <w:t>, 76–91. https://doi.org/10.1016/j.jclepro.2013.11.049</w:t>
      </w:r>
    </w:p>
    <w:p w14:paraId="51D95E35"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47672">
        <w:rPr>
          <w:rFonts w:ascii="Times New Roman" w:hAnsi="Times New Roman" w:cs="Times New Roman"/>
          <w:noProof/>
          <w:sz w:val="24"/>
          <w:szCs w:val="24"/>
        </w:rPr>
        <w:lastRenderedPageBreak/>
        <w:t xml:space="preserve">Ünal, E., Urbinati, A., &amp; Chiaroni, D. (2019). </w:t>
      </w:r>
      <w:r w:rsidRPr="00EA2906">
        <w:rPr>
          <w:rFonts w:ascii="Times New Roman" w:hAnsi="Times New Roman" w:cs="Times New Roman"/>
          <w:noProof/>
          <w:sz w:val="24"/>
          <w:szCs w:val="24"/>
          <w:lang w:val="en-GB"/>
        </w:rPr>
        <w:t xml:space="preserve">Managerial practices for designing circular economy business models: The case of an Italian SME in the office supply industry. </w:t>
      </w:r>
      <w:r w:rsidRPr="00EA2906">
        <w:rPr>
          <w:rFonts w:ascii="Times New Roman" w:hAnsi="Times New Roman" w:cs="Times New Roman"/>
          <w:i/>
          <w:iCs/>
          <w:noProof/>
          <w:sz w:val="24"/>
          <w:szCs w:val="24"/>
          <w:lang w:val="en-GB"/>
        </w:rPr>
        <w:t>Journal of Manufacturing Technology Management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30</w:t>
      </w:r>
      <w:r w:rsidRPr="00EA2906">
        <w:rPr>
          <w:rFonts w:ascii="Times New Roman" w:hAnsi="Times New Roman" w:cs="Times New Roman"/>
          <w:noProof/>
          <w:sz w:val="24"/>
          <w:szCs w:val="24"/>
          <w:lang w:val="en-GB"/>
        </w:rPr>
        <w:t>(3), 561–589. https://doi.org/10.1108/JMTM-02-2018-0061</w:t>
      </w:r>
    </w:p>
    <w:p w14:paraId="1AFFF956"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Urbinati, A., Chiaroni, D., &amp; Chiesa, V. (2017). Towards a new taxonomy of circular economy business models.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168</w:t>
      </w:r>
      <w:r w:rsidRPr="00EA2906">
        <w:rPr>
          <w:rFonts w:ascii="Times New Roman" w:hAnsi="Times New Roman" w:cs="Times New Roman"/>
          <w:noProof/>
          <w:sz w:val="24"/>
          <w:szCs w:val="24"/>
          <w:lang w:val="en-GB"/>
        </w:rPr>
        <w:t>, 487–498. https://doi.org/10.1016/j.jclepro.2017.09.047</w:t>
      </w:r>
    </w:p>
    <w:p w14:paraId="690D292A"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van Zolingen, S. J., &amp; Klaassen, C. A. (2003). Selection processes in a Delphi study about key qualifications in Senior Secondary Vocational Education. </w:t>
      </w:r>
      <w:r w:rsidRPr="00EA2906">
        <w:rPr>
          <w:rFonts w:ascii="Times New Roman" w:hAnsi="Times New Roman" w:cs="Times New Roman"/>
          <w:i/>
          <w:iCs/>
          <w:noProof/>
          <w:sz w:val="24"/>
          <w:szCs w:val="24"/>
          <w:lang w:val="en-GB"/>
        </w:rPr>
        <w:t>Technological Forecasting and Social Change</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70</w:t>
      </w:r>
      <w:r w:rsidRPr="00EA2906">
        <w:rPr>
          <w:rFonts w:ascii="Times New Roman" w:hAnsi="Times New Roman" w:cs="Times New Roman"/>
          <w:noProof/>
          <w:sz w:val="24"/>
          <w:szCs w:val="24"/>
          <w:lang w:val="en-GB"/>
        </w:rPr>
        <w:t>(4), 317–340. https://doi.org/10.1016/S0040-1625(02)00202-0</w:t>
      </w:r>
    </w:p>
    <w:p w14:paraId="38F110B1"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Wallbach, S., Coleman, K., Elbert, R., &amp; Benlian, A. (2019). Multi-sided platform diffusion in competitive B2B networks: inhibiting factors and their impact on network effects. </w:t>
      </w:r>
      <w:r w:rsidRPr="00EA2906">
        <w:rPr>
          <w:rFonts w:ascii="Times New Roman" w:hAnsi="Times New Roman" w:cs="Times New Roman"/>
          <w:i/>
          <w:iCs/>
          <w:noProof/>
          <w:sz w:val="24"/>
          <w:szCs w:val="24"/>
          <w:lang w:val="en-GB"/>
        </w:rPr>
        <w:t>Electronic Markets</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29</w:t>
      </w:r>
      <w:r w:rsidRPr="00EA2906">
        <w:rPr>
          <w:rFonts w:ascii="Times New Roman" w:hAnsi="Times New Roman" w:cs="Times New Roman"/>
          <w:noProof/>
          <w:sz w:val="24"/>
          <w:szCs w:val="24"/>
          <w:lang w:val="en-GB"/>
        </w:rPr>
        <w:t>(4), 693–710. https://doi.org/10.1007/S12525-019-00382-7/FIGURES/11</w:t>
      </w:r>
    </w:p>
    <w:p w14:paraId="131A2760"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Yousuf, M. (2007). The Delphi Technique. </w:t>
      </w:r>
      <w:r w:rsidRPr="00EA2906">
        <w:rPr>
          <w:rFonts w:ascii="Times New Roman" w:hAnsi="Times New Roman" w:cs="Times New Roman"/>
          <w:i/>
          <w:iCs/>
          <w:noProof/>
          <w:sz w:val="24"/>
          <w:szCs w:val="24"/>
          <w:lang w:val="en-GB"/>
        </w:rPr>
        <w:t>Essays in Education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20</w:t>
      </w:r>
      <w:r w:rsidRPr="00EA2906">
        <w:rPr>
          <w:rFonts w:ascii="Times New Roman" w:hAnsi="Times New Roman" w:cs="Times New Roman"/>
          <w:noProof/>
          <w:sz w:val="24"/>
          <w:szCs w:val="24"/>
          <w:lang w:val="en-GB"/>
        </w:rPr>
        <w:t>(1). https://openriver.winona.edu/eie/vol20/iss1/8</w:t>
      </w:r>
    </w:p>
    <w:p w14:paraId="6D6555E1"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Yu, Y., Yazan, D. M., Bhochhibhoya, S., &amp; Volker, L. (2021). Towards Circular Economy through Industrial Symbiosis in the Dutch construction industry: A case of recycled concrete aggregates. </w:t>
      </w:r>
      <w:r w:rsidRPr="00EA2906">
        <w:rPr>
          <w:rFonts w:ascii="Times New Roman" w:hAnsi="Times New Roman" w:cs="Times New Roman"/>
          <w:i/>
          <w:iCs/>
          <w:noProof/>
          <w:sz w:val="24"/>
          <w:szCs w:val="24"/>
          <w:lang w:val="en-GB"/>
        </w:rPr>
        <w:t>Journal of Cleaner Production</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293</w:t>
      </w:r>
      <w:r w:rsidRPr="00EA2906">
        <w:rPr>
          <w:rFonts w:ascii="Times New Roman" w:hAnsi="Times New Roman" w:cs="Times New Roman"/>
          <w:noProof/>
          <w:sz w:val="24"/>
          <w:szCs w:val="24"/>
          <w:lang w:val="en-GB"/>
        </w:rPr>
        <w:t>, 126083. https://doi.org/10.1016/J.JCLEPRO.2021.126083</w:t>
      </w:r>
    </w:p>
    <w:p w14:paraId="639C87EE"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A2906">
        <w:rPr>
          <w:rFonts w:ascii="Times New Roman" w:hAnsi="Times New Roman" w:cs="Times New Roman"/>
          <w:noProof/>
          <w:sz w:val="24"/>
          <w:szCs w:val="24"/>
          <w:lang w:val="en-GB"/>
        </w:rPr>
        <w:t xml:space="preserve">Zervas, G., … D. P.-J. of marketing, &amp; 2017,  undefined. (2017). The rise of the sharing economy: Estimating the impact of Airbnb on the hotel industry. </w:t>
      </w:r>
      <w:r w:rsidRPr="00EA2906">
        <w:rPr>
          <w:rFonts w:ascii="Times New Roman" w:hAnsi="Times New Roman" w:cs="Times New Roman"/>
          <w:i/>
          <w:iCs/>
          <w:noProof/>
          <w:sz w:val="24"/>
          <w:szCs w:val="24"/>
          <w:lang w:val="en-GB"/>
        </w:rPr>
        <w:t>Journals.Sagepub.Com</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54</w:t>
      </w:r>
      <w:r w:rsidRPr="00EA2906">
        <w:rPr>
          <w:rFonts w:ascii="Times New Roman" w:hAnsi="Times New Roman" w:cs="Times New Roman"/>
          <w:noProof/>
          <w:sz w:val="24"/>
          <w:szCs w:val="24"/>
          <w:lang w:val="en-GB"/>
        </w:rPr>
        <w:t>(5), 687–705. https://doi.org/10.1509/jmr.15.0204</w:t>
      </w:r>
    </w:p>
    <w:p w14:paraId="0717A495" w14:textId="77777777" w:rsidR="00247672" w:rsidRPr="00EA2906" w:rsidRDefault="00247672" w:rsidP="00247672">
      <w:pPr>
        <w:widowControl w:val="0"/>
        <w:autoSpaceDE w:val="0"/>
        <w:autoSpaceDN w:val="0"/>
        <w:adjustRightInd w:val="0"/>
        <w:spacing w:line="240" w:lineRule="auto"/>
        <w:ind w:left="480" w:hanging="480"/>
        <w:rPr>
          <w:rFonts w:ascii="Times New Roman" w:hAnsi="Times New Roman" w:cs="Times New Roman"/>
          <w:noProof/>
          <w:sz w:val="24"/>
          <w:lang w:val="en-GB"/>
        </w:rPr>
      </w:pPr>
      <w:r w:rsidRPr="00EA2906">
        <w:rPr>
          <w:rFonts w:ascii="Times New Roman" w:hAnsi="Times New Roman" w:cs="Times New Roman"/>
          <w:noProof/>
          <w:sz w:val="24"/>
          <w:szCs w:val="24"/>
          <w:lang w:val="en-GB"/>
        </w:rPr>
        <w:t xml:space="preserve">Zucchella, A., &amp; Previtali, P. (2019). Circular business models for sustainable development: A “waste is food” restorative ecosystem. </w:t>
      </w:r>
      <w:r w:rsidRPr="00EA2906">
        <w:rPr>
          <w:rFonts w:ascii="Times New Roman" w:hAnsi="Times New Roman" w:cs="Times New Roman"/>
          <w:i/>
          <w:iCs/>
          <w:noProof/>
          <w:sz w:val="24"/>
          <w:szCs w:val="24"/>
          <w:lang w:val="en-GB"/>
        </w:rPr>
        <w:t>Business Strategy and the Environment</w:t>
      </w:r>
      <w:r w:rsidRPr="00EA2906">
        <w:rPr>
          <w:rFonts w:ascii="Times New Roman" w:hAnsi="Times New Roman" w:cs="Times New Roman"/>
          <w:noProof/>
          <w:sz w:val="24"/>
          <w:szCs w:val="24"/>
          <w:lang w:val="en-GB"/>
        </w:rPr>
        <w:t xml:space="preserve">, </w:t>
      </w:r>
      <w:r w:rsidRPr="00EA2906">
        <w:rPr>
          <w:rFonts w:ascii="Times New Roman" w:hAnsi="Times New Roman" w:cs="Times New Roman"/>
          <w:i/>
          <w:iCs/>
          <w:noProof/>
          <w:sz w:val="24"/>
          <w:szCs w:val="24"/>
          <w:lang w:val="en-GB"/>
        </w:rPr>
        <w:t>28</w:t>
      </w:r>
      <w:r w:rsidRPr="00EA2906">
        <w:rPr>
          <w:rFonts w:ascii="Times New Roman" w:hAnsi="Times New Roman" w:cs="Times New Roman"/>
          <w:noProof/>
          <w:sz w:val="24"/>
          <w:szCs w:val="24"/>
          <w:lang w:val="en-GB"/>
        </w:rPr>
        <w:t>(2), 274–285. https://doi.org/10.1002/bse.2216</w:t>
      </w:r>
    </w:p>
    <w:p w14:paraId="32C71986" w14:textId="77777777" w:rsidR="00B93D26" w:rsidRDefault="00000000">
      <w:pPr>
        <w:ind w:left="284" w:hanging="284"/>
        <w:jc w:val="both"/>
        <w:rPr>
          <w:rFonts w:ascii="Times New Roman" w:hAnsi="Times New Roman" w:cs="Times New Roman"/>
          <w:sz w:val="24"/>
          <w:szCs w:val="24"/>
          <w:lang w:val="en-GB"/>
        </w:rPr>
      </w:pPr>
      <w:r>
        <w:rPr>
          <w:rFonts w:ascii="Times New Roman" w:hAnsi="Times New Roman" w:cs="Times New Roman"/>
          <w:sz w:val="24"/>
          <w:szCs w:val="24"/>
          <w:lang w:val="en-GB"/>
        </w:rPr>
        <w:fldChar w:fldCharType="end"/>
      </w:r>
      <w:r w:rsidRPr="007B6B7A">
        <w:rPr>
          <w:rFonts w:ascii="Times New Roman" w:hAnsi="Times New Roman" w:cs="Times New Roman"/>
          <w:sz w:val="24"/>
          <w:szCs w:val="24"/>
          <w:lang w:val="en-GB"/>
        </w:rPr>
        <w:t xml:space="preserve"> </w:t>
      </w:r>
    </w:p>
    <w:p w14:paraId="1B2AF0B7" w14:textId="77777777" w:rsidR="00B93D26" w:rsidRDefault="00B93D26">
      <w:pPr>
        <w:ind w:left="284" w:hanging="284"/>
        <w:jc w:val="both"/>
        <w:rPr>
          <w:rFonts w:ascii="Times New Roman" w:hAnsi="Times New Roman" w:cs="Times New Roman"/>
          <w:sz w:val="24"/>
          <w:szCs w:val="24"/>
          <w:lang w:val="en-GB"/>
        </w:rPr>
      </w:pPr>
    </w:p>
    <w:p w14:paraId="59615773" w14:textId="77777777" w:rsidR="00B93D26" w:rsidRDefault="00B93D26" w:rsidP="004B1CF3">
      <w:pPr>
        <w:jc w:val="both"/>
        <w:rPr>
          <w:rFonts w:ascii="Times New Roman" w:hAnsi="Times New Roman" w:cs="Times New Roman"/>
          <w:sz w:val="24"/>
          <w:szCs w:val="24"/>
          <w:lang w:val="en-GB"/>
        </w:rPr>
        <w:sectPr w:rsidR="00B93D26" w:rsidSect="00C62757">
          <w:pgSz w:w="11906" w:h="16838"/>
          <w:pgMar w:top="1134" w:right="1134" w:bottom="1417" w:left="1134" w:header="708" w:footer="708" w:gutter="0"/>
          <w:cols w:space="708"/>
          <w:docGrid w:linePitch="360"/>
        </w:sectPr>
      </w:pPr>
    </w:p>
    <w:p w14:paraId="08CAF88B" w14:textId="3E5A7719" w:rsidR="001B7FB8" w:rsidRDefault="001B7FB8" w:rsidP="001B7FB8">
      <w:pPr>
        <w:spacing w:line="360" w:lineRule="auto"/>
        <w:jc w:val="both"/>
        <w:rPr>
          <w:rFonts w:ascii="Times New Roman" w:hAnsi="Times New Roman" w:cs="Times New Roman"/>
          <w:sz w:val="20"/>
          <w:szCs w:val="20"/>
          <w:lang w:val="en-GB"/>
        </w:rPr>
      </w:pPr>
      <w:r w:rsidRPr="0063355E">
        <w:rPr>
          <w:rFonts w:ascii="Times New Roman" w:hAnsi="Times New Roman" w:cs="Times New Roman"/>
          <w:b/>
          <w:bCs/>
          <w:sz w:val="20"/>
          <w:szCs w:val="20"/>
          <w:lang w:val="en-GB"/>
        </w:rPr>
        <w:lastRenderedPageBreak/>
        <w:t xml:space="preserve">Appendix </w:t>
      </w:r>
      <w:r>
        <w:rPr>
          <w:rFonts w:ascii="Times New Roman" w:hAnsi="Times New Roman" w:cs="Times New Roman"/>
          <w:b/>
          <w:bCs/>
          <w:sz w:val="20"/>
          <w:szCs w:val="20"/>
          <w:lang w:val="en-GB"/>
        </w:rPr>
        <w:t>1</w:t>
      </w:r>
      <w:r w:rsidRPr="0063355E">
        <w:rPr>
          <w:rFonts w:ascii="Times New Roman" w:hAnsi="Times New Roman" w:cs="Times New Roman"/>
          <w:b/>
          <w:bCs/>
          <w:sz w:val="20"/>
          <w:szCs w:val="20"/>
          <w:lang w:val="en-GB"/>
        </w:rPr>
        <w:t xml:space="preserve">. </w:t>
      </w:r>
      <w:r>
        <w:rPr>
          <w:rFonts w:ascii="Times New Roman" w:hAnsi="Times New Roman" w:cs="Times New Roman"/>
          <w:sz w:val="20"/>
          <w:szCs w:val="20"/>
          <w:lang w:val="en-GB"/>
        </w:rPr>
        <w:t>Information about the panel of experts involved</w:t>
      </w:r>
      <w:r w:rsidRPr="00932EBC">
        <w:rPr>
          <w:rFonts w:ascii="Times New Roman" w:hAnsi="Times New Roman" w:cs="Times New Roman"/>
          <w:sz w:val="20"/>
          <w:szCs w:val="20"/>
          <w:lang w:val="en-GB"/>
        </w:rPr>
        <w:t>.</w:t>
      </w:r>
    </w:p>
    <w:tbl>
      <w:tblPr>
        <w:tblStyle w:val="Grigliatabella"/>
        <w:tblW w:w="0" w:type="auto"/>
        <w:tblLook w:val="04A0" w:firstRow="1" w:lastRow="0" w:firstColumn="1" w:lastColumn="0" w:noHBand="0" w:noVBand="1"/>
      </w:tblPr>
      <w:tblGrid>
        <w:gridCol w:w="1000"/>
        <w:gridCol w:w="1688"/>
        <w:gridCol w:w="1360"/>
        <w:gridCol w:w="1272"/>
        <w:gridCol w:w="1994"/>
      </w:tblGrid>
      <w:tr w:rsidR="001B7FB8" w14:paraId="6B7D7940" w14:textId="6A244A53" w:rsidTr="00247672">
        <w:tc>
          <w:tcPr>
            <w:tcW w:w="1000" w:type="dxa"/>
          </w:tcPr>
          <w:p w14:paraId="4C93CD3B" w14:textId="4DAFEAFB" w:rsidR="001B7FB8" w:rsidRDefault="001B7FB8" w:rsidP="00247672">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Expert</w:t>
            </w:r>
          </w:p>
        </w:tc>
        <w:tc>
          <w:tcPr>
            <w:tcW w:w="1688" w:type="dxa"/>
          </w:tcPr>
          <w:p w14:paraId="5D351C56" w14:textId="05CC77D1" w:rsidR="001B7FB8" w:rsidRDefault="001B7FB8" w:rsidP="00247672">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Expert category</w:t>
            </w:r>
          </w:p>
        </w:tc>
        <w:tc>
          <w:tcPr>
            <w:tcW w:w="1360" w:type="dxa"/>
          </w:tcPr>
          <w:p w14:paraId="598CE928" w14:textId="3BFA7C40" w:rsidR="001B7FB8" w:rsidRDefault="00F86976" w:rsidP="00247672">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Job</w:t>
            </w:r>
            <w:r w:rsidR="001B7FB8">
              <w:rPr>
                <w:rFonts w:ascii="Times New Roman" w:hAnsi="Times New Roman" w:cs="Times New Roman"/>
                <w:b/>
                <w:bCs/>
                <w:sz w:val="20"/>
                <w:szCs w:val="20"/>
                <w:lang w:val="en-GB"/>
              </w:rPr>
              <w:t xml:space="preserve"> title</w:t>
            </w:r>
          </w:p>
        </w:tc>
        <w:tc>
          <w:tcPr>
            <w:tcW w:w="1272" w:type="dxa"/>
          </w:tcPr>
          <w:p w14:paraId="0DD97C2D" w14:textId="7C30426E" w:rsidR="001B7FB8" w:rsidRDefault="001B7FB8" w:rsidP="00247672">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Nationality</w:t>
            </w:r>
          </w:p>
        </w:tc>
        <w:tc>
          <w:tcPr>
            <w:tcW w:w="1994" w:type="dxa"/>
          </w:tcPr>
          <w:p w14:paraId="0D444984" w14:textId="4B737739" w:rsidR="001B7FB8" w:rsidRDefault="001B7FB8" w:rsidP="00247672">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Years of experience</w:t>
            </w:r>
          </w:p>
        </w:tc>
      </w:tr>
      <w:tr w:rsidR="001B7FB8" w14:paraId="6448C441" w14:textId="0FC50DFF" w:rsidTr="00247672">
        <w:tc>
          <w:tcPr>
            <w:tcW w:w="1000" w:type="dxa"/>
          </w:tcPr>
          <w:p w14:paraId="47A18137" w14:textId="414917CD"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Expert 1</w:t>
            </w:r>
          </w:p>
        </w:tc>
        <w:tc>
          <w:tcPr>
            <w:tcW w:w="1688" w:type="dxa"/>
          </w:tcPr>
          <w:p w14:paraId="19E6E34A" w14:textId="089F97EF"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Scholar</w:t>
            </w:r>
          </w:p>
        </w:tc>
        <w:tc>
          <w:tcPr>
            <w:tcW w:w="1360" w:type="dxa"/>
          </w:tcPr>
          <w:p w14:paraId="49AA4C39" w14:textId="5843C314" w:rsidR="001B7FB8" w:rsidRPr="00247672" w:rsidRDefault="006522DD" w:rsidP="00247672">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P</w:t>
            </w:r>
            <w:r w:rsidR="001B7FB8" w:rsidRPr="00247672">
              <w:rPr>
                <w:rFonts w:ascii="Times New Roman" w:hAnsi="Times New Roman" w:cs="Times New Roman"/>
                <w:sz w:val="20"/>
                <w:szCs w:val="20"/>
                <w:lang w:val="en-GB"/>
              </w:rPr>
              <w:t>rofessor</w:t>
            </w:r>
          </w:p>
        </w:tc>
        <w:tc>
          <w:tcPr>
            <w:tcW w:w="1272" w:type="dxa"/>
          </w:tcPr>
          <w:p w14:paraId="253B0558" w14:textId="77F5961C"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Finland</w:t>
            </w:r>
          </w:p>
        </w:tc>
        <w:tc>
          <w:tcPr>
            <w:tcW w:w="1994" w:type="dxa"/>
          </w:tcPr>
          <w:p w14:paraId="15B6963A" w14:textId="09C87E0A" w:rsidR="001B7FB8" w:rsidRPr="00247672" w:rsidRDefault="001B7FB8" w:rsidP="00247672">
            <w:pPr>
              <w:spacing w:line="360" w:lineRule="auto"/>
              <w:jc w:val="center"/>
              <w:rPr>
                <w:rFonts w:ascii="Times New Roman" w:hAnsi="Times New Roman" w:cs="Times New Roman"/>
                <w:sz w:val="20"/>
                <w:szCs w:val="20"/>
                <w:lang w:val="en-GB"/>
              </w:rPr>
            </w:pPr>
            <w:r w:rsidRPr="001B7FB8">
              <w:rPr>
                <w:rFonts w:ascii="Times New Roman" w:hAnsi="Times New Roman" w:cs="Times New Roman"/>
                <w:sz w:val="20"/>
                <w:szCs w:val="20"/>
                <w:lang w:val="en-GB"/>
              </w:rPr>
              <w:t>&gt;</w:t>
            </w:r>
            <w:r>
              <w:rPr>
                <w:rFonts w:ascii="Times New Roman" w:hAnsi="Times New Roman" w:cs="Times New Roman"/>
                <w:sz w:val="20"/>
                <w:szCs w:val="20"/>
                <w:lang w:val="en-GB"/>
              </w:rPr>
              <w:t xml:space="preserve"> </w:t>
            </w:r>
            <w:r w:rsidRPr="00247672">
              <w:rPr>
                <w:rFonts w:ascii="Times New Roman" w:hAnsi="Times New Roman" w:cs="Times New Roman"/>
                <w:sz w:val="20"/>
                <w:szCs w:val="20"/>
                <w:lang w:val="en-GB"/>
              </w:rPr>
              <w:t>10</w:t>
            </w:r>
          </w:p>
        </w:tc>
      </w:tr>
      <w:tr w:rsidR="001B7FB8" w14:paraId="5CF6BFAC" w14:textId="18ADF774" w:rsidTr="00247672">
        <w:tc>
          <w:tcPr>
            <w:tcW w:w="1000" w:type="dxa"/>
          </w:tcPr>
          <w:p w14:paraId="569DCFCC" w14:textId="268EC021" w:rsidR="001B7FB8" w:rsidRDefault="001B7FB8" w:rsidP="00247672">
            <w:pPr>
              <w:spacing w:line="360" w:lineRule="auto"/>
              <w:jc w:val="center"/>
              <w:rPr>
                <w:rFonts w:ascii="Times New Roman" w:hAnsi="Times New Roman" w:cs="Times New Roman"/>
                <w:b/>
                <w:bCs/>
                <w:sz w:val="20"/>
                <w:szCs w:val="20"/>
                <w:lang w:val="en-GB"/>
              </w:rPr>
            </w:pPr>
            <w:r w:rsidRPr="004F107E">
              <w:rPr>
                <w:rFonts w:ascii="Times New Roman" w:hAnsi="Times New Roman" w:cs="Times New Roman"/>
                <w:sz w:val="20"/>
                <w:szCs w:val="20"/>
                <w:lang w:val="en-GB"/>
              </w:rPr>
              <w:t xml:space="preserve">Expert </w:t>
            </w:r>
            <w:r>
              <w:rPr>
                <w:rFonts w:ascii="Times New Roman" w:hAnsi="Times New Roman" w:cs="Times New Roman"/>
                <w:sz w:val="20"/>
                <w:szCs w:val="20"/>
                <w:lang w:val="en-GB"/>
              </w:rPr>
              <w:t>2</w:t>
            </w:r>
          </w:p>
        </w:tc>
        <w:tc>
          <w:tcPr>
            <w:tcW w:w="1688" w:type="dxa"/>
          </w:tcPr>
          <w:p w14:paraId="7F39AB4F" w14:textId="5330366F"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Scholar</w:t>
            </w:r>
          </w:p>
        </w:tc>
        <w:tc>
          <w:tcPr>
            <w:tcW w:w="1360" w:type="dxa"/>
          </w:tcPr>
          <w:p w14:paraId="626DEC9C" w14:textId="5A015C7D" w:rsidR="001B7FB8" w:rsidRPr="00247672" w:rsidRDefault="006522DD" w:rsidP="00247672">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P</w:t>
            </w:r>
            <w:r w:rsidR="001B7FB8" w:rsidRPr="00247672">
              <w:rPr>
                <w:rFonts w:ascii="Times New Roman" w:hAnsi="Times New Roman" w:cs="Times New Roman"/>
                <w:sz w:val="20"/>
                <w:szCs w:val="20"/>
                <w:lang w:val="en-GB"/>
              </w:rPr>
              <w:t>rofessor</w:t>
            </w:r>
          </w:p>
        </w:tc>
        <w:tc>
          <w:tcPr>
            <w:tcW w:w="1272" w:type="dxa"/>
          </w:tcPr>
          <w:p w14:paraId="2E1B00B4" w14:textId="23F47072" w:rsidR="001B7FB8" w:rsidRPr="00247672" w:rsidRDefault="00082ACD" w:rsidP="00247672">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Italian</w:t>
            </w:r>
          </w:p>
        </w:tc>
        <w:tc>
          <w:tcPr>
            <w:tcW w:w="1994" w:type="dxa"/>
          </w:tcPr>
          <w:p w14:paraId="64FAE273" w14:textId="07837FD2" w:rsidR="001B7FB8" w:rsidRPr="001B7FB8" w:rsidRDefault="00082ACD" w:rsidP="00247672">
            <w:pPr>
              <w:spacing w:line="360" w:lineRule="auto"/>
              <w:jc w:val="center"/>
              <w:rPr>
                <w:rFonts w:ascii="Times New Roman" w:hAnsi="Times New Roman" w:cs="Times New Roman"/>
                <w:sz w:val="20"/>
                <w:szCs w:val="20"/>
                <w:lang w:val="en-GB"/>
              </w:rPr>
            </w:pPr>
            <w:r w:rsidRPr="001B7FB8">
              <w:rPr>
                <w:rFonts w:ascii="Times New Roman" w:hAnsi="Times New Roman" w:cs="Times New Roman"/>
                <w:sz w:val="20"/>
                <w:szCs w:val="20"/>
                <w:lang w:val="en-GB"/>
              </w:rPr>
              <w:t>&gt;</w:t>
            </w:r>
            <w:r>
              <w:rPr>
                <w:rFonts w:ascii="Times New Roman" w:hAnsi="Times New Roman" w:cs="Times New Roman"/>
                <w:sz w:val="20"/>
                <w:szCs w:val="20"/>
                <w:lang w:val="en-GB"/>
              </w:rPr>
              <w:t xml:space="preserve"> </w:t>
            </w:r>
            <w:r w:rsidRPr="004F107E">
              <w:rPr>
                <w:rFonts w:ascii="Times New Roman" w:hAnsi="Times New Roman" w:cs="Times New Roman"/>
                <w:sz w:val="20"/>
                <w:szCs w:val="20"/>
                <w:lang w:val="en-GB"/>
              </w:rPr>
              <w:t>10</w:t>
            </w:r>
          </w:p>
        </w:tc>
      </w:tr>
      <w:tr w:rsidR="001B7FB8" w14:paraId="6F8C6C55" w14:textId="07CE304B" w:rsidTr="00247672">
        <w:tc>
          <w:tcPr>
            <w:tcW w:w="1000" w:type="dxa"/>
          </w:tcPr>
          <w:p w14:paraId="012411DD" w14:textId="53AD6949" w:rsidR="001B7FB8" w:rsidRDefault="001B7FB8" w:rsidP="00247672">
            <w:pPr>
              <w:spacing w:line="360" w:lineRule="auto"/>
              <w:jc w:val="center"/>
              <w:rPr>
                <w:rFonts w:ascii="Times New Roman" w:hAnsi="Times New Roman" w:cs="Times New Roman"/>
                <w:b/>
                <w:bCs/>
                <w:sz w:val="20"/>
                <w:szCs w:val="20"/>
                <w:lang w:val="en-GB"/>
              </w:rPr>
            </w:pPr>
            <w:r w:rsidRPr="004F107E">
              <w:rPr>
                <w:rFonts w:ascii="Times New Roman" w:hAnsi="Times New Roman" w:cs="Times New Roman"/>
                <w:sz w:val="20"/>
                <w:szCs w:val="20"/>
                <w:lang w:val="en-GB"/>
              </w:rPr>
              <w:t xml:space="preserve">Expert </w:t>
            </w:r>
            <w:r>
              <w:rPr>
                <w:rFonts w:ascii="Times New Roman" w:hAnsi="Times New Roman" w:cs="Times New Roman"/>
                <w:sz w:val="20"/>
                <w:szCs w:val="20"/>
                <w:lang w:val="en-GB"/>
              </w:rPr>
              <w:t>3</w:t>
            </w:r>
          </w:p>
        </w:tc>
        <w:tc>
          <w:tcPr>
            <w:tcW w:w="1688" w:type="dxa"/>
          </w:tcPr>
          <w:p w14:paraId="5FCDFFBC" w14:textId="7F99F693"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Scholar</w:t>
            </w:r>
          </w:p>
        </w:tc>
        <w:tc>
          <w:tcPr>
            <w:tcW w:w="1360" w:type="dxa"/>
          </w:tcPr>
          <w:p w14:paraId="7CD8AED4" w14:textId="0FACD677"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Researcher</w:t>
            </w:r>
          </w:p>
        </w:tc>
        <w:tc>
          <w:tcPr>
            <w:tcW w:w="1272" w:type="dxa"/>
          </w:tcPr>
          <w:p w14:paraId="1FB7F706" w14:textId="449356EA"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Italian</w:t>
            </w:r>
          </w:p>
        </w:tc>
        <w:tc>
          <w:tcPr>
            <w:tcW w:w="1994" w:type="dxa"/>
          </w:tcPr>
          <w:p w14:paraId="0C1F70E9" w14:textId="42F8B9A1" w:rsidR="001B7FB8" w:rsidRPr="001B7FB8" w:rsidRDefault="00CA1F2C" w:rsidP="00247672">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 xml:space="preserve">5 </w:t>
            </w:r>
            <w:r w:rsidR="009236C8">
              <w:rPr>
                <w:rFonts w:ascii="Times New Roman" w:hAnsi="Times New Roman" w:cs="Times New Roman"/>
                <w:sz w:val="20"/>
                <w:szCs w:val="20"/>
                <w:lang w:val="en-GB"/>
              </w:rPr>
              <w:t xml:space="preserve">– </w:t>
            </w:r>
            <w:r>
              <w:rPr>
                <w:rFonts w:ascii="Times New Roman" w:hAnsi="Times New Roman" w:cs="Times New Roman"/>
                <w:sz w:val="20"/>
                <w:szCs w:val="20"/>
                <w:lang w:val="en-GB"/>
              </w:rPr>
              <w:t>10</w:t>
            </w:r>
          </w:p>
        </w:tc>
      </w:tr>
      <w:tr w:rsidR="001B7FB8" w14:paraId="2F22B4DD" w14:textId="2D3B4EF2" w:rsidTr="00247672">
        <w:tc>
          <w:tcPr>
            <w:tcW w:w="1000" w:type="dxa"/>
          </w:tcPr>
          <w:p w14:paraId="7924D9D5" w14:textId="0A203251" w:rsidR="001B7FB8" w:rsidRDefault="001B7FB8" w:rsidP="00247672">
            <w:pPr>
              <w:spacing w:line="360" w:lineRule="auto"/>
              <w:jc w:val="center"/>
              <w:rPr>
                <w:rFonts w:ascii="Times New Roman" w:hAnsi="Times New Roman" w:cs="Times New Roman"/>
                <w:b/>
                <w:bCs/>
                <w:sz w:val="20"/>
                <w:szCs w:val="20"/>
                <w:lang w:val="en-GB"/>
              </w:rPr>
            </w:pPr>
            <w:r w:rsidRPr="004F107E">
              <w:rPr>
                <w:rFonts w:ascii="Times New Roman" w:hAnsi="Times New Roman" w:cs="Times New Roman"/>
                <w:sz w:val="20"/>
                <w:szCs w:val="20"/>
                <w:lang w:val="en-GB"/>
              </w:rPr>
              <w:t xml:space="preserve">Expert </w:t>
            </w:r>
            <w:r>
              <w:rPr>
                <w:rFonts w:ascii="Times New Roman" w:hAnsi="Times New Roman" w:cs="Times New Roman"/>
                <w:sz w:val="20"/>
                <w:szCs w:val="20"/>
                <w:lang w:val="en-GB"/>
              </w:rPr>
              <w:t>4</w:t>
            </w:r>
          </w:p>
        </w:tc>
        <w:tc>
          <w:tcPr>
            <w:tcW w:w="1688" w:type="dxa"/>
          </w:tcPr>
          <w:p w14:paraId="15C5C23C" w14:textId="2EC00462"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Practitioner</w:t>
            </w:r>
          </w:p>
        </w:tc>
        <w:tc>
          <w:tcPr>
            <w:tcW w:w="1360" w:type="dxa"/>
          </w:tcPr>
          <w:p w14:paraId="5EB92307" w14:textId="78C974C2"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Entrepreneur</w:t>
            </w:r>
          </w:p>
        </w:tc>
        <w:tc>
          <w:tcPr>
            <w:tcW w:w="1272" w:type="dxa"/>
          </w:tcPr>
          <w:p w14:paraId="7F81BC53" w14:textId="1BDFA727"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Italian</w:t>
            </w:r>
          </w:p>
        </w:tc>
        <w:tc>
          <w:tcPr>
            <w:tcW w:w="1994" w:type="dxa"/>
          </w:tcPr>
          <w:p w14:paraId="57506B83" w14:textId="3A740FC1" w:rsidR="001B7FB8" w:rsidRPr="001B7FB8" w:rsidRDefault="00CA1F2C" w:rsidP="00247672">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&lt; 5</w:t>
            </w:r>
          </w:p>
        </w:tc>
      </w:tr>
      <w:tr w:rsidR="00082ACD" w14:paraId="625FDDF9" w14:textId="43395303" w:rsidTr="00247672">
        <w:tc>
          <w:tcPr>
            <w:tcW w:w="1000" w:type="dxa"/>
          </w:tcPr>
          <w:p w14:paraId="61814DBC" w14:textId="51902A32" w:rsidR="00082ACD" w:rsidRDefault="00082ACD" w:rsidP="00247672">
            <w:pPr>
              <w:spacing w:line="360" w:lineRule="auto"/>
              <w:jc w:val="center"/>
              <w:rPr>
                <w:rFonts w:ascii="Times New Roman" w:hAnsi="Times New Roman" w:cs="Times New Roman"/>
                <w:b/>
                <w:bCs/>
                <w:sz w:val="20"/>
                <w:szCs w:val="20"/>
                <w:lang w:val="en-GB"/>
              </w:rPr>
            </w:pPr>
            <w:r w:rsidRPr="004F107E">
              <w:rPr>
                <w:rFonts w:ascii="Times New Roman" w:hAnsi="Times New Roman" w:cs="Times New Roman"/>
                <w:sz w:val="20"/>
                <w:szCs w:val="20"/>
                <w:lang w:val="en-GB"/>
              </w:rPr>
              <w:t xml:space="preserve">Expert </w:t>
            </w:r>
            <w:r>
              <w:rPr>
                <w:rFonts w:ascii="Times New Roman" w:hAnsi="Times New Roman" w:cs="Times New Roman"/>
                <w:sz w:val="20"/>
                <w:szCs w:val="20"/>
                <w:lang w:val="en-GB"/>
              </w:rPr>
              <w:t>5</w:t>
            </w:r>
          </w:p>
        </w:tc>
        <w:tc>
          <w:tcPr>
            <w:tcW w:w="1688" w:type="dxa"/>
          </w:tcPr>
          <w:p w14:paraId="38902221" w14:textId="404E6B41" w:rsidR="00082ACD" w:rsidRPr="00247672" w:rsidRDefault="00082ACD"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Practitioner</w:t>
            </w:r>
          </w:p>
        </w:tc>
        <w:tc>
          <w:tcPr>
            <w:tcW w:w="1360" w:type="dxa"/>
          </w:tcPr>
          <w:p w14:paraId="0C7A16FF" w14:textId="4B9825B4" w:rsidR="00082ACD" w:rsidRPr="00247672" w:rsidRDefault="00082ACD"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Consultant</w:t>
            </w:r>
          </w:p>
        </w:tc>
        <w:tc>
          <w:tcPr>
            <w:tcW w:w="1272" w:type="dxa"/>
          </w:tcPr>
          <w:p w14:paraId="42D0E14B" w14:textId="285C8B6A" w:rsidR="00082ACD" w:rsidRPr="00247672" w:rsidRDefault="00082ACD" w:rsidP="00247672">
            <w:pPr>
              <w:spacing w:line="360" w:lineRule="auto"/>
              <w:jc w:val="center"/>
              <w:rPr>
                <w:rFonts w:ascii="Times New Roman" w:hAnsi="Times New Roman" w:cs="Times New Roman"/>
                <w:sz w:val="20"/>
                <w:szCs w:val="20"/>
                <w:lang w:val="en-GB"/>
              </w:rPr>
            </w:pPr>
            <w:r w:rsidRPr="004F107E">
              <w:rPr>
                <w:rFonts w:ascii="Times New Roman" w:hAnsi="Times New Roman" w:cs="Times New Roman"/>
                <w:sz w:val="20"/>
                <w:szCs w:val="20"/>
                <w:lang w:val="en-GB"/>
              </w:rPr>
              <w:t>German</w:t>
            </w:r>
          </w:p>
        </w:tc>
        <w:tc>
          <w:tcPr>
            <w:tcW w:w="1994" w:type="dxa"/>
          </w:tcPr>
          <w:p w14:paraId="09326C71" w14:textId="73AE0C05" w:rsidR="00082ACD" w:rsidRPr="001B7FB8" w:rsidRDefault="00082ACD" w:rsidP="00247672">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 – 10</w:t>
            </w:r>
          </w:p>
        </w:tc>
      </w:tr>
      <w:tr w:rsidR="001B7FB8" w14:paraId="6181F505" w14:textId="6E76D010" w:rsidTr="00247672">
        <w:tc>
          <w:tcPr>
            <w:tcW w:w="1000" w:type="dxa"/>
          </w:tcPr>
          <w:p w14:paraId="12D39099" w14:textId="728DE543" w:rsidR="001B7FB8" w:rsidRDefault="001B7FB8" w:rsidP="00247672">
            <w:pPr>
              <w:spacing w:line="360" w:lineRule="auto"/>
              <w:jc w:val="center"/>
              <w:rPr>
                <w:rFonts w:ascii="Times New Roman" w:hAnsi="Times New Roman" w:cs="Times New Roman"/>
                <w:b/>
                <w:bCs/>
                <w:sz w:val="20"/>
                <w:szCs w:val="20"/>
                <w:lang w:val="en-GB"/>
              </w:rPr>
            </w:pPr>
            <w:r w:rsidRPr="004F107E">
              <w:rPr>
                <w:rFonts w:ascii="Times New Roman" w:hAnsi="Times New Roman" w:cs="Times New Roman"/>
                <w:sz w:val="20"/>
                <w:szCs w:val="20"/>
                <w:lang w:val="en-GB"/>
              </w:rPr>
              <w:t xml:space="preserve">Expert </w:t>
            </w:r>
            <w:r>
              <w:rPr>
                <w:rFonts w:ascii="Times New Roman" w:hAnsi="Times New Roman" w:cs="Times New Roman"/>
                <w:sz w:val="20"/>
                <w:szCs w:val="20"/>
                <w:lang w:val="en-GB"/>
              </w:rPr>
              <w:t>6</w:t>
            </w:r>
          </w:p>
        </w:tc>
        <w:tc>
          <w:tcPr>
            <w:tcW w:w="1688" w:type="dxa"/>
          </w:tcPr>
          <w:p w14:paraId="595EE9B7" w14:textId="1E2C33A7"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Practitioner</w:t>
            </w:r>
          </w:p>
        </w:tc>
        <w:tc>
          <w:tcPr>
            <w:tcW w:w="1360" w:type="dxa"/>
          </w:tcPr>
          <w:p w14:paraId="2938EACC" w14:textId="2B810D27"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Consultant</w:t>
            </w:r>
          </w:p>
        </w:tc>
        <w:tc>
          <w:tcPr>
            <w:tcW w:w="1272" w:type="dxa"/>
          </w:tcPr>
          <w:p w14:paraId="07945B5F" w14:textId="4CB69A9C" w:rsidR="001B7FB8" w:rsidRPr="00247672" w:rsidRDefault="001B7FB8" w:rsidP="00247672">
            <w:pPr>
              <w:spacing w:line="360" w:lineRule="auto"/>
              <w:jc w:val="center"/>
              <w:rPr>
                <w:rFonts w:ascii="Times New Roman" w:hAnsi="Times New Roman" w:cs="Times New Roman"/>
                <w:sz w:val="20"/>
                <w:szCs w:val="20"/>
                <w:lang w:val="en-GB"/>
              </w:rPr>
            </w:pPr>
            <w:r w:rsidRPr="00247672">
              <w:rPr>
                <w:rFonts w:ascii="Times New Roman" w:hAnsi="Times New Roman" w:cs="Times New Roman"/>
                <w:sz w:val="20"/>
                <w:szCs w:val="20"/>
                <w:lang w:val="en-GB"/>
              </w:rPr>
              <w:t>Italian</w:t>
            </w:r>
          </w:p>
        </w:tc>
        <w:tc>
          <w:tcPr>
            <w:tcW w:w="1994" w:type="dxa"/>
          </w:tcPr>
          <w:p w14:paraId="5F18EBAC" w14:textId="3AF0D286" w:rsidR="001B7FB8" w:rsidRPr="001B7FB8" w:rsidRDefault="001B7FB8" w:rsidP="00247672">
            <w:pPr>
              <w:spacing w:line="360" w:lineRule="auto"/>
              <w:jc w:val="center"/>
              <w:rPr>
                <w:rFonts w:ascii="Times New Roman" w:hAnsi="Times New Roman" w:cs="Times New Roman"/>
                <w:sz w:val="20"/>
                <w:szCs w:val="20"/>
                <w:lang w:val="en-GB"/>
              </w:rPr>
            </w:pPr>
            <w:r w:rsidRPr="001B7FB8">
              <w:rPr>
                <w:rFonts w:ascii="Times New Roman" w:hAnsi="Times New Roman" w:cs="Times New Roman"/>
                <w:sz w:val="20"/>
                <w:szCs w:val="20"/>
                <w:lang w:val="en-GB"/>
              </w:rPr>
              <w:t>&gt;</w:t>
            </w:r>
            <w:r>
              <w:rPr>
                <w:rFonts w:ascii="Times New Roman" w:hAnsi="Times New Roman" w:cs="Times New Roman"/>
                <w:sz w:val="20"/>
                <w:szCs w:val="20"/>
                <w:lang w:val="en-GB"/>
              </w:rPr>
              <w:t xml:space="preserve"> </w:t>
            </w:r>
            <w:r w:rsidRPr="004F107E">
              <w:rPr>
                <w:rFonts w:ascii="Times New Roman" w:hAnsi="Times New Roman" w:cs="Times New Roman"/>
                <w:sz w:val="20"/>
                <w:szCs w:val="20"/>
                <w:lang w:val="en-GB"/>
              </w:rPr>
              <w:t>10</w:t>
            </w:r>
          </w:p>
        </w:tc>
      </w:tr>
    </w:tbl>
    <w:p w14:paraId="4A83A4DD" w14:textId="77777777" w:rsidR="001B7FB8" w:rsidRDefault="001B7FB8" w:rsidP="0063355E">
      <w:pPr>
        <w:spacing w:line="360" w:lineRule="auto"/>
        <w:jc w:val="both"/>
        <w:rPr>
          <w:rFonts w:ascii="Times New Roman" w:hAnsi="Times New Roman" w:cs="Times New Roman"/>
          <w:b/>
          <w:bCs/>
          <w:sz w:val="20"/>
          <w:szCs w:val="20"/>
          <w:lang w:val="en-GB"/>
        </w:rPr>
      </w:pPr>
    </w:p>
    <w:p w14:paraId="566A2130" w14:textId="77777777" w:rsidR="00A2703E" w:rsidRDefault="00A2703E" w:rsidP="0063355E">
      <w:pPr>
        <w:spacing w:line="360" w:lineRule="auto"/>
        <w:jc w:val="both"/>
        <w:rPr>
          <w:rFonts w:ascii="Times New Roman" w:hAnsi="Times New Roman" w:cs="Times New Roman"/>
          <w:b/>
          <w:bCs/>
          <w:sz w:val="20"/>
          <w:szCs w:val="20"/>
          <w:lang w:val="en-GB"/>
        </w:rPr>
        <w:sectPr w:rsidR="00A2703E" w:rsidSect="004B1CF3">
          <w:pgSz w:w="16838" w:h="11906" w:orient="landscape"/>
          <w:pgMar w:top="1134" w:right="1417" w:bottom="1134" w:left="1134" w:header="708" w:footer="708" w:gutter="0"/>
          <w:cols w:space="708"/>
          <w:docGrid w:linePitch="360"/>
        </w:sectPr>
      </w:pPr>
    </w:p>
    <w:p w14:paraId="0664AEBF" w14:textId="66667C35" w:rsidR="00B93D26" w:rsidRPr="0063355E" w:rsidRDefault="00000000" w:rsidP="0063355E">
      <w:pPr>
        <w:spacing w:line="360" w:lineRule="auto"/>
        <w:jc w:val="both"/>
        <w:rPr>
          <w:rFonts w:ascii="Times New Roman" w:hAnsi="Times New Roman" w:cs="Times New Roman"/>
          <w:b/>
          <w:bCs/>
          <w:sz w:val="20"/>
          <w:szCs w:val="20"/>
          <w:lang w:val="en-GB"/>
        </w:rPr>
      </w:pPr>
      <w:r w:rsidRPr="0063355E">
        <w:rPr>
          <w:rFonts w:ascii="Times New Roman" w:hAnsi="Times New Roman" w:cs="Times New Roman"/>
          <w:b/>
          <w:bCs/>
          <w:sz w:val="20"/>
          <w:szCs w:val="20"/>
          <w:lang w:val="en-GB"/>
        </w:rPr>
        <w:lastRenderedPageBreak/>
        <w:t xml:space="preserve">Appendix </w:t>
      </w:r>
      <w:r w:rsidR="001B7FB8">
        <w:rPr>
          <w:rFonts w:ascii="Times New Roman" w:hAnsi="Times New Roman" w:cs="Times New Roman"/>
          <w:b/>
          <w:bCs/>
          <w:sz w:val="20"/>
          <w:szCs w:val="20"/>
          <w:lang w:val="en-GB"/>
        </w:rPr>
        <w:t>2</w:t>
      </w:r>
      <w:r w:rsidRPr="0063355E">
        <w:rPr>
          <w:rFonts w:ascii="Times New Roman" w:hAnsi="Times New Roman" w:cs="Times New Roman"/>
          <w:b/>
          <w:bCs/>
          <w:sz w:val="20"/>
          <w:szCs w:val="20"/>
          <w:lang w:val="en-GB"/>
        </w:rPr>
        <w:t xml:space="preserve">. </w:t>
      </w:r>
      <w:r w:rsidRPr="0063355E">
        <w:rPr>
          <w:rFonts w:ascii="Times New Roman" w:hAnsi="Times New Roman" w:cs="Times New Roman"/>
          <w:sz w:val="20"/>
          <w:szCs w:val="20"/>
          <w:lang w:val="en-GB"/>
        </w:rPr>
        <w:t>Minimum, average, and maximum score among scores received by experts with reference to MSPs belonging to the six emerging clusters and enabl</w:t>
      </w:r>
      <w:r w:rsidR="00D10BC2">
        <w:rPr>
          <w:rFonts w:ascii="Times New Roman" w:hAnsi="Times New Roman" w:cs="Times New Roman"/>
          <w:sz w:val="20"/>
          <w:szCs w:val="20"/>
          <w:lang w:val="en-GB"/>
        </w:rPr>
        <w:t>ing</w:t>
      </w:r>
      <w:r w:rsidRPr="0063355E">
        <w:rPr>
          <w:rFonts w:ascii="Times New Roman" w:hAnsi="Times New Roman" w:cs="Times New Roman"/>
          <w:sz w:val="20"/>
          <w:szCs w:val="20"/>
          <w:lang w:val="en-GB"/>
        </w:rPr>
        <w:t xml:space="preserve"> CBM managerial practices, at the end of the </w:t>
      </w:r>
      <w:r w:rsidR="00D10BC2">
        <w:rPr>
          <w:rFonts w:ascii="Times New Roman" w:hAnsi="Times New Roman" w:cs="Times New Roman"/>
          <w:sz w:val="20"/>
          <w:szCs w:val="20"/>
          <w:lang w:val="en-GB"/>
        </w:rPr>
        <w:t>iteration</w:t>
      </w:r>
      <w:r w:rsidR="009236C8">
        <w:rPr>
          <w:rFonts w:ascii="Times New Roman" w:hAnsi="Times New Roman" w:cs="Times New Roman"/>
          <w:sz w:val="20"/>
          <w:szCs w:val="20"/>
          <w:lang w:val="en-GB"/>
        </w:rPr>
        <w:t>s</w:t>
      </w:r>
      <w:r w:rsidR="00D10BC2">
        <w:rPr>
          <w:rFonts w:ascii="Times New Roman" w:hAnsi="Times New Roman" w:cs="Times New Roman"/>
          <w:sz w:val="20"/>
          <w:szCs w:val="20"/>
          <w:lang w:val="en-GB"/>
        </w:rPr>
        <w:t xml:space="preserve"> of the </w:t>
      </w:r>
      <w:r w:rsidRPr="0063355E">
        <w:rPr>
          <w:rFonts w:ascii="Times New Roman" w:hAnsi="Times New Roman" w:cs="Times New Roman"/>
          <w:sz w:val="20"/>
          <w:szCs w:val="20"/>
          <w:lang w:val="en-GB"/>
        </w:rPr>
        <w:t>Delphi method (Likert scale from 1 to 5)</w:t>
      </w:r>
      <w:r w:rsidR="00932EBC" w:rsidRPr="00932EBC">
        <w:rPr>
          <w:rFonts w:ascii="Times New Roman" w:hAnsi="Times New Roman" w:cs="Times New Roman"/>
          <w:sz w:val="20"/>
          <w:szCs w:val="20"/>
          <w:lang w:val="en-GB"/>
        </w:rPr>
        <w:t>.</w:t>
      </w:r>
    </w:p>
    <w:tbl>
      <w:tblPr>
        <w:tblStyle w:val="Grigliatabella"/>
        <w:tblW w:w="0" w:type="auto"/>
        <w:tblLook w:val="04A0" w:firstRow="1" w:lastRow="0" w:firstColumn="1" w:lastColumn="0" w:noHBand="0" w:noVBand="1"/>
      </w:tblPr>
      <w:tblGrid>
        <w:gridCol w:w="4248"/>
        <w:gridCol w:w="1656"/>
        <w:gridCol w:w="1657"/>
        <w:gridCol w:w="1657"/>
        <w:gridCol w:w="1656"/>
        <w:gridCol w:w="1657"/>
        <w:gridCol w:w="1657"/>
      </w:tblGrid>
      <w:tr w:rsidR="0063355E" w:rsidRPr="009E7235" w14:paraId="2F99F8DF" w14:textId="77777777" w:rsidTr="00932EBC">
        <w:trPr>
          <w:trHeight w:val="158"/>
        </w:trPr>
        <w:tc>
          <w:tcPr>
            <w:tcW w:w="4248" w:type="dxa"/>
            <w:vAlign w:val="center"/>
          </w:tcPr>
          <w:p w14:paraId="5F90924D" w14:textId="77777777" w:rsidR="00B93D26" w:rsidRPr="00EF41BE" w:rsidRDefault="00000000" w:rsidP="00EF41BE">
            <w:pPr>
              <w:spacing w:line="360" w:lineRule="auto"/>
              <w:jc w:val="center"/>
              <w:rPr>
                <w:rFonts w:ascii="Times New Roman" w:hAnsi="Times New Roman" w:cs="Times New Roman"/>
                <w:b/>
                <w:bCs/>
                <w:sz w:val="16"/>
                <w:szCs w:val="16"/>
                <w:lang w:val="en-GB"/>
              </w:rPr>
            </w:pPr>
            <w:r w:rsidRPr="00EF41BE">
              <w:rPr>
                <w:rFonts w:ascii="Times New Roman" w:hAnsi="Times New Roman" w:cs="Times New Roman"/>
                <w:b/>
                <w:bCs/>
                <w:sz w:val="16"/>
                <w:szCs w:val="16"/>
                <w:lang w:val="en-GB"/>
              </w:rPr>
              <w:t>Questions</w:t>
            </w:r>
          </w:p>
        </w:tc>
        <w:tc>
          <w:tcPr>
            <w:tcW w:w="1656" w:type="dxa"/>
            <w:vAlign w:val="center"/>
          </w:tcPr>
          <w:p w14:paraId="484987A9" w14:textId="77777777" w:rsidR="00B93D26" w:rsidRDefault="00000000" w:rsidP="00EF41BE">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Cluster 1</w:t>
            </w:r>
          </w:p>
          <w:p w14:paraId="311A9A11" w14:textId="3A55B0F0" w:rsidR="001862F7" w:rsidRDefault="001862F7" w:rsidP="00EF41BE">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(“Limited scrapping”)</w:t>
            </w:r>
          </w:p>
          <w:p w14:paraId="47E6499E" w14:textId="77777777" w:rsidR="00B93D26" w:rsidRPr="00EF41BE" w:rsidRDefault="00000000" w:rsidP="00EF41BE">
            <w:pPr>
              <w:spacing w:line="360" w:lineRule="auto"/>
              <w:jc w:val="center"/>
              <w:rPr>
                <w:rFonts w:ascii="Times New Roman" w:hAnsi="Times New Roman" w:cs="Times New Roman"/>
                <w:sz w:val="14"/>
                <w:szCs w:val="14"/>
                <w:lang w:val="en-GB"/>
              </w:rPr>
            </w:pPr>
            <w:r w:rsidRPr="00EF41BE">
              <w:rPr>
                <w:rFonts w:ascii="Times New Roman" w:hAnsi="Times New Roman" w:cs="Times New Roman"/>
                <w:sz w:val="14"/>
                <w:szCs w:val="14"/>
                <w:lang w:val="en-GB"/>
              </w:rPr>
              <w:t>(min – average – max rate)</w:t>
            </w:r>
          </w:p>
        </w:tc>
        <w:tc>
          <w:tcPr>
            <w:tcW w:w="1657" w:type="dxa"/>
            <w:vAlign w:val="center"/>
          </w:tcPr>
          <w:p w14:paraId="68A30977" w14:textId="77777777" w:rsidR="00B93D26" w:rsidRDefault="00000000" w:rsidP="00EF41BE">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Cluster 2</w:t>
            </w:r>
          </w:p>
          <w:p w14:paraId="6ABEF91A" w14:textId="236733D9" w:rsidR="001862F7" w:rsidRDefault="001862F7" w:rsidP="001862F7">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(“Enhanced scrapping”)</w:t>
            </w:r>
          </w:p>
          <w:p w14:paraId="51AEF69E" w14:textId="77777777" w:rsidR="00B93D26" w:rsidRPr="00D019AA" w:rsidRDefault="00000000" w:rsidP="00EF41BE">
            <w:pPr>
              <w:spacing w:line="360" w:lineRule="auto"/>
              <w:jc w:val="center"/>
              <w:rPr>
                <w:rFonts w:ascii="Times New Roman" w:hAnsi="Times New Roman" w:cs="Times New Roman"/>
                <w:b/>
                <w:bCs/>
                <w:sz w:val="14"/>
                <w:szCs w:val="14"/>
                <w:lang w:val="en-GB"/>
              </w:rPr>
            </w:pPr>
            <w:r w:rsidRPr="00EF41BE">
              <w:rPr>
                <w:rFonts w:ascii="Times New Roman" w:hAnsi="Times New Roman" w:cs="Times New Roman"/>
                <w:sz w:val="14"/>
                <w:szCs w:val="14"/>
                <w:lang w:val="en-GB"/>
              </w:rPr>
              <w:t>(min – average – max rate)</w:t>
            </w:r>
          </w:p>
        </w:tc>
        <w:tc>
          <w:tcPr>
            <w:tcW w:w="1657" w:type="dxa"/>
            <w:vAlign w:val="center"/>
          </w:tcPr>
          <w:p w14:paraId="4037E3D0" w14:textId="77777777" w:rsidR="00B93D26" w:rsidRDefault="00000000" w:rsidP="00EF41BE">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Cluster 3</w:t>
            </w:r>
          </w:p>
          <w:p w14:paraId="35922242" w14:textId="606DE339" w:rsidR="001862F7" w:rsidRDefault="001862F7" w:rsidP="00EF41BE">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(“Stretching”)</w:t>
            </w:r>
          </w:p>
          <w:p w14:paraId="3B2B894A" w14:textId="77777777" w:rsidR="00B93D26" w:rsidRPr="007170FC" w:rsidRDefault="00000000" w:rsidP="00EF41BE">
            <w:pPr>
              <w:spacing w:line="360" w:lineRule="auto"/>
              <w:jc w:val="center"/>
              <w:rPr>
                <w:rFonts w:ascii="Times New Roman" w:hAnsi="Times New Roman" w:cs="Times New Roman"/>
                <w:b/>
                <w:bCs/>
                <w:sz w:val="16"/>
                <w:szCs w:val="16"/>
                <w:lang w:val="en-GB"/>
              </w:rPr>
            </w:pPr>
            <w:r w:rsidRPr="00EF41BE">
              <w:rPr>
                <w:rFonts w:ascii="Times New Roman" w:hAnsi="Times New Roman" w:cs="Times New Roman"/>
                <w:sz w:val="13"/>
                <w:szCs w:val="13"/>
                <w:lang w:val="en-GB"/>
              </w:rPr>
              <w:t>(min – average – max rate)</w:t>
            </w:r>
          </w:p>
        </w:tc>
        <w:tc>
          <w:tcPr>
            <w:tcW w:w="1656" w:type="dxa"/>
            <w:vAlign w:val="center"/>
          </w:tcPr>
          <w:p w14:paraId="103EB6D9" w14:textId="77777777" w:rsidR="00B93D26" w:rsidRDefault="00000000" w:rsidP="00EF41BE">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Cluster 4</w:t>
            </w:r>
          </w:p>
          <w:p w14:paraId="0B56F21B" w14:textId="37E44FB0" w:rsidR="001862F7" w:rsidRDefault="001862F7" w:rsidP="001862F7">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(“Switching”)</w:t>
            </w:r>
          </w:p>
          <w:p w14:paraId="50F969F0" w14:textId="77777777" w:rsidR="00B93D26" w:rsidRPr="00EF41BE" w:rsidRDefault="00000000" w:rsidP="00EF41BE">
            <w:pPr>
              <w:spacing w:line="360" w:lineRule="auto"/>
              <w:jc w:val="center"/>
              <w:rPr>
                <w:rFonts w:ascii="Times New Roman" w:hAnsi="Times New Roman" w:cs="Times New Roman"/>
                <w:b/>
                <w:bCs/>
                <w:sz w:val="14"/>
                <w:szCs w:val="14"/>
                <w:lang w:val="en-GB"/>
              </w:rPr>
            </w:pPr>
            <w:r w:rsidRPr="00EF41BE">
              <w:rPr>
                <w:rFonts w:ascii="Times New Roman" w:hAnsi="Times New Roman" w:cs="Times New Roman"/>
                <w:sz w:val="14"/>
                <w:szCs w:val="14"/>
                <w:lang w:val="en-GB"/>
              </w:rPr>
              <w:t>(min – average – max rate)</w:t>
            </w:r>
          </w:p>
        </w:tc>
        <w:tc>
          <w:tcPr>
            <w:tcW w:w="1657" w:type="dxa"/>
            <w:vAlign w:val="center"/>
          </w:tcPr>
          <w:p w14:paraId="0B62047E" w14:textId="77777777" w:rsidR="00B93D26" w:rsidRDefault="00000000" w:rsidP="00EF41BE">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Cluster 5</w:t>
            </w:r>
          </w:p>
          <w:p w14:paraId="4F2B93EA" w14:textId="0940C608" w:rsidR="001862F7" w:rsidRDefault="001862F7" w:rsidP="001862F7">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(“Specialized swapping”)</w:t>
            </w:r>
          </w:p>
          <w:p w14:paraId="4A530341" w14:textId="77777777" w:rsidR="00B93D26" w:rsidRPr="00EF41BE" w:rsidRDefault="00000000" w:rsidP="00EF41BE">
            <w:pPr>
              <w:spacing w:line="360" w:lineRule="auto"/>
              <w:jc w:val="center"/>
              <w:rPr>
                <w:rFonts w:ascii="Times New Roman" w:hAnsi="Times New Roman" w:cs="Times New Roman"/>
                <w:b/>
                <w:bCs/>
                <w:sz w:val="14"/>
                <w:szCs w:val="14"/>
                <w:lang w:val="en-GB"/>
              </w:rPr>
            </w:pPr>
            <w:r w:rsidRPr="00EF41BE">
              <w:rPr>
                <w:rFonts w:ascii="Times New Roman" w:hAnsi="Times New Roman" w:cs="Times New Roman"/>
                <w:sz w:val="14"/>
                <w:szCs w:val="14"/>
                <w:lang w:val="en-GB"/>
              </w:rPr>
              <w:t>(min – average – max rate)</w:t>
            </w:r>
          </w:p>
        </w:tc>
        <w:tc>
          <w:tcPr>
            <w:tcW w:w="1657" w:type="dxa"/>
            <w:vAlign w:val="center"/>
          </w:tcPr>
          <w:p w14:paraId="78BAD798" w14:textId="77777777" w:rsidR="001862F7" w:rsidRDefault="00000000" w:rsidP="00EF41BE">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Cluster 6</w:t>
            </w:r>
          </w:p>
          <w:p w14:paraId="6DB0B844" w14:textId="5DB60ECC" w:rsidR="00B93D26" w:rsidRDefault="001862F7" w:rsidP="001862F7">
            <w:pPr>
              <w:spacing w:line="360" w:lineRule="auto"/>
              <w:jc w:val="center"/>
              <w:rPr>
                <w:rFonts w:ascii="Times New Roman" w:hAnsi="Times New Roman" w:cs="Times New Roman"/>
                <w:b/>
                <w:bCs/>
                <w:sz w:val="16"/>
                <w:szCs w:val="16"/>
                <w:lang w:val="en-GB"/>
              </w:rPr>
            </w:pPr>
            <w:r>
              <w:rPr>
                <w:rFonts w:ascii="Times New Roman" w:hAnsi="Times New Roman" w:cs="Times New Roman"/>
                <w:b/>
                <w:bCs/>
                <w:sz w:val="16"/>
                <w:szCs w:val="16"/>
                <w:lang w:val="en-GB"/>
              </w:rPr>
              <w:t>(“Generic swapping”)</w:t>
            </w:r>
            <w:r w:rsidRPr="00DA3202">
              <w:rPr>
                <w:rFonts w:ascii="Times New Roman" w:hAnsi="Times New Roman" w:cs="Times New Roman"/>
                <w:b/>
                <w:sz w:val="16"/>
                <w:szCs w:val="16"/>
                <w:lang w:val="en-US"/>
              </w:rPr>
              <w:br/>
            </w:r>
            <w:r w:rsidRPr="00EF41BE">
              <w:rPr>
                <w:rFonts w:ascii="Times New Roman" w:hAnsi="Times New Roman" w:cs="Times New Roman"/>
                <w:sz w:val="14"/>
                <w:szCs w:val="14"/>
                <w:lang w:val="en-GB"/>
              </w:rPr>
              <w:t>(min – average – max rate</w:t>
            </w:r>
            <w:r w:rsidRPr="00EF41BE">
              <w:rPr>
                <w:rFonts w:ascii="Times New Roman" w:hAnsi="Times New Roman" w:cs="Times New Roman"/>
                <w:sz w:val="15"/>
                <w:szCs w:val="15"/>
                <w:lang w:val="en-GB"/>
              </w:rPr>
              <w:t>)</w:t>
            </w:r>
          </w:p>
        </w:tc>
      </w:tr>
      <w:tr w:rsidR="0063355E" w:rsidRPr="007170FC" w14:paraId="7D6ADA16" w14:textId="77777777" w:rsidTr="00932EBC">
        <w:trPr>
          <w:trHeight w:val="41"/>
        </w:trPr>
        <w:tc>
          <w:tcPr>
            <w:tcW w:w="4248" w:type="dxa"/>
            <w:vAlign w:val="center"/>
          </w:tcPr>
          <w:p w14:paraId="40ED59B4" w14:textId="77777777" w:rsidR="00B93D26" w:rsidRPr="00EF41BE" w:rsidRDefault="00000000" w:rsidP="00EF41BE">
            <w:pPr>
              <w:spacing w:line="360" w:lineRule="auto"/>
              <w:jc w:val="center"/>
              <w:rPr>
                <w:rFonts w:ascii="Times New Roman" w:hAnsi="Times New Roman" w:cs="Times New Roman"/>
                <w:sz w:val="16"/>
                <w:szCs w:val="16"/>
                <w:lang w:val="en-GB"/>
              </w:rPr>
            </w:pPr>
            <w:r w:rsidRPr="00EF41BE">
              <w:rPr>
                <w:rFonts w:ascii="Times New Roman" w:hAnsi="Times New Roman" w:cs="Times New Roman"/>
                <w:sz w:val="16"/>
                <w:szCs w:val="16"/>
                <w:lang w:val="en-GB"/>
              </w:rPr>
              <w:t>(</w:t>
            </w:r>
            <w:proofErr w:type="spellStart"/>
            <w:r w:rsidRPr="00EF41BE">
              <w:rPr>
                <w:rFonts w:ascii="Times New Roman" w:hAnsi="Times New Roman" w:cs="Times New Roman"/>
                <w:sz w:val="16"/>
                <w:szCs w:val="16"/>
                <w:lang w:val="en-GB"/>
              </w:rPr>
              <w:t>i</w:t>
            </w:r>
            <w:proofErr w:type="spellEnd"/>
            <w:r w:rsidRPr="00EF41BE">
              <w:rPr>
                <w:rFonts w:ascii="Times New Roman" w:hAnsi="Times New Roman" w:cs="Times New Roman"/>
                <w:sz w:val="16"/>
                <w:szCs w:val="16"/>
                <w:lang w:val="en-GB"/>
              </w:rPr>
              <w:t>)</w:t>
            </w:r>
            <w:r w:rsidRPr="00EF41BE">
              <w:rPr>
                <w:rFonts w:ascii="Times New Roman" w:hAnsi="Times New Roman" w:cs="Times New Roman"/>
                <w:i/>
                <w:iCs/>
                <w:sz w:val="16"/>
                <w:szCs w:val="16"/>
                <w:lang w:val="en-GB"/>
              </w:rPr>
              <w:t>“How much does the platform allow for the achievement of closing CSC</w:t>
            </w:r>
            <w:r>
              <w:rPr>
                <w:rFonts w:ascii="Times New Roman" w:hAnsi="Times New Roman" w:cs="Times New Roman"/>
                <w:i/>
                <w:iCs/>
                <w:sz w:val="16"/>
                <w:szCs w:val="16"/>
                <w:lang w:val="en-GB"/>
              </w:rPr>
              <w:t xml:space="preserve"> </w:t>
            </w:r>
            <w:r w:rsidRPr="00EF41BE">
              <w:rPr>
                <w:rFonts w:ascii="Times New Roman" w:hAnsi="Times New Roman" w:cs="Times New Roman"/>
                <w:i/>
                <w:iCs/>
                <w:sz w:val="16"/>
                <w:szCs w:val="16"/>
                <w:lang w:val="en-GB"/>
              </w:rPr>
              <w:t>strategy?</w:t>
            </w:r>
          </w:p>
        </w:tc>
        <w:tc>
          <w:tcPr>
            <w:tcW w:w="1656" w:type="dxa"/>
            <w:vAlign w:val="center"/>
          </w:tcPr>
          <w:p w14:paraId="6C972E4C" w14:textId="77777777" w:rsidR="00B93D26" w:rsidRPr="00932EBC" w:rsidRDefault="00000000" w:rsidP="00EF41BE">
            <w:pPr>
              <w:spacing w:line="360" w:lineRule="auto"/>
              <w:jc w:val="center"/>
              <w:rPr>
                <w:rFonts w:ascii="Times New Roman" w:hAnsi="Times New Roman" w:cs="Times New Roman"/>
                <w:sz w:val="16"/>
                <w:szCs w:val="16"/>
                <w:lang w:val="en-GB"/>
              </w:rPr>
            </w:pPr>
            <w:r w:rsidRPr="00932EBC">
              <w:rPr>
                <w:rFonts w:ascii="Times New Roman" w:hAnsi="Times New Roman" w:cs="Times New Roman"/>
                <w:sz w:val="16"/>
                <w:szCs w:val="16"/>
                <w:lang w:val="en-GB"/>
              </w:rPr>
              <w:t>4 – 4.7 – 5</w:t>
            </w:r>
          </w:p>
        </w:tc>
        <w:tc>
          <w:tcPr>
            <w:tcW w:w="1657" w:type="dxa"/>
            <w:vAlign w:val="center"/>
          </w:tcPr>
          <w:p w14:paraId="7ED806A0" w14:textId="77777777" w:rsidR="00B93D26" w:rsidRPr="00932EBC" w:rsidRDefault="00000000" w:rsidP="00EF41BE">
            <w:pPr>
              <w:spacing w:line="360" w:lineRule="auto"/>
              <w:jc w:val="center"/>
              <w:rPr>
                <w:rFonts w:ascii="Times New Roman" w:hAnsi="Times New Roman" w:cs="Times New Roman"/>
                <w:sz w:val="16"/>
                <w:szCs w:val="16"/>
                <w:lang w:val="en-GB"/>
              </w:rPr>
            </w:pPr>
            <w:r w:rsidRPr="00932EBC">
              <w:rPr>
                <w:rFonts w:ascii="Times New Roman" w:hAnsi="Times New Roman" w:cs="Times New Roman"/>
                <w:sz w:val="16"/>
                <w:szCs w:val="16"/>
                <w:lang w:val="en-GB"/>
              </w:rPr>
              <w:t>3 – 4.5 – 5</w:t>
            </w:r>
          </w:p>
        </w:tc>
        <w:tc>
          <w:tcPr>
            <w:tcW w:w="1657" w:type="dxa"/>
            <w:vAlign w:val="center"/>
          </w:tcPr>
          <w:p w14:paraId="4083336B"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6" w:type="dxa"/>
            <w:vAlign w:val="center"/>
          </w:tcPr>
          <w:p w14:paraId="04585D20"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4CF95284"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13DF6D25"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r>
      <w:tr w:rsidR="0063355E" w:rsidRPr="007170FC" w14:paraId="37B89F82" w14:textId="77777777" w:rsidTr="00932EBC">
        <w:trPr>
          <w:trHeight w:val="41"/>
        </w:trPr>
        <w:tc>
          <w:tcPr>
            <w:tcW w:w="4248" w:type="dxa"/>
            <w:vAlign w:val="center"/>
          </w:tcPr>
          <w:p w14:paraId="073D804C" w14:textId="77777777" w:rsidR="00B93D26" w:rsidRPr="00EF41BE" w:rsidRDefault="00000000" w:rsidP="00EF41BE">
            <w:pPr>
              <w:spacing w:line="360" w:lineRule="auto"/>
              <w:jc w:val="center"/>
              <w:rPr>
                <w:rFonts w:ascii="Times New Roman" w:hAnsi="Times New Roman" w:cs="Times New Roman"/>
                <w:sz w:val="16"/>
                <w:szCs w:val="16"/>
                <w:lang w:val="en-GB"/>
              </w:rPr>
            </w:pPr>
            <w:r w:rsidRPr="00EF41BE">
              <w:rPr>
                <w:rFonts w:ascii="Times New Roman" w:hAnsi="Times New Roman" w:cs="Times New Roman"/>
                <w:sz w:val="16"/>
                <w:szCs w:val="16"/>
                <w:lang w:val="en-GB"/>
              </w:rPr>
              <w:t>(ii)</w:t>
            </w:r>
            <w:r w:rsidRPr="00EF41BE">
              <w:rPr>
                <w:rFonts w:ascii="Times New Roman" w:hAnsi="Times New Roman" w:cs="Times New Roman"/>
                <w:i/>
                <w:iCs/>
                <w:sz w:val="16"/>
                <w:szCs w:val="16"/>
                <w:lang w:val="en-GB"/>
              </w:rPr>
              <w:t>“How much does the platform allow for the achievement of slowing CSC strategy?”</w:t>
            </w:r>
          </w:p>
        </w:tc>
        <w:tc>
          <w:tcPr>
            <w:tcW w:w="1656" w:type="dxa"/>
            <w:vAlign w:val="center"/>
          </w:tcPr>
          <w:p w14:paraId="5D6F924A"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1C4C00F2"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2ACCF225" w14:textId="77777777" w:rsidR="00B93D26" w:rsidRPr="007170FC" w:rsidRDefault="00000000" w:rsidP="00EF41BE">
            <w:pPr>
              <w:spacing w:line="360" w:lineRule="auto"/>
              <w:jc w:val="center"/>
              <w:rPr>
                <w:rFonts w:ascii="Times New Roman" w:hAnsi="Times New Roman" w:cs="Times New Roman"/>
                <w:sz w:val="16"/>
                <w:szCs w:val="16"/>
                <w:lang w:val="en-GB"/>
              </w:rPr>
            </w:pPr>
            <w:r w:rsidRPr="00C47B7B">
              <w:rPr>
                <w:rFonts w:ascii="Times New Roman" w:hAnsi="Times New Roman" w:cs="Times New Roman"/>
                <w:sz w:val="16"/>
                <w:szCs w:val="16"/>
                <w:lang w:val="en-GB"/>
              </w:rPr>
              <w:t xml:space="preserve">4 – </w:t>
            </w:r>
            <w:r w:rsidRPr="00EF41BE">
              <w:rPr>
                <w:rFonts w:ascii="Times New Roman" w:hAnsi="Times New Roman" w:cs="Times New Roman"/>
                <w:sz w:val="16"/>
                <w:szCs w:val="16"/>
                <w:lang w:val="en-GB"/>
              </w:rPr>
              <w:t>4</w:t>
            </w:r>
            <w:r>
              <w:rPr>
                <w:rFonts w:ascii="Times New Roman" w:hAnsi="Times New Roman" w:cs="Times New Roman"/>
                <w:sz w:val="16"/>
                <w:szCs w:val="16"/>
                <w:lang w:val="en-GB"/>
              </w:rPr>
              <w:t>.8</w:t>
            </w:r>
            <w:r w:rsidRPr="00C47B7B">
              <w:rPr>
                <w:rFonts w:ascii="Times New Roman" w:hAnsi="Times New Roman" w:cs="Times New Roman"/>
                <w:sz w:val="16"/>
                <w:szCs w:val="16"/>
                <w:lang w:val="en-GB"/>
              </w:rPr>
              <w:t xml:space="preserve"> – 5</w:t>
            </w:r>
          </w:p>
        </w:tc>
        <w:tc>
          <w:tcPr>
            <w:tcW w:w="1656" w:type="dxa"/>
            <w:vAlign w:val="center"/>
          </w:tcPr>
          <w:p w14:paraId="1372520E" w14:textId="77777777" w:rsidR="00B93D26" w:rsidRPr="007170FC" w:rsidRDefault="00000000" w:rsidP="00EF41BE">
            <w:pPr>
              <w:spacing w:line="360" w:lineRule="auto"/>
              <w:jc w:val="center"/>
              <w:rPr>
                <w:rFonts w:ascii="Times New Roman" w:hAnsi="Times New Roman" w:cs="Times New Roman"/>
                <w:sz w:val="16"/>
                <w:szCs w:val="16"/>
                <w:lang w:val="en-GB"/>
              </w:rPr>
            </w:pPr>
            <w:r w:rsidRPr="00C47B7B">
              <w:rPr>
                <w:rFonts w:ascii="Times New Roman" w:hAnsi="Times New Roman" w:cs="Times New Roman"/>
                <w:sz w:val="16"/>
                <w:szCs w:val="16"/>
                <w:lang w:val="en-GB"/>
              </w:rPr>
              <w:t xml:space="preserve">4 – </w:t>
            </w:r>
            <w:r w:rsidRPr="00EF41BE">
              <w:rPr>
                <w:rFonts w:ascii="Times New Roman" w:hAnsi="Times New Roman" w:cs="Times New Roman"/>
                <w:sz w:val="16"/>
                <w:szCs w:val="16"/>
                <w:lang w:val="en-GB"/>
              </w:rPr>
              <w:t>4</w:t>
            </w:r>
            <w:r>
              <w:rPr>
                <w:rFonts w:ascii="Times New Roman" w:hAnsi="Times New Roman" w:cs="Times New Roman"/>
                <w:sz w:val="16"/>
                <w:szCs w:val="16"/>
                <w:lang w:val="en-GB"/>
              </w:rPr>
              <w:t>.8</w:t>
            </w:r>
            <w:r w:rsidRPr="00C47B7B">
              <w:rPr>
                <w:rFonts w:ascii="Times New Roman" w:hAnsi="Times New Roman" w:cs="Times New Roman"/>
                <w:sz w:val="16"/>
                <w:szCs w:val="16"/>
                <w:lang w:val="en-GB"/>
              </w:rPr>
              <w:t xml:space="preserve"> – 5</w:t>
            </w:r>
          </w:p>
        </w:tc>
        <w:tc>
          <w:tcPr>
            <w:tcW w:w="1657" w:type="dxa"/>
            <w:vAlign w:val="center"/>
          </w:tcPr>
          <w:p w14:paraId="23C2AA0C"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7E02425B"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r>
      <w:tr w:rsidR="0063355E" w:rsidRPr="007170FC" w14:paraId="33B785A9" w14:textId="77777777" w:rsidTr="00932EBC">
        <w:trPr>
          <w:trHeight w:val="41"/>
        </w:trPr>
        <w:tc>
          <w:tcPr>
            <w:tcW w:w="4248" w:type="dxa"/>
            <w:vAlign w:val="center"/>
          </w:tcPr>
          <w:p w14:paraId="40CC2135" w14:textId="77777777" w:rsidR="00B93D26" w:rsidRPr="00EF41BE" w:rsidRDefault="00000000" w:rsidP="00EF41BE">
            <w:pPr>
              <w:spacing w:line="360" w:lineRule="auto"/>
              <w:jc w:val="center"/>
              <w:rPr>
                <w:rFonts w:ascii="Times New Roman" w:hAnsi="Times New Roman" w:cs="Times New Roman"/>
                <w:sz w:val="16"/>
                <w:szCs w:val="16"/>
                <w:lang w:val="en-GB"/>
              </w:rPr>
            </w:pPr>
            <w:r w:rsidRPr="00EF41BE">
              <w:rPr>
                <w:rFonts w:ascii="Times New Roman" w:hAnsi="Times New Roman" w:cs="Times New Roman"/>
                <w:sz w:val="16"/>
                <w:szCs w:val="16"/>
                <w:lang w:val="en-GB"/>
              </w:rPr>
              <w:t>(iii)</w:t>
            </w:r>
            <w:r w:rsidRPr="00EF41BE">
              <w:rPr>
                <w:rFonts w:ascii="Times New Roman" w:hAnsi="Times New Roman" w:cs="Times New Roman"/>
                <w:i/>
                <w:iCs/>
                <w:sz w:val="16"/>
                <w:szCs w:val="16"/>
                <w:lang w:val="en-GB"/>
              </w:rPr>
              <w:t>“How much does the platform allow for the achievement of narrowing CSC strategy?”</w:t>
            </w:r>
          </w:p>
        </w:tc>
        <w:tc>
          <w:tcPr>
            <w:tcW w:w="1656" w:type="dxa"/>
            <w:vAlign w:val="center"/>
          </w:tcPr>
          <w:p w14:paraId="7222C611"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3B1575E2"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US"/>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415834BF"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US"/>
              </w:rPr>
            </w:pPr>
            <w:r w:rsidRPr="00932EBC">
              <w:rPr>
                <w:rFonts w:ascii="Times New Roman" w:hAnsi="Times New Roman" w:cs="Times New Roman"/>
                <w:color w:val="A6A6A6" w:themeColor="background1" w:themeShade="A6"/>
                <w:sz w:val="16"/>
                <w:szCs w:val="16"/>
                <w:lang w:val="en-GB"/>
              </w:rPr>
              <w:t>1 – 1 – 1</w:t>
            </w:r>
          </w:p>
        </w:tc>
        <w:tc>
          <w:tcPr>
            <w:tcW w:w="1656" w:type="dxa"/>
            <w:vAlign w:val="center"/>
          </w:tcPr>
          <w:p w14:paraId="6FEC4E76"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US"/>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578B0538" w14:textId="77777777" w:rsidR="00B93D26" w:rsidRPr="007170FC" w:rsidRDefault="00000000" w:rsidP="00EF41BE">
            <w:pPr>
              <w:spacing w:line="360" w:lineRule="auto"/>
              <w:jc w:val="center"/>
              <w:rPr>
                <w:rFonts w:ascii="Times New Roman" w:hAnsi="Times New Roman" w:cs="Times New Roman"/>
                <w:sz w:val="16"/>
                <w:szCs w:val="16"/>
                <w:lang w:val="en-US"/>
              </w:rPr>
            </w:pPr>
            <w:r w:rsidRPr="00AF525C">
              <w:rPr>
                <w:rFonts w:ascii="Times New Roman" w:hAnsi="Times New Roman" w:cs="Times New Roman"/>
                <w:sz w:val="16"/>
                <w:szCs w:val="16"/>
                <w:lang w:val="en-GB"/>
              </w:rPr>
              <w:t>4 – 4.</w:t>
            </w:r>
            <w:r>
              <w:rPr>
                <w:rFonts w:ascii="Times New Roman" w:hAnsi="Times New Roman" w:cs="Times New Roman"/>
                <w:sz w:val="16"/>
                <w:szCs w:val="16"/>
                <w:lang w:val="en-GB"/>
              </w:rPr>
              <w:t>6</w:t>
            </w:r>
            <w:r w:rsidRPr="00AF525C">
              <w:rPr>
                <w:rFonts w:ascii="Times New Roman" w:hAnsi="Times New Roman" w:cs="Times New Roman"/>
                <w:sz w:val="16"/>
                <w:szCs w:val="16"/>
                <w:lang w:val="en-GB"/>
              </w:rPr>
              <w:t xml:space="preserve"> – 5</w:t>
            </w:r>
          </w:p>
        </w:tc>
        <w:tc>
          <w:tcPr>
            <w:tcW w:w="1657" w:type="dxa"/>
            <w:vAlign w:val="center"/>
          </w:tcPr>
          <w:p w14:paraId="0B541508" w14:textId="77777777" w:rsidR="00B93D26" w:rsidRPr="007170FC" w:rsidRDefault="00000000" w:rsidP="00EF41BE">
            <w:pPr>
              <w:spacing w:line="360" w:lineRule="auto"/>
              <w:jc w:val="center"/>
              <w:rPr>
                <w:rFonts w:ascii="Times New Roman" w:hAnsi="Times New Roman" w:cs="Times New Roman"/>
                <w:sz w:val="16"/>
                <w:szCs w:val="16"/>
                <w:lang w:val="en-US"/>
              </w:rPr>
            </w:pPr>
            <w:r w:rsidRPr="00AF525C">
              <w:rPr>
                <w:rFonts w:ascii="Times New Roman" w:hAnsi="Times New Roman" w:cs="Times New Roman"/>
                <w:sz w:val="16"/>
                <w:szCs w:val="16"/>
                <w:lang w:val="en-GB"/>
              </w:rPr>
              <w:t>4 – 4.8 – 5</w:t>
            </w:r>
          </w:p>
        </w:tc>
      </w:tr>
      <w:tr w:rsidR="0063355E" w:rsidRPr="007170FC" w14:paraId="140EAAF3" w14:textId="77777777" w:rsidTr="00932EBC">
        <w:trPr>
          <w:trHeight w:val="41"/>
        </w:trPr>
        <w:tc>
          <w:tcPr>
            <w:tcW w:w="4248" w:type="dxa"/>
            <w:vAlign w:val="center"/>
          </w:tcPr>
          <w:p w14:paraId="228F6F40" w14:textId="77777777" w:rsidR="00B93D26" w:rsidRPr="00EF41BE" w:rsidRDefault="00000000" w:rsidP="00EF41BE">
            <w:pPr>
              <w:spacing w:line="360" w:lineRule="auto"/>
              <w:jc w:val="center"/>
              <w:rPr>
                <w:rFonts w:ascii="Times New Roman" w:hAnsi="Times New Roman" w:cs="Times New Roman"/>
                <w:sz w:val="16"/>
                <w:szCs w:val="16"/>
                <w:lang w:val="en-GB"/>
              </w:rPr>
            </w:pPr>
            <w:r w:rsidRPr="00EF41BE">
              <w:rPr>
                <w:rFonts w:ascii="Times New Roman" w:hAnsi="Times New Roman" w:cs="Times New Roman"/>
                <w:sz w:val="16"/>
                <w:szCs w:val="16"/>
                <w:lang w:val="en-GB"/>
              </w:rPr>
              <w:t xml:space="preserve">(iv) </w:t>
            </w:r>
            <w:r w:rsidRPr="00EF41BE">
              <w:rPr>
                <w:rFonts w:ascii="Times New Roman" w:hAnsi="Times New Roman" w:cs="Times New Roman"/>
                <w:i/>
                <w:iCs/>
                <w:sz w:val="16"/>
                <w:szCs w:val="16"/>
                <w:lang w:val="en-GB"/>
              </w:rPr>
              <w:t>“How much does the platform allow for the achievement of closing CSC strategy in the original supply chain?”</w:t>
            </w:r>
          </w:p>
        </w:tc>
        <w:tc>
          <w:tcPr>
            <w:tcW w:w="1656" w:type="dxa"/>
            <w:vAlign w:val="center"/>
          </w:tcPr>
          <w:p w14:paraId="73ABAF55" w14:textId="77777777" w:rsidR="00B93D26" w:rsidRPr="00EF41BE" w:rsidRDefault="00000000" w:rsidP="00EF41BE">
            <w:pPr>
              <w:spacing w:line="360" w:lineRule="auto"/>
              <w:jc w:val="center"/>
              <w:rPr>
                <w:rFonts w:ascii="Times New Roman" w:hAnsi="Times New Roman" w:cs="Times New Roman"/>
                <w:sz w:val="16"/>
                <w:szCs w:val="16"/>
                <w:lang w:val="en-GB"/>
              </w:rPr>
            </w:pPr>
            <w:r w:rsidRPr="00C47B7B">
              <w:rPr>
                <w:rFonts w:ascii="Times New Roman" w:hAnsi="Times New Roman" w:cs="Times New Roman"/>
                <w:sz w:val="16"/>
                <w:szCs w:val="16"/>
                <w:lang w:val="en-GB"/>
              </w:rPr>
              <w:t xml:space="preserve">4 – </w:t>
            </w:r>
            <w:r w:rsidRPr="00EF41BE">
              <w:rPr>
                <w:rFonts w:ascii="Times New Roman" w:hAnsi="Times New Roman" w:cs="Times New Roman"/>
                <w:sz w:val="16"/>
                <w:szCs w:val="16"/>
                <w:lang w:val="en-GB"/>
              </w:rPr>
              <w:t>4</w:t>
            </w:r>
            <w:r>
              <w:rPr>
                <w:rFonts w:ascii="Times New Roman" w:hAnsi="Times New Roman" w:cs="Times New Roman"/>
                <w:sz w:val="16"/>
                <w:szCs w:val="16"/>
                <w:lang w:val="en-GB"/>
              </w:rPr>
              <w:t>.</w:t>
            </w:r>
            <w:r w:rsidRPr="00EF41BE">
              <w:rPr>
                <w:rFonts w:ascii="Times New Roman" w:hAnsi="Times New Roman" w:cs="Times New Roman"/>
                <w:sz w:val="16"/>
                <w:szCs w:val="16"/>
                <w:lang w:val="en-GB"/>
              </w:rPr>
              <w:t>3</w:t>
            </w:r>
            <w:r w:rsidRPr="00C47B7B">
              <w:rPr>
                <w:rFonts w:ascii="Times New Roman" w:hAnsi="Times New Roman" w:cs="Times New Roman"/>
                <w:sz w:val="16"/>
                <w:szCs w:val="16"/>
                <w:lang w:val="en-GB"/>
              </w:rPr>
              <w:t xml:space="preserve"> – 5</w:t>
            </w:r>
          </w:p>
        </w:tc>
        <w:tc>
          <w:tcPr>
            <w:tcW w:w="1657" w:type="dxa"/>
            <w:vAlign w:val="center"/>
          </w:tcPr>
          <w:p w14:paraId="1C723BDA" w14:textId="77777777" w:rsidR="00B93D26" w:rsidRPr="00EF41BE" w:rsidRDefault="00000000" w:rsidP="00EF41BE">
            <w:pPr>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3</w:t>
            </w:r>
            <w:r w:rsidRPr="00C47B7B">
              <w:rPr>
                <w:rFonts w:ascii="Times New Roman" w:hAnsi="Times New Roman" w:cs="Times New Roman"/>
                <w:sz w:val="16"/>
                <w:szCs w:val="16"/>
                <w:lang w:val="en-GB"/>
              </w:rPr>
              <w:t xml:space="preserve"> – </w:t>
            </w:r>
            <w:r>
              <w:rPr>
                <w:rFonts w:ascii="Times New Roman" w:hAnsi="Times New Roman" w:cs="Times New Roman"/>
                <w:sz w:val="16"/>
                <w:szCs w:val="16"/>
                <w:lang w:val="en-GB"/>
              </w:rPr>
              <w:t xml:space="preserve">4.3 </w:t>
            </w:r>
            <w:r w:rsidRPr="00C47B7B">
              <w:rPr>
                <w:rFonts w:ascii="Times New Roman" w:hAnsi="Times New Roman" w:cs="Times New Roman"/>
                <w:sz w:val="16"/>
                <w:szCs w:val="16"/>
                <w:lang w:val="en-GB"/>
              </w:rPr>
              <w:t>– 5</w:t>
            </w:r>
          </w:p>
        </w:tc>
        <w:tc>
          <w:tcPr>
            <w:tcW w:w="1657" w:type="dxa"/>
            <w:vAlign w:val="center"/>
          </w:tcPr>
          <w:p w14:paraId="656EEA4B"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6" w:type="dxa"/>
            <w:vAlign w:val="center"/>
          </w:tcPr>
          <w:p w14:paraId="6B1F1FC0"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24120728"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62A94D7D"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r>
      <w:tr w:rsidR="0063355E" w:rsidRPr="007170FC" w14:paraId="7A74073E" w14:textId="77777777" w:rsidTr="00932EBC">
        <w:trPr>
          <w:trHeight w:val="41"/>
        </w:trPr>
        <w:tc>
          <w:tcPr>
            <w:tcW w:w="4248" w:type="dxa"/>
            <w:vAlign w:val="center"/>
          </w:tcPr>
          <w:p w14:paraId="11C0ED65" w14:textId="77777777" w:rsidR="00B93D26" w:rsidRPr="00EF41BE" w:rsidRDefault="00000000" w:rsidP="00EF41BE">
            <w:pPr>
              <w:spacing w:line="360" w:lineRule="auto"/>
              <w:jc w:val="center"/>
              <w:rPr>
                <w:rFonts w:ascii="Times New Roman" w:hAnsi="Times New Roman" w:cs="Times New Roman"/>
                <w:sz w:val="16"/>
                <w:szCs w:val="16"/>
                <w:lang w:val="en-GB"/>
              </w:rPr>
            </w:pPr>
            <w:r w:rsidRPr="00EF41BE">
              <w:rPr>
                <w:rFonts w:ascii="Times New Roman" w:hAnsi="Times New Roman" w:cs="Times New Roman"/>
                <w:sz w:val="16"/>
                <w:szCs w:val="16"/>
                <w:lang w:val="en-GB"/>
              </w:rPr>
              <w:t xml:space="preserve">(v) </w:t>
            </w:r>
            <w:r w:rsidRPr="00EF41BE">
              <w:rPr>
                <w:rFonts w:ascii="Times New Roman" w:hAnsi="Times New Roman" w:cs="Times New Roman"/>
                <w:i/>
                <w:iCs/>
                <w:sz w:val="16"/>
                <w:szCs w:val="16"/>
                <w:lang w:val="en-GB"/>
              </w:rPr>
              <w:t>“How much does the platform allow for the achievement of closing CSC strategy in different supply chains?”</w:t>
            </w:r>
          </w:p>
        </w:tc>
        <w:tc>
          <w:tcPr>
            <w:tcW w:w="1656" w:type="dxa"/>
            <w:vAlign w:val="center"/>
          </w:tcPr>
          <w:p w14:paraId="315FE940"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1.3 – 2</w:t>
            </w:r>
          </w:p>
        </w:tc>
        <w:tc>
          <w:tcPr>
            <w:tcW w:w="1657" w:type="dxa"/>
            <w:vAlign w:val="center"/>
          </w:tcPr>
          <w:p w14:paraId="47840082" w14:textId="77777777" w:rsidR="00B93D26" w:rsidRPr="00EF41BE" w:rsidRDefault="00000000" w:rsidP="00EF41BE">
            <w:pPr>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4</w:t>
            </w:r>
            <w:r w:rsidRPr="00C47B7B">
              <w:rPr>
                <w:rFonts w:ascii="Times New Roman" w:hAnsi="Times New Roman" w:cs="Times New Roman"/>
                <w:sz w:val="16"/>
                <w:szCs w:val="16"/>
                <w:lang w:val="en-GB"/>
              </w:rPr>
              <w:t xml:space="preserve"> – </w:t>
            </w:r>
            <w:r>
              <w:rPr>
                <w:rFonts w:ascii="Times New Roman" w:hAnsi="Times New Roman" w:cs="Times New Roman"/>
                <w:sz w:val="16"/>
                <w:szCs w:val="16"/>
                <w:lang w:val="en-GB"/>
              </w:rPr>
              <w:t xml:space="preserve">4.6 </w:t>
            </w:r>
            <w:r w:rsidRPr="00C47B7B">
              <w:rPr>
                <w:rFonts w:ascii="Times New Roman" w:hAnsi="Times New Roman" w:cs="Times New Roman"/>
                <w:sz w:val="16"/>
                <w:szCs w:val="16"/>
                <w:lang w:val="en-GB"/>
              </w:rPr>
              <w:t>– 5</w:t>
            </w:r>
          </w:p>
        </w:tc>
        <w:tc>
          <w:tcPr>
            <w:tcW w:w="1657" w:type="dxa"/>
            <w:vAlign w:val="center"/>
          </w:tcPr>
          <w:p w14:paraId="2E146746"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6" w:type="dxa"/>
            <w:vAlign w:val="center"/>
          </w:tcPr>
          <w:p w14:paraId="5FCABF6B"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001E67A8"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297B4E35"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r>
      <w:tr w:rsidR="0063355E" w:rsidRPr="007170FC" w14:paraId="47FC95A8" w14:textId="77777777" w:rsidTr="00932EBC">
        <w:trPr>
          <w:trHeight w:val="41"/>
        </w:trPr>
        <w:tc>
          <w:tcPr>
            <w:tcW w:w="4248" w:type="dxa"/>
            <w:vAlign w:val="center"/>
          </w:tcPr>
          <w:p w14:paraId="5046C265" w14:textId="77777777" w:rsidR="00B93D26" w:rsidRPr="00EF41BE" w:rsidRDefault="00000000" w:rsidP="00EF41BE">
            <w:pPr>
              <w:spacing w:line="360" w:lineRule="auto"/>
              <w:jc w:val="center"/>
              <w:rPr>
                <w:rFonts w:ascii="Times New Roman" w:hAnsi="Times New Roman" w:cs="Times New Roman"/>
                <w:sz w:val="16"/>
                <w:szCs w:val="16"/>
                <w:lang w:val="en-GB"/>
              </w:rPr>
            </w:pPr>
            <w:r w:rsidRPr="00EF41BE">
              <w:rPr>
                <w:rFonts w:ascii="Times New Roman" w:hAnsi="Times New Roman" w:cs="Times New Roman"/>
                <w:sz w:val="16"/>
                <w:szCs w:val="16"/>
                <w:lang w:val="en-GB"/>
              </w:rPr>
              <w:t xml:space="preserve">(vi) </w:t>
            </w:r>
            <w:r w:rsidRPr="00EF41BE">
              <w:rPr>
                <w:rFonts w:ascii="Times New Roman" w:hAnsi="Times New Roman" w:cs="Times New Roman"/>
                <w:i/>
                <w:iCs/>
                <w:sz w:val="16"/>
                <w:szCs w:val="16"/>
                <w:lang w:val="en-GB"/>
              </w:rPr>
              <w:t>“How much does the platform allow for the achievement of slowing CSC strategy in the original supply chain?”</w:t>
            </w:r>
          </w:p>
        </w:tc>
        <w:tc>
          <w:tcPr>
            <w:tcW w:w="1656" w:type="dxa"/>
            <w:vAlign w:val="center"/>
          </w:tcPr>
          <w:p w14:paraId="459C73AF"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1E0ED5FF"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3A344DD0" w14:textId="77777777" w:rsidR="00B93D26" w:rsidRPr="007170FC" w:rsidRDefault="00000000" w:rsidP="00EF41BE">
            <w:pPr>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4</w:t>
            </w:r>
            <w:r w:rsidRPr="00C47B7B">
              <w:rPr>
                <w:rFonts w:ascii="Times New Roman" w:hAnsi="Times New Roman" w:cs="Times New Roman"/>
                <w:sz w:val="16"/>
                <w:szCs w:val="16"/>
                <w:lang w:val="en-GB"/>
              </w:rPr>
              <w:t xml:space="preserve"> – </w:t>
            </w:r>
            <w:r>
              <w:rPr>
                <w:rFonts w:ascii="Times New Roman" w:hAnsi="Times New Roman" w:cs="Times New Roman"/>
                <w:sz w:val="16"/>
                <w:szCs w:val="16"/>
                <w:lang w:val="en-GB"/>
              </w:rPr>
              <w:t xml:space="preserve">4.6 </w:t>
            </w:r>
            <w:r w:rsidRPr="00C47B7B">
              <w:rPr>
                <w:rFonts w:ascii="Times New Roman" w:hAnsi="Times New Roman" w:cs="Times New Roman"/>
                <w:sz w:val="16"/>
                <w:szCs w:val="16"/>
                <w:lang w:val="en-GB"/>
              </w:rPr>
              <w:t>– 5</w:t>
            </w:r>
            <w:r>
              <w:rPr>
                <w:rFonts w:ascii="Times New Roman" w:hAnsi="Times New Roman" w:cs="Times New Roman"/>
                <w:sz w:val="16"/>
                <w:szCs w:val="16"/>
                <w:lang w:val="en-GB"/>
              </w:rPr>
              <w:t xml:space="preserve"> </w:t>
            </w:r>
          </w:p>
        </w:tc>
        <w:tc>
          <w:tcPr>
            <w:tcW w:w="1656" w:type="dxa"/>
            <w:vAlign w:val="center"/>
          </w:tcPr>
          <w:p w14:paraId="0399E48E"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1.5 – 3</w:t>
            </w:r>
          </w:p>
        </w:tc>
        <w:tc>
          <w:tcPr>
            <w:tcW w:w="1657" w:type="dxa"/>
            <w:vAlign w:val="center"/>
          </w:tcPr>
          <w:p w14:paraId="41E1D3B5"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0F83A278"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r>
      <w:tr w:rsidR="0063355E" w:rsidRPr="007170FC" w14:paraId="19BCF6C8" w14:textId="77777777" w:rsidTr="00932EBC">
        <w:trPr>
          <w:trHeight w:val="41"/>
        </w:trPr>
        <w:tc>
          <w:tcPr>
            <w:tcW w:w="4248" w:type="dxa"/>
            <w:vAlign w:val="center"/>
          </w:tcPr>
          <w:p w14:paraId="4006337C" w14:textId="77777777" w:rsidR="00B93D26" w:rsidRPr="00EF41BE" w:rsidRDefault="00000000" w:rsidP="00EF41BE">
            <w:pPr>
              <w:spacing w:line="360" w:lineRule="auto"/>
              <w:jc w:val="center"/>
              <w:rPr>
                <w:rFonts w:ascii="Times New Roman" w:hAnsi="Times New Roman" w:cs="Times New Roman"/>
                <w:sz w:val="16"/>
                <w:szCs w:val="16"/>
                <w:lang w:val="en-GB"/>
              </w:rPr>
            </w:pPr>
            <w:r w:rsidRPr="00EF41BE">
              <w:rPr>
                <w:rFonts w:ascii="Times New Roman" w:hAnsi="Times New Roman" w:cs="Times New Roman"/>
                <w:sz w:val="16"/>
                <w:szCs w:val="16"/>
                <w:lang w:val="en-GB"/>
              </w:rPr>
              <w:t xml:space="preserve">(vii) </w:t>
            </w:r>
            <w:r w:rsidRPr="00EF41BE">
              <w:rPr>
                <w:rFonts w:ascii="Times New Roman" w:hAnsi="Times New Roman" w:cs="Times New Roman"/>
                <w:i/>
                <w:iCs/>
                <w:sz w:val="16"/>
                <w:szCs w:val="16"/>
                <w:lang w:val="en-GB"/>
              </w:rPr>
              <w:t>“How much does the platform allow for the achievement of slowing CSC strategy in different supply chains?”</w:t>
            </w:r>
          </w:p>
        </w:tc>
        <w:tc>
          <w:tcPr>
            <w:tcW w:w="1656" w:type="dxa"/>
            <w:vAlign w:val="center"/>
          </w:tcPr>
          <w:p w14:paraId="48F1F3A3"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051C9B05"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3573CA63" w14:textId="77777777" w:rsidR="00B93D26" w:rsidRPr="007170FC" w:rsidRDefault="00000000" w:rsidP="00EF41BE">
            <w:pPr>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3</w:t>
            </w:r>
            <w:r w:rsidRPr="00C47B7B">
              <w:rPr>
                <w:rFonts w:ascii="Times New Roman" w:hAnsi="Times New Roman" w:cs="Times New Roman"/>
                <w:sz w:val="16"/>
                <w:szCs w:val="16"/>
                <w:lang w:val="en-GB"/>
              </w:rPr>
              <w:t xml:space="preserve"> – </w:t>
            </w:r>
            <w:r>
              <w:rPr>
                <w:rFonts w:ascii="Times New Roman" w:hAnsi="Times New Roman" w:cs="Times New Roman"/>
                <w:sz w:val="16"/>
                <w:szCs w:val="16"/>
                <w:lang w:val="en-GB"/>
              </w:rPr>
              <w:t xml:space="preserve">4 </w:t>
            </w:r>
            <w:r w:rsidRPr="00C47B7B">
              <w:rPr>
                <w:rFonts w:ascii="Times New Roman" w:hAnsi="Times New Roman" w:cs="Times New Roman"/>
                <w:sz w:val="16"/>
                <w:szCs w:val="16"/>
                <w:lang w:val="en-GB"/>
              </w:rPr>
              <w:t>– 5</w:t>
            </w:r>
          </w:p>
        </w:tc>
        <w:tc>
          <w:tcPr>
            <w:tcW w:w="1656" w:type="dxa"/>
            <w:vAlign w:val="center"/>
          </w:tcPr>
          <w:p w14:paraId="3627FAF4" w14:textId="77777777" w:rsidR="00B93D26" w:rsidRPr="007170FC" w:rsidRDefault="00000000" w:rsidP="00EF41BE">
            <w:pPr>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4</w:t>
            </w:r>
            <w:r w:rsidRPr="00C47B7B">
              <w:rPr>
                <w:rFonts w:ascii="Times New Roman" w:hAnsi="Times New Roman" w:cs="Times New Roman"/>
                <w:sz w:val="16"/>
                <w:szCs w:val="16"/>
                <w:lang w:val="en-GB"/>
              </w:rPr>
              <w:t xml:space="preserve"> – </w:t>
            </w:r>
            <w:r>
              <w:rPr>
                <w:rFonts w:ascii="Times New Roman" w:hAnsi="Times New Roman" w:cs="Times New Roman"/>
                <w:sz w:val="16"/>
                <w:szCs w:val="16"/>
                <w:lang w:val="en-GB"/>
              </w:rPr>
              <w:t xml:space="preserve">4.3 </w:t>
            </w:r>
            <w:r w:rsidRPr="00C47B7B">
              <w:rPr>
                <w:rFonts w:ascii="Times New Roman" w:hAnsi="Times New Roman" w:cs="Times New Roman"/>
                <w:sz w:val="16"/>
                <w:szCs w:val="16"/>
                <w:lang w:val="en-GB"/>
              </w:rPr>
              <w:t>– 5</w:t>
            </w:r>
          </w:p>
        </w:tc>
        <w:tc>
          <w:tcPr>
            <w:tcW w:w="1657" w:type="dxa"/>
            <w:vAlign w:val="center"/>
          </w:tcPr>
          <w:p w14:paraId="36D324F4"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5D3D74F6"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r>
      <w:tr w:rsidR="0063355E" w:rsidRPr="007170FC" w14:paraId="57D3F999" w14:textId="77777777" w:rsidTr="00932EBC">
        <w:trPr>
          <w:trHeight w:val="41"/>
        </w:trPr>
        <w:tc>
          <w:tcPr>
            <w:tcW w:w="4248" w:type="dxa"/>
            <w:vAlign w:val="center"/>
          </w:tcPr>
          <w:p w14:paraId="01542257" w14:textId="77777777" w:rsidR="00B93D26" w:rsidRPr="00EF41BE" w:rsidRDefault="00000000" w:rsidP="00EF41BE">
            <w:pPr>
              <w:spacing w:line="360" w:lineRule="auto"/>
              <w:jc w:val="center"/>
              <w:rPr>
                <w:rFonts w:ascii="Times New Roman" w:hAnsi="Times New Roman" w:cs="Times New Roman"/>
                <w:sz w:val="16"/>
                <w:szCs w:val="16"/>
                <w:lang w:val="en-GB"/>
              </w:rPr>
            </w:pPr>
            <w:r w:rsidRPr="00EF41BE">
              <w:rPr>
                <w:rFonts w:ascii="Times New Roman" w:hAnsi="Times New Roman" w:cs="Times New Roman"/>
                <w:sz w:val="16"/>
                <w:szCs w:val="16"/>
                <w:lang w:val="en-GB"/>
              </w:rPr>
              <w:t xml:space="preserve">(viii) </w:t>
            </w:r>
            <w:r w:rsidRPr="00EF41BE">
              <w:rPr>
                <w:rFonts w:ascii="Times New Roman" w:hAnsi="Times New Roman" w:cs="Times New Roman"/>
                <w:i/>
                <w:iCs/>
                <w:sz w:val="16"/>
                <w:szCs w:val="16"/>
                <w:lang w:val="en-GB"/>
              </w:rPr>
              <w:t>“How much does the platform allow for the achievement of narrowing CSC strategy in the original supply chain?”</w:t>
            </w:r>
          </w:p>
        </w:tc>
        <w:tc>
          <w:tcPr>
            <w:tcW w:w="1656" w:type="dxa"/>
            <w:vAlign w:val="center"/>
          </w:tcPr>
          <w:p w14:paraId="13B60241"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48813641"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200B3B43"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6" w:type="dxa"/>
            <w:vAlign w:val="center"/>
          </w:tcPr>
          <w:p w14:paraId="69ED3AD3"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4CF6A76A" w14:textId="77777777" w:rsidR="00B93D26" w:rsidRPr="007170FC" w:rsidRDefault="00000000" w:rsidP="00EF41BE">
            <w:pPr>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4</w:t>
            </w:r>
            <w:r w:rsidRPr="00C47B7B">
              <w:rPr>
                <w:rFonts w:ascii="Times New Roman" w:hAnsi="Times New Roman" w:cs="Times New Roman"/>
                <w:sz w:val="16"/>
                <w:szCs w:val="16"/>
                <w:lang w:val="en-GB"/>
              </w:rPr>
              <w:t xml:space="preserve"> – </w:t>
            </w:r>
            <w:r>
              <w:rPr>
                <w:rFonts w:ascii="Times New Roman" w:hAnsi="Times New Roman" w:cs="Times New Roman"/>
                <w:sz w:val="16"/>
                <w:szCs w:val="16"/>
                <w:lang w:val="en-GB"/>
              </w:rPr>
              <w:t xml:space="preserve">4.3 </w:t>
            </w:r>
            <w:r w:rsidRPr="00C47B7B">
              <w:rPr>
                <w:rFonts w:ascii="Times New Roman" w:hAnsi="Times New Roman" w:cs="Times New Roman"/>
                <w:sz w:val="16"/>
                <w:szCs w:val="16"/>
                <w:lang w:val="en-GB"/>
              </w:rPr>
              <w:t>– 5</w:t>
            </w:r>
          </w:p>
        </w:tc>
        <w:tc>
          <w:tcPr>
            <w:tcW w:w="1657" w:type="dxa"/>
            <w:vAlign w:val="center"/>
          </w:tcPr>
          <w:p w14:paraId="2D816387" w14:textId="77777777" w:rsidR="00B93D26" w:rsidRPr="007170FC" w:rsidRDefault="00000000" w:rsidP="00EF41BE">
            <w:pPr>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4</w:t>
            </w:r>
            <w:r w:rsidRPr="00C47B7B">
              <w:rPr>
                <w:rFonts w:ascii="Times New Roman" w:hAnsi="Times New Roman" w:cs="Times New Roman"/>
                <w:sz w:val="16"/>
                <w:szCs w:val="16"/>
                <w:lang w:val="en-GB"/>
              </w:rPr>
              <w:t xml:space="preserve"> – </w:t>
            </w:r>
            <w:r>
              <w:rPr>
                <w:rFonts w:ascii="Times New Roman" w:hAnsi="Times New Roman" w:cs="Times New Roman"/>
                <w:sz w:val="16"/>
                <w:szCs w:val="16"/>
                <w:lang w:val="en-GB"/>
              </w:rPr>
              <w:t xml:space="preserve">4.6 </w:t>
            </w:r>
            <w:r w:rsidRPr="00C47B7B">
              <w:rPr>
                <w:rFonts w:ascii="Times New Roman" w:hAnsi="Times New Roman" w:cs="Times New Roman"/>
                <w:sz w:val="16"/>
                <w:szCs w:val="16"/>
                <w:lang w:val="en-GB"/>
              </w:rPr>
              <w:t>– 5</w:t>
            </w:r>
            <w:r>
              <w:rPr>
                <w:rFonts w:ascii="Times New Roman" w:hAnsi="Times New Roman" w:cs="Times New Roman"/>
                <w:sz w:val="16"/>
                <w:szCs w:val="16"/>
                <w:lang w:val="en-GB"/>
              </w:rPr>
              <w:t xml:space="preserve"> </w:t>
            </w:r>
          </w:p>
        </w:tc>
      </w:tr>
      <w:tr w:rsidR="0063355E" w:rsidRPr="007170FC" w14:paraId="122093B0" w14:textId="77777777" w:rsidTr="00932EBC">
        <w:trPr>
          <w:trHeight w:val="41"/>
        </w:trPr>
        <w:tc>
          <w:tcPr>
            <w:tcW w:w="4248" w:type="dxa"/>
            <w:vAlign w:val="center"/>
          </w:tcPr>
          <w:p w14:paraId="7A1B4E53" w14:textId="77777777" w:rsidR="00B93D26" w:rsidRPr="00EF41BE" w:rsidRDefault="00000000" w:rsidP="00EF41BE">
            <w:pPr>
              <w:spacing w:line="360" w:lineRule="auto"/>
              <w:jc w:val="center"/>
              <w:rPr>
                <w:rFonts w:ascii="Times New Roman" w:hAnsi="Times New Roman" w:cs="Times New Roman"/>
                <w:sz w:val="16"/>
                <w:szCs w:val="16"/>
                <w:lang w:val="en-GB"/>
              </w:rPr>
            </w:pPr>
            <w:r w:rsidRPr="00EF41BE">
              <w:rPr>
                <w:rFonts w:ascii="Times New Roman" w:hAnsi="Times New Roman" w:cs="Times New Roman"/>
                <w:sz w:val="16"/>
                <w:szCs w:val="16"/>
                <w:lang w:val="en-GB"/>
              </w:rPr>
              <w:t xml:space="preserve">(ix) </w:t>
            </w:r>
            <w:r w:rsidRPr="00EF41BE">
              <w:rPr>
                <w:rFonts w:ascii="Times New Roman" w:hAnsi="Times New Roman" w:cs="Times New Roman"/>
                <w:i/>
                <w:iCs/>
                <w:sz w:val="16"/>
                <w:szCs w:val="16"/>
                <w:lang w:val="en-GB"/>
              </w:rPr>
              <w:t>“How much does the platform allow for the achievement of narrowing CSC strategy in different supply chains?</w:t>
            </w:r>
          </w:p>
        </w:tc>
        <w:tc>
          <w:tcPr>
            <w:tcW w:w="1656" w:type="dxa"/>
            <w:vAlign w:val="center"/>
          </w:tcPr>
          <w:p w14:paraId="0498CE00"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GB"/>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7523959C"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US"/>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712F8A0A"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US"/>
              </w:rPr>
            </w:pPr>
            <w:r w:rsidRPr="00932EBC">
              <w:rPr>
                <w:rFonts w:ascii="Times New Roman" w:hAnsi="Times New Roman" w:cs="Times New Roman"/>
                <w:color w:val="A6A6A6" w:themeColor="background1" w:themeShade="A6"/>
                <w:sz w:val="16"/>
                <w:szCs w:val="16"/>
                <w:lang w:val="en-GB"/>
              </w:rPr>
              <w:t>1 – 1 – 1</w:t>
            </w:r>
          </w:p>
        </w:tc>
        <w:tc>
          <w:tcPr>
            <w:tcW w:w="1656" w:type="dxa"/>
            <w:vAlign w:val="center"/>
          </w:tcPr>
          <w:p w14:paraId="47CF91F3" w14:textId="77777777" w:rsidR="00B93D26" w:rsidRPr="00932EBC" w:rsidRDefault="00000000" w:rsidP="00EF41BE">
            <w:pPr>
              <w:spacing w:line="360" w:lineRule="auto"/>
              <w:jc w:val="center"/>
              <w:rPr>
                <w:rFonts w:ascii="Times New Roman" w:hAnsi="Times New Roman" w:cs="Times New Roman"/>
                <w:color w:val="A6A6A6" w:themeColor="background1" w:themeShade="A6"/>
                <w:sz w:val="16"/>
                <w:szCs w:val="16"/>
                <w:lang w:val="en-US"/>
              </w:rPr>
            </w:pPr>
            <w:r w:rsidRPr="00932EBC">
              <w:rPr>
                <w:rFonts w:ascii="Times New Roman" w:hAnsi="Times New Roman" w:cs="Times New Roman"/>
                <w:color w:val="A6A6A6" w:themeColor="background1" w:themeShade="A6"/>
                <w:sz w:val="16"/>
                <w:szCs w:val="16"/>
                <w:lang w:val="en-GB"/>
              </w:rPr>
              <w:t>1 – 1 – 1</w:t>
            </w:r>
          </w:p>
        </w:tc>
        <w:tc>
          <w:tcPr>
            <w:tcW w:w="1657" w:type="dxa"/>
            <w:vAlign w:val="center"/>
          </w:tcPr>
          <w:p w14:paraId="011EFBE9" w14:textId="77777777" w:rsidR="00B93D26" w:rsidRPr="007170FC" w:rsidRDefault="00000000" w:rsidP="00EF41BE">
            <w:pPr>
              <w:spacing w:line="360" w:lineRule="auto"/>
              <w:jc w:val="center"/>
              <w:rPr>
                <w:rFonts w:ascii="Times New Roman" w:hAnsi="Times New Roman" w:cs="Times New Roman"/>
                <w:sz w:val="16"/>
                <w:szCs w:val="16"/>
                <w:lang w:val="en-US"/>
              </w:rPr>
            </w:pPr>
            <w:r w:rsidRPr="00932EBC">
              <w:rPr>
                <w:rFonts w:ascii="Times New Roman" w:hAnsi="Times New Roman" w:cs="Times New Roman"/>
                <w:color w:val="A6A6A6" w:themeColor="background1" w:themeShade="A6"/>
                <w:sz w:val="16"/>
                <w:szCs w:val="16"/>
                <w:lang w:val="en-GB"/>
              </w:rPr>
              <w:t>1 – 1.3 – 2</w:t>
            </w:r>
          </w:p>
        </w:tc>
        <w:tc>
          <w:tcPr>
            <w:tcW w:w="1657" w:type="dxa"/>
            <w:vAlign w:val="center"/>
          </w:tcPr>
          <w:p w14:paraId="1CB2CAF3" w14:textId="77777777" w:rsidR="00B93D26" w:rsidRPr="007170FC" w:rsidRDefault="00000000" w:rsidP="00EF41BE">
            <w:pPr>
              <w:spacing w:line="360" w:lineRule="auto"/>
              <w:jc w:val="center"/>
              <w:rPr>
                <w:rFonts w:ascii="Times New Roman" w:hAnsi="Times New Roman" w:cs="Times New Roman"/>
                <w:sz w:val="16"/>
                <w:szCs w:val="16"/>
                <w:lang w:val="en-US"/>
              </w:rPr>
            </w:pPr>
            <w:r>
              <w:rPr>
                <w:rFonts w:ascii="Times New Roman" w:hAnsi="Times New Roman" w:cs="Times New Roman"/>
                <w:sz w:val="16"/>
                <w:szCs w:val="16"/>
                <w:lang w:val="en-GB"/>
              </w:rPr>
              <w:t>3</w:t>
            </w:r>
            <w:r w:rsidRPr="00C47B7B">
              <w:rPr>
                <w:rFonts w:ascii="Times New Roman" w:hAnsi="Times New Roman" w:cs="Times New Roman"/>
                <w:sz w:val="16"/>
                <w:szCs w:val="16"/>
                <w:lang w:val="en-GB"/>
              </w:rPr>
              <w:t xml:space="preserve"> – </w:t>
            </w:r>
            <w:r>
              <w:rPr>
                <w:rFonts w:ascii="Times New Roman" w:hAnsi="Times New Roman" w:cs="Times New Roman"/>
                <w:sz w:val="16"/>
                <w:szCs w:val="16"/>
                <w:lang w:val="en-GB"/>
              </w:rPr>
              <w:t xml:space="preserve">4.3 </w:t>
            </w:r>
            <w:r w:rsidRPr="00C47B7B">
              <w:rPr>
                <w:rFonts w:ascii="Times New Roman" w:hAnsi="Times New Roman" w:cs="Times New Roman"/>
                <w:sz w:val="16"/>
                <w:szCs w:val="16"/>
                <w:lang w:val="en-GB"/>
              </w:rPr>
              <w:t>– 5</w:t>
            </w:r>
          </w:p>
        </w:tc>
      </w:tr>
      <w:tr w:rsidR="0063355E" w:rsidRPr="007170FC" w14:paraId="187B7F0A" w14:textId="77777777" w:rsidTr="00932EBC">
        <w:trPr>
          <w:trHeight w:val="41"/>
        </w:trPr>
        <w:tc>
          <w:tcPr>
            <w:tcW w:w="4248" w:type="dxa"/>
            <w:vAlign w:val="center"/>
          </w:tcPr>
          <w:p w14:paraId="06CE89E4" w14:textId="55FB713B" w:rsidR="00B93D26" w:rsidRPr="00EF41BE" w:rsidRDefault="00000000" w:rsidP="00EF41BE">
            <w:pPr>
              <w:spacing w:line="36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Enabl</w:t>
            </w:r>
            <w:r w:rsidR="00D10BC2">
              <w:rPr>
                <w:rFonts w:ascii="Times New Roman" w:hAnsi="Times New Roman" w:cs="Times New Roman"/>
                <w:sz w:val="16"/>
                <w:szCs w:val="16"/>
                <w:lang w:val="en-GB"/>
              </w:rPr>
              <w:t>ing</w:t>
            </w:r>
            <w:r>
              <w:rPr>
                <w:rFonts w:ascii="Times New Roman" w:hAnsi="Times New Roman" w:cs="Times New Roman"/>
                <w:sz w:val="16"/>
                <w:szCs w:val="16"/>
                <w:lang w:val="en-GB"/>
              </w:rPr>
              <w:t xml:space="preserve"> CBM managerial practice(s)</w:t>
            </w:r>
          </w:p>
        </w:tc>
        <w:tc>
          <w:tcPr>
            <w:tcW w:w="1656" w:type="dxa"/>
            <w:vAlign w:val="center"/>
          </w:tcPr>
          <w:p w14:paraId="3C8C9B79" w14:textId="2A33C3AB" w:rsidR="00B93D26" w:rsidRPr="00853DD2" w:rsidRDefault="00000000" w:rsidP="00EF41BE">
            <w:pPr>
              <w:spacing w:line="360" w:lineRule="auto"/>
              <w:jc w:val="center"/>
              <w:rPr>
                <w:rFonts w:ascii="Times New Roman" w:hAnsi="Times New Roman" w:cs="Times New Roman"/>
                <w:sz w:val="16"/>
                <w:szCs w:val="16"/>
                <w:lang w:val="en-GB"/>
              </w:rPr>
            </w:pPr>
            <w:r w:rsidRPr="00853DD2">
              <w:rPr>
                <w:rFonts w:ascii="Times New Roman" w:hAnsi="Times New Roman" w:cs="Times New Roman"/>
                <w:sz w:val="16"/>
                <w:szCs w:val="16"/>
                <w:lang w:val="en-GB"/>
              </w:rPr>
              <w:t>Recycl</w:t>
            </w:r>
            <w:r w:rsidR="00D10BC2">
              <w:rPr>
                <w:rFonts w:ascii="Times New Roman" w:hAnsi="Times New Roman" w:cs="Times New Roman"/>
                <w:sz w:val="16"/>
                <w:szCs w:val="16"/>
                <w:lang w:val="en-GB"/>
              </w:rPr>
              <w:t>e</w:t>
            </w:r>
          </w:p>
        </w:tc>
        <w:tc>
          <w:tcPr>
            <w:tcW w:w="1657" w:type="dxa"/>
            <w:vAlign w:val="center"/>
          </w:tcPr>
          <w:p w14:paraId="79355685" w14:textId="1EE64BCB" w:rsidR="00B93D26" w:rsidRPr="00853DD2" w:rsidRDefault="00000000" w:rsidP="00EF41BE">
            <w:pPr>
              <w:spacing w:line="360" w:lineRule="auto"/>
              <w:jc w:val="center"/>
              <w:rPr>
                <w:rFonts w:ascii="Times New Roman" w:hAnsi="Times New Roman" w:cs="Times New Roman"/>
                <w:sz w:val="16"/>
                <w:szCs w:val="16"/>
                <w:lang w:val="en-US"/>
              </w:rPr>
            </w:pPr>
            <w:r w:rsidRPr="00853DD2">
              <w:rPr>
                <w:rFonts w:ascii="Times New Roman" w:hAnsi="Times New Roman" w:cs="Times New Roman"/>
                <w:sz w:val="16"/>
                <w:szCs w:val="16"/>
                <w:lang w:val="en-GB"/>
              </w:rPr>
              <w:t>Recycl</w:t>
            </w:r>
            <w:r w:rsidR="00D10BC2">
              <w:rPr>
                <w:rFonts w:ascii="Times New Roman" w:hAnsi="Times New Roman" w:cs="Times New Roman"/>
                <w:sz w:val="16"/>
                <w:szCs w:val="16"/>
                <w:lang w:val="en-GB"/>
              </w:rPr>
              <w:t>e</w:t>
            </w:r>
          </w:p>
        </w:tc>
        <w:tc>
          <w:tcPr>
            <w:tcW w:w="1657" w:type="dxa"/>
            <w:vAlign w:val="center"/>
          </w:tcPr>
          <w:p w14:paraId="0E452182" w14:textId="77777777" w:rsidR="00B93D26" w:rsidRPr="00853DD2" w:rsidRDefault="00000000" w:rsidP="00EF41BE">
            <w:pPr>
              <w:spacing w:line="360" w:lineRule="auto"/>
              <w:jc w:val="center"/>
              <w:rPr>
                <w:rFonts w:ascii="Times New Roman" w:hAnsi="Times New Roman" w:cs="Times New Roman"/>
                <w:sz w:val="16"/>
                <w:szCs w:val="16"/>
                <w:lang w:val="en-US"/>
              </w:rPr>
            </w:pPr>
            <w:r w:rsidRPr="00853DD2">
              <w:rPr>
                <w:rFonts w:ascii="Times New Roman" w:hAnsi="Times New Roman" w:cs="Times New Roman"/>
                <w:sz w:val="16"/>
                <w:szCs w:val="16"/>
                <w:lang w:val="en-US"/>
              </w:rPr>
              <w:t>Repair, Refurbish, Remanufacture</w:t>
            </w:r>
          </w:p>
        </w:tc>
        <w:tc>
          <w:tcPr>
            <w:tcW w:w="1656" w:type="dxa"/>
            <w:vAlign w:val="center"/>
          </w:tcPr>
          <w:p w14:paraId="0D232F01" w14:textId="77777777" w:rsidR="00B93D26" w:rsidRPr="00853DD2" w:rsidRDefault="00000000" w:rsidP="00EF41BE">
            <w:pPr>
              <w:spacing w:line="360" w:lineRule="auto"/>
              <w:jc w:val="center"/>
              <w:rPr>
                <w:rFonts w:ascii="Times New Roman" w:hAnsi="Times New Roman" w:cs="Times New Roman"/>
                <w:sz w:val="16"/>
                <w:szCs w:val="16"/>
                <w:lang w:val="en-US"/>
              </w:rPr>
            </w:pPr>
            <w:r w:rsidRPr="00853DD2">
              <w:rPr>
                <w:rFonts w:ascii="Times New Roman" w:hAnsi="Times New Roman" w:cs="Times New Roman"/>
                <w:sz w:val="16"/>
                <w:szCs w:val="16"/>
                <w:lang w:val="en-US"/>
              </w:rPr>
              <w:t>Repurposing</w:t>
            </w:r>
          </w:p>
        </w:tc>
        <w:tc>
          <w:tcPr>
            <w:tcW w:w="1657" w:type="dxa"/>
            <w:vAlign w:val="center"/>
          </w:tcPr>
          <w:p w14:paraId="19CEE460" w14:textId="77777777" w:rsidR="00B93D26" w:rsidRPr="00853DD2" w:rsidRDefault="00000000" w:rsidP="00EF41BE">
            <w:pPr>
              <w:spacing w:line="360" w:lineRule="auto"/>
              <w:jc w:val="center"/>
              <w:rPr>
                <w:rFonts w:ascii="Times New Roman" w:hAnsi="Times New Roman" w:cs="Times New Roman"/>
                <w:sz w:val="16"/>
                <w:szCs w:val="16"/>
                <w:lang w:val="en-US"/>
              </w:rPr>
            </w:pPr>
            <w:r w:rsidRPr="00853DD2">
              <w:rPr>
                <w:rFonts w:ascii="Times New Roman" w:hAnsi="Times New Roman" w:cs="Times New Roman"/>
                <w:sz w:val="16"/>
                <w:szCs w:val="16"/>
                <w:lang w:val="en-US"/>
              </w:rPr>
              <w:t>Reuse</w:t>
            </w:r>
          </w:p>
        </w:tc>
        <w:tc>
          <w:tcPr>
            <w:tcW w:w="1657" w:type="dxa"/>
            <w:vAlign w:val="center"/>
          </w:tcPr>
          <w:p w14:paraId="311BF464" w14:textId="77777777" w:rsidR="00B93D26" w:rsidRPr="00853DD2" w:rsidRDefault="00000000" w:rsidP="00EF41BE">
            <w:pPr>
              <w:spacing w:line="360" w:lineRule="auto"/>
              <w:jc w:val="center"/>
              <w:rPr>
                <w:rFonts w:ascii="Times New Roman" w:hAnsi="Times New Roman" w:cs="Times New Roman"/>
                <w:sz w:val="16"/>
                <w:szCs w:val="16"/>
                <w:lang w:val="en-US"/>
              </w:rPr>
            </w:pPr>
            <w:r w:rsidRPr="00853DD2">
              <w:rPr>
                <w:rFonts w:ascii="Times New Roman" w:hAnsi="Times New Roman" w:cs="Times New Roman"/>
                <w:sz w:val="16"/>
                <w:szCs w:val="16"/>
                <w:lang w:val="en-US"/>
              </w:rPr>
              <w:t>Reuse</w:t>
            </w:r>
          </w:p>
        </w:tc>
      </w:tr>
    </w:tbl>
    <w:p w14:paraId="54C56CE3" w14:textId="77777777" w:rsidR="00B93D26" w:rsidRPr="007B6B7A" w:rsidRDefault="00B93D26" w:rsidP="004B1CF3">
      <w:pPr>
        <w:jc w:val="both"/>
        <w:rPr>
          <w:rFonts w:ascii="Times New Roman" w:hAnsi="Times New Roman" w:cs="Times New Roman"/>
          <w:sz w:val="24"/>
          <w:szCs w:val="24"/>
          <w:lang w:val="en-GB"/>
        </w:rPr>
      </w:pPr>
    </w:p>
    <w:sectPr w:rsidR="00B93D26" w:rsidRPr="007B6B7A" w:rsidSect="004B1CF3">
      <w:pgSz w:w="16838" w:h="11906" w:orient="landscape"/>
      <w:pgMar w:top="1134" w:right="1417"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DF7E4" w14:textId="77777777" w:rsidR="00880443" w:rsidRDefault="00880443" w:rsidP="003333C4">
      <w:pPr>
        <w:spacing w:after="0" w:line="240" w:lineRule="auto"/>
      </w:pPr>
      <w:r>
        <w:separator/>
      </w:r>
    </w:p>
  </w:endnote>
  <w:endnote w:type="continuationSeparator" w:id="0">
    <w:p w14:paraId="19D58C7A" w14:textId="77777777" w:rsidR="00880443" w:rsidRDefault="00880443" w:rsidP="003333C4">
      <w:pPr>
        <w:spacing w:after="0" w:line="240" w:lineRule="auto"/>
      </w:pPr>
      <w:r>
        <w:continuationSeparator/>
      </w:r>
    </w:p>
  </w:endnote>
  <w:endnote w:type="continuationNotice" w:id="1">
    <w:p w14:paraId="730EC648" w14:textId="77777777" w:rsidR="00880443" w:rsidRDefault="008804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4389267"/>
      <w:docPartObj>
        <w:docPartGallery w:val="Page Numbers (Bottom of Page)"/>
        <w:docPartUnique/>
      </w:docPartObj>
    </w:sdtPr>
    <w:sdtContent>
      <w:p w14:paraId="0C1AFD3D" w14:textId="77777777" w:rsidR="00B93D26" w:rsidRDefault="00000000">
        <w:pPr>
          <w:pStyle w:val="Pidipagina"/>
          <w:jc w:val="right"/>
        </w:pPr>
        <w:r>
          <w:fldChar w:fldCharType="begin"/>
        </w:r>
        <w:r>
          <w:instrText>PAGE   \* MERGEFORMAT</w:instrText>
        </w:r>
        <w:r>
          <w:fldChar w:fldCharType="separate"/>
        </w:r>
        <w:r>
          <w:t>2</w:t>
        </w:r>
        <w:r>
          <w:fldChar w:fldCharType="end"/>
        </w:r>
      </w:p>
    </w:sdtContent>
  </w:sdt>
  <w:p w14:paraId="0271B2C7" w14:textId="77777777" w:rsidR="00B93D26" w:rsidRDefault="00B93D2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134EA3" w14:textId="77777777" w:rsidR="00880443" w:rsidRDefault="00880443" w:rsidP="003333C4">
      <w:pPr>
        <w:spacing w:after="0" w:line="240" w:lineRule="auto"/>
      </w:pPr>
      <w:r>
        <w:separator/>
      </w:r>
    </w:p>
  </w:footnote>
  <w:footnote w:type="continuationSeparator" w:id="0">
    <w:p w14:paraId="3F7DAF4E" w14:textId="77777777" w:rsidR="00880443" w:rsidRDefault="00880443" w:rsidP="003333C4">
      <w:pPr>
        <w:spacing w:after="0" w:line="240" w:lineRule="auto"/>
      </w:pPr>
      <w:r>
        <w:continuationSeparator/>
      </w:r>
    </w:p>
  </w:footnote>
  <w:footnote w:type="continuationNotice" w:id="1">
    <w:p w14:paraId="4B9A81AF" w14:textId="77777777" w:rsidR="00880443" w:rsidRDefault="00880443">
      <w:pPr>
        <w:spacing w:after="0" w:line="240" w:lineRule="auto"/>
      </w:pPr>
    </w:p>
  </w:footnote>
  <w:footnote w:id="2">
    <w:p w14:paraId="49187846" w14:textId="77777777" w:rsidR="00B93D26" w:rsidRPr="004B1CF3" w:rsidRDefault="00000000" w:rsidP="004B1CF3">
      <w:pPr>
        <w:pStyle w:val="Testonotaapidipagina"/>
        <w:spacing w:line="360" w:lineRule="auto"/>
        <w:jc w:val="both"/>
        <w:rPr>
          <w:rFonts w:ascii="Times New Roman" w:hAnsi="Times New Roman" w:cs="Times New Roman"/>
          <w:lang w:val="en-US"/>
        </w:rPr>
      </w:pPr>
      <w:r w:rsidRPr="0058317C">
        <w:rPr>
          <w:rStyle w:val="Rimandonotaapidipagina"/>
        </w:rPr>
        <w:footnoteRef/>
      </w:r>
      <w:r w:rsidRPr="004B1CF3">
        <w:rPr>
          <w:rFonts w:ascii="Times New Roman" w:hAnsi="Times New Roman" w:cs="Times New Roman"/>
          <w:lang w:val="en-US"/>
        </w:rPr>
        <w:t xml:space="preserve"> The paper makes use of several abbreviations that are listed at the beginning of the paper for readers’ convenience [CE: Circular Economy; BM: Business Model; SCM: Supply Chain Management; CBM: Circular Business Model; CSC: Circular Supply Chain; CSCM: Circular Supply Chain Management; MSP: Multi-Sided Platform; B2B: Business-to-Business; B2C: Business-To-Consumer: C2C: Consumer-To-Consumer; PSS: Product-Service System]</w:t>
      </w:r>
      <w:r>
        <w:rPr>
          <w:rFonts w:ascii="Times New Roman" w:hAnsi="Times New Roman" w:cs="Times New Roman"/>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06E86"/>
    <w:multiLevelType w:val="hybridMultilevel"/>
    <w:tmpl w:val="D69E26C8"/>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81B299C"/>
    <w:multiLevelType w:val="hybridMultilevel"/>
    <w:tmpl w:val="067CFD12"/>
    <w:lvl w:ilvl="0" w:tplc="FBCC7C18">
      <w:start w:val="1"/>
      <w:numFmt w:val="bullet"/>
      <w:lvlText w:val="-"/>
      <w:lvlJc w:val="left"/>
      <w:pPr>
        <w:ind w:left="644" w:hanging="360"/>
      </w:pPr>
      <w:rPr>
        <w:rFonts w:ascii="Times New Roman" w:eastAsiaTheme="minorHAnsi" w:hAnsi="Times New Roman"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2" w15:restartNumberingAfterBreak="0">
    <w:nsid w:val="12766E1C"/>
    <w:multiLevelType w:val="hybridMultilevel"/>
    <w:tmpl w:val="08B218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6C83178"/>
    <w:multiLevelType w:val="hybridMultilevel"/>
    <w:tmpl w:val="D86C55E0"/>
    <w:lvl w:ilvl="0" w:tplc="E00E3858">
      <w:start w:val="1"/>
      <w:numFmt w:val="bullet"/>
      <w:lvlText w:val=""/>
      <w:lvlJc w:val="left"/>
      <w:pPr>
        <w:ind w:left="720" w:hanging="360"/>
      </w:pPr>
      <w:rPr>
        <w:rFonts w:ascii="Wingdings" w:eastAsiaTheme="minorHAnsi"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DA85ED8"/>
    <w:multiLevelType w:val="hybridMultilevel"/>
    <w:tmpl w:val="4F5CE948"/>
    <w:lvl w:ilvl="0" w:tplc="230CD1AC">
      <w:start w:val="5"/>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17498"/>
    <w:multiLevelType w:val="hybridMultilevel"/>
    <w:tmpl w:val="83E20464"/>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3D1998"/>
    <w:multiLevelType w:val="hybridMultilevel"/>
    <w:tmpl w:val="07661EEE"/>
    <w:lvl w:ilvl="0" w:tplc="0410000F">
      <w:start w:val="1"/>
      <w:numFmt w:val="decimal"/>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7" w15:restartNumberingAfterBreak="0">
    <w:nsid w:val="42020D55"/>
    <w:multiLevelType w:val="hybridMultilevel"/>
    <w:tmpl w:val="CCC8C920"/>
    <w:lvl w:ilvl="0" w:tplc="0410000F">
      <w:start w:val="1"/>
      <w:numFmt w:val="decimal"/>
      <w:lvlText w:val="%1."/>
      <w:lvlJc w:val="left"/>
      <w:pPr>
        <w:ind w:left="1004" w:hanging="360"/>
      </w:pPr>
      <w:rPr>
        <w:rFonts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8" w15:restartNumberingAfterBreak="0">
    <w:nsid w:val="49C544EC"/>
    <w:multiLevelType w:val="hybridMultilevel"/>
    <w:tmpl w:val="4BAC55E2"/>
    <w:lvl w:ilvl="0" w:tplc="DB1A25F4">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F3564D2"/>
    <w:multiLevelType w:val="hybridMultilevel"/>
    <w:tmpl w:val="466055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0982291"/>
    <w:multiLevelType w:val="hybridMultilevel"/>
    <w:tmpl w:val="B5E8F1FE"/>
    <w:lvl w:ilvl="0" w:tplc="3E687812">
      <w:start w:val="1"/>
      <w:numFmt w:val="decimal"/>
      <w:lvlText w:val="%1."/>
      <w:lvlJc w:val="left"/>
      <w:pPr>
        <w:ind w:left="720" w:hanging="360"/>
      </w:pPr>
    </w:lvl>
    <w:lvl w:ilvl="1" w:tplc="E0082CE0">
      <w:start w:val="1"/>
      <w:numFmt w:val="decimal"/>
      <w:lvlText w:val="%2."/>
      <w:lvlJc w:val="left"/>
      <w:pPr>
        <w:ind w:left="1440" w:hanging="1080"/>
      </w:pPr>
    </w:lvl>
    <w:lvl w:ilvl="2" w:tplc="16FAD7EC">
      <w:start w:val="1"/>
      <w:numFmt w:val="decimal"/>
      <w:lvlText w:val="%3."/>
      <w:lvlJc w:val="left"/>
      <w:pPr>
        <w:ind w:left="2160" w:hanging="1980"/>
      </w:pPr>
    </w:lvl>
    <w:lvl w:ilvl="3" w:tplc="F4D66CBA">
      <w:start w:val="1"/>
      <w:numFmt w:val="decimal"/>
      <w:lvlText w:val="%4."/>
      <w:lvlJc w:val="left"/>
      <w:pPr>
        <w:ind w:left="2880" w:hanging="2520"/>
      </w:pPr>
    </w:lvl>
    <w:lvl w:ilvl="4" w:tplc="B51226DE">
      <w:start w:val="1"/>
      <w:numFmt w:val="decimal"/>
      <w:lvlText w:val="%5."/>
      <w:lvlJc w:val="left"/>
      <w:pPr>
        <w:ind w:left="3600" w:hanging="3240"/>
      </w:pPr>
    </w:lvl>
    <w:lvl w:ilvl="5" w:tplc="6BD6713A">
      <w:start w:val="1"/>
      <w:numFmt w:val="decimal"/>
      <w:lvlText w:val="%6."/>
      <w:lvlJc w:val="left"/>
      <w:pPr>
        <w:ind w:left="4320" w:hanging="4140"/>
      </w:pPr>
    </w:lvl>
    <w:lvl w:ilvl="6" w:tplc="2D4AF2D0">
      <w:start w:val="1"/>
      <w:numFmt w:val="decimal"/>
      <w:lvlText w:val="%7."/>
      <w:lvlJc w:val="left"/>
      <w:pPr>
        <w:ind w:left="5040" w:hanging="4680"/>
      </w:pPr>
    </w:lvl>
    <w:lvl w:ilvl="7" w:tplc="A290E53C">
      <w:start w:val="1"/>
      <w:numFmt w:val="decimal"/>
      <w:lvlText w:val="%8."/>
      <w:lvlJc w:val="left"/>
      <w:pPr>
        <w:ind w:left="5760" w:hanging="5400"/>
      </w:pPr>
    </w:lvl>
    <w:lvl w:ilvl="8" w:tplc="E42AC20A">
      <w:start w:val="1"/>
      <w:numFmt w:val="decimal"/>
      <w:lvlText w:val="%9."/>
      <w:lvlJc w:val="left"/>
      <w:pPr>
        <w:ind w:left="6480" w:hanging="6300"/>
      </w:pPr>
    </w:lvl>
  </w:abstractNum>
  <w:abstractNum w:abstractNumId="11" w15:restartNumberingAfterBreak="0">
    <w:nsid w:val="52CA4C1F"/>
    <w:multiLevelType w:val="hybridMultilevel"/>
    <w:tmpl w:val="28046A9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33B3AB8"/>
    <w:multiLevelType w:val="hybridMultilevel"/>
    <w:tmpl w:val="E45670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45C10BF"/>
    <w:multiLevelType w:val="hybridMultilevel"/>
    <w:tmpl w:val="FB56BDE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54A20D85"/>
    <w:multiLevelType w:val="hybridMultilevel"/>
    <w:tmpl w:val="B740B632"/>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5" w15:restartNumberingAfterBreak="0">
    <w:nsid w:val="55747F1B"/>
    <w:multiLevelType w:val="hybridMultilevel"/>
    <w:tmpl w:val="10169C64"/>
    <w:lvl w:ilvl="0" w:tplc="0410000F">
      <w:start w:val="1"/>
      <w:numFmt w:val="decimal"/>
      <w:lvlText w:val="%1."/>
      <w:lvlJc w:val="left"/>
      <w:pPr>
        <w:ind w:left="783" w:hanging="360"/>
      </w:pPr>
      <w:rPr>
        <w:rFonts w:hint="default"/>
      </w:rPr>
    </w:lvl>
    <w:lvl w:ilvl="1" w:tplc="FFFFFFFF" w:tentative="1">
      <w:start w:val="1"/>
      <w:numFmt w:val="bullet"/>
      <w:lvlText w:val="o"/>
      <w:lvlJc w:val="left"/>
      <w:pPr>
        <w:ind w:left="1503" w:hanging="360"/>
      </w:pPr>
      <w:rPr>
        <w:rFonts w:ascii="Courier New" w:hAnsi="Courier New" w:cs="Courier New" w:hint="default"/>
      </w:rPr>
    </w:lvl>
    <w:lvl w:ilvl="2" w:tplc="FFFFFFFF" w:tentative="1">
      <w:start w:val="1"/>
      <w:numFmt w:val="bullet"/>
      <w:lvlText w:val=""/>
      <w:lvlJc w:val="left"/>
      <w:pPr>
        <w:ind w:left="2223" w:hanging="360"/>
      </w:pPr>
      <w:rPr>
        <w:rFonts w:ascii="Wingdings" w:hAnsi="Wingdings" w:hint="default"/>
      </w:rPr>
    </w:lvl>
    <w:lvl w:ilvl="3" w:tplc="FFFFFFFF" w:tentative="1">
      <w:start w:val="1"/>
      <w:numFmt w:val="bullet"/>
      <w:lvlText w:val=""/>
      <w:lvlJc w:val="left"/>
      <w:pPr>
        <w:ind w:left="2943" w:hanging="360"/>
      </w:pPr>
      <w:rPr>
        <w:rFonts w:ascii="Symbol" w:hAnsi="Symbol" w:hint="default"/>
      </w:rPr>
    </w:lvl>
    <w:lvl w:ilvl="4" w:tplc="FFFFFFFF" w:tentative="1">
      <w:start w:val="1"/>
      <w:numFmt w:val="bullet"/>
      <w:lvlText w:val="o"/>
      <w:lvlJc w:val="left"/>
      <w:pPr>
        <w:ind w:left="3663" w:hanging="360"/>
      </w:pPr>
      <w:rPr>
        <w:rFonts w:ascii="Courier New" w:hAnsi="Courier New" w:cs="Courier New" w:hint="default"/>
      </w:rPr>
    </w:lvl>
    <w:lvl w:ilvl="5" w:tplc="FFFFFFFF" w:tentative="1">
      <w:start w:val="1"/>
      <w:numFmt w:val="bullet"/>
      <w:lvlText w:val=""/>
      <w:lvlJc w:val="left"/>
      <w:pPr>
        <w:ind w:left="4383" w:hanging="360"/>
      </w:pPr>
      <w:rPr>
        <w:rFonts w:ascii="Wingdings" w:hAnsi="Wingdings" w:hint="default"/>
      </w:rPr>
    </w:lvl>
    <w:lvl w:ilvl="6" w:tplc="FFFFFFFF" w:tentative="1">
      <w:start w:val="1"/>
      <w:numFmt w:val="bullet"/>
      <w:lvlText w:val=""/>
      <w:lvlJc w:val="left"/>
      <w:pPr>
        <w:ind w:left="5103" w:hanging="360"/>
      </w:pPr>
      <w:rPr>
        <w:rFonts w:ascii="Symbol" w:hAnsi="Symbol" w:hint="default"/>
      </w:rPr>
    </w:lvl>
    <w:lvl w:ilvl="7" w:tplc="FFFFFFFF" w:tentative="1">
      <w:start w:val="1"/>
      <w:numFmt w:val="bullet"/>
      <w:lvlText w:val="o"/>
      <w:lvlJc w:val="left"/>
      <w:pPr>
        <w:ind w:left="5823" w:hanging="360"/>
      </w:pPr>
      <w:rPr>
        <w:rFonts w:ascii="Courier New" w:hAnsi="Courier New" w:cs="Courier New" w:hint="default"/>
      </w:rPr>
    </w:lvl>
    <w:lvl w:ilvl="8" w:tplc="FFFFFFFF" w:tentative="1">
      <w:start w:val="1"/>
      <w:numFmt w:val="bullet"/>
      <w:lvlText w:val=""/>
      <w:lvlJc w:val="left"/>
      <w:pPr>
        <w:ind w:left="6543" w:hanging="360"/>
      </w:pPr>
      <w:rPr>
        <w:rFonts w:ascii="Wingdings" w:hAnsi="Wingdings" w:hint="default"/>
      </w:rPr>
    </w:lvl>
  </w:abstractNum>
  <w:abstractNum w:abstractNumId="16" w15:restartNumberingAfterBreak="0">
    <w:nsid w:val="5D2E7F7F"/>
    <w:multiLevelType w:val="hybridMultilevel"/>
    <w:tmpl w:val="E5F69706"/>
    <w:lvl w:ilvl="0" w:tplc="04100001">
      <w:start w:val="1"/>
      <w:numFmt w:val="bullet"/>
      <w:lvlText w:val=""/>
      <w:lvlJc w:val="left"/>
      <w:pPr>
        <w:ind w:left="783" w:hanging="360"/>
      </w:pPr>
      <w:rPr>
        <w:rFonts w:ascii="Symbol" w:hAnsi="Symbol" w:hint="default"/>
      </w:rPr>
    </w:lvl>
    <w:lvl w:ilvl="1" w:tplc="04100003" w:tentative="1">
      <w:start w:val="1"/>
      <w:numFmt w:val="bullet"/>
      <w:lvlText w:val="o"/>
      <w:lvlJc w:val="left"/>
      <w:pPr>
        <w:ind w:left="1503" w:hanging="360"/>
      </w:pPr>
      <w:rPr>
        <w:rFonts w:ascii="Courier New" w:hAnsi="Courier New" w:cs="Courier New" w:hint="default"/>
      </w:rPr>
    </w:lvl>
    <w:lvl w:ilvl="2" w:tplc="04100005" w:tentative="1">
      <w:start w:val="1"/>
      <w:numFmt w:val="bullet"/>
      <w:lvlText w:val=""/>
      <w:lvlJc w:val="left"/>
      <w:pPr>
        <w:ind w:left="2223" w:hanging="360"/>
      </w:pPr>
      <w:rPr>
        <w:rFonts w:ascii="Wingdings" w:hAnsi="Wingdings" w:hint="default"/>
      </w:rPr>
    </w:lvl>
    <w:lvl w:ilvl="3" w:tplc="04100001" w:tentative="1">
      <w:start w:val="1"/>
      <w:numFmt w:val="bullet"/>
      <w:lvlText w:val=""/>
      <w:lvlJc w:val="left"/>
      <w:pPr>
        <w:ind w:left="2943" w:hanging="360"/>
      </w:pPr>
      <w:rPr>
        <w:rFonts w:ascii="Symbol" w:hAnsi="Symbol" w:hint="default"/>
      </w:rPr>
    </w:lvl>
    <w:lvl w:ilvl="4" w:tplc="04100003" w:tentative="1">
      <w:start w:val="1"/>
      <w:numFmt w:val="bullet"/>
      <w:lvlText w:val="o"/>
      <w:lvlJc w:val="left"/>
      <w:pPr>
        <w:ind w:left="3663" w:hanging="360"/>
      </w:pPr>
      <w:rPr>
        <w:rFonts w:ascii="Courier New" w:hAnsi="Courier New" w:cs="Courier New" w:hint="default"/>
      </w:rPr>
    </w:lvl>
    <w:lvl w:ilvl="5" w:tplc="04100005" w:tentative="1">
      <w:start w:val="1"/>
      <w:numFmt w:val="bullet"/>
      <w:lvlText w:val=""/>
      <w:lvlJc w:val="left"/>
      <w:pPr>
        <w:ind w:left="4383" w:hanging="360"/>
      </w:pPr>
      <w:rPr>
        <w:rFonts w:ascii="Wingdings" w:hAnsi="Wingdings" w:hint="default"/>
      </w:rPr>
    </w:lvl>
    <w:lvl w:ilvl="6" w:tplc="04100001" w:tentative="1">
      <w:start w:val="1"/>
      <w:numFmt w:val="bullet"/>
      <w:lvlText w:val=""/>
      <w:lvlJc w:val="left"/>
      <w:pPr>
        <w:ind w:left="5103" w:hanging="360"/>
      </w:pPr>
      <w:rPr>
        <w:rFonts w:ascii="Symbol" w:hAnsi="Symbol" w:hint="default"/>
      </w:rPr>
    </w:lvl>
    <w:lvl w:ilvl="7" w:tplc="04100003" w:tentative="1">
      <w:start w:val="1"/>
      <w:numFmt w:val="bullet"/>
      <w:lvlText w:val="o"/>
      <w:lvlJc w:val="left"/>
      <w:pPr>
        <w:ind w:left="5823" w:hanging="360"/>
      </w:pPr>
      <w:rPr>
        <w:rFonts w:ascii="Courier New" w:hAnsi="Courier New" w:cs="Courier New" w:hint="default"/>
      </w:rPr>
    </w:lvl>
    <w:lvl w:ilvl="8" w:tplc="04100005" w:tentative="1">
      <w:start w:val="1"/>
      <w:numFmt w:val="bullet"/>
      <w:lvlText w:val=""/>
      <w:lvlJc w:val="left"/>
      <w:pPr>
        <w:ind w:left="6543" w:hanging="360"/>
      </w:pPr>
      <w:rPr>
        <w:rFonts w:ascii="Wingdings" w:hAnsi="Wingdings" w:hint="default"/>
      </w:rPr>
    </w:lvl>
  </w:abstractNum>
  <w:abstractNum w:abstractNumId="17" w15:restartNumberingAfterBreak="0">
    <w:nsid w:val="61B775BF"/>
    <w:multiLevelType w:val="hybridMultilevel"/>
    <w:tmpl w:val="C4CA0940"/>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8" w15:restartNumberingAfterBreak="0">
    <w:nsid w:val="68486D7F"/>
    <w:multiLevelType w:val="hybridMultilevel"/>
    <w:tmpl w:val="C88C1672"/>
    <w:lvl w:ilvl="0" w:tplc="7914529E">
      <w:start w:val="27"/>
      <w:numFmt w:val="bullet"/>
      <w:lvlText w:val="-"/>
      <w:lvlJc w:val="left"/>
      <w:pPr>
        <w:ind w:left="644" w:hanging="360"/>
      </w:pPr>
      <w:rPr>
        <w:rFonts w:ascii="Times New Roman" w:eastAsiaTheme="minorHAnsi" w:hAnsi="Times New Roman"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9" w15:restartNumberingAfterBreak="0">
    <w:nsid w:val="6E377899"/>
    <w:multiLevelType w:val="hybridMultilevel"/>
    <w:tmpl w:val="B0A67CA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1231A4A"/>
    <w:multiLevelType w:val="hybridMultilevel"/>
    <w:tmpl w:val="8E5AAA92"/>
    <w:lvl w:ilvl="0" w:tplc="0410001B">
      <w:start w:val="1"/>
      <w:numFmt w:val="lowerRoman"/>
      <w:lvlText w:val="%1."/>
      <w:lvlJc w:val="righ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21" w15:restartNumberingAfterBreak="0">
    <w:nsid w:val="771F223D"/>
    <w:multiLevelType w:val="hybridMultilevel"/>
    <w:tmpl w:val="80CC76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107530727">
    <w:abstractNumId w:val="21"/>
  </w:num>
  <w:num w:numId="2" w16cid:durableId="110710625">
    <w:abstractNumId w:val="2"/>
  </w:num>
  <w:num w:numId="3" w16cid:durableId="1758860654">
    <w:abstractNumId w:val="8"/>
  </w:num>
  <w:num w:numId="4" w16cid:durableId="1912301671">
    <w:abstractNumId w:val="9"/>
  </w:num>
  <w:num w:numId="5" w16cid:durableId="1436636827">
    <w:abstractNumId w:val="11"/>
  </w:num>
  <w:num w:numId="6" w16cid:durableId="1025403985">
    <w:abstractNumId w:val="13"/>
  </w:num>
  <w:num w:numId="7" w16cid:durableId="61218315">
    <w:abstractNumId w:val="12"/>
  </w:num>
  <w:num w:numId="8" w16cid:durableId="1953397762">
    <w:abstractNumId w:val="16"/>
  </w:num>
  <w:num w:numId="9" w16cid:durableId="1854805821">
    <w:abstractNumId w:val="18"/>
  </w:num>
  <w:num w:numId="10" w16cid:durableId="1572082819">
    <w:abstractNumId w:val="4"/>
  </w:num>
  <w:num w:numId="11" w16cid:durableId="646931252">
    <w:abstractNumId w:val="15"/>
  </w:num>
  <w:num w:numId="12" w16cid:durableId="2079551754">
    <w:abstractNumId w:val="19"/>
  </w:num>
  <w:num w:numId="13" w16cid:durableId="225998371">
    <w:abstractNumId w:val="14"/>
  </w:num>
  <w:num w:numId="14" w16cid:durableId="135419675">
    <w:abstractNumId w:val="1"/>
  </w:num>
  <w:num w:numId="15" w16cid:durableId="1886141126">
    <w:abstractNumId w:val="0"/>
  </w:num>
  <w:num w:numId="16" w16cid:durableId="1687635833">
    <w:abstractNumId w:val="5"/>
  </w:num>
  <w:num w:numId="17" w16cid:durableId="321472992">
    <w:abstractNumId w:val="20"/>
  </w:num>
  <w:num w:numId="18" w16cid:durableId="583346976">
    <w:abstractNumId w:val="6"/>
  </w:num>
  <w:num w:numId="19" w16cid:durableId="1871456005">
    <w:abstractNumId w:val="17"/>
  </w:num>
  <w:num w:numId="20" w16cid:durableId="850950095">
    <w:abstractNumId w:val="7"/>
  </w:num>
  <w:num w:numId="21" w16cid:durableId="162362754">
    <w:abstractNumId w:val="10"/>
  </w:num>
  <w:num w:numId="22" w16cid:durableId="8994839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displayBackgroundShape/>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3B9"/>
    <w:rsid w:val="00014069"/>
    <w:rsid w:val="00047372"/>
    <w:rsid w:val="000475F5"/>
    <w:rsid w:val="00054977"/>
    <w:rsid w:val="00064C85"/>
    <w:rsid w:val="00082ACD"/>
    <w:rsid w:val="000E136B"/>
    <w:rsid w:val="000F1568"/>
    <w:rsid w:val="000F37E0"/>
    <w:rsid w:val="000F5B44"/>
    <w:rsid w:val="000F5BFF"/>
    <w:rsid w:val="00102716"/>
    <w:rsid w:val="001061A4"/>
    <w:rsid w:val="001071F6"/>
    <w:rsid w:val="0012320B"/>
    <w:rsid w:val="0013600C"/>
    <w:rsid w:val="001809BD"/>
    <w:rsid w:val="00184772"/>
    <w:rsid w:val="00184E29"/>
    <w:rsid w:val="001862F7"/>
    <w:rsid w:val="001A1BB1"/>
    <w:rsid w:val="001A37FE"/>
    <w:rsid w:val="001B670A"/>
    <w:rsid w:val="001B7FB8"/>
    <w:rsid w:val="001C331F"/>
    <w:rsid w:val="001F4713"/>
    <w:rsid w:val="002238B8"/>
    <w:rsid w:val="00237DA1"/>
    <w:rsid w:val="00241366"/>
    <w:rsid w:val="00243147"/>
    <w:rsid w:val="00245234"/>
    <w:rsid w:val="00247672"/>
    <w:rsid w:val="00266FF3"/>
    <w:rsid w:val="00267CCA"/>
    <w:rsid w:val="00267CFB"/>
    <w:rsid w:val="00282DE6"/>
    <w:rsid w:val="00285A8D"/>
    <w:rsid w:val="002A64A4"/>
    <w:rsid w:val="002A71FD"/>
    <w:rsid w:val="002C3E6E"/>
    <w:rsid w:val="002C6F7C"/>
    <w:rsid w:val="002D293F"/>
    <w:rsid w:val="002F2130"/>
    <w:rsid w:val="002F6C0E"/>
    <w:rsid w:val="003166D1"/>
    <w:rsid w:val="003173DF"/>
    <w:rsid w:val="003228B7"/>
    <w:rsid w:val="00325E05"/>
    <w:rsid w:val="00337005"/>
    <w:rsid w:val="00354072"/>
    <w:rsid w:val="00355AE6"/>
    <w:rsid w:val="00362995"/>
    <w:rsid w:val="00363215"/>
    <w:rsid w:val="0038604C"/>
    <w:rsid w:val="00391267"/>
    <w:rsid w:val="003A3E7C"/>
    <w:rsid w:val="003A57D4"/>
    <w:rsid w:val="003B6945"/>
    <w:rsid w:val="003D47AE"/>
    <w:rsid w:val="003F0D90"/>
    <w:rsid w:val="003F2C92"/>
    <w:rsid w:val="004152D0"/>
    <w:rsid w:val="00442846"/>
    <w:rsid w:val="00442C82"/>
    <w:rsid w:val="004571A7"/>
    <w:rsid w:val="004766FB"/>
    <w:rsid w:val="004852A5"/>
    <w:rsid w:val="00490AA5"/>
    <w:rsid w:val="004915E0"/>
    <w:rsid w:val="00497018"/>
    <w:rsid w:val="004A4C06"/>
    <w:rsid w:val="004C023E"/>
    <w:rsid w:val="004C4F68"/>
    <w:rsid w:val="004D063D"/>
    <w:rsid w:val="004D3A7B"/>
    <w:rsid w:val="004F683E"/>
    <w:rsid w:val="00504814"/>
    <w:rsid w:val="00526FBC"/>
    <w:rsid w:val="00531EE1"/>
    <w:rsid w:val="0053582A"/>
    <w:rsid w:val="0056216C"/>
    <w:rsid w:val="0058317C"/>
    <w:rsid w:val="00585D86"/>
    <w:rsid w:val="005B157C"/>
    <w:rsid w:val="005C2ECB"/>
    <w:rsid w:val="005C335D"/>
    <w:rsid w:val="005C4CF4"/>
    <w:rsid w:val="005E00C1"/>
    <w:rsid w:val="005E12A9"/>
    <w:rsid w:val="005F05FE"/>
    <w:rsid w:val="005F1903"/>
    <w:rsid w:val="005F4009"/>
    <w:rsid w:val="005F6384"/>
    <w:rsid w:val="00604606"/>
    <w:rsid w:val="006368E5"/>
    <w:rsid w:val="006522DD"/>
    <w:rsid w:val="006630AD"/>
    <w:rsid w:val="006E41E7"/>
    <w:rsid w:val="006F5B7C"/>
    <w:rsid w:val="00700807"/>
    <w:rsid w:val="00706CE3"/>
    <w:rsid w:val="007138B2"/>
    <w:rsid w:val="00714E85"/>
    <w:rsid w:val="00716CFA"/>
    <w:rsid w:val="00730FA4"/>
    <w:rsid w:val="00750613"/>
    <w:rsid w:val="00781AEE"/>
    <w:rsid w:val="007845CC"/>
    <w:rsid w:val="00785AB7"/>
    <w:rsid w:val="007917E9"/>
    <w:rsid w:val="00791D89"/>
    <w:rsid w:val="007B6DDC"/>
    <w:rsid w:val="007B766F"/>
    <w:rsid w:val="007C69D2"/>
    <w:rsid w:val="007D1D3C"/>
    <w:rsid w:val="007D52BB"/>
    <w:rsid w:val="007D5E50"/>
    <w:rsid w:val="007E428B"/>
    <w:rsid w:val="007F4390"/>
    <w:rsid w:val="0080275C"/>
    <w:rsid w:val="00806697"/>
    <w:rsid w:val="008240D1"/>
    <w:rsid w:val="00853950"/>
    <w:rsid w:val="00877E22"/>
    <w:rsid w:val="008803CF"/>
    <w:rsid w:val="00880443"/>
    <w:rsid w:val="00894C8F"/>
    <w:rsid w:val="008B2BC6"/>
    <w:rsid w:val="008C4765"/>
    <w:rsid w:val="008D3A6B"/>
    <w:rsid w:val="008D51AE"/>
    <w:rsid w:val="008E1FDA"/>
    <w:rsid w:val="009073CE"/>
    <w:rsid w:val="0091203D"/>
    <w:rsid w:val="00914D28"/>
    <w:rsid w:val="00916DB8"/>
    <w:rsid w:val="00917D0D"/>
    <w:rsid w:val="009236C8"/>
    <w:rsid w:val="0092527B"/>
    <w:rsid w:val="00932EBC"/>
    <w:rsid w:val="00945602"/>
    <w:rsid w:val="00951065"/>
    <w:rsid w:val="00966F59"/>
    <w:rsid w:val="00974818"/>
    <w:rsid w:val="00983AD8"/>
    <w:rsid w:val="009A1CEB"/>
    <w:rsid w:val="009A2D1D"/>
    <w:rsid w:val="009A46F5"/>
    <w:rsid w:val="009C63B9"/>
    <w:rsid w:val="009C7341"/>
    <w:rsid w:val="009D5E68"/>
    <w:rsid w:val="009E4CC9"/>
    <w:rsid w:val="009E7235"/>
    <w:rsid w:val="009E78E5"/>
    <w:rsid w:val="009F6116"/>
    <w:rsid w:val="00A00F36"/>
    <w:rsid w:val="00A2703E"/>
    <w:rsid w:val="00A67F39"/>
    <w:rsid w:val="00A715D6"/>
    <w:rsid w:val="00A748F2"/>
    <w:rsid w:val="00A7619A"/>
    <w:rsid w:val="00A83DD0"/>
    <w:rsid w:val="00AB2AD6"/>
    <w:rsid w:val="00AC31C0"/>
    <w:rsid w:val="00AE6C94"/>
    <w:rsid w:val="00B1457F"/>
    <w:rsid w:val="00B20DDE"/>
    <w:rsid w:val="00B22432"/>
    <w:rsid w:val="00B33B5A"/>
    <w:rsid w:val="00B60DFD"/>
    <w:rsid w:val="00B626F0"/>
    <w:rsid w:val="00B6696B"/>
    <w:rsid w:val="00B70C57"/>
    <w:rsid w:val="00B90459"/>
    <w:rsid w:val="00B93D26"/>
    <w:rsid w:val="00B95260"/>
    <w:rsid w:val="00BB6226"/>
    <w:rsid w:val="00BD2C15"/>
    <w:rsid w:val="00BD3978"/>
    <w:rsid w:val="00BE195B"/>
    <w:rsid w:val="00BE6861"/>
    <w:rsid w:val="00BF1AB7"/>
    <w:rsid w:val="00C14FE9"/>
    <w:rsid w:val="00C27D54"/>
    <w:rsid w:val="00C61E35"/>
    <w:rsid w:val="00C641D9"/>
    <w:rsid w:val="00C7330C"/>
    <w:rsid w:val="00C82BBB"/>
    <w:rsid w:val="00C94104"/>
    <w:rsid w:val="00CA1F2C"/>
    <w:rsid w:val="00CC0BAD"/>
    <w:rsid w:val="00CC3166"/>
    <w:rsid w:val="00CD15A9"/>
    <w:rsid w:val="00CD2ECE"/>
    <w:rsid w:val="00CD3F3A"/>
    <w:rsid w:val="00CD72EE"/>
    <w:rsid w:val="00CE7D6E"/>
    <w:rsid w:val="00CF10E5"/>
    <w:rsid w:val="00D07027"/>
    <w:rsid w:val="00D10BC2"/>
    <w:rsid w:val="00D15D6C"/>
    <w:rsid w:val="00D32B41"/>
    <w:rsid w:val="00D5240D"/>
    <w:rsid w:val="00D55AB7"/>
    <w:rsid w:val="00D77733"/>
    <w:rsid w:val="00DA3202"/>
    <w:rsid w:val="00DB1630"/>
    <w:rsid w:val="00DB543B"/>
    <w:rsid w:val="00DC1727"/>
    <w:rsid w:val="00DD4F1E"/>
    <w:rsid w:val="00DD578C"/>
    <w:rsid w:val="00DD6616"/>
    <w:rsid w:val="00DF40A2"/>
    <w:rsid w:val="00E27F7F"/>
    <w:rsid w:val="00E502C7"/>
    <w:rsid w:val="00E8114C"/>
    <w:rsid w:val="00E902FE"/>
    <w:rsid w:val="00E92682"/>
    <w:rsid w:val="00EA020D"/>
    <w:rsid w:val="00EA2906"/>
    <w:rsid w:val="00EA689D"/>
    <w:rsid w:val="00EA7658"/>
    <w:rsid w:val="00EB4719"/>
    <w:rsid w:val="00EC2388"/>
    <w:rsid w:val="00EC29E5"/>
    <w:rsid w:val="00EC6ECD"/>
    <w:rsid w:val="00EE69A6"/>
    <w:rsid w:val="00EF0DBD"/>
    <w:rsid w:val="00F0060F"/>
    <w:rsid w:val="00F26091"/>
    <w:rsid w:val="00F2799B"/>
    <w:rsid w:val="00F36BD8"/>
    <w:rsid w:val="00F4648D"/>
    <w:rsid w:val="00F61C5E"/>
    <w:rsid w:val="00F86976"/>
    <w:rsid w:val="00F969C7"/>
    <w:rsid w:val="00FA2B1F"/>
    <w:rsid w:val="00FB1E39"/>
    <w:rsid w:val="00FC3039"/>
    <w:rsid w:val="00FE0DB0"/>
    <w:rsid w:val="00FF103B"/>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5E37B0"/>
  <w15:chartTrackingRefBased/>
  <w15:docId w15:val="{6464518A-2036-44C2-BC2C-A21C5E238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style>
  <w:style w:type="paragraph" w:styleId="Titolo1">
    <w:name w:val="heading 1"/>
    <w:basedOn w:val="Normale"/>
    <w:pPr>
      <w:spacing w:before="480"/>
      <w:outlineLvl w:val="0"/>
    </w:pPr>
    <w:rPr>
      <w:b/>
      <w:color w:val="345A8A"/>
      <w:sz w:val="32"/>
    </w:rPr>
  </w:style>
  <w:style w:type="paragraph" w:styleId="Titolo2">
    <w:name w:val="heading 2"/>
    <w:basedOn w:val="Normale"/>
    <w:link w:val="Titolo2Carattere"/>
    <w:pPr>
      <w:spacing w:before="200"/>
      <w:outlineLvl w:val="1"/>
    </w:pPr>
    <w:rPr>
      <w:b/>
      <w:color w:val="4F81BD"/>
      <w:sz w:val="26"/>
    </w:rPr>
  </w:style>
  <w:style w:type="paragraph" w:styleId="Titolo3">
    <w:name w:val="heading 3"/>
    <w:basedOn w:val="Normale"/>
    <w:link w:val="Titolo3Carattere"/>
    <w:pPr>
      <w:spacing w:before="200"/>
      <w:outlineLvl w:val="2"/>
    </w:pPr>
    <w:rPr>
      <w:b/>
      <w:color w:val="4F81BD"/>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aliases w:val="Tabellengitternetz"/>
    <w:basedOn w:val="Tabellanormale"/>
    <w:uiPriority w:val="59"/>
    <w:rsid w:val="00004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9B73E5"/>
    <w:rPr>
      <w:sz w:val="16"/>
      <w:szCs w:val="16"/>
    </w:rPr>
  </w:style>
  <w:style w:type="paragraph" w:styleId="Testocommento">
    <w:name w:val="annotation text"/>
    <w:basedOn w:val="Normale"/>
    <w:link w:val="TestocommentoCarattere"/>
    <w:uiPriority w:val="99"/>
    <w:unhideWhenUsed/>
    <w:rsid w:val="009B73E5"/>
    <w:pPr>
      <w:spacing w:line="240" w:lineRule="auto"/>
    </w:pPr>
    <w:rPr>
      <w:sz w:val="20"/>
      <w:szCs w:val="20"/>
    </w:rPr>
  </w:style>
  <w:style w:type="character" w:customStyle="1" w:styleId="TestocommentoCarattere">
    <w:name w:val="Testo commento Carattere"/>
    <w:basedOn w:val="Carpredefinitoparagrafo"/>
    <w:link w:val="Testocommento"/>
    <w:uiPriority w:val="99"/>
    <w:rsid w:val="009B73E5"/>
    <w:rPr>
      <w:sz w:val="20"/>
      <w:szCs w:val="20"/>
    </w:rPr>
  </w:style>
  <w:style w:type="paragraph" w:styleId="Soggettocommento">
    <w:name w:val="annotation subject"/>
    <w:basedOn w:val="Testocommento"/>
    <w:next w:val="Testocommento"/>
    <w:link w:val="SoggettocommentoCarattere"/>
    <w:uiPriority w:val="99"/>
    <w:semiHidden/>
    <w:unhideWhenUsed/>
    <w:rsid w:val="009B73E5"/>
    <w:rPr>
      <w:b/>
      <w:bCs/>
    </w:rPr>
  </w:style>
  <w:style w:type="character" w:customStyle="1" w:styleId="SoggettocommentoCarattere">
    <w:name w:val="Soggetto commento Carattere"/>
    <w:basedOn w:val="TestocommentoCarattere"/>
    <w:link w:val="Soggettocommento"/>
    <w:uiPriority w:val="99"/>
    <w:semiHidden/>
    <w:rsid w:val="009B73E5"/>
    <w:rPr>
      <w:b/>
      <w:bCs/>
      <w:sz w:val="20"/>
      <w:szCs w:val="20"/>
    </w:rPr>
  </w:style>
  <w:style w:type="character" w:styleId="Collegamentoipertestuale">
    <w:name w:val="Hyperlink"/>
    <w:basedOn w:val="Carpredefinitoparagrafo"/>
    <w:uiPriority w:val="99"/>
    <w:unhideWhenUsed/>
    <w:rsid w:val="00175C1E"/>
    <w:rPr>
      <w:color w:val="0563C1"/>
      <w:u w:val="single"/>
    </w:rPr>
  </w:style>
  <w:style w:type="character" w:styleId="Menzionenonrisolta">
    <w:name w:val="Unresolved Mention"/>
    <w:basedOn w:val="Carpredefinitoparagrafo"/>
    <w:uiPriority w:val="99"/>
    <w:semiHidden/>
    <w:unhideWhenUsed/>
    <w:rsid w:val="00175C1E"/>
    <w:rPr>
      <w:color w:val="605E5C"/>
      <w:shd w:val="clear" w:color="auto" w:fill="E1DFDD"/>
    </w:rPr>
  </w:style>
  <w:style w:type="paragraph" w:styleId="Paragrafoelenco">
    <w:name w:val="List Paragraph"/>
    <w:basedOn w:val="Normale"/>
    <w:uiPriority w:val="34"/>
    <w:qFormat/>
    <w:rsid w:val="00175C1E"/>
    <w:pPr>
      <w:ind w:left="720"/>
      <w:contextualSpacing/>
    </w:pPr>
  </w:style>
  <w:style w:type="character" w:styleId="Collegamentovisitato">
    <w:name w:val="FollowedHyperlink"/>
    <w:basedOn w:val="Carpredefinitoparagrafo"/>
    <w:uiPriority w:val="99"/>
    <w:semiHidden/>
    <w:unhideWhenUsed/>
    <w:rsid w:val="00613965"/>
    <w:rPr>
      <w:color w:val="954F72"/>
      <w:u w:val="single"/>
    </w:rPr>
  </w:style>
  <w:style w:type="paragraph" w:customStyle="1" w:styleId="Affiliation">
    <w:name w:val="Affiliation"/>
    <w:rsid w:val="001F603F"/>
    <w:pPr>
      <w:spacing w:after="0" w:line="240" w:lineRule="auto"/>
      <w:jc w:val="center"/>
    </w:pPr>
    <w:rPr>
      <w:rFonts w:ascii="Times New Roman" w:eastAsia="PMingLiU" w:hAnsi="Times New Roman" w:cs="Times New Roman"/>
      <w:sz w:val="20"/>
      <w:szCs w:val="20"/>
      <w:lang w:val="en-US" w:eastAsia="it-IT"/>
    </w:rPr>
  </w:style>
  <w:style w:type="character" w:customStyle="1" w:styleId="Titolo2Carattere">
    <w:name w:val="Titolo 2 Carattere"/>
    <w:basedOn w:val="Carpredefinitoparagrafo"/>
    <w:link w:val="Titolo2"/>
    <w:uiPriority w:val="9"/>
    <w:semiHidden/>
    <w:rsid w:val="00842D15"/>
    <w:rPr>
      <w:rFonts w:ascii="Calibri Light" w:eastAsiaTheme="majorEastAsia" w:hAnsiTheme="majorHAnsi" w:cstheme="majorBidi"/>
      <w:color w:val="2F5496"/>
      <w:sz w:val="26"/>
      <w:szCs w:val="26"/>
    </w:rPr>
  </w:style>
  <w:style w:type="paragraph" w:styleId="Revisione">
    <w:name w:val="Revision"/>
    <w:hidden/>
    <w:uiPriority w:val="99"/>
    <w:semiHidden/>
    <w:rsid w:val="005157A4"/>
    <w:pPr>
      <w:spacing w:after="0" w:line="240" w:lineRule="auto"/>
    </w:pPr>
  </w:style>
  <w:style w:type="paragraph" w:customStyle="1" w:styleId="field-comment">
    <w:name w:val="field-comment"/>
    <w:basedOn w:val="Normale"/>
    <w:rsid w:val="008A28BE"/>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3333C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333C4"/>
  </w:style>
  <w:style w:type="paragraph" w:styleId="Pidipagina">
    <w:name w:val="footer"/>
    <w:basedOn w:val="Normale"/>
    <w:link w:val="PidipaginaCarattere"/>
    <w:uiPriority w:val="99"/>
    <w:unhideWhenUsed/>
    <w:rsid w:val="003333C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333C4"/>
  </w:style>
  <w:style w:type="character" w:customStyle="1" w:styleId="Titolo3Carattere">
    <w:name w:val="Titolo 3 Carattere"/>
    <w:basedOn w:val="Carpredefinitoparagrafo"/>
    <w:link w:val="Titolo3"/>
    <w:uiPriority w:val="9"/>
    <w:semiHidden/>
    <w:rsid w:val="00174D6E"/>
    <w:rPr>
      <w:rFonts w:ascii="Calibri Light" w:eastAsiaTheme="majorEastAsia" w:hAnsiTheme="majorHAnsi" w:cstheme="majorBidi"/>
      <w:color w:val="1F3763"/>
      <w:sz w:val="24"/>
      <w:szCs w:val="24"/>
    </w:rPr>
  </w:style>
  <w:style w:type="paragraph" w:styleId="Nessunaspaziatura">
    <w:name w:val="No Spacing"/>
    <w:uiPriority w:val="1"/>
    <w:qFormat/>
    <w:rsid w:val="00D734E3"/>
    <w:pPr>
      <w:spacing w:after="0" w:line="240" w:lineRule="auto"/>
    </w:pPr>
  </w:style>
  <w:style w:type="paragraph" w:styleId="Testonotaapidipagina">
    <w:name w:val="footnote text"/>
    <w:basedOn w:val="Normale"/>
    <w:link w:val="TestonotaapidipaginaCarattere"/>
    <w:uiPriority w:val="99"/>
    <w:semiHidden/>
    <w:unhideWhenUsed/>
    <w:rsid w:val="0086571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6571D"/>
    <w:rPr>
      <w:sz w:val="20"/>
      <w:szCs w:val="20"/>
    </w:rPr>
  </w:style>
  <w:style w:type="character" w:styleId="Rimandonotaapidipagina">
    <w:name w:val="footnote reference"/>
    <w:basedOn w:val="Carpredefinitoparagrafo"/>
    <w:uiPriority w:val="99"/>
    <w:semiHidden/>
    <w:unhideWhenUsed/>
    <w:rsid w:val="0086571D"/>
    <w:rPr>
      <w:vertAlign w:val="superscript"/>
    </w:rPr>
  </w:style>
  <w:style w:type="paragraph" w:styleId="Titolo">
    <w:name w:val="Title"/>
    <w:basedOn w:val="Normale"/>
    <w:pPr>
      <w:spacing w:after="300"/>
    </w:pPr>
    <w:rPr>
      <w:color w:val="17365D"/>
      <w:sz w:val="52"/>
    </w:rPr>
  </w:style>
  <w:style w:type="paragraph" w:styleId="Sottotitolo">
    <w:name w:val="Subtitle"/>
    <w:basedOn w:val="Normale"/>
    <w:rPr>
      <w:i/>
      <w:color w:val="4F81BD"/>
      <w:sz w:val="24"/>
    </w:rPr>
  </w:style>
  <w:style w:type="character" w:styleId="Rimandonotadichiusura">
    <w:name w:val="endnote reference"/>
    <w:basedOn w:val="Carpredefinitoparagrafo"/>
    <w:uiPriority w:val="99"/>
    <w:semiHidden/>
    <w:unhideWhenUsed/>
    <w:rsid w:val="0058317C"/>
    <w:rPr>
      <w:vertAlign w:val="superscript"/>
    </w:rPr>
  </w:style>
  <w:style w:type="paragraph" w:styleId="NormaleWeb">
    <w:name w:val="Normal (Web)"/>
    <w:basedOn w:val="Normale"/>
    <w:uiPriority w:val="99"/>
    <w:semiHidden/>
    <w:unhideWhenUsed/>
    <w:rsid w:val="007E428B"/>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52332">
      <w:bodyDiv w:val="1"/>
      <w:marLeft w:val="0"/>
      <w:marRight w:val="0"/>
      <w:marTop w:val="0"/>
      <w:marBottom w:val="0"/>
      <w:divBdr>
        <w:top w:val="none" w:sz="0" w:space="0" w:color="auto"/>
        <w:left w:val="none" w:sz="0" w:space="0" w:color="auto"/>
        <w:bottom w:val="none" w:sz="0" w:space="0" w:color="auto"/>
        <w:right w:val="none" w:sz="0" w:space="0" w:color="auto"/>
      </w:divBdr>
    </w:div>
    <w:div w:id="93327771">
      <w:bodyDiv w:val="1"/>
      <w:marLeft w:val="0"/>
      <w:marRight w:val="0"/>
      <w:marTop w:val="0"/>
      <w:marBottom w:val="0"/>
      <w:divBdr>
        <w:top w:val="none" w:sz="0" w:space="0" w:color="auto"/>
        <w:left w:val="none" w:sz="0" w:space="0" w:color="auto"/>
        <w:bottom w:val="none" w:sz="0" w:space="0" w:color="auto"/>
        <w:right w:val="none" w:sz="0" w:space="0" w:color="auto"/>
      </w:divBdr>
      <w:divsChild>
        <w:div w:id="1345088818">
          <w:marLeft w:val="0"/>
          <w:marRight w:val="0"/>
          <w:marTop w:val="0"/>
          <w:marBottom w:val="0"/>
          <w:divBdr>
            <w:top w:val="none" w:sz="0" w:space="0" w:color="auto"/>
            <w:left w:val="none" w:sz="0" w:space="0" w:color="auto"/>
            <w:bottom w:val="none" w:sz="0" w:space="0" w:color="auto"/>
            <w:right w:val="none" w:sz="0" w:space="0" w:color="auto"/>
          </w:divBdr>
        </w:div>
      </w:divsChild>
    </w:div>
    <w:div w:id="196281241">
      <w:bodyDiv w:val="1"/>
      <w:marLeft w:val="0"/>
      <w:marRight w:val="0"/>
      <w:marTop w:val="0"/>
      <w:marBottom w:val="0"/>
      <w:divBdr>
        <w:top w:val="none" w:sz="0" w:space="0" w:color="auto"/>
        <w:left w:val="none" w:sz="0" w:space="0" w:color="auto"/>
        <w:bottom w:val="none" w:sz="0" w:space="0" w:color="auto"/>
        <w:right w:val="none" w:sz="0" w:space="0" w:color="auto"/>
      </w:divBdr>
    </w:div>
    <w:div w:id="339891637">
      <w:bodyDiv w:val="1"/>
      <w:marLeft w:val="0"/>
      <w:marRight w:val="0"/>
      <w:marTop w:val="0"/>
      <w:marBottom w:val="0"/>
      <w:divBdr>
        <w:top w:val="none" w:sz="0" w:space="0" w:color="auto"/>
        <w:left w:val="none" w:sz="0" w:space="0" w:color="auto"/>
        <w:bottom w:val="none" w:sz="0" w:space="0" w:color="auto"/>
        <w:right w:val="none" w:sz="0" w:space="0" w:color="auto"/>
      </w:divBdr>
      <w:divsChild>
        <w:div w:id="1551843146">
          <w:marLeft w:val="0"/>
          <w:marRight w:val="0"/>
          <w:marTop w:val="0"/>
          <w:marBottom w:val="0"/>
          <w:divBdr>
            <w:top w:val="none" w:sz="0" w:space="0" w:color="auto"/>
            <w:left w:val="none" w:sz="0" w:space="0" w:color="auto"/>
            <w:bottom w:val="none" w:sz="0" w:space="0" w:color="auto"/>
            <w:right w:val="none" w:sz="0" w:space="0" w:color="auto"/>
          </w:divBdr>
          <w:divsChild>
            <w:div w:id="279190202">
              <w:marLeft w:val="0"/>
              <w:marRight w:val="0"/>
              <w:marTop w:val="0"/>
              <w:marBottom w:val="0"/>
              <w:divBdr>
                <w:top w:val="none" w:sz="0" w:space="0" w:color="auto"/>
                <w:left w:val="none" w:sz="0" w:space="0" w:color="auto"/>
                <w:bottom w:val="none" w:sz="0" w:space="0" w:color="auto"/>
                <w:right w:val="none" w:sz="0" w:space="0" w:color="auto"/>
              </w:divBdr>
              <w:divsChild>
                <w:div w:id="1452699980">
                  <w:marLeft w:val="0"/>
                  <w:marRight w:val="0"/>
                  <w:marTop w:val="0"/>
                  <w:marBottom w:val="0"/>
                  <w:divBdr>
                    <w:top w:val="none" w:sz="0" w:space="0" w:color="auto"/>
                    <w:left w:val="none" w:sz="0" w:space="0" w:color="auto"/>
                    <w:bottom w:val="none" w:sz="0" w:space="0" w:color="auto"/>
                    <w:right w:val="none" w:sz="0" w:space="0" w:color="auto"/>
                  </w:divBdr>
                  <w:divsChild>
                    <w:div w:id="1595241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0618086">
      <w:bodyDiv w:val="1"/>
      <w:marLeft w:val="0"/>
      <w:marRight w:val="0"/>
      <w:marTop w:val="0"/>
      <w:marBottom w:val="0"/>
      <w:divBdr>
        <w:top w:val="none" w:sz="0" w:space="0" w:color="auto"/>
        <w:left w:val="none" w:sz="0" w:space="0" w:color="auto"/>
        <w:bottom w:val="none" w:sz="0" w:space="0" w:color="auto"/>
        <w:right w:val="none" w:sz="0" w:space="0" w:color="auto"/>
      </w:divBdr>
    </w:div>
    <w:div w:id="414861427">
      <w:bodyDiv w:val="1"/>
      <w:marLeft w:val="0"/>
      <w:marRight w:val="0"/>
      <w:marTop w:val="0"/>
      <w:marBottom w:val="0"/>
      <w:divBdr>
        <w:top w:val="none" w:sz="0" w:space="0" w:color="auto"/>
        <w:left w:val="none" w:sz="0" w:space="0" w:color="auto"/>
        <w:bottom w:val="none" w:sz="0" w:space="0" w:color="auto"/>
        <w:right w:val="none" w:sz="0" w:space="0" w:color="auto"/>
      </w:divBdr>
    </w:div>
    <w:div w:id="455174596">
      <w:bodyDiv w:val="1"/>
      <w:marLeft w:val="0"/>
      <w:marRight w:val="0"/>
      <w:marTop w:val="0"/>
      <w:marBottom w:val="0"/>
      <w:divBdr>
        <w:top w:val="none" w:sz="0" w:space="0" w:color="auto"/>
        <w:left w:val="none" w:sz="0" w:space="0" w:color="auto"/>
        <w:bottom w:val="none" w:sz="0" w:space="0" w:color="auto"/>
        <w:right w:val="none" w:sz="0" w:space="0" w:color="auto"/>
      </w:divBdr>
    </w:div>
    <w:div w:id="466050780">
      <w:bodyDiv w:val="1"/>
      <w:marLeft w:val="0"/>
      <w:marRight w:val="0"/>
      <w:marTop w:val="0"/>
      <w:marBottom w:val="0"/>
      <w:divBdr>
        <w:top w:val="none" w:sz="0" w:space="0" w:color="auto"/>
        <w:left w:val="none" w:sz="0" w:space="0" w:color="auto"/>
        <w:bottom w:val="none" w:sz="0" w:space="0" w:color="auto"/>
        <w:right w:val="none" w:sz="0" w:space="0" w:color="auto"/>
      </w:divBdr>
      <w:divsChild>
        <w:div w:id="1124272098">
          <w:marLeft w:val="0"/>
          <w:marRight w:val="0"/>
          <w:marTop w:val="0"/>
          <w:marBottom w:val="0"/>
          <w:divBdr>
            <w:top w:val="none" w:sz="0" w:space="0" w:color="auto"/>
            <w:left w:val="none" w:sz="0" w:space="0" w:color="auto"/>
            <w:bottom w:val="none" w:sz="0" w:space="0" w:color="auto"/>
            <w:right w:val="none" w:sz="0" w:space="0" w:color="auto"/>
          </w:divBdr>
          <w:divsChild>
            <w:div w:id="1911109721">
              <w:marLeft w:val="0"/>
              <w:marRight w:val="0"/>
              <w:marTop w:val="0"/>
              <w:marBottom w:val="0"/>
              <w:divBdr>
                <w:top w:val="none" w:sz="0" w:space="0" w:color="auto"/>
                <w:left w:val="none" w:sz="0" w:space="0" w:color="auto"/>
                <w:bottom w:val="none" w:sz="0" w:space="0" w:color="auto"/>
                <w:right w:val="none" w:sz="0" w:space="0" w:color="auto"/>
              </w:divBdr>
            </w:div>
          </w:divsChild>
        </w:div>
        <w:div w:id="1751808843">
          <w:marLeft w:val="0"/>
          <w:marRight w:val="0"/>
          <w:marTop w:val="0"/>
          <w:marBottom w:val="0"/>
          <w:divBdr>
            <w:top w:val="none" w:sz="0" w:space="0" w:color="auto"/>
            <w:left w:val="none" w:sz="0" w:space="0" w:color="auto"/>
            <w:bottom w:val="none" w:sz="0" w:space="0" w:color="auto"/>
            <w:right w:val="none" w:sz="0" w:space="0" w:color="auto"/>
          </w:divBdr>
          <w:divsChild>
            <w:div w:id="166890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209044">
      <w:bodyDiv w:val="1"/>
      <w:marLeft w:val="0"/>
      <w:marRight w:val="0"/>
      <w:marTop w:val="0"/>
      <w:marBottom w:val="0"/>
      <w:divBdr>
        <w:top w:val="none" w:sz="0" w:space="0" w:color="auto"/>
        <w:left w:val="none" w:sz="0" w:space="0" w:color="auto"/>
        <w:bottom w:val="none" w:sz="0" w:space="0" w:color="auto"/>
        <w:right w:val="none" w:sz="0" w:space="0" w:color="auto"/>
      </w:divBdr>
    </w:div>
    <w:div w:id="490634919">
      <w:bodyDiv w:val="1"/>
      <w:marLeft w:val="0"/>
      <w:marRight w:val="0"/>
      <w:marTop w:val="0"/>
      <w:marBottom w:val="0"/>
      <w:divBdr>
        <w:top w:val="none" w:sz="0" w:space="0" w:color="auto"/>
        <w:left w:val="none" w:sz="0" w:space="0" w:color="auto"/>
        <w:bottom w:val="none" w:sz="0" w:space="0" w:color="auto"/>
        <w:right w:val="none" w:sz="0" w:space="0" w:color="auto"/>
      </w:divBdr>
      <w:divsChild>
        <w:div w:id="1691451018">
          <w:marLeft w:val="0"/>
          <w:marRight w:val="0"/>
          <w:marTop w:val="0"/>
          <w:marBottom w:val="0"/>
          <w:divBdr>
            <w:top w:val="none" w:sz="0" w:space="0" w:color="auto"/>
            <w:left w:val="none" w:sz="0" w:space="0" w:color="auto"/>
            <w:bottom w:val="none" w:sz="0" w:space="0" w:color="auto"/>
            <w:right w:val="none" w:sz="0" w:space="0" w:color="auto"/>
          </w:divBdr>
          <w:divsChild>
            <w:div w:id="2128045442">
              <w:marLeft w:val="0"/>
              <w:marRight w:val="0"/>
              <w:marTop w:val="0"/>
              <w:marBottom w:val="0"/>
              <w:divBdr>
                <w:top w:val="none" w:sz="0" w:space="0" w:color="auto"/>
                <w:left w:val="none" w:sz="0" w:space="0" w:color="auto"/>
                <w:bottom w:val="none" w:sz="0" w:space="0" w:color="auto"/>
                <w:right w:val="none" w:sz="0" w:space="0" w:color="auto"/>
              </w:divBdr>
              <w:divsChild>
                <w:div w:id="158938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625686">
      <w:bodyDiv w:val="1"/>
      <w:marLeft w:val="0"/>
      <w:marRight w:val="0"/>
      <w:marTop w:val="0"/>
      <w:marBottom w:val="0"/>
      <w:divBdr>
        <w:top w:val="none" w:sz="0" w:space="0" w:color="auto"/>
        <w:left w:val="none" w:sz="0" w:space="0" w:color="auto"/>
        <w:bottom w:val="none" w:sz="0" w:space="0" w:color="auto"/>
        <w:right w:val="none" w:sz="0" w:space="0" w:color="auto"/>
      </w:divBdr>
    </w:div>
    <w:div w:id="681708483">
      <w:bodyDiv w:val="1"/>
      <w:marLeft w:val="0"/>
      <w:marRight w:val="0"/>
      <w:marTop w:val="0"/>
      <w:marBottom w:val="0"/>
      <w:divBdr>
        <w:top w:val="none" w:sz="0" w:space="0" w:color="auto"/>
        <w:left w:val="none" w:sz="0" w:space="0" w:color="auto"/>
        <w:bottom w:val="none" w:sz="0" w:space="0" w:color="auto"/>
        <w:right w:val="none" w:sz="0" w:space="0" w:color="auto"/>
      </w:divBdr>
    </w:div>
    <w:div w:id="693728667">
      <w:bodyDiv w:val="1"/>
      <w:marLeft w:val="0"/>
      <w:marRight w:val="0"/>
      <w:marTop w:val="0"/>
      <w:marBottom w:val="0"/>
      <w:divBdr>
        <w:top w:val="none" w:sz="0" w:space="0" w:color="auto"/>
        <w:left w:val="none" w:sz="0" w:space="0" w:color="auto"/>
        <w:bottom w:val="none" w:sz="0" w:space="0" w:color="auto"/>
        <w:right w:val="none" w:sz="0" w:space="0" w:color="auto"/>
      </w:divBdr>
    </w:div>
    <w:div w:id="721562773">
      <w:bodyDiv w:val="1"/>
      <w:marLeft w:val="0"/>
      <w:marRight w:val="0"/>
      <w:marTop w:val="0"/>
      <w:marBottom w:val="0"/>
      <w:divBdr>
        <w:top w:val="none" w:sz="0" w:space="0" w:color="auto"/>
        <w:left w:val="none" w:sz="0" w:space="0" w:color="auto"/>
        <w:bottom w:val="none" w:sz="0" w:space="0" w:color="auto"/>
        <w:right w:val="none" w:sz="0" w:space="0" w:color="auto"/>
      </w:divBdr>
    </w:div>
    <w:div w:id="753673849">
      <w:bodyDiv w:val="1"/>
      <w:marLeft w:val="0"/>
      <w:marRight w:val="0"/>
      <w:marTop w:val="0"/>
      <w:marBottom w:val="0"/>
      <w:divBdr>
        <w:top w:val="none" w:sz="0" w:space="0" w:color="auto"/>
        <w:left w:val="none" w:sz="0" w:space="0" w:color="auto"/>
        <w:bottom w:val="none" w:sz="0" w:space="0" w:color="auto"/>
        <w:right w:val="none" w:sz="0" w:space="0" w:color="auto"/>
      </w:divBdr>
    </w:div>
    <w:div w:id="811142400">
      <w:bodyDiv w:val="1"/>
      <w:marLeft w:val="0"/>
      <w:marRight w:val="0"/>
      <w:marTop w:val="0"/>
      <w:marBottom w:val="0"/>
      <w:divBdr>
        <w:top w:val="none" w:sz="0" w:space="0" w:color="auto"/>
        <w:left w:val="none" w:sz="0" w:space="0" w:color="auto"/>
        <w:bottom w:val="none" w:sz="0" w:space="0" w:color="auto"/>
        <w:right w:val="none" w:sz="0" w:space="0" w:color="auto"/>
      </w:divBdr>
    </w:div>
    <w:div w:id="887493129">
      <w:bodyDiv w:val="1"/>
      <w:marLeft w:val="0"/>
      <w:marRight w:val="0"/>
      <w:marTop w:val="0"/>
      <w:marBottom w:val="0"/>
      <w:divBdr>
        <w:top w:val="none" w:sz="0" w:space="0" w:color="auto"/>
        <w:left w:val="none" w:sz="0" w:space="0" w:color="auto"/>
        <w:bottom w:val="none" w:sz="0" w:space="0" w:color="auto"/>
        <w:right w:val="none" w:sz="0" w:space="0" w:color="auto"/>
      </w:divBdr>
      <w:divsChild>
        <w:div w:id="127355668">
          <w:marLeft w:val="0"/>
          <w:marRight w:val="0"/>
          <w:marTop w:val="0"/>
          <w:marBottom w:val="0"/>
          <w:divBdr>
            <w:top w:val="none" w:sz="0" w:space="0" w:color="auto"/>
            <w:left w:val="none" w:sz="0" w:space="0" w:color="auto"/>
            <w:bottom w:val="none" w:sz="0" w:space="0" w:color="auto"/>
            <w:right w:val="none" w:sz="0" w:space="0" w:color="auto"/>
          </w:divBdr>
        </w:div>
        <w:div w:id="1604921758">
          <w:marLeft w:val="0"/>
          <w:marRight w:val="0"/>
          <w:marTop w:val="0"/>
          <w:marBottom w:val="0"/>
          <w:divBdr>
            <w:top w:val="none" w:sz="0" w:space="0" w:color="auto"/>
            <w:left w:val="none" w:sz="0" w:space="0" w:color="auto"/>
            <w:bottom w:val="none" w:sz="0" w:space="0" w:color="auto"/>
            <w:right w:val="none" w:sz="0" w:space="0" w:color="auto"/>
          </w:divBdr>
        </w:div>
      </w:divsChild>
    </w:div>
    <w:div w:id="938023476">
      <w:bodyDiv w:val="1"/>
      <w:marLeft w:val="0"/>
      <w:marRight w:val="0"/>
      <w:marTop w:val="0"/>
      <w:marBottom w:val="0"/>
      <w:divBdr>
        <w:top w:val="none" w:sz="0" w:space="0" w:color="auto"/>
        <w:left w:val="none" w:sz="0" w:space="0" w:color="auto"/>
        <w:bottom w:val="none" w:sz="0" w:space="0" w:color="auto"/>
        <w:right w:val="none" w:sz="0" w:space="0" w:color="auto"/>
      </w:divBdr>
    </w:div>
    <w:div w:id="941456294">
      <w:bodyDiv w:val="1"/>
      <w:marLeft w:val="0"/>
      <w:marRight w:val="0"/>
      <w:marTop w:val="0"/>
      <w:marBottom w:val="0"/>
      <w:divBdr>
        <w:top w:val="none" w:sz="0" w:space="0" w:color="auto"/>
        <w:left w:val="none" w:sz="0" w:space="0" w:color="auto"/>
        <w:bottom w:val="none" w:sz="0" w:space="0" w:color="auto"/>
        <w:right w:val="none" w:sz="0" w:space="0" w:color="auto"/>
      </w:divBdr>
      <w:divsChild>
        <w:div w:id="399719029">
          <w:marLeft w:val="0"/>
          <w:marRight w:val="0"/>
          <w:marTop w:val="0"/>
          <w:marBottom w:val="0"/>
          <w:divBdr>
            <w:top w:val="none" w:sz="0" w:space="0" w:color="auto"/>
            <w:left w:val="none" w:sz="0" w:space="0" w:color="auto"/>
            <w:bottom w:val="none" w:sz="0" w:space="0" w:color="auto"/>
            <w:right w:val="none" w:sz="0" w:space="0" w:color="auto"/>
          </w:divBdr>
          <w:divsChild>
            <w:div w:id="1622028339">
              <w:marLeft w:val="0"/>
              <w:marRight w:val="0"/>
              <w:marTop w:val="0"/>
              <w:marBottom w:val="0"/>
              <w:divBdr>
                <w:top w:val="none" w:sz="0" w:space="0" w:color="auto"/>
                <w:left w:val="none" w:sz="0" w:space="0" w:color="auto"/>
                <w:bottom w:val="none" w:sz="0" w:space="0" w:color="auto"/>
                <w:right w:val="none" w:sz="0" w:space="0" w:color="auto"/>
              </w:divBdr>
              <w:divsChild>
                <w:div w:id="357047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732122">
      <w:bodyDiv w:val="1"/>
      <w:marLeft w:val="0"/>
      <w:marRight w:val="0"/>
      <w:marTop w:val="0"/>
      <w:marBottom w:val="0"/>
      <w:divBdr>
        <w:top w:val="none" w:sz="0" w:space="0" w:color="auto"/>
        <w:left w:val="none" w:sz="0" w:space="0" w:color="auto"/>
        <w:bottom w:val="none" w:sz="0" w:space="0" w:color="auto"/>
        <w:right w:val="none" w:sz="0" w:space="0" w:color="auto"/>
      </w:divBdr>
    </w:div>
    <w:div w:id="964701274">
      <w:bodyDiv w:val="1"/>
      <w:marLeft w:val="0"/>
      <w:marRight w:val="0"/>
      <w:marTop w:val="0"/>
      <w:marBottom w:val="0"/>
      <w:divBdr>
        <w:top w:val="none" w:sz="0" w:space="0" w:color="auto"/>
        <w:left w:val="none" w:sz="0" w:space="0" w:color="auto"/>
        <w:bottom w:val="none" w:sz="0" w:space="0" w:color="auto"/>
        <w:right w:val="none" w:sz="0" w:space="0" w:color="auto"/>
      </w:divBdr>
    </w:div>
    <w:div w:id="971398209">
      <w:bodyDiv w:val="1"/>
      <w:marLeft w:val="0"/>
      <w:marRight w:val="0"/>
      <w:marTop w:val="0"/>
      <w:marBottom w:val="0"/>
      <w:divBdr>
        <w:top w:val="none" w:sz="0" w:space="0" w:color="auto"/>
        <w:left w:val="none" w:sz="0" w:space="0" w:color="auto"/>
        <w:bottom w:val="none" w:sz="0" w:space="0" w:color="auto"/>
        <w:right w:val="none" w:sz="0" w:space="0" w:color="auto"/>
      </w:divBdr>
    </w:div>
    <w:div w:id="1067461204">
      <w:bodyDiv w:val="1"/>
      <w:marLeft w:val="0"/>
      <w:marRight w:val="0"/>
      <w:marTop w:val="0"/>
      <w:marBottom w:val="0"/>
      <w:divBdr>
        <w:top w:val="none" w:sz="0" w:space="0" w:color="auto"/>
        <w:left w:val="none" w:sz="0" w:space="0" w:color="auto"/>
        <w:bottom w:val="none" w:sz="0" w:space="0" w:color="auto"/>
        <w:right w:val="none" w:sz="0" w:space="0" w:color="auto"/>
      </w:divBdr>
    </w:div>
    <w:div w:id="1125319693">
      <w:bodyDiv w:val="1"/>
      <w:marLeft w:val="0"/>
      <w:marRight w:val="0"/>
      <w:marTop w:val="0"/>
      <w:marBottom w:val="0"/>
      <w:divBdr>
        <w:top w:val="none" w:sz="0" w:space="0" w:color="auto"/>
        <w:left w:val="none" w:sz="0" w:space="0" w:color="auto"/>
        <w:bottom w:val="none" w:sz="0" w:space="0" w:color="auto"/>
        <w:right w:val="none" w:sz="0" w:space="0" w:color="auto"/>
      </w:divBdr>
      <w:divsChild>
        <w:div w:id="824902761">
          <w:marLeft w:val="0"/>
          <w:marRight w:val="0"/>
          <w:marTop w:val="0"/>
          <w:marBottom w:val="0"/>
          <w:divBdr>
            <w:top w:val="none" w:sz="0" w:space="0" w:color="auto"/>
            <w:left w:val="none" w:sz="0" w:space="0" w:color="auto"/>
            <w:bottom w:val="none" w:sz="0" w:space="0" w:color="auto"/>
            <w:right w:val="none" w:sz="0" w:space="0" w:color="auto"/>
          </w:divBdr>
          <w:divsChild>
            <w:div w:id="2092196936">
              <w:marLeft w:val="0"/>
              <w:marRight w:val="0"/>
              <w:marTop w:val="0"/>
              <w:marBottom w:val="0"/>
              <w:divBdr>
                <w:top w:val="none" w:sz="0" w:space="0" w:color="auto"/>
                <w:left w:val="none" w:sz="0" w:space="0" w:color="auto"/>
                <w:bottom w:val="none" w:sz="0" w:space="0" w:color="auto"/>
                <w:right w:val="none" w:sz="0" w:space="0" w:color="auto"/>
              </w:divBdr>
              <w:divsChild>
                <w:div w:id="160984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096866">
      <w:bodyDiv w:val="1"/>
      <w:marLeft w:val="0"/>
      <w:marRight w:val="0"/>
      <w:marTop w:val="0"/>
      <w:marBottom w:val="0"/>
      <w:divBdr>
        <w:top w:val="none" w:sz="0" w:space="0" w:color="auto"/>
        <w:left w:val="none" w:sz="0" w:space="0" w:color="auto"/>
        <w:bottom w:val="none" w:sz="0" w:space="0" w:color="auto"/>
        <w:right w:val="none" w:sz="0" w:space="0" w:color="auto"/>
      </w:divBdr>
    </w:div>
    <w:div w:id="1203715835">
      <w:bodyDiv w:val="1"/>
      <w:marLeft w:val="0"/>
      <w:marRight w:val="0"/>
      <w:marTop w:val="0"/>
      <w:marBottom w:val="0"/>
      <w:divBdr>
        <w:top w:val="none" w:sz="0" w:space="0" w:color="auto"/>
        <w:left w:val="none" w:sz="0" w:space="0" w:color="auto"/>
        <w:bottom w:val="none" w:sz="0" w:space="0" w:color="auto"/>
        <w:right w:val="none" w:sz="0" w:space="0" w:color="auto"/>
      </w:divBdr>
      <w:divsChild>
        <w:div w:id="506791785">
          <w:marLeft w:val="0"/>
          <w:marRight w:val="0"/>
          <w:marTop w:val="0"/>
          <w:marBottom w:val="0"/>
          <w:divBdr>
            <w:top w:val="none" w:sz="0" w:space="0" w:color="auto"/>
            <w:left w:val="none" w:sz="0" w:space="0" w:color="auto"/>
            <w:bottom w:val="none" w:sz="0" w:space="0" w:color="auto"/>
            <w:right w:val="none" w:sz="0" w:space="0" w:color="auto"/>
          </w:divBdr>
          <w:divsChild>
            <w:div w:id="1739747540">
              <w:marLeft w:val="0"/>
              <w:marRight w:val="0"/>
              <w:marTop w:val="0"/>
              <w:marBottom w:val="0"/>
              <w:divBdr>
                <w:top w:val="none" w:sz="0" w:space="0" w:color="auto"/>
                <w:left w:val="none" w:sz="0" w:space="0" w:color="auto"/>
                <w:bottom w:val="none" w:sz="0" w:space="0" w:color="auto"/>
                <w:right w:val="none" w:sz="0" w:space="0" w:color="auto"/>
              </w:divBdr>
              <w:divsChild>
                <w:div w:id="97938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407203">
      <w:bodyDiv w:val="1"/>
      <w:marLeft w:val="0"/>
      <w:marRight w:val="0"/>
      <w:marTop w:val="0"/>
      <w:marBottom w:val="0"/>
      <w:divBdr>
        <w:top w:val="none" w:sz="0" w:space="0" w:color="auto"/>
        <w:left w:val="none" w:sz="0" w:space="0" w:color="auto"/>
        <w:bottom w:val="none" w:sz="0" w:space="0" w:color="auto"/>
        <w:right w:val="none" w:sz="0" w:space="0" w:color="auto"/>
      </w:divBdr>
    </w:div>
    <w:div w:id="1206869473">
      <w:bodyDiv w:val="1"/>
      <w:marLeft w:val="0"/>
      <w:marRight w:val="0"/>
      <w:marTop w:val="0"/>
      <w:marBottom w:val="0"/>
      <w:divBdr>
        <w:top w:val="none" w:sz="0" w:space="0" w:color="auto"/>
        <w:left w:val="none" w:sz="0" w:space="0" w:color="auto"/>
        <w:bottom w:val="none" w:sz="0" w:space="0" w:color="auto"/>
        <w:right w:val="none" w:sz="0" w:space="0" w:color="auto"/>
      </w:divBdr>
    </w:div>
    <w:div w:id="1250655195">
      <w:bodyDiv w:val="1"/>
      <w:marLeft w:val="0"/>
      <w:marRight w:val="0"/>
      <w:marTop w:val="0"/>
      <w:marBottom w:val="0"/>
      <w:divBdr>
        <w:top w:val="none" w:sz="0" w:space="0" w:color="auto"/>
        <w:left w:val="none" w:sz="0" w:space="0" w:color="auto"/>
        <w:bottom w:val="none" w:sz="0" w:space="0" w:color="auto"/>
        <w:right w:val="none" w:sz="0" w:space="0" w:color="auto"/>
      </w:divBdr>
    </w:div>
    <w:div w:id="1259677798">
      <w:bodyDiv w:val="1"/>
      <w:marLeft w:val="0"/>
      <w:marRight w:val="0"/>
      <w:marTop w:val="0"/>
      <w:marBottom w:val="0"/>
      <w:divBdr>
        <w:top w:val="none" w:sz="0" w:space="0" w:color="auto"/>
        <w:left w:val="none" w:sz="0" w:space="0" w:color="auto"/>
        <w:bottom w:val="none" w:sz="0" w:space="0" w:color="auto"/>
        <w:right w:val="none" w:sz="0" w:space="0" w:color="auto"/>
      </w:divBdr>
    </w:div>
    <w:div w:id="1320887597">
      <w:bodyDiv w:val="1"/>
      <w:marLeft w:val="0"/>
      <w:marRight w:val="0"/>
      <w:marTop w:val="0"/>
      <w:marBottom w:val="0"/>
      <w:divBdr>
        <w:top w:val="none" w:sz="0" w:space="0" w:color="auto"/>
        <w:left w:val="none" w:sz="0" w:space="0" w:color="auto"/>
        <w:bottom w:val="none" w:sz="0" w:space="0" w:color="auto"/>
        <w:right w:val="none" w:sz="0" w:space="0" w:color="auto"/>
      </w:divBdr>
    </w:div>
    <w:div w:id="1346055522">
      <w:bodyDiv w:val="1"/>
      <w:marLeft w:val="0"/>
      <w:marRight w:val="0"/>
      <w:marTop w:val="0"/>
      <w:marBottom w:val="0"/>
      <w:divBdr>
        <w:top w:val="none" w:sz="0" w:space="0" w:color="auto"/>
        <w:left w:val="none" w:sz="0" w:space="0" w:color="auto"/>
        <w:bottom w:val="none" w:sz="0" w:space="0" w:color="auto"/>
        <w:right w:val="none" w:sz="0" w:space="0" w:color="auto"/>
      </w:divBdr>
    </w:div>
    <w:div w:id="1372265538">
      <w:bodyDiv w:val="1"/>
      <w:marLeft w:val="0"/>
      <w:marRight w:val="0"/>
      <w:marTop w:val="0"/>
      <w:marBottom w:val="0"/>
      <w:divBdr>
        <w:top w:val="none" w:sz="0" w:space="0" w:color="auto"/>
        <w:left w:val="none" w:sz="0" w:space="0" w:color="auto"/>
        <w:bottom w:val="none" w:sz="0" w:space="0" w:color="auto"/>
        <w:right w:val="none" w:sz="0" w:space="0" w:color="auto"/>
      </w:divBdr>
      <w:divsChild>
        <w:div w:id="2075733905">
          <w:marLeft w:val="0"/>
          <w:marRight w:val="0"/>
          <w:marTop w:val="0"/>
          <w:marBottom w:val="0"/>
          <w:divBdr>
            <w:top w:val="none" w:sz="0" w:space="0" w:color="auto"/>
            <w:left w:val="none" w:sz="0" w:space="0" w:color="auto"/>
            <w:bottom w:val="none" w:sz="0" w:space="0" w:color="auto"/>
            <w:right w:val="none" w:sz="0" w:space="0" w:color="auto"/>
          </w:divBdr>
          <w:divsChild>
            <w:div w:id="1833444798">
              <w:marLeft w:val="0"/>
              <w:marRight w:val="0"/>
              <w:marTop w:val="0"/>
              <w:marBottom w:val="0"/>
              <w:divBdr>
                <w:top w:val="none" w:sz="0" w:space="0" w:color="auto"/>
                <w:left w:val="none" w:sz="0" w:space="0" w:color="auto"/>
                <w:bottom w:val="none" w:sz="0" w:space="0" w:color="auto"/>
                <w:right w:val="none" w:sz="0" w:space="0" w:color="auto"/>
              </w:divBdr>
              <w:divsChild>
                <w:div w:id="160268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747564">
      <w:bodyDiv w:val="1"/>
      <w:marLeft w:val="0"/>
      <w:marRight w:val="0"/>
      <w:marTop w:val="0"/>
      <w:marBottom w:val="0"/>
      <w:divBdr>
        <w:top w:val="none" w:sz="0" w:space="0" w:color="auto"/>
        <w:left w:val="none" w:sz="0" w:space="0" w:color="auto"/>
        <w:bottom w:val="none" w:sz="0" w:space="0" w:color="auto"/>
        <w:right w:val="none" w:sz="0" w:space="0" w:color="auto"/>
      </w:divBdr>
    </w:div>
    <w:div w:id="1426347114">
      <w:bodyDiv w:val="1"/>
      <w:marLeft w:val="0"/>
      <w:marRight w:val="0"/>
      <w:marTop w:val="0"/>
      <w:marBottom w:val="0"/>
      <w:divBdr>
        <w:top w:val="none" w:sz="0" w:space="0" w:color="auto"/>
        <w:left w:val="none" w:sz="0" w:space="0" w:color="auto"/>
        <w:bottom w:val="none" w:sz="0" w:space="0" w:color="auto"/>
        <w:right w:val="none" w:sz="0" w:space="0" w:color="auto"/>
      </w:divBdr>
    </w:div>
    <w:div w:id="1435900506">
      <w:bodyDiv w:val="1"/>
      <w:marLeft w:val="0"/>
      <w:marRight w:val="0"/>
      <w:marTop w:val="0"/>
      <w:marBottom w:val="0"/>
      <w:divBdr>
        <w:top w:val="none" w:sz="0" w:space="0" w:color="auto"/>
        <w:left w:val="none" w:sz="0" w:space="0" w:color="auto"/>
        <w:bottom w:val="none" w:sz="0" w:space="0" w:color="auto"/>
        <w:right w:val="none" w:sz="0" w:space="0" w:color="auto"/>
      </w:divBdr>
    </w:div>
    <w:div w:id="1438213720">
      <w:bodyDiv w:val="1"/>
      <w:marLeft w:val="0"/>
      <w:marRight w:val="0"/>
      <w:marTop w:val="0"/>
      <w:marBottom w:val="0"/>
      <w:divBdr>
        <w:top w:val="none" w:sz="0" w:space="0" w:color="auto"/>
        <w:left w:val="none" w:sz="0" w:space="0" w:color="auto"/>
        <w:bottom w:val="none" w:sz="0" w:space="0" w:color="auto"/>
        <w:right w:val="none" w:sz="0" w:space="0" w:color="auto"/>
      </w:divBdr>
      <w:divsChild>
        <w:div w:id="969480990">
          <w:marLeft w:val="0"/>
          <w:marRight w:val="0"/>
          <w:marTop w:val="0"/>
          <w:marBottom w:val="0"/>
          <w:divBdr>
            <w:top w:val="none" w:sz="0" w:space="0" w:color="auto"/>
            <w:left w:val="none" w:sz="0" w:space="0" w:color="auto"/>
            <w:bottom w:val="none" w:sz="0" w:space="0" w:color="auto"/>
            <w:right w:val="none" w:sz="0" w:space="0" w:color="auto"/>
          </w:divBdr>
          <w:divsChild>
            <w:div w:id="124737300">
              <w:marLeft w:val="0"/>
              <w:marRight w:val="0"/>
              <w:marTop w:val="0"/>
              <w:marBottom w:val="0"/>
              <w:divBdr>
                <w:top w:val="none" w:sz="0" w:space="0" w:color="auto"/>
                <w:left w:val="none" w:sz="0" w:space="0" w:color="auto"/>
                <w:bottom w:val="none" w:sz="0" w:space="0" w:color="auto"/>
                <w:right w:val="none" w:sz="0" w:space="0" w:color="auto"/>
              </w:divBdr>
              <w:divsChild>
                <w:div w:id="24184152">
                  <w:marLeft w:val="0"/>
                  <w:marRight w:val="0"/>
                  <w:marTop w:val="0"/>
                  <w:marBottom w:val="0"/>
                  <w:divBdr>
                    <w:top w:val="none" w:sz="0" w:space="0" w:color="auto"/>
                    <w:left w:val="none" w:sz="0" w:space="0" w:color="auto"/>
                    <w:bottom w:val="none" w:sz="0" w:space="0" w:color="auto"/>
                    <w:right w:val="none" w:sz="0" w:space="0" w:color="auto"/>
                  </w:divBdr>
                  <w:divsChild>
                    <w:div w:id="927424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8450846">
      <w:bodyDiv w:val="1"/>
      <w:marLeft w:val="0"/>
      <w:marRight w:val="0"/>
      <w:marTop w:val="0"/>
      <w:marBottom w:val="0"/>
      <w:divBdr>
        <w:top w:val="none" w:sz="0" w:space="0" w:color="auto"/>
        <w:left w:val="none" w:sz="0" w:space="0" w:color="auto"/>
        <w:bottom w:val="none" w:sz="0" w:space="0" w:color="auto"/>
        <w:right w:val="none" w:sz="0" w:space="0" w:color="auto"/>
      </w:divBdr>
    </w:div>
    <w:div w:id="1535998543">
      <w:bodyDiv w:val="1"/>
      <w:marLeft w:val="0"/>
      <w:marRight w:val="0"/>
      <w:marTop w:val="0"/>
      <w:marBottom w:val="0"/>
      <w:divBdr>
        <w:top w:val="none" w:sz="0" w:space="0" w:color="auto"/>
        <w:left w:val="none" w:sz="0" w:space="0" w:color="auto"/>
        <w:bottom w:val="none" w:sz="0" w:space="0" w:color="auto"/>
        <w:right w:val="none" w:sz="0" w:space="0" w:color="auto"/>
      </w:divBdr>
      <w:divsChild>
        <w:div w:id="1852063344">
          <w:marLeft w:val="0"/>
          <w:marRight w:val="0"/>
          <w:marTop w:val="0"/>
          <w:marBottom w:val="0"/>
          <w:divBdr>
            <w:top w:val="none" w:sz="0" w:space="0" w:color="auto"/>
            <w:left w:val="none" w:sz="0" w:space="0" w:color="auto"/>
            <w:bottom w:val="none" w:sz="0" w:space="0" w:color="auto"/>
            <w:right w:val="none" w:sz="0" w:space="0" w:color="auto"/>
          </w:divBdr>
          <w:divsChild>
            <w:div w:id="442966441">
              <w:marLeft w:val="0"/>
              <w:marRight w:val="0"/>
              <w:marTop w:val="0"/>
              <w:marBottom w:val="0"/>
              <w:divBdr>
                <w:top w:val="none" w:sz="0" w:space="0" w:color="auto"/>
                <w:left w:val="none" w:sz="0" w:space="0" w:color="auto"/>
                <w:bottom w:val="none" w:sz="0" w:space="0" w:color="auto"/>
                <w:right w:val="none" w:sz="0" w:space="0" w:color="auto"/>
              </w:divBdr>
              <w:divsChild>
                <w:div w:id="1511946599">
                  <w:marLeft w:val="0"/>
                  <w:marRight w:val="0"/>
                  <w:marTop w:val="0"/>
                  <w:marBottom w:val="0"/>
                  <w:divBdr>
                    <w:top w:val="none" w:sz="0" w:space="0" w:color="auto"/>
                    <w:left w:val="none" w:sz="0" w:space="0" w:color="auto"/>
                    <w:bottom w:val="none" w:sz="0" w:space="0" w:color="auto"/>
                    <w:right w:val="none" w:sz="0" w:space="0" w:color="auto"/>
                  </w:divBdr>
                  <w:divsChild>
                    <w:div w:id="938175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5263695">
      <w:bodyDiv w:val="1"/>
      <w:marLeft w:val="0"/>
      <w:marRight w:val="0"/>
      <w:marTop w:val="0"/>
      <w:marBottom w:val="0"/>
      <w:divBdr>
        <w:top w:val="none" w:sz="0" w:space="0" w:color="auto"/>
        <w:left w:val="none" w:sz="0" w:space="0" w:color="auto"/>
        <w:bottom w:val="none" w:sz="0" w:space="0" w:color="auto"/>
        <w:right w:val="none" w:sz="0" w:space="0" w:color="auto"/>
      </w:divBdr>
      <w:divsChild>
        <w:div w:id="289822795">
          <w:marLeft w:val="0"/>
          <w:marRight w:val="0"/>
          <w:marTop w:val="0"/>
          <w:marBottom w:val="0"/>
          <w:divBdr>
            <w:top w:val="none" w:sz="0" w:space="0" w:color="auto"/>
            <w:left w:val="none" w:sz="0" w:space="0" w:color="auto"/>
            <w:bottom w:val="none" w:sz="0" w:space="0" w:color="auto"/>
            <w:right w:val="none" w:sz="0" w:space="0" w:color="auto"/>
          </w:divBdr>
          <w:divsChild>
            <w:div w:id="267781294">
              <w:marLeft w:val="0"/>
              <w:marRight w:val="0"/>
              <w:marTop w:val="0"/>
              <w:marBottom w:val="0"/>
              <w:divBdr>
                <w:top w:val="none" w:sz="0" w:space="0" w:color="auto"/>
                <w:left w:val="none" w:sz="0" w:space="0" w:color="auto"/>
                <w:bottom w:val="none" w:sz="0" w:space="0" w:color="auto"/>
                <w:right w:val="none" w:sz="0" w:space="0" w:color="auto"/>
              </w:divBdr>
              <w:divsChild>
                <w:div w:id="199572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389943">
      <w:bodyDiv w:val="1"/>
      <w:marLeft w:val="0"/>
      <w:marRight w:val="0"/>
      <w:marTop w:val="0"/>
      <w:marBottom w:val="0"/>
      <w:divBdr>
        <w:top w:val="none" w:sz="0" w:space="0" w:color="auto"/>
        <w:left w:val="none" w:sz="0" w:space="0" w:color="auto"/>
        <w:bottom w:val="none" w:sz="0" w:space="0" w:color="auto"/>
        <w:right w:val="none" w:sz="0" w:space="0" w:color="auto"/>
      </w:divBdr>
      <w:divsChild>
        <w:div w:id="1842157502">
          <w:marLeft w:val="0"/>
          <w:marRight w:val="0"/>
          <w:marTop w:val="0"/>
          <w:marBottom w:val="0"/>
          <w:divBdr>
            <w:top w:val="none" w:sz="0" w:space="0" w:color="auto"/>
            <w:left w:val="none" w:sz="0" w:space="0" w:color="auto"/>
            <w:bottom w:val="none" w:sz="0" w:space="0" w:color="auto"/>
            <w:right w:val="none" w:sz="0" w:space="0" w:color="auto"/>
          </w:divBdr>
          <w:divsChild>
            <w:div w:id="678704425">
              <w:marLeft w:val="0"/>
              <w:marRight w:val="0"/>
              <w:marTop w:val="0"/>
              <w:marBottom w:val="0"/>
              <w:divBdr>
                <w:top w:val="none" w:sz="0" w:space="0" w:color="auto"/>
                <w:left w:val="none" w:sz="0" w:space="0" w:color="auto"/>
                <w:bottom w:val="none" w:sz="0" w:space="0" w:color="auto"/>
                <w:right w:val="none" w:sz="0" w:space="0" w:color="auto"/>
              </w:divBdr>
              <w:divsChild>
                <w:div w:id="117769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948835">
      <w:bodyDiv w:val="1"/>
      <w:marLeft w:val="0"/>
      <w:marRight w:val="0"/>
      <w:marTop w:val="0"/>
      <w:marBottom w:val="0"/>
      <w:divBdr>
        <w:top w:val="none" w:sz="0" w:space="0" w:color="auto"/>
        <w:left w:val="none" w:sz="0" w:space="0" w:color="auto"/>
        <w:bottom w:val="none" w:sz="0" w:space="0" w:color="auto"/>
        <w:right w:val="none" w:sz="0" w:space="0" w:color="auto"/>
      </w:divBdr>
    </w:div>
    <w:div w:id="1734740705">
      <w:bodyDiv w:val="1"/>
      <w:marLeft w:val="0"/>
      <w:marRight w:val="0"/>
      <w:marTop w:val="0"/>
      <w:marBottom w:val="0"/>
      <w:divBdr>
        <w:top w:val="none" w:sz="0" w:space="0" w:color="auto"/>
        <w:left w:val="none" w:sz="0" w:space="0" w:color="auto"/>
        <w:bottom w:val="none" w:sz="0" w:space="0" w:color="auto"/>
        <w:right w:val="none" w:sz="0" w:space="0" w:color="auto"/>
      </w:divBdr>
      <w:divsChild>
        <w:div w:id="1629436698">
          <w:marLeft w:val="0"/>
          <w:marRight w:val="0"/>
          <w:marTop w:val="0"/>
          <w:marBottom w:val="0"/>
          <w:divBdr>
            <w:top w:val="none" w:sz="0" w:space="0" w:color="auto"/>
            <w:left w:val="none" w:sz="0" w:space="0" w:color="auto"/>
            <w:bottom w:val="none" w:sz="0" w:space="0" w:color="auto"/>
            <w:right w:val="none" w:sz="0" w:space="0" w:color="auto"/>
          </w:divBdr>
          <w:divsChild>
            <w:div w:id="1138760315">
              <w:marLeft w:val="0"/>
              <w:marRight w:val="0"/>
              <w:marTop w:val="0"/>
              <w:marBottom w:val="0"/>
              <w:divBdr>
                <w:top w:val="none" w:sz="0" w:space="0" w:color="auto"/>
                <w:left w:val="none" w:sz="0" w:space="0" w:color="auto"/>
                <w:bottom w:val="none" w:sz="0" w:space="0" w:color="auto"/>
                <w:right w:val="none" w:sz="0" w:space="0" w:color="auto"/>
              </w:divBdr>
              <w:divsChild>
                <w:div w:id="85133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006691">
      <w:bodyDiv w:val="1"/>
      <w:marLeft w:val="0"/>
      <w:marRight w:val="0"/>
      <w:marTop w:val="0"/>
      <w:marBottom w:val="0"/>
      <w:divBdr>
        <w:top w:val="none" w:sz="0" w:space="0" w:color="auto"/>
        <w:left w:val="none" w:sz="0" w:space="0" w:color="auto"/>
        <w:bottom w:val="none" w:sz="0" w:space="0" w:color="auto"/>
        <w:right w:val="none" w:sz="0" w:space="0" w:color="auto"/>
      </w:divBdr>
    </w:div>
    <w:div w:id="1766270911">
      <w:bodyDiv w:val="1"/>
      <w:marLeft w:val="0"/>
      <w:marRight w:val="0"/>
      <w:marTop w:val="0"/>
      <w:marBottom w:val="0"/>
      <w:divBdr>
        <w:top w:val="none" w:sz="0" w:space="0" w:color="auto"/>
        <w:left w:val="none" w:sz="0" w:space="0" w:color="auto"/>
        <w:bottom w:val="none" w:sz="0" w:space="0" w:color="auto"/>
        <w:right w:val="none" w:sz="0" w:space="0" w:color="auto"/>
      </w:divBdr>
    </w:div>
    <w:div w:id="1769500238">
      <w:bodyDiv w:val="1"/>
      <w:marLeft w:val="0"/>
      <w:marRight w:val="0"/>
      <w:marTop w:val="0"/>
      <w:marBottom w:val="0"/>
      <w:divBdr>
        <w:top w:val="none" w:sz="0" w:space="0" w:color="auto"/>
        <w:left w:val="none" w:sz="0" w:space="0" w:color="auto"/>
        <w:bottom w:val="none" w:sz="0" w:space="0" w:color="auto"/>
        <w:right w:val="none" w:sz="0" w:space="0" w:color="auto"/>
      </w:divBdr>
      <w:divsChild>
        <w:div w:id="1946766944">
          <w:marLeft w:val="0"/>
          <w:marRight w:val="0"/>
          <w:marTop w:val="0"/>
          <w:marBottom w:val="0"/>
          <w:divBdr>
            <w:top w:val="none" w:sz="0" w:space="0" w:color="auto"/>
            <w:left w:val="none" w:sz="0" w:space="0" w:color="auto"/>
            <w:bottom w:val="none" w:sz="0" w:space="0" w:color="auto"/>
            <w:right w:val="none" w:sz="0" w:space="0" w:color="auto"/>
          </w:divBdr>
          <w:divsChild>
            <w:div w:id="1194726871">
              <w:marLeft w:val="0"/>
              <w:marRight w:val="0"/>
              <w:marTop w:val="0"/>
              <w:marBottom w:val="0"/>
              <w:divBdr>
                <w:top w:val="none" w:sz="0" w:space="0" w:color="auto"/>
                <w:left w:val="none" w:sz="0" w:space="0" w:color="auto"/>
                <w:bottom w:val="none" w:sz="0" w:space="0" w:color="auto"/>
                <w:right w:val="none" w:sz="0" w:space="0" w:color="auto"/>
              </w:divBdr>
              <w:divsChild>
                <w:div w:id="1114252099">
                  <w:marLeft w:val="0"/>
                  <w:marRight w:val="0"/>
                  <w:marTop w:val="0"/>
                  <w:marBottom w:val="0"/>
                  <w:divBdr>
                    <w:top w:val="none" w:sz="0" w:space="0" w:color="auto"/>
                    <w:left w:val="none" w:sz="0" w:space="0" w:color="auto"/>
                    <w:bottom w:val="none" w:sz="0" w:space="0" w:color="auto"/>
                    <w:right w:val="none" w:sz="0" w:space="0" w:color="auto"/>
                  </w:divBdr>
                  <w:divsChild>
                    <w:div w:id="46852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062004">
      <w:bodyDiv w:val="1"/>
      <w:marLeft w:val="0"/>
      <w:marRight w:val="0"/>
      <w:marTop w:val="0"/>
      <w:marBottom w:val="0"/>
      <w:divBdr>
        <w:top w:val="none" w:sz="0" w:space="0" w:color="auto"/>
        <w:left w:val="none" w:sz="0" w:space="0" w:color="auto"/>
        <w:bottom w:val="none" w:sz="0" w:space="0" w:color="auto"/>
        <w:right w:val="none" w:sz="0" w:space="0" w:color="auto"/>
      </w:divBdr>
    </w:div>
    <w:div w:id="1823230640">
      <w:bodyDiv w:val="1"/>
      <w:marLeft w:val="0"/>
      <w:marRight w:val="0"/>
      <w:marTop w:val="0"/>
      <w:marBottom w:val="0"/>
      <w:divBdr>
        <w:top w:val="none" w:sz="0" w:space="0" w:color="auto"/>
        <w:left w:val="none" w:sz="0" w:space="0" w:color="auto"/>
        <w:bottom w:val="none" w:sz="0" w:space="0" w:color="auto"/>
        <w:right w:val="none" w:sz="0" w:space="0" w:color="auto"/>
      </w:divBdr>
    </w:div>
    <w:div w:id="1841844052">
      <w:bodyDiv w:val="1"/>
      <w:marLeft w:val="0"/>
      <w:marRight w:val="0"/>
      <w:marTop w:val="0"/>
      <w:marBottom w:val="0"/>
      <w:divBdr>
        <w:top w:val="none" w:sz="0" w:space="0" w:color="auto"/>
        <w:left w:val="none" w:sz="0" w:space="0" w:color="auto"/>
        <w:bottom w:val="none" w:sz="0" w:space="0" w:color="auto"/>
        <w:right w:val="none" w:sz="0" w:space="0" w:color="auto"/>
      </w:divBdr>
    </w:div>
    <w:div w:id="1845509945">
      <w:bodyDiv w:val="1"/>
      <w:marLeft w:val="0"/>
      <w:marRight w:val="0"/>
      <w:marTop w:val="0"/>
      <w:marBottom w:val="0"/>
      <w:divBdr>
        <w:top w:val="none" w:sz="0" w:space="0" w:color="auto"/>
        <w:left w:val="none" w:sz="0" w:space="0" w:color="auto"/>
        <w:bottom w:val="none" w:sz="0" w:space="0" w:color="auto"/>
        <w:right w:val="none" w:sz="0" w:space="0" w:color="auto"/>
      </w:divBdr>
      <w:divsChild>
        <w:div w:id="1634477638">
          <w:marLeft w:val="0"/>
          <w:marRight w:val="0"/>
          <w:marTop w:val="0"/>
          <w:marBottom w:val="0"/>
          <w:divBdr>
            <w:top w:val="none" w:sz="0" w:space="0" w:color="auto"/>
            <w:left w:val="none" w:sz="0" w:space="0" w:color="auto"/>
            <w:bottom w:val="none" w:sz="0" w:space="0" w:color="auto"/>
            <w:right w:val="none" w:sz="0" w:space="0" w:color="auto"/>
          </w:divBdr>
          <w:divsChild>
            <w:div w:id="1078987542">
              <w:marLeft w:val="0"/>
              <w:marRight w:val="0"/>
              <w:marTop w:val="0"/>
              <w:marBottom w:val="0"/>
              <w:divBdr>
                <w:top w:val="none" w:sz="0" w:space="0" w:color="auto"/>
                <w:left w:val="none" w:sz="0" w:space="0" w:color="auto"/>
                <w:bottom w:val="none" w:sz="0" w:space="0" w:color="auto"/>
                <w:right w:val="none" w:sz="0" w:space="0" w:color="auto"/>
              </w:divBdr>
              <w:divsChild>
                <w:div w:id="92210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823664">
      <w:bodyDiv w:val="1"/>
      <w:marLeft w:val="0"/>
      <w:marRight w:val="0"/>
      <w:marTop w:val="0"/>
      <w:marBottom w:val="0"/>
      <w:divBdr>
        <w:top w:val="none" w:sz="0" w:space="0" w:color="auto"/>
        <w:left w:val="none" w:sz="0" w:space="0" w:color="auto"/>
        <w:bottom w:val="none" w:sz="0" w:space="0" w:color="auto"/>
        <w:right w:val="none" w:sz="0" w:space="0" w:color="auto"/>
      </w:divBdr>
    </w:div>
    <w:div w:id="1896116650">
      <w:bodyDiv w:val="1"/>
      <w:marLeft w:val="0"/>
      <w:marRight w:val="0"/>
      <w:marTop w:val="0"/>
      <w:marBottom w:val="0"/>
      <w:divBdr>
        <w:top w:val="none" w:sz="0" w:space="0" w:color="auto"/>
        <w:left w:val="none" w:sz="0" w:space="0" w:color="auto"/>
        <w:bottom w:val="none" w:sz="0" w:space="0" w:color="auto"/>
        <w:right w:val="none" w:sz="0" w:space="0" w:color="auto"/>
      </w:divBdr>
    </w:div>
    <w:div w:id="1911454014">
      <w:bodyDiv w:val="1"/>
      <w:marLeft w:val="0"/>
      <w:marRight w:val="0"/>
      <w:marTop w:val="0"/>
      <w:marBottom w:val="0"/>
      <w:divBdr>
        <w:top w:val="none" w:sz="0" w:space="0" w:color="auto"/>
        <w:left w:val="none" w:sz="0" w:space="0" w:color="auto"/>
        <w:bottom w:val="none" w:sz="0" w:space="0" w:color="auto"/>
        <w:right w:val="none" w:sz="0" w:space="0" w:color="auto"/>
      </w:divBdr>
      <w:divsChild>
        <w:div w:id="829061318">
          <w:marLeft w:val="0"/>
          <w:marRight w:val="0"/>
          <w:marTop w:val="0"/>
          <w:marBottom w:val="0"/>
          <w:divBdr>
            <w:top w:val="none" w:sz="0" w:space="0" w:color="auto"/>
            <w:left w:val="none" w:sz="0" w:space="0" w:color="auto"/>
            <w:bottom w:val="none" w:sz="0" w:space="0" w:color="auto"/>
            <w:right w:val="none" w:sz="0" w:space="0" w:color="auto"/>
          </w:divBdr>
          <w:divsChild>
            <w:div w:id="724304767">
              <w:marLeft w:val="0"/>
              <w:marRight w:val="0"/>
              <w:marTop w:val="0"/>
              <w:marBottom w:val="0"/>
              <w:divBdr>
                <w:top w:val="none" w:sz="0" w:space="0" w:color="auto"/>
                <w:left w:val="none" w:sz="0" w:space="0" w:color="auto"/>
                <w:bottom w:val="none" w:sz="0" w:space="0" w:color="auto"/>
                <w:right w:val="none" w:sz="0" w:space="0" w:color="auto"/>
              </w:divBdr>
              <w:divsChild>
                <w:div w:id="70113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9008">
      <w:bodyDiv w:val="1"/>
      <w:marLeft w:val="0"/>
      <w:marRight w:val="0"/>
      <w:marTop w:val="0"/>
      <w:marBottom w:val="0"/>
      <w:divBdr>
        <w:top w:val="none" w:sz="0" w:space="0" w:color="auto"/>
        <w:left w:val="none" w:sz="0" w:space="0" w:color="auto"/>
        <w:bottom w:val="none" w:sz="0" w:space="0" w:color="auto"/>
        <w:right w:val="none" w:sz="0" w:space="0" w:color="auto"/>
      </w:divBdr>
      <w:divsChild>
        <w:div w:id="933123504">
          <w:marLeft w:val="0"/>
          <w:marRight w:val="0"/>
          <w:marTop w:val="0"/>
          <w:marBottom w:val="0"/>
          <w:divBdr>
            <w:top w:val="none" w:sz="0" w:space="0" w:color="auto"/>
            <w:left w:val="none" w:sz="0" w:space="0" w:color="auto"/>
            <w:bottom w:val="none" w:sz="0" w:space="0" w:color="auto"/>
            <w:right w:val="none" w:sz="0" w:space="0" w:color="auto"/>
          </w:divBdr>
          <w:divsChild>
            <w:div w:id="1893689236">
              <w:marLeft w:val="0"/>
              <w:marRight w:val="0"/>
              <w:marTop w:val="0"/>
              <w:marBottom w:val="0"/>
              <w:divBdr>
                <w:top w:val="none" w:sz="0" w:space="0" w:color="auto"/>
                <w:left w:val="none" w:sz="0" w:space="0" w:color="auto"/>
                <w:bottom w:val="none" w:sz="0" w:space="0" w:color="auto"/>
                <w:right w:val="none" w:sz="0" w:space="0" w:color="auto"/>
              </w:divBdr>
              <w:divsChild>
                <w:div w:id="71639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347159">
      <w:bodyDiv w:val="1"/>
      <w:marLeft w:val="0"/>
      <w:marRight w:val="0"/>
      <w:marTop w:val="0"/>
      <w:marBottom w:val="0"/>
      <w:divBdr>
        <w:top w:val="none" w:sz="0" w:space="0" w:color="auto"/>
        <w:left w:val="none" w:sz="0" w:space="0" w:color="auto"/>
        <w:bottom w:val="none" w:sz="0" w:space="0" w:color="auto"/>
        <w:right w:val="none" w:sz="0" w:space="0" w:color="auto"/>
      </w:divBdr>
    </w:div>
    <w:div w:id="2010667862">
      <w:bodyDiv w:val="1"/>
      <w:marLeft w:val="0"/>
      <w:marRight w:val="0"/>
      <w:marTop w:val="0"/>
      <w:marBottom w:val="0"/>
      <w:divBdr>
        <w:top w:val="none" w:sz="0" w:space="0" w:color="auto"/>
        <w:left w:val="none" w:sz="0" w:space="0" w:color="auto"/>
        <w:bottom w:val="none" w:sz="0" w:space="0" w:color="auto"/>
        <w:right w:val="none" w:sz="0" w:space="0" w:color="auto"/>
      </w:divBdr>
    </w:div>
    <w:div w:id="2010985403">
      <w:bodyDiv w:val="1"/>
      <w:marLeft w:val="0"/>
      <w:marRight w:val="0"/>
      <w:marTop w:val="0"/>
      <w:marBottom w:val="0"/>
      <w:divBdr>
        <w:top w:val="none" w:sz="0" w:space="0" w:color="auto"/>
        <w:left w:val="none" w:sz="0" w:space="0" w:color="auto"/>
        <w:bottom w:val="none" w:sz="0" w:space="0" w:color="auto"/>
        <w:right w:val="none" w:sz="0" w:space="0" w:color="auto"/>
      </w:divBdr>
      <w:divsChild>
        <w:div w:id="353925228">
          <w:marLeft w:val="0"/>
          <w:marRight w:val="0"/>
          <w:marTop w:val="0"/>
          <w:marBottom w:val="0"/>
          <w:divBdr>
            <w:top w:val="none" w:sz="0" w:space="0" w:color="auto"/>
            <w:left w:val="none" w:sz="0" w:space="0" w:color="auto"/>
            <w:bottom w:val="none" w:sz="0" w:space="0" w:color="auto"/>
            <w:right w:val="none" w:sz="0" w:space="0" w:color="auto"/>
          </w:divBdr>
          <w:divsChild>
            <w:div w:id="1920794875">
              <w:marLeft w:val="0"/>
              <w:marRight w:val="0"/>
              <w:marTop w:val="0"/>
              <w:marBottom w:val="0"/>
              <w:divBdr>
                <w:top w:val="none" w:sz="0" w:space="0" w:color="auto"/>
                <w:left w:val="none" w:sz="0" w:space="0" w:color="auto"/>
                <w:bottom w:val="none" w:sz="0" w:space="0" w:color="auto"/>
                <w:right w:val="none" w:sz="0" w:space="0" w:color="auto"/>
              </w:divBdr>
              <w:divsChild>
                <w:div w:id="1986427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763013">
      <w:bodyDiv w:val="1"/>
      <w:marLeft w:val="0"/>
      <w:marRight w:val="0"/>
      <w:marTop w:val="0"/>
      <w:marBottom w:val="0"/>
      <w:divBdr>
        <w:top w:val="none" w:sz="0" w:space="0" w:color="auto"/>
        <w:left w:val="none" w:sz="0" w:space="0" w:color="auto"/>
        <w:bottom w:val="none" w:sz="0" w:space="0" w:color="auto"/>
        <w:right w:val="none" w:sz="0" w:space="0" w:color="auto"/>
      </w:divBdr>
    </w:div>
    <w:div w:id="2088725852">
      <w:bodyDiv w:val="1"/>
      <w:marLeft w:val="0"/>
      <w:marRight w:val="0"/>
      <w:marTop w:val="0"/>
      <w:marBottom w:val="0"/>
      <w:divBdr>
        <w:top w:val="none" w:sz="0" w:space="0" w:color="auto"/>
        <w:left w:val="none" w:sz="0" w:space="0" w:color="auto"/>
        <w:bottom w:val="none" w:sz="0" w:space="0" w:color="auto"/>
        <w:right w:val="none" w:sz="0" w:space="0" w:color="auto"/>
      </w:divBdr>
    </w:div>
    <w:div w:id="2093548994">
      <w:bodyDiv w:val="1"/>
      <w:marLeft w:val="0"/>
      <w:marRight w:val="0"/>
      <w:marTop w:val="0"/>
      <w:marBottom w:val="0"/>
      <w:divBdr>
        <w:top w:val="none" w:sz="0" w:space="0" w:color="auto"/>
        <w:left w:val="none" w:sz="0" w:space="0" w:color="auto"/>
        <w:bottom w:val="none" w:sz="0" w:space="0" w:color="auto"/>
        <w:right w:val="none" w:sz="0" w:space="0" w:color="auto"/>
      </w:divBdr>
      <w:divsChild>
        <w:div w:id="850337450">
          <w:marLeft w:val="0"/>
          <w:marRight w:val="0"/>
          <w:marTop w:val="0"/>
          <w:marBottom w:val="0"/>
          <w:divBdr>
            <w:top w:val="none" w:sz="0" w:space="0" w:color="auto"/>
            <w:left w:val="none" w:sz="0" w:space="0" w:color="auto"/>
            <w:bottom w:val="none" w:sz="0" w:space="0" w:color="auto"/>
            <w:right w:val="none" w:sz="0" w:space="0" w:color="auto"/>
          </w:divBdr>
          <w:divsChild>
            <w:div w:id="1757677376">
              <w:marLeft w:val="0"/>
              <w:marRight w:val="0"/>
              <w:marTop w:val="0"/>
              <w:marBottom w:val="0"/>
              <w:divBdr>
                <w:top w:val="none" w:sz="0" w:space="0" w:color="auto"/>
                <w:left w:val="none" w:sz="0" w:space="0" w:color="auto"/>
                <w:bottom w:val="none" w:sz="0" w:space="0" w:color="auto"/>
                <w:right w:val="none" w:sz="0" w:space="0" w:color="auto"/>
              </w:divBdr>
              <w:divsChild>
                <w:div w:id="106395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012312">
      <w:bodyDiv w:val="1"/>
      <w:marLeft w:val="0"/>
      <w:marRight w:val="0"/>
      <w:marTop w:val="0"/>
      <w:marBottom w:val="0"/>
      <w:divBdr>
        <w:top w:val="none" w:sz="0" w:space="0" w:color="auto"/>
        <w:left w:val="none" w:sz="0" w:space="0" w:color="auto"/>
        <w:bottom w:val="none" w:sz="0" w:space="0" w:color="auto"/>
        <w:right w:val="none" w:sz="0" w:space="0" w:color="auto"/>
      </w:divBdr>
    </w:div>
    <w:div w:id="2101901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BFA8C3-D40F-4C65-ACA9-B0B0A3E6DB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36</Pages>
  <Words>72617</Words>
  <Characters>413917</Characters>
  <Application>Microsoft Office Word</Application>
  <DocSecurity>0</DocSecurity>
  <Lines>3449</Lines>
  <Paragraphs>971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485563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Urbinati</dc:creator>
  <cp:keywords/>
  <dc:description/>
  <cp:lastModifiedBy>Microsoft Office User</cp:lastModifiedBy>
  <cp:revision>20</cp:revision>
  <dcterms:created xsi:type="dcterms:W3CDTF">2023-09-23T09:48:00Z</dcterms:created>
  <dcterms:modified xsi:type="dcterms:W3CDTF">2023-10-16T09:28:00Z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2f3c659c-d766-335d-9da0-ef02b730fb7e</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