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5A184" w14:textId="1B5A3EFE" w:rsidR="00035FD3" w:rsidRDefault="00C84652">
      <w:pPr>
        <w:rPr>
          <w:b/>
          <w:bCs/>
        </w:rPr>
      </w:pPr>
      <w:r w:rsidRPr="00C84652">
        <w:rPr>
          <w:b/>
          <w:bCs/>
        </w:rPr>
        <w:t>Il progetto PNRR presso l’Ufficio GIP del Tribunale di Milano: primi risultati</w:t>
      </w:r>
      <w:r w:rsidR="00995BBC">
        <w:rPr>
          <w:b/>
          <w:bCs/>
        </w:rPr>
        <w:t xml:space="preserve"> e capacità di conseguire gli obiettivi 2026</w:t>
      </w:r>
    </w:p>
    <w:p w14:paraId="0D76B889" w14:textId="77777777" w:rsidR="000977DF" w:rsidRDefault="00FC6416">
      <w:r w:rsidRPr="00FC6416">
        <w:t>Elena Madiai</w:t>
      </w:r>
      <w:r w:rsidR="000977DF">
        <w:t>, Politecnico di Milano</w:t>
      </w:r>
      <w:r w:rsidRPr="00FC6416">
        <w:t xml:space="preserve"> </w:t>
      </w:r>
    </w:p>
    <w:p w14:paraId="622F8523" w14:textId="326CC6AC" w:rsidR="00FC6416" w:rsidRPr="00FC6416" w:rsidRDefault="00FC6416">
      <w:r w:rsidRPr="00FC6416">
        <w:t>Erica Melloni</w:t>
      </w:r>
      <w:r w:rsidR="000977DF">
        <w:t>, Politecnico di Milano</w:t>
      </w:r>
    </w:p>
    <w:p w14:paraId="0CE6C9E2" w14:textId="0CDB8C64" w:rsidR="009741F0" w:rsidRDefault="009741F0"/>
    <w:p w14:paraId="1C677B93" w14:textId="18069210" w:rsidR="000A56BF" w:rsidRPr="00CF7634" w:rsidRDefault="000A56BF">
      <w:pPr>
        <w:rPr>
          <w:b/>
        </w:rPr>
      </w:pPr>
      <w:r w:rsidRPr="00CF7634">
        <w:rPr>
          <w:b/>
        </w:rPr>
        <w:t>Abstract</w:t>
      </w:r>
      <w:r w:rsidR="003532C2" w:rsidRPr="00CF7634">
        <w:rPr>
          <w:b/>
        </w:rPr>
        <w:t xml:space="preserve"> </w:t>
      </w:r>
    </w:p>
    <w:p w14:paraId="34553B7D" w14:textId="4F32A1EA" w:rsidR="00024558" w:rsidRDefault="008F29FA">
      <w:r>
        <w:t xml:space="preserve">Gli uffici giudiziari hanno </w:t>
      </w:r>
      <w:r w:rsidR="003532C2">
        <w:t xml:space="preserve">stabilito specifici </w:t>
      </w:r>
      <w:r>
        <w:t xml:space="preserve">target </w:t>
      </w:r>
      <w:r w:rsidR="00EE2BBC">
        <w:t xml:space="preserve">da </w:t>
      </w:r>
      <w:r w:rsidR="00634282">
        <w:t>raggiungere</w:t>
      </w:r>
      <w:r w:rsidR="003F2AFD">
        <w:t xml:space="preserve"> </w:t>
      </w:r>
      <w:r w:rsidR="0092712E">
        <w:t xml:space="preserve">grazie </w:t>
      </w:r>
      <w:r w:rsidR="00F7679C">
        <w:t>all’apporto degli</w:t>
      </w:r>
      <w:r w:rsidR="001274CF">
        <w:t xml:space="preserve"> addetti a</w:t>
      </w:r>
      <w:r w:rsidR="003532C2">
        <w:t>ll’ufficio per il processo</w:t>
      </w:r>
      <w:r w:rsidR="001274CF">
        <w:t xml:space="preserve"> (AUPP)</w:t>
      </w:r>
      <w:r w:rsidR="003532C2">
        <w:t xml:space="preserve"> </w:t>
      </w:r>
      <w:r w:rsidR="00634282">
        <w:t>acquisiti</w:t>
      </w:r>
      <w:r w:rsidR="004915C2">
        <w:t xml:space="preserve"> </w:t>
      </w:r>
      <w:r w:rsidR="00206F87">
        <w:t>grazie a</w:t>
      </w:r>
      <w:r w:rsidR="00982FD8">
        <w:t>i fondi</w:t>
      </w:r>
      <w:r w:rsidR="00F7679C">
        <w:t xml:space="preserve"> </w:t>
      </w:r>
      <w:r w:rsidR="00241D04">
        <w:t xml:space="preserve">PNRR. Questo </w:t>
      </w:r>
      <w:r w:rsidR="003F2AFD">
        <w:t xml:space="preserve">articolo </w:t>
      </w:r>
      <w:r w:rsidR="00184FEA">
        <w:t xml:space="preserve">si concentra sulla sezione GIP del Tribunale di Milano, che </w:t>
      </w:r>
      <w:r w:rsidR="00206F87">
        <w:t xml:space="preserve">per le </w:t>
      </w:r>
      <w:r w:rsidR="00184FEA">
        <w:t xml:space="preserve">particolari </w:t>
      </w:r>
      <w:r w:rsidR="00206F87">
        <w:t>condizioni</w:t>
      </w:r>
      <w:r w:rsidR="00184FEA">
        <w:t xml:space="preserve"> di criticità vissute nel 2020, ha visto una massiccia iniezione di personale aggiuntivo</w:t>
      </w:r>
      <w:r w:rsidR="008D27AF">
        <w:t xml:space="preserve"> e un </w:t>
      </w:r>
      <w:r w:rsidR="00206F87">
        <w:t>conseguente ri</w:t>
      </w:r>
      <w:r w:rsidR="008D27AF">
        <w:t>assetto organizzativo</w:t>
      </w:r>
      <w:r w:rsidR="00184FEA">
        <w:t xml:space="preserve">. </w:t>
      </w:r>
      <w:r w:rsidR="00454432">
        <w:t xml:space="preserve">L’analisi mostra che tutti gli indicatori di performance </w:t>
      </w:r>
      <w:r w:rsidR="00340066">
        <w:t>appaiono nel 2022</w:t>
      </w:r>
      <w:r w:rsidR="00454432">
        <w:t xml:space="preserve"> in </w:t>
      </w:r>
      <w:r w:rsidR="002463FC">
        <w:t xml:space="preserve">deciso </w:t>
      </w:r>
      <w:r w:rsidR="00454432">
        <w:t>miglioramento</w:t>
      </w:r>
      <w:r w:rsidR="000C18FF">
        <w:t xml:space="preserve"> e che </w:t>
      </w:r>
      <w:r w:rsidR="00982FD8">
        <w:t>g</w:t>
      </w:r>
      <w:r w:rsidR="008D27AF">
        <w:t xml:space="preserve">li AUPP contribuiscono alla più rapida gestione </w:t>
      </w:r>
      <w:r w:rsidR="000C18FF">
        <w:t>delle fasi a cui sono assegnati</w:t>
      </w:r>
      <w:r w:rsidR="008D27AF">
        <w:t>.</w:t>
      </w:r>
      <w:r w:rsidR="000C18FF">
        <w:t xml:space="preserve"> </w:t>
      </w:r>
      <w:r w:rsidR="00E1485A">
        <w:t>Nonostante questi buoni risultati</w:t>
      </w:r>
      <w:r w:rsidR="00982FD8">
        <w:t>,</w:t>
      </w:r>
      <w:r w:rsidR="009A0D0C">
        <w:t xml:space="preserve"> </w:t>
      </w:r>
      <w:r w:rsidR="00DF15E8">
        <w:t xml:space="preserve">i target </w:t>
      </w:r>
      <w:r w:rsidR="00F1115D">
        <w:t>2026</w:t>
      </w:r>
      <w:r w:rsidR="00E1485A">
        <w:t xml:space="preserve"> non saranno raggiunti</w:t>
      </w:r>
      <w:r w:rsidR="008925F0">
        <w:t>:</w:t>
      </w:r>
      <w:r w:rsidR="00345ADD">
        <w:t xml:space="preserve"> </w:t>
      </w:r>
      <w:r w:rsidR="007C1AA5" w:rsidRPr="00DF15E8">
        <w:t xml:space="preserve">l’apporto degli AUPP non </w:t>
      </w:r>
      <w:r w:rsidR="00206F87">
        <w:t xml:space="preserve">è </w:t>
      </w:r>
      <w:r w:rsidR="00CF7634">
        <w:t xml:space="preserve">infatti </w:t>
      </w:r>
      <w:r w:rsidR="00206F87">
        <w:t>sufficiente</w:t>
      </w:r>
      <w:r w:rsidR="008925F0" w:rsidRPr="00DF15E8">
        <w:t xml:space="preserve"> a</w:t>
      </w:r>
      <w:r w:rsidR="007C1AA5" w:rsidRPr="00DF15E8">
        <w:t xml:space="preserve"> compensare </w:t>
      </w:r>
      <w:r w:rsidR="005A4C80">
        <w:t xml:space="preserve">le </w:t>
      </w:r>
      <w:r w:rsidR="007C1AA5" w:rsidRPr="00DF15E8">
        <w:t>scoperture di organico</w:t>
      </w:r>
      <w:r w:rsidR="005A4C80">
        <w:t xml:space="preserve"> e le </w:t>
      </w:r>
      <w:r w:rsidR="007C1AA5" w:rsidRPr="00DF15E8">
        <w:t xml:space="preserve">carenze strutturali </w:t>
      </w:r>
      <w:r w:rsidR="00024558">
        <w:t xml:space="preserve">e tecnologiche dell’ufficio. </w:t>
      </w:r>
      <w:r w:rsidR="003A0CB5">
        <w:t xml:space="preserve">Per conseguire </w:t>
      </w:r>
      <w:r w:rsidR="00A95BF1">
        <w:t>l’impatto atteso</w:t>
      </w:r>
      <w:r w:rsidR="00BB26D5">
        <w:t xml:space="preserve"> dal PNRR</w:t>
      </w:r>
      <w:r w:rsidR="00024558">
        <w:t xml:space="preserve"> </w:t>
      </w:r>
      <w:r w:rsidR="00484E64">
        <w:t>– riduzione dei tempi di giustizia e eliminazione dell’arretrato</w:t>
      </w:r>
      <w:r w:rsidR="00BB26D5">
        <w:t xml:space="preserve"> – appare cruciale </w:t>
      </w:r>
      <w:r w:rsidR="00FE5ADB">
        <w:t xml:space="preserve">pianificare in modo integrato </w:t>
      </w:r>
      <w:r w:rsidR="00F35FBD">
        <w:t>gli strumenti di policy e monitorar</w:t>
      </w:r>
      <w:r w:rsidR="00A62627">
        <w:t xml:space="preserve">ne </w:t>
      </w:r>
      <w:r w:rsidR="00206F87">
        <w:t xml:space="preserve">l’implementazione, </w:t>
      </w:r>
      <w:r w:rsidR="009312E7">
        <w:t>ponendo attenzione alla qualità dei dati a supporto della strategia organizzativa.</w:t>
      </w:r>
      <w:r w:rsidR="00A62627">
        <w:t xml:space="preserve"> </w:t>
      </w:r>
    </w:p>
    <w:p w14:paraId="179BE139" w14:textId="6FCA8EAD" w:rsidR="000A56BF" w:rsidRDefault="000A56BF"/>
    <w:p w14:paraId="23B73BE5" w14:textId="0E27DC57" w:rsidR="000408B7" w:rsidRDefault="000408B7" w:rsidP="00C766B5">
      <w:pPr>
        <w:pStyle w:val="Titolo1"/>
      </w:pPr>
      <w:r w:rsidRPr="00C766B5">
        <w:t>Introduzione</w:t>
      </w:r>
      <w:r>
        <w:t xml:space="preserve"> </w:t>
      </w:r>
    </w:p>
    <w:p w14:paraId="0AC286D5" w14:textId="77777777" w:rsidR="009C2B15" w:rsidRDefault="001F2B6C" w:rsidP="00205EA0">
      <w:r>
        <w:t xml:space="preserve">Il </w:t>
      </w:r>
      <w:r w:rsidR="00475E68">
        <w:t xml:space="preserve">Piano nazionale di ripresa e resilienza - </w:t>
      </w:r>
      <w:r>
        <w:t xml:space="preserve">PNRR ha dedicato </w:t>
      </w:r>
      <w:r w:rsidR="008E21F9">
        <w:t xml:space="preserve">una specifica attenzione ai temi di giustizia, </w:t>
      </w:r>
      <w:r w:rsidR="006D1A15">
        <w:t xml:space="preserve">prevedendo </w:t>
      </w:r>
      <w:r w:rsidR="00C769AF">
        <w:t xml:space="preserve">tre riforme del sistema giudiziario </w:t>
      </w:r>
      <w:r w:rsidR="00D942BF">
        <w:t xml:space="preserve">- </w:t>
      </w:r>
      <w:r w:rsidR="00C769AF" w:rsidRPr="00C769AF">
        <w:t>processo civile, penale e insolvenza</w:t>
      </w:r>
      <w:r w:rsidR="00970A7C">
        <w:t>, tutte</w:t>
      </w:r>
      <w:r w:rsidR="00921A44">
        <w:t xml:space="preserve"> </w:t>
      </w:r>
      <w:r w:rsidR="00D942BF">
        <w:t xml:space="preserve">già </w:t>
      </w:r>
      <w:r w:rsidR="00921A44">
        <w:t>approvate</w:t>
      </w:r>
      <w:r w:rsidR="00D942BF">
        <w:t xml:space="preserve"> al momento in cui si scrive -</w:t>
      </w:r>
      <w:r w:rsidR="00C769AF">
        <w:t xml:space="preserve"> </w:t>
      </w:r>
      <w:r w:rsidR="006D1A15">
        <w:t xml:space="preserve">e </w:t>
      </w:r>
      <w:r w:rsidR="00E62972">
        <w:t>altrettante</w:t>
      </w:r>
      <w:r w:rsidR="00BA5713">
        <w:t xml:space="preserve"> linee di </w:t>
      </w:r>
      <w:r w:rsidR="004C03F5">
        <w:t>investimento</w:t>
      </w:r>
      <w:r w:rsidR="00BA5713">
        <w:t xml:space="preserve"> miranti a rafforzare il capitale umano, la digitalizzazione e l’edilizia giudiziaria</w:t>
      </w:r>
      <w:r w:rsidR="00B44859">
        <w:t xml:space="preserve">. A queste </w:t>
      </w:r>
      <w:r w:rsidR="009C2B15">
        <w:t>ultime</w:t>
      </w:r>
      <w:r w:rsidR="00423F96">
        <w:t xml:space="preserve"> </w:t>
      </w:r>
      <w:r w:rsidR="00B44859">
        <w:t>sono riservate risorse</w:t>
      </w:r>
      <w:r w:rsidR="00A81937">
        <w:t xml:space="preserve"> per un totale di 2,827 miliardi di euro</w:t>
      </w:r>
      <w:r w:rsidR="00BA5713">
        <w:t>.</w:t>
      </w:r>
      <w:r w:rsidR="006D1A15">
        <w:t xml:space="preserve"> </w:t>
      </w:r>
      <w:r w:rsidR="004C03F5">
        <w:t xml:space="preserve">La gran parte </w:t>
      </w:r>
      <w:r w:rsidR="004E6E1D">
        <w:t xml:space="preserve">di esse </w:t>
      </w:r>
      <w:r w:rsidR="003C498A">
        <w:t xml:space="preserve">(2,26 miliardi di euro) </w:t>
      </w:r>
      <w:r w:rsidR="004C03F5">
        <w:t>è assorbita da</w:t>
      </w:r>
      <w:r w:rsidR="007C451B">
        <w:t>ll’</w:t>
      </w:r>
      <w:r w:rsidR="004C03F5">
        <w:t xml:space="preserve">investimento </w:t>
      </w:r>
      <w:r w:rsidR="0033232A">
        <w:t xml:space="preserve">denominato </w:t>
      </w:r>
      <w:r w:rsidR="000357A5" w:rsidRPr="000357A5">
        <w:rPr>
          <w:i/>
          <w:iCs/>
        </w:rPr>
        <w:t>Ufficio Per il Processo (UPP) e Capitale umano</w:t>
      </w:r>
      <w:r w:rsidR="000357A5">
        <w:t xml:space="preserve">, che </w:t>
      </w:r>
      <w:r w:rsidR="00B13DE2" w:rsidRPr="00B13DE2">
        <w:t>prevede l’assunzione a tempo determinato di 21.910 unità</w:t>
      </w:r>
      <w:r w:rsidR="00B13DE2">
        <w:t xml:space="preserve"> di personale</w:t>
      </w:r>
      <w:r w:rsidR="00E91E17">
        <w:rPr>
          <w:rStyle w:val="Rimandonotaapidipagina"/>
        </w:rPr>
        <w:footnoteReference w:id="2"/>
      </w:r>
      <w:r w:rsidR="00B13DE2">
        <w:t xml:space="preserve"> da inserire </w:t>
      </w:r>
      <w:r w:rsidR="00D4715F">
        <w:t xml:space="preserve">negli uffici di primo e secondo grado e presso la Corte di Cassazione. </w:t>
      </w:r>
      <w:r w:rsidR="009B3914">
        <w:t>In relazione al progetto UPP n</w:t>
      </w:r>
      <w:r w:rsidR="00D4715F">
        <w:t>el 2021 sono state reclutate 8.171 unità</w:t>
      </w:r>
      <w:r w:rsidR="00342DC2">
        <w:t xml:space="preserve"> che hanno preso servizio</w:t>
      </w:r>
      <w:r w:rsidR="00136455">
        <w:t xml:space="preserve"> a partire da febbraio dell’anno successivo</w:t>
      </w:r>
      <w:r w:rsidR="00EA0AC7">
        <w:t xml:space="preserve"> presso i diversi uffici giudiziari</w:t>
      </w:r>
      <w:r w:rsidR="00136455">
        <w:t xml:space="preserve">; </w:t>
      </w:r>
      <w:r w:rsidR="00D4715F">
        <w:t xml:space="preserve">nel </w:t>
      </w:r>
      <w:r w:rsidR="00136455">
        <w:t xml:space="preserve">2022 è stato </w:t>
      </w:r>
      <w:r w:rsidR="006825E2">
        <w:t>avviato</w:t>
      </w:r>
      <w:r w:rsidR="00136455">
        <w:t xml:space="preserve"> il reclutamento di ulteriori </w:t>
      </w:r>
      <w:r w:rsidR="007D7D45">
        <w:t>4.410 unità.</w:t>
      </w:r>
      <w:r w:rsidR="00262969">
        <w:t xml:space="preserve"> Nel frattempo, ciascun ufficio giudiziario ha </w:t>
      </w:r>
      <w:r w:rsidR="00CC5B42">
        <w:t>redatto</w:t>
      </w:r>
      <w:r w:rsidR="00262969">
        <w:t xml:space="preserve"> un piano per l’allocazione </w:t>
      </w:r>
      <w:r w:rsidR="00E16F6A">
        <w:t xml:space="preserve">e le mansioni </w:t>
      </w:r>
      <w:r w:rsidR="00262969">
        <w:t xml:space="preserve">del </w:t>
      </w:r>
      <w:r w:rsidR="007F3669">
        <w:t>nuovo personale,</w:t>
      </w:r>
      <w:r w:rsidR="00E16F6A">
        <w:t xml:space="preserve"> definendo, inoltre, gli obiettivi di risultato da raggiungere entro il 2026.</w:t>
      </w:r>
      <w:r w:rsidR="007F3669">
        <w:t xml:space="preserve"> </w:t>
      </w:r>
      <w:r w:rsidR="00205EA0">
        <w:t xml:space="preserve">Sempre </w:t>
      </w:r>
      <w:r w:rsidR="00745A2E">
        <w:t>nel 2022</w:t>
      </w:r>
      <w:r w:rsidR="00205EA0">
        <w:t xml:space="preserve"> </w:t>
      </w:r>
      <w:r w:rsidR="00C0211A">
        <w:t xml:space="preserve">è stato </w:t>
      </w:r>
      <w:r w:rsidR="00897AE6">
        <w:t xml:space="preserve">inoltre </w:t>
      </w:r>
      <w:r w:rsidR="00C0211A">
        <w:t xml:space="preserve">finanziato </w:t>
      </w:r>
      <w:r w:rsidR="00205EA0">
        <w:t xml:space="preserve">il </w:t>
      </w:r>
      <w:r w:rsidR="006B4163">
        <w:t xml:space="preserve">progetto </w:t>
      </w:r>
      <w:r w:rsidR="009D1899" w:rsidRPr="006B4163">
        <w:t xml:space="preserve">Next Generation </w:t>
      </w:r>
      <w:r w:rsidR="006B4163" w:rsidRPr="006B4163">
        <w:t>UPP</w:t>
      </w:r>
      <w:r w:rsidR="00C0211A">
        <w:rPr>
          <w:rStyle w:val="Rimandonotaapidipagina"/>
        </w:rPr>
        <w:footnoteReference w:id="3"/>
      </w:r>
      <w:r w:rsidR="00205EA0">
        <w:t xml:space="preserve">, che </w:t>
      </w:r>
      <w:r w:rsidR="00AD3D24">
        <w:t xml:space="preserve">mira a supportare gli uffici </w:t>
      </w:r>
      <w:r w:rsidR="00EC012A">
        <w:t>nel</w:t>
      </w:r>
      <w:r w:rsidR="00AD3D24">
        <w:t xml:space="preserve"> percorso di </w:t>
      </w:r>
      <w:r w:rsidR="00EC012A">
        <w:t>attuazione dell’Ufficio per il processo</w:t>
      </w:r>
      <w:r w:rsidR="004E4FB5">
        <w:t xml:space="preserve">. </w:t>
      </w:r>
    </w:p>
    <w:p w14:paraId="1EEA7BC3" w14:textId="702F6086" w:rsidR="00DC2727" w:rsidRDefault="004E4FB5" w:rsidP="00205EA0">
      <w:r w:rsidRPr="009B4220">
        <w:rPr>
          <w:highlight w:val="yellow"/>
        </w:rPr>
        <w:lastRenderedPageBreak/>
        <w:t xml:space="preserve">Questo articolo </w:t>
      </w:r>
      <w:r w:rsidR="00F24DC0" w:rsidRPr="009B4220">
        <w:rPr>
          <w:highlight w:val="yellow"/>
        </w:rPr>
        <w:t xml:space="preserve">prosegue </w:t>
      </w:r>
      <w:r w:rsidR="00DB69B5" w:rsidRPr="009B4220">
        <w:rPr>
          <w:highlight w:val="yellow"/>
        </w:rPr>
        <w:t xml:space="preserve">il primo </w:t>
      </w:r>
      <w:r w:rsidR="008C6843" w:rsidRPr="009B4220">
        <w:rPr>
          <w:highlight w:val="yellow"/>
        </w:rPr>
        <w:t xml:space="preserve">contributo sul </w:t>
      </w:r>
      <w:r w:rsidR="00DB69B5" w:rsidRPr="009B4220">
        <w:rPr>
          <w:highlight w:val="yellow"/>
        </w:rPr>
        <w:t xml:space="preserve">tema presentato da Giancarlo Vecchi </w:t>
      </w:r>
      <w:r w:rsidR="008C6843" w:rsidRPr="009B4220">
        <w:rPr>
          <w:highlight w:val="yellow"/>
        </w:rPr>
        <w:t>su questa rivista (Vecchi 2022)</w:t>
      </w:r>
      <w:r w:rsidR="00911CF7" w:rsidRPr="009B4220">
        <w:rPr>
          <w:highlight w:val="yellow"/>
        </w:rPr>
        <w:t>,</w:t>
      </w:r>
      <w:r w:rsidR="008C6843" w:rsidRPr="009B4220">
        <w:rPr>
          <w:highlight w:val="yellow"/>
        </w:rPr>
        <w:t xml:space="preserve"> </w:t>
      </w:r>
      <w:r w:rsidR="00911CF7" w:rsidRPr="009B4220">
        <w:rPr>
          <w:highlight w:val="yellow"/>
        </w:rPr>
        <w:t xml:space="preserve">illustrando </w:t>
      </w:r>
      <w:r w:rsidRPr="009B4220">
        <w:rPr>
          <w:highlight w:val="yellow"/>
        </w:rPr>
        <w:t xml:space="preserve">alcuni risultati dell’attività svolta </w:t>
      </w:r>
      <w:r w:rsidR="004721F5" w:rsidRPr="009B4220">
        <w:rPr>
          <w:highlight w:val="yellow"/>
        </w:rPr>
        <w:t xml:space="preserve">per </w:t>
      </w:r>
      <w:r w:rsidR="004808C5" w:rsidRPr="009B4220">
        <w:rPr>
          <w:highlight w:val="yellow"/>
        </w:rPr>
        <w:t xml:space="preserve">gli uffici giudiziari di </w:t>
      </w:r>
      <w:r w:rsidR="004721F5" w:rsidRPr="009B4220">
        <w:rPr>
          <w:highlight w:val="yellow"/>
        </w:rPr>
        <w:t xml:space="preserve">Milano </w:t>
      </w:r>
      <w:r w:rsidRPr="009B4220">
        <w:rPr>
          <w:highlight w:val="yellow"/>
        </w:rPr>
        <w:t>da</w:t>
      </w:r>
      <w:r w:rsidR="00F73B31" w:rsidRPr="009B4220">
        <w:rPr>
          <w:highlight w:val="yellow"/>
        </w:rPr>
        <w:t xml:space="preserve">l </w:t>
      </w:r>
      <w:r w:rsidR="00034340" w:rsidRPr="009B4220">
        <w:rPr>
          <w:highlight w:val="yellow"/>
        </w:rPr>
        <w:t>gruppo di ricerca del</w:t>
      </w:r>
      <w:r w:rsidR="00034340">
        <w:t xml:space="preserve"> </w:t>
      </w:r>
      <w:commentRangeStart w:id="0"/>
      <w:r w:rsidR="00034340">
        <w:t>Politecnico di Milano</w:t>
      </w:r>
      <w:commentRangeEnd w:id="0"/>
      <w:r w:rsidR="00431AB7">
        <w:rPr>
          <w:rStyle w:val="Rimandocommento"/>
        </w:rPr>
        <w:commentReference w:id="0"/>
      </w:r>
      <w:r w:rsidR="00833043">
        <w:rPr>
          <w:rStyle w:val="Rimandonotaapidipagina"/>
        </w:rPr>
        <w:footnoteReference w:id="4"/>
      </w:r>
      <w:r w:rsidR="004721F5">
        <w:t>.</w:t>
      </w:r>
      <w:r w:rsidR="00402156">
        <w:t xml:space="preserve"> L’analisi </w:t>
      </w:r>
      <w:r w:rsidR="00F004E3">
        <w:t xml:space="preserve">qui </w:t>
      </w:r>
      <w:r w:rsidR="00AF76D7">
        <w:t xml:space="preserve">presentata </w:t>
      </w:r>
      <w:r w:rsidR="00402156">
        <w:t>si concentra in</w:t>
      </w:r>
      <w:r w:rsidR="00034340">
        <w:t xml:space="preserve"> particolare </w:t>
      </w:r>
      <w:r w:rsidR="00402156">
        <w:t xml:space="preserve">sul settore </w:t>
      </w:r>
      <w:r w:rsidR="00034340">
        <w:t>GIP</w:t>
      </w:r>
      <w:r w:rsidR="00A64865">
        <w:t xml:space="preserve"> - Giudice per le indagini preliminari</w:t>
      </w:r>
      <w:r w:rsidR="009C7C91">
        <w:t xml:space="preserve">, </w:t>
      </w:r>
      <w:r w:rsidR="00695148">
        <w:t xml:space="preserve">sintetizzando </w:t>
      </w:r>
      <w:r w:rsidR="009C7C91">
        <w:t xml:space="preserve">i </w:t>
      </w:r>
      <w:r w:rsidR="00AF76D7">
        <w:t xml:space="preserve">primi risultati </w:t>
      </w:r>
      <w:r w:rsidR="009C7C91">
        <w:t xml:space="preserve">raggiunti </w:t>
      </w:r>
      <w:r w:rsidR="00AF76D7">
        <w:t xml:space="preserve">e </w:t>
      </w:r>
      <w:r w:rsidR="009C7C91">
        <w:t xml:space="preserve">alcune previsioni relative alla capacità di conseguire gli obiettivi </w:t>
      </w:r>
      <w:r w:rsidR="00704125">
        <w:t>PNRR per il 2026.</w:t>
      </w:r>
    </w:p>
    <w:p w14:paraId="6898C4D2" w14:textId="77777777" w:rsidR="00663863" w:rsidRDefault="00663863" w:rsidP="00205EA0"/>
    <w:p w14:paraId="594AC8B8" w14:textId="77777777" w:rsidR="00CB2CED" w:rsidRPr="00DC2727" w:rsidRDefault="00CB2CED" w:rsidP="00205EA0"/>
    <w:p w14:paraId="19E6F7F3" w14:textId="1208852A" w:rsidR="009C13F0" w:rsidRDefault="00FB5F39" w:rsidP="00C766B5">
      <w:pPr>
        <w:pStyle w:val="Titolo1"/>
      </w:pPr>
      <w:r>
        <w:t xml:space="preserve">Gli obiettivi </w:t>
      </w:r>
      <w:r w:rsidR="00A06D76">
        <w:t xml:space="preserve">PNRR del </w:t>
      </w:r>
      <w:r w:rsidR="00A06D76" w:rsidRPr="00C766B5">
        <w:t>Tribunale</w:t>
      </w:r>
      <w:r w:rsidR="00A06D76">
        <w:t xml:space="preserve"> di Milano e la sezione GIP</w:t>
      </w:r>
    </w:p>
    <w:p w14:paraId="31B1C596" w14:textId="77777777" w:rsidR="00804336" w:rsidRDefault="003A47E5" w:rsidP="00710D6B">
      <w:r>
        <w:t>Il progetto PNRR del Tribunale di Milano in tema di Ufficio per il processo</w:t>
      </w:r>
      <w:r w:rsidR="003B2D8C">
        <w:t xml:space="preserve"> </w:t>
      </w:r>
      <w:r w:rsidR="00E06143">
        <w:t>(d’ora in poi: progetto PNRR-UPP)</w:t>
      </w:r>
      <w:r>
        <w:t xml:space="preserve">, predisposto a fine 2021, poneva </w:t>
      </w:r>
      <w:r w:rsidR="006C360B">
        <w:t>alcuni</w:t>
      </w:r>
      <w:r>
        <w:t xml:space="preserve"> obiettivi principali:</w:t>
      </w:r>
      <w:bookmarkStart w:id="1" w:name="_Hlk121219339"/>
      <w:r w:rsidRPr="007503DA">
        <w:t xml:space="preserve"> </w:t>
      </w:r>
    </w:p>
    <w:p w14:paraId="14C32AE4" w14:textId="77777777" w:rsidR="00804336" w:rsidRDefault="003A47E5" w:rsidP="00804336">
      <w:pPr>
        <w:pStyle w:val="Paragrafoelenco"/>
        <w:numPr>
          <w:ilvl w:val="0"/>
          <w:numId w:val="5"/>
        </w:numPr>
      </w:pPr>
      <w:r>
        <w:t>contribuire a</w:t>
      </w:r>
      <w:r w:rsidR="00613CCA">
        <w:t xml:space="preserve"> </w:t>
      </w:r>
      <w:r w:rsidR="00BF3C4A">
        <w:t>eliminare</w:t>
      </w:r>
      <w:r w:rsidRPr="00613CCA">
        <w:t xml:space="preserve"> l’arretrato ultra triennale</w:t>
      </w:r>
      <w:r w:rsidRPr="009235DF">
        <w:t xml:space="preserve"> </w:t>
      </w:r>
      <w:r>
        <w:t xml:space="preserve">per il settore civile, </w:t>
      </w:r>
      <w:r w:rsidR="00613CCA">
        <w:t xml:space="preserve">e le pendenze più risalenti nel tempo per il settore penale; </w:t>
      </w:r>
    </w:p>
    <w:p w14:paraId="7FE6FAAB" w14:textId="77777777" w:rsidR="00804336" w:rsidRDefault="00804336" w:rsidP="00804336">
      <w:pPr>
        <w:pStyle w:val="Paragrafoelenco"/>
        <w:numPr>
          <w:ilvl w:val="0"/>
          <w:numId w:val="5"/>
        </w:numPr>
      </w:pPr>
      <w:r>
        <w:t>conseguire</w:t>
      </w:r>
      <w:r w:rsidR="00A22AE3">
        <w:t xml:space="preserve"> </w:t>
      </w:r>
      <w:r w:rsidR="006645D7">
        <w:t xml:space="preserve">un indice di ricambio pari a </w:t>
      </w:r>
      <w:r w:rsidR="00A22AE3">
        <w:t>1,20</w:t>
      </w:r>
      <w:r w:rsidR="004861BA">
        <w:rPr>
          <w:rStyle w:val="Rimandonotaapidipagina"/>
        </w:rPr>
        <w:footnoteReference w:id="5"/>
      </w:r>
      <w:r w:rsidR="001661E4">
        <w:t xml:space="preserve">; </w:t>
      </w:r>
    </w:p>
    <w:p w14:paraId="2AC56362" w14:textId="77777777" w:rsidR="00804336" w:rsidRDefault="001661E4" w:rsidP="00804336">
      <w:pPr>
        <w:pStyle w:val="Paragrafoelenco"/>
        <w:numPr>
          <w:ilvl w:val="0"/>
          <w:numId w:val="5"/>
        </w:numPr>
      </w:pPr>
      <w:r>
        <w:t xml:space="preserve">infine, ridurre il </w:t>
      </w:r>
      <w:r w:rsidRPr="00804336">
        <w:rPr>
          <w:i/>
          <w:iCs/>
        </w:rPr>
        <w:t xml:space="preserve">disposition time, </w:t>
      </w:r>
      <w:r>
        <w:t xml:space="preserve">ovvero </w:t>
      </w:r>
      <w:r w:rsidR="00393AA7">
        <w:t>la durata</w:t>
      </w:r>
      <w:r>
        <w:t xml:space="preserve"> dei procedimenti. </w:t>
      </w:r>
      <w:bookmarkEnd w:id="1"/>
    </w:p>
    <w:p w14:paraId="1BC3C72B" w14:textId="77777777" w:rsidR="00CE3126" w:rsidRDefault="00804336" w:rsidP="00804336">
      <w:r>
        <w:t>Il progetto p</w:t>
      </w:r>
      <w:r w:rsidR="00D73EFA">
        <w:t xml:space="preserve">revedeva </w:t>
      </w:r>
      <w:r w:rsidR="0024477F">
        <w:t xml:space="preserve">inoltre </w:t>
      </w:r>
      <w:r w:rsidR="00D73EFA">
        <w:t xml:space="preserve">un sistema di </w:t>
      </w:r>
      <w:r w:rsidR="000B03EC">
        <w:t>riparto</w:t>
      </w:r>
      <w:r w:rsidR="00D73EFA">
        <w:t xml:space="preserve"> del nuovo personale reclutato</w:t>
      </w:r>
      <w:r w:rsidR="000625A7">
        <w:t xml:space="preserve"> a tempo determinato</w:t>
      </w:r>
      <w:r w:rsidR="00D73EFA">
        <w:t xml:space="preserve"> (cui d’ora in poi faremo riferimento con il termine AUPP – addetti all’ufficio per il processo) </w:t>
      </w:r>
      <w:r w:rsidR="000B03EC">
        <w:t xml:space="preserve">basato </w:t>
      </w:r>
      <w:r w:rsidR="00451F47">
        <w:t>sull’analisi delle</w:t>
      </w:r>
      <w:r w:rsidR="001357C3">
        <w:t xml:space="preserve"> criticità</w:t>
      </w:r>
      <w:r w:rsidR="000B03EC">
        <w:t xml:space="preserve"> </w:t>
      </w:r>
      <w:r w:rsidR="00451F47">
        <w:t xml:space="preserve">delle </w:t>
      </w:r>
      <w:r w:rsidR="000B03EC">
        <w:t>varie sezioni civili e penali</w:t>
      </w:r>
      <w:r w:rsidR="001357C3">
        <w:t xml:space="preserve">, </w:t>
      </w:r>
      <w:r w:rsidR="00052BA0">
        <w:t>in</w:t>
      </w:r>
      <w:r w:rsidR="001357C3">
        <w:t xml:space="preserve"> particolare </w:t>
      </w:r>
      <w:r w:rsidR="00052BA0">
        <w:t>in termini di</w:t>
      </w:r>
      <w:r w:rsidR="001357C3">
        <w:t xml:space="preserve"> capacità di smaltimento </w:t>
      </w:r>
      <w:r w:rsidR="000302F3">
        <w:t>dei fascicoli</w:t>
      </w:r>
      <w:r w:rsidR="001357C3">
        <w:t xml:space="preserve"> e consistenza dell’arretrato.</w:t>
      </w:r>
      <w:r w:rsidR="00A074C1">
        <w:t xml:space="preserve"> </w:t>
      </w:r>
    </w:p>
    <w:p w14:paraId="0936F8AE" w14:textId="5A569C04" w:rsidR="00D34DF4" w:rsidRPr="006E5C2F" w:rsidRDefault="00D34DF4" w:rsidP="00D34DF4">
      <w:pPr>
        <w:rPr>
          <w:b/>
          <w:bCs/>
          <w:i/>
          <w:iCs/>
        </w:rPr>
      </w:pPr>
      <w:r>
        <w:rPr>
          <w:b/>
          <w:bCs/>
          <w:i/>
          <w:iCs/>
        </w:rPr>
        <w:t>Criticità del GIP</w:t>
      </w:r>
    </w:p>
    <w:p w14:paraId="0412F86F" w14:textId="1EDCC601" w:rsidR="009E3DF7" w:rsidRDefault="00A074C1" w:rsidP="00982738">
      <w:r>
        <w:t>Tra queste sezioni, quella del GIP è stata quella che ha ricevuto</w:t>
      </w:r>
      <w:r w:rsidR="00BD166D">
        <w:t>, sulla base di un’analisi statistica realizzata a fine 2020,</w:t>
      </w:r>
      <w:r>
        <w:t xml:space="preserve"> il </w:t>
      </w:r>
      <w:r w:rsidR="00675E43">
        <w:t>contingente maggiore</w:t>
      </w:r>
      <w:r w:rsidR="00E125F2">
        <w:t xml:space="preserve"> di personale</w:t>
      </w:r>
      <w:r w:rsidR="00EF457C">
        <w:t xml:space="preserve">: </w:t>
      </w:r>
      <w:r w:rsidR="00334984">
        <w:t>5</w:t>
      </w:r>
      <w:r w:rsidR="00710D6B">
        <w:t>6</w:t>
      </w:r>
      <w:r w:rsidR="00334984">
        <w:t xml:space="preserve"> unità sulle </w:t>
      </w:r>
      <w:r w:rsidR="00A7764B">
        <w:t>293 complessivamente</w:t>
      </w:r>
      <w:r w:rsidR="00D73EFA">
        <w:t xml:space="preserve"> assegnate al Tribunale di Milano</w:t>
      </w:r>
      <w:r w:rsidR="00710D6B">
        <w:t>.</w:t>
      </w:r>
      <w:r w:rsidR="00710D6B" w:rsidRPr="00710D6B">
        <w:t xml:space="preserve"> </w:t>
      </w:r>
      <w:r w:rsidR="00EF457C">
        <w:t>I dati del 2020 infatti mostravano per la</w:t>
      </w:r>
      <w:r w:rsidR="00D701C4">
        <w:t xml:space="preserve"> sezione GIP una forte </w:t>
      </w:r>
      <w:r w:rsidR="00710D6B" w:rsidRPr="009235DF">
        <w:t xml:space="preserve">crescita </w:t>
      </w:r>
      <w:r w:rsidR="00D701C4">
        <w:t xml:space="preserve">dei procedimenti in ingresso </w:t>
      </w:r>
      <w:r w:rsidR="00710D6B" w:rsidRPr="009235DF">
        <w:t xml:space="preserve">(+ 20%) </w:t>
      </w:r>
      <w:r w:rsidR="00D701C4">
        <w:t xml:space="preserve">e </w:t>
      </w:r>
      <w:r w:rsidR="00710D6B" w:rsidRPr="009235DF">
        <w:t>dei tempi medi di emissione dei provvedimenti, passati da circa 125 giorni in me</w:t>
      </w:r>
      <w:r w:rsidR="00C05B58">
        <w:t>d</w:t>
      </w:r>
      <w:r w:rsidR="00710D6B" w:rsidRPr="009235DF">
        <w:t>ia nel triennio 2016-2018</w:t>
      </w:r>
      <w:r w:rsidR="00C05B58">
        <w:t>,</w:t>
      </w:r>
      <w:r w:rsidR="00710D6B" w:rsidRPr="009235DF">
        <w:t xml:space="preserve"> a 156 nel 2019 (+25,1%)</w:t>
      </w:r>
      <w:r w:rsidR="00C05B58">
        <w:t>,</w:t>
      </w:r>
      <w:r w:rsidR="00710D6B" w:rsidRPr="009235DF">
        <w:t xml:space="preserve"> </w:t>
      </w:r>
      <w:r w:rsidR="00C81D1B">
        <w:t>a</w:t>
      </w:r>
      <w:r w:rsidR="00710D6B" w:rsidRPr="009235DF">
        <w:t xml:space="preserve"> 181 nel 2020 (+16% rispetto all’anno precedente).</w:t>
      </w:r>
      <w:r w:rsidR="00CE3126">
        <w:t xml:space="preserve"> </w:t>
      </w:r>
    </w:p>
    <w:p w14:paraId="7DB9EFE6" w14:textId="3B660C93" w:rsidR="000E5368" w:rsidRDefault="00F414C4" w:rsidP="00171C1C">
      <w:r w:rsidRPr="009235DF">
        <w:t xml:space="preserve">Le criticità </w:t>
      </w:r>
      <w:r w:rsidR="00C76130">
        <w:t xml:space="preserve">erano </w:t>
      </w:r>
      <w:r w:rsidRPr="009235DF">
        <w:t>dovute a diversi fattori</w:t>
      </w:r>
      <w:r w:rsidR="00982738">
        <w:t xml:space="preserve">, sia strutturali sia contingenti. Sul primo fronte </w:t>
      </w:r>
      <w:r w:rsidR="00814A9F">
        <w:t>va ricordata</w:t>
      </w:r>
      <w:r w:rsidR="00884E59">
        <w:t xml:space="preserve"> la consistente</w:t>
      </w:r>
      <w:r w:rsidR="00982738">
        <w:t xml:space="preserve"> </w:t>
      </w:r>
      <w:r w:rsidR="00982738" w:rsidRPr="009235DF">
        <w:t xml:space="preserve">scopertura di organico di magistratura </w:t>
      </w:r>
      <w:r w:rsidR="00982738">
        <w:t xml:space="preserve">(i dati 2022 indicano circa 10 unità </w:t>
      </w:r>
      <w:r w:rsidR="00982738">
        <w:rPr>
          <w:i/>
          <w:iCs/>
        </w:rPr>
        <w:t xml:space="preserve">full time equivalent </w:t>
      </w:r>
      <w:r w:rsidR="00982738">
        <w:t xml:space="preserve">in meno rispetto all’organico </w:t>
      </w:r>
      <w:r w:rsidR="009E3DF7">
        <w:t>del</w:t>
      </w:r>
      <w:r w:rsidR="00982738">
        <w:t xml:space="preserve">l’ufficio GIP) </w:t>
      </w:r>
      <w:r w:rsidR="00982738" w:rsidRPr="009235DF">
        <w:t>e del personale amministrativo, con conseguenti carichi di lavoro elevati</w:t>
      </w:r>
      <w:r w:rsidR="00346C1F">
        <w:t xml:space="preserve">, nonché </w:t>
      </w:r>
      <w:r w:rsidR="00982738" w:rsidRPr="009235DF">
        <w:t xml:space="preserve">il forte ricorso ai riti speciali, </w:t>
      </w:r>
      <w:r w:rsidR="00982738">
        <w:t xml:space="preserve">più elevato </w:t>
      </w:r>
      <w:r w:rsidR="00982738" w:rsidRPr="009235DF">
        <w:t xml:space="preserve">a Milano </w:t>
      </w:r>
      <w:r w:rsidR="00982738" w:rsidRPr="009235DF">
        <w:lastRenderedPageBreak/>
        <w:t>rispetto alle altre sedi di Tribunale</w:t>
      </w:r>
      <w:r w:rsidR="00982738">
        <w:t xml:space="preserve"> di pari dimensione</w:t>
      </w:r>
      <w:r w:rsidR="00982738">
        <w:rPr>
          <w:rStyle w:val="Rimandonotaapidipagina"/>
        </w:rPr>
        <w:footnoteReference w:id="6"/>
      </w:r>
      <w:r w:rsidR="00982738">
        <w:t>.</w:t>
      </w:r>
      <w:r w:rsidR="009E3DF7">
        <w:t xml:space="preserve"> </w:t>
      </w:r>
      <w:r w:rsidR="00C96195">
        <w:t xml:space="preserve">Sul secondo fronte vi sono gli effetti </w:t>
      </w:r>
      <w:r w:rsidR="00171C1C">
        <w:t xml:space="preserve">di quanto accaduto nel 2020. In questo anno, </w:t>
      </w:r>
      <w:r w:rsidR="00DB1246">
        <w:t xml:space="preserve">alle </w:t>
      </w:r>
      <w:r w:rsidR="004C12D3">
        <w:t xml:space="preserve">restrizioni del </w:t>
      </w:r>
      <w:r w:rsidRPr="009235DF">
        <w:t xml:space="preserve">Covid si è sommato un vasto incendio che ha interessato tutto il settimo piano </w:t>
      </w:r>
      <w:r w:rsidR="00F44AF4">
        <w:t xml:space="preserve">del palazzo di giustizia </w:t>
      </w:r>
      <w:r w:rsidRPr="009235DF">
        <w:t xml:space="preserve">in cui è allocato il GIP. L’incendio ha </w:t>
      </w:r>
      <w:r w:rsidR="00ED781E">
        <w:t>riguardato</w:t>
      </w:r>
      <w:r w:rsidRPr="009235DF">
        <w:t xml:space="preserve"> </w:t>
      </w:r>
      <w:r w:rsidR="00ED781E">
        <w:t xml:space="preserve">gran parte dei </w:t>
      </w:r>
      <w:r w:rsidRPr="009235DF">
        <w:t xml:space="preserve">fascicoli, </w:t>
      </w:r>
      <w:r w:rsidR="0036628A">
        <w:t xml:space="preserve">ancora </w:t>
      </w:r>
      <w:r w:rsidR="00ED781E">
        <w:t xml:space="preserve">prevalentemente </w:t>
      </w:r>
      <w:r w:rsidRPr="009235DF">
        <w:t>cartacei</w:t>
      </w:r>
      <w:r w:rsidR="00FE4C28">
        <w:t>, determinando una faticosa operazione di recupero delle informazioni mancanti.</w:t>
      </w:r>
      <w:r w:rsidRPr="009235DF">
        <w:t xml:space="preserve"> Durante le operazioni di ripristino</w:t>
      </w:r>
      <w:r w:rsidR="009E0FAE">
        <w:t xml:space="preserve"> </w:t>
      </w:r>
      <w:r w:rsidRPr="009235DF">
        <w:t xml:space="preserve">è </w:t>
      </w:r>
      <w:r w:rsidR="00F51C54">
        <w:t xml:space="preserve">inoltre </w:t>
      </w:r>
      <w:r w:rsidRPr="009235DF">
        <w:t xml:space="preserve">stato rinvenuto del materiale cancerogeno che ha </w:t>
      </w:r>
      <w:r w:rsidR="00DB7A1D">
        <w:t>reso necessario</w:t>
      </w:r>
      <w:r w:rsidRPr="009235DF">
        <w:t xml:space="preserve"> il trasferimento del personale</w:t>
      </w:r>
      <w:r w:rsidR="00DB7A1D">
        <w:t xml:space="preserve"> in </w:t>
      </w:r>
      <w:r w:rsidR="003223BE">
        <w:t>altri uffici</w:t>
      </w:r>
      <w:r w:rsidR="00A95522">
        <w:t xml:space="preserve">. </w:t>
      </w:r>
      <w:r w:rsidR="00F51C54">
        <w:t xml:space="preserve">Per affrontare </w:t>
      </w:r>
      <w:r w:rsidR="00186034">
        <w:t>tale</w:t>
      </w:r>
      <w:r w:rsidR="00F51C54">
        <w:t xml:space="preserve"> situazione </w:t>
      </w:r>
      <w:r w:rsidR="00FB1E94">
        <w:t xml:space="preserve">è stata allestita al sesto piano del palazzo di giustizia </w:t>
      </w:r>
      <w:r w:rsidR="00F51C54">
        <w:t>u</w:t>
      </w:r>
      <w:r w:rsidR="00F51C54" w:rsidRPr="009235DF">
        <w:t xml:space="preserve">na struttura provvisoria </w:t>
      </w:r>
      <w:r w:rsidRPr="009235DF">
        <w:t xml:space="preserve">per ricevere gli atti urgenti, mentre </w:t>
      </w:r>
      <w:r w:rsidR="004E6E9C">
        <w:t xml:space="preserve">i procedimenti relativi a </w:t>
      </w:r>
      <w:r w:rsidRPr="009235DF">
        <w:t xml:space="preserve">misure cautelari </w:t>
      </w:r>
      <w:r w:rsidR="004E6E9C">
        <w:t>sono stati gestiti</w:t>
      </w:r>
      <w:r w:rsidRPr="009235DF">
        <w:t xml:space="preserve"> esclusivamente per via informatica. </w:t>
      </w:r>
      <w:r w:rsidR="00F4393F">
        <w:t>Contemporaneamente,</w:t>
      </w:r>
      <w:r w:rsidR="003D62B2">
        <w:t xml:space="preserve"> e in accordo con la Procura,</w:t>
      </w:r>
      <w:r w:rsidR="00FE71CD">
        <w:t xml:space="preserve"> i procedimenti con richiesta di </w:t>
      </w:r>
      <w:r w:rsidRPr="009235DF">
        <w:t>archiviazion</w:t>
      </w:r>
      <w:r w:rsidR="00FE71CD">
        <w:t>e</w:t>
      </w:r>
      <w:r w:rsidRPr="009235DF">
        <w:t xml:space="preserve"> sono stat</w:t>
      </w:r>
      <w:r w:rsidR="00FE71CD">
        <w:t>i</w:t>
      </w:r>
      <w:r w:rsidRPr="009235DF">
        <w:t xml:space="preserve"> temporaneamente bloccat</w:t>
      </w:r>
      <w:r w:rsidR="00FE71CD">
        <w:t>i</w:t>
      </w:r>
      <w:r w:rsidRPr="009235DF">
        <w:t>. Il personale ha potuto riprendere accesso all’ufficio alla fine del 2020 ma alcune aree, come la Cancelleria centrale</w:t>
      </w:r>
      <w:r w:rsidR="00415861">
        <w:t xml:space="preserve"> penale</w:t>
      </w:r>
      <w:r w:rsidRPr="009235DF">
        <w:t xml:space="preserve">, sono rimaste inagibili anche nel corso del </w:t>
      </w:r>
      <w:r w:rsidRPr="008165DE">
        <w:rPr>
          <w:highlight w:val="yellow"/>
        </w:rPr>
        <w:t>202</w:t>
      </w:r>
      <w:r w:rsidR="008165DE" w:rsidRPr="008165DE">
        <w:rPr>
          <w:highlight w:val="yellow"/>
        </w:rPr>
        <w:t>2</w:t>
      </w:r>
      <w:r w:rsidRPr="009235DF">
        <w:t>.</w:t>
      </w:r>
      <w:r w:rsidR="00F4393F">
        <w:t xml:space="preserve"> </w:t>
      </w:r>
    </w:p>
    <w:p w14:paraId="4AB33E97" w14:textId="77777777" w:rsidR="00814B64" w:rsidRDefault="00814B64" w:rsidP="00171C1C"/>
    <w:p w14:paraId="78358381" w14:textId="77777777" w:rsidR="00814B64" w:rsidRDefault="00814B64" w:rsidP="00171C1C"/>
    <w:p w14:paraId="39F3C099" w14:textId="6199FF84" w:rsidR="00C20157" w:rsidRPr="006E5C2F" w:rsidRDefault="00C20157" w:rsidP="00C20157">
      <w:pPr>
        <w:rPr>
          <w:b/>
          <w:bCs/>
          <w:i/>
          <w:iCs/>
        </w:rPr>
      </w:pPr>
      <w:r>
        <w:rPr>
          <w:b/>
          <w:bCs/>
          <w:i/>
          <w:iCs/>
        </w:rPr>
        <w:t>Organizzazione degli AUPP presso il GIP</w:t>
      </w:r>
    </w:p>
    <w:p w14:paraId="61FD1018" w14:textId="219B8790" w:rsidR="00BE46D1" w:rsidRDefault="0053040F" w:rsidP="00964C3F">
      <w:r>
        <w:t>Gli AUPP</w:t>
      </w:r>
      <w:r w:rsidR="00B1330E">
        <w:t xml:space="preserve"> reclutati</w:t>
      </w:r>
      <w:r w:rsidR="003D62B2">
        <w:t xml:space="preserve"> tramite il progetto PNRR,</w:t>
      </w:r>
      <w:r w:rsidR="003A3955">
        <w:t xml:space="preserve"> con un incarico a tempo determinato per 18 mesi,</w:t>
      </w:r>
      <w:r>
        <w:t xml:space="preserve"> hanno avviato la collaborazione </w:t>
      </w:r>
      <w:r w:rsidRPr="009235DF">
        <w:t xml:space="preserve">presso il GIP </w:t>
      </w:r>
      <w:r>
        <w:t xml:space="preserve">a </w:t>
      </w:r>
      <w:r w:rsidRPr="009235DF">
        <w:t>febbraio 2022</w:t>
      </w:r>
      <w:r>
        <w:t>.</w:t>
      </w:r>
      <w:r w:rsidR="00060AED">
        <w:t xml:space="preserve"> L’inserimento ha previsto un periodo di formazione iniziale </w:t>
      </w:r>
      <w:r w:rsidR="00490309">
        <w:t xml:space="preserve">che ha affrontato argomenti </w:t>
      </w:r>
      <w:r w:rsidR="00060AED">
        <w:t xml:space="preserve">di tipo giurisprudenziale, </w:t>
      </w:r>
      <w:r w:rsidR="00CB0EEA">
        <w:t>amministrativo</w:t>
      </w:r>
      <w:r w:rsidR="00060AED">
        <w:t xml:space="preserve"> e informatic</w:t>
      </w:r>
      <w:r w:rsidR="003E457D">
        <w:t>o</w:t>
      </w:r>
      <w:r w:rsidR="00060AED">
        <w:t>.</w:t>
      </w:r>
      <w:r w:rsidR="00F521F0">
        <w:t xml:space="preserve"> </w:t>
      </w:r>
      <w:r w:rsidR="000666DB" w:rsidRPr="009235DF">
        <w:t>L’assegnazione del personale ha seguito un modello misto, che coniuga assegnazioni dirette in staff ai giudici</w:t>
      </w:r>
      <w:r w:rsidR="000666DB">
        <w:t xml:space="preserve"> (con la formula dei ‘mini pool’)</w:t>
      </w:r>
      <w:r w:rsidR="000666DB" w:rsidRPr="009235DF">
        <w:t>, e assegnazioni presso gli uffici di cancelleria.</w:t>
      </w:r>
      <w:r w:rsidR="000666DB">
        <w:t xml:space="preserve"> </w:t>
      </w:r>
      <w:r w:rsidR="001C2485">
        <w:t>U</w:t>
      </w:r>
      <w:r w:rsidR="001128E2" w:rsidRPr="009235DF">
        <w:t xml:space="preserve">n nucleo di magistrati </w:t>
      </w:r>
      <w:r w:rsidR="001C2485">
        <w:t xml:space="preserve">è stato </w:t>
      </w:r>
      <w:r w:rsidR="0092475A">
        <w:t xml:space="preserve">incaricato </w:t>
      </w:r>
      <w:r w:rsidR="00B972A4">
        <w:t>della formazione e della predisposizione di</w:t>
      </w:r>
      <w:r w:rsidR="001128E2" w:rsidRPr="009235DF">
        <w:t xml:space="preserve"> </w:t>
      </w:r>
      <w:r w:rsidR="001128E2" w:rsidRPr="00C041D1">
        <w:t>modelli</w:t>
      </w:r>
      <w:r w:rsidR="001128E2" w:rsidRPr="009235DF">
        <w:t xml:space="preserve"> </w:t>
      </w:r>
      <w:r w:rsidR="00BB4275">
        <w:t>a supporto del</w:t>
      </w:r>
      <w:r w:rsidR="001128E2" w:rsidRPr="009235DF">
        <w:t>l</w:t>
      </w:r>
      <w:r w:rsidR="0092475A">
        <w:t xml:space="preserve">e </w:t>
      </w:r>
      <w:r w:rsidR="001128E2" w:rsidRPr="009235DF">
        <w:t>attività</w:t>
      </w:r>
      <w:r w:rsidR="00B972A4">
        <w:t xml:space="preserve"> degli AUPP</w:t>
      </w:r>
      <w:r w:rsidR="001128E2" w:rsidRPr="009235DF">
        <w:t xml:space="preserve">. </w:t>
      </w:r>
      <w:r w:rsidR="00964C3F">
        <w:t xml:space="preserve">Il coordinamento </w:t>
      </w:r>
      <w:r w:rsidR="00A24210">
        <w:t xml:space="preserve">generale </w:t>
      </w:r>
      <w:r w:rsidR="00964C3F">
        <w:t xml:space="preserve">è </w:t>
      </w:r>
      <w:r w:rsidR="00A24210">
        <w:t xml:space="preserve">affidato </w:t>
      </w:r>
      <w:r w:rsidR="00BE46D1" w:rsidRPr="009235DF">
        <w:t>al direttore di cancelleria</w:t>
      </w:r>
      <w:r w:rsidR="00964C3F">
        <w:t>,</w:t>
      </w:r>
      <w:r w:rsidR="00BE46D1">
        <w:t xml:space="preserve"> </w:t>
      </w:r>
      <w:r w:rsidR="00BE46D1" w:rsidRPr="009235DF">
        <w:t>che definisce periodicamente le assegnazioni e i turni del personale e ne monitora le attività</w:t>
      </w:r>
      <w:r w:rsidR="00BE46D1">
        <w:t>.</w:t>
      </w:r>
      <w:r w:rsidR="00BE46D1" w:rsidRPr="009235DF">
        <w:t xml:space="preserve"> </w:t>
      </w:r>
    </w:p>
    <w:p w14:paraId="3A0A3AC9" w14:textId="3AD0554F" w:rsidR="00F414C4" w:rsidRDefault="00186EAA" w:rsidP="003E728F">
      <w:r>
        <w:t>Una parte del</w:t>
      </w:r>
      <w:r w:rsidR="00EA076B">
        <w:t xml:space="preserve"> personale AUPP è stat</w:t>
      </w:r>
      <w:r w:rsidR="00DC6D4A">
        <w:t>a</w:t>
      </w:r>
      <w:r w:rsidR="00EA076B">
        <w:t xml:space="preserve"> </w:t>
      </w:r>
      <w:r w:rsidR="00D84F33">
        <w:t>in prima ba</w:t>
      </w:r>
      <w:r>
        <w:t>ttuta</w:t>
      </w:r>
      <w:r w:rsidR="00F7694D">
        <w:t xml:space="preserve"> assegnat</w:t>
      </w:r>
      <w:r w:rsidR="00DC6D4A">
        <w:t>a</w:t>
      </w:r>
      <w:r w:rsidR="00F414C4" w:rsidRPr="009235DF">
        <w:t xml:space="preserve"> </w:t>
      </w:r>
      <w:r w:rsidR="00B1330E">
        <w:t>a trattare</w:t>
      </w:r>
      <w:r w:rsidR="00F414C4" w:rsidRPr="009235DF">
        <w:t xml:space="preserve"> il carico dei procedimenti pendenti per i quali è stata avanzata </w:t>
      </w:r>
      <w:r w:rsidR="00F414C4" w:rsidRPr="00532CA8">
        <w:t>richiesta di archiviazione</w:t>
      </w:r>
      <w:r w:rsidR="00F7694D">
        <w:t>, dando</w:t>
      </w:r>
      <w:r w:rsidR="0018661A">
        <w:t xml:space="preserve"> priorità alle richieste avverso </w:t>
      </w:r>
      <w:r w:rsidR="00B816C1">
        <w:t xml:space="preserve">autori </w:t>
      </w:r>
      <w:r w:rsidR="0018661A">
        <w:t>noti</w:t>
      </w:r>
      <w:r w:rsidR="00F414C4" w:rsidRPr="00532CA8">
        <w:t xml:space="preserve">, e </w:t>
      </w:r>
      <w:r w:rsidR="00C1030F">
        <w:t>a</w:t>
      </w:r>
      <w:r w:rsidR="0018661A">
        <w:t>i</w:t>
      </w:r>
      <w:r w:rsidR="00F414C4" w:rsidRPr="00532CA8">
        <w:t xml:space="preserve"> decreti penali di condanna</w:t>
      </w:r>
      <w:r w:rsidR="00704C64">
        <w:t xml:space="preserve">. </w:t>
      </w:r>
      <w:r w:rsidR="00D44B8F">
        <w:t>I</w:t>
      </w:r>
      <w:r w:rsidR="00965959">
        <w:t>nfatti, i</w:t>
      </w:r>
      <w:r w:rsidR="00704C64">
        <w:t>l numero elevato di questi procedimenti</w:t>
      </w:r>
      <w:r w:rsidR="00E00B0C">
        <w:t xml:space="preserve"> incide </w:t>
      </w:r>
      <w:r w:rsidR="00F414C4" w:rsidRPr="009235DF">
        <w:t xml:space="preserve">in </w:t>
      </w:r>
      <w:r w:rsidR="00E00B0C">
        <w:t xml:space="preserve">modo </w:t>
      </w:r>
      <w:r w:rsidR="00F414C4" w:rsidRPr="009235DF">
        <w:t>significativ</w:t>
      </w:r>
      <w:r w:rsidR="00E00B0C">
        <w:t>o</w:t>
      </w:r>
      <w:r w:rsidR="00F414C4" w:rsidRPr="009235DF">
        <w:t xml:space="preserve"> </w:t>
      </w:r>
      <w:r w:rsidR="00532CA8">
        <w:t>sull’indice di ricambio</w:t>
      </w:r>
      <w:r w:rsidR="00F414C4" w:rsidRPr="009235DF">
        <w:t xml:space="preserve"> </w:t>
      </w:r>
      <w:r w:rsidR="00E00B0C">
        <w:t xml:space="preserve">complessivo </w:t>
      </w:r>
      <w:r w:rsidR="00F414C4" w:rsidRPr="009235DF">
        <w:t>del Tribunale.</w:t>
      </w:r>
      <w:r w:rsidR="003E728F">
        <w:t xml:space="preserve"> </w:t>
      </w:r>
      <w:r w:rsidR="00934EF3">
        <w:t>Tuttavia, l</w:t>
      </w:r>
      <w:r w:rsidR="0035731D" w:rsidRPr="009235DF">
        <w:t xml:space="preserve">’assegnazione di una parte degli AUPP alle attività di cancelleria ha sollevato </w:t>
      </w:r>
      <w:r w:rsidR="00C1030F">
        <w:t xml:space="preserve">qualche </w:t>
      </w:r>
      <w:r w:rsidR="00E31734">
        <w:t xml:space="preserve">scontento </w:t>
      </w:r>
      <w:r w:rsidR="0035731D" w:rsidRPr="009235DF">
        <w:t xml:space="preserve">tra gli </w:t>
      </w:r>
      <w:r w:rsidR="00934EF3">
        <w:t>AUPP</w:t>
      </w:r>
      <w:r w:rsidR="0035731D" w:rsidRPr="009235DF">
        <w:t>, che avrebbero preferito o ritenevano di dover svolgere attività di affiancamento al giudice. Per mantenere fermi gli obiettivi dell’Ufficio</w:t>
      </w:r>
      <w:r w:rsidR="00FC2AED">
        <w:t>,</w:t>
      </w:r>
      <w:r w:rsidR="0035731D" w:rsidRPr="009235DF">
        <w:t xml:space="preserve"> ma</w:t>
      </w:r>
      <w:r w:rsidR="00FC2AED">
        <w:t>,</w:t>
      </w:r>
      <w:r w:rsidR="0035731D" w:rsidRPr="009235DF">
        <w:t xml:space="preserve"> nel contempo</w:t>
      </w:r>
      <w:r w:rsidR="00FC2AED">
        <w:t>,</w:t>
      </w:r>
      <w:r w:rsidR="0035731D" w:rsidRPr="009235DF">
        <w:t xml:space="preserve"> consentire agli AUPP di prendere parte a tutte le attività svolte dall’Ufficio GIP, sia di cancelleria sia di supporto al giudice, è stato </w:t>
      </w:r>
      <w:r w:rsidR="00386040">
        <w:t>elaborato</w:t>
      </w:r>
      <w:r w:rsidR="0035731D" w:rsidRPr="009235DF">
        <w:t xml:space="preserve"> un sistema </w:t>
      </w:r>
      <w:r w:rsidR="00CC6806">
        <w:t>di turnazione tra i</w:t>
      </w:r>
      <w:r w:rsidR="0035731D" w:rsidRPr="009235DF">
        <w:t xml:space="preserve"> diversi incarichi</w:t>
      </w:r>
      <w:r w:rsidR="00A33467">
        <w:t>.</w:t>
      </w:r>
      <w:r w:rsidR="001C28D1">
        <w:t xml:space="preserve"> </w:t>
      </w:r>
      <w:r w:rsidR="007C0D10">
        <w:t>L’organizzazione di turni</w:t>
      </w:r>
      <w:r w:rsidR="00A33467">
        <w:t xml:space="preserve"> ha permesso anche di offrire supporto al personale di cancelleria durante i turni di servizio </w:t>
      </w:r>
      <w:r w:rsidR="00D66401">
        <w:t>nei giorni festivi</w:t>
      </w:r>
      <w:r w:rsidR="00613A75">
        <w:t>, peraltro consentendo una riduzione considerevole delle domande di straordinario</w:t>
      </w:r>
      <w:r w:rsidR="00D66401">
        <w:t>,</w:t>
      </w:r>
      <w:r w:rsidR="00613A75">
        <w:t xml:space="preserve"> perché compensate dalla presenza degli AUPP</w:t>
      </w:r>
      <w:r w:rsidR="00EC4078">
        <w:rPr>
          <w:rStyle w:val="Rimandonotaapidipagina"/>
        </w:rPr>
        <w:footnoteReference w:id="7"/>
      </w:r>
      <w:r w:rsidR="00CC6806">
        <w:t>.</w:t>
      </w:r>
      <w:r w:rsidR="006A0E3E">
        <w:t xml:space="preserve"> </w:t>
      </w:r>
    </w:p>
    <w:p w14:paraId="2AEEFED1" w14:textId="736A41BA" w:rsidR="008113CB" w:rsidRDefault="008113CB" w:rsidP="003E728F">
      <w:r>
        <w:t xml:space="preserve">Durante questo periodo, </w:t>
      </w:r>
      <w:r w:rsidR="006F281C">
        <w:t xml:space="preserve">presso l’ufficio GIP come in tutto il Tribunale </w:t>
      </w:r>
      <w:r w:rsidR="00B55956">
        <w:t>vi sono stati diversi casi di abbandono a seguito di stabilizzazioni presso l’Ufficio stesso o per l’avvio di nuove collaborazioni presso altre istituzioni. Una survey indirizzata al personale AUPP</w:t>
      </w:r>
      <w:r w:rsidR="006F281C">
        <w:t>, realizzata dal Politecnico di Milano</w:t>
      </w:r>
      <w:r w:rsidR="533D43F8">
        <w:t>,</w:t>
      </w:r>
      <w:r w:rsidR="00B55956">
        <w:t xml:space="preserve"> </w:t>
      </w:r>
      <w:r w:rsidR="00B55956">
        <w:lastRenderedPageBreak/>
        <w:t>ha infatti mostrato che</w:t>
      </w:r>
      <w:r w:rsidR="00F65DE1">
        <w:t xml:space="preserve"> </w:t>
      </w:r>
      <w:r w:rsidR="00D14EE3">
        <w:t>circa l’80</w:t>
      </w:r>
      <w:r w:rsidR="007734B2">
        <w:t>%</w:t>
      </w:r>
      <w:r w:rsidR="00B55956">
        <w:t xml:space="preserve"> </w:t>
      </w:r>
      <w:r w:rsidR="00D626F9">
        <w:t>degli AUPP</w:t>
      </w:r>
      <w:r w:rsidR="00B55956">
        <w:t xml:space="preserve"> </w:t>
      </w:r>
      <w:r w:rsidR="000A4AF9">
        <w:t xml:space="preserve">– il cui incarico è </w:t>
      </w:r>
      <w:r w:rsidR="00706415">
        <w:t xml:space="preserve">a tempo determinato - </w:t>
      </w:r>
      <w:r w:rsidR="00D626F9">
        <w:t xml:space="preserve">ha </w:t>
      </w:r>
      <w:r w:rsidR="00D86F3C">
        <w:t xml:space="preserve">intenzione </w:t>
      </w:r>
      <w:r w:rsidR="007259BD">
        <w:t xml:space="preserve">di tentare </w:t>
      </w:r>
      <w:r w:rsidR="007734B2">
        <w:t>un</w:t>
      </w:r>
      <w:r w:rsidR="007259BD">
        <w:t xml:space="preserve"> concorso </w:t>
      </w:r>
      <w:r w:rsidR="007734B2">
        <w:t>pubblico</w:t>
      </w:r>
      <w:r w:rsidR="00D626F9">
        <w:t>, principalmente in magistratura</w:t>
      </w:r>
      <w:r w:rsidR="00360FEB">
        <w:t xml:space="preserve"> o presso il Ministero della Giustizia</w:t>
      </w:r>
      <w:r w:rsidR="00375D1B">
        <w:t xml:space="preserve">. L’analisi ha </w:t>
      </w:r>
      <w:r w:rsidR="00D4785E">
        <w:t>peraltro</w:t>
      </w:r>
      <w:r w:rsidR="00375D1B">
        <w:t xml:space="preserve"> </w:t>
      </w:r>
      <w:r w:rsidR="001520FE">
        <w:t>evidenziato</w:t>
      </w:r>
      <w:r w:rsidR="00375D1B">
        <w:t xml:space="preserve"> che gli addetti </w:t>
      </w:r>
      <w:r w:rsidR="00763457">
        <w:t xml:space="preserve">hanno </w:t>
      </w:r>
      <w:r w:rsidR="00375D1B">
        <w:t>giudica</w:t>
      </w:r>
      <w:r w:rsidR="00D626F9">
        <w:t>t</w:t>
      </w:r>
      <w:r w:rsidR="00375D1B">
        <w:t>o</w:t>
      </w:r>
      <w:r w:rsidR="00016169">
        <w:t xml:space="preserve"> </w:t>
      </w:r>
      <w:r w:rsidR="00375D1B">
        <w:t xml:space="preserve">l’esperienza </w:t>
      </w:r>
      <w:r w:rsidR="00650CC4">
        <w:t>soddisfacente</w:t>
      </w:r>
      <w:r w:rsidR="00375D1B">
        <w:t xml:space="preserve"> dal punto di vista formativo e professionale</w:t>
      </w:r>
      <w:r w:rsidR="00650CC4">
        <w:t xml:space="preserve"> (punteggio </w:t>
      </w:r>
      <w:r w:rsidR="003417B5">
        <w:t xml:space="preserve">medio pari a </w:t>
      </w:r>
      <w:r w:rsidR="00650CC4">
        <w:t>7,5</w:t>
      </w:r>
      <w:r w:rsidR="00016169">
        <w:t xml:space="preserve"> su scala 1-10)</w:t>
      </w:r>
      <w:r w:rsidR="00375D1B">
        <w:t xml:space="preserve">. </w:t>
      </w:r>
      <w:r w:rsidR="007259BD">
        <w:t xml:space="preserve"> </w:t>
      </w:r>
    </w:p>
    <w:p w14:paraId="33322DD0" w14:textId="64BA9FC2" w:rsidR="009741F0" w:rsidRDefault="00360EF5" w:rsidP="00EE501F">
      <w:pPr>
        <w:pStyle w:val="Titolo1"/>
      </w:pPr>
      <w:r>
        <w:t>Risultati</w:t>
      </w:r>
      <w:r w:rsidR="00EE501F">
        <w:t xml:space="preserve"> del progetto PNRR-UPP</w:t>
      </w:r>
      <w:r w:rsidR="00117FC4">
        <w:t xml:space="preserve"> presso il GIP</w:t>
      </w:r>
      <w:r w:rsidR="001A3BC1">
        <w:t>: una valutazione preliminare</w:t>
      </w:r>
      <w:r w:rsidR="00EE501F">
        <w:t xml:space="preserve"> </w:t>
      </w:r>
    </w:p>
    <w:p w14:paraId="714D2D43" w14:textId="6E65978F" w:rsidR="00E51E13" w:rsidRDefault="00BB065A" w:rsidP="00F90A13">
      <w:r>
        <w:t>In questo</w:t>
      </w:r>
      <w:r w:rsidR="00E8509F">
        <w:rPr>
          <w:rFonts w:cs="Calibri"/>
        </w:rPr>
        <w:t xml:space="preserve"> paragrafo presentiamo i principali</w:t>
      </w:r>
      <w:r w:rsidR="00657604">
        <w:rPr>
          <w:rFonts w:cs="Calibri"/>
        </w:rPr>
        <w:t xml:space="preserve"> </w:t>
      </w:r>
      <w:r w:rsidR="00530CE7">
        <w:t xml:space="preserve">indicatori </w:t>
      </w:r>
      <w:r w:rsidR="007436C3">
        <w:t>di efficienza giudiziaria</w:t>
      </w:r>
      <w:r w:rsidR="005F0BD9">
        <w:rPr>
          <w:rStyle w:val="Rimandonotaapidipagina"/>
        </w:rPr>
        <w:footnoteReference w:id="8"/>
      </w:r>
      <w:r w:rsidR="007436C3">
        <w:t xml:space="preserve"> </w:t>
      </w:r>
      <w:r w:rsidR="00426B07">
        <w:t xml:space="preserve">per valutare lo stato di attuazione </w:t>
      </w:r>
      <w:r w:rsidR="006A4EDE">
        <w:t xml:space="preserve">al 2022 </w:t>
      </w:r>
      <w:r w:rsidR="00426B07">
        <w:t xml:space="preserve">degli </w:t>
      </w:r>
      <w:r w:rsidR="00657604">
        <w:t xml:space="preserve">obiettivi </w:t>
      </w:r>
      <w:r w:rsidR="00E8509F">
        <w:t>stabiliti dal</w:t>
      </w:r>
      <w:r w:rsidR="00657604">
        <w:t xml:space="preserve"> </w:t>
      </w:r>
      <w:r w:rsidR="00E8509F">
        <w:t>progetto</w:t>
      </w:r>
      <w:r w:rsidR="00657604">
        <w:t xml:space="preserve"> PNRR-UPP </w:t>
      </w:r>
      <w:r w:rsidR="006A4EDE">
        <w:t xml:space="preserve">e </w:t>
      </w:r>
      <w:r w:rsidR="006112A6">
        <w:t xml:space="preserve">alcune </w:t>
      </w:r>
      <w:r w:rsidR="009B1F73">
        <w:t xml:space="preserve">stime previsionali sulla </w:t>
      </w:r>
      <w:r w:rsidR="00D363C7">
        <w:t>probabilità</w:t>
      </w:r>
      <w:r w:rsidR="009B1F73">
        <w:t xml:space="preserve"> di conseguire </w:t>
      </w:r>
      <w:r w:rsidR="006A4EDE">
        <w:t xml:space="preserve">i target </w:t>
      </w:r>
      <w:r w:rsidR="00EA1391">
        <w:t>fissati</w:t>
      </w:r>
      <w:r w:rsidR="006A4EDE">
        <w:t xml:space="preserve"> per il </w:t>
      </w:r>
      <w:r w:rsidR="008331B1">
        <w:t>2026.</w:t>
      </w:r>
    </w:p>
    <w:p w14:paraId="10C13098" w14:textId="57C72FD9" w:rsidR="009C06DC" w:rsidRPr="006E5C2F" w:rsidRDefault="006E5C2F" w:rsidP="009C06DC">
      <w:pPr>
        <w:rPr>
          <w:b/>
          <w:bCs/>
          <w:i/>
          <w:iCs/>
        </w:rPr>
      </w:pPr>
      <w:r w:rsidRPr="006E5C2F">
        <w:rPr>
          <w:b/>
          <w:bCs/>
          <w:i/>
          <w:iCs/>
        </w:rPr>
        <w:t>I principali indicatori sono in miglioramen</w:t>
      </w:r>
      <w:r>
        <w:rPr>
          <w:b/>
          <w:bCs/>
          <w:i/>
          <w:iCs/>
        </w:rPr>
        <w:t>to</w:t>
      </w:r>
    </w:p>
    <w:p w14:paraId="1A5841A7" w14:textId="29033414" w:rsidR="004F44F2" w:rsidRDefault="00612CB7" w:rsidP="005C36BF">
      <w:r>
        <w:t>Le statistiche</w:t>
      </w:r>
      <w:r w:rsidR="008D61AA">
        <w:t xml:space="preserve"> 2022 (Tabella 1)</w:t>
      </w:r>
      <w:r>
        <w:t xml:space="preserve"> mostrano che il</w:t>
      </w:r>
      <w:r w:rsidR="006846BD">
        <w:t xml:space="preserve"> numero di fascicoli</w:t>
      </w:r>
      <w:r w:rsidR="002471CA">
        <w:t xml:space="preserve"> definiti </w:t>
      </w:r>
      <w:r w:rsidR="00D242BE">
        <w:t>torna</w:t>
      </w:r>
      <w:r w:rsidR="009656BD">
        <w:t xml:space="preserve"> a crescere</w:t>
      </w:r>
      <w:r w:rsidR="00FD436A">
        <w:t xml:space="preserve"> dopo il 2020, anno </w:t>
      </w:r>
      <w:r w:rsidR="00633925">
        <w:t>in cui,</w:t>
      </w:r>
      <w:r w:rsidR="00435AA3">
        <w:t xml:space="preserve"> </w:t>
      </w:r>
      <w:r w:rsidR="001E19CC">
        <w:t>a causa del Covid-19</w:t>
      </w:r>
      <w:r w:rsidR="00E62121">
        <w:t xml:space="preserve"> e dell’incendio</w:t>
      </w:r>
      <w:r w:rsidR="00A172C0">
        <w:t>,</w:t>
      </w:r>
      <w:r w:rsidR="001E19CC">
        <w:t xml:space="preserve"> il numero dei fascicoli iscritti e definiti è </w:t>
      </w:r>
      <w:r w:rsidR="008F01FE">
        <w:t xml:space="preserve">stato </w:t>
      </w:r>
      <w:r w:rsidR="001E19CC">
        <w:t xml:space="preserve">significativamente più basso rispetto a quello </w:t>
      </w:r>
      <w:r w:rsidR="000F6F24">
        <w:t>dell’ann</w:t>
      </w:r>
      <w:r w:rsidR="00216A5C">
        <w:t xml:space="preserve">o </w:t>
      </w:r>
      <w:r w:rsidR="000F6F24">
        <w:t>precedente</w:t>
      </w:r>
      <w:r w:rsidR="00D8356F">
        <w:t xml:space="preserve">. </w:t>
      </w:r>
      <w:r w:rsidR="00663203">
        <w:t>I</w:t>
      </w:r>
      <w:r w:rsidR="00C214E8">
        <w:t xml:space="preserve"> dati </w:t>
      </w:r>
      <w:r w:rsidR="00663203">
        <w:t xml:space="preserve">2021 </w:t>
      </w:r>
      <w:r w:rsidR="00C214E8">
        <w:t>mostrano che l</w:t>
      </w:r>
      <w:r w:rsidR="00D8356F">
        <w:t>a risposta</w:t>
      </w:r>
      <w:r w:rsidR="006163AD">
        <w:t xml:space="preserve"> è stat</w:t>
      </w:r>
      <w:r w:rsidR="00C214E8">
        <w:t>a</w:t>
      </w:r>
      <w:r w:rsidR="006163AD">
        <w:t xml:space="preserve"> pront</w:t>
      </w:r>
      <w:r w:rsidR="00D8356F">
        <w:t>a</w:t>
      </w:r>
      <w:r w:rsidR="006163AD">
        <w:t xml:space="preserve"> ed efficace. </w:t>
      </w:r>
      <w:r w:rsidR="00D72EE9">
        <w:t>Cresce di conseguenza anche i</w:t>
      </w:r>
      <w:r w:rsidR="00A85603">
        <w:t xml:space="preserve">l </w:t>
      </w:r>
      <w:r w:rsidR="00DC5879" w:rsidRPr="00BB2D70">
        <w:rPr>
          <w:i/>
          <w:iCs/>
        </w:rPr>
        <w:t>simple clearance rate</w:t>
      </w:r>
      <w:r w:rsidR="00DC5879">
        <w:t xml:space="preserve"> - </w:t>
      </w:r>
      <w:r w:rsidR="00A85603">
        <w:t xml:space="preserve">SCR, che </w:t>
      </w:r>
      <w:r w:rsidR="008D2400">
        <w:t>nel</w:t>
      </w:r>
      <w:r w:rsidR="00A85603">
        <w:t xml:space="preserve"> 2022 è tornato praticamente ai livelli del 2019</w:t>
      </w:r>
      <w:r w:rsidR="00E36A0E">
        <w:t xml:space="preserve">, sopra l’1: questo significa che il GIP </w:t>
      </w:r>
      <w:r w:rsidR="00435AA3">
        <w:t>sta smaltendo tutti i fascicoli sopravvenuti nel periodo preso in considerazione</w:t>
      </w:r>
      <w:r w:rsidR="00A131B9">
        <w:t>,</w:t>
      </w:r>
      <w:r w:rsidR="00435AA3">
        <w:t xml:space="preserve"> e un po’ di più. </w:t>
      </w:r>
      <w:r w:rsidR="00DF3A96">
        <w:t>Nonostante questa buona performance</w:t>
      </w:r>
      <w:r w:rsidR="00435AA3">
        <w:t xml:space="preserve">, </w:t>
      </w:r>
      <w:r w:rsidR="00FE193C">
        <w:t xml:space="preserve">il SCR </w:t>
      </w:r>
      <w:r w:rsidR="00587396">
        <w:t>è ancora al di sotto del</w:t>
      </w:r>
      <w:r w:rsidR="00435AA3">
        <w:t xml:space="preserve"> target PNRR 2026</w:t>
      </w:r>
      <w:r w:rsidR="00FE193C">
        <w:t>: SCR=</w:t>
      </w:r>
      <w:r w:rsidR="00435AA3">
        <w:t>1,20.</w:t>
      </w:r>
      <w:r w:rsidR="00E36A0E">
        <w:t xml:space="preserve"> </w:t>
      </w:r>
    </w:p>
    <w:p w14:paraId="32CE6196" w14:textId="77777777" w:rsidR="00EA1391" w:rsidRDefault="00EA1391" w:rsidP="00EA1391">
      <w:pPr>
        <w:pStyle w:val="Didascalia"/>
        <w:keepNext/>
      </w:pPr>
      <w:bookmarkStart w:id="2" w:name="_Toc126156032"/>
      <w:r w:rsidRPr="009235DF">
        <w:t xml:space="preserve">Tabella </w:t>
      </w:r>
      <w:r w:rsidRPr="009235DF">
        <w:rPr>
          <w:color w:val="2B579A"/>
          <w:shd w:val="clear" w:color="auto" w:fill="E6E6E6"/>
        </w:rPr>
        <w:fldChar w:fldCharType="begin"/>
      </w:r>
      <w:r w:rsidRPr="009235DF">
        <w:instrText>SEQ Tabella \* ARABIC</w:instrText>
      </w:r>
      <w:r w:rsidRPr="009235DF">
        <w:rPr>
          <w:color w:val="2B579A"/>
          <w:shd w:val="clear" w:color="auto" w:fill="E6E6E6"/>
        </w:rPr>
        <w:fldChar w:fldCharType="separate"/>
      </w:r>
      <w:r>
        <w:rPr>
          <w:noProof/>
        </w:rPr>
        <w:t>1</w:t>
      </w:r>
      <w:r w:rsidRPr="009235DF">
        <w:rPr>
          <w:color w:val="2B579A"/>
          <w:shd w:val="clear" w:color="auto" w:fill="E6E6E6"/>
        </w:rPr>
        <w:fldChar w:fldCharType="end"/>
      </w:r>
      <w:r w:rsidRPr="009235DF">
        <w:t xml:space="preserve"> Procedimenti iscritti, definiti e SCR del </w:t>
      </w:r>
      <w:r>
        <w:t xml:space="preserve">GIP del </w:t>
      </w:r>
      <w:r w:rsidRPr="009235DF">
        <w:t xml:space="preserve">Tribunale di Milano. Periodo: 2019 – </w:t>
      </w:r>
      <w:r>
        <w:t>2022</w:t>
      </w:r>
      <w:r w:rsidRPr="009235DF">
        <w:t xml:space="preserve"> (Fonte: elaborazioni da dati Ufficio Innovazione del Tribunale di Milano.)</w:t>
      </w:r>
      <w:bookmarkEnd w:id="2"/>
    </w:p>
    <w:tbl>
      <w:tblPr>
        <w:tblStyle w:val="Tabellasemplice-2"/>
        <w:tblW w:w="5000" w:type="pct"/>
        <w:tblLook w:val="04A0" w:firstRow="1" w:lastRow="0" w:firstColumn="1" w:lastColumn="0" w:noHBand="0" w:noVBand="1"/>
      </w:tblPr>
      <w:tblGrid>
        <w:gridCol w:w="2584"/>
        <w:gridCol w:w="1660"/>
        <w:gridCol w:w="1712"/>
        <w:gridCol w:w="1712"/>
        <w:gridCol w:w="1970"/>
      </w:tblGrid>
      <w:tr w:rsidR="00EA1391" w:rsidRPr="00625502" w14:paraId="4BD47E9A" w14:textId="77777777" w:rsidTr="00FE25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</w:tcPr>
          <w:p w14:paraId="32828498" w14:textId="77777777" w:rsidR="00EA1391" w:rsidRPr="00625502" w:rsidRDefault="00EA1391" w:rsidP="00FE25B3">
            <w:pPr>
              <w:jc w:val="center"/>
              <w:rPr>
                <w:rFonts w:cs="Calibri"/>
                <w:color w:val="000000" w:themeColor="text1"/>
                <w:sz w:val="15"/>
                <w:szCs w:val="15"/>
              </w:rPr>
            </w:pPr>
          </w:p>
        </w:tc>
        <w:tc>
          <w:tcPr>
            <w:tcW w:w="861" w:type="pct"/>
            <w:noWrap/>
          </w:tcPr>
          <w:p w14:paraId="54259189" w14:textId="77777777" w:rsidR="00EA1391" w:rsidRPr="00625502" w:rsidRDefault="00EA1391" w:rsidP="00FE25B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625502">
              <w:rPr>
                <w:rFonts w:cs="Calibri"/>
                <w:color w:val="000000" w:themeColor="text1"/>
                <w:sz w:val="15"/>
                <w:szCs w:val="15"/>
              </w:rPr>
              <w:t>2019</w:t>
            </w:r>
          </w:p>
        </w:tc>
        <w:tc>
          <w:tcPr>
            <w:tcW w:w="888" w:type="pct"/>
            <w:noWrap/>
          </w:tcPr>
          <w:p w14:paraId="404D1833" w14:textId="77777777" w:rsidR="00EA1391" w:rsidRPr="00625502" w:rsidRDefault="00EA1391" w:rsidP="00FE25B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625502">
              <w:rPr>
                <w:rFonts w:cs="Calibri"/>
                <w:color w:val="000000" w:themeColor="text1"/>
                <w:sz w:val="15"/>
                <w:szCs w:val="15"/>
              </w:rPr>
              <w:t>2020</w:t>
            </w:r>
          </w:p>
        </w:tc>
        <w:tc>
          <w:tcPr>
            <w:tcW w:w="888" w:type="pct"/>
            <w:noWrap/>
          </w:tcPr>
          <w:p w14:paraId="68A637CA" w14:textId="77777777" w:rsidR="00EA1391" w:rsidRPr="00625502" w:rsidRDefault="00EA1391" w:rsidP="00FE25B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625502">
              <w:rPr>
                <w:rFonts w:cs="Calibri"/>
                <w:color w:val="000000" w:themeColor="text1"/>
                <w:sz w:val="15"/>
                <w:szCs w:val="15"/>
              </w:rPr>
              <w:t>2021</w:t>
            </w:r>
          </w:p>
        </w:tc>
        <w:tc>
          <w:tcPr>
            <w:tcW w:w="1022" w:type="pct"/>
            <w:noWrap/>
          </w:tcPr>
          <w:p w14:paraId="4BB7235D" w14:textId="77777777" w:rsidR="00EA1391" w:rsidRPr="00625502" w:rsidRDefault="00EA1391" w:rsidP="00FE25B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625502">
              <w:rPr>
                <w:rFonts w:cs="Calibri"/>
                <w:color w:val="000000" w:themeColor="text1"/>
                <w:sz w:val="15"/>
                <w:szCs w:val="15"/>
              </w:rPr>
              <w:t>2022</w:t>
            </w:r>
          </w:p>
        </w:tc>
      </w:tr>
      <w:tr w:rsidR="00EA1391" w:rsidRPr="009235DF" w14:paraId="14055F2B" w14:textId="77777777" w:rsidTr="00FE25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</w:tcPr>
          <w:p w14:paraId="3209AF4A" w14:textId="77777777" w:rsidR="00EA1391" w:rsidRPr="009235DF" w:rsidRDefault="00EA1391" w:rsidP="00FE25B3">
            <w:pPr>
              <w:jc w:val="center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Iscritti</w:t>
            </w:r>
          </w:p>
        </w:tc>
        <w:tc>
          <w:tcPr>
            <w:tcW w:w="861" w:type="pct"/>
            <w:noWrap/>
          </w:tcPr>
          <w:p w14:paraId="38967F74" w14:textId="77777777" w:rsidR="00EA1391" w:rsidRPr="009235D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28</w:t>
            </w:r>
            <w:r>
              <w:rPr>
                <w:rFonts w:cs="Calibri"/>
                <w:color w:val="000000" w:themeColor="text1"/>
                <w:sz w:val="15"/>
                <w:szCs w:val="15"/>
              </w:rPr>
              <w:t>.</w:t>
            </w: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579</w:t>
            </w:r>
          </w:p>
        </w:tc>
        <w:tc>
          <w:tcPr>
            <w:tcW w:w="888" w:type="pct"/>
            <w:noWrap/>
          </w:tcPr>
          <w:p w14:paraId="00A44941" w14:textId="77777777" w:rsidR="00EA1391" w:rsidRPr="009235D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21</w:t>
            </w:r>
            <w:r>
              <w:rPr>
                <w:rFonts w:cs="Calibri"/>
                <w:color w:val="000000" w:themeColor="text1"/>
                <w:sz w:val="15"/>
                <w:szCs w:val="15"/>
              </w:rPr>
              <w:t>.</w:t>
            </w: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756</w:t>
            </w:r>
          </w:p>
        </w:tc>
        <w:tc>
          <w:tcPr>
            <w:tcW w:w="888" w:type="pct"/>
            <w:noWrap/>
          </w:tcPr>
          <w:p w14:paraId="399AFA5C" w14:textId="77777777" w:rsidR="00EA1391" w:rsidRPr="009235D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29.576</w:t>
            </w:r>
          </w:p>
        </w:tc>
        <w:tc>
          <w:tcPr>
            <w:tcW w:w="1022" w:type="pct"/>
            <w:noWrap/>
          </w:tcPr>
          <w:p w14:paraId="09837AA9" w14:textId="77777777" w:rsidR="00EA1391" w:rsidRPr="003A19C3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28.685</w:t>
            </w:r>
          </w:p>
        </w:tc>
      </w:tr>
      <w:tr w:rsidR="00EA1391" w:rsidRPr="009235DF" w14:paraId="3B37F2FF" w14:textId="77777777" w:rsidTr="00FE25B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</w:tcPr>
          <w:p w14:paraId="2D20A9D2" w14:textId="77777777" w:rsidR="00EA1391" w:rsidRPr="009235DF" w:rsidRDefault="00EA1391" w:rsidP="00FE25B3">
            <w:pPr>
              <w:jc w:val="center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Definiti</w:t>
            </w:r>
          </w:p>
        </w:tc>
        <w:tc>
          <w:tcPr>
            <w:tcW w:w="861" w:type="pct"/>
            <w:noWrap/>
          </w:tcPr>
          <w:p w14:paraId="591FB5C7" w14:textId="77777777" w:rsidR="00EA1391" w:rsidRPr="009235D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29.688</w:t>
            </w:r>
          </w:p>
        </w:tc>
        <w:tc>
          <w:tcPr>
            <w:tcW w:w="888" w:type="pct"/>
            <w:noWrap/>
          </w:tcPr>
          <w:p w14:paraId="308D80FD" w14:textId="77777777" w:rsidR="00EA1391" w:rsidRPr="009235D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19.621</w:t>
            </w:r>
          </w:p>
        </w:tc>
        <w:tc>
          <w:tcPr>
            <w:tcW w:w="888" w:type="pct"/>
            <w:noWrap/>
          </w:tcPr>
          <w:p w14:paraId="3F9A40C1" w14:textId="77777777" w:rsidR="00EA1391" w:rsidRPr="009235D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/>
                <w:bCs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28.687</w:t>
            </w:r>
          </w:p>
        </w:tc>
        <w:tc>
          <w:tcPr>
            <w:tcW w:w="1022" w:type="pct"/>
            <w:noWrap/>
          </w:tcPr>
          <w:p w14:paraId="1BB2F399" w14:textId="77777777" w:rsidR="00EA1391" w:rsidRPr="003A19C3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29.070</w:t>
            </w:r>
          </w:p>
        </w:tc>
      </w:tr>
      <w:tr w:rsidR="00EA1391" w:rsidRPr="009235DF" w14:paraId="0808325C" w14:textId="77777777" w:rsidTr="00FE25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</w:tcPr>
          <w:p w14:paraId="6C72063D" w14:textId="77777777" w:rsidR="00EA1391" w:rsidRDefault="00EA1391" w:rsidP="00FE25B3">
            <w:pPr>
              <w:jc w:val="center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 xml:space="preserve">Pendenti </w:t>
            </w:r>
          </w:p>
        </w:tc>
        <w:tc>
          <w:tcPr>
            <w:tcW w:w="861" w:type="pct"/>
            <w:noWrap/>
          </w:tcPr>
          <w:p w14:paraId="6D6637B0" w14:textId="77777777" w:rsidR="00EA1391" w:rsidRPr="00593F8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12.060</w:t>
            </w:r>
          </w:p>
        </w:tc>
        <w:tc>
          <w:tcPr>
            <w:tcW w:w="888" w:type="pct"/>
            <w:noWrap/>
          </w:tcPr>
          <w:p w14:paraId="05733993" w14:textId="77777777" w:rsidR="00EA1391" w:rsidRPr="00593F8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14.222</w:t>
            </w:r>
          </w:p>
        </w:tc>
        <w:tc>
          <w:tcPr>
            <w:tcW w:w="888" w:type="pct"/>
            <w:noWrap/>
          </w:tcPr>
          <w:p w14:paraId="30747FC4" w14:textId="77777777" w:rsidR="00EA1391" w:rsidRPr="00593F8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15.093</w:t>
            </w:r>
          </w:p>
        </w:tc>
        <w:tc>
          <w:tcPr>
            <w:tcW w:w="1022" w:type="pct"/>
            <w:noWrap/>
          </w:tcPr>
          <w:p w14:paraId="005640FF" w14:textId="77777777" w:rsidR="00EA1391" w:rsidRPr="003A19C3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AC3118">
              <w:rPr>
                <w:rFonts w:cs="Calibri"/>
                <w:color w:val="000000" w:themeColor="text1"/>
                <w:sz w:val="15"/>
                <w:szCs w:val="15"/>
              </w:rPr>
              <w:t>14</w:t>
            </w:r>
            <w:r>
              <w:rPr>
                <w:rFonts w:cs="Calibri"/>
                <w:color w:val="000000" w:themeColor="text1"/>
                <w:sz w:val="15"/>
                <w:szCs w:val="15"/>
              </w:rPr>
              <w:t>.</w:t>
            </w:r>
            <w:r w:rsidRPr="00AC3118">
              <w:rPr>
                <w:rFonts w:cs="Calibri"/>
                <w:color w:val="000000" w:themeColor="text1"/>
                <w:sz w:val="15"/>
                <w:szCs w:val="15"/>
              </w:rPr>
              <w:t>046</w:t>
            </w:r>
          </w:p>
        </w:tc>
      </w:tr>
      <w:tr w:rsidR="00EA1391" w:rsidRPr="00593F8F" w14:paraId="1D6313EC" w14:textId="77777777" w:rsidTr="00FE25B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  <w:hideMark/>
          </w:tcPr>
          <w:p w14:paraId="3D809DFC" w14:textId="77777777" w:rsidR="00EA1391" w:rsidRPr="00625502" w:rsidRDefault="00EA1391" w:rsidP="00FE25B3">
            <w:pPr>
              <w:jc w:val="center"/>
              <w:rPr>
                <w:rFonts w:cs="Calibri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i/>
                <w:iCs/>
                <w:color w:val="000000" w:themeColor="text1"/>
                <w:sz w:val="15"/>
                <w:szCs w:val="15"/>
              </w:rPr>
              <w:t>SCR</w:t>
            </w:r>
          </w:p>
        </w:tc>
        <w:tc>
          <w:tcPr>
            <w:tcW w:w="861" w:type="pct"/>
            <w:noWrap/>
            <w:hideMark/>
          </w:tcPr>
          <w:p w14:paraId="0A3994FF" w14:textId="77777777" w:rsidR="00EA1391" w:rsidRPr="00593F8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1,04</w:t>
            </w:r>
          </w:p>
        </w:tc>
        <w:tc>
          <w:tcPr>
            <w:tcW w:w="888" w:type="pct"/>
            <w:noWrap/>
            <w:hideMark/>
          </w:tcPr>
          <w:p w14:paraId="5E15B7A0" w14:textId="77777777" w:rsidR="00EA1391" w:rsidRPr="00593F8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9235DF">
              <w:rPr>
                <w:rFonts w:cs="Calibri"/>
                <w:color w:val="000000" w:themeColor="text1"/>
                <w:sz w:val="15"/>
                <w:szCs w:val="15"/>
              </w:rPr>
              <w:t>0,90</w:t>
            </w:r>
          </w:p>
        </w:tc>
        <w:tc>
          <w:tcPr>
            <w:tcW w:w="888" w:type="pct"/>
            <w:noWrap/>
            <w:hideMark/>
          </w:tcPr>
          <w:p w14:paraId="02326FC9" w14:textId="77777777" w:rsidR="00EA1391" w:rsidRPr="00593F8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0,97</w:t>
            </w:r>
          </w:p>
        </w:tc>
        <w:tc>
          <w:tcPr>
            <w:tcW w:w="1022" w:type="pct"/>
            <w:noWrap/>
            <w:hideMark/>
          </w:tcPr>
          <w:p w14:paraId="63F732C1" w14:textId="77777777" w:rsidR="00EA1391" w:rsidRPr="00593F8F" w:rsidRDefault="00EA1391" w:rsidP="00FE25B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color w:val="000000" w:themeColor="text1"/>
                <w:sz w:val="15"/>
                <w:szCs w:val="15"/>
              </w:rPr>
              <w:t>1,01</w:t>
            </w:r>
          </w:p>
        </w:tc>
      </w:tr>
      <w:tr w:rsidR="00EA1391" w:rsidRPr="00593F8F" w14:paraId="20C13D7E" w14:textId="77777777" w:rsidTr="00FE25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1" w:type="pct"/>
            <w:noWrap/>
          </w:tcPr>
          <w:p w14:paraId="7D000E3C" w14:textId="77777777" w:rsidR="00EA1391" w:rsidRDefault="00EA1391" w:rsidP="00FE25B3">
            <w:pPr>
              <w:jc w:val="center"/>
              <w:rPr>
                <w:rFonts w:cs="Calibri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Calibri"/>
                <w:i/>
                <w:iCs/>
                <w:color w:val="000000" w:themeColor="text1"/>
                <w:sz w:val="15"/>
                <w:szCs w:val="15"/>
              </w:rPr>
              <w:t>Disposition time</w:t>
            </w:r>
          </w:p>
        </w:tc>
        <w:tc>
          <w:tcPr>
            <w:tcW w:w="861" w:type="pct"/>
            <w:noWrap/>
          </w:tcPr>
          <w:p w14:paraId="062F1B45" w14:textId="77777777" w:rsidR="00EA1391" w:rsidRPr="009235D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148</w:t>
            </w:r>
          </w:p>
        </w:tc>
        <w:tc>
          <w:tcPr>
            <w:tcW w:w="888" w:type="pct"/>
            <w:noWrap/>
          </w:tcPr>
          <w:p w14:paraId="5835E920" w14:textId="77777777" w:rsidR="00EA1391" w:rsidRPr="009235DF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265</w:t>
            </w:r>
          </w:p>
        </w:tc>
        <w:tc>
          <w:tcPr>
            <w:tcW w:w="888" w:type="pct"/>
            <w:noWrap/>
          </w:tcPr>
          <w:p w14:paraId="273D6045" w14:textId="77777777" w:rsidR="00EA1391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192</w:t>
            </w:r>
          </w:p>
        </w:tc>
        <w:tc>
          <w:tcPr>
            <w:tcW w:w="1022" w:type="pct"/>
            <w:noWrap/>
          </w:tcPr>
          <w:p w14:paraId="78A30344" w14:textId="77777777" w:rsidR="00EA1391" w:rsidRDefault="00EA1391" w:rsidP="00FE25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color w:val="000000" w:themeColor="text1"/>
                <w:sz w:val="15"/>
                <w:szCs w:val="15"/>
              </w:rPr>
            </w:pPr>
            <w:r w:rsidRPr="00593F8F">
              <w:rPr>
                <w:rFonts w:cs="Calibri"/>
                <w:color w:val="000000" w:themeColor="text1"/>
                <w:sz w:val="15"/>
                <w:szCs w:val="15"/>
              </w:rPr>
              <w:t>176</w:t>
            </w:r>
          </w:p>
        </w:tc>
      </w:tr>
    </w:tbl>
    <w:p w14:paraId="3060D2EE" w14:textId="77777777" w:rsidR="00EA1391" w:rsidRDefault="00EA1391" w:rsidP="00EA1391">
      <w:pPr>
        <w:rPr>
          <w:i/>
          <w:iCs/>
          <w:sz w:val="18"/>
          <w:szCs w:val="18"/>
        </w:rPr>
      </w:pPr>
    </w:p>
    <w:p w14:paraId="099F1401" w14:textId="7FE8DA2C" w:rsidR="008001AA" w:rsidRDefault="008001AA" w:rsidP="008001AA">
      <w:r w:rsidRPr="00B609CB">
        <w:rPr>
          <w:highlight w:val="yellow"/>
        </w:rPr>
        <w:t xml:space="preserve">Nel 2020 il </w:t>
      </w:r>
      <w:r w:rsidR="004B6B14" w:rsidRPr="00B609CB">
        <w:rPr>
          <w:i/>
          <w:iCs/>
          <w:highlight w:val="yellow"/>
        </w:rPr>
        <w:t>disposition time</w:t>
      </w:r>
      <w:r w:rsidRPr="00B609CB">
        <w:rPr>
          <w:highlight w:val="yellow"/>
        </w:rPr>
        <w:t xml:space="preserve"> era quasi raddoppiato rispetto all’anno precedente. Tuttavia, lo stesso indicatore nel 2021 e soprattutto nel 2022 appare in </w:t>
      </w:r>
      <w:r w:rsidR="003751B3" w:rsidRPr="00B609CB">
        <w:rPr>
          <w:highlight w:val="yellow"/>
        </w:rPr>
        <w:t>decisa</w:t>
      </w:r>
      <w:r w:rsidRPr="00B609CB">
        <w:rPr>
          <w:highlight w:val="yellow"/>
        </w:rPr>
        <w:t xml:space="preserve"> </w:t>
      </w:r>
      <w:r w:rsidR="003751B3" w:rsidRPr="00B609CB">
        <w:rPr>
          <w:highlight w:val="yellow"/>
        </w:rPr>
        <w:t>riduzione</w:t>
      </w:r>
      <w:r w:rsidRPr="00B609CB">
        <w:rPr>
          <w:highlight w:val="yellow"/>
        </w:rPr>
        <w:t>. Il tempo medio per la definizione dei procedimenti è pari a 176 giorni</w:t>
      </w:r>
      <w:r w:rsidR="0023514E" w:rsidRPr="00B609CB">
        <w:rPr>
          <w:highlight w:val="yellow"/>
        </w:rPr>
        <w:t xml:space="preserve"> nel 2022</w:t>
      </w:r>
      <w:r w:rsidRPr="00B609CB">
        <w:rPr>
          <w:highlight w:val="yellow"/>
        </w:rPr>
        <w:t xml:space="preserve">, 89 in meno rispetto al 2020 ma ancora </w:t>
      </w:r>
      <w:r w:rsidR="00C1757D" w:rsidRPr="00B609CB">
        <w:rPr>
          <w:highlight w:val="yellow"/>
        </w:rPr>
        <w:t xml:space="preserve">un po’ </w:t>
      </w:r>
      <w:r w:rsidRPr="00B609CB">
        <w:rPr>
          <w:highlight w:val="yellow"/>
        </w:rPr>
        <w:t>superiore al dato registrato nel 2019 (148 giorni).</w:t>
      </w:r>
      <w:r>
        <w:t xml:space="preserve"> </w:t>
      </w:r>
    </w:p>
    <w:p w14:paraId="3B862F2F" w14:textId="61E551C9" w:rsidR="00132A6C" w:rsidRDefault="00011268" w:rsidP="005C36BF">
      <w:r w:rsidRPr="008C3F9E">
        <w:rPr>
          <w:highlight w:val="yellow"/>
        </w:rPr>
        <w:t>Un altro parametro rilevante è costituito da</w:t>
      </w:r>
      <w:r w:rsidR="00685550" w:rsidRPr="008C3F9E">
        <w:rPr>
          <w:highlight w:val="yellow"/>
        </w:rPr>
        <w:t>i fascicoli pendenti</w:t>
      </w:r>
      <w:r w:rsidR="00B63EDA" w:rsidRPr="008C3F9E">
        <w:rPr>
          <w:highlight w:val="yellow"/>
        </w:rPr>
        <w:t xml:space="preserve">. </w:t>
      </w:r>
      <w:r w:rsidR="00685550" w:rsidRPr="008C3F9E">
        <w:rPr>
          <w:highlight w:val="yellow"/>
        </w:rPr>
        <w:t>Da questo punto di vista</w:t>
      </w:r>
      <w:r w:rsidR="00BC5214" w:rsidRPr="008C3F9E">
        <w:rPr>
          <w:highlight w:val="yellow"/>
        </w:rPr>
        <w:t xml:space="preserve"> </w:t>
      </w:r>
      <w:r w:rsidR="004E7572" w:rsidRPr="008C3F9E">
        <w:rPr>
          <w:highlight w:val="yellow"/>
        </w:rPr>
        <w:t>i dati mostrano una crescita</w:t>
      </w:r>
      <w:r w:rsidR="00B10A33" w:rsidRPr="008C3F9E">
        <w:rPr>
          <w:highlight w:val="yellow"/>
        </w:rPr>
        <w:t xml:space="preserve"> dal 2019 </w:t>
      </w:r>
      <w:r w:rsidR="00326C7C" w:rsidRPr="008C3F9E">
        <w:rPr>
          <w:highlight w:val="yellow"/>
        </w:rPr>
        <w:t>fino al 2021</w:t>
      </w:r>
      <w:r w:rsidR="00E62121" w:rsidRPr="008C3F9E">
        <w:rPr>
          <w:highlight w:val="yellow"/>
        </w:rPr>
        <w:t xml:space="preserve">, </w:t>
      </w:r>
      <w:r w:rsidR="001118C2" w:rsidRPr="008C3F9E">
        <w:rPr>
          <w:highlight w:val="yellow"/>
        </w:rPr>
        <w:t>e una</w:t>
      </w:r>
      <w:r w:rsidR="008C3F9E" w:rsidRPr="008C3F9E">
        <w:rPr>
          <w:highlight w:val="yellow"/>
        </w:rPr>
        <w:t xml:space="preserve"> inversione di tendenza </w:t>
      </w:r>
      <w:r w:rsidR="00B609CB">
        <w:rPr>
          <w:highlight w:val="yellow"/>
        </w:rPr>
        <w:t>nel 2022</w:t>
      </w:r>
      <w:r w:rsidR="00F86D47" w:rsidRPr="008C3F9E">
        <w:rPr>
          <w:highlight w:val="yellow"/>
        </w:rPr>
        <w:t xml:space="preserve">. </w:t>
      </w:r>
      <w:r w:rsidR="00620ECB" w:rsidRPr="008C3F9E">
        <w:rPr>
          <w:highlight w:val="yellow"/>
        </w:rPr>
        <w:t xml:space="preserve">Si tratta </w:t>
      </w:r>
      <w:r w:rsidR="0023514E" w:rsidRPr="008C3F9E">
        <w:rPr>
          <w:highlight w:val="yellow"/>
        </w:rPr>
        <w:t xml:space="preserve">di </w:t>
      </w:r>
      <w:r w:rsidR="00750346">
        <w:rPr>
          <w:highlight w:val="yellow"/>
        </w:rPr>
        <w:t>un dato</w:t>
      </w:r>
      <w:r w:rsidR="0023514E" w:rsidRPr="008C3F9E">
        <w:rPr>
          <w:highlight w:val="yellow"/>
        </w:rPr>
        <w:t xml:space="preserve"> </w:t>
      </w:r>
      <w:r w:rsidR="00D11E21" w:rsidRPr="008C3F9E">
        <w:rPr>
          <w:highlight w:val="yellow"/>
        </w:rPr>
        <w:t xml:space="preserve">ancora </w:t>
      </w:r>
      <w:r w:rsidR="00DB0C64" w:rsidRPr="008C3F9E">
        <w:rPr>
          <w:highlight w:val="yellow"/>
        </w:rPr>
        <w:t>critic</w:t>
      </w:r>
      <w:r w:rsidR="00750346">
        <w:rPr>
          <w:highlight w:val="yellow"/>
        </w:rPr>
        <w:t>o</w:t>
      </w:r>
      <w:r w:rsidR="0023514E" w:rsidRPr="008C3F9E">
        <w:rPr>
          <w:highlight w:val="yellow"/>
        </w:rPr>
        <w:t xml:space="preserve">, ma </w:t>
      </w:r>
      <w:r w:rsidR="003036B7" w:rsidRPr="008C3F9E">
        <w:rPr>
          <w:highlight w:val="yellow"/>
        </w:rPr>
        <w:t>in miglioramento</w:t>
      </w:r>
      <w:r w:rsidR="00810BA6" w:rsidRPr="008C3F9E">
        <w:rPr>
          <w:highlight w:val="yellow"/>
        </w:rPr>
        <w:t xml:space="preserve"> e da consolidare in futuro. Sul fronte delle pendenze </w:t>
      </w:r>
      <w:r w:rsidR="002476FB">
        <w:rPr>
          <w:highlight w:val="yellow"/>
        </w:rPr>
        <w:t xml:space="preserve">vanno </w:t>
      </w:r>
      <w:r w:rsidR="00810BA6" w:rsidRPr="008C3F9E">
        <w:rPr>
          <w:highlight w:val="yellow"/>
        </w:rPr>
        <w:t xml:space="preserve">tuttavia </w:t>
      </w:r>
      <w:r w:rsidR="002476FB">
        <w:rPr>
          <w:highlight w:val="yellow"/>
        </w:rPr>
        <w:t xml:space="preserve">anche segnalate le </w:t>
      </w:r>
      <w:r w:rsidR="00810BA6" w:rsidRPr="008C3F9E">
        <w:rPr>
          <w:highlight w:val="yellow"/>
        </w:rPr>
        <w:t>problematiche relative alla qualit</w:t>
      </w:r>
      <w:r w:rsidR="004C5D9E" w:rsidRPr="008C3F9E">
        <w:rPr>
          <w:highlight w:val="yellow"/>
        </w:rPr>
        <w:t xml:space="preserve">à dei dati, dovuta sia alla </w:t>
      </w:r>
      <w:r w:rsidR="0038252E" w:rsidRPr="008C3F9E">
        <w:rPr>
          <w:highlight w:val="yellow"/>
        </w:rPr>
        <w:t>difficoltà di migrazione tra due sistemi informatici (l’antico Re.Ge. e il nuovo SICP)</w:t>
      </w:r>
      <w:r w:rsidR="004C5D9E" w:rsidRPr="008C3F9E">
        <w:rPr>
          <w:highlight w:val="yellow"/>
        </w:rPr>
        <w:t xml:space="preserve"> sia alla necessità di </w:t>
      </w:r>
      <w:r w:rsidR="00C87A12">
        <w:rPr>
          <w:highlight w:val="yellow"/>
        </w:rPr>
        <w:t>eliminazione delle</w:t>
      </w:r>
      <w:r w:rsidR="004C5D9E" w:rsidRPr="008C3F9E">
        <w:rPr>
          <w:highlight w:val="yellow"/>
        </w:rPr>
        <w:t xml:space="preserve"> false </w:t>
      </w:r>
      <w:r w:rsidR="004C5D9E" w:rsidRPr="0066058A">
        <w:rPr>
          <w:highlight w:val="yellow"/>
        </w:rPr>
        <w:t>pendenze</w:t>
      </w:r>
      <w:r w:rsidR="00CA742A" w:rsidRPr="0066058A">
        <w:rPr>
          <w:highlight w:val="yellow"/>
        </w:rPr>
        <w:t>.</w:t>
      </w:r>
      <w:r w:rsidR="00ED63BF" w:rsidRPr="0066058A">
        <w:rPr>
          <w:highlight w:val="yellow"/>
        </w:rPr>
        <w:t xml:space="preserve"> Su questo fronte è in corso un lavoro straordinario di bonifica</w:t>
      </w:r>
      <w:r w:rsidR="00343EC4" w:rsidRPr="0066058A">
        <w:rPr>
          <w:highlight w:val="yellow"/>
        </w:rPr>
        <w:t xml:space="preserve"> </w:t>
      </w:r>
      <w:r w:rsidR="00B732EE" w:rsidRPr="0066058A">
        <w:rPr>
          <w:highlight w:val="yellow"/>
        </w:rPr>
        <w:t xml:space="preserve">dell’archivio, per </w:t>
      </w:r>
      <w:r w:rsidR="002476FB" w:rsidRPr="0066058A">
        <w:rPr>
          <w:highlight w:val="yellow"/>
        </w:rPr>
        <w:t xml:space="preserve">depurare le </w:t>
      </w:r>
      <w:r w:rsidR="0066058A" w:rsidRPr="0066058A">
        <w:rPr>
          <w:highlight w:val="yellow"/>
        </w:rPr>
        <w:t xml:space="preserve">situazioni reali di arretrato </w:t>
      </w:r>
      <w:r w:rsidR="00C87A12">
        <w:rPr>
          <w:highlight w:val="yellow"/>
        </w:rPr>
        <w:t>e disporre quindi di statistiche aggiornate e affidabili</w:t>
      </w:r>
      <w:r w:rsidR="0066058A" w:rsidRPr="0066058A">
        <w:rPr>
          <w:highlight w:val="yellow"/>
        </w:rPr>
        <w:t>.</w:t>
      </w:r>
    </w:p>
    <w:p w14:paraId="201EA186" w14:textId="0106D235" w:rsidR="00BC5214" w:rsidRPr="00117FC4" w:rsidRDefault="00A9107D" w:rsidP="00117FC4">
      <w:pPr>
        <w:rPr>
          <w:b/>
          <w:bCs/>
          <w:i/>
          <w:iCs/>
        </w:rPr>
      </w:pPr>
      <w:r w:rsidRPr="00117FC4">
        <w:rPr>
          <w:b/>
          <w:bCs/>
          <w:i/>
          <w:iCs/>
        </w:rPr>
        <w:t>Prime evidenze de</w:t>
      </w:r>
      <w:r w:rsidR="00212A27" w:rsidRPr="00117FC4">
        <w:rPr>
          <w:b/>
          <w:bCs/>
          <w:i/>
          <w:iCs/>
        </w:rPr>
        <w:t>l</w:t>
      </w:r>
      <w:r w:rsidR="006D7A66" w:rsidRPr="00117FC4">
        <w:rPr>
          <w:b/>
          <w:bCs/>
          <w:i/>
          <w:iCs/>
        </w:rPr>
        <w:t xml:space="preserve"> contributo degli AUPP</w:t>
      </w:r>
    </w:p>
    <w:p w14:paraId="68F4EEA6" w14:textId="291A4C86" w:rsidR="001F0037" w:rsidRDefault="006D7A66" w:rsidP="001F0037">
      <w:r>
        <w:lastRenderedPageBreak/>
        <w:t xml:space="preserve">Gli AUPP </w:t>
      </w:r>
      <w:r w:rsidR="00FE1DD1">
        <w:t xml:space="preserve">sono stati </w:t>
      </w:r>
      <w:r>
        <w:t>impiegati in vari</w:t>
      </w:r>
      <w:r w:rsidR="00CB77A6">
        <w:t xml:space="preserve"> step del procedimento giudiziario, a supporto del singolo giudice o delle cancellerie o tramite soluzioni intermedie. </w:t>
      </w:r>
      <w:r w:rsidR="00C76D9F" w:rsidRPr="005C22D8">
        <w:t xml:space="preserve">Nel caso del GIP, </w:t>
      </w:r>
      <w:r w:rsidR="00E2599A" w:rsidRPr="005C22D8">
        <w:t xml:space="preserve">gli AUPP sono stati </w:t>
      </w:r>
      <w:r w:rsidR="00AD3250">
        <w:t xml:space="preserve">in primo luogo </w:t>
      </w:r>
      <w:r w:rsidR="00F85E8C">
        <w:t>dedicati a</w:t>
      </w:r>
      <w:r w:rsidR="00E2599A" w:rsidRPr="005C22D8">
        <w:t xml:space="preserve"> </w:t>
      </w:r>
      <w:r w:rsidR="00DF7CF5" w:rsidRPr="005C22D8">
        <w:t xml:space="preserve">supportare </w:t>
      </w:r>
      <w:r w:rsidR="00F85E8C">
        <w:t xml:space="preserve">l’attività di gestione </w:t>
      </w:r>
      <w:r w:rsidR="00DF7CF5" w:rsidRPr="005C22D8">
        <w:t xml:space="preserve">di </w:t>
      </w:r>
      <w:r w:rsidR="00F85E8C">
        <w:t xml:space="preserve">alcune </w:t>
      </w:r>
      <w:r w:rsidR="00DF7CF5" w:rsidRPr="005C22D8">
        <w:t>categorie di procediment</w:t>
      </w:r>
      <w:r w:rsidR="00C75387">
        <w:t xml:space="preserve">i, quali </w:t>
      </w:r>
      <w:r w:rsidR="00136FC9">
        <w:t>le richieste di archiviazione, che</w:t>
      </w:r>
      <w:r w:rsidR="00DF7CF5" w:rsidRPr="005C22D8">
        <w:t xml:space="preserve"> </w:t>
      </w:r>
      <w:r w:rsidR="00D37B60">
        <w:t>nel 2020</w:t>
      </w:r>
      <w:r w:rsidR="00433DB4">
        <w:t>,</w:t>
      </w:r>
      <w:r w:rsidR="00D37B60">
        <w:t xml:space="preserve"> erano state rallentate per dare priorità ad altre </w:t>
      </w:r>
      <w:r w:rsidR="00433DB4">
        <w:t>inderogabil</w:t>
      </w:r>
      <w:r w:rsidR="00CB77A6">
        <w:t>i</w:t>
      </w:r>
      <w:r w:rsidR="00433DB4">
        <w:t>.</w:t>
      </w:r>
      <w:r w:rsidR="00D0481B">
        <w:t xml:space="preserve"> Per valutare l’impatto degli AUPP sulle </w:t>
      </w:r>
      <w:r w:rsidR="00136FC9">
        <w:t>attività che hanno</w:t>
      </w:r>
      <w:r w:rsidR="000331E3">
        <w:t xml:space="preserve"> previsto un loro apporto consistente</w:t>
      </w:r>
      <w:r w:rsidR="00763285">
        <w:t xml:space="preserve"> nei primi dieci mesi (febbraio-dicembre 2022)</w:t>
      </w:r>
      <w:r w:rsidR="000331E3">
        <w:t xml:space="preserve"> </w:t>
      </w:r>
      <w:r w:rsidR="00E510F6">
        <w:t>abbiamo realizzato</w:t>
      </w:r>
      <w:r w:rsidR="00863B9D">
        <w:t xml:space="preserve"> un’analisi </w:t>
      </w:r>
      <w:r w:rsidR="00513B75">
        <w:t>dei tempi delle fasi gestite con il supporto degli AUPP,</w:t>
      </w:r>
      <w:r w:rsidR="001F0037">
        <w:t xml:space="preserve"> che sono stati poi comparati con</w:t>
      </w:r>
      <w:r w:rsidR="000B26C2">
        <w:t xml:space="preserve"> i tempi del</w:t>
      </w:r>
      <w:r w:rsidR="001F0037">
        <w:t>le medesime fasi gestite nello stesso periodo dell’anno precedente</w:t>
      </w:r>
      <w:r w:rsidR="00A020C6">
        <w:t xml:space="preserve">, </w:t>
      </w:r>
      <w:r w:rsidR="001F0037">
        <w:t>quando gli AUPP non erano ancora in servizio.</w:t>
      </w:r>
      <w:r w:rsidR="00513B75">
        <w:t xml:space="preserve"> </w:t>
      </w:r>
      <w:r w:rsidR="001F0037">
        <w:t xml:space="preserve">I tempi sono stati calcolati sulla base </w:t>
      </w:r>
      <w:r w:rsidR="002B26B9">
        <w:t xml:space="preserve">della registrazione </w:t>
      </w:r>
      <w:r w:rsidR="001F0037">
        <w:t xml:space="preserve">degli eventi che identificano l’inizio e la conclusione della fase </w:t>
      </w:r>
      <w:r w:rsidR="002B26B9">
        <w:t xml:space="preserve">sul </w:t>
      </w:r>
      <w:r w:rsidR="001F0037">
        <w:t xml:space="preserve">sistema </w:t>
      </w:r>
      <w:r w:rsidR="002B26B9">
        <w:t>SICP</w:t>
      </w:r>
      <w:r w:rsidR="000B26C2">
        <w:t>, estratti dall’Ufficio Innovazione del Tribunale di Milano.</w:t>
      </w:r>
    </w:p>
    <w:p w14:paraId="4DF63FC4" w14:textId="6DCA4BB9" w:rsidR="00BF5029" w:rsidRDefault="001F0037" w:rsidP="001F0037">
      <w:r>
        <w:t>L’analisi</w:t>
      </w:r>
      <w:r w:rsidR="000F441F">
        <w:t xml:space="preserve">, </w:t>
      </w:r>
      <w:r w:rsidR="006B42F5">
        <w:t>che ha riguardato i</w:t>
      </w:r>
      <w:r>
        <w:t xml:space="preserve"> procedimenti con richiesta di archiviazione</w:t>
      </w:r>
      <w:r w:rsidR="00415ABB">
        <w:t xml:space="preserve"> contro noti</w:t>
      </w:r>
      <w:r w:rsidR="000F441F">
        <w:t>,</w:t>
      </w:r>
      <w:r>
        <w:t xml:space="preserve"> mostra </w:t>
      </w:r>
      <w:r w:rsidR="000F441F">
        <w:t>una riduzione considerevole dei tempi</w:t>
      </w:r>
      <w:r w:rsidR="00C53107">
        <w:t xml:space="preserve"> </w:t>
      </w:r>
      <w:r w:rsidR="00001B6D">
        <w:t>di tutte le fasi</w:t>
      </w:r>
      <w:r w:rsidR="00F470E4">
        <w:t xml:space="preserve"> analizzat</w:t>
      </w:r>
      <w:r w:rsidR="00001B6D">
        <w:t>e</w:t>
      </w:r>
      <w:r w:rsidR="00194B60">
        <w:t xml:space="preserve"> (nella </w:t>
      </w:r>
      <w:r w:rsidR="007875DE">
        <w:t>Figura 1</w:t>
      </w:r>
      <w:r w:rsidR="00194B60">
        <w:t xml:space="preserve"> le fasi sono identificate </w:t>
      </w:r>
      <w:r w:rsidR="00F82C62">
        <w:t xml:space="preserve">con etichette </w:t>
      </w:r>
      <w:r w:rsidR="00194B60">
        <w:t>da 1 a 6 e corrispondono a vari stadi del procedimento</w:t>
      </w:r>
      <w:r w:rsidR="006D4491">
        <w:t>, come rilevat</w:t>
      </w:r>
      <w:r w:rsidR="00600D4C">
        <w:t>i</w:t>
      </w:r>
      <w:r w:rsidR="006D4491">
        <w:t xml:space="preserve"> dal sistema SICP)</w:t>
      </w:r>
      <w:r w:rsidR="00434685">
        <w:t>.</w:t>
      </w:r>
      <w:r w:rsidR="00390AA4">
        <w:t xml:space="preserve"> Q</w:t>
      </w:r>
      <w:r>
        <w:t>uesta prima analisi mostra un impatto positivo dell’impiego degli AUPP</w:t>
      </w:r>
      <w:r w:rsidR="00633BD8">
        <w:t xml:space="preserve"> sui tempi di gestione dei procedimenti di giustizia cui hanno contribuito</w:t>
      </w:r>
      <w:r w:rsidR="00BF5029">
        <w:t xml:space="preserve">, con una </w:t>
      </w:r>
      <w:r w:rsidR="00861C3C">
        <w:t>riduzione</w:t>
      </w:r>
      <w:r w:rsidR="00BF5029">
        <w:t xml:space="preserve"> dei tempi pari a</w:t>
      </w:r>
      <w:r w:rsidR="00570AF8">
        <w:t>l</w:t>
      </w:r>
      <w:r w:rsidR="00BF5029">
        <w:t xml:space="preserve"> 59%</w:t>
      </w:r>
      <w:r w:rsidR="005326AB">
        <w:t xml:space="preserve"> rispetto al medesimo periodo dell’anno precedente</w:t>
      </w:r>
      <w:r w:rsidR="00BF5029">
        <w:t>.</w:t>
      </w:r>
      <w:r w:rsidR="00633BD8">
        <w:t xml:space="preserve"> </w:t>
      </w:r>
    </w:p>
    <w:p w14:paraId="64AFBD43" w14:textId="5609BA9D" w:rsidR="007875DE" w:rsidRDefault="007875DE" w:rsidP="007875DE">
      <w:pPr>
        <w:pStyle w:val="Didascalia"/>
        <w:keepNext/>
      </w:pPr>
      <w:r>
        <w:t xml:space="preserve">Figura </w:t>
      </w:r>
      <w:r>
        <w:fldChar w:fldCharType="begin"/>
      </w:r>
      <w:r>
        <w:instrText>SEQ Figura \* ARABIC</w:instrText>
      </w:r>
      <w:r>
        <w:fldChar w:fldCharType="separate"/>
      </w:r>
      <w:r>
        <w:rPr>
          <w:noProof/>
        </w:rPr>
        <w:t>1</w:t>
      </w:r>
      <w:r>
        <w:fldChar w:fldCharType="end"/>
      </w:r>
      <w:r>
        <w:t xml:space="preserve"> Riduzione nei tempi delle fasi dei procedimenti con richiesta di archiviazione contro noti del</w:t>
      </w:r>
      <w:r w:rsidRPr="009235DF">
        <w:t xml:space="preserve"> </w:t>
      </w:r>
      <w:r>
        <w:t xml:space="preserve">GIP del </w:t>
      </w:r>
      <w:r w:rsidRPr="009235DF">
        <w:t xml:space="preserve">Tribunale di Milano. </w:t>
      </w:r>
      <w:r>
        <w:t xml:space="preserve">Confronto tra procedimenti trattati con il supporto degli AUPP e senza. </w:t>
      </w:r>
      <w:r w:rsidRPr="009235DF">
        <w:t xml:space="preserve">Periodo: </w:t>
      </w:r>
      <w:r w:rsidRPr="005F36DB">
        <w:t>Gruppo 1 = eventi tra 01/05/21 e 29/04/22</w:t>
      </w:r>
      <w:r>
        <w:t>,</w:t>
      </w:r>
      <w:r w:rsidRPr="005F36DB">
        <w:t xml:space="preserve"> Gruppo 2 = eventi dopo 01/05/2022</w:t>
      </w:r>
      <w:r>
        <w:t xml:space="preserve"> e fino a </w:t>
      </w:r>
      <w:r w:rsidR="00751C12">
        <w:t>gennaio</w:t>
      </w:r>
      <w:r>
        <w:t xml:space="preserve"> 202</w:t>
      </w:r>
      <w:r w:rsidR="00751C12">
        <w:t>3</w:t>
      </w:r>
      <w:r>
        <w:t>.</w:t>
      </w:r>
      <w:r w:rsidRPr="005F36DB">
        <w:t xml:space="preserve"> </w:t>
      </w:r>
      <w:r w:rsidRPr="009235DF">
        <w:t>(Fonte: elaborazioni da dati Ufficio Innovazione del Tribunale di Milano)</w:t>
      </w:r>
    </w:p>
    <w:p w14:paraId="55881370" w14:textId="03BAED6A" w:rsidR="008F2A03" w:rsidRDefault="008F2A03" w:rsidP="008F2A03">
      <w:r>
        <w:rPr>
          <w:noProof/>
        </w:rPr>
        <w:drawing>
          <wp:inline distT="0" distB="0" distL="0" distR="0" wp14:anchorId="17682D79" wp14:editId="2EB8D472">
            <wp:extent cx="5688330" cy="2883535"/>
            <wp:effectExtent l="0" t="0" r="762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288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BA35B0" w14:textId="6AC4C0A0" w:rsidR="009239F8" w:rsidRDefault="00E25E98" w:rsidP="009239F8">
      <w:r>
        <w:t xml:space="preserve">Si tratta di risultati incoraggianti. </w:t>
      </w:r>
      <w:r w:rsidR="009239F8" w:rsidRPr="009239F8">
        <w:t>Nelle prossime fasi del progetto Next Generation UPP ci proponiamo di estendere l’analisi ad altri tipi di procedimenti</w:t>
      </w:r>
      <w:r w:rsidR="009239F8">
        <w:t xml:space="preserve">, con l’obiettivo di comparare </w:t>
      </w:r>
      <w:r w:rsidR="00F701CB">
        <w:t xml:space="preserve">i risultati in relazione alle </w:t>
      </w:r>
      <w:r w:rsidR="000E1820">
        <w:t>diverse soluzioni organizzative adottate</w:t>
      </w:r>
      <w:r w:rsidR="00F701CB">
        <w:t>.</w:t>
      </w:r>
    </w:p>
    <w:p w14:paraId="11521C68" w14:textId="2572C71A" w:rsidR="00DE1CDF" w:rsidRDefault="00690EF2" w:rsidP="00E44366">
      <w:pPr>
        <w:pStyle w:val="Titolo1"/>
      </w:pPr>
      <w:r>
        <w:t>Un’analisi predittiva: gli obiettivi PNRR</w:t>
      </w:r>
      <w:r w:rsidR="005D1709">
        <w:t>-UPP</w:t>
      </w:r>
      <w:r>
        <w:t xml:space="preserve"> verranno raggiunti?</w:t>
      </w:r>
    </w:p>
    <w:p w14:paraId="79CF427D" w14:textId="509C075E" w:rsidR="00553EB2" w:rsidRDefault="00166920" w:rsidP="00E9303F">
      <w:r>
        <w:t>L</w:t>
      </w:r>
      <w:r w:rsidR="00E9303F">
        <w:t>a capacità di raggiungere gli obiettivi stabiliti dal progetto PNRR-UPP</w:t>
      </w:r>
      <w:r w:rsidR="00B168F1">
        <w:t xml:space="preserve"> per il 2026,</w:t>
      </w:r>
      <w:r w:rsidR="00E9303F">
        <w:t xml:space="preserve"> </w:t>
      </w:r>
      <w:r w:rsidR="0046389A">
        <w:t xml:space="preserve">per </w:t>
      </w:r>
      <w:r w:rsidR="00E9303F">
        <w:t>la sezione GIP</w:t>
      </w:r>
      <w:r w:rsidR="00DC5B36">
        <w:t xml:space="preserve">, </w:t>
      </w:r>
      <w:r>
        <w:t xml:space="preserve">può essere analizzata a partire da </w:t>
      </w:r>
      <w:r w:rsidR="00DC5B36">
        <w:t xml:space="preserve">due prospettive: </w:t>
      </w:r>
      <w:r w:rsidR="00DC5B36" w:rsidRPr="00A03016">
        <w:rPr>
          <w:highlight w:val="yellow"/>
        </w:rPr>
        <w:t xml:space="preserve">quella a produttività costante (cioè con un andamento delle definizioni pari a quello in media registrato nell’ultimo </w:t>
      </w:r>
      <w:r w:rsidR="00B76C4E" w:rsidRPr="00A03016">
        <w:rPr>
          <w:highlight w:val="yellow"/>
        </w:rPr>
        <w:t>biennio</w:t>
      </w:r>
      <w:r w:rsidR="00DC5B36" w:rsidRPr="00A03016">
        <w:rPr>
          <w:highlight w:val="yellow"/>
        </w:rPr>
        <w:t>)</w:t>
      </w:r>
      <w:r w:rsidR="00DC5B36">
        <w:t xml:space="preserve"> e </w:t>
      </w:r>
      <w:r w:rsidR="009148ED">
        <w:t xml:space="preserve">quella che stima </w:t>
      </w:r>
      <w:r w:rsidR="009148ED">
        <w:lastRenderedPageBreak/>
        <w:t xml:space="preserve">la produttività necessaria a conseguire i target PNRR-UPP nel 2026. </w:t>
      </w:r>
      <w:r w:rsidR="00E9303F">
        <w:t xml:space="preserve"> </w:t>
      </w:r>
      <w:r w:rsidR="007F0F0A">
        <w:t>I</w:t>
      </w:r>
      <w:r w:rsidR="00A854DF">
        <w:t xml:space="preserve"> risultati sono sintetizzati nella Figura 2</w:t>
      </w:r>
      <w:r w:rsidR="007F0F0A">
        <w:rPr>
          <w:rStyle w:val="Rimandonotaapidipagina"/>
        </w:rPr>
        <w:footnoteReference w:id="9"/>
      </w:r>
      <w:r w:rsidR="00DC5B36">
        <w:t>.</w:t>
      </w:r>
      <w:r w:rsidR="0046389A">
        <w:t xml:space="preserve"> </w:t>
      </w:r>
      <w:bookmarkStart w:id="3" w:name="_Toc126156007"/>
    </w:p>
    <w:p w14:paraId="7252000D" w14:textId="12848C76" w:rsidR="007875DE" w:rsidRDefault="007875DE" w:rsidP="007875DE">
      <w:pPr>
        <w:pStyle w:val="Didascalia"/>
        <w:keepNext/>
      </w:pPr>
      <w:r>
        <w:t xml:space="preserve">Figura </w:t>
      </w:r>
      <w:r>
        <w:fldChar w:fldCharType="begin"/>
      </w:r>
      <w:r>
        <w:instrText>SEQ Figura \* ARABIC</w:instrText>
      </w:r>
      <w:r>
        <w:fldChar w:fldCharType="separate"/>
      </w:r>
      <w:r>
        <w:rPr>
          <w:noProof/>
        </w:rPr>
        <w:t>2</w:t>
      </w:r>
      <w:r>
        <w:fldChar w:fldCharType="end"/>
      </w:r>
      <w:r>
        <w:t xml:space="preserve"> </w:t>
      </w:r>
      <w:r w:rsidRPr="006E57B9">
        <w:t xml:space="preserve">Trend </w:t>
      </w:r>
      <w:r>
        <w:t>del numero di fascicoli</w:t>
      </w:r>
      <w:r w:rsidRPr="006E57B9">
        <w:t xml:space="preserve"> definiti</w:t>
      </w:r>
      <w:r w:rsidR="00F618F0">
        <w:t xml:space="preserve"> e pendenti</w:t>
      </w:r>
      <w:r w:rsidRPr="006E57B9">
        <w:t xml:space="preserve"> a produttività costante e a produttività target SCR =1,20</w:t>
      </w:r>
      <w:r>
        <w:t xml:space="preserve">. </w:t>
      </w:r>
      <w:r w:rsidRPr="009235DF">
        <w:t xml:space="preserve">Periodo: 2019 – </w:t>
      </w:r>
      <w:r>
        <w:t>2026</w:t>
      </w:r>
      <w:r w:rsidRPr="009235DF">
        <w:t xml:space="preserve"> (Fonte: elaborazioni da dati Ufficio Innovazione del Tribunale di Milano)</w:t>
      </w:r>
    </w:p>
    <w:p w14:paraId="0CAA3F41" w14:textId="0A7F0B63" w:rsidR="00FF0357" w:rsidRDefault="003E412D" w:rsidP="00EE176C">
      <w:pPr>
        <w:pStyle w:val="Titolo4"/>
      </w:pPr>
      <w:r>
        <w:rPr>
          <w:noProof/>
        </w:rPr>
        <w:drawing>
          <wp:inline distT="0" distB="0" distL="0" distR="0" wp14:anchorId="46E48A50" wp14:editId="0CFA0E50">
            <wp:extent cx="6120130" cy="2342515"/>
            <wp:effectExtent l="0" t="0" r="13970" b="635"/>
            <wp:docPr id="1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B16D015A-9311-4759-A9A9-31614EC23F0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613FB8C6" w14:textId="5690D0E2" w:rsidR="00553EB2" w:rsidRDefault="00DB509D" w:rsidP="00EE176C">
      <w:pPr>
        <w:pStyle w:val="Titolo4"/>
      </w:pPr>
      <w:r w:rsidRPr="009235DF">
        <w:t>Proiezion</w:t>
      </w:r>
      <w:r w:rsidR="00CB491B">
        <w:t>e</w:t>
      </w:r>
      <w:r w:rsidRPr="009235DF">
        <w:t xml:space="preserve"> a produttività costante</w:t>
      </w:r>
      <w:bookmarkEnd w:id="3"/>
    </w:p>
    <w:p w14:paraId="0082BFA1" w14:textId="08756F01" w:rsidR="001C060B" w:rsidRDefault="00E0196E" w:rsidP="000170C5">
      <w:r>
        <w:t>Se ipotizziamo una</w:t>
      </w:r>
      <w:r w:rsidR="00EE54EE">
        <w:t xml:space="preserve"> produttività costante</w:t>
      </w:r>
      <w:r w:rsidR="00EE3672">
        <w:t xml:space="preserve"> del</w:t>
      </w:r>
      <w:r>
        <w:t>l’ufficio</w:t>
      </w:r>
      <w:r w:rsidR="00EE3672">
        <w:t xml:space="preserve"> GIP </w:t>
      </w:r>
      <w:r>
        <w:t>(cioè il medesimo rapporto definiti</w:t>
      </w:r>
      <w:r w:rsidR="009F7638">
        <w:t>/iscritti</w:t>
      </w:r>
      <w:r>
        <w:t xml:space="preserve"> </w:t>
      </w:r>
      <w:r w:rsidR="000F2BB0">
        <w:t xml:space="preserve">registrato </w:t>
      </w:r>
      <w:r w:rsidR="000F2BB0" w:rsidRPr="000077C7">
        <w:rPr>
          <w:highlight w:val="yellow"/>
        </w:rPr>
        <w:t xml:space="preserve">in media negli ultimi </w:t>
      </w:r>
      <w:r w:rsidR="0017764C" w:rsidRPr="000077C7">
        <w:rPr>
          <w:highlight w:val="yellow"/>
        </w:rPr>
        <w:t>due</w:t>
      </w:r>
      <w:r w:rsidR="000F2BB0" w:rsidRPr="000077C7">
        <w:rPr>
          <w:highlight w:val="yellow"/>
        </w:rPr>
        <w:t xml:space="preserve"> anni</w:t>
      </w:r>
      <w:r w:rsidR="000F2BB0">
        <w:t>)</w:t>
      </w:r>
      <w:r w:rsidR="00233225">
        <w:rPr>
          <w:rStyle w:val="Rimandonotaapidipagina"/>
        </w:rPr>
        <w:footnoteReference w:id="10"/>
      </w:r>
      <w:r w:rsidR="000F2BB0">
        <w:t xml:space="preserve">, nel </w:t>
      </w:r>
      <w:r w:rsidR="00EE3672">
        <w:t>2026</w:t>
      </w:r>
      <w:r w:rsidR="000F2BB0">
        <w:t xml:space="preserve"> il numero dei procedimenti pendenti</w:t>
      </w:r>
      <w:r w:rsidR="005E2FE7">
        <w:rPr>
          <w:rStyle w:val="Rimandonotaapidipagina"/>
        </w:rPr>
        <w:footnoteReference w:id="11"/>
      </w:r>
      <w:r w:rsidR="009A63B8">
        <w:t xml:space="preserve"> </w:t>
      </w:r>
      <w:r w:rsidR="000F2BB0">
        <w:t xml:space="preserve">aumenterà ancora </w:t>
      </w:r>
      <w:r w:rsidR="00536466">
        <w:t>di</w:t>
      </w:r>
      <w:r w:rsidR="00EE3672">
        <w:t xml:space="preserve"> </w:t>
      </w:r>
      <w:r w:rsidR="00D322C2">
        <w:t>1.</w:t>
      </w:r>
      <w:r w:rsidR="0017764C">
        <w:t>008</w:t>
      </w:r>
      <w:r w:rsidR="00636797">
        <w:t xml:space="preserve"> fascicoli rispetto al dato 202</w:t>
      </w:r>
      <w:r w:rsidR="007815FD">
        <w:t>0</w:t>
      </w:r>
      <w:r w:rsidR="00636797">
        <w:t xml:space="preserve"> (</w:t>
      </w:r>
      <w:r w:rsidR="004568CC">
        <w:t>+</w:t>
      </w:r>
      <w:r w:rsidR="00212AF8">
        <w:t>7</w:t>
      </w:r>
      <w:r w:rsidR="004568CC">
        <w:t>%)</w:t>
      </w:r>
      <w:r w:rsidR="00E82167">
        <w:t>, raggiungendo circa</w:t>
      </w:r>
      <w:r w:rsidR="003921FB">
        <w:t xml:space="preserve"> 1</w:t>
      </w:r>
      <w:r w:rsidR="00D322C2">
        <w:t>5</w:t>
      </w:r>
      <w:r w:rsidR="003921FB">
        <w:t xml:space="preserve"> mila</w:t>
      </w:r>
      <w:r w:rsidR="00A84B48">
        <w:t xml:space="preserve"> a fine periodo</w:t>
      </w:r>
      <w:r w:rsidR="003921FB">
        <w:t>.</w:t>
      </w:r>
      <w:r w:rsidR="007815FD">
        <w:t xml:space="preserve"> </w:t>
      </w:r>
      <w:r w:rsidR="000F2BB0">
        <w:t xml:space="preserve">A produttività costante, pertanto, l’obiettivo di ridurre </w:t>
      </w:r>
      <w:r w:rsidR="00376CCE">
        <w:t xml:space="preserve">il numero di procedimenti </w:t>
      </w:r>
      <w:r w:rsidR="000F2BB0">
        <w:t xml:space="preserve">non verrebbe conseguito, anzi </w:t>
      </w:r>
      <w:r w:rsidR="00536466">
        <w:t>peggiorerebbe</w:t>
      </w:r>
      <w:r w:rsidR="000F2BB0">
        <w:t>.</w:t>
      </w:r>
      <w:r w:rsidR="00142261">
        <w:t xml:space="preserve"> </w:t>
      </w:r>
      <w:r w:rsidR="00637FCD">
        <w:t xml:space="preserve">Per quanto riguarda il </w:t>
      </w:r>
      <w:r w:rsidR="00637FCD" w:rsidRPr="4BBC94FB">
        <w:rPr>
          <w:i/>
          <w:iCs/>
        </w:rPr>
        <w:t xml:space="preserve">disposition time, </w:t>
      </w:r>
      <w:r w:rsidR="00637FCD">
        <w:t xml:space="preserve">a produttività costante </w:t>
      </w:r>
      <w:r w:rsidR="001D5FCE">
        <w:t xml:space="preserve">l’indice </w:t>
      </w:r>
      <w:r w:rsidR="00637FCD">
        <w:t xml:space="preserve">si </w:t>
      </w:r>
      <w:r w:rsidR="00942270">
        <w:t>assesterebbe</w:t>
      </w:r>
      <w:r w:rsidR="00637FCD">
        <w:t xml:space="preserve"> a </w:t>
      </w:r>
      <w:r w:rsidR="00D322C2">
        <w:t>21</w:t>
      </w:r>
      <w:r w:rsidR="003C3361">
        <w:t>4</w:t>
      </w:r>
      <w:r w:rsidR="00637FCD">
        <w:t xml:space="preserve"> giorni</w:t>
      </w:r>
      <w:r w:rsidR="00942270">
        <w:t>,</w:t>
      </w:r>
      <w:r w:rsidR="00637FCD">
        <w:t xml:space="preserve"> rispetto agli attuali 176</w:t>
      </w:r>
      <w:r w:rsidR="00387DB9">
        <w:rPr>
          <w:rStyle w:val="Rimandonotaapidipagina"/>
        </w:rPr>
        <w:footnoteReference w:id="12"/>
      </w:r>
      <w:r w:rsidR="007700E4">
        <w:t>: un dato</w:t>
      </w:r>
      <w:r w:rsidR="00853BBD">
        <w:t xml:space="preserve"> superiore al valore pre-Covid</w:t>
      </w:r>
      <w:r w:rsidR="00637FCD">
        <w:t>.</w:t>
      </w:r>
      <w:r w:rsidR="00CF0522">
        <w:t xml:space="preserve"> </w:t>
      </w:r>
    </w:p>
    <w:p w14:paraId="121D0DCE" w14:textId="27F19716" w:rsidR="00637FCD" w:rsidRPr="00637FCD" w:rsidRDefault="00E65B5A" w:rsidP="000170C5">
      <w:r>
        <w:t>D</w:t>
      </w:r>
      <w:r w:rsidR="00D25DDD">
        <w:t xml:space="preserve">ato il carico molto elevato della sezione GIP, questi dati potrebbero influenzare la capacità complessiva </w:t>
      </w:r>
      <w:r>
        <w:t xml:space="preserve">del Tribunale di Milano </w:t>
      </w:r>
      <w:r w:rsidR="00D25DDD">
        <w:t xml:space="preserve">di raggiungere l’obiettivo </w:t>
      </w:r>
      <w:r w:rsidR="00967126">
        <w:t xml:space="preserve">posto per il </w:t>
      </w:r>
      <w:r w:rsidR="00D25DDD">
        <w:t>2026</w:t>
      </w:r>
      <w:r>
        <w:t xml:space="preserve"> dal progetto PNRR</w:t>
      </w:r>
      <w:r w:rsidR="00D25DDD">
        <w:t>.</w:t>
      </w:r>
    </w:p>
    <w:p w14:paraId="6D9D56D9" w14:textId="0D72175F" w:rsidR="001A0DA9" w:rsidRDefault="001A0DA9" w:rsidP="00803C0A">
      <w:pPr>
        <w:pStyle w:val="Titolo4"/>
      </w:pPr>
      <w:bookmarkStart w:id="4" w:name="_Toc126156008"/>
      <w:r w:rsidRPr="009235DF">
        <w:t>Proiezion</w:t>
      </w:r>
      <w:r w:rsidR="00CB491B">
        <w:t>e</w:t>
      </w:r>
      <w:r w:rsidRPr="009235DF">
        <w:t xml:space="preserve"> con un SCR target 1,20 </w:t>
      </w:r>
      <w:bookmarkEnd w:id="4"/>
    </w:p>
    <w:p w14:paraId="6ECF0566" w14:textId="4C60A207" w:rsidR="007F3A7B" w:rsidRPr="008D74EA" w:rsidRDefault="007449FE" w:rsidP="00D161D8">
      <w:pPr>
        <w:rPr>
          <w:highlight w:val="yellow"/>
        </w:rPr>
      </w:pPr>
      <w:r>
        <w:t>P</w:t>
      </w:r>
      <w:r w:rsidR="00D161D8">
        <w:t xml:space="preserve">er raggiungere </w:t>
      </w:r>
      <w:r w:rsidR="005940CE">
        <w:t xml:space="preserve">nel 2026 </w:t>
      </w:r>
      <w:r w:rsidR="00D161D8">
        <w:t>l’obiettivo PNRR-UPP di SCR=1,20</w:t>
      </w:r>
      <w:r w:rsidR="00272825">
        <w:t>, e ipotizzando un numero di fascicoli in ingresso costant</w:t>
      </w:r>
      <w:r w:rsidR="009D6729">
        <w:t>e</w:t>
      </w:r>
      <w:r w:rsidR="009F4B25">
        <w:t xml:space="preserve"> nei prossimi anni, </w:t>
      </w:r>
      <w:r w:rsidR="00BD621D">
        <w:rPr>
          <w:highlight w:val="yellow"/>
        </w:rPr>
        <w:t>tra il 2023 e il</w:t>
      </w:r>
      <w:r w:rsidR="00B45241" w:rsidRPr="00C7105D">
        <w:rPr>
          <w:highlight w:val="yellow"/>
        </w:rPr>
        <w:t xml:space="preserve"> 2026 dovrebbero essere definiti </w:t>
      </w:r>
      <w:r w:rsidR="00A267A0" w:rsidRPr="00C7105D">
        <w:rPr>
          <w:highlight w:val="yellow"/>
        </w:rPr>
        <w:t>1</w:t>
      </w:r>
      <w:r w:rsidR="3CF900FA" w:rsidRPr="00C7105D">
        <w:rPr>
          <w:highlight w:val="yellow"/>
        </w:rPr>
        <w:t>6</w:t>
      </w:r>
      <w:r w:rsidR="005736E3">
        <w:rPr>
          <w:highlight w:val="yellow"/>
        </w:rPr>
        <w:t xml:space="preserve">.160 </w:t>
      </w:r>
      <w:r w:rsidR="00B1379B" w:rsidRPr="00C7105D">
        <w:rPr>
          <w:highlight w:val="yellow"/>
        </w:rPr>
        <w:t>fascicoli</w:t>
      </w:r>
      <w:r w:rsidR="00CA4266" w:rsidRPr="00C7105D">
        <w:rPr>
          <w:highlight w:val="yellow"/>
        </w:rPr>
        <w:t xml:space="preserve"> in più </w:t>
      </w:r>
      <w:r w:rsidR="006E2C44" w:rsidRPr="00C7105D">
        <w:rPr>
          <w:highlight w:val="yellow"/>
        </w:rPr>
        <w:t xml:space="preserve">rispetto </w:t>
      </w:r>
      <w:r w:rsidR="004625B4" w:rsidRPr="00C7105D">
        <w:rPr>
          <w:highlight w:val="yellow"/>
        </w:rPr>
        <w:t>a quelli</w:t>
      </w:r>
      <w:r w:rsidR="006E2C44" w:rsidRPr="00C7105D">
        <w:rPr>
          <w:highlight w:val="yellow"/>
        </w:rPr>
        <w:t xml:space="preserve"> </w:t>
      </w:r>
      <w:r w:rsidR="00C4019B" w:rsidRPr="00C7105D">
        <w:rPr>
          <w:highlight w:val="yellow"/>
        </w:rPr>
        <w:t xml:space="preserve">che </w:t>
      </w:r>
      <w:r w:rsidR="004625B4" w:rsidRPr="00C7105D">
        <w:rPr>
          <w:highlight w:val="yellow"/>
        </w:rPr>
        <w:t>verr</w:t>
      </w:r>
      <w:r w:rsidR="00BD621D">
        <w:rPr>
          <w:highlight w:val="yellow"/>
        </w:rPr>
        <w:t>ebbero</w:t>
      </w:r>
      <w:r w:rsidR="004625B4" w:rsidRPr="00C7105D">
        <w:rPr>
          <w:highlight w:val="yellow"/>
        </w:rPr>
        <w:t xml:space="preserve"> </w:t>
      </w:r>
      <w:r w:rsidR="006E2C44" w:rsidRPr="00C7105D">
        <w:rPr>
          <w:highlight w:val="yellow"/>
        </w:rPr>
        <w:t xml:space="preserve">definiti </w:t>
      </w:r>
      <w:r w:rsidR="00C4019B" w:rsidRPr="00C7105D">
        <w:rPr>
          <w:highlight w:val="yellow"/>
        </w:rPr>
        <w:t>se la</w:t>
      </w:r>
      <w:r w:rsidR="006E2C44" w:rsidRPr="00C7105D">
        <w:rPr>
          <w:highlight w:val="yellow"/>
        </w:rPr>
        <w:t xml:space="preserve"> produttività </w:t>
      </w:r>
      <w:r w:rsidR="004625B4" w:rsidRPr="00C7105D">
        <w:rPr>
          <w:highlight w:val="yellow"/>
        </w:rPr>
        <w:t>rest</w:t>
      </w:r>
      <w:r w:rsidR="00BD621D">
        <w:rPr>
          <w:highlight w:val="yellow"/>
        </w:rPr>
        <w:t>asse</w:t>
      </w:r>
      <w:r w:rsidR="004625B4" w:rsidRPr="00C7105D">
        <w:rPr>
          <w:highlight w:val="yellow"/>
        </w:rPr>
        <w:t xml:space="preserve"> </w:t>
      </w:r>
      <w:r w:rsidR="00C4019B" w:rsidRPr="00C7105D">
        <w:rPr>
          <w:highlight w:val="yellow"/>
        </w:rPr>
        <w:t xml:space="preserve">quella </w:t>
      </w:r>
      <w:r w:rsidR="006F1AE0" w:rsidRPr="00C7105D">
        <w:rPr>
          <w:highlight w:val="yellow"/>
        </w:rPr>
        <w:t xml:space="preserve">registrata in media negli ultimi </w:t>
      </w:r>
      <w:r w:rsidR="00BD1836" w:rsidRPr="00C7105D">
        <w:rPr>
          <w:highlight w:val="yellow"/>
        </w:rPr>
        <w:t>due</w:t>
      </w:r>
      <w:r w:rsidR="006F1AE0" w:rsidRPr="00C7105D">
        <w:rPr>
          <w:highlight w:val="yellow"/>
        </w:rPr>
        <w:t xml:space="preserve"> anni</w:t>
      </w:r>
      <w:r w:rsidR="000A4947" w:rsidRPr="00C7105D">
        <w:rPr>
          <w:highlight w:val="yellow"/>
        </w:rPr>
        <w:t>.</w:t>
      </w:r>
      <w:r w:rsidR="00DC7C0F" w:rsidRPr="00C7105D">
        <w:rPr>
          <w:highlight w:val="yellow"/>
        </w:rPr>
        <w:t xml:space="preserve"> </w:t>
      </w:r>
      <w:r w:rsidR="00117E5A" w:rsidRPr="00C7105D">
        <w:rPr>
          <w:highlight w:val="yellow"/>
        </w:rPr>
        <w:t>In questo scenario, l’arretrato sarà azzerato</w:t>
      </w:r>
      <w:r w:rsidR="00F63EE3" w:rsidRPr="00C7105D">
        <w:rPr>
          <w:highlight w:val="yellow"/>
        </w:rPr>
        <w:t xml:space="preserve"> nel 2026.</w:t>
      </w:r>
      <w:r w:rsidR="00F63EE3">
        <w:t xml:space="preserve"> </w:t>
      </w:r>
      <w:r w:rsidR="006A4B1F">
        <w:t>S</w:t>
      </w:r>
      <w:r w:rsidR="00DC7C0F">
        <w:t xml:space="preserve">i tratta di uno scenario </w:t>
      </w:r>
      <w:r w:rsidR="00DC7C0F">
        <w:lastRenderedPageBreak/>
        <w:t xml:space="preserve">decisamente auspicabile </w:t>
      </w:r>
      <w:r w:rsidR="00FC3E3B">
        <w:t>non solo per l’ufficio GIP ma per tutto il Tribunale</w:t>
      </w:r>
      <w:r w:rsidR="001D6BCF">
        <w:t xml:space="preserve"> e i suoi stakeholder</w:t>
      </w:r>
      <w:r w:rsidR="00FC3E3B">
        <w:t xml:space="preserve">; per conseguirlo, </w:t>
      </w:r>
      <w:r w:rsidR="00F27870">
        <w:t xml:space="preserve">tuttavia, sono necessarie </w:t>
      </w:r>
      <w:r w:rsidR="00DC7C0F">
        <w:t xml:space="preserve">risorse </w:t>
      </w:r>
      <w:r w:rsidR="00084A83">
        <w:t xml:space="preserve">– organizzative, umane e tecnologiche </w:t>
      </w:r>
      <w:r w:rsidR="00AF5C1F">
        <w:t>–</w:t>
      </w:r>
      <w:r w:rsidR="00084A83">
        <w:t xml:space="preserve"> </w:t>
      </w:r>
      <w:r w:rsidR="00B0755E">
        <w:t xml:space="preserve">ulteriori </w:t>
      </w:r>
      <w:r w:rsidR="00AF5C1F">
        <w:t>rispetto a quelle attualmente disponibili.</w:t>
      </w:r>
      <w:r w:rsidR="00FB2DF8">
        <w:t xml:space="preserve"> </w:t>
      </w:r>
      <w:r w:rsidR="007F3A7B" w:rsidRPr="008D74EA">
        <w:rPr>
          <w:highlight w:val="yellow"/>
        </w:rPr>
        <w:t xml:space="preserve">Dal punto di vista del personale togato, </w:t>
      </w:r>
      <w:r w:rsidR="00C2303E" w:rsidRPr="008D74EA">
        <w:rPr>
          <w:highlight w:val="yellow"/>
        </w:rPr>
        <w:t>questo scenario richiederebbe al minimo l’</w:t>
      </w:r>
      <w:r w:rsidR="009D50F7" w:rsidRPr="008D74EA">
        <w:rPr>
          <w:highlight w:val="yellow"/>
        </w:rPr>
        <w:t xml:space="preserve">acquisizione di </w:t>
      </w:r>
      <w:r w:rsidR="00544B18" w:rsidRPr="008D74EA">
        <w:rPr>
          <w:highlight w:val="yellow"/>
        </w:rPr>
        <w:t xml:space="preserve">ulteriori </w:t>
      </w:r>
      <w:r w:rsidR="009D50F7" w:rsidRPr="008D74EA">
        <w:rPr>
          <w:highlight w:val="yellow"/>
        </w:rPr>
        <w:t xml:space="preserve">4 magistrati </w:t>
      </w:r>
      <w:r w:rsidR="009D50F7" w:rsidRPr="008D74EA">
        <w:rPr>
          <w:i/>
          <w:iCs/>
          <w:highlight w:val="yellow"/>
        </w:rPr>
        <w:t>full time equivalent</w:t>
      </w:r>
      <w:r w:rsidR="00070D1B" w:rsidRPr="008D74EA">
        <w:rPr>
          <w:rStyle w:val="Rimandonotaapidipagina"/>
          <w:i/>
          <w:iCs/>
          <w:highlight w:val="yellow"/>
        </w:rPr>
        <w:footnoteReference w:id="13"/>
      </w:r>
      <w:r w:rsidR="009D50F7" w:rsidRPr="008D74EA">
        <w:rPr>
          <w:i/>
          <w:iCs/>
          <w:highlight w:val="yellow"/>
        </w:rPr>
        <w:t xml:space="preserve">. </w:t>
      </w:r>
      <w:r w:rsidR="009D50F7" w:rsidRPr="008D74EA">
        <w:rPr>
          <w:highlight w:val="yellow"/>
        </w:rPr>
        <w:t>Si tratta peraltro di un’analisi sottostimata, dal momento</w:t>
      </w:r>
      <w:r w:rsidR="00544B18" w:rsidRPr="008D74EA">
        <w:rPr>
          <w:highlight w:val="yellow"/>
        </w:rPr>
        <w:t xml:space="preserve"> che non prende in considerazione</w:t>
      </w:r>
      <w:r w:rsidR="00070D1B" w:rsidRPr="008D74EA">
        <w:rPr>
          <w:highlight w:val="yellow"/>
        </w:rPr>
        <w:t>, ad esempio,</w:t>
      </w:r>
      <w:r w:rsidR="00544B18" w:rsidRPr="008D74EA">
        <w:rPr>
          <w:highlight w:val="yellow"/>
        </w:rPr>
        <w:t xml:space="preserve"> </w:t>
      </w:r>
      <w:r w:rsidR="00070D1B" w:rsidRPr="008D74EA">
        <w:rPr>
          <w:highlight w:val="yellow"/>
        </w:rPr>
        <w:t>i procedimenti contro ignoti e le misure cautelari</w:t>
      </w:r>
      <w:r w:rsidR="008D74EA" w:rsidRPr="008D74EA">
        <w:rPr>
          <w:highlight w:val="yellow"/>
        </w:rPr>
        <w:t xml:space="preserve"> che vanno ad aggiungersi all’analisi.</w:t>
      </w:r>
    </w:p>
    <w:p w14:paraId="37F51E33" w14:textId="77405470" w:rsidR="0057669F" w:rsidRPr="0057669F" w:rsidRDefault="00B46795" w:rsidP="007E417B">
      <w:pPr>
        <w:pStyle w:val="Titolo1"/>
      </w:pPr>
      <w:r>
        <w:t>C</w:t>
      </w:r>
      <w:r w:rsidR="0057669F" w:rsidRPr="0057669F">
        <w:t xml:space="preserve">onclusioni </w:t>
      </w:r>
    </w:p>
    <w:p w14:paraId="3A826C6C" w14:textId="6FE42D09" w:rsidR="0057669F" w:rsidRDefault="0057669F" w:rsidP="00D161D8">
      <w:r>
        <w:t xml:space="preserve">L’analisi ha </w:t>
      </w:r>
      <w:r w:rsidR="00754F3C">
        <w:t>descritto</w:t>
      </w:r>
      <w:r>
        <w:t xml:space="preserve"> </w:t>
      </w:r>
      <w:r w:rsidR="008F5FC4">
        <w:t xml:space="preserve">le </w:t>
      </w:r>
      <w:r>
        <w:t xml:space="preserve">caratteristiche e </w:t>
      </w:r>
      <w:r w:rsidR="00C34286">
        <w:t xml:space="preserve">alcuni </w:t>
      </w:r>
      <w:r w:rsidR="007F708C">
        <w:t xml:space="preserve">primi effetti </w:t>
      </w:r>
      <w:r w:rsidR="001D682A">
        <w:t xml:space="preserve">del progetto organizzativo finalizzato </w:t>
      </w:r>
      <w:r w:rsidR="002D37E4">
        <w:t xml:space="preserve">a recuperare i ritardi accumulati dalla sezione GIP </w:t>
      </w:r>
      <w:r w:rsidR="007062C3">
        <w:t>del Tribunale di Milano</w:t>
      </w:r>
      <w:r w:rsidR="001D682A">
        <w:t>.</w:t>
      </w:r>
      <w:r w:rsidR="007062C3">
        <w:t xml:space="preserve"> Questa sezione </w:t>
      </w:r>
      <w:r w:rsidR="00661DCE">
        <w:t xml:space="preserve">nel 2020 </w:t>
      </w:r>
      <w:r w:rsidR="007359F4">
        <w:t>aveva registrato una situazione di particolare criticità</w:t>
      </w:r>
      <w:r w:rsidR="00463E48">
        <w:t xml:space="preserve">, per gli effetti cumulati </w:t>
      </w:r>
      <w:r w:rsidR="002D37E4">
        <w:t>del Covid e dell’incendio</w:t>
      </w:r>
      <w:r w:rsidR="00B42621">
        <w:t xml:space="preserve">, avvenuto nel medesimo anno, </w:t>
      </w:r>
      <w:r w:rsidR="007359F4">
        <w:t>del piano in cui è allocato l’ufficio GIP</w:t>
      </w:r>
      <w:r w:rsidR="002D25E3">
        <w:t>.</w:t>
      </w:r>
      <w:r w:rsidR="007E417B">
        <w:t xml:space="preserve"> Il </w:t>
      </w:r>
      <w:r w:rsidR="00B42621">
        <w:t>progetto</w:t>
      </w:r>
      <w:r w:rsidR="007E417B">
        <w:t xml:space="preserve"> </w:t>
      </w:r>
      <w:r w:rsidR="00E44829">
        <w:t xml:space="preserve">PNRR-UPP </w:t>
      </w:r>
      <w:r w:rsidR="007E417B">
        <w:t>ha previsto l’impiego presso il GIP di un contingente di 56 addetti all’ufficio per il processo che</w:t>
      </w:r>
      <w:r w:rsidR="00A57621">
        <w:t>,</w:t>
      </w:r>
      <w:r w:rsidR="007E417B">
        <w:t xml:space="preserve"> </w:t>
      </w:r>
      <w:r w:rsidR="00023F6C">
        <w:t>a partire da febbraio 2022</w:t>
      </w:r>
      <w:r w:rsidR="0049138F">
        <w:t xml:space="preserve"> e per un periodo di 18 mesi</w:t>
      </w:r>
      <w:r w:rsidR="00F06DB3">
        <w:t>,</w:t>
      </w:r>
      <w:r w:rsidR="00023F6C">
        <w:t xml:space="preserve"> </w:t>
      </w:r>
      <w:r w:rsidR="0049138F">
        <w:t xml:space="preserve">sono stati selezionati per affiancare </w:t>
      </w:r>
      <w:r w:rsidR="007E417B">
        <w:t>giudici e cancellieri nelle diverse attività.</w:t>
      </w:r>
      <w:r w:rsidR="00330C49">
        <w:t xml:space="preserve"> </w:t>
      </w:r>
    </w:p>
    <w:p w14:paraId="29F3518E" w14:textId="0FD2A976" w:rsidR="00110A79" w:rsidRDefault="00754F3C" w:rsidP="00D161D8">
      <w:r>
        <w:t xml:space="preserve">I dati </w:t>
      </w:r>
      <w:r w:rsidR="006C6115">
        <w:t xml:space="preserve">post-Covid </w:t>
      </w:r>
      <w:r>
        <w:t>mostrano segnali positivi</w:t>
      </w:r>
      <w:r w:rsidR="00B777E9">
        <w:t xml:space="preserve">: </w:t>
      </w:r>
      <w:r w:rsidR="00023F6C">
        <w:t xml:space="preserve">sia nel 2021 sia nell’anno successivo </w:t>
      </w:r>
      <w:r w:rsidR="009855DB">
        <w:t xml:space="preserve">la sezione ha mostrato </w:t>
      </w:r>
      <w:r>
        <w:t>una decisa ripresa della produttivit</w:t>
      </w:r>
      <w:r w:rsidR="002F34F5">
        <w:t xml:space="preserve">à e riduzione dei tempi di decisione, </w:t>
      </w:r>
      <w:r w:rsidR="00B777E9">
        <w:t xml:space="preserve">che già a fine 2022 </w:t>
      </w:r>
      <w:r w:rsidR="00592309">
        <w:t>apparivano superiori ma</w:t>
      </w:r>
      <w:r w:rsidR="009855DB">
        <w:t xml:space="preserve"> non </w:t>
      </w:r>
      <w:r w:rsidR="002F34F5">
        <w:t>molto distanti dai dati pre-</w:t>
      </w:r>
      <w:r w:rsidR="00C66DC5">
        <w:t>C</w:t>
      </w:r>
      <w:r w:rsidR="002F34F5">
        <w:t>ovid.</w:t>
      </w:r>
      <w:r w:rsidR="003454D5">
        <w:t xml:space="preserve"> </w:t>
      </w:r>
      <w:r w:rsidR="003454D5" w:rsidRPr="00E45BE2">
        <w:rPr>
          <w:highlight w:val="yellow"/>
        </w:rPr>
        <w:t>Ancora critici ma in miglioramento i dati sulle pendenze, che iniziano a ridursi nonostante la ripresa delle attività sui procedimenti meno urgenti che erano state sospese nel 2020</w:t>
      </w:r>
      <w:r w:rsidR="003454D5">
        <w:t>.</w:t>
      </w:r>
      <w:r w:rsidR="002F34F5">
        <w:t xml:space="preserve"> </w:t>
      </w:r>
      <w:r w:rsidR="003B15EC" w:rsidRPr="00E45BE2">
        <w:rPr>
          <w:highlight w:val="yellow"/>
        </w:rPr>
        <w:t xml:space="preserve">Alcune prime analisi </w:t>
      </w:r>
      <w:r w:rsidR="00F0273A" w:rsidRPr="00E45BE2">
        <w:rPr>
          <w:highlight w:val="yellow"/>
        </w:rPr>
        <w:t>indicano</w:t>
      </w:r>
      <w:r w:rsidR="00AB6E65" w:rsidRPr="00E45BE2">
        <w:rPr>
          <w:highlight w:val="yellow"/>
        </w:rPr>
        <w:t xml:space="preserve"> </w:t>
      </w:r>
      <w:r w:rsidR="003B15EC" w:rsidRPr="00E45BE2">
        <w:rPr>
          <w:highlight w:val="yellow"/>
        </w:rPr>
        <w:t>un impatto</w:t>
      </w:r>
      <w:r w:rsidR="00592309" w:rsidRPr="00E45BE2">
        <w:rPr>
          <w:highlight w:val="yellow"/>
        </w:rPr>
        <w:t xml:space="preserve"> molto </w:t>
      </w:r>
      <w:r w:rsidR="003B15EC" w:rsidRPr="00E45BE2">
        <w:rPr>
          <w:highlight w:val="yellow"/>
        </w:rPr>
        <w:t>positivo dell’attività degli AUPP</w:t>
      </w:r>
      <w:r w:rsidR="006C6115" w:rsidRPr="00E45BE2">
        <w:rPr>
          <w:highlight w:val="yellow"/>
        </w:rPr>
        <w:t xml:space="preserve"> impiegati a partire da febbraio 2022,</w:t>
      </w:r>
      <w:r w:rsidR="003B15EC" w:rsidRPr="00E45BE2">
        <w:rPr>
          <w:highlight w:val="yellow"/>
        </w:rPr>
        <w:t xml:space="preserve"> </w:t>
      </w:r>
      <w:r w:rsidR="00FC60D3" w:rsidRPr="00E45BE2">
        <w:rPr>
          <w:highlight w:val="yellow"/>
        </w:rPr>
        <w:t>in termini di maggiore rapidità del</w:t>
      </w:r>
      <w:r w:rsidR="003E5B0D" w:rsidRPr="00E45BE2">
        <w:rPr>
          <w:highlight w:val="yellow"/>
        </w:rPr>
        <w:t xml:space="preserve">le fasi dei procedimenti </w:t>
      </w:r>
      <w:r w:rsidR="00570FB0" w:rsidRPr="00E45BE2">
        <w:rPr>
          <w:highlight w:val="yellow"/>
        </w:rPr>
        <w:t>in cui sono impiegati</w:t>
      </w:r>
      <w:r w:rsidR="00CD11C7" w:rsidRPr="00E45BE2">
        <w:rPr>
          <w:highlight w:val="yellow"/>
        </w:rPr>
        <w:t>.</w:t>
      </w:r>
      <w:r w:rsidR="00CE4B7C" w:rsidRPr="00E45BE2">
        <w:rPr>
          <w:highlight w:val="yellow"/>
        </w:rPr>
        <w:t xml:space="preserve"> </w:t>
      </w:r>
    </w:p>
    <w:p w14:paraId="29558AA3" w14:textId="009B7228" w:rsidR="00E44B04" w:rsidRDefault="00C436D6" w:rsidP="00E44B04">
      <w:r>
        <w:t xml:space="preserve">In altre parole, i dieci otto mesi del progetto PNRR-UPP mostrano segnali incoraggianti ma non sufficienti a conseguire gli obiettivi ambiziosi che erano stati posti. </w:t>
      </w:r>
      <w:r w:rsidR="00E44B04">
        <w:t>L’analisi previsionale mostra che, a risorse costanti, gli obiettivi PNRR (azzeramento dell’arretrato, SCR = 1,20</w:t>
      </w:r>
      <w:r w:rsidR="004B78FA">
        <w:t>, riduzione dei tempi</w:t>
      </w:r>
      <w:r w:rsidR="00E44B04">
        <w:t>) difficilmente potranno essere raggiunti nel 2026</w:t>
      </w:r>
      <w:r w:rsidR="002E2052">
        <w:t xml:space="preserve"> sia a livello di sezione sia a livello di ufficio giudiziario complessivo</w:t>
      </w:r>
      <w:r w:rsidR="00D60546">
        <w:t>, per il carico importante di affari gestiti dalla sezione GIP sul totale</w:t>
      </w:r>
      <w:r w:rsidR="00FB529A">
        <w:t xml:space="preserve"> dell’Ufficio giudiziario</w:t>
      </w:r>
      <w:r w:rsidR="00E44B04">
        <w:t>. Se la produttività resterà pari a quella attuale e così anche i procedimenti in ingresso, nel prossimo futuro le pendenze aumenteranno anziché diminuire. L’analisi, peraltro, non tiene in considerazione l’impatto sul GIP proprio di una delle riforme previste dal PNRR (D.lgs 150/2022 ‘riforma Cartabia’)</w:t>
      </w:r>
      <w:r w:rsidR="006C7F72">
        <w:t xml:space="preserve"> </w:t>
      </w:r>
      <w:r w:rsidR="00E44B04">
        <w:t xml:space="preserve">– </w:t>
      </w:r>
      <w:r w:rsidR="00E44B04" w:rsidRPr="00FB2DF8">
        <w:rPr>
          <w:highlight w:val="yellow"/>
        </w:rPr>
        <w:t xml:space="preserve">ad esempio per </w:t>
      </w:r>
      <w:commentRangeStart w:id="5"/>
      <w:r w:rsidR="002B7223" w:rsidRPr="00FB2DF8">
        <w:rPr>
          <w:highlight w:val="yellow"/>
        </w:rPr>
        <w:t xml:space="preserve">la funzione filtro </w:t>
      </w:r>
      <w:r w:rsidR="003F34A1" w:rsidRPr="00FB2DF8">
        <w:rPr>
          <w:highlight w:val="yellow"/>
        </w:rPr>
        <w:t xml:space="preserve">collegata all’articolo 425 cpp </w:t>
      </w:r>
      <w:r w:rsidR="006978E6" w:rsidRPr="00FB2DF8">
        <w:rPr>
          <w:highlight w:val="yellow"/>
        </w:rPr>
        <w:t>e</w:t>
      </w:r>
      <w:r w:rsidR="0082173F" w:rsidRPr="00FB2DF8">
        <w:rPr>
          <w:highlight w:val="yellow"/>
        </w:rPr>
        <w:t xml:space="preserve"> per</w:t>
      </w:r>
      <w:r w:rsidR="006978E6" w:rsidRPr="00FB2DF8">
        <w:rPr>
          <w:highlight w:val="yellow"/>
        </w:rPr>
        <w:t xml:space="preserve"> </w:t>
      </w:r>
      <w:commentRangeEnd w:id="5"/>
      <w:r w:rsidR="00806D29" w:rsidRPr="00FB2DF8">
        <w:rPr>
          <w:rStyle w:val="Rimandocommento"/>
          <w:highlight w:val="yellow"/>
        </w:rPr>
        <w:commentReference w:id="5"/>
      </w:r>
      <w:r w:rsidR="00E44B04" w:rsidRPr="00FB2DF8">
        <w:rPr>
          <w:highlight w:val="yellow"/>
        </w:rPr>
        <w:t>l’ulteriore incentivo ai procedimenti speciali</w:t>
      </w:r>
      <w:r w:rsidR="00E44B04">
        <w:t xml:space="preserve"> – rendendo più forte il disallineamento tra obiettivi desiderati e statistiche effettive. </w:t>
      </w:r>
    </w:p>
    <w:p w14:paraId="2277E7FA" w14:textId="5420D7DD" w:rsidR="007A4EDE" w:rsidRDefault="65CADC6D" w:rsidP="002B5281">
      <w:r>
        <w:t xml:space="preserve">Le analisi </w:t>
      </w:r>
      <w:r w:rsidR="1F4B34D6">
        <w:t>proposte</w:t>
      </w:r>
      <w:r>
        <w:t xml:space="preserve"> in questo articolo </w:t>
      </w:r>
      <w:r w:rsidR="1F4B34D6">
        <w:t xml:space="preserve">sollecitano </w:t>
      </w:r>
      <w:r w:rsidR="00880C75">
        <w:t>alcune riflessioni ulteriori</w:t>
      </w:r>
      <w:r w:rsidR="00CC2409">
        <w:t xml:space="preserve"> e generalizzabili anche a</w:t>
      </w:r>
      <w:r w:rsidR="0002424D">
        <w:t>d</w:t>
      </w:r>
      <w:r w:rsidR="00CC2409">
        <w:t xml:space="preserve"> altri uffici giudiziari</w:t>
      </w:r>
      <w:r w:rsidR="00880C75">
        <w:t xml:space="preserve">. </w:t>
      </w:r>
    </w:p>
    <w:p w14:paraId="296E45C4" w14:textId="759921FD" w:rsidR="007A4EDE" w:rsidRDefault="007A4EDE" w:rsidP="007A4EDE">
      <w:r>
        <w:lastRenderedPageBreak/>
        <w:t xml:space="preserve">La prima riguarda le dinamiche organizzative: </w:t>
      </w:r>
      <w:r w:rsidR="009A7A5B">
        <w:t xml:space="preserve">l’inserimento di </w:t>
      </w:r>
      <w:r>
        <w:t xml:space="preserve">personale aggiuntivo </w:t>
      </w:r>
      <w:r w:rsidR="009A7A5B">
        <w:t xml:space="preserve">richiede </w:t>
      </w:r>
      <w:r>
        <w:t xml:space="preserve">una fase di formazione e di rodaggio per entrare in operatività, e l’organizzazione nel complesso </w:t>
      </w:r>
      <w:r w:rsidR="009A7A5B">
        <w:t xml:space="preserve">deve </w:t>
      </w:r>
      <w:r>
        <w:t xml:space="preserve">attrezzarsi per accogliere queste nuove risorse, dal punto di vista logistico e di allineamento delle competenze. La prospettiva di collaborazione a tempo determinato, prossima a scadenza, rischia di disperdere capacità ed esperienza, oltre a determinare una continua emorragia di personale che è causa di instabilità organizzativa. </w:t>
      </w:r>
      <w:r w:rsidR="0002424D" w:rsidRPr="00FF7FA2">
        <w:rPr>
          <w:highlight w:val="yellow"/>
        </w:rPr>
        <w:t>Inoltre</w:t>
      </w:r>
      <w:r w:rsidRPr="00FF7FA2">
        <w:rPr>
          <w:highlight w:val="yellow"/>
        </w:rPr>
        <w:t>, l’apporto degli AUPP non può compensare scoperture di organico</w:t>
      </w:r>
      <w:r w:rsidR="00432772" w:rsidRPr="00FF7FA2">
        <w:rPr>
          <w:highlight w:val="yellow"/>
        </w:rPr>
        <w:t xml:space="preserve">, </w:t>
      </w:r>
      <w:r w:rsidR="00FF7FA2" w:rsidRPr="00FF7FA2">
        <w:rPr>
          <w:highlight w:val="yellow"/>
        </w:rPr>
        <w:t xml:space="preserve">facilmente </w:t>
      </w:r>
      <w:r w:rsidR="00432772" w:rsidRPr="00FF7FA2">
        <w:rPr>
          <w:highlight w:val="yellow"/>
        </w:rPr>
        <w:t>quantificabili sulla base dell</w:t>
      </w:r>
      <w:r w:rsidR="00FF7FA2" w:rsidRPr="00FF7FA2">
        <w:rPr>
          <w:highlight w:val="yellow"/>
        </w:rPr>
        <w:t>a produttività del personale e dei fascicoli da trattare,</w:t>
      </w:r>
      <w:r w:rsidRPr="00FF7FA2">
        <w:rPr>
          <w:highlight w:val="yellow"/>
        </w:rPr>
        <w:t xml:space="preserve"> e carenze strutturali e tecnologiche che certamente influenzano i dati di performance.</w:t>
      </w:r>
      <w:r w:rsidR="00706ED8">
        <w:t xml:space="preserve"> </w:t>
      </w:r>
    </w:p>
    <w:p w14:paraId="7E63EA88" w14:textId="6EC1A923" w:rsidR="00507CE1" w:rsidRDefault="00880C75" w:rsidP="002B5281">
      <w:r>
        <w:t xml:space="preserve">La </w:t>
      </w:r>
      <w:r w:rsidR="00EF57CE">
        <w:t xml:space="preserve">seconda </w:t>
      </w:r>
      <w:r>
        <w:t xml:space="preserve">riguarda </w:t>
      </w:r>
      <w:r w:rsidR="65CADC6D">
        <w:t>una pres</w:t>
      </w:r>
      <w:r w:rsidR="7958CEDE">
        <w:t>a</w:t>
      </w:r>
      <w:r w:rsidR="65CADC6D">
        <w:t xml:space="preserve"> di coscienza </w:t>
      </w:r>
      <w:r w:rsidR="007F10A8">
        <w:t xml:space="preserve">sull’importanza dei dati </w:t>
      </w:r>
      <w:r w:rsidR="000929A9">
        <w:t xml:space="preserve">– qualità e interpretabilità - </w:t>
      </w:r>
      <w:r w:rsidR="007F10A8">
        <w:t>per l</w:t>
      </w:r>
      <w:r w:rsidR="00AF1972">
        <w:t>a pianificazione delle</w:t>
      </w:r>
      <w:r w:rsidR="65CADC6D">
        <w:t xml:space="preserve"> </w:t>
      </w:r>
      <w:r w:rsidR="443EDE2E">
        <w:t>politiche pubbliche</w:t>
      </w:r>
      <w:r w:rsidR="3CBF52CA">
        <w:t>.</w:t>
      </w:r>
      <w:r w:rsidR="443EDE2E">
        <w:t xml:space="preserve"> </w:t>
      </w:r>
      <w:r w:rsidR="0099316A">
        <w:t>L</w:t>
      </w:r>
      <w:r w:rsidR="0FFEE7E3">
        <w:t xml:space="preserve">a </w:t>
      </w:r>
      <w:r w:rsidR="00A3577D">
        <w:t>bassa</w:t>
      </w:r>
      <w:r w:rsidR="0FFEE7E3">
        <w:t xml:space="preserve"> qualità </w:t>
      </w:r>
      <w:r w:rsidR="0099316A">
        <w:t>dei dati</w:t>
      </w:r>
      <w:r w:rsidR="0FFEE7E3">
        <w:t xml:space="preserve"> rende </w:t>
      </w:r>
      <w:r w:rsidR="00320C11">
        <w:t>onerose, e non sempre possibili, attività di approfondimento e confronto tra i diversi soggetti</w:t>
      </w:r>
      <w:r w:rsidR="00D12AA1">
        <w:t xml:space="preserve"> che </w:t>
      </w:r>
      <w:r w:rsidR="00BE5A38">
        <w:t xml:space="preserve">presidiano alcune di queste informazioni. </w:t>
      </w:r>
      <w:r w:rsidR="00AB0A06">
        <w:t>È</w:t>
      </w:r>
      <w:r w:rsidR="00C41E89">
        <w:t xml:space="preserve"> però</w:t>
      </w:r>
      <w:r w:rsidR="00751C1C">
        <w:t xml:space="preserve"> evidente che </w:t>
      </w:r>
      <w:r w:rsidR="00900BCF">
        <w:t xml:space="preserve">disponibilità e tempestività di </w:t>
      </w:r>
      <w:r w:rsidR="00751C1C">
        <w:t xml:space="preserve">dati </w:t>
      </w:r>
      <w:r w:rsidR="00900BCF">
        <w:t xml:space="preserve">di qualità </w:t>
      </w:r>
      <w:r w:rsidR="008A3D27">
        <w:t>sono indispensabili</w:t>
      </w:r>
      <w:r w:rsidR="00900BCF">
        <w:t xml:space="preserve"> per </w:t>
      </w:r>
      <w:r w:rsidR="00751C1C">
        <w:t xml:space="preserve">individuare rapidamente colli di bottiglia e </w:t>
      </w:r>
      <w:r w:rsidR="00EE2970">
        <w:t>soluzioni</w:t>
      </w:r>
      <w:r w:rsidR="00B448B2">
        <w:t xml:space="preserve"> per superarli.</w:t>
      </w:r>
      <w:r w:rsidR="00115ABA">
        <w:t xml:space="preserve"> </w:t>
      </w:r>
      <w:r w:rsidR="111BEA79">
        <w:t xml:space="preserve">Guardando a trend nazionali e internazionali, che vedono </w:t>
      </w:r>
      <w:r w:rsidR="2C1AB78F">
        <w:t xml:space="preserve">nell’open government e </w:t>
      </w:r>
      <w:r w:rsidR="4258B6D3">
        <w:t xml:space="preserve">(quindi anche </w:t>
      </w:r>
      <w:r w:rsidR="066E7009">
        <w:t xml:space="preserve">negli </w:t>
      </w:r>
      <w:r w:rsidR="2C1AB78F">
        <w:t>open data</w:t>
      </w:r>
      <w:r w:rsidR="1F443290">
        <w:t>)</w:t>
      </w:r>
      <w:r w:rsidR="2C1AB78F">
        <w:t xml:space="preserve"> gli obiettivi verso cui puntare, la razionalizzazione dei dati </w:t>
      </w:r>
      <w:r w:rsidR="4BE9D607">
        <w:t xml:space="preserve">diventa un passaggio </w:t>
      </w:r>
      <w:r w:rsidR="7A24008E">
        <w:t>strategico</w:t>
      </w:r>
      <w:r w:rsidR="1A8F0671">
        <w:t xml:space="preserve"> per gli enti della pubblica amministrazione</w:t>
      </w:r>
      <w:r w:rsidR="003F50C9">
        <w:t xml:space="preserve"> in generale e per la giustizia in particolare</w:t>
      </w:r>
      <w:r w:rsidR="4BE9D607">
        <w:t>.</w:t>
      </w:r>
      <w:r w:rsidR="7A24008E">
        <w:t xml:space="preserve"> </w:t>
      </w:r>
    </w:p>
    <w:p w14:paraId="4CAD94AC" w14:textId="62FC1C6B" w:rsidR="007465A3" w:rsidRDefault="00A66AE8" w:rsidP="00CC2409">
      <w:r>
        <w:t xml:space="preserve">La </w:t>
      </w:r>
      <w:r w:rsidR="00EF57CE">
        <w:t>terza</w:t>
      </w:r>
      <w:r>
        <w:t xml:space="preserve"> riflessione riguarda il tema della valutazione delle politiche pubbliche. </w:t>
      </w:r>
      <w:r w:rsidR="00280023">
        <w:t>L’analisi presentata in queste pagine può costituire un esempio di utilizzo di dati e statistiche per</w:t>
      </w:r>
      <w:r w:rsidR="00085B07">
        <w:t xml:space="preserve"> </w:t>
      </w:r>
      <w:r w:rsidR="00915F4E">
        <w:t>monitorare</w:t>
      </w:r>
      <w:r w:rsidR="00085B07">
        <w:t xml:space="preserve"> la capacità di raggiungere gli obiettivi e sopra</w:t>
      </w:r>
      <w:r w:rsidR="00E82857">
        <w:t xml:space="preserve">ttutto per progettare le politiche a partire </w:t>
      </w:r>
      <w:r w:rsidR="00D23FDB">
        <w:t>dallo stato delle risorse</w:t>
      </w:r>
      <w:r w:rsidR="00E82857">
        <w:t xml:space="preserve">. </w:t>
      </w:r>
      <w:r w:rsidR="00643F9C">
        <w:t>Il progetto PNRR-UPP ne è un esempio</w:t>
      </w:r>
      <w:r w:rsidR="00247778">
        <w:t xml:space="preserve">: </w:t>
      </w:r>
      <w:r w:rsidR="74B4B594">
        <w:t xml:space="preserve">l’allocazione degli AUPP è </w:t>
      </w:r>
      <w:r w:rsidR="1122B93B">
        <w:t>stata decisa sulla base de</w:t>
      </w:r>
      <w:r w:rsidR="74B4B594">
        <w:t>lle performance delle sezioni</w:t>
      </w:r>
      <w:r w:rsidR="008520DE">
        <w:t>,</w:t>
      </w:r>
      <w:r w:rsidR="74B4B594">
        <w:t xml:space="preserve"> </w:t>
      </w:r>
      <w:r w:rsidR="009B642C">
        <w:t xml:space="preserve">ma </w:t>
      </w:r>
      <w:r w:rsidR="00865239">
        <w:t xml:space="preserve">la possibilità di </w:t>
      </w:r>
      <w:r w:rsidR="00BF18A8">
        <w:t>migliorare tali performance non</w:t>
      </w:r>
      <w:r w:rsidR="00474A6D">
        <w:t xml:space="preserve"> è </w:t>
      </w:r>
      <w:r w:rsidR="00CC2409">
        <w:t xml:space="preserve">esclusivamente legata </w:t>
      </w:r>
      <w:r w:rsidR="00915F4E">
        <w:t>all’</w:t>
      </w:r>
      <w:r w:rsidR="00CC2409">
        <w:t>apporto</w:t>
      </w:r>
      <w:r w:rsidR="00915F4E">
        <w:t xml:space="preserve"> – </w:t>
      </w:r>
      <w:r w:rsidR="00F579CE">
        <w:t xml:space="preserve">che </w:t>
      </w:r>
      <w:r w:rsidR="00915F4E">
        <w:t xml:space="preserve">comunque </w:t>
      </w:r>
      <w:r w:rsidR="00F579CE">
        <w:t xml:space="preserve">si sta dimostrando </w:t>
      </w:r>
      <w:r w:rsidR="00915F4E">
        <w:t>positivo – degli AUPP</w:t>
      </w:r>
      <w:r w:rsidR="00BF18A8">
        <w:t>.</w:t>
      </w:r>
      <w:r w:rsidR="00F579CE">
        <w:t xml:space="preserve"> Dunque</w:t>
      </w:r>
      <w:r w:rsidR="004A6164">
        <w:t>,</w:t>
      </w:r>
      <w:r w:rsidR="00F579CE">
        <w:t xml:space="preserve"> è necessario riflettere su come </w:t>
      </w:r>
      <w:r w:rsidR="0090097D">
        <w:t>costruire politiche che abbiano come esito l’impatto sociale desiderato (riduzione dei tempi</w:t>
      </w:r>
      <w:r w:rsidR="0002424D">
        <w:t xml:space="preserve"> di giudizio, dell’arretrato </w:t>
      </w:r>
      <w:r w:rsidR="006123B0">
        <w:t>ecc.</w:t>
      </w:r>
      <w:r w:rsidR="0002424D">
        <w:t>).</w:t>
      </w:r>
      <w:r w:rsidR="00CC2409">
        <w:t xml:space="preserve"> </w:t>
      </w:r>
    </w:p>
    <w:p w14:paraId="24EF62FF" w14:textId="34CB92A0" w:rsidR="006E36EB" w:rsidRDefault="2F4F5DD3" w:rsidP="00D161D8">
      <w:r w:rsidRPr="00B578BB">
        <w:t>In quest’ottica,</w:t>
      </w:r>
      <w:r>
        <w:t xml:space="preserve"> il dato, di qualità e facilmente interpretabile, è fondamentale sia in fase di </w:t>
      </w:r>
      <w:r w:rsidR="00BF4A35">
        <w:t xml:space="preserve">progettazione delle </w:t>
      </w:r>
      <w:r>
        <w:t xml:space="preserve">politiche, sia del loro monitoraggio e </w:t>
      </w:r>
      <w:r w:rsidR="00EF7E43">
        <w:t xml:space="preserve">come </w:t>
      </w:r>
      <w:r>
        <w:t xml:space="preserve">della valutazione </w:t>
      </w:r>
      <w:r w:rsidR="21A4B03A">
        <w:t>finale</w:t>
      </w:r>
      <w:r>
        <w:t xml:space="preserve">.  </w:t>
      </w:r>
      <w:r w:rsidR="52F26130">
        <w:t xml:space="preserve">In </w:t>
      </w:r>
      <w:r w:rsidR="007465A3">
        <w:t>definitiva</w:t>
      </w:r>
      <w:r w:rsidR="52F26130">
        <w:t xml:space="preserve">, </w:t>
      </w:r>
      <w:r w:rsidR="00357881">
        <w:t xml:space="preserve">l’analisi richiama </w:t>
      </w:r>
      <w:r w:rsidR="00357881" w:rsidRPr="003E28ED">
        <w:rPr>
          <w:highlight w:val="yellow"/>
        </w:rPr>
        <w:t>l’importanza di</w:t>
      </w:r>
      <w:r w:rsidR="00306575" w:rsidRPr="003E28ED">
        <w:rPr>
          <w:highlight w:val="yellow"/>
        </w:rPr>
        <w:t xml:space="preserve"> </w:t>
      </w:r>
      <w:r w:rsidR="79A0D58A" w:rsidRPr="003E28ED">
        <w:rPr>
          <w:highlight w:val="yellow"/>
        </w:rPr>
        <w:t xml:space="preserve">progettare le policy </w:t>
      </w:r>
      <w:r w:rsidR="003E28ED" w:rsidRPr="003E28ED">
        <w:rPr>
          <w:highlight w:val="yellow"/>
        </w:rPr>
        <w:t>in modo integrato</w:t>
      </w:r>
      <w:r w:rsidR="003E28ED">
        <w:t xml:space="preserve"> </w:t>
      </w:r>
      <w:r w:rsidR="003B5F4F">
        <w:t>a partire da</w:t>
      </w:r>
      <w:r w:rsidR="00DF5B0E">
        <w:t>gli obiettivi</w:t>
      </w:r>
      <w:r w:rsidR="00202F5C">
        <w:t xml:space="preserve"> </w:t>
      </w:r>
      <w:r w:rsidR="00971EC7">
        <w:t xml:space="preserve">di impatto </w:t>
      </w:r>
      <w:r w:rsidR="00560B80">
        <w:t xml:space="preserve">sociale </w:t>
      </w:r>
      <w:r w:rsidR="00202F5C">
        <w:t>desiderati</w:t>
      </w:r>
      <w:r w:rsidR="00306575">
        <w:t xml:space="preserve">, </w:t>
      </w:r>
      <w:r w:rsidR="006E36F1">
        <w:t xml:space="preserve">per conseguire i quali è necessario </w:t>
      </w:r>
      <w:r w:rsidR="00AD380E">
        <w:t>monitorare</w:t>
      </w:r>
      <w:r w:rsidR="006E36F1">
        <w:t xml:space="preserve"> l’effetto </w:t>
      </w:r>
      <w:r w:rsidR="00D8784D">
        <w:t>combinato di disposizioni giuridiche</w:t>
      </w:r>
      <w:r w:rsidR="00306575">
        <w:t xml:space="preserve">, soluzioni organizzative, risorse umane e competenze </w:t>
      </w:r>
      <w:r w:rsidR="00DE7CE8">
        <w:t>durante tutto il ciclo di policy</w:t>
      </w:r>
      <w:commentRangeStart w:id="6"/>
      <w:r w:rsidR="00DE7CE8" w:rsidRPr="00AB5CDF">
        <w:rPr>
          <w:highlight w:val="yellow"/>
        </w:rPr>
        <w:t>.</w:t>
      </w:r>
      <w:r w:rsidR="5A8C4817">
        <w:t xml:space="preserve"> </w:t>
      </w:r>
      <w:commentRangeEnd w:id="6"/>
      <w:r w:rsidR="00AB5CDF">
        <w:rPr>
          <w:rStyle w:val="Rimandocommento"/>
        </w:rPr>
        <w:commentReference w:id="6"/>
      </w:r>
    </w:p>
    <w:p w14:paraId="6E7BDBCB" w14:textId="77777777" w:rsidR="009741F0" w:rsidRDefault="009741F0" w:rsidP="009741F0"/>
    <w:sectPr w:rsidR="009741F0" w:rsidSect="00A53FA3">
      <w:headerReference w:type="default" r:id="rId14"/>
      <w:footerReference w:type="default" r:id="rId15"/>
      <w:pgSz w:w="11906" w:h="16838"/>
      <w:pgMar w:top="1417" w:right="1134" w:bottom="1702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Elena Madiai" w:date="2023-03-27T18:24:00Z" w:initials="EM">
    <w:p w14:paraId="0DBBD0A0" w14:textId="77777777" w:rsidR="00431AB7" w:rsidRDefault="00431AB7" w:rsidP="00431AB7">
      <w:pPr>
        <w:jc w:val="left"/>
      </w:pPr>
      <w:r>
        <w:rPr>
          <w:rStyle w:val="Rimandocommento"/>
        </w:rPr>
        <w:annotationRef/>
      </w:r>
      <w:r>
        <w:rPr>
          <w:color w:val="000000"/>
          <w:sz w:val="20"/>
          <w:szCs w:val="20"/>
        </w:rPr>
        <w:t xml:space="preserve">In nota ho aggiunto la frase su Giancarlo Vecchi </w:t>
      </w:r>
    </w:p>
  </w:comment>
  <w:comment w:id="5" w:author="Elena Madiai" w:date="2023-03-27T18:21:00Z" w:initials="EM">
    <w:p w14:paraId="16C7885C" w14:textId="77777777" w:rsidR="00806D29" w:rsidRDefault="00806D29" w:rsidP="00431AB7">
      <w:pPr>
        <w:jc w:val="left"/>
      </w:pPr>
      <w:r>
        <w:rPr>
          <w:rStyle w:val="Rimandocommento"/>
        </w:rPr>
        <w:annotationRef/>
      </w:r>
      <w:r>
        <w:rPr>
          <w:color w:val="000000"/>
          <w:sz w:val="20"/>
          <w:szCs w:val="20"/>
        </w:rPr>
        <w:t>Ok per me</w:t>
      </w:r>
    </w:p>
  </w:comment>
  <w:comment w:id="6" w:author="Elena Madiai" w:date="2023-03-27T18:22:00Z" w:initials="EM">
    <w:p w14:paraId="41E43B92" w14:textId="77777777" w:rsidR="00AB5CDF" w:rsidRDefault="00AB5CDF" w:rsidP="00431AB7">
      <w:pPr>
        <w:jc w:val="left"/>
      </w:pPr>
      <w:r>
        <w:rPr>
          <w:rStyle w:val="Rimandocommento"/>
        </w:rPr>
        <w:annotationRef/>
      </w:r>
      <w:r>
        <w:rPr>
          <w:color w:val="000000"/>
          <w:sz w:val="20"/>
          <w:szCs w:val="20"/>
        </w:rPr>
        <w:t>Aggiunto qui ma sposta pure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DBBD0A0" w15:done="1"/>
  <w15:commentEx w15:paraId="16C7885C" w15:done="1"/>
  <w15:commentEx w15:paraId="41E43B92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C5DFA" w16cex:dateUtc="2023-03-27T16:24:00Z"/>
  <w16cex:commentExtensible w16cex:durableId="27CC5D18" w16cex:dateUtc="2023-03-27T16:21:00Z"/>
  <w16cex:commentExtensible w16cex:durableId="27CC5D81" w16cex:dateUtc="2023-03-27T16:2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DBBD0A0" w16cid:durableId="27CC5DFA"/>
  <w16cid:commentId w16cid:paraId="16C7885C" w16cid:durableId="27CC5D18"/>
  <w16cid:commentId w16cid:paraId="41E43B92" w16cid:durableId="27CC5D8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5B72EB" w14:textId="77777777" w:rsidR="00D87B64" w:rsidRDefault="00D87B64" w:rsidP="00B646EE">
      <w:pPr>
        <w:spacing w:after="0"/>
      </w:pPr>
      <w:r>
        <w:separator/>
      </w:r>
    </w:p>
  </w:endnote>
  <w:endnote w:type="continuationSeparator" w:id="0">
    <w:p w14:paraId="2561B958" w14:textId="77777777" w:rsidR="00D87B64" w:rsidRDefault="00D87B64" w:rsidP="00B646EE">
      <w:pPr>
        <w:spacing w:after="0"/>
      </w:pPr>
      <w:r>
        <w:continuationSeparator/>
      </w:r>
    </w:p>
  </w:endnote>
  <w:endnote w:type="continuationNotice" w:id="1">
    <w:p w14:paraId="51A63DAA" w14:textId="77777777" w:rsidR="00D87B64" w:rsidRDefault="00D87B64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7252121"/>
      <w:docPartObj>
        <w:docPartGallery w:val="Page Numbers (Bottom of Page)"/>
        <w:docPartUnique/>
      </w:docPartObj>
    </w:sdtPr>
    <w:sdtContent>
      <w:p w14:paraId="59ADAD86" w14:textId="15AFB75F" w:rsidR="00405FAA" w:rsidRDefault="00405FA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DF270E" w14:textId="77777777" w:rsidR="00405FAA" w:rsidRDefault="00405FA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85E5A" w14:textId="77777777" w:rsidR="00D87B64" w:rsidRDefault="00D87B64" w:rsidP="00B646EE">
      <w:pPr>
        <w:spacing w:after="0"/>
      </w:pPr>
      <w:r>
        <w:separator/>
      </w:r>
    </w:p>
  </w:footnote>
  <w:footnote w:type="continuationSeparator" w:id="0">
    <w:p w14:paraId="54DA974A" w14:textId="77777777" w:rsidR="00D87B64" w:rsidRDefault="00D87B64" w:rsidP="00B646EE">
      <w:pPr>
        <w:spacing w:after="0"/>
      </w:pPr>
      <w:r>
        <w:continuationSeparator/>
      </w:r>
    </w:p>
  </w:footnote>
  <w:footnote w:type="continuationNotice" w:id="1">
    <w:p w14:paraId="2C9E9279" w14:textId="77777777" w:rsidR="00D87B64" w:rsidRDefault="00D87B64">
      <w:pPr>
        <w:spacing w:after="0"/>
      </w:pPr>
    </w:p>
  </w:footnote>
  <w:footnote w:id="2">
    <w:p w14:paraId="2039CA7F" w14:textId="237B5EC5" w:rsidR="00E91E17" w:rsidRDefault="00E91E17">
      <w:pPr>
        <w:pStyle w:val="Testonotaapidipagina"/>
      </w:pPr>
      <w:r>
        <w:rPr>
          <w:rStyle w:val="Rimandonotaapidipagina"/>
        </w:rPr>
        <w:footnoteRef/>
      </w:r>
      <w:r>
        <w:t xml:space="preserve"> I profili da reclutare sono in maggioranza rappresentati da laureati in giurisprudenza ed economia e commercio (16.500), cui si aggiungono operatori amministrativi tecnici e per attività di data entry.</w:t>
      </w:r>
    </w:p>
  </w:footnote>
  <w:footnote w:id="3">
    <w:p w14:paraId="3E2EC51B" w14:textId="24BC8D4B" w:rsidR="00C0211A" w:rsidRDefault="00C0211A" w:rsidP="00C0211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shd w:val="clear" w:color="auto" w:fill="FFFFFF"/>
        </w:rPr>
        <w:t>Il progetto, coordinato dall’</w:t>
      </w:r>
      <w:r w:rsidRPr="00571FF7">
        <w:rPr>
          <w:shd w:val="clear" w:color="auto" w:fill="FFFFFF"/>
        </w:rPr>
        <w:t>Università degli Studi di Torino</w:t>
      </w:r>
      <w:r>
        <w:rPr>
          <w:shd w:val="clear" w:color="auto" w:fill="FFFFFF"/>
        </w:rPr>
        <w:t> in partenariato con undici atenei dell’Italia del nord-ovest è </w:t>
      </w:r>
      <w:r w:rsidRPr="005C07B4">
        <w:t>promosso dal Ministero della Giustizia</w:t>
      </w:r>
      <w:r w:rsidRPr="005C07B4">
        <w:rPr>
          <w:shd w:val="clear" w:color="auto" w:fill="FFFFFF"/>
        </w:rPr>
        <w:t> </w:t>
      </w:r>
      <w:r>
        <w:rPr>
          <w:shd w:val="clear" w:color="auto" w:fill="FFFFFF"/>
        </w:rPr>
        <w:t>nell’ambito del PON Governance e Capacità Istituzionale 2014-2020 e realizzato in sinergia con gli interventi previsti dal Piano Nazionale di Ripresa e Resilienza (PNRR) a sostegno della riforma della giustizia.</w:t>
      </w:r>
    </w:p>
  </w:footnote>
  <w:footnote w:id="4">
    <w:p w14:paraId="0A04153E" w14:textId="662AFF25" w:rsidR="00D43D49" w:rsidRDefault="00833043">
      <w:pPr>
        <w:pStyle w:val="Testonotaapidipagina"/>
      </w:pPr>
      <w:r>
        <w:rPr>
          <w:rStyle w:val="Rimandonotaapidipagina"/>
        </w:rPr>
        <w:footnoteRef/>
      </w:r>
      <w:r>
        <w:t xml:space="preserve"> Il gruppo di lavoro </w:t>
      </w:r>
      <w:r w:rsidR="009B32EA">
        <w:t xml:space="preserve">del Politecnico di Milano </w:t>
      </w:r>
      <w:r>
        <w:t xml:space="preserve">è diretto dal prof. Giancarlo Vecchi </w:t>
      </w:r>
      <w:r w:rsidR="00503D85">
        <w:t>del Dipartimento di Ingegneria Gestionale</w:t>
      </w:r>
      <w:r w:rsidR="009B32EA">
        <w:t>, in collaborazione con i Dipartimenti</w:t>
      </w:r>
      <w:r w:rsidR="006E2FDC">
        <w:t xml:space="preserve"> di </w:t>
      </w:r>
      <w:r w:rsidR="00AC26DB" w:rsidRPr="00AC26DB">
        <w:t>Elettronica, Informazione e Bioingegneria</w:t>
      </w:r>
      <w:r w:rsidR="00AC26DB">
        <w:t xml:space="preserve"> </w:t>
      </w:r>
      <w:r w:rsidR="007D7594">
        <w:t xml:space="preserve">(prof.sa </w:t>
      </w:r>
      <w:r w:rsidR="00024FA1">
        <w:t xml:space="preserve">Barbara </w:t>
      </w:r>
      <w:r w:rsidR="007D7594">
        <w:t xml:space="preserve">Pernici) </w:t>
      </w:r>
      <w:r w:rsidR="00AC26DB">
        <w:t>e con il Dipartimento di Architettura e Studi Urbani</w:t>
      </w:r>
      <w:r w:rsidR="00420672">
        <w:t xml:space="preserve"> (prof.sa Cabiddu)</w:t>
      </w:r>
      <w:r w:rsidR="00AC26DB">
        <w:t>.</w:t>
      </w:r>
      <w:r w:rsidR="00133E10">
        <w:t xml:space="preserve"> </w:t>
      </w:r>
      <w:r w:rsidR="00D43D49">
        <w:t xml:space="preserve">Fanno parte del gruppo di ricerca e ringraziamo: </w:t>
      </w:r>
      <w:r w:rsidR="006D2CE2">
        <w:t>Alessandra Bucci, Alfredo De Meo, Marco Dilettis,</w:t>
      </w:r>
      <w:r w:rsidR="00420672">
        <w:t xml:space="preserve"> Tommaso Giaccardi,</w:t>
      </w:r>
      <w:r w:rsidR="006D2CE2">
        <w:t xml:space="preserve"> </w:t>
      </w:r>
      <w:r w:rsidR="00192EC0">
        <w:t>Jonathan Kamkhaji, Alessandra Thi Mandelli, Ludovica Piro,</w:t>
      </w:r>
      <w:r w:rsidR="006D2CE2">
        <w:t xml:space="preserve"> Irene Vanini.</w:t>
      </w:r>
      <w:r w:rsidR="00504505">
        <w:t xml:space="preserve"> </w:t>
      </w:r>
      <w:r w:rsidR="00B65FA6">
        <w:t xml:space="preserve">Su questa stessa rivista il 15/12/2022 è stato pubblicato un articolo </w:t>
      </w:r>
      <w:r w:rsidR="00D15566">
        <w:t xml:space="preserve">con i risultati delle prime analisi condotte presso gli uffici della Corte di Appello di Milano. </w:t>
      </w:r>
    </w:p>
    <w:p w14:paraId="1AD4BF7C" w14:textId="7B593AF2" w:rsidR="00833043" w:rsidRDefault="00133E10">
      <w:pPr>
        <w:pStyle w:val="Testonotaapidipagina"/>
      </w:pPr>
      <w:r>
        <w:t xml:space="preserve">Ringraziamo </w:t>
      </w:r>
      <w:r w:rsidR="0096515A">
        <w:t xml:space="preserve">per il </w:t>
      </w:r>
      <w:r w:rsidR="00A36E29">
        <w:t xml:space="preserve">prezioso </w:t>
      </w:r>
      <w:r w:rsidR="0096515A">
        <w:t xml:space="preserve">supporto alle attività di ricerca il presidente aggiunto della sezione Gip del </w:t>
      </w:r>
      <w:r w:rsidR="00415457">
        <w:t xml:space="preserve">Tribunale </w:t>
      </w:r>
      <w:r w:rsidR="0096515A">
        <w:t>di Milano</w:t>
      </w:r>
      <w:r w:rsidR="00956325">
        <w:t>,</w:t>
      </w:r>
      <w:r w:rsidR="0096515A">
        <w:t xml:space="preserve"> </w:t>
      </w:r>
      <w:r w:rsidR="00234895">
        <w:t>dott.</w:t>
      </w:r>
      <w:r w:rsidR="00371656">
        <w:t>s</w:t>
      </w:r>
      <w:r w:rsidR="00234895">
        <w:t xml:space="preserve">sa </w:t>
      </w:r>
      <w:r w:rsidR="0096515A">
        <w:t xml:space="preserve">Ezia Maccora, </w:t>
      </w:r>
      <w:r w:rsidR="00540782">
        <w:t>i referenti</w:t>
      </w:r>
      <w:r w:rsidR="0096515A">
        <w:t xml:space="preserve"> d</w:t>
      </w:r>
      <w:r w:rsidR="006F0268">
        <w:t>ella</w:t>
      </w:r>
      <w:r w:rsidR="0096515A">
        <w:t xml:space="preserve"> cancelleria </w:t>
      </w:r>
      <w:r w:rsidR="006F0268">
        <w:t xml:space="preserve">GIP </w:t>
      </w:r>
      <w:r w:rsidR="00DF012D">
        <w:t xml:space="preserve">dott. </w:t>
      </w:r>
      <w:r w:rsidR="0096515A">
        <w:t>Piero Muscarnera</w:t>
      </w:r>
      <w:r w:rsidR="00415457">
        <w:t xml:space="preserve"> e </w:t>
      </w:r>
      <w:r w:rsidR="00DF012D">
        <w:t>dott.ssa</w:t>
      </w:r>
      <w:r w:rsidR="00135FAF">
        <w:t xml:space="preserve"> </w:t>
      </w:r>
      <w:r w:rsidR="00415457">
        <w:t xml:space="preserve">Rosaria Mazzeo, </w:t>
      </w:r>
      <w:r w:rsidR="006F0268">
        <w:t xml:space="preserve">e la </w:t>
      </w:r>
      <w:r w:rsidR="00055782">
        <w:t>responsabile</w:t>
      </w:r>
      <w:r w:rsidR="006F0268">
        <w:t xml:space="preserve"> </w:t>
      </w:r>
      <w:r>
        <w:t>dell’Ufficio Innovazione de</w:t>
      </w:r>
      <w:r w:rsidR="0096515A">
        <w:t xml:space="preserve">l Tribunale di Milano, </w:t>
      </w:r>
      <w:r w:rsidR="00DF012D">
        <w:t>dott.</w:t>
      </w:r>
      <w:r w:rsidR="00371656">
        <w:t>s</w:t>
      </w:r>
      <w:r w:rsidR="00DF012D">
        <w:t xml:space="preserve">sa </w:t>
      </w:r>
      <w:r w:rsidR="009B03C5">
        <w:t>Lorella Piccione.</w:t>
      </w:r>
    </w:p>
  </w:footnote>
  <w:footnote w:id="5">
    <w:p w14:paraId="130B9CA3" w14:textId="409F6F88" w:rsidR="004861BA" w:rsidRDefault="004861B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6645D7">
        <w:t>L’indice di ricambio (</w:t>
      </w:r>
      <w:r>
        <w:t xml:space="preserve">SCR </w:t>
      </w:r>
      <w:r w:rsidR="006645D7">
        <w:t xml:space="preserve">- </w:t>
      </w:r>
      <w:r w:rsidRPr="006C360B">
        <w:rPr>
          <w:i/>
          <w:iCs/>
        </w:rPr>
        <w:t>simple clearance rate</w:t>
      </w:r>
      <w:r w:rsidR="006645D7">
        <w:rPr>
          <w:i/>
          <w:iCs/>
        </w:rPr>
        <w:t>)</w:t>
      </w:r>
      <w:r w:rsidRPr="006C360B">
        <w:t xml:space="preserve"> misura la capacità dell’Ufficio di smaltire i </w:t>
      </w:r>
      <w:r w:rsidR="009742AB">
        <w:t>procedimenti</w:t>
      </w:r>
      <w:r>
        <w:t xml:space="preserve"> mettendo in rapporto il numero dei procedimenti iscritti nell’anno con il numero dei procedimenti definiti.</w:t>
      </w:r>
    </w:p>
  </w:footnote>
  <w:footnote w:id="6">
    <w:p w14:paraId="18146B14" w14:textId="77777777" w:rsidR="00982738" w:rsidRDefault="00982738" w:rsidP="00982738">
      <w:pPr>
        <w:pStyle w:val="Testonotaapidipagina"/>
      </w:pPr>
      <w:r>
        <w:rPr>
          <w:rStyle w:val="Rimandonotaapidipagina"/>
        </w:rPr>
        <w:footnoteRef/>
      </w:r>
      <w:r>
        <w:t xml:space="preserve"> I dati DGSTAT mostrano che nel 2021 a Milano sono stati definiti con rito alternativo presso il GIP 6.024 procedimenti, il 10,3% dei procedimenti avverso autori noti complessivamente definiti dalla sezione, contro il 6,1% del Tribunale di Roma e il 5,6% di Napoli. </w:t>
      </w:r>
    </w:p>
  </w:footnote>
  <w:footnote w:id="7">
    <w:p w14:paraId="6EB32C68" w14:textId="75BCD60B" w:rsidR="00EC4078" w:rsidRDefault="00EC4078">
      <w:pPr>
        <w:pStyle w:val="Testonotaapidipagina"/>
      </w:pPr>
      <w:r>
        <w:rPr>
          <w:rStyle w:val="Rimandonotaapidipagina"/>
        </w:rPr>
        <w:footnoteRef/>
      </w:r>
      <w:r>
        <w:t xml:space="preserve"> Non essendo possibile </w:t>
      </w:r>
      <w:r w:rsidR="00E05271">
        <w:t xml:space="preserve">remunerare </w:t>
      </w:r>
      <w:r>
        <w:t xml:space="preserve">gli straordinari, gli AUPP </w:t>
      </w:r>
      <w:r w:rsidR="00E05271">
        <w:t xml:space="preserve">che </w:t>
      </w:r>
      <w:r w:rsidR="00397F5A">
        <w:t xml:space="preserve">prestano servizio </w:t>
      </w:r>
      <w:r>
        <w:t xml:space="preserve">nei turni festivi </w:t>
      </w:r>
      <w:r w:rsidR="00E71EDF">
        <w:t>posson</w:t>
      </w:r>
      <w:r w:rsidR="00E05271">
        <w:t>o</w:t>
      </w:r>
      <w:r w:rsidR="00E71EDF">
        <w:t xml:space="preserve"> recuperare le ore lavorate durante la settimana.</w:t>
      </w:r>
    </w:p>
  </w:footnote>
  <w:footnote w:id="8">
    <w:p w14:paraId="4A744B53" w14:textId="25A70CB9" w:rsidR="005F0BD9" w:rsidRDefault="005F0BD9">
      <w:pPr>
        <w:pStyle w:val="Testonotaapidipagina"/>
      </w:pPr>
      <w:r>
        <w:rPr>
          <w:rStyle w:val="Rimandonotaapidipagina"/>
        </w:rPr>
        <w:footnoteRef/>
      </w:r>
      <w:r>
        <w:t xml:space="preserve"> SCR - </w:t>
      </w:r>
      <w:r w:rsidRPr="00126636">
        <w:rPr>
          <w:i/>
          <w:iCs/>
        </w:rPr>
        <w:t>simple clearance rate</w:t>
      </w:r>
      <w:r w:rsidR="00DC5879">
        <w:t xml:space="preserve"> o</w:t>
      </w:r>
      <w:r>
        <w:t xml:space="preserve"> indice di ricambio</w:t>
      </w:r>
      <w:r w:rsidR="00DC5879">
        <w:t>, dato dal rapporto tra procedimenti definiti e iscritti nell’anno</w:t>
      </w:r>
      <w:r>
        <w:t xml:space="preserve">, e </w:t>
      </w:r>
      <w:r w:rsidRPr="00126636">
        <w:rPr>
          <w:i/>
          <w:iCs/>
        </w:rPr>
        <w:t>disposition time</w:t>
      </w:r>
      <w:r w:rsidR="00BB2D70">
        <w:t>, vale a dire tempo medio di definizione dei procedimenti.</w:t>
      </w:r>
    </w:p>
  </w:footnote>
  <w:footnote w:id="9">
    <w:p w14:paraId="2F464CED" w14:textId="6FC93133" w:rsidR="007F0F0A" w:rsidRDefault="007F0F0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7F0F0A">
        <w:t>Tutte le proiezioni sono state elaborate a partire dai dati forniti dall’Ufficio Innovazione del Tribunale di Milano, aggiornati al 31 dicembre 2022.</w:t>
      </w:r>
    </w:p>
  </w:footnote>
  <w:footnote w:id="10">
    <w:p w14:paraId="7077316E" w14:textId="12EE4503" w:rsidR="00233225" w:rsidRDefault="00233225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rStyle w:val="cf01"/>
        </w:rPr>
        <w:t>Per questo calcolo, i valori dei procedimenti iscritti</w:t>
      </w:r>
      <w:r w:rsidR="00D322C2">
        <w:rPr>
          <w:rStyle w:val="cf01"/>
        </w:rPr>
        <w:t xml:space="preserve"> e</w:t>
      </w:r>
      <w:r>
        <w:rPr>
          <w:rStyle w:val="cf01"/>
        </w:rPr>
        <w:t xml:space="preserve"> definiti dal 2023 al 2026 sulla base della media delle annualità </w:t>
      </w:r>
      <w:r w:rsidR="00BD1836">
        <w:rPr>
          <w:rStyle w:val="cf01"/>
        </w:rPr>
        <w:t xml:space="preserve">2021 e </w:t>
      </w:r>
      <w:r>
        <w:rPr>
          <w:rStyle w:val="cf01"/>
        </w:rPr>
        <w:t>2022.</w:t>
      </w:r>
    </w:p>
  </w:footnote>
  <w:footnote w:id="11">
    <w:p w14:paraId="7950FF13" w14:textId="77777777" w:rsidR="005E2FE7" w:rsidRPr="0007656E" w:rsidRDefault="005E2FE7" w:rsidP="005E2FE7">
      <w:pPr>
        <w:pStyle w:val="Testonotaapidipagina"/>
        <w:tabs>
          <w:tab w:val="left" w:pos="692"/>
        </w:tabs>
        <w:rPr>
          <w:rStyle w:val="cf01"/>
        </w:rPr>
      </w:pPr>
      <w:r>
        <w:rPr>
          <w:rStyle w:val="Rimandonotaapidipagina"/>
        </w:rPr>
        <w:footnoteRef/>
      </w:r>
      <w:r>
        <w:t xml:space="preserve"> </w:t>
      </w:r>
      <w:r w:rsidRPr="0007656E">
        <w:rPr>
          <w:rStyle w:val="cf01"/>
        </w:rPr>
        <w:t>Il valore dei pendenti finali è calcolato seguendo la formula:</w:t>
      </w:r>
    </w:p>
    <w:p w14:paraId="53CA994A" w14:textId="553490A8" w:rsidR="005E2FE7" w:rsidRPr="005E2FE7" w:rsidRDefault="005E2FE7" w:rsidP="005E2FE7">
      <w:pPr>
        <w:jc w:val="center"/>
        <w:rPr>
          <w:rFonts w:eastAsiaTheme="minorEastAsia"/>
          <w:color w:val="000000" w:themeColor="text1"/>
          <w:sz w:val="18"/>
          <w:szCs w:val="18"/>
        </w:rPr>
      </w:pPr>
      <m:oMathPara>
        <m:oMath>
          <m:r>
            <w:rPr>
              <w:rFonts w:ascii="Cambria Math" w:hAnsi="Cambria Math"/>
              <w:color w:val="000000" w:themeColor="text1"/>
              <w:sz w:val="18"/>
              <w:szCs w:val="18"/>
            </w:rPr>
            <m:t xml:space="preserve">pendenti 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18"/>
                  <w:szCs w:val="18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18"/>
                  <w:szCs w:val="18"/>
                </w:rPr>
                <m:t>Periodo</m:t>
              </m:r>
            </m:e>
          </m:d>
          <m:r>
            <w:rPr>
              <w:rFonts w:ascii="Cambria Math" w:hAnsi="Cambria Math"/>
              <w:color w:val="000000" w:themeColor="text1"/>
              <w:sz w:val="18"/>
              <w:szCs w:val="18"/>
            </w:rPr>
            <m:t xml:space="preserve">=pendenti 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18"/>
                  <w:szCs w:val="18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18"/>
                  <w:szCs w:val="18"/>
                </w:rPr>
                <m:t>Periodo-1</m:t>
              </m:r>
            </m:e>
          </m:d>
          <m:r>
            <w:rPr>
              <w:rFonts w:ascii="Cambria Math" w:hAnsi="Cambria Math"/>
              <w:color w:val="000000" w:themeColor="text1"/>
              <w:sz w:val="18"/>
              <w:szCs w:val="18"/>
            </w:rPr>
            <m:t xml:space="preserve">+iscritti </m:t>
          </m:r>
          <m:d>
            <m:dPr>
              <m:ctrlPr>
                <w:rPr>
                  <w:rFonts w:ascii="Cambria Math" w:hAnsi="Cambria Math"/>
                  <w:i/>
                  <w:color w:val="000000" w:themeColor="text1"/>
                  <w:sz w:val="18"/>
                  <w:szCs w:val="18"/>
                </w:rPr>
              </m:ctrlPr>
            </m:dPr>
            <m:e>
              <m:r>
                <w:rPr>
                  <w:rFonts w:ascii="Cambria Math" w:hAnsi="Cambria Math"/>
                  <w:color w:val="000000" w:themeColor="text1"/>
                  <w:sz w:val="18"/>
                  <w:szCs w:val="18"/>
                </w:rPr>
                <m:t>Periodo</m:t>
              </m:r>
            </m:e>
          </m:d>
          <m:r>
            <w:rPr>
              <w:rFonts w:ascii="Cambria Math" w:hAnsi="Cambria Math"/>
              <w:color w:val="000000" w:themeColor="text1"/>
              <w:sz w:val="18"/>
              <w:szCs w:val="18"/>
            </w:rPr>
            <m:t>-definiti (Periodo)</m:t>
          </m:r>
        </m:oMath>
      </m:oMathPara>
    </w:p>
  </w:footnote>
  <w:footnote w:id="12">
    <w:p w14:paraId="4E5C6010" w14:textId="730DAC25" w:rsidR="00993C5A" w:rsidRPr="009409CF" w:rsidRDefault="00387DB9" w:rsidP="009409CF">
      <w:pPr>
        <w:rPr>
          <w:rStyle w:val="cf01"/>
        </w:rPr>
      </w:pPr>
      <w:r>
        <w:rPr>
          <w:rStyle w:val="Rimandonotaapidipagina"/>
        </w:rPr>
        <w:footnoteRef/>
      </w:r>
      <w:r>
        <w:t xml:space="preserve"> </w:t>
      </w:r>
      <w:r w:rsidR="00993C5A" w:rsidRPr="009409CF">
        <w:rPr>
          <w:rStyle w:val="cf01"/>
        </w:rPr>
        <w:t xml:space="preserve">Il valore del DT è costruito usando la formula: </w:t>
      </w:r>
    </w:p>
    <w:p w14:paraId="2DAE271A" w14:textId="75A99B50" w:rsidR="009409CF" w:rsidRPr="009409CF" w:rsidRDefault="0007656E" w:rsidP="009409CF">
      <w:pPr>
        <w:rPr>
          <w:sz w:val="18"/>
          <w:szCs w:val="18"/>
        </w:rPr>
      </w:pPr>
      <m:oMathPara>
        <m:oMath>
          <m:r>
            <w:rPr>
              <w:rFonts w:ascii="Cambria Math" w:hAnsi="Cambria Math"/>
              <w:sz w:val="18"/>
              <w:szCs w:val="18"/>
            </w:rPr>
            <m:t>DT(Periodo)=365*</m:t>
          </m:r>
          <m:f>
            <m:f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fPr>
            <m:num>
              <m:r>
                <w:rPr>
                  <w:rFonts w:ascii="Cambria Math" w:hAnsi="Cambria Math"/>
                  <w:sz w:val="18"/>
                  <w:szCs w:val="18"/>
                </w:rPr>
                <m:t>Pendenti (Periodo)</m:t>
              </m:r>
            </m:num>
            <m:den>
              <m:r>
                <w:rPr>
                  <w:rFonts w:ascii="Cambria Math" w:hAnsi="Cambria Math"/>
                  <w:sz w:val="18"/>
                  <w:szCs w:val="18"/>
                </w:rPr>
                <m:t>Definiti(Periodo)</m:t>
              </m:r>
            </m:den>
          </m:f>
        </m:oMath>
      </m:oMathPara>
    </w:p>
    <w:p w14:paraId="0B7FA635" w14:textId="77777777" w:rsidR="00993C5A" w:rsidRDefault="00993C5A">
      <w:pPr>
        <w:pStyle w:val="Testonotaapidipagina"/>
      </w:pPr>
    </w:p>
  </w:footnote>
  <w:footnote w:id="13">
    <w:p w14:paraId="445A1F9C" w14:textId="3A75CBA4" w:rsidR="00070D1B" w:rsidRPr="005C50C7" w:rsidRDefault="00070D1B" w:rsidP="00070D1B">
      <w:pPr>
        <w:rPr>
          <w:highlight w:val="yellow"/>
        </w:rPr>
      </w:pPr>
      <w:r>
        <w:rPr>
          <w:rStyle w:val="Rimandonotaapidipagina"/>
        </w:rPr>
        <w:footnoteRef/>
      </w:r>
      <w:r>
        <w:t xml:space="preserve"> </w:t>
      </w:r>
      <w:r w:rsidR="0072504C">
        <w:rPr>
          <w:highlight w:val="yellow"/>
        </w:rPr>
        <w:t xml:space="preserve">L’analisi </w:t>
      </w:r>
      <w:r w:rsidR="00213930">
        <w:rPr>
          <w:highlight w:val="yellow"/>
        </w:rPr>
        <w:t>è effettuata</w:t>
      </w:r>
      <w:r w:rsidR="00213930" w:rsidRPr="008D74EA">
        <w:rPr>
          <w:highlight w:val="yellow"/>
        </w:rPr>
        <w:t xml:space="preserve"> considerando la produttività media (circa 990 fascicoli/anno) dei magistrati in servizio nell’ultimo biennio</w:t>
      </w:r>
      <w:r w:rsidR="003757FE">
        <w:rPr>
          <w:highlight w:val="yellow"/>
        </w:rPr>
        <w:t>. La produttività è elaborata considerando</w:t>
      </w:r>
      <w:r w:rsidR="00213930" w:rsidRPr="008D74EA">
        <w:rPr>
          <w:highlight w:val="yellow"/>
        </w:rPr>
        <w:t xml:space="preserve"> </w:t>
      </w:r>
      <w:r w:rsidRPr="005C50C7">
        <w:rPr>
          <w:highlight w:val="yellow"/>
        </w:rPr>
        <w:t xml:space="preserve">il </w:t>
      </w:r>
      <w:r w:rsidR="0072504C">
        <w:rPr>
          <w:highlight w:val="yellow"/>
        </w:rPr>
        <w:t xml:space="preserve">dato </w:t>
      </w:r>
      <w:r w:rsidRPr="005C50C7">
        <w:rPr>
          <w:highlight w:val="yellow"/>
        </w:rPr>
        <w:t>full time equivalent (FTE)</w:t>
      </w:r>
      <w:r w:rsidR="0072504C">
        <w:rPr>
          <w:highlight w:val="yellow"/>
        </w:rPr>
        <w:t xml:space="preserve"> dei magistrati presenti in servizio</w:t>
      </w:r>
      <w:r w:rsidRPr="005C50C7">
        <w:rPr>
          <w:highlight w:val="yellow"/>
        </w:rPr>
        <w:t xml:space="preserve"> nell’anno giudiziario, per il 2020-2021 e 2021-2022</w:t>
      </w:r>
      <w:r w:rsidR="00592C39">
        <w:rPr>
          <w:highlight w:val="yellow"/>
        </w:rPr>
        <w:t xml:space="preserve"> e fornit</w:t>
      </w:r>
      <w:r w:rsidR="003757FE">
        <w:rPr>
          <w:highlight w:val="yellow"/>
        </w:rPr>
        <w:t>o</w:t>
      </w:r>
      <w:r w:rsidR="00592C39">
        <w:rPr>
          <w:highlight w:val="yellow"/>
        </w:rPr>
        <w:t xml:space="preserve"> dall’Ufficio Innovazione</w:t>
      </w:r>
      <w:r w:rsidR="003757FE">
        <w:rPr>
          <w:highlight w:val="yellow"/>
        </w:rPr>
        <w:t>;</w:t>
      </w:r>
      <w:r w:rsidRPr="005C50C7">
        <w:rPr>
          <w:highlight w:val="yellow"/>
        </w:rPr>
        <w:t xml:space="preserve"> </w:t>
      </w:r>
      <w:r w:rsidR="003757FE">
        <w:rPr>
          <w:highlight w:val="yellow"/>
        </w:rPr>
        <w:t>p</w:t>
      </w:r>
      <w:r w:rsidRPr="005C50C7">
        <w:rPr>
          <w:highlight w:val="yellow"/>
        </w:rPr>
        <w:t xml:space="preserve">er quanto riguarda il numero delle definizioni nell’anno giudiziario, </w:t>
      </w:r>
      <w:r w:rsidR="00592C39">
        <w:rPr>
          <w:highlight w:val="yellow"/>
        </w:rPr>
        <w:t xml:space="preserve">sono stati </w:t>
      </w:r>
      <w:r w:rsidR="00D16B75">
        <w:rPr>
          <w:highlight w:val="yellow"/>
        </w:rPr>
        <w:t>elaborati</w:t>
      </w:r>
      <w:r w:rsidRPr="005C50C7">
        <w:rPr>
          <w:highlight w:val="yellow"/>
        </w:rPr>
        <w:t xml:space="preserve"> </w:t>
      </w:r>
      <w:r w:rsidR="0072504C">
        <w:rPr>
          <w:highlight w:val="yellow"/>
        </w:rPr>
        <w:t>gli</w:t>
      </w:r>
      <w:r w:rsidRPr="005C50C7">
        <w:rPr>
          <w:highlight w:val="yellow"/>
        </w:rPr>
        <w:t xml:space="preserve"> open data</w:t>
      </w:r>
      <w:r w:rsidR="00592C39">
        <w:rPr>
          <w:highlight w:val="yellow"/>
        </w:rPr>
        <w:t xml:space="preserve"> semestrali</w:t>
      </w:r>
      <w:r w:rsidRPr="005C50C7">
        <w:rPr>
          <w:highlight w:val="yellow"/>
        </w:rPr>
        <w:t xml:space="preserve"> </w:t>
      </w:r>
      <w:r w:rsidR="00592C39">
        <w:rPr>
          <w:highlight w:val="yellow"/>
        </w:rPr>
        <w:t xml:space="preserve">del medesimo periodo resi </w:t>
      </w:r>
      <w:r w:rsidRPr="005C50C7">
        <w:rPr>
          <w:highlight w:val="yellow"/>
        </w:rPr>
        <w:t>disponibili sul sito del Ministero della Giustizia</w:t>
      </w:r>
      <w:r w:rsidR="00592C39">
        <w:rPr>
          <w:highlight w:val="yellow"/>
        </w:rPr>
        <w:t>.</w:t>
      </w:r>
    </w:p>
    <w:p w14:paraId="613F2578" w14:textId="507B805C" w:rsidR="00070D1B" w:rsidRDefault="00070D1B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35ED204" w14:paraId="41EFBC57" w14:textId="77777777" w:rsidTr="335ED204">
      <w:trPr>
        <w:trHeight w:val="300"/>
      </w:trPr>
      <w:tc>
        <w:tcPr>
          <w:tcW w:w="3210" w:type="dxa"/>
        </w:tcPr>
        <w:p w14:paraId="47358FEF" w14:textId="1DE88937" w:rsidR="335ED204" w:rsidRDefault="335ED204" w:rsidP="335ED204">
          <w:pPr>
            <w:pStyle w:val="Intestazione"/>
            <w:ind w:left="-115"/>
            <w:jc w:val="left"/>
          </w:pPr>
        </w:p>
      </w:tc>
      <w:tc>
        <w:tcPr>
          <w:tcW w:w="3210" w:type="dxa"/>
        </w:tcPr>
        <w:p w14:paraId="25214D4D" w14:textId="5E429CCC" w:rsidR="335ED204" w:rsidRDefault="335ED204" w:rsidP="335ED204">
          <w:pPr>
            <w:pStyle w:val="Intestazione"/>
            <w:jc w:val="center"/>
          </w:pPr>
        </w:p>
      </w:tc>
      <w:tc>
        <w:tcPr>
          <w:tcW w:w="3210" w:type="dxa"/>
        </w:tcPr>
        <w:p w14:paraId="01EE532B" w14:textId="2F39BDC8" w:rsidR="335ED204" w:rsidRDefault="335ED204" w:rsidP="335ED204">
          <w:pPr>
            <w:pStyle w:val="Intestazione"/>
            <w:ind w:right="-115"/>
            <w:jc w:val="right"/>
          </w:pPr>
        </w:p>
      </w:tc>
    </w:tr>
  </w:tbl>
  <w:p w14:paraId="362E7922" w14:textId="548CFBD5" w:rsidR="00DB7950" w:rsidRDefault="00DB795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25F57"/>
    <w:multiLevelType w:val="hybridMultilevel"/>
    <w:tmpl w:val="4C12E2CC"/>
    <w:lvl w:ilvl="0" w:tplc="B9B4D3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315235"/>
    <w:multiLevelType w:val="hybridMultilevel"/>
    <w:tmpl w:val="3A588FBA"/>
    <w:lvl w:ilvl="0" w:tplc="2E98DB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EA405B"/>
    <w:multiLevelType w:val="multilevel"/>
    <w:tmpl w:val="04100025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5330E7"/>
    <w:multiLevelType w:val="hybridMultilevel"/>
    <w:tmpl w:val="B268B59E"/>
    <w:lvl w:ilvl="0" w:tplc="FB82657C">
      <w:start w:val="585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F039AE"/>
    <w:multiLevelType w:val="hybridMultilevel"/>
    <w:tmpl w:val="FC2E18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600D2A"/>
    <w:multiLevelType w:val="hybridMultilevel"/>
    <w:tmpl w:val="8F36AA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5868041">
    <w:abstractNumId w:val="0"/>
  </w:num>
  <w:num w:numId="2" w16cid:durableId="67777512">
    <w:abstractNumId w:val="1"/>
  </w:num>
  <w:num w:numId="3" w16cid:durableId="796602426">
    <w:abstractNumId w:val="3"/>
  </w:num>
  <w:num w:numId="4" w16cid:durableId="1129275152">
    <w:abstractNumId w:val="2"/>
  </w:num>
  <w:num w:numId="5" w16cid:durableId="1289429333">
    <w:abstractNumId w:val="5"/>
  </w:num>
  <w:num w:numId="6" w16cid:durableId="7432685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lena Madiai">
    <w15:presenceInfo w15:providerId="AD" w15:userId="S::10937925@polimi.it::ef630352-5782-4b47-bc47-0d4d95c4b1b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1F0"/>
    <w:rsid w:val="000010AC"/>
    <w:rsid w:val="00001640"/>
    <w:rsid w:val="00001B6D"/>
    <w:rsid w:val="000024B8"/>
    <w:rsid w:val="00004508"/>
    <w:rsid w:val="000051DA"/>
    <w:rsid w:val="0000665A"/>
    <w:rsid w:val="000077C7"/>
    <w:rsid w:val="00011268"/>
    <w:rsid w:val="00011E79"/>
    <w:rsid w:val="00012C1A"/>
    <w:rsid w:val="00013C7B"/>
    <w:rsid w:val="0001403B"/>
    <w:rsid w:val="000148F8"/>
    <w:rsid w:val="00016169"/>
    <w:rsid w:val="000170C5"/>
    <w:rsid w:val="00023F6C"/>
    <w:rsid w:val="0002424D"/>
    <w:rsid w:val="00024558"/>
    <w:rsid w:val="00024FA1"/>
    <w:rsid w:val="000302F3"/>
    <w:rsid w:val="000331E3"/>
    <w:rsid w:val="00034340"/>
    <w:rsid w:val="00035328"/>
    <w:rsid w:val="000357A5"/>
    <w:rsid w:val="00035FD3"/>
    <w:rsid w:val="00036D76"/>
    <w:rsid w:val="000372E9"/>
    <w:rsid w:val="00040403"/>
    <w:rsid w:val="000408B7"/>
    <w:rsid w:val="000504FB"/>
    <w:rsid w:val="00052BA0"/>
    <w:rsid w:val="00055782"/>
    <w:rsid w:val="00060AED"/>
    <w:rsid w:val="000616B2"/>
    <w:rsid w:val="000625A7"/>
    <w:rsid w:val="000629E4"/>
    <w:rsid w:val="000666DB"/>
    <w:rsid w:val="00066B0B"/>
    <w:rsid w:val="00070D1B"/>
    <w:rsid w:val="00075886"/>
    <w:rsid w:val="00075F3F"/>
    <w:rsid w:val="0007656E"/>
    <w:rsid w:val="00080A9A"/>
    <w:rsid w:val="00084A83"/>
    <w:rsid w:val="00085B07"/>
    <w:rsid w:val="000868F9"/>
    <w:rsid w:val="00090A93"/>
    <w:rsid w:val="000929A9"/>
    <w:rsid w:val="000977DF"/>
    <w:rsid w:val="000A075F"/>
    <w:rsid w:val="000A0B96"/>
    <w:rsid w:val="000A2421"/>
    <w:rsid w:val="000A3AF6"/>
    <w:rsid w:val="000A45ED"/>
    <w:rsid w:val="000A4947"/>
    <w:rsid w:val="000A4AF9"/>
    <w:rsid w:val="000A56BF"/>
    <w:rsid w:val="000A671F"/>
    <w:rsid w:val="000B03EC"/>
    <w:rsid w:val="000B26C2"/>
    <w:rsid w:val="000C18FF"/>
    <w:rsid w:val="000C2D1C"/>
    <w:rsid w:val="000C645D"/>
    <w:rsid w:val="000E1655"/>
    <w:rsid w:val="000E1820"/>
    <w:rsid w:val="000E2105"/>
    <w:rsid w:val="000E3152"/>
    <w:rsid w:val="000E5368"/>
    <w:rsid w:val="000E60A5"/>
    <w:rsid w:val="000EB87E"/>
    <w:rsid w:val="000F1232"/>
    <w:rsid w:val="000F15E4"/>
    <w:rsid w:val="000F26D3"/>
    <w:rsid w:val="000F2BB0"/>
    <w:rsid w:val="000F344D"/>
    <w:rsid w:val="000F441F"/>
    <w:rsid w:val="000F501C"/>
    <w:rsid w:val="000F63D7"/>
    <w:rsid w:val="000F6F24"/>
    <w:rsid w:val="000F7CD1"/>
    <w:rsid w:val="00104AF9"/>
    <w:rsid w:val="001078C9"/>
    <w:rsid w:val="00110A46"/>
    <w:rsid w:val="00110A79"/>
    <w:rsid w:val="001118C2"/>
    <w:rsid w:val="001128E2"/>
    <w:rsid w:val="001143CB"/>
    <w:rsid w:val="00114B2C"/>
    <w:rsid w:val="00115ABA"/>
    <w:rsid w:val="00115DD9"/>
    <w:rsid w:val="00116CCD"/>
    <w:rsid w:val="00117E5A"/>
    <w:rsid w:val="00117FC4"/>
    <w:rsid w:val="001214C5"/>
    <w:rsid w:val="0012174C"/>
    <w:rsid w:val="00123CDC"/>
    <w:rsid w:val="00126636"/>
    <w:rsid w:val="00126915"/>
    <w:rsid w:val="001274CF"/>
    <w:rsid w:val="00132A6C"/>
    <w:rsid w:val="00132C84"/>
    <w:rsid w:val="00133E10"/>
    <w:rsid w:val="00135513"/>
    <w:rsid w:val="001357C3"/>
    <w:rsid w:val="00135FAF"/>
    <w:rsid w:val="00136455"/>
    <w:rsid w:val="00136FC9"/>
    <w:rsid w:val="00141E9A"/>
    <w:rsid w:val="00142261"/>
    <w:rsid w:val="001428AC"/>
    <w:rsid w:val="00145B57"/>
    <w:rsid w:val="001511FB"/>
    <w:rsid w:val="001520FE"/>
    <w:rsid w:val="001529A9"/>
    <w:rsid w:val="001544A7"/>
    <w:rsid w:val="00154C0C"/>
    <w:rsid w:val="001618CD"/>
    <w:rsid w:val="00161A24"/>
    <w:rsid w:val="001661E4"/>
    <w:rsid w:val="00166920"/>
    <w:rsid w:val="001675E8"/>
    <w:rsid w:val="00167904"/>
    <w:rsid w:val="00167F22"/>
    <w:rsid w:val="00171679"/>
    <w:rsid w:val="00171C1C"/>
    <w:rsid w:val="00171F66"/>
    <w:rsid w:val="00174FF0"/>
    <w:rsid w:val="0017764C"/>
    <w:rsid w:val="001826B1"/>
    <w:rsid w:val="00183824"/>
    <w:rsid w:val="00184FEA"/>
    <w:rsid w:val="00186034"/>
    <w:rsid w:val="0018661A"/>
    <w:rsid w:val="00186EAA"/>
    <w:rsid w:val="00192EC0"/>
    <w:rsid w:val="00194B60"/>
    <w:rsid w:val="00196D2E"/>
    <w:rsid w:val="001A0DA9"/>
    <w:rsid w:val="001A2248"/>
    <w:rsid w:val="001A3A5E"/>
    <w:rsid w:val="001A3BC1"/>
    <w:rsid w:val="001A4CDA"/>
    <w:rsid w:val="001A7475"/>
    <w:rsid w:val="001A7972"/>
    <w:rsid w:val="001B0D92"/>
    <w:rsid w:val="001B4686"/>
    <w:rsid w:val="001C060B"/>
    <w:rsid w:val="001C2485"/>
    <w:rsid w:val="001C28D1"/>
    <w:rsid w:val="001C4E6C"/>
    <w:rsid w:val="001D15D2"/>
    <w:rsid w:val="001D1991"/>
    <w:rsid w:val="001D19C3"/>
    <w:rsid w:val="001D5325"/>
    <w:rsid w:val="001D5FCE"/>
    <w:rsid w:val="001D682A"/>
    <w:rsid w:val="001D6BCF"/>
    <w:rsid w:val="001E19CC"/>
    <w:rsid w:val="001E3A4B"/>
    <w:rsid w:val="001E6B8F"/>
    <w:rsid w:val="001F0037"/>
    <w:rsid w:val="001F2B6C"/>
    <w:rsid w:val="001F2E44"/>
    <w:rsid w:val="001F49AB"/>
    <w:rsid w:val="001F73C3"/>
    <w:rsid w:val="00200606"/>
    <w:rsid w:val="00202F5C"/>
    <w:rsid w:val="00205EA0"/>
    <w:rsid w:val="00206F87"/>
    <w:rsid w:val="00212695"/>
    <w:rsid w:val="00212A27"/>
    <w:rsid w:val="00212AF8"/>
    <w:rsid w:val="00213930"/>
    <w:rsid w:val="00213B02"/>
    <w:rsid w:val="00214A64"/>
    <w:rsid w:val="00216A5C"/>
    <w:rsid w:val="00217547"/>
    <w:rsid w:val="00223CB4"/>
    <w:rsid w:val="002249E3"/>
    <w:rsid w:val="00231524"/>
    <w:rsid w:val="0023257D"/>
    <w:rsid w:val="00233225"/>
    <w:rsid w:val="00234895"/>
    <w:rsid w:val="00234A23"/>
    <w:rsid w:val="0023514E"/>
    <w:rsid w:val="00235504"/>
    <w:rsid w:val="00240515"/>
    <w:rsid w:val="00240BE5"/>
    <w:rsid w:val="00241D04"/>
    <w:rsid w:val="002437EF"/>
    <w:rsid w:val="00244688"/>
    <w:rsid w:val="0024477F"/>
    <w:rsid w:val="00244E79"/>
    <w:rsid w:val="002454CF"/>
    <w:rsid w:val="002463FC"/>
    <w:rsid w:val="002471CA"/>
    <w:rsid w:val="002476FB"/>
    <w:rsid w:val="00247778"/>
    <w:rsid w:val="00250CA0"/>
    <w:rsid w:val="00252D57"/>
    <w:rsid w:val="00253D42"/>
    <w:rsid w:val="002547E4"/>
    <w:rsid w:val="00255CC3"/>
    <w:rsid w:val="00256457"/>
    <w:rsid w:val="00256498"/>
    <w:rsid w:val="00260D1E"/>
    <w:rsid w:val="00261B8A"/>
    <w:rsid w:val="00262969"/>
    <w:rsid w:val="002703DB"/>
    <w:rsid w:val="0027067A"/>
    <w:rsid w:val="00272825"/>
    <w:rsid w:val="002770D5"/>
    <w:rsid w:val="00277FE6"/>
    <w:rsid w:val="00280023"/>
    <w:rsid w:val="0028095B"/>
    <w:rsid w:val="00285CE6"/>
    <w:rsid w:val="002874D9"/>
    <w:rsid w:val="002878C8"/>
    <w:rsid w:val="002912D6"/>
    <w:rsid w:val="0029297E"/>
    <w:rsid w:val="00292B1F"/>
    <w:rsid w:val="00293792"/>
    <w:rsid w:val="00296404"/>
    <w:rsid w:val="00296E85"/>
    <w:rsid w:val="00297FD8"/>
    <w:rsid w:val="002A143C"/>
    <w:rsid w:val="002A1524"/>
    <w:rsid w:val="002A2853"/>
    <w:rsid w:val="002A4208"/>
    <w:rsid w:val="002A7BAF"/>
    <w:rsid w:val="002B0E7B"/>
    <w:rsid w:val="002B26B9"/>
    <w:rsid w:val="002B5281"/>
    <w:rsid w:val="002B7223"/>
    <w:rsid w:val="002C07F9"/>
    <w:rsid w:val="002C095F"/>
    <w:rsid w:val="002C42B4"/>
    <w:rsid w:val="002C78A7"/>
    <w:rsid w:val="002D25E3"/>
    <w:rsid w:val="002D37E4"/>
    <w:rsid w:val="002D4649"/>
    <w:rsid w:val="002D5846"/>
    <w:rsid w:val="002D6E71"/>
    <w:rsid w:val="002E03E3"/>
    <w:rsid w:val="002E056D"/>
    <w:rsid w:val="002E17FA"/>
    <w:rsid w:val="002E2052"/>
    <w:rsid w:val="002E2094"/>
    <w:rsid w:val="002E3C8E"/>
    <w:rsid w:val="002E40CC"/>
    <w:rsid w:val="002E431E"/>
    <w:rsid w:val="002E59D6"/>
    <w:rsid w:val="002E6CC6"/>
    <w:rsid w:val="002F003A"/>
    <w:rsid w:val="002F34F5"/>
    <w:rsid w:val="002F4221"/>
    <w:rsid w:val="002F7FB2"/>
    <w:rsid w:val="003036B7"/>
    <w:rsid w:val="003040D4"/>
    <w:rsid w:val="00304602"/>
    <w:rsid w:val="00306575"/>
    <w:rsid w:val="003108CF"/>
    <w:rsid w:val="00310EE2"/>
    <w:rsid w:val="0031101A"/>
    <w:rsid w:val="003138A0"/>
    <w:rsid w:val="00314FD5"/>
    <w:rsid w:val="00315DAC"/>
    <w:rsid w:val="00317A65"/>
    <w:rsid w:val="00320C11"/>
    <w:rsid w:val="003223BE"/>
    <w:rsid w:val="00322430"/>
    <w:rsid w:val="00323730"/>
    <w:rsid w:val="0032422B"/>
    <w:rsid w:val="00326C7C"/>
    <w:rsid w:val="00327693"/>
    <w:rsid w:val="00327EF0"/>
    <w:rsid w:val="00330434"/>
    <w:rsid w:val="00330C49"/>
    <w:rsid w:val="0033232A"/>
    <w:rsid w:val="0033324C"/>
    <w:rsid w:val="00334984"/>
    <w:rsid w:val="0033561E"/>
    <w:rsid w:val="00335659"/>
    <w:rsid w:val="00340066"/>
    <w:rsid w:val="003417B5"/>
    <w:rsid w:val="00342DC2"/>
    <w:rsid w:val="003438EC"/>
    <w:rsid w:val="00343EC4"/>
    <w:rsid w:val="00344775"/>
    <w:rsid w:val="003454D5"/>
    <w:rsid w:val="00345ADD"/>
    <w:rsid w:val="00346C1F"/>
    <w:rsid w:val="00346E18"/>
    <w:rsid w:val="00347CF1"/>
    <w:rsid w:val="00351FAD"/>
    <w:rsid w:val="003532C2"/>
    <w:rsid w:val="003546B5"/>
    <w:rsid w:val="003558FA"/>
    <w:rsid w:val="0035731D"/>
    <w:rsid w:val="00357881"/>
    <w:rsid w:val="00360EF5"/>
    <w:rsid w:val="00360FEB"/>
    <w:rsid w:val="00361852"/>
    <w:rsid w:val="003621A4"/>
    <w:rsid w:val="003646C1"/>
    <w:rsid w:val="0036628A"/>
    <w:rsid w:val="00371656"/>
    <w:rsid w:val="00372D82"/>
    <w:rsid w:val="003751B3"/>
    <w:rsid w:val="003757FE"/>
    <w:rsid w:val="00375D1B"/>
    <w:rsid w:val="00376810"/>
    <w:rsid w:val="00376CCE"/>
    <w:rsid w:val="0038252E"/>
    <w:rsid w:val="00382C83"/>
    <w:rsid w:val="00383854"/>
    <w:rsid w:val="003844AD"/>
    <w:rsid w:val="00384BA3"/>
    <w:rsid w:val="00386040"/>
    <w:rsid w:val="003864AA"/>
    <w:rsid w:val="00387DB9"/>
    <w:rsid w:val="00390AA4"/>
    <w:rsid w:val="00391015"/>
    <w:rsid w:val="003921FB"/>
    <w:rsid w:val="00393AA7"/>
    <w:rsid w:val="00397F5A"/>
    <w:rsid w:val="003A0CB5"/>
    <w:rsid w:val="003A1491"/>
    <w:rsid w:val="003A19C3"/>
    <w:rsid w:val="003A3955"/>
    <w:rsid w:val="003A47E5"/>
    <w:rsid w:val="003A6CC8"/>
    <w:rsid w:val="003A7EE4"/>
    <w:rsid w:val="003A7F12"/>
    <w:rsid w:val="003B019C"/>
    <w:rsid w:val="003B01CC"/>
    <w:rsid w:val="003B15EC"/>
    <w:rsid w:val="003B2D72"/>
    <w:rsid w:val="003B2D8C"/>
    <w:rsid w:val="003B3C34"/>
    <w:rsid w:val="003B4EBB"/>
    <w:rsid w:val="003B5F4F"/>
    <w:rsid w:val="003C3361"/>
    <w:rsid w:val="003C498A"/>
    <w:rsid w:val="003C7687"/>
    <w:rsid w:val="003D092F"/>
    <w:rsid w:val="003D4691"/>
    <w:rsid w:val="003D62B2"/>
    <w:rsid w:val="003D75BA"/>
    <w:rsid w:val="003D7F94"/>
    <w:rsid w:val="003E28ED"/>
    <w:rsid w:val="003E412D"/>
    <w:rsid w:val="003E4394"/>
    <w:rsid w:val="003E457D"/>
    <w:rsid w:val="003E51EA"/>
    <w:rsid w:val="003E5B0D"/>
    <w:rsid w:val="003E6A7C"/>
    <w:rsid w:val="003E728F"/>
    <w:rsid w:val="003F0251"/>
    <w:rsid w:val="003F2AFD"/>
    <w:rsid w:val="003F34A1"/>
    <w:rsid w:val="003F50C9"/>
    <w:rsid w:val="003F5DE2"/>
    <w:rsid w:val="003F7AB1"/>
    <w:rsid w:val="00402156"/>
    <w:rsid w:val="00405FAA"/>
    <w:rsid w:val="004072DC"/>
    <w:rsid w:val="00410E19"/>
    <w:rsid w:val="00412FC1"/>
    <w:rsid w:val="00415457"/>
    <w:rsid w:val="00415861"/>
    <w:rsid w:val="00415ABB"/>
    <w:rsid w:val="0041691E"/>
    <w:rsid w:val="00420672"/>
    <w:rsid w:val="004215EB"/>
    <w:rsid w:val="00422ECB"/>
    <w:rsid w:val="00423F96"/>
    <w:rsid w:val="004241F9"/>
    <w:rsid w:val="004250E9"/>
    <w:rsid w:val="00426AF4"/>
    <w:rsid w:val="00426B07"/>
    <w:rsid w:val="00431AB7"/>
    <w:rsid w:val="00432772"/>
    <w:rsid w:val="00433DB4"/>
    <w:rsid w:val="00434685"/>
    <w:rsid w:val="00435AA3"/>
    <w:rsid w:val="00436922"/>
    <w:rsid w:val="00437818"/>
    <w:rsid w:val="00437CB4"/>
    <w:rsid w:val="00441ECC"/>
    <w:rsid w:val="00442002"/>
    <w:rsid w:val="00450491"/>
    <w:rsid w:val="004512D3"/>
    <w:rsid w:val="00451F47"/>
    <w:rsid w:val="00452AE8"/>
    <w:rsid w:val="00454432"/>
    <w:rsid w:val="004568CC"/>
    <w:rsid w:val="004600C5"/>
    <w:rsid w:val="00460946"/>
    <w:rsid w:val="00462156"/>
    <w:rsid w:val="004625B4"/>
    <w:rsid w:val="004627DD"/>
    <w:rsid w:val="00463876"/>
    <w:rsid w:val="0046389A"/>
    <w:rsid w:val="00463E48"/>
    <w:rsid w:val="00464EFB"/>
    <w:rsid w:val="0046529D"/>
    <w:rsid w:val="00467283"/>
    <w:rsid w:val="00467353"/>
    <w:rsid w:val="004704B6"/>
    <w:rsid w:val="004707B2"/>
    <w:rsid w:val="004721F5"/>
    <w:rsid w:val="0047232F"/>
    <w:rsid w:val="00474A6D"/>
    <w:rsid w:val="00475A4C"/>
    <w:rsid w:val="00475E68"/>
    <w:rsid w:val="00477A65"/>
    <w:rsid w:val="004808C5"/>
    <w:rsid w:val="0048113E"/>
    <w:rsid w:val="00481EFD"/>
    <w:rsid w:val="00483697"/>
    <w:rsid w:val="00484E64"/>
    <w:rsid w:val="004861BA"/>
    <w:rsid w:val="00487030"/>
    <w:rsid w:val="00490309"/>
    <w:rsid w:val="004909F3"/>
    <w:rsid w:val="00490E4B"/>
    <w:rsid w:val="0049138F"/>
    <w:rsid w:val="004915C2"/>
    <w:rsid w:val="00491E39"/>
    <w:rsid w:val="00493D46"/>
    <w:rsid w:val="004966E8"/>
    <w:rsid w:val="004A3BC3"/>
    <w:rsid w:val="004A6164"/>
    <w:rsid w:val="004B09B9"/>
    <w:rsid w:val="004B6B14"/>
    <w:rsid w:val="004B78FA"/>
    <w:rsid w:val="004C03F5"/>
    <w:rsid w:val="004C12D3"/>
    <w:rsid w:val="004C4B4F"/>
    <w:rsid w:val="004C5D9E"/>
    <w:rsid w:val="004D1175"/>
    <w:rsid w:val="004D5108"/>
    <w:rsid w:val="004D5631"/>
    <w:rsid w:val="004D6ACF"/>
    <w:rsid w:val="004E1665"/>
    <w:rsid w:val="004E4CCA"/>
    <w:rsid w:val="004E4FB5"/>
    <w:rsid w:val="004E5951"/>
    <w:rsid w:val="004E67A6"/>
    <w:rsid w:val="004E6E1D"/>
    <w:rsid w:val="004E6E9C"/>
    <w:rsid w:val="004E7572"/>
    <w:rsid w:val="004F44F2"/>
    <w:rsid w:val="005033F1"/>
    <w:rsid w:val="00503D85"/>
    <w:rsid w:val="00504181"/>
    <w:rsid w:val="00504505"/>
    <w:rsid w:val="00505C1C"/>
    <w:rsid w:val="00507CE1"/>
    <w:rsid w:val="00513B75"/>
    <w:rsid w:val="00514DF5"/>
    <w:rsid w:val="005159C6"/>
    <w:rsid w:val="00515E97"/>
    <w:rsid w:val="005178A7"/>
    <w:rsid w:val="00517DD8"/>
    <w:rsid w:val="00521C6E"/>
    <w:rsid w:val="00524E71"/>
    <w:rsid w:val="005257BA"/>
    <w:rsid w:val="005262EE"/>
    <w:rsid w:val="0053040F"/>
    <w:rsid w:val="0053091A"/>
    <w:rsid w:val="00530A0F"/>
    <w:rsid w:val="00530CE7"/>
    <w:rsid w:val="005326AB"/>
    <w:rsid w:val="005327B0"/>
    <w:rsid w:val="00532CA8"/>
    <w:rsid w:val="005349AC"/>
    <w:rsid w:val="00534ED9"/>
    <w:rsid w:val="005358EA"/>
    <w:rsid w:val="00536466"/>
    <w:rsid w:val="005402A6"/>
    <w:rsid w:val="00540782"/>
    <w:rsid w:val="005423D5"/>
    <w:rsid w:val="0054343E"/>
    <w:rsid w:val="0054390A"/>
    <w:rsid w:val="005444FC"/>
    <w:rsid w:val="00544B18"/>
    <w:rsid w:val="00546700"/>
    <w:rsid w:val="00552CCF"/>
    <w:rsid w:val="00553EB2"/>
    <w:rsid w:val="0055474F"/>
    <w:rsid w:val="005549A5"/>
    <w:rsid w:val="00554C53"/>
    <w:rsid w:val="00560446"/>
    <w:rsid w:val="00560B80"/>
    <w:rsid w:val="00566241"/>
    <w:rsid w:val="00567E80"/>
    <w:rsid w:val="00570AF8"/>
    <w:rsid w:val="00570FB0"/>
    <w:rsid w:val="00571FF7"/>
    <w:rsid w:val="005736E3"/>
    <w:rsid w:val="0057669F"/>
    <w:rsid w:val="00576A81"/>
    <w:rsid w:val="00577B87"/>
    <w:rsid w:val="00577D0A"/>
    <w:rsid w:val="0058093A"/>
    <w:rsid w:val="0058118C"/>
    <w:rsid w:val="00586A81"/>
    <w:rsid w:val="00587396"/>
    <w:rsid w:val="00592309"/>
    <w:rsid w:val="00592C39"/>
    <w:rsid w:val="00593F8F"/>
    <w:rsid w:val="005940CE"/>
    <w:rsid w:val="0059648D"/>
    <w:rsid w:val="00597F3F"/>
    <w:rsid w:val="005A4932"/>
    <w:rsid w:val="005A4C80"/>
    <w:rsid w:val="005A5A4D"/>
    <w:rsid w:val="005A76C5"/>
    <w:rsid w:val="005B003C"/>
    <w:rsid w:val="005B1053"/>
    <w:rsid w:val="005B1CA3"/>
    <w:rsid w:val="005B25A2"/>
    <w:rsid w:val="005B65B3"/>
    <w:rsid w:val="005C07B4"/>
    <w:rsid w:val="005C160C"/>
    <w:rsid w:val="005C1736"/>
    <w:rsid w:val="005C22D8"/>
    <w:rsid w:val="005C36BF"/>
    <w:rsid w:val="005C50C7"/>
    <w:rsid w:val="005D0834"/>
    <w:rsid w:val="005D1709"/>
    <w:rsid w:val="005D72DD"/>
    <w:rsid w:val="005D7347"/>
    <w:rsid w:val="005E2FE7"/>
    <w:rsid w:val="005E366C"/>
    <w:rsid w:val="005E47FE"/>
    <w:rsid w:val="005F06E1"/>
    <w:rsid w:val="005F0BD9"/>
    <w:rsid w:val="005F143A"/>
    <w:rsid w:val="005F278E"/>
    <w:rsid w:val="005F3127"/>
    <w:rsid w:val="005F36DB"/>
    <w:rsid w:val="005F4F6A"/>
    <w:rsid w:val="005F6E31"/>
    <w:rsid w:val="0060053B"/>
    <w:rsid w:val="00600D4C"/>
    <w:rsid w:val="00605E17"/>
    <w:rsid w:val="006112A6"/>
    <w:rsid w:val="006123B0"/>
    <w:rsid w:val="00612CB7"/>
    <w:rsid w:val="00613A75"/>
    <w:rsid w:val="00613CCA"/>
    <w:rsid w:val="00614F29"/>
    <w:rsid w:val="00615436"/>
    <w:rsid w:val="006163AD"/>
    <w:rsid w:val="006209A7"/>
    <w:rsid w:val="00620E25"/>
    <w:rsid w:val="00620ECB"/>
    <w:rsid w:val="0062116E"/>
    <w:rsid w:val="00625502"/>
    <w:rsid w:val="00627D9F"/>
    <w:rsid w:val="00630473"/>
    <w:rsid w:val="0063153F"/>
    <w:rsid w:val="00632AB0"/>
    <w:rsid w:val="00633925"/>
    <w:rsid w:val="00633BD8"/>
    <w:rsid w:val="00634282"/>
    <w:rsid w:val="00634EB6"/>
    <w:rsid w:val="00636797"/>
    <w:rsid w:val="00637FCD"/>
    <w:rsid w:val="00642D06"/>
    <w:rsid w:val="00643F9C"/>
    <w:rsid w:val="006441E4"/>
    <w:rsid w:val="00646A9F"/>
    <w:rsid w:val="00647DA3"/>
    <w:rsid w:val="0065029C"/>
    <w:rsid w:val="00650CC4"/>
    <w:rsid w:val="006551A7"/>
    <w:rsid w:val="00657604"/>
    <w:rsid w:val="00657D67"/>
    <w:rsid w:val="0066058A"/>
    <w:rsid w:val="00660651"/>
    <w:rsid w:val="00661DCE"/>
    <w:rsid w:val="00663203"/>
    <w:rsid w:val="00663863"/>
    <w:rsid w:val="00663E39"/>
    <w:rsid w:val="006645D7"/>
    <w:rsid w:val="0067171B"/>
    <w:rsid w:val="00675E43"/>
    <w:rsid w:val="006760B2"/>
    <w:rsid w:val="006825E2"/>
    <w:rsid w:val="00682CAE"/>
    <w:rsid w:val="00684175"/>
    <w:rsid w:val="006846BD"/>
    <w:rsid w:val="00685550"/>
    <w:rsid w:val="00687575"/>
    <w:rsid w:val="00690EF2"/>
    <w:rsid w:val="0069105C"/>
    <w:rsid w:val="00694216"/>
    <w:rsid w:val="00694C14"/>
    <w:rsid w:val="00695148"/>
    <w:rsid w:val="00695227"/>
    <w:rsid w:val="006959EE"/>
    <w:rsid w:val="006978E6"/>
    <w:rsid w:val="006A0D15"/>
    <w:rsid w:val="006A0E3E"/>
    <w:rsid w:val="006A1000"/>
    <w:rsid w:val="006A4B1F"/>
    <w:rsid w:val="006A4EDE"/>
    <w:rsid w:val="006B1219"/>
    <w:rsid w:val="006B4163"/>
    <w:rsid w:val="006B42F5"/>
    <w:rsid w:val="006B67B9"/>
    <w:rsid w:val="006C03B7"/>
    <w:rsid w:val="006C2AF6"/>
    <w:rsid w:val="006C3050"/>
    <w:rsid w:val="006C360B"/>
    <w:rsid w:val="006C5E1D"/>
    <w:rsid w:val="006C6115"/>
    <w:rsid w:val="006C7433"/>
    <w:rsid w:val="006C7580"/>
    <w:rsid w:val="006C759C"/>
    <w:rsid w:val="006C7704"/>
    <w:rsid w:val="006C7F72"/>
    <w:rsid w:val="006D15BF"/>
    <w:rsid w:val="006D1A15"/>
    <w:rsid w:val="006D208D"/>
    <w:rsid w:val="006D2427"/>
    <w:rsid w:val="006D2CE2"/>
    <w:rsid w:val="006D4491"/>
    <w:rsid w:val="006D53C7"/>
    <w:rsid w:val="006D57D0"/>
    <w:rsid w:val="006D7A66"/>
    <w:rsid w:val="006D7C82"/>
    <w:rsid w:val="006E0ABE"/>
    <w:rsid w:val="006E17A5"/>
    <w:rsid w:val="006E2C44"/>
    <w:rsid w:val="006E2FDC"/>
    <w:rsid w:val="006E36EB"/>
    <w:rsid w:val="006E36F1"/>
    <w:rsid w:val="006E5C2F"/>
    <w:rsid w:val="006F0268"/>
    <w:rsid w:val="006F1AE0"/>
    <w:rsid w:val="006F281C"/>
    <w:rsid w:val="006F47C5"/>
    <w:rsid w:val="006F4F3C"/>
    <w:rsid w:val="006F5ACE"/>
    <w:rsid w:val="00704125"/>
    <w:rsid w:val="00704C64"/>
    <w:rsid w:val="007062C3"/>
    <w:rsid w:val="00706415"/>
    <w:rsid w:val="00706ED8"/>
    <w:rsid w:val="00710D6B"/>
    <w:rsid w:val="007127A0"/>
    <w:rsid w:val="007212B5"/>
    <w:rsid w:val="00721FDF"/>
    <w:rsid w:val="00723757"/>
    <w:rsid w:val="00724119"/>
    <w:rsid w:val="0072504C"/>
    <w:rsid w:val="007259BD"/>
    <w:rsid w:val="00726BD9"/>
    <w:rsid w:val="00727CF2"/>
    <w:rsid w:val="007359F4"/>
    <w:rsid w:val="007406D9"/>
    <w:rsid w:val="00742590"/>
    <w:rsid w:val="007436C3"/>
    <w:rsid w:val="007449FE"/>
    <w:rsid w:val="00745A2E"/>
    <w:rsid w:val="007465A3"/>
    <w:rsid w:val="00750346"/>
    <w:rsid w:val="007503DA"/>
    <w:rsid w:val="007517B8"/>
    <w:rsid w:val="00751C12"/>
    <w:rsid w:val="00751C1C"/>
    <w:rsid w:val="00754F3C"/>
    <w:rsid w:val="00763285"/>
    <w:rsid w:val="00763457"/>
    <w:rsid w:val="00765935"/>
    <w:rsid w:val="00766CC4"/>
    <w:rsid w:val="007700E4"/>
    <w:rsid w:val="00771DD0"/>
    <w:rsid w:val="007734B2"/>
    <w:rsid w:val="00775DC9"/>
    <w:rsid w:val="007815FD"/>
    <w:rsid w:val="00782570"/>
    <w:rsid w:val="007863F0"/>
    <w:rsid w:val="007875DE"/>
    <w:rsid w:val="00793C9C"/>
    <w:rsid w:val="0079584B"/>
    <w:rsid w:val="00796143"/>
    <w:rsid w:val="00796C70"/>
    <w:rsid w:val="007A25D7"/>
    <w:rsid w:val="007A4EDE"/>
    <w:rsid w:val="007B3C81"/>
    <w:rsid w:val="007B3F80"/>
    <w:rsid w:val="007B7942"/>
    <w:rsid w:val="007C0D10"/>
    <w:rsid w:val="007C1AA5"/>
    <w:rsid w:val="007C43C8"/>
    <w:rsid w:val="007C451B"/>
    <w:rsid w:val="007D0512"/>
    <w:rsid w:val="007D107A"/>
    <w:rsid w:val="007D428F"/>
    <w:rsid w:val="007D516C"/>
    <w:rsid w:val="007D7594"/>
    <w:rsid w:val="007D7D45"/>
    <w:rsid w:val="007E0874"/>
    <w:rsid w:val="007E11DA"/>
    <w:rsid w:val="007E18EF"/>
    <w:rsid w:val="007E3399"/>
    <w:rsid w:val="007E3F5B"/>
    <w:rsid w:val="007E417B"/>
    <w:rsid w:val="007E4DF2"/>
    <w:rsid w:val="007E50F0"/>
    <w:rsid w:val="007E6CFB"/>
    <w:rsid w:val="007F03E0"/>
    <w:rsid w:val="007F0CCE"/>
    <w:rsid w:val="007F0F0A"/>
    <w:rsid w:val="007F10A8"/>
    <w:rsid w:val="007F1894"/>
    <w:rsid w:val="007F3669"/>
    <w:rsid w:val="007F3A7B"/>
    <w:rsid w:val="007F708C"/>
    <w:rsid w:val="008001AA"/>
    <w:rsid w:val="00803C0A"/>
    <w:rsid w:val="00804336"/>
    <w:rsid w:val="00806D29"/>
    <w:rsid w:val="00806F22"/>
    <w:rsid w:val="00810626"/>
    <w:rsid w:val="00810BA6"/>
    <w:rsid w:val="00810BEC"/>
    <w:rsid w:val="008112D7"/>
    <w:rsid w:val="008113CB"/>
    <w:rsid w:val="00811A74"/>
    <w:rsid w:val="00814448"/>
    <w:rsid w:val="00814A9F"/>
    <w:rsid w:val="00814B64"/>
    <w:rsid w:val="008165DE"/>
    <w:rsid w:val="00816B17"/>
    <w:rsid w:val="008177F1"/>
    <w:rsid w:val="0082173F"/>
    <w:rsid w:val="0082491E"/>
    <w:rsid w:val="0082729B"/>
    <w:rsid w:val="00830CBE"/>
    <w:rsid w:val="00830EEC"/>
    <w:rsid w:val="00833043"/>
    <w:rsid w:val="008331B1"/>
    <w:rsid w:val="008353BE"/>
    <w:rsid w:val="00840884"/>
    <w:rsid w:val="008438E0"/>
    <w:rsid w:val="00846A6C"/>
    <w:rsid w:val="008514C5"/>
    <w:rsid w:val="008520DE"/>
    <w:rsid w:val="00853A0D"/>
    <w:rsid w:val="00853BBD"/>
    <w:rsid w:val="00854677"/>
    <w:rsid w:val="00855B31"/>
    <w:rsid w:val="00857A01"/>
    <w:rsid w:val="00860539"/>
    <w:rsid w:val="00861C3C"/>
    <w:rsid w:val="00863AFF"/>
    <w:rsid w:val="00863B9D"/>
    <w:rsid w:val="00865239"/>
    <w:rsid w:val="00867DAD"/>
    <w:rsid w:val="00872D57"/>
    <w:rsid w:val="00877DD9"/>
    <w:rsid w:val="00880153"/>
    <w:rsid w:val="008802ED"/>
    <w:rsid w:val="00880C75"/>
    <w:rsid w:val="0088174B"/>
    <w:rsid w:val="00883488"/>
    <w:rsid w:val="00884106"/>
    <w:rsid w:val="00884E59"/>
    <w:rsid w:val="00884EEC"/>
    <w:rsid w:val="008925F0"/>
    <w:rsid w:val="00892A37"/>
    <w:rsid w:val="008931CD"/>
    <w:rsid w:val="00893C64"/>
    <w:rsid w:val="0089511F"/>
    <w:rsid w:val="00897A9B"/>
    <w:rsid w:val="00897AE6"/>
    <w:rsid w:val="008A2155"/>
    <w:rsid w:val="008A3D27"/>
    <w:rsid w:val="008A5EEC"/>
    <w:rsid w:val="008A723C"/>
    <w:rsid w:val="008B07B3"/>
    <w:rsid w:val="008B0D60"/>
    <w:rsid w:val="008B444E"/>
    <w:rsid w:val="008B5413"/>
    <w:rsid w:val="008C3F9E"/>
    <w:rsid w:val="008C6843"/>
    <w:rsid w:val="008D2400"/>
    <w:rsid w:val="008D27AF"/>
    <w:rsid w:val="008D4329"/>
    <w:rsid w:val="008D4BC6"/>
    <w:rsid w:val="008D5368"/>
    <w:rsid w:val="008D6156"/>
    <w:rsid w:val="008D61AA"/>
    <w:rsid w:val="008D74EA"/>
    <w:rsid w:val="008E21F9"/>
    <w:rsid w:val="008E4FE2"/>
    <w:rsid w:val="008F01FE"/>
    <w:rsid w:val="008F0956"/>
    <w:rsid w:val="008F29FA"/>
    <w:rsid w:val="008F2A03"/>
    <w:rsid w:val="008F479C"/>
    <w:rsid w:val="008F5FC4"/>
    <w:rsid w:val="008F6816"/>
    <w:rsid w:val="008F714F"/>
    <w:rsid w:val="008F7A1A"/>
    <w:rsid w:val="0090097D"/>
    <w:rsid w:val="00900BCF"/>
    <w:rsid w:val="009018EC"/>
    <w:rsid w:val="009020BF"/>
    <w:rsid w:val="009116DB"/>
    <w:rsid w:val="00911CF7"/>
    <w:rsid w:val="009148ED"/>
    <w:rsid w:val="0091490C"/>
    <w:rsid w:val="00915988"/>
    <w:rsid w:val="00915F4E"/>
    <w:rsid w:val="00921A44"/>
    <w:rsid w:val="009225AE"/>
    <w:rsid w:val="0092265D"/>
    <w:rsid w:val="00923899"/>
    <w:rsid w:val="009239F8"/>
    <w:rsid w:val="00924736"/>
    <w:rsid w:val="0092475A"/>
    <w:rsid w:val="0092712E"/>
    <w:rsid w:val="00930052"/>
    <w:rsid w:val="009312E7"/>
    <w:rsid w:val="009320B0"/>
    <w:rsid w:val="00932832"/>
    <w:rsid w:val="00932A81"/>
    <w:rsid w:val="009345FC"/>
    <w:rsid w:val="00934EF3"/>
    <w:rsid w:val="00935D4B"/>
    <w:rsid w:val="009409CF"/>
    <w:rsid w:val="0094168B"/>
    <w:rsid w:val="009416BD"/>
    <w:rsid w:val="009419EB"/>
    <w:rsid w:val="00942270"/>
    <w:rsid w:val="009530C3"/>
    <w:rsid w:val="00956325"/>
    <w:rsid w:val="0095675F"/>
    <w:rsid w:val="00960C3C"/>
    <w:rsid w:val="00961DCA"/>
    <w:rsid w:val="00964C3F"/>
    <w:rsid w:val="0096515A"/>
    <w:rsid w:val="009656BD"/>
    <w:rsid w:val="00965959"/>
    <w:rsid w:val="00967126"/>
    <w:rsid w:val="00967B26"/>
    <w:rsid w:val="00970A7C"/>
    <w:rsid w:val="00971EC7"/>
    <w:rsid w:val="009741F0"/>
    <w:rsid w:val="009742AB"/>
    <w:rsid w:val="009809B6"/>
    <w:rsid w:val="00980B98"/>
    <w:rsid w:val="00981B38"/>
    <w:rsid w:val="00982738"/>
    <w:rsid w:val="00982FD8"/>
    <w:rsid w:val="0098303E"/>
    <w:rsid w:val="009855DB"/>
    <w:rsid w:val="009866B1"/>
    <w:rsid w:val="00990998"/>
    <w:rsid w:val="0099316A"/>
    <w:rsid w:val="009938B2"/>
    <w:rsid w:val="00993C5A"/>
    <w:rsid w:val="00995BBC"/>
    <w:rsid w:val="009A0D0C"/>
    <w:rsid w:val="009A0DBB"/>
    <w:rsid w:val="009A2855"/>
    <w:rsid w:val="009A373F"/>
    <w:rsid w:val="009A63B8"/>
    <w:rsid w:val="009A6562"/>
    <w:rsid w:val="009A7A5B"/>
    <w:rsid w:val="009B03C5"/>
    <w:rsid w:val="009B1F73"/>
    <w:rsid w:val="009B32EA"/>
    <w:rsid w:val="009B3914"/>
    <w:rsid w:val="009B4220"/>
    <w:rsid w:val="009B642C"/>
    <w:rsid w:val="009C06DC"/>
    <w:rsid w:val="009C13F0"/>
    <w:rsid w:val="009C195F"/>
    <w:rsid w:val="009C2B15"/>
    <w:rsid w:val="009C2BBC"/>
    <w:rsid w:val="009C5F0A"/>
    <w:rsid w:val="009C7C91"/>
    <w:rsid w:val="009D1899"/>
    <w:rsid w:val="009D38BC"/>
    <w:rsid w:val="009D50F7"/>
    <w:rsid w:val="009D6729"/>
    <w:rsid w:val="009D713D"/>
    <w:rsid w:val="009E0FAE"/>
    <w:rsid w:val="009E2707"/>
    <w:rsid w:val="009E3189"/>
    <w:rsid w:val="009E3DF7"/>
    <w:rsid w:val="009E4D3E"/>
    <w:rsid w:val="009F2A98"/>
    <w:rsid w:val="009F4B25"/>
    <w:rsid w:val="009F7638"/>
    <w:rsid w:val="00A01692"/>
    <w:rsid w:val="00A020C6"/>
    <w:rsid w:val="00A03016"/>
    <w:rsid w:val="00A06D76"/>
    <w:rsid w:val="00A074C1"/>
    <w:rsid w:val="00A10E18"/>
    <w:rsid w:val="00A117D4"/>
    <w:rsid w:val="00A11DBF"/>
    <w:rsid w:val="00A131B9"/>
    <w:rsid w:val="00A136FF"/>
    <w:rsid w:val="00A165A6"/>
    <w:rsid w:val="00A16F3F"/>
    <w:rsid w:val="00A172C0"/>
    <w:rsid w:val="00A22AE3"/>
    <w:rsid w:val="00A23CD8"/>
    <w:rsid w:val="00A24210"/>
    <w:rsid w:val="00A2552E"/>
    <w:rsid w:val="00A267A0"/>
    <w:rsid w:val="00A32AA9"/>
    <w:rsid w:val="00A33467"/>
    <w:rsid w:val="00A343E6"/>
    <w:rsid w:val="00A34D82"/>
    <w:rsid w:val="00A35120"/>
    <w:rsid w:val="00A3577D"/>
    <w:rsid w:val="00A35BC6"/>
    <w:rsid w:val="00A36E29"/>
    <w:rsid w:val="00A37059"/>
    <w:rsid w:val="00A3756C"/>
    <w:rsid w:val="00A37CD6"/>
    <w:rsid w:val="00A404B6"/>
    <w:rsid w:val="00A41A0C"/>
    <w:rsid w:val="00A450CA"/>
    <w:rsid w:val="00A53FA3"/>
    <w:rsid w:val="00A57621"/>
    <w:rsid w:val="00A60EDB"/>
    <w:rsid w:val="00A60F73"/>
    <w:rsid w:val="00A62627"/>
    <w:rsid w:val="00A62689"/>
    <w:rsid w:val="00A62F63"/>
    <w:rsid w:val="00A64865"/>
    <w:rsid w:val="00A66AE8"/>
    <w:rsid w:val="00A70BAA"/>
    <w:rsid w:val="00A72ACD"/>
    <w:rsid w:val="00A7764B"/>
    <w:rsid w:val="00A81937"/>
    <w:rsid w:val="00A84B48"/>
    <w:rsid w:val="00A854DF"/>
    <w:rsid w:val="00A85603"/>
    <w:rsid w:val="00A9107D"/>
    <w:rsid w:val="00A93364"/>
    <w:rsid w:val="00A94C1A"/>
    <w:rsid w:val="00A95522"/>
    <w:rsid w:val="00A95BF1"/>
    <w:rsid w:val="00A97871"/>
    <w:rsid w:val="00AA006E"/>
    <w:rsid w:val="00AA1B81"/>
    <w:rsid w:val="00AA4537"/>
    <w:rsid w:val="00AA7281"/>
    <w:rsid w:val="00AB0A06"/>
    <w:rsid w:val="00AB5AF2"/>
    <w:rsid w:val="00AB5CDF"/>
    <w:rsid w:val="00AB6E65"/>
    <w:rsid w:val="00AB7FF0"/>
    <w:rsid w:val="00AC0AC4"/>
    <w:rsid w:val="00AC26DB"/>
    <w:rsid w:val="00AC2756"/>
    <w:rsid w:val="00AC3118"/>
    <w:rsid w:val="00AC49D4"/>
    <w:rsid w:val="00AC77F5"/>
    <w:rsid w:val="00AD219D"/>
    <w:rsid w:val="00AD3250"/>
    <w:rsid w:val="00AD380E"/>
    <w:rsid w:val="00AD3D24"/>
    <w:rsid w:val="00AD788E"/>
    <w:rsid w:val="00AE5297"/>
    <w:rsid w:val="00AE55E7"/>
    <w:rsid w:val="00AE6A96"/>
    <w:rsid w:val="00AF10A9"/>
    <w:rsid w:val="00AF1972"/>
    <w:rsid w:val="00AF2DAF"/>
    <w:rsid w:val="00AF5C1F"/>
    <w:rsid w:val="00AF6610"/>
    <w:rsid w:val="00AF76D7"/>
    <w:rsid w:val="00B00F73"/>
    <w:rsid w:val="00B01961"/>
    <w:rsid w:val="00B01DD8"/>
    <w:rsid w:val="00B031C9"/>
    <w:rsid w:val="00B06CF3"/>
    <w:rsid w:val="00B0755E"/>
    <w:rsid w:val="00B07C4C"/>
    <w:rsid w:val="00B10097"/>
    <w:rsid w:val="00B10A33"/>
    <w:rsid w:val="00B10B45"/>
    <w:rsid w:val="00B10EA7"/>
    <w:rsid w:val="00B1330E"/>
    <w:rsid w:val="00B1379B"/>
    <w:rsid w:val="00B13DE2"/>
    <w:rsid w:val="00B13E6F"/>
    <w:rsid w:val="00B152C8"/>
    <w:rsid w:val="00B168F1"/>
    <w:rsid w:val="00B16F64"/>
    <w:rsid w:val="00B227A6"/>
    <w:rsid w:val="00B31B25"/>
    <w:rsid w:val="00B3584D"/>
    <w:rsid w:val="00B35978"/>
    <w:rsid w:val="00B35D6E"/>
    <w:rsid w:val="00B36750"/>
    <w:rsid w:val="00B37C5D"/>
    <w:rsid w:val="00B41ADC"/>
    <w:rsid w:val="00B42621"/>
    <w:rsid w:val="00B43F2B"/>
    <w:rsid w:val="00B44859"/>
    <w:rsid w:val="00B448B2"/>
    <w:rsid w:val="00B45241"/>
    <w:rsid w:val="00B454A6"/>
    <w:rsid w:val="00B457B6"/>
    <w:rsid w:val="00B46795"/>
    <w:rsid w:val="00B469D5"/>
    <w:rsid w:val="00B520D0"/>
    <w:rsid w:val="00B54235"/>
    <w:rsid w:val="00B55956"/>
    <w:rsid w:val="00B568A7"/>
    <w:rsid w:val="00B574A5"/>
    <w:rsid w:val="00B578BB"/>
    <w:rsid w:val="00B609CB"/>
    <w:rsid w:val="00B62E44"/>
    <w:rsid w:val="00B63EDA"/>
    <w:rsid w:val="00B646EE"/>
    <w:rsid w:val="00B65FA6"/>
    <w:rsid w:val="00B671C0"/>
    <w:rsid w:val="00B676AB"/>
    <w:rsid w:val="00B732EE"/>
    <w:rsid w:val="00B7331D"/>
    <w:rsid w:val="00B74329"/>
    <w:rsid w:val="00B7518F"/>
    <w:rsid w:val="00B75AD2"/>
    <w:rsid w:val="00B76C4E"/>
    <w:rsid w:val="00B777E9"/>
    <w:rsid w:val="00B816C1"/>
    <w:rsid w:val="00B81E59"/>
    <w:rsid w:val="00B827B6"/>
    <w:rsid w:val="00B82951"/>
    <w:rsid w:val="00B84042"/>
    <w:rsid w:val="00B90D62"/>
    <w:rsid w:val="00B90D97"/>
    <w:rsid w:val="00B91A42"/>
    <w:rsid w:val="00B94696"/>
    <w:rsid w:val="00B972A4"/>
    <w:rsid w:val="00BA0B39"/>
    <w:rsid w:val="00BA1CBE"/>
    <w:rsid w:val="00BA36E5"/>
    <w:rsid w:val="00BA3D72"/>
    <w:rsid w:val="00BA5713"/>
    <w:rsid w:val="00BA68BA"/>
    <w:rsid w:val="00BA7E11"/>
    <w:rsid w:val="00BB065A"/>
    <w:rsid w:val="00BB08D7"/>
    <w:rsid w:val="00BB26D5"/>
    <w:rsid w:val="00BB2D70"/>
    <w:rsid w:val="00BB4275"/>
    <w:rsid w:val="00BB4358"/>
    <w:rsid w:val="00BC2FA1"/>
    <w:rsid w:val="00BC5214"/>
    <w:rsid w:val="00BC59A9"/>
    <w:rsid w:val="00BC5A47"/>
    <w:rsid w:val="00BC6F98"/>
    <w:rsid w:val="00BD0C6B"/>
    <w:rsid w:val="00BD166D"/>
    <w:rsid w:val="00BD1836"/>
    <w:rsid w:val="00BD3ACD"/>
    <w:rsid w:val="00BD5D3B"/>
    <w:rsid w:val="00BD621D"/>
    <w:rsid w:val="00BD7F63"/>
    <w:rsid w:val="00BE46D1"/>
    <w:rsid w:val="00BE5A38"/>
    <w:rsid w:val="00BE5A79"/>
    <w:rsid w:val="00BE7494"/>
    <w:rsid w:val="00BF18A8"/>
    <w:rsid w:val="00BF1AF7"/>
    <w:rsid w:val="00BF22B7"/>
    <w:rsid w:val="00BF2763"/>
    <w:rsid w:val="00BF3C4A"/>
    <w:rsid w:val="00BF4A35"/>
    <w:rsid w:val="00BF5029"/>
    <w:rsid w:val="00BF74C0"/>
    <w:rsid w:val="00C0211A"/>
    <w:rsid w:val="00C041D1"/>
    <w:rsid w:val="00C05B58"/>
    <w:rsid w:val="00C061C4"/>
    <w:rsid w:val="00C1030F"/>
    <w:rsid w:val="00C1757D"/>
    <w:rsid w:val="00C18977"/>
    <w:rsid w:val="00C20157"/>
    <w:rsid w:val="00C214E8"/>
    <w:rsid w:val="00C2238D"/>
    <w:rsid w:val="00C2303E"/>
    <w:rsid w:val="00C24481"/>
    <w:rsid w:val="00C3176B"/>
    <w:rsid w:val="00C32412"/>
    <w:rsid w:val="00C33FD6"/>
    <w:rsid w:val="00C34286"/>
    <w:rsid w:val="00C35121"/>
    <w:rsid w:val="00C4019B"/>
    <w:rsid w:val="00C4058B"/>
    <w:rsid w:val="00C419DB"/>
    <w:rsid w:val="00C41E89"/>
    <w:rsid w:val="00C436D6"/>
    <w:rsid w:val="00C50265"/>
    <w:rsid w:val="00C53107"/>
    <w:rsid w:val="00C55D6D"/>
    <w:rsid w:val="00C56D3A"/>
    <w:rsid w:val="00C57056"/>
    <w:rsid w:val="00C62ECC"/>
    <w:rsid w:val="00C6398E"/>
    <w:rsid w:val="00C647EF"/>
    <w:rsid w:val="00C66DC5"/>
    <w:rsid w:val="00C7105D"/>
    <w:rsid w:val="00C75387"/>
    <w:rsid w:val="00C76130"/>
    <w:rsid w:val="00C766B5"/>
    <w:rsid w:val="00C769AF"/>
    <w:rsid w:val="00C76D9F"/>
    <w:rsid w:val="00C81D1B"/>
    <w:rsid w:val="00C840D0"/>
    <w:rsid w:val="00C843B1"/>
    <w:rsid w:val="00C84652"/>
    <w:rsid w:val="00C87A12"/>
    <w:rsid w:val="00C92045"/>
    <w:rsid w:val="00C920D0"/>
    <w:rsid w:val="00C93C52"/>
    <w:rsid w:val="00C96195"/>
    <w:rsid w:val="00C968EA"/>
    <w:rsid w:val="00C96B3F"/>
    <w:rsid w:val="00C97F1F"/>
    <w:rsid w:val="00CA2859"/>
    <w:rsid w:val="00CA4266"/>
    <w:rsid w:val="00CA5F3E"/>
    <w:rsid w:val="00CA6B76"/>
    <w:rsid w:val="00CA742A"/>
    <w:rsid w:val="00CB0EEA"/>
    <w:rsid w:val="00CB1554"/>
    <w:rsid w:val="00CB15DE"/>
    <w:rsid w:val="00CB2CED"/>
    <w:rsid w:val="00CB407B"/>
    <w:rsid w:val="00CB491B"/>
    <w:rsid w:val="00CB6F80"/>
    <w:rsid w:val="00CB77A6"/>
    <w:rsid w:val="00CC2409"/>
    <w:rsid w:val="00CC5B42"/>
    <w:rsid w:val="00CC6806"/>
    <w:rsid w:val="00CD11C7"/>
    <w:rsid w:val="00CD4A28"/>
    <w:rsid w:val="00CD5CBE"/>
    <w:rsid w:val="00CD7599"/>
    <w:rsid w:val="00CE0543"/>
    <w:rsid w:val="00CE1AAE"/>
    <w:rsid w:val="00CE2DEA"/>
    <w:rsid w:val="00CE3126"/>
    <w:rsid w:val="00CE403E"/>
    <w:rsid w:val="00CE4B7C"/>
    <w:rsid w:val="00CF0522"/>
    <w:rsid w:val="00CF3D2D"/>
    <w:rsid w:val="00CF454B"/>
    <w:rsid w:val="00CF4B04"/>
    <w:rsid w:val="00CF4DE4"/>
    <w:rsid w:val="00CF4F77"/>
    <w:rsid w:val="00CF4FF0"/>
    <w:rsid w:val="00CF5A51"/>
    <w:rsid w:val="00CF7634"/>
    <w:rsid w:val="00D018DB"/>
    <w:rsid w:val="00D032FB"/>
    <w:rsid w:val="00D0481B"/>
    <w:rsid w:val="00D11E21"/>
    <w:rsid w:val="00D129FA"/>
    <w:rsid w:val="00D12A47"/>
    <w:rsid w:val="00D12A49"/>
    <w:rsid w:val="00D12AA1"/>
    <w:rsid w:val="00D12CEF"/>
    <w:rsid w:val="00D14EE3"/>
    <w:rsid w:val="00D15566"/>
    <w:rsid w:val="00D161D8"/>
    <w:rsid w:val="00D16B75"/>
    <w:rsid w:val="00D215B3"/>
    <w:rsid w:val="00D234BE"/>
    <w:rsid w:val="00D23FDB"/>
    <w:rsid w:val="00D242BE"/>
    <w:rsid w:val="00D25920"/>
    <w:rsid w:val="00D259A7"/>
    <w:rsid w:val="00D25DDD"/>
    <w:rsid w:val="00D26112"/>
    <w:rsid w:val="00D27D9A"/>
    <w:rsid w:val="00D30B22"/>
    <w:rsid w:val="00D322C2"/>
    <w:rsid w:val="00D331ED"/>
    <w:rsid w:val="00D33437"/>
    <w:rsid w:val="00D341B0"/>
    <w:rsid w:val="00D34DF4"/>
    <w:rsid w:val="00D35236"/>
    <w:rsid w:val="00D35C50"/>
    <w:rsid w:val="00D363C7"/>
    <w:rsid w:val="00D37B60"/>
    <w:rsid w:val="00D43568"/>
    <w:rsid w:val="00D43D49"/>
    <w:rsid w:val="00D43E79"/>
    <w:rsid w:val="00D44B8F"/>
    <w:rsid w:val="00D452C8"/>
    <w:rsid w:val="00D4531E"/>
    <w:rsid w:val="00D4715F"/>
    <w:rsid w:val="00D4785E"/>
    <w:rsid w:val="00D50FFB"/>
    <w:rsid w:val="00D52E4D"/>
    <w:rsid w:val="00D566CF"/>
    <w:rsid w:val="00D60546"/>
    <w:rsid w:val="00D613A1"/>
    <w:rsid w:val="00D6194D"/>
    <w:rsid w:val="00D61FC5"/>
    <w:rsid w:val="00D626F9"/>
    <w:rsid w:val="00D62745"/>
    <w:rsid w:val="00D65B91"/>
    <w:rsid w:val="00D66401"/>
    <w:rsid w:val="00D701C4"/>
    <w:rsid w:val="00D704A5"/>
    <w:rsid w:val="00D72EE9"/>
    <w:rsid w:val="00D7360E"/>
    <w:rsid w:val="00D73EFA"/>
    <w:rsid w:val="00D808BC"/>
    <w:rsid w:val="00D81326"/>
    <w:rsid w:val="00D816AA"/>
    <w:rsid w:val="00D8356F"/>
    <w:rsid w:val="00D84F33"/>
    <w:rsid w:val="00D85195"/>
    <w:rsid w:val="00D86A8C"/>
    <w:rsid w:val="00D86F3C"/>
    <w:rsid w:val="00D8784D"/>
    <w:rsid w:val="00D87B64"/>
    <w:rsid w:val="00D902EB"/>
    <w:rsid w:val="00D91D0A"/>
    <w:rsid w:val="00D93C1A"/>
    <w:rsid w:val="00D94286"/>
    <w:rsid w:val="00D942BF"/>
    <w:rsid w:val="00DA2EF7"/>
    <w:rsid w:val="00DA3B75"/>
    <w:rsid w:val="00DA5C24"/>
    <w:rsid w:val="00DB0C64"/>
    <w:rsid w:val="00DB1246"/>
    <w:rsid w:val="00DB23E1"/>
    <w:rsid w:val="00DB2C0A"/>
    <w:rsid w:val="00DB509D"/>
    <w:rsid w:val="00DB55F2"/>
    <w:rsid w:val="00DB6766"/>
    <w:rsid w:val="00DB69B5"/>
    <w:rsid w:val="00DB7950"/>
    <w:rsid w:val="00DB7A1D"/>
    <w:rsid w:val="00DC2054"/>
    <w:rsid w:val="00DC2727"/>
    <w:rsid w:val="00DC2B7A"/>
    <w:rsid w:val="00DC5879"/>
    <w:rsid w:val="00DC5B36"/>
    <w:rsid w:val="00DC6D4A"/>
    <w:rsid w:val="00DC7C0F"/>
    <w:rsid w:val="00DD07D5"/>
    <w:rsid w:val="00DD2552"/>
    <w:rsid w:val="00DD747F"/>
    <w:rsid w:val="00DE1CDF"/>
    <w:rsid w:val="00DE61C7"/>
    <w:rsid w:val="00DE771B"/>
    <w:rsid w:val="00DE7CE8"/>
    <w:rsid w:val="00DF012D"/>
    <w:rsid w:val="00DF15E8"/>
    <w:rsid w:val="00DF3A96"/>
    <w:rsid w:val="00DF5B0E"/>
    <w:rsid w:val="00DF6417"/>
    <w:rsid w:val="00DF7CF5"/>
    <w:rsid w:val="00E00B0C"/>
    <w:rsid w:val="00E0196E"/>
    <w:rsid w:val="00E025F8"/>
    <w:rsid w:val="00E05271"/>
    <w:rsid w:val="00E06096"/>
    <w:rsid w:val="00E06143"/>
    <w:rsid w:val="00E07725"/>
    <w:rsid w:val="00E10689"/>
    <w:rsid w:val="00E10F39"/>
    <w:rsid w:val="00E125F2"/>
    <w:rsid w:val="00E1280A"/>
    <w:rsid w:val="00E13A51"/>
    <w:rsid w:val="00E13B6B"/>
    <w:rsid w:val="00E1485A"/>
    <w:rsid w:val="00E16F6A"/>
    <w:rsid w:val="00E1729F"/>
    <w:rsid w:val="00E2160E"/>
    <w:rsid w:val="00E23DBF"/>
    <w:rsid w:val="00E24E09"/>
    <w:rsid w:val="00E2599A"/>
    <w:rsid w:val="00E25E98"/>
    <w:rsid w:val="00E31734"/>
    <w:rsid w:val="00E36A0E"/>
    <w:rsid w:val="00E36CB9"/>
    <w:rsid w:val="00E42BD6"/>
    <w:rsid w:val="00E44366"/>
    <w:rsid w:val="00E44829"/>
    <w:rsid w:val="00E44B04"/>
    <w:rsid w:val="00E45BE2"/>
    <w:rsid w:val="00E45F80"/>
    <w:rsid w:val="00E510F6"/>
    <w:rsid w:val="00E51E13"/>
    <w:rsid w:val="00E551A2"/>
    <w:rsid w:val="00E554E7"/>
    <w:rsid w:val="00E56F81"/>
    <w:rsid w:val="00E60A1E"/>
    <w:rsid w:val="00E62121"/>
    <w:rsid w:val="00E62972"/>
    <w:rsid w:val="00E64FCF"/>
    <w:rsid w:val="00E65B5A"/>
    <w:rsid w:val="00E71EDF"/>
    <w:rsid w:val="00E72E17"/>
    <w:rsid w:val="00E72EB7"/>
    <w:rsid w:val="00E73ACF"/>
    <w:rsid w:val="00E812B2"/>
    <w:rsid w:val="00E814AE"/>
    <w:rsid w:val="00E82167"/>
    <w:rsid w:val="00E82857"/>
    <w:rsid w:val="00E828DA"/>
    <w:rsid w:val="00E8509F"/>
    <w:rsid w:val="00E86EAB"/>
    <w:rsid w:val="00E90000"/>
    <w:rsid w:val="00E91E17"/>
    <w:rsid w:val="00E9303F"/>
    <w:rsid w:val="00E96FBE"/>
    <w:rsid w:val="00EA076B"/>
    <w:rsid w:val="00EA0AC7"/>
    <w:rsid w:val="00EA1166"/>
    <w:rsid w:val="00EA1391"/>
    <w:rsid w:val="00EA3845"/>
    <w:rsid w:val="00EA6BA1"/>
    <w:rsid w:val="00EA79BB"/>
    <w:rsid w:val="00EB0F67"/>
    <w:rsid w:val="00EB34B3"/>
    <w:rsid w:val="00EB60B1"/>
    <w:rsid w:val="00EC012A"/>
    <w:rsid w:val="00EC0703"/>
    <w:rsid w:val="00EC145A"/>
    <w:rsid w:val="00EC1BF7"/>
    <w:rsid w:val="00EC20C2"/>
    <w:rsid w:val="00EC3A1E"/>
    <w:rsid w:val="00EC3DB7"/>
    <w:rsid w:val="00EC4078"/>
    <w:rsid w:val="00ED0C06"/>
    <w:rsid w:val="00ED3E16"/>
    <w:rsid w:val="00ED63BF"/>
    <w:rsid w:val="00ED781E"/>
    <w:rsid w:val="00EE176C"/>
    <w:rsid w:val="00EE2970"/>
    <w:rsid w:val="00EE2BBC"/>
    <w:rsid w:val="00EE3672"/>
    <w:rsid w:val="00EE501F"/>
    <w:rsid w:val="00EE54EE"/>
    <w:rsid w:val="00EE6346"/>
    <w:rsid w:val="00EE6E2B"/>
    <w:rsid w:val="00EE7D42"/>
    <w:rsid w:val="00EF457C"/>
    <w:rsid w:val="00EF4B4E"/>
    <w:rsid w:val="00EF57CE"/>
    <w:rsid w:val="00EF6470"/>
    <w:rsid w:val="00EF65F6"/>
    <w:rsid w:val="00EF7E43"/>
    <w:rsid w:val="00F004E3"/>
    <w:rsid w:val="00F0273A"/>
    <w:rsid w:val="00F05DAE"/>
    <w:rsid w:val="00F06DB3"/>
    <w:rsid w:val="00F1115D"/>
    <w:rsid w:val="00F13C4A"/>
    <w:rsid w:val="00F14B30"/>
    <w:rsid w:val="00F1562C"/>
    <w:rsid w:val="00F160CC"/>
    <w:rsid w:val="00F1635E"/>
    <w:rsid w:val="00F2096E"/>
    <w:rsid w:val="00F21BC5"/>
    <w:rsid w:val="00F21F95"/>
    <w:rsid w:val="00F2318F"/>
    <w:rsid w:val="00F23B1B"/>
    <w:rsid w:val="00F24DC0"/>
    <w:rsid w:val="00F25738"/>
    <w:rsid w:val="00F273BE"/>
    <w:rsid w:val="00F27870"/>
    <w:rsid w:val="00F31624"/>
    <w:rsid w:val="00F3224D"/>
    <w:rsid w:val="00F35FBD"/>
    <w:rsid w:val="00F36EE8"/>
    <w:rsid w:val="00F40E2B"/>
    <w:rsid w:val="00F411FF"/>
    <w:rsid w:val="00F414C4"/>
    <w:rsid w:val="00F4393F"/>
    <w:rsid w:val="00F44AF4"/>
    <w:rsid w:val="00F470E4"/>
    <w:rsid w:val="00F51C54"/>
    <w:rsid w:val="00F521F0"/>
    <w:rsid w:val="00F539E5"/>
    <w:rsid w:val="00F54D96"/>
    <w:rsid w:val="00F54FF6"/>
    <w:rsid w:val="00F5533C"/>
    <w:rsid w:val="00F56AEB"/>
    <w:rsid w:val="00F5753F"/>
    <w:rsid w:val="00F579CE"/>
    <w:rsid w:val="00F60024"/>
    <w:rsid w:val="00F618F0"/>
    <w:rsid w:val="00F63EE3"/>
    <w:rsid w:val="00F65774"/>
    <w:rsid w:val="00F65DE1"/>
    <w:rsid w:val="00F669A8"/>
    <w:rsid w:val="00F66DAE"/>
    <w:rsid w:val="00F671D0"/>
    <w:rsid w:val="00F701CB"/>
    <w:rsid w:val="00F73B31"/>
    <w:rsid w:val="00F7640C"/>
    <w:rsid w:val="00F7679C"/>
    <w:rsid w:val="00F7694D"/>
    <w:rsid w:val="00F805FF"/>
    <w:rsid w:val="00F82C62"/>
    <w:rsid w:val="00F83E97"/>
    <w:rsid w:val="00F84353"/>
    <w:rsid w:val="00F8540B"/>
    <w:rsid w:val="00F85E8C"/>
    <w:rsid w:val="00F86D47"/>
    <w:rsid w:val="00F90A13"/>
    <w:rsid w:val="00F950D9"/>
    <w:rsid w:val="00F953A1"/>
    <w:rsid w:val="00FA55B0"/>
    <w:rsid w:val="00FA65E0"/>
    <w:rsid w:val="00FB0F1B"/>
    <w:rsid w:val="00FB14DD"/>
    <w:rsid w:val="00FB1E94"/>
    <w:rsid w:val="00FB2DF8"/>
    <w:rsid w:val="00FB4B10"/>
    <w:rsid w:val="00FB529A"/>
    <w:rsid w:val="00FB5554"/>
    <w:rsid w:val="00FB5F39"/>
    <w:rsid w:val="00FB7616"/>
    <w:rsid w:val="00FC04B2"/>
    <w:rsid w:val="00FC12A9"/>
    <w:rsid w:val="00FC2AED"/>
    <w:rsid w:val="00FC3E3B"/>
    <w:rsid w:val="00FC49DE"/>
    <w:rsid w:val="00FC4E03"/>
    <w:rsid w:val="00FC60D3"/>
    <w:rsid w:val="00FC6416"/>
    <w:rsid w:val="00FD2C1E"/>
    <w:rsid w:val="00FD436A"/>
    <w:rsid w:val="00FD6962"/>
    <w:rsid w:val="00FE193C"/>
    <w:rsid w:val="00FE1DD1"/>
    <w:rsid w:val="00FE2906"/>
    <w:rsid w:val="00FE3080"/>
    <w:rsid w:val="00FE4C28"/>
    <w:rsid w:val="00FE5ADB"/>
    <w:rsid w:val="00FE6F39"/>
    <w:rsid w:val="00FE71CD"/>
    <w:rsid w:val="00FF02C3"/>
    <w:rsid w:val="00FF0357"/>
    <w:rsid w:val="00FF03EC"/>
    <w:rsid w:val="00FF7FA2"/>
    <w:rsid w:val="0183380A"/>
    <w:rsid w:val="02584F15"/>
    <w:rsid w:val="02AD4C4A"/>
    <w:rsid w:val="0354BD65"/>
    <w:rsid w:val="035BE432"/>
    <w:rsid w:val="03DDC268"/>
    <w:rsid w:val="04707191"/>
    <w:rsid w:val="04D6CE50"/>
    <w:rsid w:val="05951FB4"/>
    <w:rsid w:val="066E7009"/>
    <w:rsid w:val="06C7C124"/>
    <w:rsid w:val="0732F3D8"/>
    <w:rsid w:val="0780BD6D"/>
    <w:rsid w:val="07AC1CDC"/>
    <w:rsid w:val="088B03E4"/>
    <w:rsid w:val="08B16B8C"/>
    <w:rsid w:val="08B649E0"/>
    <w:rsid w:val="08D669E9"/>
    <w:rsid w:val="091C8DCE"/>
    <w:rsid w:val="099B878F"/>
    <w:rsid w:val="09DEA0E1"/>
    <w:rsid w:val="0A24697E"/>
    <w:rsid w:val="0AC9B2E1"/>
    <w:rsid w:val="0BE0C5FD"/>
    <w:rsid w:val="0C11B94B"/>
    <w:rsid w:val="0D3E4A0A"/>
    <w:rsid w:val="0DEFB5C6"/>
    <w:rsid w:val="0DF39A51"/>
    <w:rsid w:val="0E22D3D4"/>
    <w:rsid w:val="0E6141C5"/>
    <w:rsid w:val="0E9B3887"/>
    <w:rsid w:val="0F18B07D"/>
    <w:rsid w:val="0FFDDE62"/>
    <w:rsid w:val="0FFEE7E3"/>
    <w:rsid w:val="100CBBFD"/>
    <w:rsid w:val="111BEA79"/>
    <w:rsid w:val="1122B93B"/>
    <w:rsid w:val="1133295A"/>
    <w:rsid w:val="118BC2F4"/>
    <w:rsid w:val="1213F1A7"/>
    <w:rsid w:val="12DF9262"/>
    <w:rsid w:val="13CD5B8A"/>
    <w:rsid w:val="13EEFA8F"/>
    <w:rsid w:val="14A49860"/>
    <w:rsid w:val="15008116"/>
    <w:rsid w:val="15AD99F8"/>
    <w:rsid w:val="16619065"/>
    <w:rsid w:val="180D1381"/>
    <w:rsid w:val="19D59ECC"/>
    <w:rsid w:val="19FDCA77"/>
    <w:rsid w:val="1A8F0671"/>
    <w:rsid w:val="1B9EDD9E"/>
    <w:rsid w:val="1BB1D3CC"/>
    <w:rsid w:val="1BC59F74"/>
    <w:rsid w:val="1D8C5FFA"/>
    <w:rsid w:val="1D952E31"/>
    <w:rsid w:val="1D992763"/>
    <w:rsid w:val="1F443290"/>
    <w:rsid w:val="1F4B34D6"/>
    <w:rsid w:val="2124663A"/>
    <w:rsid w:val="21A4B03A"/>
    <w:rsid w:val="21E819ED"/>
    <w:rsid w:val="22A764BC"/>
    <w:rsid w:val="2343197A"/>
    <w:rsid w:val="234B27DE"/>
    <w:rsid w:val="23522416"/>
    <w:rsid w:val="2390ABC4"/>
    <w:rsid w:val="239D9597"/>
    <w:rsid w:val="23E8AA44"/>
    <w:rsid w:val="23F84649"/>
    <w:rsid w:val="25056BF8"/>
    <w:rsid w:val="2730C66A"/>
    <w:rsid w:val="27BA108B"/>
    <w:rsid w:val="2813F133"/>
    <w:rsid w:val="28B335D8"/>
    <w:rsid w:val="28B85C1D"/>
    <w:rsid w:val="2A535CC1"/>
    <w:rsid w:val="2B8CB485"/>
    <w:rsid w:val="2C1AB78F"/>
    <w:rsid w:val="2D2917DA"/>
    <w:rsid w:val="2D2FB834"/>
    <w:rsid w:val="2E3C2BFF"/>
    <w:rsid w:val="2E93B606"/>
    <w:rsid w:val="2EFE57DD"/>
    <w:rsid w:val="2F01E667"/>
    <w:rsid w:val="2F2AA118"/>
    <w:rsid w:val="2F4F5DD3"/>
    <w:rsid w:val="314F5CD4"/>
    <w:rsid w:val="326D181B"/>
    <w:rsid w:val="32945BDE"/>
    <w:rsid w:val="335ED204"/>
    <w:rsid w:val="34425275"/>
    <w:rsid w:val="3445CC0C"/>
    <w:rsid w:val="35498C86"/>
    <w:rsid w:val="354CC5D8"/>
    <w:rsid w:val="35B2D443"/>
    <w:rsid w:val="362698A3"/>
    <w:rsid w:val="387E3E25"/>
    <w:rsid w:val="38F15DF0"/>
    <w:rsid w:val="3A0F81D7"/>
    <w:rsid w:val="3A4A308B"/>
    <w:rsid w:val="3AEA225E"/>
    <w:rsid w:val="3B49332C"/>
    <w:rsid w:val="3B50EA0E"/>
    <w:rsid w:val="3B5D42D9"/>
    <w:rsid w:val="3BF9074D"/>
    <w:rsid w:val="3C2215C7"/>
    <w:rsid w:val="3CBF52CA"/>
    <w:rsid w:val="3CF900FA"/>
    <w:rsid w:val="3D56205E"/>
    <w:rsid w:val="3DD8B82E"/>
    <w:rsid w:val="3DED6AD7"/>
    <w:rsid w:val="3E95EBCA"/>
    <w:rsid w:val="408F13C0"/>
    <w:rsid w:val="410A0404"/>
    <w:rsid w:val="412C9B76"/>
    <w:rsid w:val="416C4F61"/>
    <w:rsid w:val="419A749E"/>
    <w:rsid w:val="41B157A1"/>
    <w:rsid w:val="41E949DD"/>
    <w:rsid w:val="42411AA7"/>
    <w:rsid w:val="4258B6D3"/>
    <w:rsid w:val="433354A8"/>
    <w:rsid w:val="43602322"/>
    <w:rsid w:val="43BCDCE4"/>
    <w:rsid w:val="43D4D444"/>
    <w:rsid w:val="443EDE2E"/>
    <w:rsid w:val="44F311ED"/>
    <w:rsid w:val="45062492"/>
    <w:rsid w:val="454FBF4C"/>
    <w:rsid w:val="46A50D9D"/>
    <w:rsid w:val="47945595"/>
    <w:rsid w:val="48216E49"/>
    <w:rsid w:val="484DF98F"/>
    <w:rsid w:val="4949D6BD"/>
    <w:rsid w:val="4A8B9AF4"/>
    <w:rsid w:val="4B27BC31"/>
    <w:rsid w:val="4BBC94FB"/>
    <w:rsid w:val="4BE66E93"/>
    <w:rsid w:val="4BE9D607"/>
    <w:rsid w:val="4C3B3A20"/>
    <w:rsid w:val="4CCEAE23"/>
    <w:rsid w:val="50074E4C"/>
    <w:rsid w:val="522AC2FC"/>
    <w:rsid w:val="52F26130"/>
    <w:rsid w:val="52F83D5C"/>
    <w:rsid w:val="533D43F8"/>
    <w:rsid w:val="53DAECF3"/>
    <w:rsid w:val="53E27618"/>
    <w:rsid w:val="54F48F68"/>
    <w:rsid w:val="55D14A7E"/>
    <w:rsid w:val="56094DF9"/>
    <w:rsid w:val="56DD7A17"/>
    <w:rsid w:val="570DE306"/>
    <w:rsid w:val="588BC700"/>
    <w:rsid w:val="5930B44E"/>
    <w:rsid w:val="599D9656"/>
    <w:rsid w:val="59F7D3DD"/>
    <w:rsid w:val="5A8C4817"/>
    <w:rsid w:val="5AB9FB6A"/>
    <w:rsid w:val="5CA33F27"/>
    <w:rsid w:val="5D53E047"/>
    <w:rsid w:val="5DC97EE6"/>
    <w:rsid w:val="5E38BBDA"/>
    <w:rsid w:val="5E84C055"/>
    <w:rsid w:val="5F23529D"/>
    <w:rsid w:val="5F86A1E5"/>
    <w:rsid w:val="5F9A349C"/>
    <w:rsid w:val="61578078"/>
    <w:rsid w:val="616A360D"/>
    <w:rsid w:val="6185BA27"/>
    <w:rsid w:val="628685FB"/>
    <w:rsid w:val="6295D9C0"/>
    <w:rsid w:val="643443DA"/>
    <w:rsid w:val="64C53B38"/>
    <w:rsid w:val="6588B8F3"/>
    <w:rsid w:val="65940540"/>
    <w:rsid w:val="65CADC6D"/>
    <w:rsid w:val="66ADE1A5"/>
    <w:rsid w:val="66CF569E"/>
    <w:rsid w:val="67464EC4"/>
    <w:rsid w:val="6ACCCF2E"/>
    <w:rsid w:val="6B4214CA"/>
    <w:rsid w:val="6BE651C5"/>
    <w:rsid w:val="6C0D7E91"/>
    <w:rsid w:val="6C30DF60"/>
    <w:rsid w:val="6DAB0642"/>
    <w:rsid w:val="6E436649"/>
    <w:rsid w:val="6F157850"/>
    <w:rsid w:val="6F225AA1"/>
    <w:rsid w:val="6F7454D1"/>
    <w:rsid w:val="6FEDE9D7"/>
    <w:rsid w:val="70CA7868"/>
    <w:rsid w:val="70F8D8D5"/>
    <w:rsid w:val="729045B9"/>
    <w:rsid w:val="73F499FD"/>
    <w:rsid w:val="746C20E2"/>
    <w:rsid w:val="74754FD8"/>
    <w:rsid w:val="74B4B594"/>
    <w:rsid w:val="76A587FA"/>
    <w:rsid w:val="76D15B3D"/>
    <w:rsid w:val="76FDBAD9"/>
    <w:rsid w:val="774A1372"/>
    <w:rsid w:val="780BA90F"/>
    <w:rsid w:val="78815654"/>
    <w:rsid w:val="788C89E5"/>
    <w:rsid w:val="79358F43"/>
    <w:rsid w:val="7958CEDE"/>
    <w:rsid w:val="79A0D58A"/>
    <w:rsid w:val="79F5B008"/>
    <w:rsid w:val="7A24008E"/>
    <w:rsid w:val="7A537B02"/>
    <w:rsid w:val="7AE98CC7"/>
    <w:rsid w:val="7B26973D"/>
    <w:rsid w:val="7E37C7A1"/>
    <w:rsid w:val="7E967710"/>
    <w:rsid w:val="7EB723AD"/>
    <w:rsid w:val="7F3FA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F7E8E"/>
  <w15:chartTrackingRefBased/>
  <w15:docId w15:val="{62252416-D38E-474D-A880-2D1D81987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36DB"/>
    <w:pPr>
      <w:spacing w:after="120"/>
      <w:jc w:val="both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C766B5"/>
    <w:pPr>
      <w:keepNext/>
      <w:keepLines/>
      <w:numPr>
        <w:numId w:val="4"/>
      </w:numPr>
      <w:spacing w:before="240"/>
      <w:outlineLvl w:val="0"/>
    </w:pPr>
    <w:rPr>
      <w:rFonts w:eastAsiaTheme="majorEastAsia" w:cstheme="majorBidi"/>
      <w:b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808BC"/>
    <w:pPr>
      <w:keepNext/>
      <w:keepLines/>
      <w:numPr>
        <w:ilvl w:val="1"/>
        <w:numId w:val="4"/>
      </w:numPr>
      <w:spacing w:before="40"/>
      <w:outlineLvl w:val="1"/>
    </w:pPr>
    <w:rPr>
      <w:rFonts w:eastAsiaTheme="majorEastAsia" w:cstheme="majorBidi"/>
      <w:b/>
      <w:sz w:val="28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14F29"/>
    <w:pPr>
      <w:keepNext/>
      <w:keepLines/>
      <w:numPr>
        <w:ilvl w:val="2"/>
        <w:numId w:val="4"/>
      </w:numPr>
      <w:spacing w:before="40"/>
      <w:outlineLvl w:val="2"/>
    </w:pPr>
    <w:rPr>
      <w:rFonts w:eastAsiaTheme="majorEastAsia" w:cstheme="majorBidi"/>
      <w:b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004508"/>
    <w:pPr>
      <w:keepNext/>
      <w:keepLines/>
      <w:spacing w:before="40"/>
      <w:outlineLvl w:val="3"/>
    </w:pPr>
    <w:rPr>
      <w:rFonts w:eastAsiaTheme="majorEastAsia" w:cstheme="majorBidi"/>
      <w:b/>
      <w:i/>
      <w:i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5C24"/>
    <w:pPr>
      <w:keepNext/>
      <w:keepLines/>
      <w:numPr>
        <w:ilvl w:val="4"/>
        <w:numId w:val="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766B5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766B5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766B5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766B5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741F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741F0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9741F0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rsid w:val="00D808BC"/>
    <w:rPr>
      <w:rFonts w:eastAsiaTheme="majorEastAsia" w:cstheme="majorBidi"/>
      <w:b/>
      <w:sz w:val="28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766B5"/>
    <w:rPr>
      <w:rFonts w:eastAsiaTheme="majorEastAsia" w:cstheme="majorBidi"/>
      <w:b/>
      <w:sz w:val="28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14F29"/>
    <w:rPr>
      <w:rFonts w:eastAsiaTheme="majorEastAsia" w:cstheme="majorBidi"/>
      <w:b/>
    </w:rPr>
  </w:style>
  <w:style w:type="character" w:customStyle="1" w:styleId="Titolo4Carattere">
    <w:name w:val="Titolo 4 Carattere"/>
    <w:basedOn w:val="Carpredefinitoparagrafo"/>
    <w:link w:val="Titolo4"/>
    <w:uiPriority w:val="9"/>
    <w:rsid w:val="00004508"/>
    <w:rPr>
      <w:rFonts w:eastAsiaTheme="majorEastAsia" w:cstheme="majorBidi"/>
      <w:b/>
      <w:i/>
      <w:iCs/>
    </w:rPr>
  </w:style>
  <w:style w:type="table" w:styleId="Tabellasemplice-1">
    <w:name w:val="Plain Table 1"/>
    <w:basedOn w:val="Tabellanormale"/>
    <w:uiPriority w:val="41"/>
    <w:rsid w:val="004F44F2"/>
    <w:rPr>
      <w:sz w:val="22"/>
      <w:szCs w:val="22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Didascalia">
    <w:name w:val="caption"/>
    <w:basedOn w:val="Normale"/>
    <w:next w:val="Normale"/>
    <w:uiPriority w:val="35"/>
    <w:unhideWhenUsed/>
    <w:qFormat/>
    <w:rsid w:val="00B54235"/>
    <w:pPr>
      <w:spacing w:after="200"/>
    </w:pPr>
    <w:rPr>
      <w:rFonts w:ascii="Calibri" w:hAnsi="Calibri"/>
      <w:i/>
      <w:iCs/>
      <w:color w:val="44546A" w:themeColor="text2"/>
      <w:sz w:val="18"/>
      <w:szCs w:val="1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5C24"/>
    <w:rPr>
      <w:rFonts w:asciiTheme="majorHAnsi" w:eastAsiaTheme="majorEastAsia" w:hAnsiTheme="majorHAnsi" w:cstheme="majorBidi"/>
      <w:color w:val="2F5496" w:themeColor="accent1" w:themeShade="BF"/>
    </w:rPr>
  </w:style>
  <w:style w:type="character" w:styleId="Rimandocommento">
    <w:name w:val="annotation reference"/>
    <w:basedOn w:val="Carpredefinitoparagrafo"/>
    <w:uiPriority w:val="99"/>
    <w:semiHidden/>
    <w:unhideWhenUsed/>
    <w:rsid w:val="00960C3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60C3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60C3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60C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60C3C"/>
    <w:rPr>
      <w:b/>
      <w:bCs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35328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3532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646EE"/>
    <w:rPr>
      <w:vertAlign w:val="superscript"/>
    </w:rPr>
  </w:style>
  <w:style w:type="character" w:styleId="Enfasigrassetto">
    <w:name w:val="Strong"/>
    <w:basedOn w:val="Carpredefinitoparagrafo"/>
    <w:uiPriority w:val="22"/>
    <w:qFormat/>
    <w:rsid w:val="00571FF7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2A143C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143C"/>
  </w:style>
  <w:style w:type="paragraph" w:styleId="Pidipagina">
    <w:name w:val="footer"/>
    <w:basedOn w:val="Normale"/>
    <w:link w:val="PidipaginaCarattere"/>
    <w:uiPriority w:val="99"/>
    <w:unhideWhenUsed/>
    <w:rsid w:val="002A143C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143C"/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766B5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766B5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766B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766B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Tabellasemplice-2">
    <w:name w:val="Plain Table 2"/>
    <w:basedOn w:val="Tabellanormale"/>
    <w:uiPriority w:val="42"/>
    <w:rsid w:val="0062550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Menzione">
    <w:name w:val="Mention"/>
    <w:basedOn w:val="Carpredefinitoparagrafo"/>
    <w:uiPriority w:val="99"/>
    <w:unhideWhenUsed/>
    <w:rsid w:val="001F0037"/>
    <w:rPr>
      <w:color w:val="2B579A"/>
      <w:shd w:val="clear" w:color="auto" w:fill="E1DFDD"/>
    </w:rPr>
  </w:style>
  <w:style w:type="character" w:customStyle="1" w:styleId="cf01">
    <w:name w:val="cf01"/>
    <w:basedOn w:val="Carpredefinitoparagrafo"/>
    <w:rsid w:val="00233225"/>
    <w:rPr>
      <w:rFonts w:ascii="Segoe UI" w:hAnsi="Segoe UI" w:cs="Segoe UI" w:hint="default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5F36DB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it-IT"/>
    </w:rPr>
  </w:style>
  <w:style w:type="table" w:styleId="Grigliatabella">
    <w:name w:val="Table Grid"/>
    <w:basedOn w:val="Tabellanormale"/>
    <w:uiPriority w:val="59"/>
    <w:rsid w:val="00DB795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A626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5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4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17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2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02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02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9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81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76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06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71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00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48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80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971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5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40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227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chart" Target="charts/char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erica\Downloads\grafico%20numero%20definiti%20a%20prod%20costante%20e%20prod%20target_v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Foglio3!$A$2</c:f>
              <c:strCache>
                <c:ptCount val="1"/>
                <c:pt idx="0">
                  <c:v>Procedimenti definiti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Foglio3!$B$1:$I$1</c:f>
              <c:numCache>
                <c:formatCode>General</c:formatCode>
                <c:ptCount val="8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  <c:pt idx="6">
                  <c:v>2025</c:v>
                </c:pt>
                <c:pt idx="7">
                  <c:v>2026</c:v>
                </c:pt>
              </c:numCache>
            </c:numRef>
          </c:cat>
          <c:val>
            <c:numRef>
              <c:f>Foglio3!$B$2:$I$2</c:f>
              <c:numCache>
                <c:formatCode>0</c:formatCode>
                <c:ptCount val="8"/>
                <c:pt idx="0">
                  <c:v>29688</c:v>
                </c:pt>
                <c:pt idx="1">
                  <c:v>19621</c:v>
                </c:pt>
                <c:pt idx="2">
                  <c:v>28687</c:v>
                </c:pt>
                <c:pt idx="3">
                  <c:v>29070</c:v>
                </c:pt>
                <c:pt idx="4">
                  <c:v>28878.5</c:v>
                </c:pt>
                <c:pt idx="5">
                  <c:v>28878.5</c:v>
                </c:pt>
                <c:pt idx="6">
                  <c:v>28878.5</c:v>
                </c:pt>
                <c:pt idx="7">
                  <c:v>28878.5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260-4CA2-8F28-D3C37BCE0265}"/>
            </c:ext>
          </c:extLst>
        </c:ser>
        <c:ser>
          <c:idx val="1"/>
          <c:order val="1"/>
          <c:tx>
            <c:strRef>
              <c:f>Foglio3!$A$3</c:f>
              <c:strCache>
                <c:ptCount val="1"/>
                <c:pt idx="0">
                  <c:v>Proiezioni: Procedimenti definiti a produttività 1,2 </c:v>
                </c:pt>
              </c:strCache>
            </c:strRef>
          </c:tx>
          <c:spPr>
            <a:solidFill>
              <a:schemeClr val="accent1">
                <a:lumMod val="20000"/>
                <a:lumOff val="80000"/>
              </a:schemeClr>
            </a:solidFill>
            <a:ln>
              <a:solidFill>
                <a:schemeClr val="accent1"/>
              </a:solidFill>
              <a:prstDash val="dash"/>
            </a:ln>
            <a:effectLst/>
          </c:spPr>
          <c:invertIfNegative val="0"/>
          <c:dLbls>
            <c:dLbl>
              <c:idx val="0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260-4CA2-8F28-D3C37BCE026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Foglio3!$B$1:$I$1</c:f>
              <c:numCache>
                <c:formatCode>General</c:formatCode>
                <c:ptCount val="8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  <c:pt idx="6">
                  <c:v>2025</c:v>
                </c:pt>
                <c:pt idx="7">
                  <c:v>2026</c:v>
                </c:pt>
              </c:numCache>
            </c:numRef>
          </c:cat>
          <c:val>
            <c:numRef>
              <c:f>Foglio3!$B$3:$I$3</c:f>
              <c:numCache>
                <c:formatCode>General</c:formatCode>
                <c:ptCount val="8"/>
                <c:pt idx="4" formatCode="0">
                  <c:v>30880.259508453895</c:v>
                </c:pt>
                <c:pt idx="5" formatCode="0">
                  <c:v>32239.039672302595</c:v>
                </c:pt>
                <c:pt idx="6" formatCode="0">
                  <c:v>33597.819836151299</c:v>
                </c:pt>
                <c:pt idx="7" formatCode="0">
                  <c:v>34956.6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260-4CA2-8F28-D3C37BCE02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48"/>
        <c:axId val="1159285311"/>
        <c:axId val="1373302447"/>
      </c:barChart>
      <c:lineChart>
        <c:grouping val="standard"/>
        <c:varyColors val="0"/>
        <c:ser>
          <c:idx val="2"/>
          <c:order val="2"/>
          <c:tx>
            <c:strRef>
              <c:f>Foglio3!$A$4</c:f>
              <c:strCache>
                <c:ptCount val="1"/>
                <c:pt idx="0">
                  <c:v>Procedimenti pendenti </c:v>
                </c:pt>
              </c:strCache>
            </c:strRef>
          </c:tx>
          <c:spPr>
            <a:ln w="28575" cap="rnd">
              <a:solidFill>
                <a:srgbClr val="C00000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Foglio3!$B$1:$I$1</c:f>
              <c:numCache>
                <c:formatCode>General</c:formatCode>
                <c:ptCount val="8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  <c:pt idx="6">
                  <c:v>2025</c:v>
                </c:pt>
                <c:pt idx="7">
                  <c:v>2026</c:v>
                </c:pt>
              </c:numCache>
            </c:numRef>
          </c:cat>
          <c:val>
            <c:numRef>
              <c:f>Foglio3!$B$4:$I$4</c:f>
              <c:numCache>
                <c:formatCode>0</c:formatCode>
                <c:ptCount val="8"/>
                <c:pt idx="0">
                  <c:v>12060</c:v>
                </c:pt>
                <c:pt idx="1">
                  <c:v>14222</c:v>
                </c:pt>
                <c:pt idx="2">
                  <c:v>15093</c:v>
                </c:pt>
                <c:pt idx="3">
                  <c:v>14046</c:v>
                </c:pt>
                <c:pt idx="4">
                  <c:v>14298</c:v>
                </c:pt>
                <c:pt idx="5">
                  <c:v>14550</c:v>
                </c:pt>
                <c:pt idx="6">
                  <c:v>14802</c:v>
                </c:pt>
                <c:pt idx="7">
                  <c:v>15054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260-4CA2-8F28-D3C37BCE0265}"/>
            </c:ext>
          </c:extLst>
        </c:ser>
        <c:ser>
          <c:idx val="3"/>
          <c:order val="3"/>
          <c:tx>
            <c:strRef>
              <c:f>Foglio3!$A$5</c:f>
              <c:strCache>
                <c:ptCount val="1"/>
                <c:pt idx="0">
                  <c:v>Proiezioni: Procedimenti pendenti a produttività 1,2 </c:v>
                </c:pt>
              </c:strCache>
            </c:strRef>
          </c:tx>
          <c:spPr>
            <a:ln w="28575" cap="rnd">
              <a:solidFill>
                <a:srgbClr val="C00000"/>
              </a:solidFill>
              <a:prstDash val="dash"/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Foglio3!$B$1:$I$1</c:f>
              <c:numCache>
                <c:formatCode>General</c:formatCode>
                <c:ptCount val="8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  <c:pt idx="5">
                  <c:v>2024</c:v>
                </c:pt>
                <c:pt idx="6">
                  <c:v>2025</c:v>
                </c:pt>
                <c:pt idx="7">
                  <c:v>2026</c:v>
                </c:pt>
              </c:numCache>
            </c:numRef>
          </c:cat>
          <c:val>
            <c:numRef>
              <c:f>Foglio3!$B$5:$I$5</c:f>
              <c:numCache>
                <c:formatCode>General</c:formatCode>
                <c:ptCount val="8"/>
                <c:pt idx="4" formatCode="0">
                  <c:v>12296.240491546105</c:v>
                </c:pt>
                <c:pt idx="5" formatCode="0">
                  <c:v>9187.7008192435133</c:v>
                </c:pt>
                <c:pt idx="6" formatCode="0">
                  <c:v>4720.3809830922182</c:v>
                </c:pt>
                <c:pt idx="7" formatCode="0">
                  <c:v>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D260-4CA2-8F28-D3C37BCE02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59285311"/>
        <c:axId val="1373302447"/>
      </c:lineChart>
      <c:catAx>
        <c:axId val="11592853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373302447"/>
        <c:crosses val="autoZero"/>
        <c:auto val="1"/>
        <c:lblAlgn val="ctr"/>
        <c:lblOffset val="100"/>
        <c:noMultiLvlLbl val="0"/>
      </c:catAx>
      <c:valAx>
        <c:axId val="137330244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1592853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D34C30-CD1C-4AE7-8BC1-6A978E8C5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3214</Words>
  <Characters>18321</Characters>
  <Application>Microsoft Office Word</Application>
  <DocSecurity>0</DocSecurity>
  <Lines>152</Lines>
  <Paragraphs>42</Paragraphs>
  <ScaleCrop>false</ScaleCrop>
  <Company/>
  <LinksUpToDate>false</LinksUpToDate>
  <CharactersWithSpaces>21493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Madiai</dc:creator>
  <cp:keywords/>
  <dc:description/>
  <cp:lastModifiedBy>--</cp:lastModifiedBy>
  <cp:revision>1249</cp:revision>
  <cp:lastPrinted>2023-02-28T12:13:00Z</cp:lastPrinted>
  <dcterms:created xsi:type="dcterms:W3CDTF">2023-02-02T01:16:00Z</dcterms:created>
  <dcterms:modified xsi:type="dcterms:W3CDTF">2023-04-07T14:20:00Z</dcterms:modified>
</cp:coreProperties>
</file>