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1618B" w14:textId="77777777" w:rsidR="00AF682F" w:rsidRPr="007C12DD" w:rsidRDefault="00AF682F" w:rsidP="00AF682F">
      <w:pPr>
        <w:spacing w:after="0"/>
        <w:jc w:val="both"/>
        <w:rPr>
          <w:b/>
          <w:bCs/>
          <w:sz w:val="28"/>
          <w:szCs w:val="28"/>
          <w:lang w:val="en-US"/>
        </w:rPr>
      </w:pPr>
      <w:r>
        <w:rPr>
          <w:b/>
          <w:bCs/>
          <w:sz w:val="28"/>
          <w:szCs w:val="28"/>
          <w:lang w:val="en-US"/>
        </w:rPr>
        <w:t xml:space="preserve">A CONTINGENCY PERSPECTIVE ON </w:t>
      </w:r>
      <w:r w:rsidRPr="007C12DD">
        <w:rPr>
          <w:b/>
          <w:bCs/>
          <w:sz w:val="28"/>
          <w:szCs w:val="28"/>
          <w:lang w:val="en-US"/>
        </w:rPr>
        <w:t>MANUFACTURING CONFIGURATIONS</w:t>
      </w:r>
      <w:r>
        <w:rPr>
          <w:b/>
          <w:bCs/>
          <w:sz w:val="28"/>
          <w:szCs w:val="28"/>
          <w:lang w:val="en-US"/>
        </w:rPr>
        <w:t xml:space="preserve"> FOR THE CIRCULAR ECONOMY: INSIGHTS FROM</w:t>
      </w:r>
      <w:r w:rsidRPr="007C12DD">
        <w:rPr>
          <w:b/>
          <w:bCs/>
          <w:sz w:val="28"/>
          <w:szCs w:val="28"/>
          <w:lang w:val="en-US"/>
        </w:rPr>
        <w:t xml:space="preserve"> SUCCESSFUL </w:t>
      </w:r>
      <w:r>
        <w:rPr>
          <w:b/>
          <w:bCs/>
          <w:sz w:val="28"/>
          <w:szCs w:val="28"/>
          <w:lang w:val="en-US"/>
        </w:rPr>
        <w:t>START-UPS</w:t>
      </w:r>
    </w:p>
    <w:p w14:paraId="2347FE25" w14:textId="77777777" w:rsidR="00AF682F" w:rsidRPr="00C1014C" w:rsidRDefault="00AF682F" w:rsidP="00AF682F">
      <w:pPr>
        <w:spacing w:after="0"/>
        <w:rPr>
          <w:lang w:val="it-IT"/>
        </w:rPr>
      </w:pPr>
      <w:r w:rsidRPr="00C1014C">
        <w:rPr>
          <w:sz w:val="28"/>
          <w:szCs w:val="28"/>
          <w:lang w:val="it-IT"/>
        </w:rPr>
        <w:t>Ernst Johannes Prosman</w:t>
      </w:r>
      <w:r w:rsidRPr="00C1014C">
        <w:rPr>
          <w:rFonts w:ascii="Times New Roman" w:hAnsi="Times New Roman" w:cs="Times New Roman"/>
          <w:sz w:val="32"/>
          <w:szCs w:val="28"/>
          <w:lang w:val="it-IT"/>
        </w:rPr>
        <w:t>*</w:t>
      </w:r>
      <w:proofErr w:type="gramStart"/>
      <w:r w:rsidRPr="00C1014C">
        <w:rPr>
          <w:rFonts w:ascii="Times New Roman" w:hAnsi="Times New Roman" w:cs="Times New Roman"/>
          <w:sz w:val="32"/>
          <w:szCs w:val="28"/>
          <w:vertAlign w:val="superscript"/>
          <w:lang w:val="it-IT"/>
        </w:rPr>
        <w:t>a</w:t>
      </w:r>
      <w:r w:rsidRPr="00C1014C">
        <w:rPr>
          <w:sz w:val="28"/>
          <w:szCs w:val="28"/>
          <w:lang w:val="it-IT"/>
        </w:rPr>
        <w:t xml:space="preserve"> ,</w:t>
      </w:r>
      <w:proofErr w:type="gramEnd"/>
      <w:r w:rsidRPr="00C1014C">
        <w:rPr>
          <w:sz w:val="28"/>
          <w:szCs w:val="28"/>
          <w:lang w:val="it-IT"/>
        </w:rPr>
        <w:t xml:space="preserve"> Raffaella </w:t>
      </w:r>
      <w:proofErr w:type="spellStart"/>
      <w:r w:rsidRPr="00C1014C">
        <w:rPr>
          <w:sz w:val="28"/>
          <w:szCs w:val="28"/>
          <w:lang w:val="it-IT"/>
        </w:rPr>
        <w:t>Cagliano</w:t>
      </w:r>
      <w:r w:rsidRPr="00C1014C">
        <w:rPr>
          <w:rFonts w:ascii="Times New Roman" w:hAnsi="Times New Roman" w:cs="Times New Roman"/>
          <w:sz w:val="32"/>
          <w:szCs w:val="28"/>
          <w:vertAlign w:val="superscript"/>
          <w:lang w:val="it-IT"/>
        </w:rPr>
        <w:t>a</w:t>
      </w:r>
      <w:proofErr w:type="spellEnd"/>
    </w:p>
    <w:p w14:paraId="1BED939B" w14:textId="77777777" w:rsidR="00AF682F" w:rsidRPr="00C1014C" w:rsidRDefault="00AF682F" w:rsidP="00AF682F">
      <w:pPr>
        <w:spacing w:after="0"/>
        <w:rPr>
          <w:i/>
          <w:iCs/>
          <w:sz w:val="20"/>
          <w:szCs w:val="20"/>
          <w:lang w:val="it-IT"/>
        </w:rPr>
      </w:pPr>
      <w:r w:rsidRPr="00C1014C">
        <w:rPr>
          <w:rFonts w:ascii="Times New Roman" w:hAnsi="Times New Roman" w:cs="Times New Roman"/>
          <w:i/>
          <w:iCs/>
          <w:szCs w:val="20"/>
          <w:vertAlign w:val="superscript"/>
          <w:lang w:val="it-IT"/>
        </w:rPr>
        <w:t>a</w:t>
      </w:r>
      <w:r w:rsidRPr="00C1014C">
        <w:rPr>
          <w:i/>
          <w:iCs/>
          <w:sz w:val="20"/>
          <w:szCs w:val="20"/>
          <w:lang w:val="it-IT"/>
        </w:rPr>
        <w:t xml:space="preserve"> School of Management, Politecnico di Milano, Via Lambruschini 4/b, 20156, Milano, </w:t>
      </w:r>
      <w:proofErr w:type="spellStart"/>
      <w:r w:rsidRPr="00C1014C">
        <w:rPr>
          <w:i/>
          <w:iCs/>
          <w:sz w:val="20"/>
          <w:szCs w:val="20"/>
          <w:lang w:val="it-IT"/>
        </w:rPr>
        <w:t>Italy</w:t>
      </w:r>
      <w:proofErr w:type="spellEnd"/>
    </w:p>
    <w:p w14:paraId="044463B3" w14:textId="77777777" w:rsidR="00AF682F" w:rsidRPr="00AF682F" w:rsidRDefault="00AF682F" w:rsidP="00AF682F">
      <w:pPr>
        <w:spacing w:after="0"/>
        <w:rPr>
          <w:i/>
          <w:iCs/>
          <w:sz w:val="20"/>
          <w:szCs w:val="20"/>
          <w:lang w:val="en-US"/>
        </w:rPr>
      </w:pPr>
      <w:r w:rsidRPr="00C1014C">
        <w:rPr>
          <w:i/>
          <w:iCs/>
          <w:sz w:val="20"/>
          <w:szCs w:val="20"/>
          <w:lang w:val="it-IT"/>
        </w:rPr>
        <w:t xml:space="preserve">* </w:t>
      </w:r>
      <w:proofErr w:type="spellStart"/>
      <w:r w:rsidRPr="00C1014C">
        <w:rPr>
          <w:i/>
          <w:iCs/>
          <w:sz w:val="20"/>
          <w:szCs w:val="20"/>
          <w:lang w:val="it-IT"/>
        </w:rPr>
        <w:t>Corresponding</w:t>
      </w:r>
      <w:proofErr w:type="spellEnd"/>
      <w:r w:rsidRPr="00C1014C">
        <w:rPr>
          <w:i/>
          <w:iCs/>
          <w:sz w:val="20"/>
          <w:szCs w:val="20"/>
          <w:lang w:val="it-IT"/>
        </w:rPr>
        <w:t xml:space="preserve"> </w:t>
      </w:r>
      <w:proofErr w:type="spellStart"/>
      <w:r w:rsidRPr="00C1014C">
        <w:rPr>
          <w:i/>
          <w:iCs/>
          <w:sz w:val="20"/>
          <w:szCs w:val="20"/>
          <w:lang w:val="it-IT"/>
        </w:rPr>
        <w:t>author</w:t>
      </w:r>
      <w:proofErr w:type="spellEnd"/>
      <w:r w:rsidRPr="00C1014C">
        <w:rPr>
          <w:i/>
          <w:iCs/>
          <w:sz w:val="20"/>
          <w:szCs w:val="20"/>
          <w:lang w:val="it-IT"/>
        </w:rPr>
        <w:t xml:space="preserve">: Ernst Johannes Prosman, Politecnico di Milano, Via Lambruschini 4/b, 20156, Milano, </w:t>
      </w:r>
      <w:proofErr w:type="spellStart"/>
      <w:r w:rsidRPr="00C1014C">
        <w:rPr>
          <w:i/>
          <w:iCs/>
          <w:sz w:val="20"/>
          <w:szCs w:val="20"/>
          <w:lang w:val="it-IT"/>
        </w:rPr>
        <w:t>Italy</w:t>
      </w:r>
      <w:proofErr w:type="spellEnd"/>
      <w:r w:rsidRPr="00C1014C">
        <w:rPr>
          <w:i/>
          <w:iCs/>
          <w:sz w:val="20"/>
          <w:szCs w:val="20"/>
          <w:lang w:val="it-IT"/>
        </w:rPr>
        <w:t xml:space="preserve">. </w:t>
      </w:r>
      <w:r w:rsidRPr="00AF682F">
        <w:rPr>
          <w:i/>
          <w:iCs/>
          <w:sz w:val="20"/>
          <w:szCs w:val="20"/>
          <w:lang w:val="en-US"/>
        </w:rPr>
        <w:t>E-mail: ernstjohannes.prosman@polimi.it</w:t>
      </w:r>
    </w:p>
    <w:p w14:paraId="60CFE476" w14:textId="77777777" w:rsidR="00AF682F" w:rsidRDefault="00AF682F" w:rsidP="00740881">
      <w:pPr>
        <w:spacing w:after="0"/>
        <w:jc w:val="both"/>
        <w:rPr>
          <w:b/>
          <w:bCs/>
          <w:lang w:val="en-US"/>
        </w:rPr>
      </w:pPr>
    </w:p>
    <w:p w14:paraId="400F3D25" w14:textId="3903C601" w:rsidR="00AF682F" w:rsidRPr="00AF682F" w:rsidRDefault="00AF682F" w:rsidP="00740881">
      <w:pPr>
        <w:spacing w:after="0"/>
        <w:jc w:val="both"/>
        <w:rPr>
          <w:lang w:val="en-US"/>
        </w:rPr>
      </w:pPr>
      <w:r w:rsidRPr="00AF682F">
        <w:rPr>
          <w:b/>
          <w:bCs/>
          <w:lang w:val="en-US"/>
        </w:rPr>
        <w:t>To be cited as:</w:t>
      </w:r>
      <w:r w:rsidRPr="00AF682F">
        <w:rPr>
          <w:lang w:val="en-US"/>
        </w:rPr>
        <w:t xml:space="preserve"> </w:t>
      </w:r>
      <w:r w:rsidRPr="00AF682F">
        <w:rPr>
          <w:lang w:val="en-US"/>
        </w:rPr>
        <w:t>Prosman, E. J., &amp; Cagliano, R. (2022). A contingency perspective on manufacturing configurations for the circular economy: Insights from successful start-ups. International Journal of Production Economics, 249, 108519.</w:t>
      </w:r>
      <w:r>
        <w:rPr>
          <w:lang w:val="en-US"/>
        </w:rPr>
        <w:t xml:space="preserve"> </w:t>
      </w:r>
      <w:hyperlink r:id="rId8" w:tgtFrame="_blank" w:tooltip="Persistent link using digital object identifier" w:history="1">
        <w:r w:rsidRPr="00AF682F">
          <w:rPr>
            <w:lang w:val="en-US"/>
          </w:rPr>
          <w:t>https://doi.org/10.1016/j.ijpe.2022.108519</w:t>
        </w:r>
      </w:hyperlink>
    </w:p>
    <w:p w14:paraId="665CEA83" w14:textId="227C6361" w:rsidR="00AF682F" w:rsidRDefault="00AF682F">
      <w:pPr>
        <w:rPr>
          <w:b/>
          <w:bCs/>
          <w:lang w:val="en-US"/>
        </w:rPr>
      </w:pPr>
      <w:r>
        <w:rPr>
          <w:b/>
          <w:bCs/>
          <w:lang w:val="en-US"/>
        </w:rPr>
        <w:br w:type="page"/>
      </w:r>
    </w:p>
    <w:p w14:paraId="19F25F62" w14:textId="18B9E56B" w:rsidR="002F0277" w:rsidRPr="007C12DD" w:rsidRDefault="00DF7035" w:rsidP="00DF7035">
      <w:pPr>
        <w:spacing w:after="0"/>
        <w:jc w:val="both"/>
        <w:rPr>
          <w:b/>
          <w:bCs/>
          <w:lang w:val="en-US"/>
        </w:rPr>
      </w:pPr>
      <w:r w:rsidRPr="007C12DD">
        <w:rPr>
          <w:b/>
          <w:bCs/>
          <w:lang w:val="en-US"/>
        </w:rPr>
        <w:lastRenderedPageBreak/>
        <w:t>Abstract</w:t>
      </w:r>
    </w:p>
    <w:p w14:paraId="77F785E6" w14:textId="4957947D" w:rsidR="00A91BDA" w:rsidRPr="007C12DD" w:rsidRDefault="003166A3" w:rsidP="00740881">
      <w:pPr>
        <w:spacing w:after="0"/>
        <w:jc w:val="both"/>
        <w:rPr>
          <w:lang w:val="en-US"/>
        </w:rPr>
      </w:pPr>
      <w:r w:rsidRPr="007C12DD">
        <w:rPr>
          <w:lang w:val="en-US"/>
        </w:rPr>
        <w:t xml:space="preserve">While the circular economy offers a hopeful prospect </w:t>
      </w:r>
      <w:r w:rsidR="00EF25B6" w:rsidRPr="007C12DD">
        <w:rPr>
          <w:lang w:val="en-US"/>
        </w:rPr>
        <w:t>for</w:t>
      </w:r>
      <w:r w:rsidRPr="007C12DD">
        <w:rPr>
          <w:lang w:val="en-US"/>
        </w:rPr>
        <w:t xml:space="preserve"> the future in terms of environmental sustainability, the main barrier regarding the industrial adoption is its financial viability.</w:t>
      </w:r>
      <w:r w:rsidR="00A91BDA" w:rsidRPr="007C12DD">
        <w:rPr>
          <w:lang w:val="en-US"/>
        </w:rPr>
        <w:t xml:space="preserve"> </w:t>
      </w:r>
      <w:r w:rsidR="002D6283">
        <w:rPr>
          <w:lang w:val="en-US"/>
        </w:rPr>
        <w:t>Supply characteristics such as h</w:t>
      </w:r>
      <w:r w:rsidR="00EF25B6" w:rsidRPr="007C12DD">
        <w:rPr>
          <w:lang w:val="en-US"/>
        </w:rPr>
        <w:t xml:space="preserve">eterogeneous quality, insufficient quantities and uncertain timing of </w:t>
      </w:r>
      <w:r w:rsidR="00813483">
        <w:rPr>
          <w:lang w:val="en-US"/>
        </w:rPr>
        <w:t>used</w:t>
      </w:r>
      <w:r w:rsidR="00813483" w:rsidRPr="007C12DD">
        <w:rPr>
          <w:lang w:val="en-US"/>
        </w:rPr>
        <w:t xml:space="preserve"> </w:t>
      </w:r>
      <w:r w:rsidR="00EF25B6" w:rsidRPr="007C12DD">
        <w:rPr>
          <w:lang w:val="en-US"/>
        </w:rPr>
        <w:t>products often</w:t>
      </w:r>
      <w:r w:rsidR="006B0AA5" w:rsidRPr="007C12DD">
        <w:rPr>
          <w:lang w:val="en-US"/>
        </w:rPr>
        <w:t xml:space="preserve"> constrain manufacturing activities</w:t>
      </w:r>
      <w:r w:rsidR="002D6283">
        <w:rPr>
          <w:lang w:val="en-US"/>
        </w:rPr>
        <w:t xml:space="preserve">, </w:t>
      </w:r>
      <w:r w:rsidR="006B0AA5" w:rsidRPr="007C12DD">
        <w:rPr>
          <w:lang w:val="en-US"/>
        </w:rPr>
        <w:t>consequently</w:t>
      </w:r>
      <w:r w:rsidR="00EF25B6" w:rsidRPr="007C12DD">
        <w:rPr>
          <w:lang w:val="en-US"/>
        </w:rPr>
        <w:t xml:space="preserve"> </w:t>
      </w:r>
      <w:r w:rsidR="006B0AA5" w:rsidRPr="007C12DD">
        <w:rPr>
          <w:lang w:val="en-US"/>
        </w:rPr>
        <w:t>lead</w:t>
      </w:r>
      <w:r w:rsidR="002D6283">
        <w:rPr>
          <w:lang w:val="en-US"/>
        </w:rPr>
        <w:t>ing</w:t>
      </w:r>
      <w:r w:rsidR="006B0AA5" w:rsidRPr="007C12DD">
        <w:rPr>
          <w:lang w:val="en-US"/>
        </w:rPr>
        <w:t xml:space="preserve"> to</w:t>
      </w:r>
      <w:r w:rsidR="00EF25B6" w:rsidRPr="007C12DD">
        <w:rPr>
          <w:lang w:val="en-US"/>
        </w:rPr>
        <w:t xml:space="preserve"> mediocre financial viability. </w:t>
      </w:r>
      <w:r w:rsidR="006C247E">
        <w:rPr>
          <w:lang w:val="en-US"/>
        </w:rPr>
        <w:t>Building on contingency theory, t</w:t>
      </w:r>
      <w:r w:rsidR="0056486D">
        <w:rPr>
          <w:lang w:val="en-US"/>
        </w:rPr>
        <w:t xml:space="preserve">his paper sets out to explore </w:t>
      </w:r>
      <w:r w:rsidR="001240E6" w:rsidRPr="007C12DD">
        <w:rPr>
          <w:lang w:val="en-US"/>
        </w:rPr>
        <w:t>how to configure</w:t>
      </w:r>
      <w:r w:rsidR="00402FD5">
        <w:rPr>
          <w:lang w:val="en-US"/>
        </w:rPr>
        <w:t xml:space="preserve"> circular</w:t>
      </w:r>
      <w:r w:rsidR="001240E6" w:rsidRPr="007C12DD">
        <w:rPr>
          <w:lang w:val="en-US"/>
        </w:rPr>
        <w:t xml:space="preserve"> manufacturing activities</w:t>
      </w:r>
      <w:r w:rsidR="002D6283">
        <w:rPr>
          <w:lang w:val="en-US"/>
        </w:rPr>
        <w:t xml:space="preserve"> </w:t>
      </w:r>
      <w:r w:rsidR="0056486D">
        <w:rPr>
          <w:lang w:val="en-US"/>
        </w:rPr>
        <w:t xml:space="preserve">in alignment </w:t>
      </w:r>
      <w:r w:rsidR="002D6283">
        <w:rPr>
          <w:lang w:val="en-US"/>
        </w:rPr>
        <w:t>with supply characteristics.</w:t>
      </w:r>
      <w:r w:rsidR="001240E6">
        <w:rPr>
          <w:lang w:val="en-US"/>
        </w:rPr>
        <w:t xml:space="preserve"> </w:t>
      </w:r>
      <w:r w:rsidR="002D6283">
        <w:rPr>
          <w:lang w:val="en-US"/>
        </w:rPr>
        <w:t xml:space="preserve">Building on a sample of 96 </w:t>
      </w:r>
      <w:r w:rsidR="0056486D">
        <w:rPr>
          <w:lang w:val="en-US"/>
        </w:rPr>
        <w:t xml:space="preserve">successful </w:t>
      </w:r>
      <w:r w:rsidR="002D6283">
        <w:rPr>
          <w:lang w:val="en-US"/>
        </w:rPr>
        <w:t>circular start-ups,</w:t>
      </w:r>
      <w:r w:rsidR="00E7575A">
        <w:rPr>
          <w:lang w:val="en-US"/>
        </w:rPr>
        <w:t xml:space="preserve"> we collected data on the</w:t>
      </w:r>
      <w:r w:rsidR="006E25F7">
        <w:rPr>
          <w:lang w:val="en-US"/>
        </w:rPr>
        <w:t xml:space="preserve"> manufacturing activities in terms of</w:t>
      </w:r>
      <w:r w:rsidR="00E7575A">
        <w:rPr>
          <w:lang w:val="en-US"/>
        </w:rPr>
        <w:t xml:space="preserve"> grading and sorting activities, </w:t>
      </w:r>
      <w:r w:rsidR="006746CC">
        <w:rPr>
          <w:lang w:val="en-US"/>
        </w:rPr>
        <w:t>the production type</w:t>
      </w:r>
      <w:r w:rsidR="00E7575A">
        <w:rPr>
          <w:lang w:val="en-US"/>
        </w:rPr>
        <w:t xml:space="preserve"> and the product transformation</w:t>
      </w:r>
      <w:r w:rsidR="006E25F7">
        <w:rPr>
          <w:lang w:val="en-US"/>
        </w:rPr>
        <w:t xml:space="preserve"> as well as</w:t>
      </w:r>
      <w:r w:rsidR="006746CC">
        <w:rPr>
          <w:lang w:val="en-US"/>
        </w:rPr>
        <w:t xml:space="preserve"> </w:t>
      </w:r>
      <w:r w:rsidR="006E25F7">
        <w:rPr>
          <w:lang w:val="en-US"/>
        </w:rPr>
        <w:t xml:space="preserve">the </w:t>
      </w:r>
      <w:r w:rsidR="006746CC">
        <w:rPr>
          <w:lang w:val="en-US"/>
        </w:rPr>
        <w:t xml:space="preserve">supply characteristics </w:t>
      </w:r>
      <w:r w:rsidR="006E25F7">
        <w:rPr>
          <w:lang w:val="en-US"/>
        </w:rPr>
        <w:t>in terms of</w:t>
      </w:r>
      <w:r w:rsidR="00E7575A" w:rsidRPr="001240E6">
        <w:rPr>
          <w:lang w:val="en-US"/>
        </w:rPr>
        <w:t xml:space="preserve"> heterogeneous quality, insufficient quantities</w:t>
      </w:r>
      <w:r w:rsidR="006746CC">
        <w:rPr>
          <w:lang w:val="en-US"/>
        </w:rPr>
        <w:t xml:space="preserve">, </w:t>
      </w:r>
      <w:r w:rsidR="00E7575A" w:rsidRPr="001240E6">
        <w:rPr>
          <w:lang w:val="en-US"/>
        </w:rPr>
        <w:t>uncertain timing</w:t>
      </w:r>
      <w:r w:rsidR="006746CC">
        <w:rPr>
          <w:lang w:val="en-US"/>
        </w:rPr>
        <w:t xml:space="preserve"> and the residual value of the used products</w:t>
      </w:r>
      <w:r w:rsidR="00E7575A" w:rsidRPr="001240E6">
        <w:rPr>
          <w:lang w:val="en-US"/>
        </w:rPr>
        <w:t>.</w:t>
      </w:r>
      <w:r w:rsidR="00E7575A">
        <w:rPr>
          <w:lang w:val="en-US"/>
        </w:rPr>
        <w:t xml:space="preserve"> </w:t>
      </w:r>
      <w:r w:rsidR="006746CC" w:rsidRPr="001240E6">
        <w:rPr>
          <w:lang w:val="en-US"/>
        </w:rPr>
        <w:t>Qualitative Comparative Analysis (QCA)</w:t>
      </w:r>
      <w:r w:rsidR="006746CC" w:rsidRPr="007C12DD">
        <w:rPr>
          <w:lang w:val="en-US"/>
        </w:rPr>
        <w:t xml:space="preserve"> reveals three manufacturing configurations used by successful circular start-ups</w:t>
      </w:r>
      <w:r w:rsidR="006746CC">
        <w:rPr>
          <w:lang w:val="en-US"/>
        </w:rPr>
        <w:t xml:space="preserve"> </w:t>
      </w:r>
      <w:r w:rsidR="002D6283">
        <w:rPr>
          <w:lang w:val="en-US"/>
        </w:rPr>
        <w:t>to</w:t>
      </w:r>
      <w:r w:rsidR="006746CC">
        <w:rPr>
          <w:lang w:val="en-US"/>
        </w:rPr>
        <w:t xml:space="preserve"> extend product value, extend</w:t>
      </w:r>
      <w:r w:rsidR="002D6283">
        <w:rPr>
          <w:lang w:val="en-US"/>
        </w:rPr>
        <w:t xml:space="preserve"> </w:t>
      </w:r>
      <w:r w:rsidR="006746CC">
        <w:rPr>
          <w:lang w:val="en-US"/>
        </w:rPr>
        <w:t>resource value and process used products</w:t>
      </w:r>
      <w:r w:rsidR="002D6283">
        <w:rPr>
          <w:lang w:val="en-US"/>
        </w:rPr>
        <w:t xml:space="preserve">. </w:t>
      </w:r>
      <w:r w:rsidR="00B71919">
        <w:rPr>
          <w:lang w:val="en-US"/>
        </w:rPr>
        <w:t>E</w:t>
      </w:r>
      <w:r w:rsidR="002D6283">
        <w:rPr>
          <w:lang w:val="en-US"/>
        </w:rPr>
        <w:t>ach configuration</w:t>
      </w:r>
      <w:r w:rsidR="00B71919">
        <w:rPr>
          <w:lang w:val="en-US"/>
        </w:rPr>
        <w:t xml:space="preserve"> is applied </w:t>
      </w:r>
      <w:r w:rsidR="00813483">
        <w:rPr>
          <w:lang w:val="en-US"/>
        </w:rPr>
        <w:t xml:space="preserve">under </w:t>
      </w:r>
      <w:r w:rsidR="00B71919">
        <w:rPr>
          <w:lang w:val="en-US"/>
        </w:rPr>
        <w:t xml:space="preserve">different </w:t>
      </w:r>
      <w:r w:rsidR="00813483">
        <w:rPr>
          <w:lang w:val="en-US"/>
        </w:rPr>
        <w:t xml:space="preserve">supply </w:t>
      </w:r>
      <w:r w:rsidR="00402FD5">
        <w:rPr>
          <w:lang w:val="en-US"/>
        </w:rPr>
        <w:t>characteristics</w:t>
      </w:r>
      <w:r w:rsidR="00457D60" w:rsidRPr="007C12DD">
        <w:rPr>
          <w:lang w:val="en-US"/>
        </w:rPr>
        <w:t xml:space="preserve">. </w:t>
      </w:r>
      <w:r w:rsidR="00A91BDA" w:rsidRPr="007C12DD">
        <w:rPr>
          <w:lang w:val="en-US"/>
        </w:rPr>
        <w:t>As such, the research highlights</w:t>
      </w:r>
      <w:r w:rsidR="00C00A9A">
        <w:rPr>
          <w:lang w:val="en-US"/>
        </w:rPr>
        <w:t xml:space="preserve"> the contingency factors for</w:t>
      </w:r>
      <w:r w:rsidR="00A91BDA" w:rsidRPr="007C12DD">
        <w:rPr>
          <w:lang w:val="en-US"/>
        </w:rPr>
        <w:t xml:space="preserve"> </w:t>
      </w:r>
      <w:r w:rsidR="00A91BDA" w:rsidRPr="007C12DD">
        <w:rPr>
          <w:i/>
          <w:iCs/>
          <w:lang w:val="en-US"/>
        </w:rPr>
        <w:t>when, when not</w:t>
      </w:r>
      <w:r w:rsidR="00A91BDA" w:rsidRPr="007C12DD">
        <w:rPr>
          <w:lang w:val="en-US"/>
        </w:rPr>
        <w:t xml:space="preserve"> and </w:t>
      </w:r>
      <w:r w:rsidR="00A91BDA" w:rsidRPr="007C12DD">
        <w:rPr>
          <w:i/>
          <w:iCs/>
          <w:lang w:val="en-US"/>
        </w:rPr>
        <w:t>how</w:t>
      </w:r>
      <w:r w:rsidR="00A91BDA" w:rsidRPr="007C12DD">
        <w:rPr>
          <w:lang w:val="en-US"/>
        </w:rPr>
        <w:t xml:space="preserve"> </w:t>
      </w:r>
      <w:r w:rsidR="00813483">
        <w:rPr>
          <w:lang w:val="en-US"/>
        </w:rPr>
        <w:t xml:space="preserve">to </w:t>
      </w:r>
      <w:r w:rsidR="00C00A9A">
        <w:rPr>
          <w:lang w:val="en-US"/>
        </w:rPr>
        <w:t xml:space="preserve">adopt a given </w:t>
      </w:r>
      <w:r w:rsidR="00813483">
        <w:rPr>
          <w:lang w:val="en-US"/>
        </w:rPr>
        <w:t xml:space="preserve">manufacturing </w:t>
      </w:r>
      <w:r w:rsidR="00C00A9A">
        <w:rPr>
          <w:lang w:val="en-US"/>
        </w:rPr>
        <w:t xml:space="preserve">configuration in </w:t>
      </w:r>
      <w:r w:rsidR="00813483">
        <w:rPr>
          <w:lang w:val="en-US"/>
        </w:rPr>
        <w:t>the</w:t>
      </w:r>
      <w:r w:rsidR="000367AB">
        <w:rPr>
          <w:lang w:val="en-US"/>
        </w:rPr>
        <w:t xml:space="preserve"> context of the</w:t>
      </w:r>
      <w:r w:rsidR="00813483" w:rsidRPr="007C12DD">
        <w:rPr>
          <w:lang w:val="en-US"/>
        </w:rPr>
        <w:t xml:space="preserve"> </w:t>
      </w:r>
      <w:r w:rsidR="00A91BDA" w:rsidRPr="007C12DD">
        <w:rPr>
          <w:lang w:val="en-US"/>
        </w:rPr>
        <w:t xml:space="preserve">circular economy. Moreover, by analyzing </w:t>
      </w:r>
      <w:r w:rsidR="008A1591" w:rsidRPr="007C12DD">
        <w:rPr>
          <w:lang w:val="en-US"/>
        </w:rPr>
        <w:t xml:space="preserve">the </w:t>
      </w:r>
      <w:r w:rsidR="00A91BDA" w:rsidRPr="007C12DD">
        <w:rPr>
          <w:lang w:val="en-US"/>
        </w:rPr>
        <w:t xml:space="preserve">manufacturing configurations, this study redirects the focus towards the until now under-researched </w:t>
      </w:r>
      <w:r w:rsidR="008A1591" w:rsidRPr="007C12DD">
        <w:rPr>
          <w:lang w:val="en-US"/>
        </w:rPr>
        <w:t xml:space="preserve">circular </w:t>
      </w:r>
      <w:r w:rsidR="006D7745" w:rsidRPr="007C12DD">
        <w:rPr>
          <w:lang w:val="en-US"/>
        </w:rPr>
        <w:t xml:space="preserve">economy </w:t>
      </w:r>
      <w:r w:rsidR="006D7745">
        <w:rPr>
          <w:lang w:val="en-US"/>
        </w:rPr>
        <w:t>in</w:t>
      </w:r>
      <w:r w:rsidR="00E806E9">
        <w:rPr>
          <w:lang w:val="en-US"/>
        </w:rPr>
        <w:t xml:space="preserve"> the </w:t>
      </w:r>
      <w:r w:rsidR="00E806E9" w:rsidRPr="00E806E9">
        <w:rPr>
          <w:i/>
          <w:iCs/>
          <w:lang w:val="en-US"/>
        </w:rPr>
        <w:t xml:space="preserve">process industry </w:t>
      </w:r>
      <w:r w:rsidR="00A91BDA" w:rsidRPr="007C12DD">
        <w:rPr>
          <w:lang w:val="en-US"/>
        </w:rPr>
        <w:t>instead of the</w:t>
      </w:r>
      <w:r w:rsidR="007A6CCE" w:rsidRPr="007C12DD">
        <w:rPr>
          <w:lang w:val="en-US"/>
        </w:rPr>
        <w:t xml:space="preserve"> more</w:t>
      </w:r>
      <w:r w:rsidR="00A91BDA" w:rsidRPr="007C12DD">
        <w:rPr>
          <w:lang w:val="en-US"/>
        </w:rPr>
        <w:t xml:space="preserve"> heavily researched </w:t>
      </w:r>
      <w:r w:rsidR="008A1591" w:rsidRPr="007C12DD">
        <w:rPr>
          <w:lang w:val="en-US"/>
        </w:rPr>
        <w:t>discrete</w:t>
      </w:r>
      <w:r w:rsidR="00A91BDA" w:rsidRPr="007C12DD">
        <w:rPr>
          <w:lang w:val="en-US"/>
        </w:rPr>
        <w:t xml:space="preserve"> remanufacturing activities. </w:t>
      </w:r>
      <w:r w:rsidR="00B44090" w:rsidRPr="007C12DD">
        <w:rPr>
          <w:lang w:val="en-US"/>
        </w:rPr>
        <w:t>T</w:t>
      </w:r>
      <w:r w:rsidR="00BE6AFA" w:rsidRPr="007C12DD">
        <w:rPr>
          <w:lang w:val="en-US"/>
        </w:rPr>
        <w:t xml:space="preserve">he </w:t>
      </w:r>
      <w:r w:rsidR="008A1591" w:rsidRPr="007C12DD">
        <w:rPr>
          <w:lang w:val="en-US"/>
        </w:rPr>
        <w:t>three</w:t>
      </w:r>
      <w:r w:rsidR="00B44090" w:rsidRPr="007C12DD">
        <w:rPr>
          <w:lang w:val="en-US"/>
        </w:rPr>
        <w:t xml:space="preserve"> manufacturing</w:t>
      </w:r>
      <w:r w:rsidR="008A1591" w:rsidRPr="007C12DD">
        <w:rPr>
          <w:lang w:val="en-US"/>
        </w:rPr>
        <w:t xml:space="preserve"> </w:t>
      </w:r>
      <w:r w:rsidR="00BE6AFA" w:rsidRPr="007C12DD">
        <w:rPr>
          <w:lang w:val="en-US"/>
        </w:rPr>
        <w:t xml:space="preserve">configurations </w:t>
      </w:r>
      <w:r w:rsidR="00813483">
        <w:rPr>
          <w:lang w:val="en-US"/>
        </w:rPr>
        <w:t xml:space="preserve">and the </w:t>
      </w:r>
      <w:r w:rsidR="00E806E9">
        <w:rPr>
          <w:lang w:val="en-US"/>
        </w:rPr>
        <w:t xml:space="preserve">supply </w:t>
      </w:r>
      <w:r w:rsidR="00402FD5">
        <w:rPr>
          <w:lang w:val="en-US"/>
        </w:rPr>
        <w:t>characteristics</w:t>
      </w:r>
      <w:r w:rsidR="00813483">
        <w:rPr>
          <w:lang w:val="en-US"/>
        </w:rPr>
        <w:t xml:space="preserve"> in which to apply them </w:t>
      </w:r>
      <w:r w:rsidR="00BE6AFA" w:rsidRPr="007C12DD">
        <w:rPr>
          <w:lang w:val="en-US"/>
        </w:rPr>
        <w:t>serve as a starting point for further research</w:t>
      </w:r>
      <w:r w:rsidR="00813483">
        <w:rPr>
          <w:lang w:val="en-US"/>
        </w:rPr>
        <w:t>.</w:t>
      </w:r>
    </w:p>
    <w:p w14:paraId="408EC23C" w14:textId="77777777" w:rsidR="00A91BDA" w:rsidRPr="007C12DD" w:rsidRDefault="00A91BDA" w:rsidP="00740881">
      <w:pPr>
        <w:spacing w:after="0"/>
        <w:jc w:val="both"/>
        <w:rPr>
          <w:lang w:val="en-US"/>
        </w:rPr>
      </w:pPr>
    </w:p>
    <w:p w14:paraId="5C855EAC" w14:textId="2BA603F3" w:rsidR="00552ABC" w:rsidRPr="007C12DD" w:rsidRDefault="00552ABC" w:rsidP="00740881">
      <w:pPr>
        <w:spacing w:after="0"/>
        <w:jc w:val="both"/>
        <w:rPr>
          <w:lang w:val="en-US"/>
        </w:rPr>
      </w:pPr>
      <w:r w:rsidRPr="007C12DD">
        <w:rPr>
          <w:b/>
          <w:bCs/>
          <w:lang w:val="en-US"/>
        </w:rPr>
        <w:t>Keywords</w:t>
      </w:r>
      <w:r w:rsidRPr="007C12DD">
        <w:rPr>
          <w:lang w:val="en-US"/>
        </w:rPr>
        <w:t>: circular economy</w:t>
      </w:r>
      <w:r w:rsidR="00E3090D">
        <w:rPr>
          <w:lang w:val="en-US"/>
        </w:rPr>
        <w:t>;</w:t>
      </w:r>
      <w:r w:rsidRPr="007C12DD">
        <w:rPr>
          <w:lang w:val="en-US"/>
        </w:rPr>
        <w:t xml:space="preserve"> manufacturing</w:t>
      </w:r>
      <w:r w:rsidR="00E3090D">
        <w:rPr>
          <w:lang w:val="en-US"/>
        </w:rPr>
        <w:t>;</w:t>
      </w:r>
      <w:r w:rsidRPr="007C12DD">
        <w:rPr>
          <w:lang w:val="en-US"/>
        </w:rPr>
        <w:t xml:space="preserve"> </w:t>
      </w:r>
      <w:r w:rsidR="006C247E">
        <w:rPr>
          <w:lang w:val="en-US"/>
        </w:rPr>
        <w:t>operations management</w:t>
      </w:r>
      <w:r w:rsidR="00E3090D">
        <w:rPr>
          <w:lang w:val="en-US"/>
        </w:rPr>
        <w:t>;</w:t>
      </w:r>
      <w:r w:rsidRPr="007C12DD">
        <w:rPr>
          <w:lang w:val="en-US"/>
        </w:rPr>
        <w:t xml:space="preserve"> </w:t>
      </w:r>
      <w:r w:rsidR="008A1591" w:rsidRPr="007C12DD">
        <w:rPr>
          <w:lang w:val="en-US"/>
        </w:rPr>
        <w:t>configurations</w:t>
      </w:r>
      <w:r w:rsidR="00E3090D">
        <w:rPr>
          <w:lang w:val="en-US"/>
        </w:rPr>
        <w:t>;</w:t>
      </w:r>
      <w:r w:rsidRPr="007C12DD">
        <w:rPr>
          <w:lang w:val="en-US"/>
        </w:rPr>
        <w:t xml:space="preserve"> </w:t>
      </w:r>
      <w:r w:rsidR="007A6CCE" w:rsidRPr="007C12DD">
        <w:rPr>
          <w:lang w:val="en-US"/>
        </w:rPr>
        <w:t>business model</w:t>
      </w:r>
      <w:r w:rsidR="00E3090D">
        <w:rPr>
          <w:lang w:val="en-US"/>
        </w:rPr>
        <w:t>; contingency theory</w:t>
      </w:r>
    </w:p>
    <w:p w14:paraId="62AE8D19" w14:textId="77777777" w:rsidR="00EF25B6" w:rsidRPr="007C12DD" w:rsidRDefault="00EF25B6" w:rsidP="00740881">
      <w:pPr>
        <w:spacing w:after="0"/>
        <w:jc w:val="both"/>
        <w:rPr>
          <w:lang w:val="en-US"/>
        </w:rPr>
      </w:pPr>
    </w:p>
    <w:p w14:paraId="78D19BBD" w14:textId="77777777" w:rsidR="00B7738C" w:rsidRPr="007C12DD" w:rsidRDefault="00B7738C" w:rsidP="00740881">
      <w:pPr>
        <w:spacing w:after="0"/>
        <w:jc w:val="both"/>
        <w:rPr>
          <w:b/>
          <w:bCs/>
          <w:lang w:val="en-US"/>
        </w:rPr>
      </w:pPr>
    </w:p>
    <w:p w14:paraId="5A86E273" w14:textId="7CFCEFB8" w:rsidR="003579BE" w:rsidRPr="007C12DD" w:rsidRDefault="00552ABC" w:rsidP="00740881">
      <w:pPr>
        <w:spacing w:after="0"/>
        <w:jc w:val="both"/>
        <w:rPr>
          <w:b/>
          <w:bCs/>
          <w:lang w:val="en-US"/>
        </w:rPr>
      </w:pPr>
      <w:r w:rsidRPr="007C12DD">
        <w:rPr>
          <w:b/>
          <w:bCs/>
          <w:lang w:val="en-US"/>
        </w:rPr>
        <w:t xml:space="preserve">1. </w:t>
      </w:r>
      <w:r w:rsidR="00364246" w:rsidRPr="007C12DD">
        <w:rPr>
          <w:b/>
          <w:bCs/>
          <w:lang w:val="en-US"/>
        </w:rPr>
        <w:t>Introduction</w:t>
      </w:r>
    </w:p>
    <w:p w14:paraId="2076F94D" w14:textId="5AF4B0A3" w:rsidR="00BD7779" w:rsidRPr="007C12DD" w:rsidRDefault="00C86980" w:rsidP="00BD7779">
      <w:pPr>
        <w:spacing w:after="0"/>
        <w:jc w:val="both"/>
        <w:rPr>
          <w:lang w:val="en-US"/>
        </w:rPr>
      </w:pPr>
      <w:r w:rsidRPr="007C12DD">
        <w:rPr>
          <w:lang w:val="en-US"/>
        </w:rPr>
        <w:lastRenderedPageBreak/>
        <w:t xml:space="preserve">While the </w:t>
      </w:r>
      <w:r w:rsidR="00C94038" w:rsidRPr="007C12DD">
        <w:rPr>
          <w:lang w:val="en-US"/>
        </w:rPr>
        <w:t xml:space="preserve">concept of </w:t>
      </w:r>
      <w:r w:rsidR="00836ED5" w:rsidRPr="007C12DD">
        <w:rPr>
          <w:lang w:val="en-US"/>
        </w:rPr>
        <w:t>the circular economy has</w:t>
      </w:r>
      <w:r w:rsidRPr="007C12DD">
        <w:rPr>
          <w:lang w:val="en-US"/>
        </w:rPr>
        <w:t xml:space="preserve"> gain</w:t>
      </w:r>
      <w:r w:rsidR="00F65F1E" w:rsidRPr="007C12DD">
        <w:rPr>
          <w:lang w:val="en-US"/>
        </w:rPr>
        <w:t>ed</w:t>
      </w:r>
      <w:r w:rsidRPr="007C12DD">
        <w:rPr>
          <w:lang w:val="en-US"/>
        </w:rPr>
        <w:t xml:space="preserve"> traction in academia, industry and policymaking, </w:t>
      </w:r>
      <w:r w:rsidR="009D47BC" w:rsidRPr="007C12DD">
        <w:rPr>
          <w:lang w:val="en-US"/>
        </w:rPr>
        <w:t xml:space="preserve">the circular promise rarely materializes and stories of failed </w:t>
      </w:r>
      <w:r w:rsidR="00412BA4" w:rsidRPr="007C12DD">
        <w:rPr>
          <w:lang w:val="en-US"/>
        </w:rPr>
        <w:t xml:space="preserve">initiatives </w:t>
      </w:r>
      <w:r w:rsidR="009D47BC" w:rsidRPr="007C12DD">
        <w:rPr>
          <w:lang w:val="en-US"/>
        </w:rPr>
        <w:t xml:space="preserve">are available by the dozen </w:t>
      </w:r>
      <w:r w:rsidR="005339C5" w:rsidRPr="007C12DD">
        <w:rPr>
          <w:lang w:val="en-US"/>
        </w:rPr>
        <w:fldChar w:fldCharType="begin" w:fldLock="1"/>
      </w:r>
      <w:r w:rsidR="000D53BE" w:rsidRPr="007C12DD">
        <w:rPr>
          <w:lang w:val="en-US"/>
        </w:rPr>
        <w:instrText>ADDIN CSL_CITATION {"citationItems":[{"id":"ITEM-1","itemData":{"DOI":"10.1016/j.omega.2015.05.015","ISSN":"03050483","abstract":"In the last decades, green and sustainable supply chain management practices have been developed, trying to integrate environmental concerns into organisations by reducing unintended negative consequences on the environment of production and consumption processes. In parallel to this, the circular economy discourse has been propagated in the industrial ecology literature and practice. Circular economy pushes the frontiers of environmental sustainability by emphasising the idea of transforming products in such a way that there are workable relationships between ecological systems and economic growth. Therefore, circular economy is not just concerned with the reduction of the use of the environment as a sink for residuals but rather with the creation of self-sustaining production systems in which materials are used over and over again. Through two case studies from different process industries (chemical and food), this paper compares the performances of traditional and circular production systems across a range of indicators. Direct, indirect and total lifecycle emissions, waste recovered, virgin resources use, as well as carbon maps (which provide a holistic visibility of the entire supply chain) are presented. The paper asserts that an integration of circular economy principles within sustainable supply chain management can provide clear advantages from an environmental point view. Emerging supply chain management challenges and market dynamics are also highlighted and discussed.","author":[{"dropping-particle":"","family":"Genovese","given":"Andrea","non-dropping-particle":"","parse-names":false,"suffix":""},{"dropping-particle":"","family":"Acquaye","given":"Adolf A.","non-dropping-particle":"","parse-names":false,"suffix":""},{"dropping-particle":"","family":"Figueroa","given":"Alejandro","non-dropping-particle":"","parse-names":false,"suffix":""},{"dropping-particle":"","family":"Koh","given":"S. C.Lenny","non-dropping-particle":"","parse-names":false,"suffix":""}],"container-title":"Omega (United Kingdom)","id":"ITEM-1","issued":{"date-parts":[["2017"]]},"page":"344-357","publisher":"Elsevier","title":"Sustainable supply chain management and the transition towards a circular economy: Evidence and some applications","type":"article-journal","volume":"66"},"uris":["http://www.mendeley.com/documents/?uuid=d4ea3662-5f44-4480-8114-1b98aef29888"]},{"id":"ITEM-2","itemData":{"DOI":"10.1080/00207543.2017.1367107","ISSN":"1366588X","abstract":"The circular economy is often presented as a solution for companies to increase the sustainability of their business. In many situations where suppliers produce subassemblies or modules for OEMs in a B2B context, dependency on their clients limits their options for profitable closed-loop supply chains. In this paper, we develop a simple tool suppliers can use to quickly assess whether remanufacturing is economic and environmentally attractive compared to producing new components. We derive optimal acquisition and reuse quantities that minimise total costs. Based on our analysis with a supplier in the automotive industry, we find that used core prices and remanufacturing yield rates have a large impact while an optimised design for remanufacturing can only marginally improve the situation. The tool is applicable to a wide variety of suppliers and industries that remanufacture their modules or subassemblies, or are exploring the option to engage in remanufacturing operations.","author":[{"dropping-particle":"","family":"Loon","given":"Patricia","non-dropping-particle":"van","parse-names":false,"suffix":""},{"dropping-particle":"","family":"Wassenhove","given":"Luk N.","non-dropping-particle":"Van","parse-names":false,"suffix":""}],"container-title":"International Journal of Production Research","id":"ITEM-2","issue":"4","issued":{"date-parts":[["2018"]]},"page":"1662-1674","publisher":"Taylor &amp; Francis","title":"Assessing the economic and environmental impact of remanufacturing: a decision support tool for OEM suppliers","type":"article-journal","volume":"56"},"uris":["http://www.mendeley.com/documents/?uuid=5913326b-81c1-4104-a120-51d84ccbb633"]}],"mendeley":{"formattedCitation":"(Genovese et al., 2017; van Loon &amp; Van Wassenhove, 2018)","manualFormatting":"(Van Loon and Van Wassenhove, 2018)","plainTextFormattedCitation":"(Genovese et al., 2017; van Loon &amp; Van Wassenhove, 2018)","previouslyFormattedCitation":"(Genovese et al., 2017; van Loon &amp; Van Wassenhove, 2018)"},"properties":{"noteIndex":0},"schema":"https://github.com/citation-style-language/schema/raw/master/csl-citation.json"}</w:instrText>
      </w:r>
      <w:r w:rsidR="005339C5" w:rsidRPr="007C12DD">
        <w:rPr>
          <w:lang w:val="en-US"/>
        </w:rPr>
        <w:fldChar w:fldCharType="separate"/>
      </w:r>
      <w:r w:rsidR="009B71BE" w:rsidRPr="007C12DD">
        <w:rPr>
          <w:noProof/>
          <w:lang w:val="en-US"/>
        </w:rPr>
        <w:t>(</w:t>
      </w:r>
      <w:r w:rsidR="00AB0BA5" w:rsidRPr="007C12DD">
        <w:rPr>
          <w:noProof/>
          <w:lang w:val="en-US"/>
        </w:rPr>
        <w:t>V</w:t>
      </w:r>
      <w:r w:rsidR="009B71BE" w:rsidRPr="007C12DD">
        <w:rPr>
          <w:noProof/>
          <w:lang w:val="en-US"/>
        </w:rPr>
        <w:t xml:space="preserve">an Loon </w:t>
      </w:r>
      <w:r w:rsidR="00AB0BA5" w:rsidRPr="007C12DD">
        <w:rPr>
          <w:noProof/>
          <w:lang w:val="en-US"/>
        </w:rPr>
        <w:t xml:space="preserve">and </w:t>
      </w:r>
      <w:r w:rsidR="009B71BE" w:rsidRPr="007C12DD">
        <w:rPr>
          <w:noProof/>
          <w:lang w:val="en-US"/>
        </w:rPr>
        <w:t>Van Wassenhove, 2018)</w:t>
      </w:r>
      <w:r w:rsidR="005339C5" w:rsidRPr="007C12DD">
        <w:rPr>
          <w:lang w:val="en-US"/>
        </w:rPr>
        <w:fldChar w:fldCharType="end"/>
      </w:r>
      <w:r w:rsidRPr="007C12DD">
        <w:rPr>
          <w:lang w:val="en-US"/>
        </w:rPr>
        <w:t>.</w:t>
      </w:r>
      <w:r w:rsidR="009C4302" w:rsidRPr="007C12DD">
        <w:rPr>
          <w:lang w:val="en-US"/>
        </w:rPr>
        <w:t xml:space="preserve"> </w:t>
      </w:r>
      <w:r w:rsidR="001610A3" w:rsidRPr="007C12DD">
        <w:rPr>
          <w:lang w:val="en-US"/>
        </w:rPr>
        <w:t>In</w:t>
      </w:r>
      <w:r w:rsidR="00A86AF9" w:rsidRPr="007C12DD">
        <w:rPr>
          <w:lang w:val="en-US"/>
        </w:rPr>
        <w:t xml:space="preserve"> particular</w:t>
      </w:r>
      <w:r w:rsidR="00412BA4" w:rsidRPr="007C12DD">
        <w:rPr>
          <w:lang w:val="en-US"/>
        </w:rPr>
        <w:t>,</w:t>
      </w:r>
      <w:r w:rsidR="00A86AF9" w:rsidRPr="007C12DD">
        <w:rPr>
          <w:lang w:val="en-US"/>
        </w:rPr>
        <w:t xml:space="preserve"> extending the life of </w:t>
      </w:r>
      <w:r w:rsidR="00B801E3" w:rsidRPr="007C12DD">
        <w:rPr>
          <w:lang w:val="en-US"/>
        </w:rPr>
        <w:t>used products</w:t>
      </w:r>
      <w:r w:rsidR="00A86AF9" w:rsidRPr="007C12DD">
        <w:rPr>
          <w:lang w:val="en-US"/>
        </w:rPr>
        <w:t xml:space="preserve"> </w:t>
      </w:r>
      <w:r w:rsidR="00B25B1D">
        <w:rPr>
          <w:lang w:val="en-US"/>
        </w:rPr>
        <w:t>often</w:t>
      </w:r>
      <w:r w:rsidR="00A86AF9" w:rsidRPr="007C12DD">
        <w:rPr>
          <w:lang w:val="en-US"/>
        </w:rPr>
        <w:t xml:space="preserve"> lack</w:t>
      </w:r>
      <w:r w:rsidR="00B61E68">
        <w:rPr>
          <w:lang w:val="en-US"/>
        </w:rPr>
        <w:t>s</w:t>
      </w:r>
      <w:r w:rsidR="00A86AF9" w:rsidRPr="007C12DD">
        <w:rPr>
          <w:lang w:val="en-US"/>
        </w:rPr>
        <w:t xml:space="preserve"> </w:t>
      </w:r>
      <w:r w:rsidR="009C4302" w:rsidRPr="007C12DD">
        <w:rPr>
          <w:lang w:val="en-US"/>
        </w:rPr>
        <w:t>a solid business case</w:t>
      </w:r>
      <w:r w:rsidR="00D12D19">
        <w:rPr>
          <w:lang w:val="en-US"/>
        </w:rPr>
        <w:t>,</w:t>
      </w:r>
      <w:r w:rsidR="009C4302" w:rsidRPr="007C12DD">
        <w:rPr>
          <w:lang w:val="en-US"/>
        </w:rPr>
        <w:t xml:space="preserve"> see for example </w:t>
      </w:r>
      <w:r w:rsidR="009C4302" w:rsidRPr="007C12DD">
        <w:rPr>
          <w:lang w:val="en-US"/>
        </w:rPr>
        <w:fldChar w:fldCharType="begin" w:fldLock="1"/>
      </w:r>
      <w:r w:rsidR="00E41F76" w:rsidRPr="007C12DD">
        <w:rPr>
          <w:lang w:val="en-US"/>
        </w:rPr>
        <w:instrText>ADDIN CSL_CITATION {"citationItems":[{"id":"ITEM-1","itemData":{"DOI":"10.1016/j.jclepro.2020.120916","ISSN":"09596526","abstract":"Studies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Production","id":"ITEM-1","issued":{"date-parts":[["2020"]]},"page":"120916","publisher":"Elsevier Ltd","title":"Exploring factors affecting the financial performance of end-of-life take-back program in a discrete manufacturing context","type":"article-journal","volume":"258"},"uris":["http://www.mendeley.com/documents/?uuid=75795c4f-48ec-4fa7-9c67-1b24d7388aba"]}],"mendeley":{"formattedCitation":"(Markus Thomas Bockholt et al., 2020)","manualFormatting":"Bockholt et al. (2020)","plainTextFormattedCitation":"(Markus Thomas Bockholt et al., 2020)","previouslyFormattedCitation":"(Markus Thomas Bockholt et al., 2020)"},"properties":{"noteIndex":0},"schema":"https://github.com/citation-style-language/schema/raw/master/csl-citation.json"}</w:instrText>
      </w:r>
      <w:r w:rsidR="009C4302" w:rsidRPr="007C12DD">
        <w:rPr>
          <w:lang w:val="en-US"/>
        </w:rPr>
        <w:fldChar w:fldCharType="separate"/>
      </w:r>
      <w:r w:rsidR="009C4302" w:rsidRPr="007C12DD">
        <w:rPr>
          <w:noProof/>
          <w:lang w:val="en-US"/>
        </w:rPr>
        <w:t>Bockholt et al. (2020)</w:t>
      </w:r>
      <w:r w:rsidR="009C4302" w:rsidRPr="007C12DD">
        <w:rPr>
          <w:lang w:val="en-US"/>
        </w:rPr>
        <w:fldChar w:fldCharType="end"/>
      </w:r>
      <w:r w:rsidR="009C4302" w:rsidRPr="007C12DD">
        <w:rPr>
          <w:lang w:val="en-US"/>
        </w:rPr>
        <w:t>.</w:t>
      </w:r>
      <w:r w:rsidR="00A45963" w:rsidRPr="007C12DD">
        <w:rPr>
          <w:lang w:val="en-US"/>
        </w:rPr>
        <w:t xml:space="preserve"> </w:t>
      </w:r>
      <w:r w:rsidR="006D7A2B" w:rsidRPr="007C12DD">
        <w:rPr>
          <w:lang w:val="en-US"/>
        </w:rPr>
        <w:t>As r</w:t>
      </w:r>
      <w:r w:rsidR="00E34E31" w:rsidRPr="007C12DD">
        <w:rPr>
          <w:lang w:val="en-US"/>
        </w:rPr>
        <w:t>ational firms</w:t>
      </w:r>
      <w:r w:rsidR="00CB10D4" w:rsidRPr="007C12DD">
        <w:rPr>
          <w:lang w:val="en-US"/>
        </w:rPr>
        <w:t xml:space="preserve"> </w:t>
      </w:r>
      <w:r w:rsidR="00A04E2C" w:rsidRPr="007C12DD">
        <w:rPr>
          <w:lang w:val="en-US"/>
        </w:rPr>
        <w:t>prefer to</w:t>
      </w:r>
      <w:r w:rsidR="00E34E31" w:rsidRPr="007C12DD">
        <w:rPr>
          <w:lang w:val="en-US"/>
        </w:rPr>
        <w:t xml:space="preserve"> engage in</w:t>
      </w:r>
      <w:r w:rsidR="00A04E2C" w:rsidRPr="007C12DD">
        <w:rPr>
          <w:lang w:val="en-US"/>
        </w:rPr>
        <w:t xml:space="preserve"> </w:t>
      </w:r>
      <w:r w:rsidR="00E34E31" w:rsidRPr="007C12DD">
        <w:rPr>
          <w:lang w:val="en-US"/>
        </w:rPr>
        <w:t>profitable ventures</w:t>
      </w:r>
      <w:r w:rsidR="00CB10D4" w:rsidRPr="007C12DD">
        <w:rPr>
          <w:lang w:val="en-US"/>
        </w:rPr>
        <w:t xml:space="preserve">, </w:t>
      </w:r>
      <w:r w:rsidR="00ED550C" w:rsidRPr="007C12DD">
        <w:rPr>
          <w:lang w:val="en-US"/>
        </w:rPr>
        <w:t>a</w:t>
      </w:r>
      <w:r w:rsidR="00CD3C00" w:rsidRPr="007C12DD">
        <w:rPr>
          <w:lang w:val="en-US"/>
        </w:rPr>
        <w:t>n</w:t>
      </w:r>
      <w:r w:rsidR="00ED550C" w:rsidRPr="007C12DD">
        <w:rPr>
          <w:lang w:val="en-US"/>
        </w:rPr>
        <w:t xml:space="preserve"> </w:t>
      </w:r>
      <w:r w:rsidR="00DF7035" w:rsidRPr="007C12DD">
        <w:rPr>
          <w:lang w:val="en-US"/>
        </w:rPr>
        <w:t>economically</w:t>
      </w:r>
      <w:r w:rsidR="003950B7" w:rsidRPr="007C12DD">
        <w:rPr>
          <w:lang w:val="en-US"/>
        </w:rPr>
        <w:t xml:space="preserve"> unattractive</w:t>
      </w:r>
      <w:r w:rsidR="00E674C0" w:rsidRPr="007C12DD">
        <w:rPr>
          <w:lang w:val="en-US"/>
        </w:rPr>
        <w:t xml:space="preserve"> business case</w:t>
      </w:r>
      <w:r w:rsidR="009C4302" w:rsidRPr="007C12DD">
        <w:rPr>
          <w:lang w:val="en-US"/>
        </w:rPr>
        <w:t xml:space="preserve"> </w:t>
      </w:r>
      <w:r w:rsidR="00CB10D4" w:rsidRPr="007C12DD">
        <w:rPr>
          <w:lang w:val="en-US"/>
        </w:rPr>
        <w:t>limit</w:t>
      </w:r>
      <w:r w:rsidR="00ED550C" w:rsidRPr="007C12DD">
        <w:rPr>
          <w:lang w:val="en-US"/>
        </w:rPr>
        <w:t>s</w:t>
      </w:r>
      <w:r w:rsidR="00CB10D4" w:rsidRPr="007C12DD">
        <w:rPr>
          <w:lang w:val="en-US"/>
        </w:rPr>
        <w:t xml:space="preserve"> the diffusion </w:t>
      </w:r>
      <w:r w:rsidR="003950B7" w:rsidRPr="007C12DD">
        <w:rPr>
          <w:lang w:val="en-US"/>
        </w:rPr>
        <w:t xml:space="preserve">of </w:t>
      </w:r>
      <w:r w:rsidR="009D47BC" w:rsidRPr="007C12DD">
        <w:rPr>
          <w:lang w:val="en-US"/>
        </w:rPr>
        <w:t xml:space="preserve">the circular economy </w:t>
      </w:r>
      <w:r w:rsidR="003A5986" w:rsidRPr="007C12DD">
        <w:rPr>
          <w:lang w:val="en-US"/>
        </w:rPr>
        <w:fldChar w:fldCharType="begin" w:fldLock="1"/>
      </w:r>
      <w:r w:rsidR="005C4347" w:rsidRPr="007C12DD">
        <w:rPr>
          <w:lang w:val="en-US"/>
        </w:rPr>
        <w:instrText>ADDIN CSL_CITATION {"citationItems":[{"id":"ITEM-1","itemData":{"DOI":"10.1080/02604027.2013.835977","ISSN":"02604027","abstract":"The goal is not so much to see that which no one has seen, but to see that which everyone sees in a totally different way. - Schopenauer A good number of people are talking about a \"circular economy\" these days. This is a step forward and a step change since recent reports point out its positive potential for business and communities mired in the Great Recession (http://www.ellenmacarthurfoundation.org/circular-economy/circular-economy/ towards-the-circular-economy). However, a casual interpreter might conclude it is just about widget prices and engineering reverse supply chains or a revved up recycling scheme. This would be a grave misapprehension. This short article is an exploration of the essential differences and the central role of a systems perspective in constructive discussion in this context. © 2013 Copyright Taylor and Francis Group, LLC.","author":[{"dropping-particle":"","family":"Webster","given":"Ken","non-dropping-particle":"","parse-names":false,"suffix":""}],"container-title":"World Futures: Journal of General Evolution","id":"ITEM-1","issue":"7-8","issued":{"date-parts":[["2013"]]},"page":"542-554","title":"What might we say about a circular economy? Some temptations to avoid if possible","type":"article-journal","volume":"69"},"uris":["http://www.mendeley.com/documents/?uuid=6e0759d7-8da4-40bc-85c0-8a6c833162ff"]},{"id":"ITEM-2","itemData":{"DOI":"10.1002/bse.1906","ISSN":"10990836","abstract":"Circular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Environment","id":"ITEM-2","issue":"2","issued":{"date-parts":[["2017"]]},"page":"182-196","title":"Circular Business Model Innovation: Inherent Uncertainties","type":"article-journal","volume":"26"},"uris":["http://www.mendeley.com/documents/?uuid=de0204cc-b8ad-44e7-9be7-887e16477875"]}],"mendeley":{"formattedCitation":"(Linder &amp; Williander, 2017; Webster, 2013)","manualFormatting":"(Linder and Williander, 2017)","plainTextFormattedCitation":"(Linder &amp; Williander, 2017; Webster, 2013)","previouslyFormattedCitation":"(Linder &amp; Williander, 2017; Webster, 2013)"},"properties":{"noteIndex":0},"schema":"https://github.com/citation-style-language/schema/raw/master/csl-citation.json"}</w:instrText>
      </w:r>
      <w:r w:rsidR="003A5986" w:rsidRPr="007C12DD">
        <w:rPr>
          <w:lang w:val="en-US"/>
        </w:rPr>
        <w:fldChar w:fldCharType="separate"/>
      </w:r>
      <w:r w:rsidR="00A83F02" w:rsidRPr="007C12DD">
        <w:rPr>
          <w:noProof/>
          <w:lang w:val="en-US"/>
        </w:rPr>
        <w:t xml:space="preserve">(Linder </w:t>
      </w:r>
      <w:r w:rsidR="00AB0BA5" w:rsidRPr="007C12DD">
        <w:rPr>
          <w:noProof/>
          <w:lang w:val="en-US"/>
        </w:rPr>
        <w:t>and</w:t>
      </w:r>
      <w:r w:rsidR="00A83F02" w:rsidRPr="007C12DD">
        <w:rPr>
          <w:noProof/>
          <w:lang w:val="en-US"/>
        </w:rPr>
        <w:t xml:space="preserve"> Williander, 2017)</w:t>
      </w:r>
      <w:r w:rsidR="003A5986" w:rsidRPr="007C12DD">
        <w:rPr>
          <w:lang w:val="en-US"/>
        </w:rPr>
        <w:fldChar w:fldCharType="end"/>
      </w:r>
      <w:r w:rsidR="00BD7779" w:rsidRPr="007C12DD">
        <w:rPr>
          <w:lang w:val="en-US"/>
        </w:rPr>
        <w:t>.</w:t>
      </w:r>
    </w:p>
    <w:p w14:paraId="34DAD124" w14:textId="5232DDE3" w:rsidR="000217E8" w:rsidRPr="007C12DD" w:rsidRDefault="00D12D19" w:rsidP="006A69BA">
      <w:pPr>
        <w:spacing w:after="0"/>
        <w:ind w:firstLine="284"/>
        <w:jc w:val="both"/>
        <w:rPr>
          <w:lang w:val="en-US"/>
        </w:rPr>
      </w:pPr>
      <w:r>
        <w:rPr>
          <w:lang w:val="en-US"/>
        </w:rPr>
        <w:t xml:space="preserve">Literature </w:t>
      </w:r>
      <w:r w:rsidR="000367AB">
        <w:rPr>
          <w:lang w:val="en-US"/>
        </w:rPr>
        <w:t>suggests</w:t>
      </w:r>
      <w:r>
        <w:rPr>
          <w:lang w:val="en-US"/>
        </w:rPr>
        <w:t xml:space="preserve"> that </w:t>
      </w:r>
      <w:r w:rsidR="00630A65">
        <w:rPr>
          <w:lang w:val="en-US"/>
        </w:rPr>
        <w:t xml:space="preserve">the </w:t>
      </w:r>
      <w:r>
        <w:rPr>
          <w:lang w:val="en-US"/>
        </w:rPr>
        <w:t>economic performance of</w:t>
      </w:r>
      <w:r w:rsidR="00D42E29">
        <w:rPr>
          <w:lang w:val="en-US"/>
        </w:rPr>
        <w:t xml:space="preserve"> the</w:t>
      </w:r>
      <w:r>
        <w:rPr>
          <w:lang w:val="en-US"/>
        </w:rPr>
        <w:t xml:space="preserve"> circular economy is contingent upon s</w:t>
      </w:r>
      <w:r w:rsidR="0055476F" w:rsidRPr="007C12DD">
        <w:rPr>
          <w:lang w:val="en-US"/>
        </w:rPr>
        <w:t xml:space="preserve">upply characteristics </w:t>
      </w:r>
      <w:r w:rsidR="004E2E2A" w:rsidRPr="007C12DD">
        <w:rPr>
          <w:lang w:val="en-US"/>
        </w:rPr>
        <w:t xml:space="preserve">such as </w:t>
      </w:r>
      <w:r w:rsidR="007C72DF" w:rsidRPr="007C12DD">
        <w:rPr>
          <w:lang w:val="en-US"/>
        </w:rPr>
        <w:t>heterogeneous</w:t>
      </w:r>
      <w:r w:rsidR="004E2E2A" w:rsidRPr="007C12DD">
        <w:rPr>
          <w:lang w:val="en-US"/>
        </w:rPr>
        <w:t xml:space="preserve"> quality</w:t>
      </w:r>
      <w:r w:rsidR="00EC3DCB" w:rsidRPr="007C12DD">
        <w:rPr>
          <w:lang w:val="en-US"/>
        </w:rPr>
        <w:t xml:space="preserve">, </w:t>
      </w:r>
      <w:r w:rsidR="0069793F" w:rsidRPr="007C12DD">
        <w:rPr>
          <w:lang w:val="en-US"/>
        </w:rPr>
        <w:t>insufficient</w:t>
      </w:r>
      <w:r w:rsidR="004E2E2A" w:rsidRPr="007C12DD">
        <w:rPr>
          <w:lang w:val="en-US"/>
        </w:rPr>
        <w:t xml:space="preserve"> </w:t>
      </w:r>
      <w:r w:rsidR="0069793F" w:rsidRPr="007C12DD">
        <w:rPr>
          <w:lang w:val="en-US"/>
        </w:rPr>
        <w:t>quantities</w:t>
      </w:r>
      <w:r w:rsidR="004E2E2A" w:rsidRPr="007C12DD">
        <w:rPr>
          <w:lang w:val="en-US"/>
        </w:rPr>
        <w:t xml:space="preserve"> and</w:t>
      </w:r>
      <w:r w:rsidR="00EC3DCB" w:rsidRPr="007C12DD">
        <w:rPr>
          <w:lang w:val="en-US"/>
        </w:rPr>
        <w:t xml:space="preserve"> uncertain</w:t>
      </w:r>
      <w:r w:rsidR="004E2E2A" w:rsidRPr="007C12DD">
        <w:rPr>
          <w:lang w:val="en-US"/>
        </w:rPr>
        <w:t xml:space="preserve"> timing</w:t>
      </w:r>
      <w:r w:rsidR="006A69BA" w:rsidRPr="007C12DD">
        <w:rPr>
          <w:lang w:val="en-US"/>
        </w:rPr>
        <w:t xml:space="preserve"> </w:t>
      </w:r>
      <w:r w:rsidR="004E2E2A" w:rsidRPr="007C12DD">
        <w:rPr>
          <w:lang w:val="en-US"/>
        </w:rPr>
        <w:fldChar w:fldCharType="begin" w:fldLock="1"/>
      </w:r>
      <w:r w:rsidR="005A3405">
        <w:rPr>
          <w:lang w:val="en-US"/>
        </w:rPr>
        <w:instrText>ADDIN CSL_CITATION {"citationItems":[{"id":"ITEM-1","itemData":{"ISSN":"0017-8012","abstract":"Companies should make design and manufacturing decisions with eventual recycling and reconditioning of their products in mind. Here are the five key activities for establishing a reverse supply chain. [ABSTRACT FROM AUTHOR]","author":[{"dropping-particle":"","family":"Guide Jr.","given":"V.","non-dropping-particle":"","parse-names":false,"suffix":""},{"dropping-particle":"","family":"Wassenhove","given":"Luk","non-dropping-particle":"Van","parse-names":false,"suffix":""}],"container-title":"Harvard business review","id":"ITEM-1","issue":"2","issued":{"date-parts":[["2002"]]},"page":"25-26","title":"The Reverse Supply Chain","type":"article-journal","volume":"80"},"uris":["http://www.mendeley.com/documents/?uuid=d1e9f3c4-3e89-47ea-84e2-8b47bcb99837"]},{"id":"ITEM-2","itemData":{"DOI":"10.2307/41165792","ISSN":"21628564","abstract":"This article examines strategic production and operations management issues in product recovery management (PRM). PRM encompasses the management of all used and discarded products, components, and materials for which a manufacturing company is legally, contractually, or otherwise responsible. The objective of PRM is to recover as much of the economic (and ecological) value of used and discarded products, components, and materials as reasonably possible, thereby reducing the ultimate quantities of waste to a minimum. This article also discusses the relevance of PRM to durable products manufacturers. It contains a categorization of PRM decisions. A case study based on the PRM system of a multinational copier manufacturer is presented to illustrate a set of specific production and operations management issues. The experiences of two other pro-active manufacturers (BMW and IBM) are also discussed. © 1995, The Regents of the University of California. All rights reserved.","author":[{"dropping-particle":"","family":"Thierry","given":"Martijn","non-dropping-particle":"","parse-names":false,"suffix":""},{"dropping-particle":"","family":"Salomon","given":"Marc","non-dropping-particle":"","parse-names":false,"suffix":""},{"dropping-particle":"","family":"Nunen","given":"Jo","non-dropping-particle":"van","parse-names":false,"suffix":""},{"dropping-particle":"","family":"Wassenhove","given":"Luk","non-dropping-particle":"van","parse-names":false,"suffix":""}],"container-title":"California Management Review","id":"ITEM-2","issue":"2","issued":{"date-parts":[["1995"]]},"page":"114-135","title":"Strategic Issues in Product Recovery Management","type":"article-journal","volume":"37"},"uris":["http://www.mendeley.com/documents/?uuid=66717d64-29bb-4f0a-8935-b81899d1f9ff"]},{"id":"ITEM-3","itemData":{"DOI":"10.1016/j.jclepro.2020.120916","ISSN":"09596526","abstract":"Studies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Production","id":"ITEM-3","issued":{"date-parts":[["2020"]]},"page":"120916","publisher":"Elsevier Ltd","title":"Exploring factors affecting the financial performance of end-of-life take-back program in a discrete manufacturing context","type":"article-journal","volume":"258"},"uris":["http://www.mendeley.com/documents/?uuid=75795c4f-48ec-4fa7-9c67-1b24d7388aba"]},{"id":"ITEM-4","itemData":{"DOI":"10.1111/j.1937-5956.2001.tb00075.x","abstract":"Firms are often encouraged to offer environmentally friendly products as a demonstration of corporate citizenship. However, this may prove to be an unrealistic expectation since a rational firm will only engage in profitable ventures; those that increase shareholder wealth. We develop a framework for analyzing the profitability of reuse activities and show how the management of product returns influences operational requirements. We show that the acquisition of used products may be used as the control lever for the management and profitability of reuse activities. These activities, termed product acquisition management, affect several important business decisions. First, if a firm is to pursue reuse activities, these reuse activities must be value-creating. Second, if a firm is to compete by offering remanufactured products, then we show how product returns management influences the overall profitability of such activities via a trial and error EVA approach. Third, we show how operational issues are strongly affected by the approach used to manage product returns. There is a need for future research specifying the mathematical relationship between acquisition price and the nominal quality of the returned product.","author":[{"dropping-particle":"","family":"Guide","given":"V. Daniel R.","non-dropping-particle":"","parse-names":false,"suffix":""},{"dropping-particle":"","family":"Wassenhove","given":"Luk N.","non-dropping-particle":"Van","parse-names":false,"suffix":""}],"container-title":"Production and Operations Management","id":"ITEM-4","issue":"2","issued":{"date-parts":[["2009"]]},"page":"142-155","title":"Managing Product Returns for Remanufacturing","type":"article-journal","volume":"10"},"uris":["http://www.mendeley.com/documents/?uuid=e53441d5-ce2f-4999-af69-62b89096260f"]},{"id":"ITEM-5","itemData":{"DOI":"10.1111/j.1937-5956.2006.tb00252.x","ISSN":"1059-1478","abstract":"The condition of the used items acquired by remanufacturers is often highly variable, and sorting is an important aspect of remanufacturing operations. Sorting policies-the rules specifying which used products should be remanufactured and which should be scrapped-have received limited attention in the literature. In this paper, we examine the case of a remanufacturer who acquires unsorted used products as needed from third party brokers. As more used items are acquired for a given demand, the remanufacturer can be more selective when sorting. Thus, two related decisions are made: how many used items to acquire, and how selective to be during the sorting process. We derive optimal acquisition and sorting policies in the presence of used product condition variability for a remanufacturer facing both deterministic and uncertain demand. We show the existence of a single optimal acquisition and sorting policy with a simple structure and show that this policy is independent of production amount when acquisition costs are linear.","author":[{"dropping-particle":"","family":"Galbreth","given":"Michael R.","non-dropping-particle":"","parse-names":false,"suffix":""},{"dropping-particle":"","family":"Blackburn","given":"Joseph D.","non-dropping-particle":"","parse-names":false,"suffix":""}],"container-title":"Production and Operations Management","id":"ITEM-5","issue":"3","issued":{"date-parts":[["2009"]]},"page":"384-392","title":"Optimal Acquisition and Sorting Policies for Remanufacturing","type":"article-journal","volume":"15"},"uris":["http://www.mendeley.com/documents/?uuid=6125ff2d-5f86-4216-996f-d5ae405b52dc"]},{"id":"ITEM-6","itemData":{"DOI":"10.1016/j.ejor.2006.10.025","ISSN":"03772217","abstract":"This paper investigates how the profitability of reuse activities is affected by uncertainty regarding the quality of returned products. Specifically, we examine a reverse supply chain consisting of two collection sites and a refurbishing site, which faces stochastic demand for refurbished products in a single-period setting. The quality of returns (refurbishing yield) becomes known only after the transportation of the products to the refurbishing site. We prove that the expected profit function has a unique optimal solution (procurement and production quantities) and we derive the conditions under which it is optimal to use only one of the collection sites. The analysis is supported by numerical results which provide insights regarding the effect of the uncertain yields at the two collection sites and their correlation on optimal decisions and system profitability. © 2006 Elsevier B.V. All rights reserved.","author":[{"dropping-particle":"","family":"Zikopoulos","given":"Christos","non-dropping-particle":"","parse-names":false,"suffix":""},{"dropping-particle":"","family":"Tagaras","given":"George","non-dropping-particle":"","parse-names":false,"suffix":""}],"container-title":"European Journal of Operational Research","id":"ITEM-6","issue":"1","issued":{"date-parts":[["2007"]]},"page":"205-225","title":"Impact of uncertainty in the quality of returns on the profitability of a single-period refurbishing operation","type":"article-journal","volume":"182"},"uris":["http://www.mendeley.com/documents/?uuid=83094d05-122e-48d3-8aca-5008840c0fae"]},{"id":"ITEM-7","itemData":{"DOI":"10.1002/bse.1906","ISSN":"10990836","abstract":"Circular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Environment","id":"ITEM-7","issue":"2","issued":{"date-parts":[["2017"]]},"page":"182-196","title":"Circular Business Model Innovation: Inherent Uncertainties","type":"article-journal","volume":"26"},"uris":["http://www.mendeley.com/documents/?uuid=de0204cc-b8ad-44e7-9be7-887e16477875"]}],"mendeley":{"formattedCitation":"(Markus Thomas Bockholt et al., 2020; Galbreth &amp; Blackburn, 2009; V. Guide Jr. &amp; Van Wassenhove, 2002; Guide &amp; Van Wassenhove, 2009; Linder &amp; Williander, 2017; Thierry et al., 1995; Zikopoulos &amp; Tagaras, 2007)","manualFormatting":"(Bockholt et al., 2020; Galbreth and Blackburn, 2009; Guide and Van Wassenhove, 2009; Linder and Williander, 2017)","plainTextFormattedCitation":"(Markus Thomas Bockholt et al., 2020; Galbreth &amp; Blackburn, 2009; V. Guide Jr. &amp; Van Wassenhove, 2002; Guide &amp; Van Wassenhove, 2009; Linder &amp; Williander, 2017; Thierry et al., 1995; Zikopoulos &amp; Tagaras, 2007)","previouslyFormattedCitation":"(Markus Thomas Bockholt et al., 2020; Galbreth &amp; Blackburn, 2009; V. Guide Jr. &amp; Van Wassenhove, 2002; Guide &amp; Van Wassenhove, 2009; Linder &amp; Williander, 2017; Thierry et al., 1995; Zikopoulos &amp; Tagaras, 2007)"},"properties":{"noteIndex":0},"schema":"https://github.com/citation-style-language/schema/raw/master/csl-citation.json"}</w:instrText>
      </w:r>
      <w:r w:rsidR="004E2E2A" w:rsidRPr="007C12DD">
        <w:rPr>
          <w:lang w:val="en-US"/>
        </w:rPr>
        <w:fldChar w:fldCharType="separate"/>
      </w:r>
      <w:r w:rsidR="00951497" w:rsidRPr="007C12DD">
        <w:rPr>
          <w:noProof/>
          <w:lang w:val="en-US"/>
        </w:rPr>
        <w:t xml:space="preserve">(Bockholt et al., 2020; Galbreth </w:t>
      </w:r>
      <w:r w:rsidR="00AB0BA5" w:rsidRPr="007C12DD">
        <w:rPr>
          <w:noProof/>
          <w:lang w:val="en-US"/>
        </w:rPr>
        <w:t>and</w:t>
      </w:r>
      <w:r w:rsidR="00951497" w:rsidRPr="007C12DD">
        <w:rPr>
          <w:noProof/>
          <w:lang w:val="en-US"/>
        </w:rPr>
        <w:t xml:space="preserve"> Blackburn, 2009; Guide </w:t>
      </w:r>
      <w:r w:rsidR="00AB0BA5" w:rsidRPr="007C12DD">
        <w:rPr>
          <w:noProof/>
          <w:lang w:val="en-US"/>
        </w:rPr>
        <w:t>and</w:t>
      </w:r>
      <w:r w:rsidR="00951497" w:rsidRPr="007C12DD">
        <w:rPr>
          <w:noProof/>
          <w:lang w:val="en-US"/>
        </w:rPr>
        <w:t xml:space="preserve"> Van Wassenhove, 2009; Linder </w:t>
      </w:r>
      <w:r w:rsidR="00AB0BA5" w:rsidRPr="007C12DD">
        <w:rPr>
          <w:noProof/>
          <w:lang w:val="en-US"/>
        </w:rPr>
        <w:t>and</w:t>
      </w:r>
      <w:r w:rsidR="00951497" w:rsidRPr="007C12DD">
        <w:rPr>
          <w:noProof/>
          <w:lang w:val="en-US"/>
        </w:rPr>
        <w:t xml:space="preserve"> Williander, 2017)</w:t>
      </w:r>
      <w:r w:rsidR="004E2E2A" w:rsidRPr="007C12DD">
        <w:rPr>
          <w:lang w:val="en-US"/>
        </w:rPr>
        <w:fldChar w:fldCharType="end"/>
      </w:r>
      <w:r w:rsidR="004E2E2A" w:rsidRPr="007C12DD">
        <w:rPr>
          <w:lang w:val="en-US"/>
        </w:rPr>
        <w:t xml:space="preserve">. </w:t>
      </w:r>
      <w:r w:rsidR="009D47BC" w:rsidRPr="007C12DD">
        <w:rPr>
          <w:lang w:val="en-US"/>
        </w:rPr>
        <w:t xml:space="preserve">In fact, </w:t>
      </w:r>
      <w:r w:rsidR="000367AB">
        <w:rPr>
          <w:lang w:val="en-US"/>
        </w:rPr>
        <w:t xml:space="preserve">research shows that these supply characteristics </w:t>
      </w:r>
      <w:r w:rsidR="003950B7" w:rsidRPr="007C12DD">
        <w:rPr>
          <w:lang w:val="en-US"/>
        </w:rPr>
        <w:t>hinder</w:t>
      </w:r>
      <w:r w:rsidR="00251EF0" w:rsidRPr="007C12DD">
        <w:rPr>
          <w:lang w:val="en-US"/>
        </w:rPr>
        <w:t xml:space="preserve"> circular economy initiatives </w:t>
      </w:r>
      <w:r w:rsidR="00A86AF9" w:rsidRPr="007C12DD">
        <w:rPr>
          <w:lang w:val="en-US"/>
        </w:rPr>
        <w:t xml:space="preserve">in </w:t>
      </w:r>
      <w:r w:rsidR="006A69BA" w:rsidRPr="007C12DD">
        <w:rPr>
          <w:lang w:val="en-US"/>
        </w:rPr>
        <w:t>virtually every</w:t>
      </w:r>
      <w:r w:rsidR="001610A3" w:rsidRPr="007C12DD">
        <w:rPr>
          <w:lang w:val="en-US"/>
        </w:rPr>
        <w:t xml:space="preserve"> industry</w:t>
      </w:r>
      <w:r w:rsidR="00B7062B" w:rsidRPr="007C12DD">
        <w:rPr>
          <w:lang w:val="en-US"/>
        </w:rPr>
        <w:t>, including consumer electronics</w:t>
      </w:r>
      <w:r w:rsidR="009966D0" w:rsidRPr="007C12DD">
        <w:rPr>
          <w:lang w:val="en-US"/>
        </w:rPr>
        <w:t xml:space="preserve"> </w:t>
      </w:r>
      <w:r w:rsidR="009966D0" w:rsidRPr="007C12DD">
        <w:rPr>
          <w:lang w:val="en-US"/>
        </w:rPr>
        <w:fldChar w:fldCharType="begin" w:fldLock="1"/>
      </w:r>
      <w:r w:rsidR="00D31D81" w:rsidRPr="007C12DD">
        <w:rPr>
          <w:lang w:val="en-US"/>
        </w:rPr>
        <w:instrText>ADDIN CSL_CITATION {"citationItems":[{"id":"ITEM-1","itemData":{"DOI":"10.5465/AMP.2007.25356512","author":[{"dropping-particle":"","family":"Jayaraman","given":"Vaidyanathan","non-dropping-particle":"","parse-names":false,"suffix":""},{"dropping-particle":"","family":"Luo","given":"Yadong","non-dropping-particle":"","parse-names":false,"suffix":""}],"id":"ITEM-1","issue":"April 2016","issued":{"date-parts":[["2007"]]},"title":"Creating Competitive Advantages Through New Value Creation: A Reverse Logistics Perspective.","type":"article-journal"},"uris":["http://www.mendeley.com/documents/?uuid=b5822267-066a-4371-bb2b-3a9cbd69c402"]}],"mendeley":{"formattedCitation":"(Jayaraman &amp; Luo, 2007)","manualFormatting":"(Jayaraman and Luo, 2007)","plainTextFormattedCitation":"(Jayaraman &amp; Luo, 2007)","previouslyFormattedCitation":"(Jayaraman &amp; Luo, 2007)"},"properties":{"noteIndex":0},"schema":"https://github.com/citation-style-language/schema/raw/master/csl-citation.json"}</w:instrText>
      </w:r>
      <w:r w:rsidR="009966D0" w:rsidRPr="007C12DD">
        <w:rPr>
          <w:lang w:val="en-US"/>
        </w:rPr>
        <w:fldChar w:fldCharType="separate"/>
      </w:r>
      <w:r w:rsidR="009966D0" w:rsidRPr="007C12DD">
        <w:rPr>
          <w:noProof/>
          <w:lang w:val="en-US"/>
        </w:rPr>
        <w:t xml:space="preserve">(Jayaraman </w:t>
      </w:r>
      <w:r w:rsidR="00AB0BA5" w:rsidRPr="007C12DD">
        <w:rPr>
          <w:noProof/>
          <w:lang w:val="en-US"/>
        </w:rPr>
        <w:t>and</w:t>
      </w:r>
      <w:r w:rsidR="009966D0" w:rsidRPr="007C12DD">
        <w:rPr>
          <w:noProof/>
          <w:lang w:val="en-US"/>
        </w:rPr>
        <w:t xml:space="preserve"> Luo, 2007)</w:t>
      </w:r>
      <w:r w:rsidR="009966D0" w:rsidRPr="007C12DD">
        <w:rPr>
          <w:lang w:val="en-US"/>
        </w:rPr>
        <w:fldChar w:fldCharType="end"/>
      </w:r>
      <w:r w:rsidR="00B7062B" w:rsidRPr="007C12DD">
        <w:rPr>
          <w:lang w:val="en-US"/>
        </w:rPr>
        <w:t xml:space="preserve">, fashion </w:t>
      </w:r>
      <w:r w:rsidR="00B7062B" w:rsidRPr="007C12DD">
        <w:rPr>
          <w:lang w:val="en-US"/>
        </w:rPr>
        <w:fldChar w:fldCharType="begin" w:fldLock="1"/>
      </w:r>
      <w:r w:rsidR="00B7062B" w:rsidRPr="007C12DD">
        <w:rPr>
          <w:lang w:val="en-US"/>
        </w:rPr>
        <w:instrText>ADDIN CSL_CITATION {"citationItems":[{"id":"ITEM-1","itemData":{"DOI":"10.1108/SCM-07-2015-0296","ISSN":"13598546","abstract":"Purpose – The authors examine the role of entrepreneurial business models in the reverse supply chain of apparel/fashion retailers. The purpose of this paper is to offer an alternative approach to the “return to the point of origin” prevalent in the reverse chain of manufacturers but less technically and economically feasible in the case of apparel/fashion retailers. This approach, second-life retailing, not only reduces waste but also democratises consumption. Design/methodology/approach – The paper is based on an extensive literature review, semi-structured interviews with managers of two second-life retailers in Malaysia and observations of a number of stores. Findings – Using the Business Model Canvas, the authors demonstrate the essential characteristics of second-life retailers. Retailers in this study, unlike retailers in the developed world, combine traditional business models with off-price retailing. There is no clear demarcation between the forward and reverse supply chain used to manage first- and second-hand retailing. Practical implications – The paper demonstrates the potential of innovative business models in the reverse supply chain. It encourages managers to look beyond the “return to the point of origin” and seek imaginative alternatives. Such alternatives potentially could result in additional revenue, enhanced sustainability and democratisation of consumption meeting triple bottom line objectives. Originality/value – This paper highlights the importance and relevance of entrepreneurial business models in addressing the reverse supply chain, demonstrating this with the aid of two Malaysian off-price retailers. It also contributes to our nascent knowledge by focusing on emerging markets.","author":[{"dropping-particle":"","family":"Beh","given":"Loo See","non-dropping-particle":"","parse-names":false,"suffix":""},{"dropping-particle":"","family":"Ghobadian","given":"Abby","non-dropping-particle":"","parse-names":false,"suffix":""},{"dropping-particle":"","family":"He","given":"Qile","non-dropping-particle":"","parse-names":false,"suffix":""},{"dropping-particle":"","family":"Gallear","given":"David","non-dropping-particle":"","parse-names":false,"suffix":""},{"dropping-particle":"","family":"O’Regan","given":"Nicholas","non-dropping-particle":"","parse-names":false,"suffix":""}],"container-title":"Supply Chain Management","id":"ITEM-1","issue":"2","issued":{"date-parts":[["2016"]]},"page":"259-272","title":"Second-life retailing: a reverse supply chain perspective","type":"article-journal","volume":"21"},"uris":["http://www.mendeley.com/documents/?uuid=71730ca5-24a3-4775-b32c-b88df9908719"]},{"id":"ITEM-2","itemData":{"DOI":"10.1016/j.jclepro.2017.09.056","ISSN":"09596526","abstract":"The Circular Economy (CE) has received considerable attention as an approach that promises to reconcile ecological systems and economic growth. In spite of its increased popularity, little is known about the implementation struggles of incumbent firms across industrial sectors. Furthermore, although the notion of circular production systems is at the intersection of different research areas such as sustainable product design, sustainable supply chains, and reverse logistics, knowledge on how these concepts combine to ease or impede firms' transition towards circularity is scarce. To shed light on these gaps, I used multiple case studies from Cradle to Cradle certified companies in the textile industry in Europe. By employing qualitative research, I identified a set of factors along the textile value chain, from product design to take-back and reprocessing, that are crucial in expediting or delaying a firm's aspirations to develop a circular product. The main contribution of this paper is the dynamic understanding of how certain collaborative supplier-buyer innovation factors (i.e., supply chain position, power balance, and a shared vision) coupled with complex aspects in product design, namely in basic materials, architecture, and functionality, combine to determine the output speed and quantity of circular products to be sold, taken back, and ultimately regenerated.","author":[{"dropping-particle":"","family":"Franco","given":"Maria A.","non-dropping-particle":"","parse-names":false,"suffix":""}],"container-title":"Journal of Cleaner Production","id":"ITEM-2","issued":{"date-parts":[["2017"]]},"page":"833-845","publisher":"Elsevier Ltd","title":"Circular economy at the micro level: A dynamic view of incumbents' struggles and challenges in the textile industry","type":"article-journal","volume":"168"},"uris":["http://www.mendeley.com/documents/?uuid=b7f89273-7a5e-4519-ac45-cb7d012b7fe9"]}],"mendeley":{"formattedCitation":"(Beh et al., 2016; Franco, 2017)","plainTextFormattedCitation":"(Beh et al., 2016; Franco, 2017)","previouslyFormattedCitation":"(Beh et al., 2016; Franco, 2017)"},"properties":{"noteIndex":0},"schema":"https://github.com/citation-style-language/schema/raw/master/csl-citation.json"}</w:instrText>
      </w:r>
      <w:r w:rsidR="00B7062B" w:rsidRPr="007C12DD">
        <w:rPr>
          <w:lang w:val="en-US"/>
        </w:rPr>
        <w:fldChar w:fldCharType="separate"/>
      </w:r>
      <w:r w:rsidR="00B7062B" w:rsidRPr="007C12DD">
        <w:rPr>
          <w:noProof/>
          <w:lang w:val="en-US"/>
        </w:rPr>
        <w:t>(Beh et al., 2016; Franco, 2017)</w:t>
      </w:r>
      <w:r w:rsidR="00B7062B" w:rsidRPr="007C12DD">
        <w:rPr>
          <w:lang w:val="en-US"/>
        </w:rPr>
        <w:fldChar w:fldCharType="end"/>
      </w:r>
      <w:r w:rsidR="00B7062B" w:rsidRPr="007C12DD">
        <w:rPr>
          <w:lang w:val="en-US"/>
        </w:rPr>
        <w:t xml:space="preserve">, original equipment manufacturing </w:t>
      </w:r>
      <w:r w:rsidR="00B7062B" w:rsidRPr="007C12DD">
        <w:rPr>
          <w:lang w:val="en-US"/>
        </w:rPr>
        <w:fldChar w:fldCharType="begin" w:fldLock="1"/>
      </w:r>
      <w:r w:rsidR="00B801E3" w:rsidRPr="007C12DD">
        <w:rPr>
          <w:lang w:val="en-US"/>
        </w:rPr>
        <w:instrText>ADDIN CSL_CITATION {"citationItems":[{"id":"ITEM-1","itemData":{"DOI":"10.1016/j.jclepro.2020.120916","ISSN":"09596526","abstract":"Studies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Production","id":"ITEM-1","issued":{"date-parts":[["2020"]]},"page":"120916","publisher":"Elsevier Ltd","title":"Exploring factors affecting the financial performance of end-of-life take-back program in a discrete manufacturing context","type":"article-journal","volume":"258"},"uris":["http://www.mendeley.com/documents/?uuid=75795c4f-48ec-4fa7-9c67-1b24d7388aba"]}],"mendeley":{"formattedCitation":"(Markus Thomas Bockholt et al., 2020)","manualFormatting":"(Bockholt et al., 2020)","plainTextFormattedCitation":"(Markus Thomas Bockholt et al., 2020)","previouslyFormattedCitation":"(Markus Thomas Bockholt et al., 2020)"},"properties":{"noteIndex":0},"schema":"https://github.com/citation-style-language/schema/raw/master/csl-citation.json"}</w:instrText>
      </w:r>
      <w:r w:rsidR="00B7062B" w:rsidRPr="007C12DD">
        <w:rPr>
          <w:lang w:val="en-US"/>
        </w:rPr>
        <w:fldChar w:fldCharType="separate"/>
      </w:r>
      <w:r w:rsidR="00E41F76" w:rsidRPr="007C12DD">
        <w:rPr>
          <w:noProof/>
          <w:lang w:val="en-US"/>
        </w:rPr>
        <w:t>(Bockholt et al., 2020)</w:t>
      </w:r>
      <w:r w:rsidR="00B7062B" w:rsidRPr="007C12DD">
        <w:rPr>
          <w:lang w:val="en-US"/>
        </w:rPr>
        <w:fldChar w:fldCharType="end"/>
      </w:r>
      <w:r w:rsidR="00B7062B" w:rsidRPr="007C12DD">
        <w:rPr>
          <w:lang w:val="en-US"/>
        </w:rPr>
        <w:t>, the automotive industry</w:t>
      </w:r>
      <w:r w:rsidR="0018664D" w:rsidRPr="007C12DD">
        <w:rPr>
          <w:lang w:val="en-US"/>
        </w:rPr>
        <w:t xml:space="preserve"> </w:t>
      </w:r>
      <w:r w:rsidR="0018664D" w:rsidRPr="007C12DD">
        <w:rPr>
          <w:lang w:val="en-US"/>
        </w:rPr>
        <w:fldChar w:fldCharType="begin" w:fldLock="1"/>
      </w:r>
      <w:r w:rsidR="00D31D81" w:rsidRPr="007C12DD">
        <w:rPr>
          <w:lang w:val="en-US"/>
        </w:rPr>
        <w:instrText>ADDIN CSL_CITATION {"citationItems":[{"id":"ITEM-1","itemData":{"DOI":"10.1080/00207543.2017.1367107","ISSN":"1366588X","abstract":"The circular economy is often presented as a solution for companies to increase the sustainability of their business. In many situations where suppliers produce subassemblies or modules for OEMs in a B2B context, dependency on their clients limits their options for profitable closed-loop supply chains. In this paper, we develop a simple tool suppliers can use to quickly assess whether remanufacturing is economic and environmentally attractive compared to producing new components. We derive optimal acquisition and reuse quantities that minimise total costs. Based on our analysis with a supplier in the automotive industry, we find that used core prices and remanufacturing yield rates have a large impact while an optimised design for remanufacturing can only marginally improve the situation. The tool is applicable to a wide variety of suppliers and industries that remanufacture their modules or subassemblies, or are exploring the option to engage in remanufacturing operations.","author":[{"dropping-particle":"","family":"Loon","given":"Patricia","non-dropping-particle":"van","parse-names":false,"suffix":""},{"dropping-particle":"","family":"Wassenhove","given":"Luk N.","non-dropping-particle":"Van","parse-names":false,"suffix":""}],"container-title":"International Journal of Production Research","id":"ITEM-1","issue":"4","issued":{"date-parts":[["2018"]]},"page":"1662-1674","publisher":"Taylor &amp; Francis","title":"Assessing the economic and environmental impact of remanufacturing: a decision support tool for OEM suppliers","type":"article-journal","volume":"56"},"uris":["http://www.mendeley.com/documents/?uuid=5913326b-81c1-4104-a120-51d84ccbb633"]}],"mendeley":{"formattedCitation":"(van Loon &amp; Van Wassenhove, 2018)","manualFormatting":"(Van Loon and Van Wassenhove, 2018)","plainTextFormattedCitation":"(van Loon &amp; Van Wassenhove, 2018)","previouslyFormattedCitation":"(van Loon &amp; Van Wassenhove, 2018)"},"properties":{"noteIndex":0},"schema":"https://github.com/citation-style-language/schema/raw/master/csl-citation.json"}</w:instrText>
      </w:r>
      <w:r w:rsidR="0018664D" w:rsidRPr="007C12DD">
        <w:rPr>
          <w:lang w:val="en-US"/>
        </w:rPr>
        <w:fldChar w:fldCharType="separate"/>
      </w:r>
      <w:r w:rsidR="0018664D" w:rsidRPr="007C12DD">
        <w:rPr>
          <w:noProof/>
          <w:lang w:val="en-US"/>
        </w:rPr>
        <w:t>(</w:t>
      </w:r>
      <w:r w:rsidR="00AB0BA5" w:rsidRPr="007C12DD">
        <w:rPr>
          <w:noProof/>
          <w:lang w:val="en-US"/>
        </w:rPr>
        <w:t>V</w:t>
      </w:r>
      <w:r w:rsidR="0018664D" w:rsidRPr="007C12DD">
        <w:rPr>
          <w:noProof/>
          <w:lang w:val="en-US"/>
        </w:rPr>
        <w:t xml:space="preserve">an Loon </w:t>
      </w:r>
      <w:r w:rsidR="00AB0BA5" w:rsidRPr="007C12DD">
        <w:rPr>
          <w:noProof/>
          <w:lang w:val="en-US"/>
        </w:rPr>
        <w:t>and</w:t>
      </w:r>
      <w:r w:rsidR="0018664D" w:rsidRPr="007C12DD">
        <w:rPr>
          <w:noProof/>
          <w:lang w:val="en-US"/>
        </w:rPr>
        <w:t xml:space="preserve"> Van Wassenhove, 2018)</w:t>
      </w:r>
      <w:r w:rsidR="0018664D" w:rsidRPr="007C12DD">
        <w:rPr>
          <w:lang w:val="en-US"/>
        </w:rPr>
        <w:fldChar w:fldCharType="end"/>
      </w:r>
      <w:r w:rsidR="00B7062B" w:rsidRPr="007C12DD">
        <w:rPr>
          <w:lang w:val="en-US"/>
        </w:rPr>
        <w:t xml:space="preserve"> and </w:t>
      </w:r>
      <w:r w:rsidR="002A1E3C">
        <w:rPr>
          <w:lang w:val="en-US"/>
        </w:rPr>
        <w:t xml:space="preserve">the </w:t>
      </w:r>
      <w:r w:rsidR="00B7062B" w:rsidRPr="007C12DD">
        <w:rPr>
          <w:lang w:val="en-US"/>
        </w:rPr>
        <w:t xml:space="preserve">food </w:t>
      </w:r>
      <w:r w:rsidR="002A1E3C">
        <w:rPr>
          <w:lang w:val="en-US"/>
        </w:rPr>
        <w:t xml:space="preserve">industry </w:t>
      </w:r>
      <w:r w:rsidR="00B7062B" w:rsidRPr="007C12DD">
        <w:rPr>
          <w:lang w:val="en-US"/>
        </w:rPr>
        <w:fldChar w:fldCharType="begin" w:fldLock="1"/>
      </w:r>
      <w:r w:rsidR="009966D0" w:rsidRPr="007C12DD">
        <w:rPr>
          <w:lang w:val="en-US"/>
        </w:rPr>
        <w:instrText>ADDIN CSL_CITATION {"citationItems":[{"id":"ITEM-1","itemData":{"DOI":"10.1080/09537287.2018.1449264","ISSN":"13665871","abstract":"In an era of increased scarcity of resources and pollution, the concept of the circular economy is re-emerging to steer supply chains towards more sustainable business practices. The potential of value recovery provides opportunities for the creation of circular supply chains. Reverse flows and value recovery processes are scarcely studied in the context of fresh food supply chains. In this paper, we report findings from an empirical study of three fresh food supply chain networks by considering: product residual value, quantities available for recovery, value from recovery and markets for recovered products. We show that (1) financial value from recovery is a necessary condition for profitability of operations of any value recovery process in fresh food supply chains, but not for the occurrence of the corresponding loop itself; (2) reuse and remanufacturing loops likely feed into alternative markets, while recycling loops likely feed back into fresh food supply chains.","author":[{"dropping-particle":"V.","family":"Vlajic","given":"Jelena","non-dropping-particle":"","parse-names":false,"suffix":""},{"dropping-particle":"","family":"Mijailovic","given":"Radomir","non-dropping-particle":"","parse-names":false,"suffix":""},{"dropping-particle":"","family":"Bogdanova","given":"Mariana","non-dropping-particle":"","parse-names":false,"suffix":""}],"container-title":"Production Planning and Control","id":"ITEM-1","issue":"6","issued":{"date-parts":[["2018"]]},"page":"522-538","publisher":"Taylor &amp; Francis","title":"Creating loops with value recovery: empirical study of fresh food supply chains","type":"article-journal","volume":"29"},"uris":["http://www.mendeley.com/documents/?uuid=3bdc16d9-cf47-4a33-8eee-9c25ff9727fe"]}],"mendeley":{"formattedCitation":"(Vlajic et al., 2018)","plainTextFormattedCitation":"(Vlajic et al., 2018)","previouslyFormattedCitation":"(Vlajic et al., 2018)"},"properties":{"noteIndex":0},"schema":"https://github.com/citation-style-language/schema/raw/master/csl-citation.json"}</w:instrText>
      </w:r>
      <w:r w:rsidR="00B7062B" w:rsidRPr="007C12DD">
        <w:rPr>
          <w:lang w:val="en-US"/>
        </w:rPr>
        <w:fldChar w:fldCharType="separate"/>
      </w:r>
      <w:r w:rsidR="00B7062B" w:rsidRPr="007C12DD">
        <w:rPr>
          <w:noProof/>
          <w:lang w:val="en-US"/>
        </w:rPr>
        <w:t>(Vlajic et al., 2018)</w:t>
      </w:r>
      <w:r w:rsidR="00B7062B" w:rsidRPr="007C12DD">
        <w:rPr>
          <w:lang w:val="en-US"/>
        </w:rPr>
        <w:fldChar w:fldCharType="end"/>
      </w:r>
      <w:r w:rsidR="009966D0" w:rsidRPr="007C12DD">
        <w:rPr>
          <w:lang w:val="en-US"/>
        </w:rPr>
        <w:t>.</w:t>
      </w:r>
      <w:r w:rsidR="009D47BC" w:rsidRPr="007C12DD">
        <w:rPr>
          <w:lang w:val="en-US"/>
        </w:rPr>
        <w:t xml:space="preserve"> </w:t>
      </w:r>
    </w:p>
    <w:p w14:paraId="0E373FF4" w14:textId="5F9CC424" w:rsidR="000B718A" w:rsidRPr="007C12DD" w:rsidRDefault="00C43B14" w:rsidP="006A69BA">
      <w:pPr>
        <w:spacing w:after="0"/>
        <w:ind w:firstLine="284"/>
        <w:jc w:val="both"/>
        <w:rPr>
          <w:lang w:val="en-US"/>
        </w:rPr>
      </w:pPr>
      <w:r>
        <w:rPr>
          <w:lang w:val="en-US"/>
        </w:rPr>
        <w:t xml:space="preserve">This paper </w:t>
      </w:r>
      <w:r w:rsidR="000367AB">
        <w:rPr>
          <w:lang w:val="en-US"/>
        </w:rPr>
        <w:t>sets out</w:t>
      </w:r>
      <w:r>
        <w:rPr>
          <w:lang w:val="en-US"/>
        </w:rPr>
        <w:t xml:space="preserve"> to explore how firms can </w:t>
      </w:r>
      <w:r w:rsidR="007C3975">
        <w:rPr>
          <w:lang w:val="en-US"/>
        </w:rPr>
        <w:t>align</w:t>
      </w:r>
      <w:r w:rsidR="00630A65">
        <w:rPr>
          <w:lang w:val="en-US"/>
        </w:rPr>
        <w:t xml:space="preserve"> manufacturing </w:t>
      </w:r>
      <w:r w:rsidR="00E96A4C">
        <w:rPr>
          <w:lang w:val="en-US"/>
        </w:rPr>
        <w:t>configurations, i.e.</w:t>
      </w:r>
      <w:r w:rsidR="007C72DF">
        <w:rPr>
          <w:lang w:val="en-US"/>
        </w:rPr>
        <w:t>,</w:t>
      </w:r>
      <w:r w:rsidR="00E96A4C">
        <w:rPr>
          <w:lang w:val="en-US"/>
        </w:rPr>
        <w:t xml:space="preserve"> a set of manufacturing activities,</w:t>
      </w:r>
      <w:r w:rsidR="00630A65">
        <w:rPr>
          <w:lang w:val="en-US"/>
        </w:rPr>
        <w:t xml:space="preserve"> </w:t>
      </w:r>
      <w:r w:rsidR="000217E8" w:rsidRPr="007C12DD">
        <w:rPr>
          <w:lang w:val="en-US"/>
        </w:rPr>
        <w:t>with supply characteristics</w:t>
      </w:r>
      <w:r>
        <w:rPr>
          <w:lang w:val="en-US"/>
        </w:rPr>
        <w:t>. Current</w:t>
      </w:r>
      <w:r w:rsidR="00B51D58" w:rsidRPr="007C12DD">
        <w:rPr>
          <w:lang w:val="en-US"/>
        </w:rPr>
        <w:t xml:space="preserve"> </w:t>
      </w:r>
      <w:r w:rsidR="0098241D" w:rsidRPr="007C12DD">
        <w:rPr>
          <w:lang w:val="en-US"/>
        </w:rPr>
        <w:t xml:space="preserve">manufacturing </w:t>
      </w:r>
      <w:r w:rsidR="004B346A" w:rsidRPr="007C12DD">
        <w:rPr>
          <w:lang w:val="en-US"/>
        </w:rPr>
        <w:t>literature</w:t>
      </w:r>
      <w:r w:rsidR="000B718A" w:rsidRPr="007C12DD">
        <w:rPr>
          <w:lang w:val="en-US"/>
        </w:rPr>
        <w:t xml:space="preserve"> </w:t>
      </w:r>
      <w:r w:rsidR="003F01E1">
        <w:rPr>
          <w:lang w:val="en-US"/>
        </w:rPr>
        <w:t>focuses on</w:t>
      </w:r>
      <w:r w:rsidR="000B718A" w:rsidRPr="007C12DD">
        <w:rPr>
          <w:lang w:val="en-US"/>
        </w:rPr>
        <w:t xml:space="preserve"> closed-loop</w:t>
      </w:r>
      <w:r w:rsidR="0041344B" w:rsidRPr="007C12DD">
        <w:rPr>
          <w:lang w:val="en-US"/>
        </w:rPr>
        <w:t xml:space="preserve"> discrete</w:t>
      </w:r>
      <w:r w:rsidR="000B718A" w:rsidRPr="007C12DD">
        <w:rPr>
          <w:lang w:val="en-US"/>
        </w:rPr>
        <w:t xml:space="preserve"> remanufacturing</w:t>
      </w:r>
      <w:r w:rsidR="00E96A4C">
        <w:rPr>
          <w:lang w:val="en-US"/>
        </w:rPr>
        <w:t xml:space="preserve"> configurations</w:t>
      </w:r>
      <w:r w:rsidR="000B718A" w:rsidRPr="007C12DD">
        <w:rPr>
          <w:lang w:val="en-US"/>
        </w:rPr>
        <w:t>.</w:t>
      </w:r>
      <w:r w:rsidR="00B51D58" w:rsidRPr="007C12DD">
        <w:rPr>
          <w:lang w:val="en-US"/>
        </w:rPr>
        <w:t xml:space="preserve"> This is evident from literature reviews on remanufacturing</w:t>
      </w:r>
      <w:r w:rsidR="00630A65">
        <w:rPr>
          <w:lang w:val="en-US"/>
        </w:rPr>
        <w:t>,</w:t>
      </w:r>
      <w:r w:rsidR="00B51D58" w:rsidRPr="007C12DD">
        <w:rPr>
          <w:lang w:val="en-US"/>
        </w:rPr>
        <w:t xml:space="preserve"> </w:t>
      </w:r>
      <w:r w:rsidR="00B25B1D">
        <w:rPr>
          <w:lang w:val="en-US"/>
        </w:rPr>
        <w:t>see for example</w:t>
      </w:r>
      <w:r w:rsidR="00B51D58" w:rsidRPr="007C12DD">
        <w:rPr>
          <w:lang w:val="en-US"/>
        </w:rPr>
        <w:t xml:space="preserve"> </w:t>
      </w:r>
      <w:r w:rsidR="00B51D58" w:rsidRPr="007C12DD">
        <w:rPr>
          <w:lang w:val="en-US"/>
        </w:rPr>
        <w:fldChar w:fldCharType="begin" w:fldLock="1"/>
      </w:r>
      <w:r w:rsidR="00C83A66">
        <w:rPr>
          <w:lang w:val="en-US"/>
        </w:rPr>
        <w:instrText>ADDIN CSL_CITATION {"citationItems":[{"id":"ITEM-1","itemData":{"DOI":"10.1080/09537287.2011.561815","ISSN":"09537287","abstract":"This article reviews the literature on production planning and control (PPC) for remanufacturing. The objectives are threefold: to determine whether the gaps identified by Guide (Guide Jr, V.D.R., 2000. Production planning and control for remanufacturing: industry practice and research needs. Journal of Operations Management, 18, 467-483) on the subject with respect to the main complicating characteristics of remanufacturing have been fulfilled; to classify the literature based on an appropriate structure to obtain a better understanding of the subject identifying sources of future research and to provide a useful source for scholars and practitioners. Seventy-six papers were examined and classified. It was found that none of the studies deals simultaneously with all of the complicating characteristics, and that more practical research is needed. In addition it was found that we lack studies regarding forecasting and aggregate planning considering disassembly of returned products, material matching restrictions or stochastic routings, master production scheduling considering material matching restrictions or stochastic routings, ordering system and capacity planning considering material matching restrictions and inventory control and management considering stochastic routings. © 2012 Taylor &amp; Francis.","author":[{"dropping-particle":"","family":"Lage","given":"Muris","non-dropping-particle":"","parse-names":false,"suffix":""},{"dropping-particle":"","family":"Filho","given":"Moacir Godinho","non-dropping-particle":"","parse-names":false,"suffix":""}],"container-title":"Production Planning and Control","id":"ITEM-1","issue":"6","issued":{"date-parts":[["2012"]]},"page":"419-435","title":"Production planning and control for remanufacturing: Literature review and analysis","type":"article-journal","volume":"23"},"uris":["http://www.mendeley.com/documents/?uuid=499aebd9-a243-4ae9-a809-74c2dc7318da"]},{"id":"ITEM-2","itemData":{"DOI":"10.1016/j.jclepro.2019.117805","ISSN":"09596526","abstract":"This paper reviews the literature on the emerging digital technologies of Industry 4.0 (I4.0) focussed on the applicability of the Internet of Things (IoT), Virtual Reality (VR) and Augmented Reality (AR) in remanufacturing. Inspired by the frameworks developed to support exploration and realisation of I4.0 technologies for disassembly, the paper discusses the same emerging technologies in the wider context of remanufacturing. Trends and gaps have been identified from a value-creation perspective that encompasses the product to be remanufactured, the remanufacturing equipment and processes adopted and related organisation issues. Findings suggest there is a need to explore the connection of cyber-physical systems to the IoT to support smart remanufacturing, whilst aligning with evolving information and communication infrastructures and circular economy business models. The review highlights twenty-nine research topics that require attention to support this field.","author":[{"dropping-particle":"","family":"Kerin","given":"Mairi","non-dropping-particle":"","parse-names":false,"suffix":""},{"dropping-particle":"","family":"Pham","given":"Duc Truong","non-dropping-particle":"","parse-names":false,"suffix":""}],"container-title":"Journal of Cleaner Production","id":"ITEM-2","issued":{"date-parts":[["2019"]]},"page":"117805","publisher":"Elsevier Ltd","title":"A review of emerging industry 4.0 technologies in remanufacturing","type":"article-journal","volume":"237"},"uris":["http://www.mendeley.com/documents/?uuid=11fb8434-137c-4d51-87b9-f5d18a36a225"]},{"id":"ITEM-3","itemData":{"DOI":"10.1016/j.jclepro.2019.05.204","ISSN":"09596526","abstract":"The importance of remanufacturing has been increasing since stricter regulations on protecting the environment were enforced. Remanufacturing is considered as the main means of retaining value from used products and components in order to drive a circular economy. However, it is more complex than traditional manufacturing due to the uncertainties associated with the quality, quantities and return timing of used products and components. Over the past few years, various methods of optimising remanufacturing outcomes have been developed to make decisions such as identifying the best End-Of-Life (EOL) options, acquiring the right amounts of cores, deciding the most suitable disassembly level, applying suitable cleaning techniques, and considering product commonality across different product families. A decision being made at one remanufacturing activity will greatly affect the decisions at subsequent activities, which will affect remanufacturing outcomes, i.e. productivity, economic performance effectiveness, and the proportion of core that can be salvaged. Therefore, a holistic way of integrating different decisions over multiple remanufacturing activities is needed to improve remanufacturing outcomes, which is a major knowledge gap. This paper reviews current remanufacturing practice in order to highlight both the challenges and opportunities, and more importantly, offers useful insights on how such a knowledge gap can be bridged.","author":[{"dropping-particle":"","family":"Sitcharangsie","given":"Sakraan","non-dropping-particle":"","parse-names":false,"suffix":""},{"dropping-particle":"","family":"Ijomah","given":"Winifred","non-dropping-particle":"","parse-names":false,"suffix":""},{"dropping-particle":"","family":"Wong","given":"T. C.","non-dropping-particle":"","parse-names":false,"suffix":""}],"container-title":"Journal of Cleaner Production","id":"ITEM-3","issued":{"date-parts":[["2019"]]},"page":"1465-1481","publisher":"Elsevier Ltd","title":"Decision makings in key remanufacturing activities to optimise remanufacturing outcomes: A review","type":"article-journal","volume":"232"},"uris":["http://www.mendeley.com/documents/?uuid=f4c397d9-d612-4093-a945-a1441702b986"]},{"id":"ITEM-4","itemData":{"DOI":"10.1016/j.jclepro.2009.03.004","ISSN":"09596526","abstract":"While the concepts of remanufacturing and reverse logistics are gaining popularity in practice, the available literature and theory on strategic decision making in these areas are limited. This paper is designed to address this gap, in particular, for the automotive industry aftermarket. In doing so, the authors reviewed literature pertaining to: customer demand(s), product design and development, cost-benefit analysis of reman, core (i.e., used product) supply management, reman competencies and skills, product life cycle strategies, reman and reverse logistics network design, relationships among key stakeholders, environmental considerations, regulations, and impact of emerging economies. The literature findings along with our experience in working with automotive reman products were used as inputs to guide the formulation of seven major propositions for the strategic factors in decision making within reman. The propositions were then tested through a case study. The case study reconfirmed many of the factors like product life cycle, regulations, etc. from the literature review and also identified new factors like OE customer requirements. Our results provide a foundation for further research for companies that deal with Original Equipment (OE) Sales, Original Equipment Service (OES), as well as Independent Aftermarket (IAM) business in the automotive industry. © 2009 Elsevier Ltd. All rights reserved.","author":[{"dropping-particle":"","family":"Subramoniam","given":"Ramesh","non-dropping-particle":"","parse-names":false,"suffix":""},{"dropping-particle":"","family":"Huisingh","given":"Donald","non-dropping-particle":"","parse-names":false,"suffix":""},{"dropping-particle":"","family":"Chinnam","given":"Ratna Babu","non-dropping-particle":"","parse-names":false,"suffix":""}],"container-title":"Journal of Cleaner Production","id":"ITEM-4","issue":"13","issued":{"date-parts":[["2009"]]},"page":"1163-1174","publisher":"Elsevier Ltd","title":"Remanufacturing for the automotive aftermarket-strategic factors: literature review and future research needs","type":"article-journal","volume":"17"},"uris":["http://www.mendeley.com/documents/?uuid=4c99fba9-1877-4cee-bae3-543bfd91ed5b"]}],"mendeley":{"formattedCitation":"(Kerin &amp; Pham, 2019; Lage &amp; Filho, 2012; Sitcharangsie et al., 2019; Subramoniam et al., 2009)","manualFormatting":"Kerin and Pham (2019) and Sitcharangsie et al. (2019)","plainTextFormattedCitation":"(Kerin &amp; Pham, 2019; Lage &amp; Filho, 2012; Sitcharangsie et al., 2019; Subramoniam et al., 2009)","previouslyFormattedCitation":"(Kerin &amp; Pham, 2019; Lage &amp; Filho, 2012; Sitcharangsie et al., 2019; Subramoniam et al., 2009)"},"properties":{"noteIndex":0},"schema":"https://github.com/citation-style-language/schema/raw/master/csl-citation.json"}</w:instrText>
      </w:r>
      <w:r w:rsidR="00B51D58" w:rsidRPr="007C12DD">
        <w:rPr>
          <w:lang w:val="en-US"/>
        </w:rPr>
        <w:fldChar w:fldCharType="separate"/>
      </w:r>
      <w:r w:rsidR="00B51D58" w:rsidRPr="007C12DD">
        <w:rPr>
          <w:noProof/>
          <w:lang w:val="en-US"/>
        </w:rPr>
        <w:t xml:space="preserve">Kerin and Pham (2019) </w:t>
      </w:r>
      <w:r w:rsidR="00A61121" w:rsidRPr="007C12DD">
        <w:rPr>
          <w:noProof/>
          <w:lang w:val="en-US"/>
        </w:rPr>
        <w:t>and</w:t>
      </w:r>
      <w:r w:rsidR="00B51D58" w:rsidRPr="007C12DD">
        <w:rPr>
          <w:noProof/>
          <w:lang w:val="en-US"/>
        </w:rPr>
        <w:t xml:space="preserve"> Sitcharangsie et al. (2019)</w:t>
      </w:r>
      <w:r w:rsidR="00B51D58" w:rsidRPr="007C12DD">
        <w:rPr>
          <w:lang w:val="en-US"/>
        </w:rPr>
        <w:fldChar w:fldCharType="end"/>
      </w:r>
      <w:r w:rsidR="0041344B" w:rsidRPr="007C12DD">
        <w:rPr>
          <w:lang w:val="en-US"/>
        </w:rPr>
        <w:t xml:space="preserve">. </w:t>
      </w:r>
      <w:r w:rsidR="000217E8" w:rsidRPr="005359EE">
        <w:rPr>
          <w:lang w:val="en-GB"/>
        </w:rPr>
        <w:t>However, l</w:t>
      </w:r>
      <w:r w:rsidR="00B801E3" w:rsidRPr="005359EE">
        <w:rPr>
          <w:lang w:val="en-GB"/>
        </w:rPr>
        <w:t>iterature</w:t>
      </w:r>
      <w:r w:rsidR="0098241D" w:rsidRPr="005359EE">
        <w:rPr>
          <w:lang w:val="en-GB"/>
        </w:rPr>
        <w:t xml:space="preserve"> on</w:t>
      </w:r>
      <w:r w:rsidR="00B51D58" w:rsidRPr="007C12DD">
        <w:rPr>
          <w:lang w:val="en-US"/>
        </w:rPr>
        <w:t xml:space="preserve"> other</w:t>
      </w:r>
      <w:r w:rsidR="0098241D" w:rsidRPr="007C12DD">
        <w:rPr>
          <w:lang w:val="en-US"/>
        </w:rPr>
        <w:t xml:space="preserve"> </w:t>
      </w:r>
      <w:r w:rsidR="009D47BC" w:rsidRPr="007C12DD">
        <w:rPr>
          <w:lang w:val="en-US"/>
        </w:rPr>
        <w:t xml:space="preserve">manufacturing </w:t>
      </w:r>
      <w:r w:rsidR="00EB536C" w:rsidRPr="007C12DD">
        <w:rPr>
          <w:lang w:val="en-US"/>
        </w:rPr>
        <w:t>configurations</w:t>
      </w:r>
      <w:r w:rsidR="00E96A4C">
        <w:rPr>
          <w:lang w:val="en-US"/>
        </w:rPr>
        <w:t xml:space="preserve"> </w:t>
      </w:r>
      <w:r w:rsidR="00EB536C" w:rsidRPr="005359EE">
        <w:rPr>
          <w:lang w:val="en-US"/>
        </w:rPr>
        <w:t xml:space="preserve">such </w:t>
      </w:r>
      <w:r w:rsidR="00B51D58" w:rsidRPr="007C12DD">
        <w:rPr>
          <w:lang w:val="en-US"/>
        </w:rPr>
        <w:t xml:space="preserve">as open-loop </w:t>
      </w:r>
      <w:r w:rsidR="003F01E1">
        <w:rPr>
          <w:lang w:val="en-US"/>
        </w:rPr>
        <w:t xml:space="preserve">and </w:t>
      </w:r>
      <w:r w:rsidR="0041344B" w:rsidRPr="007C12DD">
        <w:rPr>
          <w:lang w:val="en-US"/>
        </w:rPr>
        <w:t xml:space="preserve">process </w:t>
      </w:r>
      <w:r w:rsidR="00B51D58" w:rsidRPr="007C12DD">
        <w:rPr>
          <w:lang w:val="en-US"/>
        </w:rPr>
        <w:t xml:space="preserve">manufacturing </w:t>
      </w:r>
      <w:r w:rsidR="0098241D" w:rsidRPr="007C12DD">
        <w:rPr>
          <w:lang w:val="en-US"/>
        </w:rPr>
        <w:t>remain</w:t>
      </w:r>
      <w:r w:rsidR="00B801E3" w:rsidRPr="007C12DD">
        <w:rPr>
          <w:lang w:val="en-US"/>
        </w:rPr>
        <w:t>s</w:t>
      </w:r>
      <w:r w:rsidR="0098241D" w:rsidRPr="007C12DD">
        <w:rPr>
          <w:lang w:val="en-US"/>
        </w:rPr>
        <w:t xml:space="preserve"> </w:t>
      </w:r>
      <w:r w:rsidR="004B346A" w:rsidRPr="007C12DD">
        <w:rPr>
          <w:lang w:val="en-US"/>
        </w:rPr>
        <w:t xml:space="preserve">rather </w:t>
      </w:r>
      <w:r w:rsidR="0098241D" w:rsidRPr="007C12DD">
        <w:rPr>
          <w:lang w:val="en-US"/>
        </w:rPr>
        <w:t>scarce</w:t>
      </w:r>
      <w:r w:rsidR="00EB536C" w:rsidRPr="007C12DD">
        <w:rPr>
          <w:lang w:val="en-US"/>
        </w:rPr>
        <w:t xml:space="preserve">. </w:t>
      </w:r>
      <w:r w:rsidR="000217E8" w:rsidRPr="007C12DD">
        <w:rPr>
          <w:lang w:val="en-US"/>
        </w:rPr>
        <w:t>D</w:t>
      </w:r>
      <w:r w:rsidR="000B718A" w:rsidRPr="007C12DD">
        <w:rPr>
          <w:lang w:val="en-US"/>
        </w:rPr>
        <w:t>ifferent manufacturing configurations have different strengths and weaknesses and respond differently to the challenges imposed by supply characteristics</w:t>
      </w:r>
      <w:r w:rsidR="0098241D" w:rsidRPr="007C12DD">
        <w:rPr>
          <w:lang w:val="en-US"/>
        </w:rPr>
        <w:t xml:space="preserve"> </w:t>
      </w:r>
      <w:r w:rsidR="0098241D" w:rsidRPr="007C12DD">
        <w:rPr>
          <w:lang w:val="en-US"/>
        </w:rPr>
        <w:fldChar w:fldCharType="begin" w:fldLock="1"/>
      </w:r>
      <w:r w:rsidR="004B346A" w:rsidRPr="007C12DD">
        <w:rPr>
          <w:lang w:val="en-US"/>
        </w:rPr>
        <w:instrText>ADDIN CSL_CITATION {"citationItems":[{"id":"ITEM-1","itemData":{"author":[{"dropping-particle":"","family":"Hayes","given":"R.H.","non-dropping-particle":"","parse-names":false,"suffix":""},{"dropping-particle":"","family":"Pisano","given":"G.P.","non-dropping-particle":"","parse-names":false,"suffix":""}],"container-title":"Harvard Business Review","id":"ITEM-1","issue":"10","issued":{"date-parts":[["1994"]]},"page":"77-86","title":"Beyond world-class: the new manufacturing strategy","type":"article-journal","volume":"72"},"uris":["http://www.mendeley.com/documents/?uuid=122bcd57-9a56-4551-a43d-265f8680f36f"]}],"mendeley":{"formattedCitation":"(Hayes &amp; Pisano, 1994)","manualFormatting":"(Hayes and Pisano, 1994)","plainTextFormattedCitation":"(Hayes &amp; Pisano, 1994)","previouslyFormattedCitation":"(Hayes &amp; Pisano, 1994)"},"properties":{"noteIndex":0},"schema":"https://github.com/citation-style-language/schema/raw/master/csl-citation.json"}</w:instrText>
      </w:r>
      <w:r w:rsidR="0098241D" w:rsidRPr="007C12DD">
        <w:rPr>
          <w:lang w:val="en-US"/>
        </w:rPr>
        <w:fldChar w:fldCharType="separate"/>
      </w:r>
      <w:r w:rsidR="0098241D" w:rsidRPr="007C12DD">
        <w:rPr>
          <w:noProof/>
          <w:lang w:val="en-US"/>
        </w:rPr>
        <w:t xml:space="preserve">(Hayes </w:t>
      </w:r>
      <w:r w:rsidR="004B346A" w:rsidRPr="007C12DD">
        <w:rPr>
          <w:noProof/>
          <w:lang w:val="en-US"/>
        </w:rPr>
        <w:t>and</w:t>
      </w:r>
      <w:r w:rsidR="0098241D" w:rsidRPr="007C12DD">
        <w:rPr>
          <w:noProof/>
          <w:lang w:val="en-US"/>
        </w:rPr>
        <w:t xml:space="preserve"> Pisano, 1994)</w:t>
      </w:r>
      <w:r w:rsidR="0098241D" w:rsidRPr="007C12DD">
        <w:rPr>
          <w:lang w:val="en-US"/>
        </w:rPr>
        <w:fldChar w:fldCharType="end"/>
      </w:r>
      <w:r w:rsidR="000B718A" w:rsidRPr="007C12DD">
        <w:rPr>
          <w:lang w:val="en-US"/>
        </w:rPr>
        <w:t xml:space="preserve">. Therefore, </w:t>
      </w:r>
      <w:r w:rsidR="0041344B" w:rsidRPr="007C12DD">
        <w:rPr>
          <w:lang w:val="en-US"/>
        </w:rPr>
        <w:t>rather than</w:t>
      </w:r>
      <w:r w:rsidR="000B718A" w:rsidRPr="007C12DD">
        <w:rPr>
          <w:lang w:val="en-US"/>
        </w:rPr>
        <w:t xml:space="preserve"> developing solutions for </w:t>
      </w:r>
      <w:r w:rsidR="0041344B" w:rsidRPr="007C12DD">
        <w:rPr>
          <w:lang w:val="en-US"/>
        </w:rPr>
        <w:t>specific manufacturing configurations</w:t>
      </w:r>
      <w:r w:rsidR="000B718A" w:rsidRPr="007C12DD">
        <w:rPr>
          <w:lang w:val="en-US"/>
        </w:rPr>
        <w:t>,</w:t>
      </w:r>
      <w:r w:rsidR="0041344B" w:rsidRPr="007C12DD">
        <w:rPr>
          <w:lang w:val="en-US"/>
        </w:rPr>
        <w:t xml:space="preserve"> we </w:t>
      </w:r>
      <w:r w:rsidR="003F01E1">
        <w:rPr>
          <w:lang w:val="en-US"/>
        </w:rPr>
        <w:t>explore</w:t>
      </w:r>
      <w:r w:rsidR="009E1537">
        <w:rPr>
          <w:lang w:val="en-US"/>
        </w:rPr>
        <w:t xml:space="preserve"> </w:t>
      </w:r>
      <w:r w:rsidR="003F01E1">
        <w:rPr>
          <w:lang w:val="en-US"/>
        </w:rPr>
        <w:t xml:space="preserve">how </w:t>
      </w:r>
      <w:r w:rsidR="009E1537">
        <w:rPr>
          <w:lang w:val="en-US"/>
        </w:rPr>
        <w:t>different manufacturing configurations are contingent upon different supply</w:t>
      </w:r>
      <w:r w:rsidR="005A4C9B">
        <w:rPr>
          <w:lang w:val="en-US"/>
        </w:rPr>
        <w:t xml:space="preserve"> </w:t>
      </w:r>
      <w:proofErr w:type="gramStart"/>
      <w:r w:rsidR="009E1537">
        <w:rPr>
          <w:lang w:val="en-US"/>
        </w:rPr>
        <w:t>characteristic</w:t>
      </w:r>
      <w:proofErr w:type="gramEnd"/>
      <w:r w:rsidR="00A8767C">
        <w:rPr>
          <w:lang w:val="en-US"/>
        </w:rPr>
        <w:t xml:space="preserve">. </w:t>
      </w:r>
    </w:p>
    <w:p w14:paraId="67020E75" w14:textId="11411F23" w:rsidR="004B346A" w:rsidRPr="007C12DD" w:rsidRDefault="00243554" w:rsidP="00B6692C">
      <w:pPr>
        <w:spacing w:after="0"/>
        <w:ind w:firstLine="284"/>
        <w:jc w:val="both"/>
        <w:rPr>
          <w:lang w:val="en-US"/>
        </w:rPr>
      </w:pPr>
      <w:r w:rsidRPr="007C12DD">
        <w:rPr>
          <w:lang w:val="en-US"/>
        </w:rPr>
        <w:t xml:space="preserve">In this research we adopt the </w:t>
      </w:r>
      <w:r w:rsidR="000217E8" w:rsidRPr="007C12DD">
        <w:rPr>
          <w:lang w:val="en-US"/>
        </w:rPr>
        <w:t>circular business model (</w:t>
      </w:r>
      <w:r w:rsidR="004B346A" w:rsidRPr="007C12DD">
        <w:rPr>
          <w:lang w:val="en-US"/>
        </w:rPr>
        <w:t>CBM</w:t>
      </w:r>
      <w:r w:rsidR="000217E8" w:rsidRPr="007C12DD">
        <w:rPr>
          <w:lang w:val="en-US"/>
        </w:rPr>
        <w:t>)</w:t>
      </w:r>
      <w:r w:rsidRPr="007C12DD">
        <w:rPr>
          <w:lang w:val="en-US"/>
        </w:rPr>
        <w:t xml:space="preserve"> </w:t>
      </w:r>
      <w:r w:rsidR="009E1537">
        <w:rPr>
          <w:lang w:val="en-US"/>
        </w:rPr>
        <w:fldChar w:fldCharType="begin" w:fldLock="1"/>
      </w:r>
      <w:r w:rsidR="00B6692C">
        <w:rPr>
          <w:lang w:val="en-US"/>
        </w:rPr>
        <w:instrText>ADDIN CSL_CITATION {"citationItems":[{"id":"ITEM-1","itemData":{"DOI":"10.1080/21681015.2016.1172124","ISSN":"21681023","abstract":"The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non-dropping-particle":"","parse-names":false,"suffix":""},{"dropping-particle":"","family":"Grinten","given":"Bram","non-dropping-particle":"van der","parse-names":false,"suffix":""}],"container-title":"Journal of Industrial and Production Engineering","id":"ITEM-1","issue":"5","issued":{"date-parts":[["2016"]]},"page":"308-320","publisher":"Taylor &amp; Francis","title":"Product design and business model strategies for a circular economy","type":"article-journal","volume":"33"},"uris":["http://www.mendeley.com/documents/?uuid=40ae2407-f2f8-4ffd-9222-dc87b44277d9"]}],"mendeley":{"formattedCitation":"(Nancy M.P. Bocken et al., 2016)","manualFormatting":"(Bocken et al., 2016)","plainTextFormattedCitation":"(Nancy M.P. Bocken et al., 2016)","previouslyFormattedCitation":"(Nancy M.P. Bocken et al., 2016)"},"properties":{"noteIndex":0},"schema":"https://github.com/citation-style-language/schema/raw/master/csl-citation.json"}</w:instrText>
      </w:r>
      <w:r w:rsidR="009E1537">
        <w:rPr>
          <w:lang w:val="en-US"/>
        </w:rPr>
        <w:fldChar w:fldCharType="separate"/>
      </w:r>
      <w:r w:rsidR="009E1537" w:rsidRPr="009E1537">
        <w:rPr>
          <w:noProof/>
          <w:lang w:val="en-US"/>
        </w:rPr>
        <w:t>(Bocken et al., 2016)</w:t>
      </w:r>
      <w:r w:rsidR="009E1537">
        <w:rPr>
          <w:lang w:val="en-US"/>
        </w:rPr>
        <w:fldChar w:fldCharType="end"/>
      </w:r>
      <w:r w:rsidR="009E1537">
        <w:rPr>
          <w:lang w:val="en-US"/>
        </w:rPr>
        <w:t xml:space="preserve"> </w:t>
      </w:r>
      <w:r w:rsidR="00BF55F2">
        <w:rPr>
          <w:lang w:val="en-US"/>
        </w:rPr>
        <w:t>and contingency theory</w:t>
      </w:r>
      <w:r w:rsidR="00995D0F">
        <w:rPr>
          <w:lang w:val="en-US"/>
        </w:rPr>
        <w:t xml:space="preserve"> </w:t>
      </w:r>
      <w:r w:rsidR="00995D0F">
        <w:rPr>
          <w:lang w:val="en-US"/>
        </w:rPr>
        <w:fldChar w:fldCharType="begin" w:fldLock="1"/>
      </w:r>
      <w:r w:rsidR="003F01E1">
        <w:rPr>
          <w:lang w:val="en-US"/>
        </w:rPr>
        <w:instrText>ADDIN CSL_CITATION {"citationItems":[{"id":"ITEM-1","itemData":{"author":[{"dropping-particle":"","family":"Lawrence","given":"P.R.","non-dropping-particle":"","parse-names":false,"suffix":""},{"dropping-particle":"","family":"Lorsch","given":"J.W.","non-dropping-particle":"","parse-names":false,"suffix":""}],"id":"ITEM-1","issued":{"date-parts":[["1967"]]},"publisher":"Harvard University Press","publisher-place":"Cambridge (MA)","title":"Organization and Environment","type":"book"},"uris":["http://www.mendeley.com/documents/?uuid=57722c4d-b92c-484d-a9af-30ebc3fba9c9"]}],"mendeley":{"formattedCitation":"(P.R. Lawrence &amp; Lorsch, 1967)","manualFormatting":"(Lawrence and Lorsch, 1967)","plainTextFormattedCitation":"(P.R. Lawrence &amp; Lorsch, 1967)","previouslyFormattedCitation":"(P.R. Lawrence &amp; Lorsch, 1967)"},"properties":{"noteIndex":0},"schema":"https://github.com/citation-style-language/schema/raw/master/csl-citation.json"}</w:instrText>
      </w:r>
      <w:r w:rsidR="00995D0F">
        <w:rPr>
          <w:lang w:val="en-US"/>
        </w:rPr>
        <w:fldChar w:fldCharType="separate"/>
      </w:r>
      <w:r w:rsidR="00995D0F" w:rsidRPr="00995D0F">
        <w:rPr>
          <w:noProof/>
          <w:lang w:val="en-US"/>
        </w:rPr>
        <w:t xml:space="preserve">(Lawrence </w:t>
      </w:r>
      <w:r w:rsidR="009E1537">
        <w:rPr>
          <w:noProof/>
          <w:lang w:val="en-US"/>
        </w:rPr>
        <w:t>and</w:t>
      </w:r>
      <w:r w:rsidR="00995D0F" w:rsidRPr="00995D0F">
        <w:rPr>
          <w:noProof/>
          <w:lang w:val="en-US"/>
        </w:rPr>
        <w:t xml:space="preserve"> Lorsch, 1967)</w:t>
      </w:r>
      <w:r w:rsidR="00995D0F">
        <w:rPr>
          <w:lang w:val="en-US"/>
        </w:rPr>
        <w:fldChar w:fldCharType="end"/>
      </w:r>
      <w:r w:rsidR="00BF55F2">
        <w:rPr>
          <w:lang w:val="en-US"/>
        </w:rPr>
        <w:t xml:space="preserve"> </w:t>
      </w:r>
      <w:r w:rsidRPr="007C12DD">
        <w:rPr>
          <w:lang w:val="en-US"/>
        </w:rPr>
        <w:t>as an interpretative lens. Th</w:t>
      </w:r>
      <w:r w:rsidR="00975D34" w:rsidRPr="007C12DD">
        <w:rPr>
          <w:lang w:val="en-US"/>
        </w:rPr>
        <w:t xml:space="preserve">e CBM provides a simplified </w:t>
      </w:r>
      <w:r w:rsidR="00975D34" w:rsidRPr="007C12DD">
        <w:rPr>
          <w:lang w:val="en-US"/>
        </w:rPr>
        <w:lastRenderedPageBreak/>
        <w:t xml:space="preserve">representation of how firms create, deliver and capture value to meet circular value propositions </w:t>
      </w:r>
      <w:r w:rsidR="00975D34" w:rsidRPr="007C12DD">
        <w:rPr>
          <w:lang w:val="en-US"/>
        </w:rPr>
        <w:fldChar w:fldCharType="begin" w:fldLock="1"/>
      </w:r>
      <w:r w:rsidR="001D5F97" w:rsidRPr="007C12DD">
        <w:rPr>
          <w:lang w:val="en-US"/>
        </w:rPr>
        <w:instrText>ADDIN CSL_CITATION {"citationItems":[{"id":"ITEM-1","itemData":{"DOI":"10.1016/j.jclepro.2018.04.159","ISSN":"09596526","abstract":"The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Production","id":"ITEM-1","issued":{"date-parts":[["2018"]]},"page":"712-721","publisher":"Elsevier Ltd","title":"Business models and supply chains for the circular economy","type":"article-journal","volume":"190"},"uris":["http://www.mendeley.com/documents/?uuid=9790209a-b21e-4901-8d12-6006787fa048"]}],"mendeley":{"formattedCitation":"(Geissdoerfer et al., 2018)","plainTextFormattedCitation":"(Geissdoerfer et al., 2018)","previouslyFormattedCitation":"(Geissdoerfer et al., 2018)"},"properties":{"noteIndex":0},"schema":"https://github.com/citation-style-language/schema/raw/master/csl-citation.json"}</w:instrText>
      </w:r>
      <w:r w:rsidR="00975D34" w:rsidRPr="007C12DD">
        <w:rPr>
          <w:lang w:val="en-US"/>
        </w:rPr>
        <w:fldChar w:fldCharType="separate"/>
      </w:r>
      <w:r w:rsidR="00975D34" w:rsidRPr="007C12DD">
        <w:rPr>
          <w:noProof/>
          <w:lang w:val="en-US"/>
        </w:rPr>
        <w:t>(Geissdoerfer et al., 2018)</w:t>
      </w:r>
      <w:r w:rsidR="00975D34" w:rsidRPr="007C12DD">
        <w:rPr>
          <w:lang w:val="en-US"/>
        </w:rPr>
        <w:fldChar w:fldCharType="end"/>
      </w:r>
      <w:r w:rsidR="00975D34" w:rsidRPr="007C12DD">
        <w:rPr>
          <w:lang w:val="en-US"/>
        </w:rPr>
        <w:t xml:space="preserve">. The value creation component of the CBM relates to the manufacturing activities and provides a useful lens to </w:t>
      </w:r>
      <w:r w:rsidRPr="007C12DD">
        <w:rPr>
          <w:lang w:val="en-US"/>
        </w:rPr>
        <w:t xml:space="preserve">describe the </w:t>
      </w:r>
      <w:r w:rsidR="000217E8" w:rsidRPr="007C12DD">
        <w:rPr>
          <w:lang w:val="en-US"/>
        </w:rPr>
        <w:t xml:space="preserve">main elements of </w:t>
      </w:r>
      <w:r w:rsidR="00D725AD" w:rsidRPr="007C12DD">
        <w:rPr>
          <w:lang w:val="en-US"/>
        </w:rPr>
        <w:t>a circular</w:t>
      </w:r>
      <w:r w:rsidR="000217E8" w:rsidRPr="007C12DD">
        <w:rPr>
          <w:lang w:val="en-US"/>
        </w:rPr>
        <w:t xml:space="preserve"> </w:t>
      </w:r>
      <w:r w:rsidRPr="007C12DD">
        <w:rPr>
          <w:lang w:val="en-US"/>
        </w:rPr>
        <w:t>manufacturing configuration.</w:t>
      </w:r>
      <w:r w:rsidR="00987AEC">
        <w:rPr>
          <w:lang w:val="en-US"/>
        </w:rPr>
        <w:t xml:space="preserve"> In fact, p</w:t>
      </w:r>
      <w:r w:rsidR="006870D0" w:rsidRPr="007C12DD">
        <w:rPr>
          <w:lang w:val="en-US"/>
        </w:rPr>
        <w:t xml:space="preserve">rior research has also used business models as a lens in manufacturing literature. </w:t>
      </w:r>
      <w:r w:rsidR="006870D0" w:rsidRPr="005359EE">
        <w:rPr>
          <w:lang w:val="en-US"/>
        </w:rPr>
        <w:t xml:space="preserve">For instance, </w:t>
      </w:r>
      <w:r w:rsidR="006870D0" w:rsidRPr="005359EE">
        <w:rPr>
          <w:lang w:val="en-US"/>
        </w:rPr>
        <w:fldChar w:fldCharType="begin" w:fldLock="1"/>
      </w:r>
      <w:r w:rsidR="006870D0" w:rsidRPr="005359EE">
        <w:rPr>
          <w:lang w:val="en-US"/>
        </w:rPr>
        <w:instrText>ADDIN CSL_CITATION {"citationItems":[{"id":"ITEM-1","itemData":{"DOI":"10.1016/j.ijpe.2017.07.004","ISSN":"09255273","abstract":"With the increasing significance of the business model in a connected economy, a new stream of literature has turned to explore the antecedents of business model design. Beyond external antecedents derived from a rational positioning view, little research has investigated the role of internal manufacturing flexibility. Based on theory of constraints and business ecosystem theory, this examines how manufacturing flexibility affects efficiency- and novelty-centred business model designs and consequent firm performance. We propose and test eight hypotheses using data from one hundred and eighty-six manufacturing firms in China. The results indicate that manufacturing flexibility promotes both efficiency- and novelty-centred business model designs and subsequent firm performance. Furthermore, the relationship between manufacturing flexibility and an efficiency-centred business model design is strengthened by competitive intensity but weakened by demand heterogeneity. In contrast, the relationship between manufacturing flexibility and novelty-centred business model design is weakened by competitive intensity but strengthened by demand heterogeneity.","author":[{"dropping-particle":"","family":"Wei","given":"Zelong","non-dropping-particle":"","parse-names":false,"suffix":""},{"dropping-particle":"","family":"Song","given":"Xi","non-dropping-particle":"","parse-names":false,"suffix":""},{"dropping-particle":"","family":"Wang","given":"Donghan","non-dropping-particle":"","parse-names":false,"suffix":""}],"container-title":"International Journal of Production Economics","id":"ITEM-1","issue":"28","issued":{"date-parts":[["2017"]]},"page":"87-97","title":"Manufacturing flexibility, business model design, and firm performance","type":"article-journal","volume":"193"},"uris":["http://www.mendeley.com/documents/?uuid=77875c67-dd05-441a-a5b7-8a5d2da729a5"]}],"mendeley":{"formattedCitation":"(Wei et al., 2017)","manualFormatting":"Wei et al. (2017)","plainTextFormattedCitation":"(Wei et al., 2017)","previouslyFormattedCitation":"(Wei et al., 2017)"},"properties":{"noteIndex":0},"schema":"https://github.com/citation-style-language/schema/raw/master/csl-citation.json"}</w:instrText>
      </w:r>
      <w:r w:rsidR="006870D0" w:rsidRPr="005359EE">
        <w:rPr>
          <w:lang w:val="en-US"/>
        </w:rPr>
        <w:fldChar w:fldCharType="separate"/>
      </w:r>
      <w:r w:rsidR="006870D0" w:rsidRPr="005359EE">
        <w:rPr>
          <w:noProof/>
          <w:lang w:val="en-US"/>
        </w:rPr>
        <w:t>Wei et al. (2017)</w:t>
      </w:r>
      <w:r w:rsidR="006870D0" w:rsidRPr="005359EE">
        <w:rPr>
          <w:lang w:val="en-US"/>
        </w:rPr>
        <w:fldChar w:fldCharType="end"/>
      </w:r>
      <w:r w:rsidR="006870D0" w:rsidRPr="005359EE">
        <w:rPr>
          <w:lang w:val="en-US"/>
        </w:rPr>
        <w:t xml:space="preserve"> studied the link between manufacturing flexibility and business model design</w:t>
      </w:r>
      <w:r w:rsidR="007C72DF">
        <w:rPr>
          <w:lang w:val="en-US"/>
        </w:rPr>
        <w:t>,</w:t>
      </w:r>
      <w:r w:rsidR="006870D0" w:rsidRPr="005359EE">
        <w:rPr>
          <w:lang w:val="en-US"/>
        </w:rPr>
        <w:t xml:space="preserve"> and </w:t>
      </w:r>
      <w:r w:rsidR="006870D0" w:rsidRPr="005359EE">
        <w:rPr>
          <w:lang w:val="en-US"/>
        </w:rPr>
        <w:fldChar w:fldCharType="begin" w:fldLock="1"/>
      </w:r>
      <w:r w:rsidR="006870D0" w:rsidRPr="005359EE">
        <w:rPr>
          <w:lang w:val="en-US"/>
        </w:rPr>
        <w:instrText>ADDIN CSL_CITATION {"citationItems":[{"id":"ITEM-1","itemData":{"DOI":"10.1016/j.ijpe.2016.12.008","ISSN":"09255273","abstract":"Outcome-based contracts (OBCs) are frequently seen as the most advanced level of service offering that product firms offer. To deliver OBCs, product firms have to shift from the traditional product business model (PBM) to adopting an outcome business model (OBM). This constitutes a major change that rearranges their activity system and therefore profoundly changes their value-creation process. The literature tells us little about what this change entails and the key value drivers that OBC providers focus on as they adopt outcome business models. To tackle this topic, we study four global capital equipment manufacturers that recently started to offer highly advanced forms of OBC: Bombardier, Caterpillar, Hitachi and Rolls Royce. We learn that, apart from recognized value drivers, such as efficiency, novelty, lock-in and complementarity, OBC providers draw value from what we have labelled accountability value. Second, the value drivers are more diverse in OBMs than in traditional PBMs. Third, while in PBMs there is a trade-off between value drivers, in OBMs value drivers are mutually reinforcing, as they create a synergistic interplay. At the same time, however, firms are exposed to some sources of value loss as they start providing OBCs and shift to OBMs. We contribute to the literature by connecting the OBM literature with the broader value-creation literature and identifying (specific) value drivers as they appear in the OBM context, as well as the relationships among them.","author":[{"dropping-particle":"","family":"Visnjic","given":"Ivanka","non-dropping-particle":"","parse-names":false,"suffix":""},{"dropping-particle":"","family":"Jovanovic","given":"Marin","non-dropping-particle":"","parse-names":false,"suffix":""},{"dropping-particle":"","family":"Neely","given":"Andy","non-dropping-particle":"","parse-names":false,"suffix":""},{"dropping-particle":"","family":"Engwall","given":"Mats","non-dropping-particle":"","parse-names":false,"suffix":""}],"container-title":"International Journal of Production Economics","id":"ITEM-1","issue":"September 2016","issued":{"date-parts":[["2017"]]},"page":"169-181","publisher":"Elsevier B.V.","title":"What brings the value to outcome-based contract providers? Value drivers in outcome business models","type":"article-journal","volume":"192"},"uris":["http://www.mendeley.com/documents/?uuid=0c80c517-3aeb-4e6d-b8aa-8877e4878e30"]}],"mendeley":{"formattedCitation":"(Visnjic et al., 2017)","manualFormatting":"Visnjic et al. (2017)","plainTextFormattedCitation":"(Visnjic et al., 2017)","previouslyFormattedCitation":"(Visnjic et al., 2017)"},"properties":{"noteIndex":0},"schema":"https://github.com/citation-style-language/schema/raw/master/csl-citation.json"}</w:instrText>
      </w:r>
      <w:r w:rsidR="006870D0" w:rsidRPr="005359EE">
        <w:rPr>
          <w:lang w:val="en-US"/>
        </w:rPr>
        <w:fldChar w:fldCharType="separate"/>
      </w:r>
      <w:r w:rsidR="006870D0" w:rsidRPr="005359EE">
        <w:rPr>
          <w:noProof/>
          <w:lang w:val="en-US"/>
        </w:rPr>
        <w:t>Visnjic et al. (2017)</w:t>
      </w:r>
      <w:r w:rsidR="006870D0" w:rsidRPr="005359EE">
        <w:rPr>
          <w:lang w:val="en-US"/>
        </w:rPr>
        <w:fldChar w:fldCharType="end"/>
      </w:r>
      <w:r w:rsidR="006870D0" w:rsidRPr="005359EE">
        <w:rPr>
          <w:lang w:val="en-US"/>
        </w:rPr>
        <w:t xml:space="preserve"> studied how manufacturing firms can create value in servitization business models. </w:t>
      </w:r>
      <w:r w:rsidR="00987AEC">
        <w:rPr>
          <w:lang w:val="en-US"/>
        </w:rPr>
        <w:t>The contingency theory lens complements the CBM lens by exploring how the adoption of a given manufacturing configuration is contingent upon the supply characteristics. Since</w:t>
      </w:r>
      <w:r w:rsidR="004B346A" w:rsidRPr="007C12DD">
        <w:rPr>
          <w:lang w:val="en-US"/>
        </w:rPr>
        <w:t xml:space="preserve"> there are few published, empirically based studies </w:t>
      </w:r>
      <w:r w:rsidR="00D725AD" w:rsidRPr="007C12DD">
        <w:rPr>
          <w:lang w:val="en-US"/>
        </w:rPr>
        <w:t>about</w:t>
      </w:r>
      <w:r w:rsidR="004B346A" w:rsidRPr="007C12DD">
        <w:rPr>
          <w:lang w:val="en-US"/>
        </w:rPr>
        <w:t xml:space="preserve"> the actual experiences and outcomes of CBMs </w:t>
      </w:r>
      <w:r w:rsidR="004B346A" w:rsidRPr="007C12DD">
        <w:rPr>
          <w:lang w:val="en-US"/>
        </w:rPr>
        <w:fldChar w:fldCharType="begin" w:fldLock="1"/>
      </w:r>
      <w:r w:rsidR="004B346A" w:rsidRPr="007C12DD">
        <w:rPr>
          <w:lang w:val="en-US"/>
        </w:rPr>
        <w:instrText>ADDIN CSL_CITATION {"citationItems":[{"id":"ITEM-1","itemData":{"DOI":"10.1177/0008125618764692","ISSN":"21628564","abstract":"This article presents an in-depth case study detailing the history, experiences, and wider practitioner and policy lessons from a circular economy business model over a 30-year period, highlighting the successes, difficulties, and conflicts of adopting a circular economy model. The case is based on interviews, key documents, and customer insight. The findings demonstrate how sustained circular economy business practices can deliver significant new revenues, resource productivity, and business continuity benefits, but also require managers and practitioners to develop competencies and capabilities, such as balancing linear and circular systems, to address complex and highly dynamic factors, including rapid technological shifts and market volatility.","author":[{"dropping-particle":"","family":"Hopkinson","given":"Peter","non-dropping-particle":"","parse-names":false,"suffix":""},{"dropping-particle":"","family":"Zils","given":"Markus","non-dropping-particle":"","parse-names":false,"suffix":""},{"dropping-particle":"","family":"Hawkins","given":"Philip","non-dropping-particle":"","parse-names":false,"suffix":""},{"dropping-particle":"","family":"Roper","given":"Stuart","non-dropping-particle":"","parse-names":false,"suffix":""}],"container-title":"California Management Review","id":"ITEM-1","issue":"3","issued":{"date-parts":[["2018"]]},"page":"71-94","title":"Managing a Complex Global Circular Economy Business Model: Opportunities and Challenges","type":"article-journal","volume":"60"},"uris":["http://www.mendeley.com/documents/?uuid=d054379a-0880-43cf-ac36-8bd29107f5c4"]}],"mendeley":{"formattedCitation":"(Hopkinson et al., 2018)","plainTextFormattedCitation":"(Hopkinson et al., 2018)","previouslyFormattedCitation":"(Hopkinson et al., 2018)"},"properties":{"noteIndex":0},"schema":"https://github.com/citation-style-language/schema/raw/master/csl-citation.json"}</w:instrText>
      </w:r>
      <w:r w:rsidR="004B346A" w:rsidRPr="007C12DD">
        <w:rPr>
          <w:lang w:val="en-US"/>
        </w:rPr>
        <w:fldChar w:fldCharType="separate"/>
      </w:r>
      <w:r w:rsidR="004B346A" w:rsidRPr="007C12DD">
        <w:rPr>
          <w:noProof/>
          <w:lang w:val="en-US"/>
        </w:rPr>
        <w:t>(Hopkinson et al., 2018)</w:t>
      </w:r>
      <w:r w:rsidR="004B346A" w:rsidRPr="007C12DD">
        <w:rPr>
          <w:lang w:val="en-US"/>
        </w:rPr>
        <w:fldChar w:fldCharType="end"/>
      </w:r>
      <w:r w:rsidR="004B346A" w:rsidRPr="007C12DD">
        <w:rPr>
          <w:lang w:val="en-US"/>
        </w:rPr>
        <w:t xml:space="preserve">, literature lacks systematic guidance on how to design the CBM in line with </w:t>
      </w:r>
      <w:r w:rsidR="001D1CD9" w:rsidRPr="007C12DD">
        <w:rPr>
          <w:lang w:val="en-US"/>
        </w:rPr>
        <w:t>supply</w:t>
      </w:r>
      <w:r w:rsidR="001D5F97" w:rsidRPr="007C12DD">
        <w:rPr>
          <w:lang w:val="en-US"/>
        </w:rPr>
        <w:t xml:space="preserve"> characteristics</w:t>
      </w:r>
      <w:r w:rsidR="004B346A" w:rsidRPr="007C12DD">
        <w:rPr>
          <w:lang w:val="en-US"/>
        </w:rPr>
        <w:t xml:space="preserve"> </w:t>
      </w:r>
      <w:r w:rsidR="004B346A" w:rsidRPr="007C12DD">
        <w:rPr>
          <w:lang w:val="en-US"/>
        </w:rPr>
        <w:fldChar w:fldCharType="begin" w:fldLock="1"/>
      </w:r>
      <w:r w:rsidR="004B346A" w:rsidRPr="007C12DD">
        <w:rPr>
          <w:lang w:val="en-US"/>
        </w:rPr>
        <w:instrText>ADDIN CSL_CITATION {"citationItems":[{"id":"ITEM-1","itemData":{"DOI":"10.1080/09537287.2018.1449264","ISSN":"13665871","abstract":"In an era of increased scarcity of resources and pollution, the concept of the circular economy is re-emerging to steer supply chains towards more sustainable business practices. The potential of value recovery provides opportunities for the creation of circular supply chains. Reverse flows and value recovery processes are scarcely studied in the context of fresh food supply chains. In this paper, we report findings from an empirical study of three fresh food supply chain networks by considering: product residual value, quantities available for recovery, value from recovery and markets for recovered products. We show that (1) financial value from recovery is a necessary condition for profitability of operations of any value recovery process in fresh food supply chains, but not for the occurrence of the corresponding loop itself; (2) reuse and remanufacturing loops likely feed into alternative markets, while recycling loops likely feed back into fresh food supply chains.","author":[{"dropping-particle":"V.","family":"Vlajic","given":"Jelena","non-dropping-particle":"","parse-names":false,"suffix":""},{"dropping-particle":"","family":"Mijailovic","given":"Radomir","non-dropping-particle":"","parse-names":false,"suffix":""},{"dropping-particle":"","family":"Bogdanova","given":"Mariana","non-dropping-particle":"","parse-names":false,"suffix":""}],"container-title":"Production Planning and Control","id":"ITEM-1","issue":"6","issued":{"date-parts":[["2018"]]},"page":"522-538","publisher":"Taylor &amp; Francis","title":"Creating loops with value recovery: empirical study of fresh food supply chains","type":"article-journal","volume":"29"},"uris":["http://www.mendeley.com/documents/?uuid=3bdc16d9-cf47-4a33-8eee-9c25ff9727fe"]}],"mendeley":{"formattedCitation":"(Vlajic et al., 2018)","plainTextFormattedCitation":"(Vlajic et al., 2018)","previouslyFormattedCitation":"(Vlajic et al., 2018)"},"properties":{"noteIndex":0},"schema":"https://github.com/citation-style-language/schema/raw/master/csl-citation.json"}</w:instrText>
      </w:r>
      <w:r w:rsidR="004B346A" w:rsidRPr="007C12DD">
        <w:rPr>
          <w:lang w:val="en-US"/>
        </w:rPr>
        <w:fldChar w:fldCharType="separate"/>
      </w:r>
      <w:r w:rsidR="004B346A" w:rsidRPr="007C12DD">
        <w:rPr>
          <w:noProof/>
          <w:lang w:val="en-US"/>
        </w:rPr>
        <w:t>(Vlajic et al., 2018)</w:t>
      </w:r>
      <w:r w:rsidR="004B346A" w:rsidRPr="007C12DD">
        <w:rPr>
          <w:lang w:val="en-US"/>
        </w:rPr>
        <w:fldChar w:fldCharType="end"/>
      </w:r>
      <w:r w:rsidR="004B346A" w:rsidRPr="007C12DD">
        <w:rPr>
          <w:lang w:val="en-US"/>
        </w:rPr>
        <w:t>.</w:t>
      </w:r>
      <w:r w:rsidR="00A54120">
        <w:rPr>
          <w:lang w:val="en-US"/>
        </w:rPr>
        <w:t xml:space="preserve"> </w:t>
      </w:r>
    </w:p>
    <w:p w14:paraId="2CA43F06" w14:textId="1EA3A700" w:rsidR="007F7844" w:rsidRPr="007C12DD" w:rsidRDefault="00621657" w:rsidP="007B227C">
      <w:pPr>
        <w:spacing w:after="0"/>
        <w:ind w:firstLine="284"/>
        <w:jc w:val="both"/>
        <w:rPr>
          <w:lang w:val="en-US"/>
        </w:rPr>
      </w:pPr>
      <w:r w:rsidRPr="007C12DD">
        <w:rPr>
          <w:lang w:val="en-US"/>
        </w:rPr>
        <w:t xml:space="preserve">To </w:t>
      </w:r>
      <w:r w:rsidR="0082076D" w:rsidRPr="007C12DD">
        <w:rPr>
          <w:lang w:val="en-US"/>
        </w:rPr>
        <w:t>explore</w:t>
      </w:r>
      <w:r w:rsidR="001610A3" w:rsidRPr="007C12DD">
        <w:rPr>
          <w:lang w:val="en-US"/>
        </w:rPr>
        <w:t xml:space="preserve"> </w:t>
      </w:r>
      <w:r w:rsidR="00987AEC">
        <w:rPr>
          <w:lang w:val="en-US"/>
        </w:rPr>
        <w:t>this gap in literature</w:t>
      </w:r>
      <w:r w:rsidRPr="007C12DD">
        <w:rPr>
          <w:lang w:val="en-US"/>
        </w:rPr>
        <w:t>, we</w:t>
      </w:r>
      <w:r w:rsidR="00CD1E22" w:rsidRPr="007C12DD">
        <w:rPr>
          <w:lang w:val="en-US"/>
        </w:rPr>
        <w:t xml:space="preserve"> study the CBMs of successful circular start-ups to</w:t>
      </w:r>
      <w:r w:rsidRPr="007C12DD">
        <w:rPr>
          <w:lang w:val="en-US"/>
        </w:rPr>
        <w:t xml:space="preserve"> </w:t>
      </w:r>
      <w:r w:rsidR="0082076D" w:rsidRPr="007C12DD">
        <w:rPr>
          <w:lang w:val="en-US"/>
        </w:rPr>
        <w:t>investigate</w:t>
      </w:r>
      <w:r w:rsidRPr="007C12DD">
        <w:rPr>
          <w:lang w:val="en-US"/>
        </w:rPr>
        <w:t xml:space="preserve"> the</w:t>
      </w:r>
      <w:r w:rsidR="0082076D" w:rsidRPr="007C12DD">
        <w:rPr>
          <w:lang w:val="en-US"/>
        </w:rPr>
        <w:t xml:space="preserve"> manufacturing configuration</w:t>
      </w:r>
      <w:r w:rsidR="00523239" w:rsidRPr="007C12DD">
        <w:rPr>
          <w:lang w:val="en-US"/>
        </w:rPr>
        <w:t>s and the</w:t>
      </w:r>
      <w:r w:rsidR="00B44090" w:rsidRPr="007C12DD">
        <w:rPr>
          <w:lang w:val="en-US"/>
        </w:rPr>
        <w:t xml:space="preserve"> link with</w:t>
      </w:r>
      <w:r w:rsidR="00523239" w:rsidRPr="007C12DD">
        <w:rPr>
          <w:lang w:val="en-US"/>
        </w:rPr>
        <w:t xml:space="preserve"> </w:t>
      </w:r>
      <w:r w:rsidR="00B44090" w:rsidRPr="007C12DD">
        <w:rPr>
          <w:lang w:val="en-US"/>
        </w:rPr>
        <w:t>supply characteristics</w:t>
      </w:r>
      <w:r w:rsidRPr="007C12DD">
        <w:rPr>
          <w:lang w:val="en-US"/>
        </w:rPr>
        <w:t xml:space="preserve">. </w:t>
      </w:r>
      <w:r w:rsidR="00C7131B" w:rsidRPr="007C12DD">
        <w:rPr>
          <w:lang w:val="en-US"/>
        </w:rPr>
        <w:t>Circular s</w:t>
      </w:r>
      <w:r w:rsidRPr="007C12DD">
        <w:rPr>
          <w:lang w:val="en-US"/>
        </w:rPr>
        <w:t>tart</w:t>
      </w:r>
      <w:r w:rsidR="0087600B" w:rsidRPr="007C12DD">
        <w:rPr>
          <w:lang w:val="en-US"/>
        </w:rPr>
        <w:t>-</w:t>
      </w:r>
      <w:r w:rsidRPr="007C12DD">
        <w:rPr>
          <w:lang w:val="en-US"/>
        </w:rPr>
        <w:t xml:space="preserve">ups, as new market entrants, take a holistic perspective on monetizing </w:t>
      </w:r>
      <w:r w:rsidR="006A08F5" w:rsidRPr="007C12DD">
        <w:rPr>
          <w:lang w:val="en-US"/>
        </w:rPr>
        <w:t>CBMs</w:t>
      </w:r>
      <w:r w:rsidRPr="007C12DD">
        <w:rPr>
          <w:lang w:val="en-US"/>
        </w:rPr>
        <w:t xml:space="preserve"> </w:t>
      </w:r>
      <w:r w:rsidR="000A360C" w:rsidRPr="007C12DD">
        <w:rPr>
          <w:lang w:val="en-US"/>
        </w:rPr>
        <w:t>as they do not risk</w:t>
      </w:r>
      <w:r w:rsidR="00CD7A1A" w:rsidRPr="007C12DD">
        <w:rPr>
          <w:lang w:val="en-US"/>
        </w:rPr>
        <w:t xml:space="preserve"> </w:t>
      </w:r>
      <w:r w:rsidRPr="007C12DD">
        <w:rPr>
          <w:lang w:val="en-US"/>
        </w:rPr>
        <w:t>cannibaliz</w:t>
      </w:r>
      <w:r w:rsidR="00F333B4" w:rsidRPr="007C12DD">
        <w:rPr>
          <w:lang w:val="en-US"/>
        </w:rPr>
        <w:t>ing</w:t>
      </w:r>
      <w:r w:rsidRPr="007C12DD">
        <w:rPr>
          <w:lang w:val="en-US"/>
        </w:rPr>
        <w:t xml:space="preserve"> or devaluat</w:t>
      </w:r>
      <w:r w:rsidR="00F333B4" w:rsidRPr="007C12DD">
        <w:rPr>
          <w:lang w:val="en-US"/>
        </w:rPr>
        <w:t>ing</w:t>
      </w:r>
      <w:r w:rsidRPr="007C12DD">
        <w:rPr>
          <w:lang w:val="en-US"/>
        </w:rPr>
        <w:t xml:space="preserve"> their existing linear business models</w:t>
      </w:r>
      <w:r w:rsidR="00CD1E22" w:rsidRPr="007C12DD">
        <w:rPr>
          <w:lang w:val="en-US"/>
        </w:rPr>
        <w:t>. Moreover,</w:t>
      </w:r>
      <w:r w:rsidR="00B7738C" w:rsidRPr="007C12DD">
        <w:rPr>
          <w:lang w:val="en-US"/>
        </w:rPr>
        <w:t xml:space="preserve"> they cannot cover financially unattractive CBMs with </w:t>
      </w:r>
      <w:r w:rsidR="00CD1E22" w:rsidRPr="007C12DD">
        <w:rPr>
          <w:lang w:val="en-US"/>
        </w:rPr>
        <w:t xml:space="preserve">revenues from </w:t>
      </w:r>
      <w:r w:rsidR="00B7738C" w:rsidRPr="007C12DD">
        <w:rPr>
          <w:lang w:val="en-US"/>
        </w:rPr>
        <w:t>other business activities</w:t>
      </w:r>
      <w:r w:rsidRPr="007C12DD">
        <w:rPr>
          <w:lang w:val="en-US"/>
        </w:rPr>
        <w:t>.</w:t>
      </w:r>
      <w:r w:rsidR="001610A3" w:rsidRPr="007C12DD">
        <w:rPr>
          <w:lang w:val="en-US"/>
        </w:rPr>
        <w:t xml:space="preserve"> Furthermore, typical limitations of CBMs, such as</w:t>
      </w:r>
      <w:r w:rsidR="00DB14EF" w:rsidRPr="007C12DD">
        <w:rPr>
          <w:lang w:val="en-US"/>
        </w:rPr>
        <w:t xml:space="preserve"> the lack of</w:t>
      </w:r>
      <w:r w:rsidR="001610A3" w:rsidRPr="007C12DD">
        <w:rPr>
          <w:lang w:val="en-US"/>
        </w:rPr>
        <w:t xml:space="preserve"> top management commitmen</w:t>
      </w:r>
      <w:r w:rsidR="000A360C" w:rsidRPr="007C12DD">
        <w:rPr>
          <w:lang w:val="en-US"/>
        </w:rPr>
        <w:t>t</w:t>
      </w:r>
      <w:r w:rsidR="00DA6E32" w:rsidRPr="007C12DD">
        <w:rPr>
          <w:lang w:val="en-US"/>
        </w:rPr>
        <w:t xml:space="preserve"> and a</w:t>
      </w:r>
      <w:r w:rsidR="000A360C" w:rsidRPr="007C12DD">
        <w:rPr>
          <w:lang w:val="en-US"/>
        </w:rPr>
        <w:t xml:space="preserve"> </w:t>
      </w:r>
      <w:r w:rsidR="001610A3" w:rsidRPr="007C12DD">
        <w:rPr>
          <w:lang w:val="en-US"/>
        </w:rPr>
        <w:t>company culture</w:t>
      </w:r>
      <w:r w:rsidR="000A360C" w:rsidRPr="007C12DD">
        <w:rPr>
          <w:lang w:val="en-US"/>
        </w:rPr>
        <w:t xml:space="preserve"> </w:t>
      </w:r>
      <w:r w:rsidR="00DA6E32" w:rsidRPr="007C12DD">
        <w:rPr>
          <w:lang w:val="en-US"/>
        </w:rPr>
        <w:t>which does not support the circular economy</w:t>
      </w:r>
      <w:r w:rsidR="00987AEC">
        <w:rPr>
          <w:lang w:val="en-US"/>
        </w:rPr>
        <w:t>,</w:t>
      </w:r>
      <w:r w:rsidR="00DA6E32" w:rsidRPr="007C12DD">
        <w:rPr>
          <w:lang w:val="en-US"/>
        </w:rPr>
        <w:t xml:space="preserve"> are </w:t>
      </w:r>
      <w:r w:rsidR="0031493F" w:rsidRPr="007C12DD">
        <w:rPr>
          <w:lang w:val="en-US"/>
        </w:rPr>
        <w:t>less profound in</w:t>
      </w:r>
      <w:r w:rsidR="001610A3" w:rsidRPr="007C12DD">
        <w:rPr>
          <w:lang w:val="en-US"/>
        </w:rPr>
        <w:t xml:space="preserve"> circular start</w:t>
      </w:r>
      <w:r w:rsidR="0087600B" w:rsidRPr="007C12DD">
        <w:rPr>
          <w:lang w:val="en-US"/>
        </w:rPr>
        <w:t>-</w:t>
      </w:r>
      <w:r w:rsidR="001610A3" w:rsidRPr="007C12DD">
        <w:rPr>
          <w:lang w:val="en-US"/>
        </w:rPr>
        <w:t>ups</w:t>
      </w:r>
      <w:r w:rsidR="00DA6E32" w:rsidRPr="007C12DD">
        <w:rPr>
          <w:lang w:val="en-US"/>
        </w:rPr>
        <w:t xml:space="preserve"> than in incumbent firms </w:t>
      </w:r>
      <w:r w:rsidR="00DA6E32" w:rsidRPr="007C12DD">
        <w:rPr>
          <w:lang w:val="en-US"/>
        </w:rPr>
        <w:fldChar w:fldCharType="begin" w:fldLock="1"/>
      </w:r>
      <w:r w:rsidR="00DA6E32" w:rsidRPr="007C12DD">
        <w:rPr>
          <w:lang w:val="en-US"/>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 Ltd","title":"A typology of circular start-ups: Analysis of 128 circular business models","type":"article-journal","volume":"245"},"uris":["http://www.mendeley.com/documents/?uuid=7630feed-abf9-4ffe-a0cc-b8d6c60d3d34"]}],"mendeley":{"formattedCitation":"(Henry et al., 2020)","plainTextFormattedCitation":"(Henry et al., 2020)","previouslyFormattedCitation":"(Henry et al., 2020)"},"properties":{"noteIndex":0},"schema":"https://github.com/citation-style-language/schema/raw/master/csl-citation.json"}</w:instrText>
      </w:r>
      <w:r w:rsidR="00DA6E32" w:rsidRPr="007C12DD">
        <w:rPr>
          <w:lang w:val="en-US"/>
        </w:rPr>
        <w:fldChar w:fldCharType="separate"/>
      </w:r>
      <w:r w:rsidR="00DA6E32" w:rsidRPr="007C12DD">
        <w:rPr>
          <w:noProof/>
          <w:lang w:val="en-US"/>
        </w:rPr>
        <w:t>(Henry et al., 2020)</w:t>
      </w:r>
      <w:r w:rsidR="00DA6E32" w:rsidRPr="007C12DD">
        <w:rPr>
          <w:lang w:val="en-US"/>
        </w:rPr>
        <w:fldChar w:fldCharType="end"/>
      </w:r>
      <w:r w:rsidR="000217E8" w:rsidRPr="007C12DD">
        <w:rPr>
          <w:lang w:val="en-US"/>
        </w:rPr>
        <w:t>: the circular economy is</w:t>
      </w:r>
      <w:r w:rsidR="00DA6E32" w:rsidRPr="007C12DD">
        <w:rPr>
          <w:lang w:val="en-US"/>
        </w:rPr>
        <w:t xml:space="preserve"> the raison d'être of the circular start</w:t>
      </w:r>
      <w:r w:rsidR="0087600B" w:rsidRPr="007C12DD">
        <w:rPr>
          <w:lang w:val="en-US"/>
        </w:rPr>
        <w:t>-</w:t>
      </w:r>
      <w:r w:rsidR="00DA6E32" w:rsidRPr="007C12DD">
        <w:rPr>
          <w:lang w:val="en-US"/>
        </w:rPr>
        <w:t>up while linear business model reasoning might be deeply engrained in the culture of incumbent firms</w:t>
      </w:r>
      <w:r w:rsidR="00A93DA6" w:rsidRPr="007C12DD">
        <w:rPr>
          <w:lang w:val="en-US"/>
        </w:rPr>
        <w:t>.</w:t>
      </w:r>
      <w:r w:rsidR="00DA6E32" w:rsidRPr="007C12DD">
        <w:rPr>
          <w:lang w:val="en-US"/>
        </w:rPr>
        <w:t xml:space="preserve"> </w:t>
      </w:r>
    </w:p>
    <w:p w14:paraId="457BAC1E" w14:textId="6DFB2A06" w:rsidR="00DA7BD0" w:rsidRPr="007C12DD" w:rsidRDefault="00B44090" w:rsidP="00DA7BD0">
      <w:pPr>
        <w:spacing w:after="0"/>
        <w:ind w:firstLine="284"/>
        <w:jc w:val="both"/>
        <w:rPr>
          <w:lang w:val="en-US"/>
        </w:rPr>
      </w:pPr>
      <w:r w:rsidRPr="007C12DD">
        <w:rPr>
          <w:lang w:val="en-US"/>
        </w:rPr>
        <w:t>O</w:t>
      </w:r>
      <w:r w:rsidR="00DA7BD0" w:rsidRPr="007C12DD">
        <w:rPr>
          <w:lang w:val="en-US"/>
        </w:rPr>
        <w:t xml:space="preserve">ur findings contribute to extant knowledge in three ways. First, by moving </w:t>
      </w:r>
      <w:r w:rsidR="007B227C" w:rsidRPr="007C12DD">
        <w:rPr>
          <w:lang w:val="en-US"/>
        </w:rPr>
        <w:t xml:space="preserve">beyond the until now heavily researched context of </w:t>
      </w:r>
      <w:r w:rsidR="007F7844" w:rsidRPr="007C12DD">
        <w:rPr>
          <w:lang w:val="en-US"/>
        </w:rPr>
        <w:t>remanufacturing</w:t>
      </w:r>
      <w:r w:rsidR="007B227C" w:rsidRPr="007C12DD">
        <w:rPr>
          <w:lang w:val="en-US"/>
        </w:rPr>
        <w:t xml:space="preserve">, </w:t>
      </w:r>
      <w:r w:rsidR="007F7844" w:rsidRPr="007C12DD">
        <w:rPr>
          <w:lang w:val="en-US"/>
        </w:rPr>
        <w:t>the novelty of this paper lies in</w:t>
      </w:r>
      <w:r w:rsidR="007B227C" w:rsidRPr="007C12DD">
        <w:rPr>
          <w:lang w:val="en-US"/>
        </w:rPr>
        <w:t xml:space="preserve"> deriv</w:t>
      </w:r>
      <w:r w:rsidR="007F7844" w:rsidRPr="007C12DD">
        <w:rPr>
          <w:lang w:val="en-US"/>
        </w:rPr>
        <w:t>ing</w:t>
      </w:r>
      <w:r w:rsidR="007B227C" w:rsidRPr="007C12DD">
        <w:rPr>
          <w:lang w:val="en-US"/>
        </w:rPr>
        <w:t xml:space="preserve"> insights on</w:t>
      </w:r>
      <w:r w:rsidR="00C9576A" w:rsidRPr="007C12DD">
        <w:rPr>
          <w:lang w:val="en-US"/>
        </w:rPr>
        <w:t xml:space="preserve"> </w:t>
      </w:r>
      <w:r w:rsidR="00DA7BD0" w:rsidRPr="007C12DD">
        <w:rPr>
          <w:lang w:val="en-US"/>
        </w:rPr>
        <w:t xml:space="preserve">other </w:t>
      </w:r>
      <w:r w:rsidR="00536AAC" w:rsidRPr="007C12DD">
        <w:rPr>
          <w:lang w:val="en-US"/>
        </w:rPr>
        <w:t>manufacturing</w:t>
      </w:r>
      <w:r w:rsidR="000A360C" w:rsidRPr="007C12DD">
        <w:rPr>
          <w:lang w:val="en-US"/>
        </w:rPr>
        <w:t xml:space="preserve"> configuration</w:t>
      </w:r>
      <w:r w:rsidR="007F7844" w:rsidRPr="007C12DD">
        <w:rPr>
          <w:lang w:val="en-US"/>
        </w:rPr>
        <w:t>s</w:t>
      </w:r>
      <w:r w:rsidR="00DA7BD0" w:rsidRPr="007C12DD">
        <w:rPr>
          <w:lang w:val="en-US"/>
        </w:rPr>
        <w:t xml:space="preserve">. Our data show that process manufacturing can play an important role in the transition towards a circular economy. Second, by aligning the manufacturing configurations with the supply characteristics typically found in the circular economy, we provide </w:t>
      </w:r>
      <w:r w:rsidR="00DA7BD0" w:rsidRPr="007C12DD">
        <w:rPr>
          <w:lang w:val="en-US"/>
        </w:rPr>
        <w:lastRenderedPageBreak/>
        <w:t xml:space="preserve">insights into when </w:t>
      </w:r>
      <w:r w:rsidR="006C1095" w:rsidRPr="007C12DD">
        <w:rPr>
          <w:lang w:val="en-US"/>
        </w:rPr>
        <w:t>(not)</w:t>
      </w:r>
      <w:r w:rsidR="00DA7BD0" w:rsidRPr="007C12DD">
        <w:rPr>
          <w:lang w:val="en-US"/>
        </w:rPr>
        <w:t xml:space="preserve"> </w:t>
      </w:r>
      <w:r w:rsidR="007656C6" w:rsidRPr="007C12DD">
        <w:rPr>
          <w:lang w:val="en-US"/>
        </w:rPr>
        <w:t>to apply a given</w:t>
      </w:r>
      <w:r w:rsidR="00DA7BD0" w:rsidRPr="007C12DD">
        <w:rPr>
          <w:lang w:val="en-US"/>
        </w:rPr>
        <w:t xml:space="preserve"> manufacturing configuration. Third, practitioners can mimic the successful configurations within their own organizations.</w:t>
      </w:r>
    </w:p>
    <w:p w14:paraId="1A8E586B" w14:textId="5E8F4FB3" w:rsidR="00891263" w:rsidRPr="007C12DD" w:rsidRDefault="00891263" w:rsidP="00F333B4">
      <w:pPr>
        <w:spacing w:after="0"/>
        <w:jc w:val="both"/>
        <w:rPr>
          <w:lang w:val="en-US"/>
        </w:rPr>
      </w:pPr>
    </w:p>
    <w:p w14:paraId="5C053857" w14:textId="606A8A40" w:rsidR="009B71BE" w:rsidRPr="007C12DD" w:rsidRDefault="00552ABC" w:rsidP="009B71BE">
      <w:pPr>
        <w:spacing w:after="0"/>
        <w:jc w:val="both"/>
        <w:rPr>
          <w:b/>
          <w:bCs/>
          <w:lang w:val="en-US"/>
        </w:rPr>
      </w:pPr>
      <w:r w:rsidRPr="007C12DD">
        <w:rPr>
          <w:b/>
          <w:bCs/>
          <w:lang w:val="en-US"/>
        </w:rPr>
        <w:t xml:space="preserve">2. </w:t>
      </w:r>
      <w:r w:rsidR="00364246" w:rsidRPr="007C12DD">
        <w:rPr>
          <w:b/>
          <w:bCs/>
          <w:lang w:val="en-US"/>
        </w:rPr>
        <w:t>Literature review</w:t>
      </w:r>
    </w:p>
    <w:p w14:paraId="6F7EF218" w14:textId="31899AFB" w:rsidR="00987AEC" w:rsidRDefault="0082076D" w:rsidP="00510184">
      <w:pPr>
        <w:spacing w:after="0"/>
        <w:jc w:val="both"/>
        <w:rPr>
          <w:lang w:val="en-US"/>
        </w:rPr>
      </w:pPr>
      <w:r w:rsidRPr="007C12DD">
        <w:rPr>
          <w:lang w:val="en-US"/>
        </w:rPr>
        <w:t xml:space="preserve">The circular economy can be defined </w:t>
      </w:r>
      <w:r w:rsidRPr="007C12DD">
        <w:rPr>
          <w:i/>
          <w:iCs/>
          <w:lang w:val="en-US"/>
        </w:rPr>
        <w:t xml:space="preserve">as </w:t>
      </w:r>
      <w:r w:rsidR="00B7738C" w:rsidRPr="007C12DD">
        <w:rPr>
          <w:i/>
          <w:iCs/>
          <w:lang w:val="en-US"/>
        </w:rPr>
        <w:t>‘</w:t>
      </w:r>
      <w:r w:rsidRPr="007C12DD">
        <w:rPr>
          <w:i/>
          <w:iCs/>
          <w:lang w:val="en-US"/>
        </w:rPr>
        <w:t>slowing, closing and narrowing</w:t>
      </w:r>
      <w:r w:rsidR="00B7738C" w:rsidRPr="007C12DD">
        <w:rPr>
          <w:i/>
          <w:iCs/>
          <w:lang w:val="en-US"/>
        </w:rPr>
        <w:t>’</w:t>
      </w:r>
      <w:r w:rsidR="00423050" w:rsidRPr="007C12DD">
        <w:rPr>
          <w:lang w:val="en-US"/>
        </w:rPr>
        <w:t xml:space="preserve"> resource and energy loops</w:t>
      </w:r>
      <w:r w:rsidRPr="007C12DD">
        <w:rPr>
          <w:lang w:val="en-US"/>
        </w:rPr>
        <w:t xml:space="preserve"> </w:t>
      </w:r>
      <w:r w:rsidR="00423050" w:rsidRPr="007C12DD">
        <w:rPr>
          <w:lang w:val="en-US"/>
        </w:rPr>
        <w:fldChar w:fldCharType="begin" w:fldLock="1"/>
      </w:r>
      <w:r w:rsidR="005938F5" w:rsidRPr="007C12DD">
        <w:rPr>
          <w:lang w:val="en-US"/>
        </w:rPr>
        <w:instrText>ADDIN CSL_CITATION {"citationItems":[{"id":"ITEM-1","itemData":{"DOI":"10.1080/21681015.2016.1172124","ISSN":"21681023","abstract":"The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non-dropping-particle":"","parse-names":false,"suffix":""},{"dropping-particle":"","family":"Grinten","given":"Bram","non-dropping-particle":"van der","parse-names":false,"suffix":""}],"container-title":"Journal of Industrial and Production Engineering","id":"ITEM-1","issue":"5","issued":{"date-parts":[["2016"]]},"page":"308-320","publisher":"Taylor &amp; Francis","title":"Product design and business model strategies for a circular economy","type":"article-journal","volume":"33"},"uris":["http://www.mendeley.com/documents/?uuid=40ae2407-f2f8-4ffd-9222-dc87b44277d9"]},{"id":"ITEM-2","itemData":{"DOI":"10.1016/j.jclepro.2016.12.048","ISSN":"09596526","abstract":"While the terms Circular Economy and sustainability are increasingly gaining traction with academia, industry, and policymakers, the similarities and differences between both concepts remain ambiguous. The relationship between the concepts is not made explicit in literature, which is blurring their conceptual contours and constrains the efficacy of using the approaches in research and practice. This research addresses this gap and aims to provide conceptual clarity by distinguishing the terms and synthesising the different types of relationships between them. We conducted an extensive literature review, employing bibliometric analysis and snowballing techniques to investigate the state of the art in the field and synthesise the similarities, differences and relationships between both terms. We identified eight different relationship types in the literature and illustrated the most evident similarities and differences between both concepts.","author":[{"dropping-particle":"","family":"Geissdoerfer","given":"Martin","non-dropping-particle":"","parse-names":false,"suffix":""},{"dropping-particle":"","family":"Savaget","given":"Paulo","non-dropping-particle":"","parse-names":false,"suffix":""},{"dropping-particle":"","family":"Bocken","given":"Nancy M.P.","non-dropping-particle":"","parse-names":false,"suffix":""},{"dropping-particle":"","family":"Hultink","given":"Erik Jan","non-dropping-particle":"","parse-names":false,"suffix":""}],"container-title":"Journal of Cleaner Production","id":"ITEM-2","issued":{"date-parts":[["2017"]]},"page":"757-768","publisher":"Elsevier Ltd","title":"The Circular Economy – A new sustainability paradigm?","type":"article-journal","volume":"143"},"uris":["http://www.mendeley.com/documents/?uuid=33f3b4c1-7799-494d-b45f-2435984d2be6"]}],"mendeley":{"formattedCitation":"(Nancy M.P. Bocken et al., 2016; Geissdoerfer et al., 2017)","manualFormatting":"(Bocken et al., 2016, p. 309; Geissdoerfer et al., 2017, p. 759)","plainTextFormattedCitation":"(Nancy M.P. Bocken et al., 2016; Geissdoerfer et al., 2017)","previouslyFormattedCitation":"(Nancy M.P. Bocken et al., 2016; Geissdoerfer et al., 2017)"},"properties":{"noteIndex":0},"schema":"https://github.com/citation-style-language/schema/raw/master/csl-citation.json"}</w:instrText>
      </w:r>
      <w:r w:rsidR="00423050" w:rsidRPr="007C12DD">
        <w:rPr>
          <w:lang w:val="en-US"/>
        </w:rPr>
        <w:fldChar w:fldCharType="separate"/>
      </w:r>
      <w:r w:rsidR="00423050" w:rsidRPr="007C12DD">
        <w:rPr>
          <w:noProof/>
          <w:lang w:val="en-US"/>
        </w:rPr>
        <w:t>(Bocken et al., 2016, p. 309; Geissdoerfer et al., 2017, p. 759)</w:t>
      </w:r>
      <w:r w:rsidR="00423050" w:rsidRPr="007C12DD">
        <w:rPr>
          <w:lang w:val="en-US"/>
        </w:rPr>
        <w:fldChar w:fldCharType="end"/>
      </w:r>
      <w:r w:rsidR="00423050" w:rsidRPr="007C12DD">
        <w:rPr>
          <w:lang w:val="en-US"/>
        </w:rPr>
        <w:t>. This broad definition includes practices such as</w:t>
      </w:r>
      <w:r w:rsidR="00893F39">
        <w:rPr>
          <w:lang w:val="en-US"/>
        </w:rPr>
        <w:t>:</w:t>
      </w:r>
    </w:p>
    <w:p w14:paraId="070B67FA" w14:textId="77777777" w:rsidR="00893F39" w:rsidRDefault="00893F39" w:rsidP="00510184">
      <w:pPr>
        <w:spacing w:after="0"/>
        <w:jc w:val="both"/>
        <w:rPr>
          <w:lang w:val="en-US"/>
        </w:rPr>
      </w:pPr>
    </w:p>
    <w:p w14:paraId="52B1964C" w14:textId="4FE60E1F" w:rsidR="00987AEC" w:rsidRDefault="00893F39" w:rsidP="00893F39">
      <w:pPr>
        <w:pStyle w:val="ListParagraph"/>
        <w:numPr>
          <w:ilvl w:val="0"/>
          <w:numId w:val="34"/>
        </w:numPr>
        <w:spacing w:after="0"/>
        <w:jc w:val="both"/>
        <w:rPr>
          <w:lang w:val="en-US"/>
        </w:rPr>
      </w:pPr>
      <w:r>
        <w:rPr>
          <w:lang w:val="en-US"/>
        </w:rPr>
        <w:t xml:space="preserve">Recovery activities such as </w:t>
      </w:r>
      <w:r w:rsidR="00423050" w:rsidRPr="00987AEC">
        <w:rPr>
          <w:lang w:val="en-US"/>
        </w:rPr>
        <w:t>reuse, repair, refurbishing, remanufacturing, repurposing</w:t>
      </w:r>
      <w:r w:rsidR="001D5F97" w:rsidRPr="00987AEC">
        <w:rPr>
          <w:lang w:val="en-US"/>
        </w:rPr>
        <w:t xml:space="preserve"> and</w:t>
      </w:r>
      <w:r w:rsidR="00423050" w:rsidRPr="00987AEC">
        <w:rPr>
          <w:lang w:val="en-US"/>
        </w:rPr>
        <w:t xml:space="preserve"> recycling </w:t>
      </w:r>
      <w:proofErr w:type="gramStart"/>
      <w:r w:rsidR="00987AEC">
        <w:rPr>
          <w:lang w:val="en-US"/>
        </w:rPr>
        <w:t>activities</w:t>
      </w:r>
      <w:proofErr w:type="gramEnd"/>
    </w:p>
    <w:p w14:paraId="4E7ACF64" w14:textId="77777777" w:rsidR="00893F39" w:rsidRDefault="00893F39" w:rsidP="00893F39">
      <w:pPr>
        <w:pStyle w:val="ListParagraph"/>
        <w:numPr>
          <w:ilvl w:val="0"/>
          <w:numId w:val="34"/>
        </w:numPr>
        <w:spacing w:after="0"/>
        <w:jc w:val="both"/>
        <w:rPr>
          <w:lang w:val="en-US"/>
        </w:rPr>
      </w:pPr>
      <w:r>
        <w:rPr>
          <w:lang w:val="en-US"/>
        </w:rPr>
        <w:t>L</w:t>
      </w:r>
      <w:r w:rsidRPr="000A6E24">
        <w:rPr>
          <w:lang w:val="en-US"/>
        </w:rPr>
        <w:t>ong-lasting design</w:t>
      </w:r>
      <w:r>
        <w:rPr>
          <w:lang w:val="en-US"/>
        </w:rPr>
        <w:t xml:space="preserve"> and the reduction of material use</w:t>
      </w:r>
    </w:p>
    <w:p w14:paraId="7ACE2417" w14:textId="47B896C0" w:rsidR="00893F39" w:rsidRDefault="00987AEC" w:rsidP="007B2648">
      <w:pPr>
        <w:pStyle w:val="ListParagraph"/>
        <w:numPr>
          <w:ilvl w:val="0"/>
          <w:numId w:val="34"/>
        </w:numPr>
        <w:spacing w:after="0"/>
        <w:jc w:val="both"/>
        <w:rPr>
          <w:lang w:val="en-US"/>
        </w:rPr>
      </w:pPr>
      <w:r>
        <w:rPr>
          <w:lang w:val="en-US"/>
        </w:rPr>
        <w:t>P</w:t>
      </w:r>
      <w:r w:rsidR="00423050" w:rsidRPr="00B6692C">
        <w:rPr>
          <w:lang w:val="en-US"/>
        </w:rPr>
        <w:t xml:space="preserve">roduct-service systems and sharing platforms </w:t>
      </w:r>
      <w:r w:rsidR="00423050" w:rsidRPr="00B6692C">
        <w:rPr>
          <w:lang w:val="en-US"/>
        </w:rPr>
        <w:fldChar w:fldCharType="begin" w:fldLock="1"/>
      </w:r>
      <w:r w:rsidR="007B6FCB" w:rsidRPr="00987AEC">
        <w:rPr>
          <w:lang w:val="en-US"/>
        </w:rPr>
        <w:instrText>ADDIN CSL_CITATION {"citationItems":[{"id":"ITEM-1","itemData":{"DOI":"10.1016/j.jclepro.2016.12.048","ISSN":"09596526","abstract":"While the terms Circular Economy and sustainability are increasingly gaining traction with academia, industry, and policymakers, the similarities and differences between both concepts remain ambiguous. The relationship between the concepts is not made explicit in literature, which is blurring their conceptual contours and constrains the efficacy of using the approaches in research and practice. This research addresses this gap and aims to provide conceptual clarity by distinguishing the terms and synthesising the different types of relationships between them. We conducted an extensive literature review, employing bibliometric analysis and snowballing techniques to investigate the state of the art in the field and synthesise the similarities, differences and relationships between both terms. We identified eight different relationship types in the literature and illustrated the most evident similarities and differences between both concepts.","author":[{"dropping-particle":"","family":"Geissdoerfer","given":"Martin","non-dropping-particle":"","parse-names":false,"suffix":""},{"dropping-particle":"","family":"Savaget","given":"Paulo","non-dropping-particle":"","parse-names":false,"suffix":""},{"dropping-particle":"","family":"Bocken","given":"Nancy M.P.","non-dropping-particle":"","parse-names":false,"suffix":""},{"dropping-particle":"","family":"Hultink","given":"Erik Jan","non-dropping-particle":"","parse-names":false,"suffix":""}],"container-title":"Journal of Cleaner Production","id":"ITEM-1","issued":{"date-parts":[["2017"]]},"page":"757-768","publisher":"Elsevier Ltd","title":"The Circular Economy – A new sustainability paradigm?","type":"article-journal","volume":"143"},"uris":["http://www.mendeley.com/documents/?uuid=33f3b4c1-7799-494d-b45f-2435984d2be6"]},{"id":"ITEM-2","itemData":{"DOI":"10.1111/jiec.12763","ISSN":"15309290","abstract":"The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Ecology","id":"ITEM-2","issue":"1","issued":{"date-parts":[["2019"]]},"page":"36-61","title":"A Review and Typology of Circular Economy Business Model Patterns","type":"article-journal","volume":"23"},"uris":["http://www.mendeley.com/documents/?uuid=09e98a65-6a20-4942-a4ca-23fd638479f0"]}],"mendeley":{"formattedCitation":"(Geissdoerfer et al., 2017; Lüdeke-Freund et al., 2019)","plainTextFormattedCitation":"(Geissdoerfer et al., 2017; Lüdeke-Freund et al., 2019)","previouslyFormattedCitation":"(Geissdoerfer et al., 2017; Lüdeke-Freund et al., 2019)"},"properties":{"noteIndex":0},"schema":"https://github.com/citation-style-language/schema/raw/master/csl-citation.json"}</w:instrText>
      </w:r>
      <w:r w:rsidR="00423050" w:rsidRPr="00B6692C">
        <w:rPr>
          <w:lang w:val="en-US"/>
        </w:rPr>
        <w:fldChar w:fldCharType="separate"/>
      </w:r>
      <w:r w:rsidR="00423050" w:rsidRPr="00B6692C">
        <w:rPr>
          <w:noProof/>
          <w:lang w:val="en-US"/>
        </w:rPr>
        <w:t>(Geissdoerfer et al., 2017; Lüdeke-Freund et al., 2019)</w:t>
      </w:r>
      <w:r w:rsidR="00423050" w:rsidRPr="00B6692C">
        <w:rPr>
          <w:lang w:val="en-US"/>
        </w:rPr>
        <w:fldChar w:fldCharType="end"/>
      </w:r>
      <w:r w:rsidR="00423050" w:rsidRPr="00B6692C">
        <w:rPr>
          <w:lang w:val="en-US"/>
        </w:rPr>
        <w:t xml:space="preserve">. </w:t>
      </w:r>
    </w:p>
    <w:p w14:paraId="3BF3A61E" w14:textId="77777777" w:rsidR="00893F39" w:rsidRDefault="00893F39" w:rsidP="00893F39">
      <w:pPr>
        <w:spacing w:after="0"/>
        <w:jc w:val="both"/>
        <w:rPr>
          <w:lang w:val="en-US"/>
        </w:rPr>
      </w:pPr>
    </w:p>
    <w:p w14:paraId="59FDAF27" w14:textId="14D3816B" w:rsidR="00423050" w:rsidRPr="0020544B" w:rsidRDefault="00423050" w:rsidP="00B6692C">
      <w:pPr>
        <w:spacing w:after="0"/>
        <w:jc w:val="both"/>
        <w:rPr>
          <w:lang w:val="en-US"/>
        </w:rPr>
      </w:pPr>
      <w:r w:rsidRPr="00B6692C">
        <w:rPr>
          <w:lang w:val="en-US"/>
        </w:rPr>
        <w:t>In this research we focus on</w:t>
      </w:r>
      <w:r w:rsidR="00763771" w:rsidRPr="00B6692C">
        <w:rPr>
          <w:lang w:val="en-US"/>
        </w:rPr>
        <w:t xml:space="preserve"> CBMs which </w:t>
      </w:r>
      <w:r w:rsidR="00763771" w:rsidRPr="001E1881">
        <w:rPr>
          <w:lang w:val="en-US"/>
        </w:rPr>
        <w:t>‘</w:t>
      </w:r>
      <w:r w:rsidR="00763771" w:rsidRPr="0020544B">
        <w:rPr>
          <w:i/>
          <w:iCs/>
          <w:lang w:val="en-US"/>
        </w:rPr>
        <w:t>close</w:t>
      </w:r>
      <w:r w:rsidR="00763771" w:rsidRPr="00D61851">
        <w:rPr>
          <w:lang w:val="en-US"/>
        </w:rPr>
        <w:t xml:space="preserve">’ </w:t>
      </w:r>
      <w:r w:rsidR="00D20D08" w:rsidRPr="00D61851">
        <w:rPr>
          <w:lang w:val="en-US"/>
        </w:rPr>
        <w:t>and ‘</w:t>
      </w:r>
      <w:r w:rsidR="00D20D08" w:rsidRPr="00D82F83">
        <w:rPr>
          <w:i/>
          <w:iCs/>
          <w:lang w:val="en-US"/>
        </w:rPr>
        <w:t>slow’</w:t>
      </w:r>
      <w:r w:rsidR="00D20D08" w:rsidRPr="00C002E9">
        <w:rPr>
          <w:lang w:val="en-US"/>
        </w:rPr>
        <w:t xml:space="preserve"> </w:t>
      </w:r>
      <w:r w:rsidR="00763771" w:rsidRPr="008B59A5">
        <w:rPr>
          <w:lang w:val="en-US"/>
        </w:rPr>
        <w:t>the loop through</w:t>
      </w:r>
      <w:r w:rsidRPr="00893F39">
        <w:rPr>
          <w:lang w:val="en-US"/>
        </w:rPr>
        <w:t xml:space="preserve"> manufacturing activities </w:t>
      </w:r>
      <w:r w:rsidR="00FA13BD" w:rsidRPr="00893F39">
        <w:rPr>
          <w:lang w:val="en-US"/>
        </w:rPr>
        <w:t xml:space="preserve">related to </w:t>
      </w:r>
      <w:r w:rsidR="00893F39">
        <w:rPr>
          <w:lang w:val="en-US"/>
        </w:rPr>
        <w:t>the recovery of</w:t>
      </w:r>
      <w:r w:rsidR="00893F39" w:rsidRPr="00B6692C">
        <w:rPr>
          <w:lang w:val="en-US"/>
        </w:rPr>
        <w:t xml:space="preserve"> </w:t>
      </w:r>
      <w:r w:rsidR="00FA13BD" w:rsidRPr="00B6692C">
        <w:rPr>
          <w:lang w:val="en-US"/>
        </w:rPr>
        <w:t>used products</w:t>
      </w:r>
      <w:r w:rsidR="00DA6E32" w:rsidRPr="001E1881">
        <w:rPr>
          <w:lang w:val="en-US"/>
        </w:rPr>
        <w:t>.</w:t>
      </w:r>
      <w:r w:rsidR="00FA13BD" w:rsidRPr="0020544B">
        <w:rPr>
          <w:lang w:val="en-US"/>
        </w:rPr>
        <w:t xml:space="preserve"> </w:t>
      </w:r>
      <w:r w:rsidR="00763771" w:rsidRPr="00D61851">
        <w:rPr>
          <w:lang w:val="en-US"/>
        </w:rPr>
        <w:t>CBMs based on product-service systems, sharing platforms and designing products to last longer aim to ‘</w:t>
      </w:r>
      <w:r w:rsidR="00763771" w:rsidRPr="00D82F83">
        <w:rPr>
          <w:i/>
          <w:iCs/>
          <w:lang w:val="en-US"/>
        </w:rPr>
        <w:t>narrow</w:t>
      </w:r>
      <w:r w:rsidR="00763771" w:rsidRPr="00C002E9">
        <w:rPr>
          <w:lang w:val="en-US"/>
        </w:rPr>
        <w:t xml:space="preserve">’ the loop and are therefore </w:t>
      </w:r>
      <w:r w:rsidR="007656C6" w:rsidRPr="008B59A5">
        <w:rPr>
          <w:lang w:val="en-US"/>
        </w:rPr>
        <w:t>beyond</w:t>
      </w:r>
      <w:r w:rsidR="00763771" w:rsidRPr="00893F39">
        <w:rPr>
          <w:lang w:val="en-US"/>
        </w:rPr>
        <w:t xml:space="preserve"> the </w:t>
      </w:r>
      <w:r w:rsidR="007656C6" w:rsidRPr="00893F39">
        <w:rPr>
          <w:lang w:val="en-US"/>
        </w:rPr>
        <w:t>scope</w:t>
      </w:r>
      <w:r w:rsidR="00763771" w:rsidRPr="00893F39">
        <w:rPr>
          <w:lang w:val="en-US"/>
        </w:rPr>
        <w:t xml:space="preserve"> of this research. R</w:t>
      </w:r>
      <w:r w:rsidR="00FA13BD" w:rsidRPr="00893F39">
        <w:rPr>
          <w:lang w:val="en-US"/>
        </w:rPr>
        <w:t xml:space="preserve">e-using </w:t>
      </w:r>
      <w:r w:rsidR="00C72208">
        <w:rPr>
          <w:lang w:val="en-US"/>
        </w:rPr>
        <w:t>activities</w:t>
      </w:r>
      <w:r w:rsidR="00FA13BD" w:rsidRPr="00B6692C">
        <w:rPr>
          <w:lang w:val="en-US"/>
        </w:rPr>
        <w:t xml:space="preserve">, for example </w:t>
      </w:r>
      <w:r w:rsidR="00DA6E32" w:rsidRPr="00B6692C">
        <w:rPr>
          <w:lang w:val="en-US"/>
        </w:rPr>
        <w:t xml:space="preserve">the </w:t>
      </w:r>
      <w:r w:rsidR="00FA13BD" w:rsidRPr="001E1881">
        <w:rPr>
          <w:lang w:val="en-US"/>
        </w:rPr>
        <w:t>redistribution of surplus food and second-hand</w:t>
      </w:r>
      <w:r w:rsidR="00DA6E32" w:rsidRPr="0020544B">
        <w:rPr>
          <w:lang w:val="en-US"/>
        </w:rPr>
        <w:t xml:space="preserve"> </w:t>
      </w:r>
      <w:r w:rsidR="00FA13BD" w:rsidRPr="00D61851">
        <w:rPr>
          <w:lang w:val="en-US"/>
        </w:rPr>
        <w:t xml:space="preserve">markets, </w:t>
      </w:r>
      <w:r w:rsidR="00763771" w:rsidRPr="00D61851">
        <w:rPr>
          <w:lang w:val="en-US"/>
        </w:rPr>
        <w:t>does not</w:t>
      </w:r>
      <w:r w:rsidR="00FA13BD" w:rsidRPr="00D82F83">
        <w:rPr>
          <w:lang w:val="en-US"/>
        </w:rPr>
        <w:t xml:space="preserve"> require manufacturing activities</w:t>
      </w:r>
      <w:r w:rsidR="007C72DF">
        <w:rPr>
          <w:lang w:val="en-US"/>
        </w:rPr>
        <w:t>,</w:t>
      </w:r>
      <w:r w:rsidR="00C72208">
        <w:rPr>
          <w:lang w:val="en-US"/>
        </w:rPr>
        <w:t xml:space="preserve"> and </w:t>
      </w:r>
      <w:proofErr w:type="gramStart"/>
      <w:r w:rsidR="00C72208">
        <w:rPr>
          <w:lang w:val="en-US"/>
        </w:rPr>
        <w:t>are</w:t>
      </w:r>
      <w:proofErr w:type="gramEnd"/>
      <w:r w:rsidR="00C72208">
        <w:rPr>
          <w:lang w:val="en-US"/>
        </w:rPr>
        <w:t xml:space="preserve"> therefore beyond the scope of this research too</w:t>
      </w:r>
      <w:r w:rsidR="00FA13BD" w:rsidRPr="00B6692C">
        <w:rPr>
          <w:lang w:val="en-US"/>
        </w:rPr>
        <w:t>. H</w:t>
      </w:r>
      <w:r w:rsidR="00722E2B" w:rsidRPr="00B6692C">
        <w:rPr>
          <w:lang w:val="en-US"/>
        </w:rPr>
        <w:t>ence</w:t>
      </w:r>
      <w:r w:rsidR="00FA13BD" w:rsidRPr="00B6692C">
        <w:rPr>
          <w:lang w:val="en-US"/>
        </w:rPr>
        <w:t>, we</w:t>
      </w:r>
      <w:r w:rsidR="00722E2B" w:rsidRPr="001E1881">
        <w:rPr>
          <w:lang w:val="en-US"/>
        </w:rPr>
        <w:t xml:space="preserve"> limit ourselves to repair, refurbish, remanufacture, repurpose and recycling activities.</w:t>
      </w:r>
    </w:p>
    <w:p w14:paraId="06D8AB74" w14:textId="77777777" w:rsidR="00F66620" w:rsidRPr="007C12DD" w:rsidRDefault="00F66620" w:rsidP="00510184">
      <w:pPr>
        <w:spacing w:after="0"/>
        <w:jc w:val="both"/>
        <w:rPr>
          <w:lang w:val="en-US"/>
        </w:rPr>
      </w:pPr>
    </w:p>
    <w:p w14:paraId="3599C890" w14:textId="62E148A1" w:rsidR="00A93DA6" w:rsidRPr="005359EE" w:rsidRDefault="00A93DA6" w:rsidP="00A93DA6">
      <w:pPr>
        <w:spacing w:after="0"/>
        <w:jc w:val="both"/>
        <w:rPr>
          <w:i/>
          <w:iCs/>
          <w:lang w:val="en-US"/>
        </w:rPr>
      </w:pPr>
      <w:bookmarkStart w:id="0" w:name="_Hlk42079472"/>
      <w:r w:rsidRPr="005359EE">
        <w:rPr>
          <w:i/>
          <w:iCs/>
          <w:lang w:val="en-US"/>
        </w:rPr>
        <w:t xml:space="preserve">2.1 </w:t>
      </w:r>
      <w:r w:rsidR="002355A7" w:rsidRPr="005359EE">
        <w:rPr>
          <w:i/>
          <w:iCs/>
          <w:lang w:val="en-US"/>
        </w:rPr>
        <w:t>Circular</w:t>
      </w:r>
      <w:r w:rsidRPr="005359EE">
        <w:rPr>
          <w:i/>
          <w:iCs/>
          <w:lang w:val="en-US"/>
        </w:rPr>
        <w:t xml:space="preserve"> business model</w:t>
      </w:r>
      <w:r w:rsidR="002355A7" w:rsidRPr="005359EE">
        <w:rPr>
          <w:i/>
          <w:iCs/>
          <w:lang w:val="en-US"/>
        </w:rPr>
        <w:t>s</w:t>
      </w:r>
    </w:p>
    <w:p w14:paraId="67B00BE2" w14:textId="1118935B" w:rsidR="00A93DA6" w:rsidRPr="007C12DD" w:rsidRDefault="00A93DA6" w:rsidP="00A93DA6">
      <w:pPr>
        <w:spacing w:after="0"/>
        <w:jc w:val="both"/>
        <w:rPr>
          <w:lang w:val="en-US"/>
        </w:rPr>
      </w:pPr>
      <w:r w:rsidRPr="005359EE">
        <w:rPr>
          <w:lang w:val="en-US"/>
        </w:rPr>
        <w:t>Most researchers and practitioners conceive a business model as the answer to questions such as ‘</w:t>
      </w:r>
      <w:r w:rsidRPr="005359EE">
        <w:rPr>
          <w:i/>
          <w:iCs/>
          <w:lang w:val="en-US"/>
        </w:rPr>
        <w:t>how does a firm create value?</w:t>
      </w:r>
      <w:r w:rsidRPr="005359EE">
        <w:rPr>
          <w:lang w:val="en-US"/>
        </w:rPr>
        <w:t>’, ‘</w:t>
      </w:r>
      <w:r w:rsidRPr="005359EE">
        <w:rPr>
          <w:i/>
          <w:iCs/>
          <w:lang w:val="en-US"/>
        </w:rPr>
        <w:t>how to make customers pay for products and services?</w:t>
      </w:r>
      <w:r w:rsidRPr="005359EE">
        <w:rPr>
          <w:lang w:val="en-US"/>
        </w:rPr>
        <w:t>’, ‘</w:t>
      </w:r>
      <w:r w:rsidRPr="005359EE">
        <w:rPr>
          <w:i/>
          <w:iCs/>
          <w:lang w:val="en-US"/>
        </w:rPr>
        <w:t>who are the customers and how are they reached?</w:t>
      </w:r>
      <w:r w:rsidRPr="005359EE">
        <w:rPr>
          <w:lang w:val="en-US"/>
        </w:rPr>
        <w:t>’ and ‘</w:t>
      </w:r>
      <w:r w:rsidR="001D5F97" w:rsidRPr="005359EE">
        <w:rPr>
          <w:i/>
          <w:iCs/>
          <w:lang w:val="en-US"/>
        </w:rPr>
        <w:t xml:space="preserve">how does a firm create, grow and retain their </w:t>
      </w:r>
      <w:r w:rsidR="001D5F97" w:rsidRPr="005359EE">
        <w:rPr>
          <w:i/>
          <w:iCs/>
          <w:lang w:val="en-US"/>
        </w:rPr>
        <w:lastRenderedPageBreak/>
        <w:t>business</w:t>
      </w:r>
      <w:r w:rsidRPr="005359EE">
        <w:rPr>
          <w:i/>
          <w:iCs/>
          <w:lang w:val="en-US"/>
        </w:rPr>
        <w:t>?</w:t>
      </w:r>
      <w:r w:rsidRPr="005359EE">
        <w:rPr>
          <w:lang w:val="en-US"/>
        </w:rPr>
        <w:t xml:space="preserve">’ </w:t>
      </w:r>
      <w:r w:rsidRPr="005359EE">
        <w:rPr>
          <w:lang w:val="en-US"/>
        </w:rPr>
        <w:fldChar w:fldCharType="begin" w:fldLock="1"/>
      </w:r>
      <w:r w:rsidR="00B96593" w:rsidRPr="005359EE">
        <w:rPr>
          <w:lang w:val="en-US"/>
        </w:rPr>
        <w:instrText>ADDIN CSL_CITATION {"citationItems":[{"id":"ITEM-1","itemData":{"DOI":"10.1016/j.lrp.2009.07.003","ISSN":"00246301","abstract":"Whenever a business enterprise is established, it either explicitly or implicitly employs a particular business model that describes the design or architecture of the value creation, delivery, and capture mechanisms it employs. The essence of a business model is in defining the manner by which the enterprise delivers value to customers, entices customers to pay for value, and converts those payments to profit. It thus reflects management's hypothesis about what customers want, how they want it, and how the enterprise can organize to best meet those needs, get paid for doing so, and make a profit. The purpose of this article is to understand the significance of business models and explore their connections with business strategy, innovation management, and economic theory. © 2009.","author":[{"dropping-particle":"","family":"Teece","given":"David J.","non-dropping-particle":"","parse-names":false,"suffix":""}],"container-title":"Long Range Planning","id":"ITEM-1","issue":"2-3","issued":{"date-parts":[["2010"]]},"page":"172-194","publisher":"Elsevier Ltd","title":"Business models, business strategy and innovation","type":"article-journal","volume":"43"},"uris":["http://www.mendeley.com/documents/?uuid=ba9d152f-dcdc-4733-a904-42654073f74d"]},{"id":"ITEM-2","itemData":{"DOI":"10.1016/j.jbusres.2003.11.001","ISSN":"01482963","abstract":"Highly emphasized in entrepreneurial practice, business models have received limited attention from researchers. No consensus exists regarding the definition, nature, structure, and evolution of business models. Still, the business model holds promise as a unifying unit of analysis that can facilitate theory development in entrepreneurship. This article synthesizes the literature and draws conclusions regarding a number of these core issues. Theoretical underpinnings of a firm's business model are explored. A six-component framework is proposed for characterizing a business model, regardless of venture type. These components are applied at three different levels. The framework is illustrated using a successful mainstream company. Suggestions are made regarding the manner in which business models might be expected to emerge and evolve over time. © 2003 Elsevier Inc. All rights reserved.","author":[{"dropping-particle":"","family":"Morris","given":"Michael","non-dropping-particle":"","parse-names":false,"suffix":""},{"dropping-particle":"","family":"Schindehutte","given":"Minet","non-dropping-particle":"","parse-names":false,"suffix":""},{"dropping-particle":"","family":"Allen","given":"Jeffrey","non-dropping-particle":"","parse-names":false,"suffix":""}],"container-title":"Journal of Business Research","id":"ITEM-2","issue":"6","issued":{"date-parts":[["2005"]]},"page":"726-735","title":"The entrepreneur's business model: Toward a unified perspective","type":"article-journal","volume":"58"},"uris":["http://www.mendeley.com/documents/?uuid=42497212-2b1b-4b20-b243-e2e8b7d93050"]},{"id":"ITEM-3","itemData":{"DOI":"10.1093/icc/11.3.529","ISSN":"09606491","abstract":"This paper explores the role of the business model in capturing value from early stage technology. A successful business model creates a heuristic logic that connects technical potential with the realization of economic value. The business model unlocks latent value from a technology, but its logic constrains the subsequent search for new, alternative models for other technologies later on-an implicit cognitive dimension overlooked in most discourse on the topic. We explore the intellectual roots of the concept, offer a working definition and show how the Xerox Corporation arose by employing an effective business model to commercialize a technology rejected by other leading companies of the day. We then show the long shadow that this model cast upon Xerox's later management of selected spin-off companies from Xerox PARC. Xerox evaluated the technical potential of these spin-offs through its own business model, while those spin-offs that became successful did so through evolving business models that came to differ substantially from that of Xerox. The search and learning for an effective business model in failed ventures, by contrast, were quite limited.","author":[{"dropping-particle":"","family":"Chesbrough","given":"Henry","non-dropping-particle":"","parse-names":false,"suffix":""},{"dropping-particle":"","family":"Rosenbloom","given":"Richard S.","non-dropping-particle":"","parse-names":false,"suffix":""}],"container-title":"Industrial and Corporate Change","id":"ITEM-3","issue":"3","issued":{"date-parts":[["2002"]]},"page":"529-555","title":"The role of the business model in capturing value from innovation: Evidence from Xerox Corporation's technology spin-off companies","type":"article-journal","volume":"11"},"uris":["http://www.mendeley.com/documents/?uuid=340719aa-c68c-49af-a6b6-b201910a8cd8"]},{"id":"ITEM-4","itemData":{"DOI":"10.1523/JNEUROSCI.0307-10.2010","ISBN":"9789042000650","ISSN":"47087641","PMID":"467270624","author":[{"dropping-particle":"","family":"Osterwalder","given":"Alexander","non-dropping-particle":"","parse-names":false,"suffix":""},{"dropping-particle":"","family":"Pigneur","given":"Yves","non-dropping-particle":"","parse-names":false,"suffix":""}],"id":"ITEM-4","issued":{"date-parts":[["2010"]]},"publisher":"John Wiley &amp; Sons Inc","publisher-place":"Hoboken, New Jersey","title":"Business Model Generation - A handbook for visionaries, Game Changers and challengers","type":"book"},"uris":["http://www.mendeley.com/documents/?uuid=0326d80a-61db-4593-961d-112929f84696"]}],"mendeley":{"formattedCitation":"(Chesbrough &amp; Rosenbloom, 2002; Morris et al., 2005; Osterwalder &amp; Pigneur, 2010; Teece, 2010)","manualFormatting":"(Osterwalder and Pigneur, 2010; Teece, 2010)","plainTextFormattedCitation":"(Chesbrough &amp; Rosenbloom, 2002; Morris et al., 2005; Osterwalder &amp; Pigneur, 2010; Teece, 2010)","previouslyFormattedCitation":"(Chesbrough &amp; Rosenbloom, 2002; Morris et al., 2005; Osterwalder &amp; Pigneur, 2010; Teece, 2010)"},"properties":{"noteIndex":0},"schema":"https://github.com/citation-style-language/schema/raw/master/csl-citation.json"}</w:instrText>
      </w:r>
      <w:r w:rsidRPr="005359EE">
        <w:rPr>
          <w:lang w:val="en-US"/>
        </w:rPr>
        <w:fldChar w:fldCharType="separate"/>
      </w:r>
      <w:r w:rsidR="001D5F97" w:rsidRPr="005359EE">
        <w:rPr>
          <w:noProof/>
          <w:lang w:val="en-US"/>
        </w:rPr>
        <w:t xml:space="preserve">(Osterwalder </w:t>
      </w:r>
      <w:r w:rsidR="00B96593" w:rsidRPr="005359EE">
        <w:rPr>
          <w:noProof/>
          <w:lang w:val="en-US"/>
        </w:rPr>
        <w:t>and</w:t>
      </w:r>
      <w:r w:rsidR="001D5F97" w:rsidRPr="005359EE">
        <w:rPr>
          <w:noProof/>
          <w:lang w:val="en-US"/>
        </w:rPr>
        <w:t xml:space="preserve"> Pigneur, 2010; Teece, 2010)</w:t>
      </w:r>
      <w:r w:rsidRPr="005359EE">
        <w:rPr>
          <w:lang w:val="en-US"/>
        </w:rPr>
        <w:fldChar w:fldCharType="end"/>
      </w:r>
      <w:r w:rsidRPr="005359EE">
        <w:rPr>
          <w:lang w:val="en-US"/>
        </w:rPr>
        <w:t xml:space="preserve">. </w:t>
      </w:r>
      <w:r w:rsidR="00573B57" w:rsidRPr="005359EE">
        <w:rPr>
          <w:lang w:val="en-US"/>
        </w:rPr>
        <w:t>M</w:t>
      </w:r>
      <w:r w:rsidRPr="005359EE">
        <w:rPr>
          <w:lang w:val="en-US"/>
        </w:rPr>
        <w:t xml:space="preserve">ajor practitioner business model frameworks such as the </w:t>
      </w:r>
      <w:r w:rsidRPr="007C12DD">
        <w:rPr>
          <w:i/>
          <w:iCs/>
          <w:lang w:val="en-US"/>
        </w:rPr>
        <w:t xml:space="preserve">‘the business model canvas’ </w:t>
      </w:r>
      <w:r w:rsidRPr="007C12DD">
        <w:rPr>
          <w:lang w:val="en-US"/>
        </w:rPr>
        <w:fldChar w:fldCharType="begin" w:fldLock="1"/>
      </w:r>
      <w:r w:rsidRPr="007C12DD">
        <w:rPr>
          <w:lang w:val="en-US"/>
        </w:rPr>
        <w:instrText>ADDIN CSL_CITATION {"citationItems":[{"id":"ITEM-1","itemData":{"DOI":"10.1523/JNEUROSCI.0307-10.2010","ISBN":"9789042000650","ISSN":"47087641","PMID":"467270624","author":[{"dropping-particle":"","family":"Osterwalder","given":"Alexander","non-dropping-particle":"","parse-names":false,"suffix":""},{"dropping-particle":"","family":"Pigneur","given":"Yves","non-dropping-particle":"","parse-names":false,"suffix":""}],"id":"ITEM-1","issued":{"date-parts":[["2010"]]},"publisher":"John Wiley &amp; Sons Inc","publisher-place":"Hoboken, New Jersey","title":"Business Model Generation - A handbook for visionaries, Game Changers and challengers","type":"book"},"uris":["http://www.mendeley.com/documents/?uuid=0326d80a-61db-4593-961d-112929f84696"]}],"mendeley":{"formattedCitation":"(Osterwalder &amp; Pigneur, 2010)","manualFormatting":"(Osterwalder and Pigneur, 2010)","plainTextFormattedCitation":"(Osterwalder &amp; Pigneur, 2010)","previouslyFormattedCitation":"(Osterwalder &amp; Pigneur, 2010)"},"properties":{"noteIndex":0},"schema":"https://github.com/citation-style-language/schema/raw/master/csl-citation.json"}</w:instrText>
      </w:r>
      <w:r w:rsidRPr="007C12DD">
        <w:rPr>
          <w:lang w:val="en-US"/>
        </w:rPr>
        <w:fldChar w:fldCharType="separate"/>
      </w:r>
      <w:r w:rsidRPr="007C12DD">
        <w:rPr>
          <w:noProof/>
          <w:lang w:val="en-US"/>
        </w:rPr>
        <w:t>(Osterwalder and Pigneur, 2010)</w:t>
      </w:r>
      <w:r w:rsidRPr="007C12DD">
        <w:rPr>
          <w:lang w:val="en-US"/>
        </w:rPr>
        <w:fldChar w:fldCharType="end"/>
      </w:r>
      <w:r w:rsidRPr="007C12DD">
        <w:rPr>
          <w:lang w:val="en-US"/>
        </w:rPr>
        <w:t xml:space="preserve"> and the </w:t>
      </w:r>
      <w:r w:rsidRPr="007C12DD">
        <w:rPr>
          <w:i/>
          <w:iCs/>
          <w:lang w:val="en-US"/>
        </w:rPr>
        <w:t xml:space="preserve">‘business model navigator’ </w:t>
      </w:r>
      <w:r w:rsidRPr="007C12DD">
        <w:rPr>
          <w:lang w:val="en-US"/>
        </w:rPr>
        <w:fldChar w:fldCharType="begin" w:fldLock="1"/>
      </w:r>
      <w:r w:rsidRPr="007C12DD">
        <w:rPr>
          <w:lang w:val="en-US"/>
        </w:rPr>
        <w:instrText>ADDIN CSL_CITATION {"citationItems":[{"id":"ITEM-1","itemData":{"ISBN":"9781292065830","abstract":"A strong business model is the bedrock to business success. But all too often we fail to adapt, clinging to outdated models that are no longer delivering the results we need. The brains behind The Business Model Navigator have discovered that just 55 business models are responsible for 90% of the world's most successful businesses. These 55 models - from the Add-On model used by Ryanair to the Subscription model used by Spotify - provide the blueprints you need to revolutionise your business and drive powerful change. As well as providing a practical framework for adapting and innovating your business model, this book also includes each of the 55 models in a quick-read format that covers: What it is; Who invented it and who uses it now; When and how to apply it. Part one. How to drive business model innovation. What is a business model and why should it be innovated? -- The business model navigator -- Managing change -- Part two. 55 winning business models -- and what they can do for you. Add-on -- Affiliation -- Aikido -- Auction -- Barter -- Cash machine -- Cross-selling -- Crowdfunding -- Crowdsourcing -- Customer loyalty -- Digitisation -- Direct selling -- E-commerce -- Experience selling -- Flat rate -- Fractional ownership -- Franchising -- Freemium -- From push to pull -- Guaranteed availability -- Hidden revenue -- Ingredient branding -- Integrator -- Layer player -- Leverage customer data -- Licensing -- Lock-in -- Long tail -- Make more of it -- Mass customisation -- No frills -- Open business -- Open source -- Orchestrator -- Pay per use -- Pay what you want -- Peer to peer -- Performance-based contracting -- Razor and blade -- Rent instead of buy -- Revenue sharing -- Reverse engineering -- Reverse innovation -- Robin Hood -- Self-service -- Shop in shop -- Solution provider -- Subscription -- Supermarket -- Target the poor -- Trash to cash -- Two-sided market -- Ultimate luxury -- User design -- White label -- Part three. Finished reading? Let's implement!","author":[{"dropping-particle":"","family":"Gassmann","given":"Oliver","non-dropping-particle":"","parse-names":false,"suffix":""},{"dropping-particle":"","family":"Frankenberger","given":"Karolin.","non-dropping-particle":"","parse-names":false,"suffix":""},{"dropping-particle":"","family":"Csik","given":"Michaela.","non-dropping-particle":"","parse-names":false,"suffix":""}],"id":"ITEM-1","issued":{"date-parts":[["2014"]]},"publisher":"Pearson","publisher-place":"Harlow","title":"Business Model Navigator: 55 Models That Will Revolutionise Your Business","type":"book"},"uris":["http://www.mendeley.com/documents/?uuid=ba8e7883-ab12-43bd-ad54-bb6c3d6c4a71"]}],"mendeley":{"formattedCitation":"(Gassmann et al., 2014)","plainTextFormattedCitation":"(Gassmann et al., 2014)","previouslyFormattedCitation":"(Gassmann et al., 2014)"},"properties":{"noteIndex":0},"schema":"https://github.com/citation-style-language/schema/raw/master/csl-citation.json"}</w:instrText>
      </w:r>
      <w:r w:rsidRPr="007C12DD">
        <w:rPr>
          <w:lang w:val="en-US"/>
        </w:rPr>
        <w:fldChar w:fldCharType="separate"/>
      </w:r>
      <w:r w:rsidRPr="007C12DD">
        <w:rPr>
          <w:noProof/>
          <w:lang w:val="en-US"/>
        </w:rPr>
        <w:t>(Gassmann et al., 2014)</w:t>
      </w:r>
      <w:r w:rsidRPr="007C12DD">
        <w:rPr>
          <w:lang w:val="en-US"/>
        </w:rPr>
        <w:fldChar w:fldCharType="end"/>
      </w:r>
      <w:r w:rsidRPr="007C12DD">
        <w:rPr>
          <w:lang w:val="en-US"/>
        </w:rPr>
        <w:t xml:space="preserve"> as well as widely accepted theoretical definitions of the business model of, amongst others, </w:t>
      </w:r>
      <w:r w:rsidRPr="007C12DD">
        <w:rPr>
          <w:lang w:val="en-US"/>
        </w:rPr>
        <w:fldChar w:fldCharType="begin" w:fldLock="1"/>
      </w:r>
      <w:r w:rsidRPr="007C12DD">
        <w:rPr>
          <w:lang w:val="en-US"/>
        </w:rPr>
        <w:instrText>ADDIN CSL_CITATION {"citationItems":[{"id":"ITEM-1","itemData":{"DOI":"10.1016/j.lrp.2009.07.003","ISSN":"00246301","abstract":"Whenever a business enterprise is established, it either explicitly or implicitly employs a particular business model that describes the design or architecture of the value creation, delivery, and capture mechanisms it employs. The essence of a business model is in defining the manner by which the enterprise delivers value to customers, entices customers to pay for value, and converts those payments to profit. It thus reflects management's hypothesis about what customers want, how they want it, and how the enterprise can organize to best meet those needs, get paid for doing so, and make a profit. The purpose of this article is to understand the significance of business models and explore their connections with business strategy, innovation management, and economic theory. © 2009.","author":[{"dropping-particle":"","family":"Teece","given":"David J.","non-dropping-particle":"","parse-names":false,"suffix":""}],"container-title":"Long Range Planning","id":"ITEM-1","issue":"2-3","issued":{"date-parts":[["2010"]]},"page":"172-194","publisher":"Elsevier Ltd","title":"Business models, business strategy and innovation","type":"article-journal","volume":"43"},"uris":["http://www.mendeley.com/documents/?uuid=ba9d152f-dcdc-4733-a904-42654073f74d"]},{"id":"ITEM-2","itemData":{"DOI":"10.1177/0149206311406265","ISSN":"01492063","abstract":"This article provides a broad and multifaceted review of the received literature on business models in which the authors examine the business model concept through multiple subject-matter lenses.The review reveals that scholars do not agree on what a business model is and that the literature is developing largely in silos, according to the phenomena of interest of the respective researchers.However, the authors also found emerging common themes among scholars of business models.Specifically, (1) the business model is emerging as a new unit of analysis; (2) business models emphasize a system-level, holistic approach to explaining how firms \"do business\"; (3) firm activities play an important role in the various conceptualizations of business models that have been proposed; and (4) business models seek to explain how value is created, not just how it is captured.These emerging themes could serve as catalysts for a more unified study of business models.© The Author(s) 2011.","author":[{"dropping-particle":"","family":"Zott","given":"Christoph","non-dropping-particle":"","parse-names":false,"suffix":""},{"dropping-particle":"","family":"Amit","given":"Raphael","non-dropping-particle":"","parse-names":false,"suffix":""},{"dropping-particle":"","family":"Massa","given":"Lorenzo","non-dropping-particle":"","parse-names":false,"suffix":""}],"container-title":"Journal of Management","id":"ITEM-2","issue":"4","issued":{"date-parts":[["2011"]]},"page":"1019-1042","title":"The business model: Recent developments and future research","type":"article-journal","volume":"37"},"uris":["http://www.mendeley.com/documents/?uuid=392e681b-de7f-4b35-bdb8-f9bde0b4aea6"]}],"mendeley":{"formattedCitation":"(Teece, 2010; Zott et al., 2011)","manualFormatting":"Teece (2010) and Zott et al. (2011)","plainTextFormattedCitation":"(Teece, 2010; Zott et al., 2011)","previouslyFormattedCitation":"(Teece, 2010; Zott et al., 2011)"},"properties":{"noteIndex":0},"schema":"https://github.com/citation-style-language/schema/raw/master/csl-citation.json"}</w:instrText>
      </w:r>
      <w:r w:rsidRPr="007C12DD">
        <w:rPr>
          <w:lang w:val="en-US"/>
        </w:rPr>
        <w:fldChar w:fldCharType="separate"/>
      </w:r>
      <w:r w:rsidRPr="007C12DD">
        <w:rPr>
          <w:noProof/>
          <w:lang w:val="en-US"/>
        </w:rPr>
        <w:t>Teece (2010) and Zott et al. (2011)</w:t>
      </w:r>
      <w:r w:rsidRPr="007C12DD">
        <w:rPr>
          <w:lang w:val="en-US"/>
        </w:rPr>
        <w:fldChar w:fldCharType="end"/>
      </w:r>
      <w:r w:rsidR="00C72208">
        <w:rPr>
          <w:lang w:val="en-US"/>
        </w:rPr>
        <w:t>,</w:t>
      </w:r>
      <w:r w:rsidRPr="007C12DD">
        <w:rPr>
          <w:lang w:val="en-US"/>
        </w:rPr>
        <w:t xml:space="preserve"> convert on four main dimensions: value proposition, value delivery, value creation</w:t>
      </w:r>
      <w:r w:rsidR="007C72DF">
        <w:rPr>
          <w:lang w:val="en-US"/>
        </w:rPr>
        <w:t>,</w:t>
      </w:r>
      <w:r w:rsidRPr="007C12DD">
        <w:rPr>
          <w:lang w:val="en-US"/>
        </w:rPr>
        <w:t xml:space="preserve"> and value capture. </w:t>
      </w:r>
      <w:r w:rsidR="00573B57" w:rsidRPr="007C12DD">
        <w:rPr>
          <w:lang w:val="en-US"/>
        </w:rPr>
        <w:t>T</w:t>
      </w:r>
      <w:r w:rsidRPr="007C12DD">
        <w:rPr>
          <w:lang w:val="en-US"/>
        </w:rPr>
        <w:t xml:space="preserve">he value proposition describes the blend of economic, </w:t>
      </w:r>
      <w:proofErr w:type="gramStart"/>
      <w:r w:rsidRPr="007C12DD">
        <w:rPr>
          <w:lang w:val="en-US"/>
        </w:rPr>
        <w:t>social</w:t>
      </w:r>
      <w:proofErr w:type="gramEnd"/>
      <w:r w:rsidRPr="007C12DD">
        <w:rPr>
          <w:lang w:val="en-US"/>
        </w:rPr>
        <w:t xml:space="preserve"> and environmental </w:t>
      </w:r>
      <w:proofErr w:type="gramStart"/>
      <w:r w:rsidRPr="007C12DD">
        <w:rPr>
          <w:lang w:val="en-US"/>
        </w:rPr>
        <w:t>value</w:t>
      </w:r>
      <w:proofErr w:type="gramEnd"/>
      <w:r w:rsidRPr="007C12DD">
        <w:rPr>
          <w:lang w:val="en-US"/>
        </w:rPr>
        <w:t xml:space="preserve"> offered to the chosen customer segments. The value delivery refers to how the value is delivered to the customer and considers aspects such as who is the target customer and how </w:t>
      </w:r>
      <w:r w:rsidR="006C1095" w:rsidRPr="007C12DD">
        <w:rPr>
          <w:lang w:val="en-US"/>
        </w:rPr>
        <w:t xml:space="preserve">to reach the </w:t>
      </w:r>
      <w:r w:rsidRPr="007C12DD">
        <w:rPr>
          <w:lang w:val="en-US"/>
        </w:rPr>
        <w:t xml:space="preserve">target customer </w:t>
      </w:r>
      <w:r w:rsidRPr="007C12DD">
        <w:rPr>
          <w:lang w:val="en-US"/>
        </w:rPr>
        <w:fldChar w:fldCharType="begin" w:fldLock="1"/>
      </w:r>
      <w:r w:rsidR="00B96593" w:rsidRPr="007C12DD">
        <w:rPr>
          <w:lang w:val="en-US"/>
        </w:rPr>
        <w:instrText>ADDIN CSL_CITATION {"citationItems":[{"id":"ITEM-1","itemData":{"DOI":"10.1523/JNEUROSCI.0307-10.2010","ISBN":"9789042000650","ISSN":"47087641","PMID":"467270624","author":[{"dropping-particle":"","family":"Osterwalder","given":"Alexander","non-dropping-particle":"","parse-names":false,"suffix":""},{"dropping-particle":"","family":"Pigneur","given":"Yves","non-dropping-particle":"","parse-names":false,"suffix":""}],"id":"ITEM-1","issued":{"date-parts":[["2010"]]},"publisher":"John Wiley &amp; Sons Inc","publisher-place":"Hoboken, New Jersey","title":"Business Model Generation - A handbook for visionaries, Game Changers and challengers","type":"book"},"uris":["http://www.mendeley.com/documents/?uuid=0326d80a-61db-4593-961d-112929f84696"]},{"id":"ITEM-2","itemData":{"DOI":"10.1007/s11747-017-0523-z","ISSN":"00920703","abstract":"The customer value proposition (CVP) has a critical role in communicating how a company aims to provide value to customers. Managers and scholars increasingly use CVP terminology, yet the concept remains poorly understood and implemented; relatively little research on this topic has been published, considering the vast breadth of investigations of the value concept. In response, this article offers a comprehensive review of fragmented CVP literature, highlighting the lack of a strong theoretical foundation; distinguishes CVPs from related concepts; proposes a conceptual model of the CVP that includes antecedents, consequences, and moderators, together with several research propositions; illustrates the application of the CVP concept to four contrasting companies; and advances a compelling agenda for research.","author":[{"dropping-particle":"","family":"Payne","given":"Adrian","non-dropping-particle":"","parse-names":false,"suffix":""},{"dropping-particle":"","family":"Frow","given":"Pennie","non-dropping-particle":"","parse-names":false,"suffix":""},{"dropping-particle":"","family":"Eggert","given":"Andreas","non-dropping-particle":"","parse-names":false,"suffix":""}],"container-title":"Journal of the Academy of Marketing Science","id":"ITEM-2","issue":"4","issued":{"date-parts":[["2017"]]},"page":"467-489","publisher":"Journal of the Academy of Marketing Science","title":"The customer value proposition: evolution, development, and application in marketing","type":"article-journal","volume":"45"},"uris":["http://www.mendeley.com/documents/?uuid=cfe9a252-4337-4e5d-8c81-e8641cb5e4d4"]}],"mendeley":{"formattedCitation":"(Osterwalder &amp; Pigneur, 2010; Payne et al., 2017)","manualFormatting":"(Osterwalder and Pigneur, 2010)","plainTextFormattedCitation":"(Osterwalder &amp; Pigneur, 2010; Payne et al., 2017)","previouslyFormattedCitation":"(Osterwalder &amp; Pigneur, 2010; Payne et al., 2017)"},"properties":{"noteIndex":0},"schema":"https://github.com/citation-style-language/schema/raw/master/csl-citation.json"}</w:instrText>
      </w:r>
      <w:r w:rsidRPr="007C12DD">
        <w:rPr>
          <w:lang w:val="en-US"/>
        </w:rPr>
        <w:fldChar w:fldCharType="separate"/>
      </w:r>
      <w:r w:rsidRPr="007C12DD">
        <w:rPr>
          <w:noProof/>
          <w:lang w:val="en-US"/>
        </w:rPr>
        <w:t>(Osterwalder and Pigneur, 2010)</w:t>
      </w:r>
      <w:r w:rsidRPr="007C12DD">
        <w:rPr>
          <w:lang w:val="en-US"/>
        </w:rPr>
        <w:fldChar w:fldCharType="end"/>
      </w:r>
      <w:r w:rsidRPr="007C12DD">
        <w:rPr>
          <w:lang w:val="en-US"/>
        </w:rPr>
        <w:t>. The value creation refers to the context of our study:</w:t>
      </w:r>
      <w:r w:rsidR="00C72208">
        <w:rPr>
          <w:lang w:val="en-US"/>
        </w:rPr>
        <w:t xml:space="preserve"> i.e.</w:t>
      </w:r>
      <w:r w:rsidR="007C72DF">
        <w:rPr>
          <w:lang w:val="en-US"/>
        </w:rPr>
        <w:t>,</w:t>
      </w:r>
      <w:r w:rsidRPr="007C12DD">
        <w:rPr>
          <w:lang w:val="en-US"/>
        </w:rPr>
        <w:t xml:space="preserve"> the manufacturing activities needed to create value </w:t>
      </w:r>
      <w:r w:rsidRPr="007C12DD">
        <w:rPr>
          <w:lang w:val="en-US"/>
        </w:rPr>
        <w:fldChar w:fldCharType="begin" w:fldLock="1"/>
      </w:r>
      <w:r w:rsidR="000D53BE" w:rsidRPr="007C12DD">
        <w:rPr>
          <w:lang w:val="en-US"/>
        </w:rPr>
        <w:instrText>ADDIN CSL_CITATION {"citationItems":[{"id":"ITEM-1","itemData":{"DOI":"10.1111/jiec.12763","ISSN":"15309290","abstract":"The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Ecology","id":"ITEM-1","issue":"1","issued":{"date-parts":[["2019"]]},"page":"36-61","title":"A Review and Typology of Circular Economy Business Model Patterns","type":"article-journal","volume":"23"},"uris":["http://www.mendeley.com/documents/?uuid=09e98a65-6a20-4942-a4ca-23fd638479f0"]},{"id":"ITEM-2","itemData":{"DOI":"10.1177/0149206311406265","ISSN":"01492063","abstract":"This article provides a broad and multifaceted review of the received literature on business models in which the authors examine the business model concept through multiple subject-matter lenses.The review reveals that scholars do not agree on what a business model is and that the literature is developing largely in silos, according to the phenomena of interest of the respective researchers.However, the authors also found emerging common themes among scholars of business models.Specifically, (1) the business model is emerging as a new unit of analysis; (2) business models emphasize a system-level, holistic approach to explaining how firms \"do business\"; (3) firm activities play an important role in the various conceptualizations of business models that have been proposed; and (4) business models seek to explain how value is created, not just how it is captured.These emerging themes could serve as catalysts for a more unified study of business models.© The Author(s) 2011.","author":[{"dropping-particle":"","family":"Zott","given":"Christoph","non-dropping-particle":"","parse-names":false,"suffix":""},{"dropping-particle":"","family":"Amit","given":"Raphael","non-dropping-particle":"","parse-names":false,"suffix":""},{"dropping-particle":"","family":"Massa","given":"Lorenzo","non-dropping-particle":"","parse-names":false,"suffix":""}],"container-title":"Journal of Management","id":"ITEM-2","issue":"4","issued":{"date-parts":[["2011"]]},"page":"1019-1042","title":"The business model: Recent developments and future research","type":"article-journal","volume":"37"},"uris":["http://www.mendeley.com/documents/?uuid=392e681b-de7f-4b35-bdb8-f9bde0b4aea6"]}],"mendeley":{"formattedCitation":"(Lüdeke-Freund et al., 2019; Zott et al., 2011)","manualFormatting":"(Zott et al., 2011)","plainTextFormattedCitation":"(Lüdeke-Freund et al., 2019; Zott et al., 2011)","previouslyFormattedCitation":"(Lüdeke-Freund et al., 2019; Zott et al., 2011)"},"properties":{"noteIndex":0},"schema":"https://github.com/citation-style-language/schema/raw/master/csl-citation.json"}</w:instrText>
      </w:r>
      <w:r w:rsidRPr="007C12DD">
        <w:rPr>
          <w:lang w:val="en-US"/>
        </w:rPr>
        <w:fldChar w:fldCharType="separate"/>
      </w:r>
      <w:r w:rsidRPr="007C12DD">
        <w:rPr>
          <w:noProof/>
          <w:lang w:val="en-US"/>
        </w:rPr>
        <w:t>(Zott et al., 2011)</w:t>
      </w:r>
      <w:r w:rsidRPr="007C12DD">
        <w:rPr>
          <w:lang w:val="en-US"/>
        </w:rPr>
        <w:fldChar w:fldCharType="end"/>
      </w:r>
      <w:r w:rsidRPr="007C12DD">
        <w:rPr>
          <w:lang w:val="en-US"/>
        </w:rPr>
        <w:t xml:space="preserve">. </w:t>
      </w:r>
      <w:r w:rsidRPr="005359EE">
        <w:rPr>
          <w:lang w:val="en-US"/>
        </w:rPr>
        <w:t>Finally, t</w:t>
      </w:r>
      <w:r w:rsidRPr="007C12DD">
        <w:rPr>
          <w:lang w:val="en-US"/>
        </w:rPr>
        <w:t xml:space="preserve">he fourth dimension, the value capture, describes the cost structure and the revenue model of the business model </w:t>
      </w:r>
      <w:r w:rsidRPr="007C12DD">
        <w:rPr>
          <w:lang w:val="en-US"/>
        </w:rPr>
        <w:fldChar w:fldCharType="begin" w:fldLock="1"/>
      </w:r>
      <w:r w:rsidR="00E41F76" w:rsidRPr="007C12DD">
        <w:rPr>
          <w:lang w:val="en-US"/>
        </w:rPr>
        <w:instrText>ADDIN CSL_CITATION {"citationItems":[{"id":"ITEM-1","itemData":{"DOI":"10.1080/21681015.2016.1172124","ISSN":"21681023","abstract":"The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non-dropping-particle":"","parse-names":false,"suffix":""},{"dropping-particle":"","family":"Grinten","given":"Bram","non-dropping-particle":"van der","parse-names":false,"suffix":""}],"container-title":"Journal of Industrial and Production Engineering","id":"ITEM-1","issue":"5","issued":{"date-parts":[["2016"]]},"page":"308-320","publisher":"Taylor &amp; Francis","title":"Product design and business model strategies for a circular economy","type":"article-journal","volume":"33"},"uris":["http://www.mendeley.com/documents/?uuid=40ae2407-f2f8-4ffd-9222-dc87b44277d9"]}],"mendeley":{"formattedCitation":"(Nancy M.P. Bocken et al., 2016)","manualFormatting":"(Bocken et al., 2016)","plainTextFormattedCitation":"(Nancy M.P. Bocken et al., 2016)","previouslyFormattedCitation":"(Nancy M.P. Bocken et al., 2016)"},"properties":{"noteIndex":0},"schema":"https://github.com/citation-style-language/schema/raw/master/csl-citation.json"}</w:instrText>
      </w:r>
      <w:r w:rsidRPr="007C12DD">
        <w:rPr>
          <w:lang w:val="en-US"/>
        </w:rPr>
        <w:fldChar w:fldCharType="separate"/>
      </w:r>
      <w:r w:rsidRPr="007C12DD">
        <w:rPr>
          <w:noProof/>
          <w:lang w:val="en-US"/>
        </w:rPr>
        <w:t>(Bocken et al., 2016)</w:t>
      </w:r>
      <w:r w:rsidRPr="007C12DD">
        <w:rPr>
          <w:lang w:val="en-US"/>
        </w:rPr>
        <w:fldChar w:fldCharType="end"/>
      </w:r>
      <w:r w:rsidRPr="007C12DD">
        <w:rPr>
          <w:lang w:val="en-US"/>
        </w:rPr>
        <w:t>.</w:t>
      </w:r>
    </w:p>
    <w:p w14:paraId="32B145E4" w14:textId="68493B2E" w:rsidR="003C28BA" w:rsidRPr="005359EE" w:rsidRDefault="001D5F97" w:rsidP="003C28BA">
      <w:pPr>
        <w:spacing w:after="0"/>
        <w:ind w:firstLine="284"/>
        <w:jc w:val="both"/>
        <w:rPr>
          <w:lang w:val="en-US"/>
        </w:rPr>
      </w:pPr>
      <w:r w:rsidRPr="007C12DD">
        <w:rPr>
          <w:lang w:val="en-US"/>
        </w:rPr>
        <w:t xml:space="preserve">A CBM can be defined as a business model which specifically aims at solutions </w:t>
      </w:r>
      <w:r w:rsidR="002805FF" w:rsidRPr="007C12DD">
        <w:rPr>
          <w:lang w:val="en-US"/>
        </w:rPr>
        <w:t xml:space="preserve">for the circular economy </w:t>
      </w:r>
      <w:r w:rsidR="002805FF" w:rsidRPr="007C12DD">
        <w:rPr>
          <w:lang w:val="en-US"/>
        </w:rPr>
        <w:fldChar w:fldCharType="begin" w:fldLock="1"/>
      </w:r>
      <w:r w:rsidR="00377911" w:rsidRPr="007C12DD">
        <w:rPr>
          <w:lang w:val="en-US"/>
        </w:rPr>
        <w:instrText>ADDIN CSL_CITATION {"citationItems":[{"id":"ITEM-1","itemData":{"DOI":"10.1016/j.jclepro.2018.04.159","ISSN":"09596526","abstract":"The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Production","id":"ITEM-1","issued":{"date-parts":[["2018"]]},"page":"712-721","publisher":"Elsevier Ltd","title":"Business models and supply chains for the circular economy","type":"article-journal","volume":"190"},"uris":["http://www.mendeley.com/documents/?uuid=9790209a-b21e-4901-8d12-6006787fa048"]}],"mendeley":{"formattedCitation":"(Geissdoerfer et al., 2018)","plainTextFormattedCitation":"(Geissdoerfer et al., 2018)","previouslyFormattedCitation":"(Geissdoerfer et al., 2018)"},"properties":{"noteIndex":0},"schema":"https://github.com/citation-style-language/schema/raw/master/csl-citation.json"}</w:instrText>
      </w:r>
      <w:r w:rsidR="002805FF" w:rsidRPr="007C12DD">
        <w:rPr>
          <w:lang w:val="en-US"/>
        </w:rPr>
        <w:fldChar w:fldCharType="separate"/>
      </w:r>
      <w:r w:rsidR="002805FF" w:rsidRPr="007C12DD">
        <w:rPr>
          <w:noProof/>
          <w:lang w:val="en-US"/>
        </w:rPr>
        <w:t>(Geissdoerfer et al., 2018)</w:t>
      </w:r>
      <w:r w:rsidR="002805FF" w:rsidRPr="007C12DD">
        <w:rPr>
          <w:lang w:val="en-US"/>
        </w:rPr>
        <w:fldChar w:fldCharType="end"/>
      </w:r>
      <w:r w:rsidR="002805FF" w:rsidRPr="007C12DD">
        <w:rPr>
          <w:lang w:val="en-US"/>
        </w:rPr>
        <w:t xml:space="preserve">. </w:t>
      </w:r>
      <w:r w:rsidR="00D20D08" w:rsidRPr="007C12DD">
        <w:rPr>
          <w:lang w:val="en-US"/>
        </w:rPr>
        <w:t xml:space="preserve">Literature proposes several </w:t>
      </w:r>
      <w:r w:rsidR="00573B57" w:rsidRPr="007C12DD">
        <w:rPr>
          <w:lang w:val="en-US"/>
        </w:rPr>
        <w:t>CBMs</w:t>
      </w:r>
      <w:r w:rsidR="00D20D08" w:rsidRPr="007C12DD">
        <w:rPr>
          <w:lang w:val="en-US"/>
        </w:rPr>
        <w:t xml:space="preserve"> which start-ups can adopt to close</w:t>
      </w:r>
      <w:r w:rsidR="00420B3C" w:rsidRPr="007C12DD">
        <w:rPr>
          <w:lang w:val="en-US"/>
        </w:rPr>
        <w:t xml:space="preserve"> or slow</w:t>
      </w:r>
      <w:r w:rsidR="00D20D08" w:rsidRPr="007C12DD">
        <w:rPr>
          <w:lang w:val="en-US"/>
        </w:rPr>
        <w:t xml:space="preserve"> the loop. For ins</w:t>
      </w:r>
      <w:r w:rsidR="00420B3C" w:rsidRPr="007C12DD">
        <w:rPr>
          <w:lang w:val="en-US"/>
        </w:rPr>
        <w:t xml:space="preserve">tance, </w:t>
      </w:r>
      <w:r w:rsidR="00420B3C" w:rsidRPr="007C12DD">
        <w:rPr>
          <w:lang w:val="en-US"/>
        </w:rPr>
        <w:fldChar w:fldCharType="begin" w:fldLock="1"/>
      </w:r>
      <w:r w:rsidR="00420B3C" w:rsidRPr="007C12DD">
        <w:rPr>
          <w:lang w:val="en-US"/>
        </w:rPr>
        <w:instrText>ADDIN CSL_CITATION {"citationItems":[{"id":"ITEM-1","itemData":{"DOI":"10.1080/21681015.2016.1172124","ISSN":"21681023","abstract":"The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non-dropping-particle":"","parse-names":false,"suffix":""},{"dropping-particle":"","family":"Grinten","given":"Bram","non-dropping-particle":"van der","parse-names":false,"suffix":""}],"container-title":"Journal of Industrial and Production Engineering","id":"ITEM-1","issue":"5","issued":{"date-parts":[["2016"]]},"page":"308-320","publisher":"Taylor &amp; Francis","title":"Product design and business model strategies for a circular economy","type":"article-journal","volume":"33"},"uris":["http://www.mendeley.com/documents/?uuid=40ae2407-f2f8-4ffd-9222-dc87b44277d9"]}],"mendeley":{"formattedCitation":"(Nancy M.P. Bocken et al., 2016)","manualFormatting":"Bocken et al. (2016)","plainTextFormattedCitation":"(Nancy M.P. Bocken et al., 2016)","previouslyFormattedCitation":"(Nancy M.P. Bocken et al., 2016)"},"properties":{"noteIndex":0},"schema":"https://github.com/citation-style-language/schema/raw/master/csl-citation.json"}</w:instrText>
      </w:r>
      <w:r w:rsidR="00420B3C" w:rsidRPr="007C12DD">
        <w:rPr>
          <w:lang w:val="en-US"/>
        </w:rPr>
        <w:fldChar w:fldCharType="separate"/>
      </w:r>
      <w:r w:rsidR="00420B3C" w:rsidRPr="007C12DD">
        <w:rPr>
          <w:noProof/>
          <w:lang w:val="en-US"/>
        </w:rPr>
        <w:t>Bocken et al. (2016)</w:t>
      </w:r>
      <w:r w:rsidR="00420B3C" w:rsidRPr="007C12DD">
        <w:rPr>
          <w:lang w:val="en-US"/>
        </w:rPr>
        <w:fldChar w:fldCharType="end"/>
      </w:r>
      <w:r w:rsidR="00420B3C" w:rsidRPr="007C12DD">
        <w:rPr>
          <w:lang w:val="en-US"/>
        </w:rPr>
        <w:t xml:space="preserve"> proposes that start-ups can </w:t>
      </w:r>
      <w:r w:rsidR="00463EFA" w:rsidRPr="007C12DD">
        <w:rPr>
          <w:lang w:val="en-US"/>
        </w:rPr>
        <w:t xml:space="preserve">slow or close the loop by adopting </w:t>
      </w:r>
      <w:r w:rsidR="00573B57" w:rsidRPr="007C12DD">
        <w:rPr>
          <w:lang w:val="en-US"/>
        </w:rPr>
        <w:t>CBMs</w:t>
      </w:r>
      <w:r w:rsidR="00420B3C" w:rsidRPr="007C12DD">
        <w:rPr>
          <w:lang w:val="en-US"/>
        </w:rPr>
        <w:t xml:space="preserve"> which </w:t>
      </w:r>
      <w:r w:rsidR="00463EFA" w:rsidRPr="007C12DD">
        <w:rPr>
          <w:lang w:val="en-US"/>
        </w:rPr>
        <w:t>‘</w:t>
      </w:r>
      <w:r w:rsidR="00420B3C" w:rsidRPr="007C12DD">
        <w:rPr>
          <w:i/>
          <w:iCs/>
          <w:lang w:val="en-US"/>
        </w:rPr>
        <w:t>extend product value</w:t>
      </w:r>
      <w:r w:rsidR="00463EFA" w:rsidRPr="007C12DD">
        <w:rPr>
          <w:i/>
          <w:iCs/>
          <w:lang w:val="en-US"/>
        </w:rPr>
        <w:t>’</w:t>
      </w:r>
      <w:r w:rsidR="00420B3C" w:rsidRPr="007C12DD">
        <w:rPr>
          <w:lang w:val="en-US"/>
        </w:rPr>
        <w:t xml:space="preserve">, </w:t>
      </w:r>
      <w:r w:rsidR="00463EFA" w:rsidRPr="007C12DD">
        <w:rPr>
          <w:lang w:val="en-US"/>
        </w:rPr>
        <w:t>‘</w:t>
      </w:r>
      <w:r w:rsidR="00420B3C" w:rsidRPr="007C12DD">
        <w:rPr>
          <w:i/>
          <w:iCs/>
          <w:lang w:val="en-US"/>
        </w:rPr>
        <w:t>extend resource value</w:t>
      </w:r>
      <w:r w:rsidR="00463EFA" w:rsidRPr="007C12DD">
        <w:rPr>
          <w:i/>
          <w:iCs/>
          <w:lang w:val="en-US"/>
        </w:rPr>
        <w:t>’</w:t>
      </w:r>
      <w:r w:rsidR="00420B3C" w:rsidRPr="007C12DD">
        <w:rPr>
          <w:lang w:val="en-US"/>
        </w:rPr>
        <w:t xml:space="preserve"> or </w:t>
      </w:r>
      <w:r w:rsidR="00463EFA" w:rsidRPr="007C12DD">
        <w:rPr>
          <w:lang w:val="en-US"/>
        </w:rPr>
        <w:t>through</w:t>
      </w:r>
      <w:r w:rsidR="00F80E66" w:rsidRPr="007C12DD">
        <w:rPr>
          <w:lang w:val="en-US"/>
        </w:rPr>
        <w:t xml:space="preserve"> </w:t>
      </w:r>
      <w:r w:rsidR="00573B57" w:rsidRPr="007C12DD">
        <w:rPr>
          <w:lang w:val="en-US"/>
        </w:rPr>
        <w:t>CBMs</w:t>
      </w:r>
      <w:r w:rsidR="00F80E66" w:rsidRPr="007C12DD">
        <w:rPr>
          <w:lang w:val="en-US"/>
        </w:rPr>
        <w:t xml:space="preserve"> based upon</w:t>
      </w:r>
      <w:r w:rsidR="00420B3C" w:rsidRPr="007C12DD">
        <w:rPr>
          <w:lang w:val="en-US"/>
        </w:rPr>
        <w:t xml:space="preserve"> </w:t>
      </w:r>
      <w:r w:rsidR="00463EFA" w:rsidRPr="007C12DD">
        <w:rPr>
          <w:lang w:val="en-US"/>
        </w:rPr>
        <w:t>‘</w:t>
      </w:r>
      <w:r w:rsidR="00420B3C" w:rsidRPr="007C12DD">
        <w:rPr>
          <w:i/>
          <w:iCs/>
          <w:lang w:val="en-US"/>
        </w:rPr>
        <w:t>industrial symbiosis</w:t>
      </w:r>
      <w:r w:rsidR="00463EFA" w:rsidRPr="007C12DD">
        <w:rPr>
          <w:i/>
          <w:iCs/>
          <w:lang w:val="en-US"/>
        </w:rPr>
        <w:t>’</w:t>
      </w:r>
      <w:r w:rsidR="00420B3C" w:rsidRPr="007C12DD">
        <w:rPr>
          <w:lang w:val="en-US"/>
        </w:rPr>
        <w:t xml:space="preserve">. Likewise, </w:t>
      </w:r>
      <w:r w:rsidR="00420B3C" w:rsidRPr="005359EE">
        <w:rPr>
          <w:lang w:val="en-US"/>
        </w:rPr>
        <w:fldChar w:fldCharType="begin" w:fldLock="1"/>
      </w:r>
      <w:r w:rsidR="00420B3C" w:rsidRPr="005359EE">
        <w:rPr>
          <w:lang w:val="en-US"/>
        </w:rPr>
        <w:instrText>ADDIN CSL_CITATION {"citationItems":[{"id":"ITEM-1","itemData":{"DOI":"10.1111/jiec.12763","ISSN":"15309290","abstract":"The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Ecology","id":"ITEM-1","issue":"1","issued":{"date-parts":[["2019"]]},"page":"36-61","title":"A Review and Typology of Circular Economy Business Model Patterns","type":"article-journal","volume":"23"},"uris":["http://www.mendeley.com/documents/?uuid=09e98a65-6a20-4942-a4ca-23fd638479f0"]},{"id":"ITEM-2","itemData":{"DOI":"10.1016/j.jclepro.2018.04.159","ISSN":"09596526","abstract":"The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economy","type":"article-journal","volume":"190"},"uris":["http://www.mendeley.com/documents/?uuid=9790209a-b21e-4901-8d12-6006787fa048"]}],"mendeley":{"formattedCitation":"(Geissdoerfer et al., 2018; Lüdeke-Freund et al., 2019)","manualFormatting":"Lüdeke-Freund et al. (2019)","plainTextFormattedCitation":"(Geissdoerfer et al., 2018; Lüdeke-Freund et al., 2019)","previouslyFormattedCitation":"(Geissdoerfer et al., 2018; Lüdeke-Freund et al., 2019)"},"properties":{"noteIndex":0},"schema":"https://github.com/citation-style-language/schema/raw/master/csl-citation.json"}</w:instrText>
      </w:r>
      <w:r w:rsidR="00420B3C" w:rsidRPr="005359EE">
        <w:rPr>
          <w:lang w:val="en-US"/>
        </w:rPr>
        <w:fldChar w:fldCharType="separate"/>
      </w:r>
      <w:r w:rsidR="00420B3C" w:rsidRPr="005359EE">
        <w:rPr>
          <w:noProof/>
          <w:lang w:val="en-US"/>
        </w:rPr>
        <w:t>Lüdeke-Freund et al. (2019)</w:t>
      </w:r>
      <w:r w:rsidR="00420B3C" w:rsidRPr="005359EE">
        <w:rPr>
          <w:lang w:val="en-US"/>
        </w:rPr>
        <w:fldChar w:fldCharType="end"/>
      </w:r>
      <w:r w:rsidR="00420B3C" w:rsidRPr="005359EE">
        <w:rPr>
          <w:lang w:val="en-US"/>
        </w:rPr>
        <w:t xml:space="preserve"> </w:t>
      </w:r>
      <w:r w:rsidR="00C72208">
        <w:rPr>
          <w:lang w:val="en-US"/>
        </w:rPr>
        <w:t>suggest</w:t>
      </w:r>
      <w:r w:rsidR="00C72208" w:rsidRPr="005359EE">
        <w:rPr>
          <w:lang w:val="en-US"/>
        </w:rPr>
        <w:t xml:space="preserve"> </w:t>
      </w:r>
      <w:r w:rsidR="00420B3C" w:rsidRPr="005359EE">
        <w:rPr>
          <w:lang w:val="en-US"/>
        </w:rPr>
        <w:t xml:space="preserve">five </w:t>
      </w:r>
      <w:r w:rsidR="00573B57" w:rsidRPr="005359EE">
        <w:rPr>
          <w:lang w:val="en-US"/>
        </w:rPr>
        <w:t>CBM</w:t>
      </w:r>
      <w:r w:rsidR="00420B3C" w:rsidRPr="005359EE">
        <w:rPr>
          <w:lang w:val="en-US"/>
        </w:rPr>
        <w:t xml:space="preserve"> typologies to close or slow the loop, namely ‘</w:t>
      </w:r>
      <w:r w:rsidR="00420B3C" w:rsidRPr="005359EE">
        <w:rPr>
          <w:i/>
          <w:iCs/>
          <w:lang w:val="en-US"/>
        </w:rPr>
        <w:t>repair and maintenance’</w:t>
      </w:r>
      <w:r w:rsidR="00420B3C" w:rsidRPr="005359EE">
        <w:rPr>
          <w:lang w:val="en-US"/>
        </w:rPr>
        <w:t>, ‘</w:t>
      </w:r>
      <w:r w:rsidR="00420B3C" w:rsidRPr="005359EE">
        <w:rPr>
          <w:i/>
          <w:iCs/>
          <w:lang w:val="en-US"/>
        </w:rPr>
        <w:t>refurbish and remanufacture</w:t>
      </w:r>
      <w:r w:rsidR="00420B3C" w:rsidRPr="005359EE">
        <w:rPr>
          <w:lang w:val="en-US"/>
        </w:rPr>
        <w:t>’, ‘</w:t>
      </w:r>
      <w:r w:rsidR="00420B3C" w:rsidRPr="005359EE">
        <w:rPr>
          <w:i/>
          <w:iCs/>
          <w:lang w:val="en-US"/>
        </w:rPr>
        <w:t>recycling’</w:t>
      </w:r>
      <w:r w:rsidR="00420B3C" w:rsidRPr="005359EE">
        <w:rPr>
          <w:lang w:val="en-US"/>
        </w:rPr>
        <w:t>, ‘</w:t>
      </w:r>
      <w:r w:rsidR="00420B3C" w:rsidRPr="005359EE">
        <w:rPr>
          <w:i/>
          <w:iCs/>
          <w:lang w:val="en-US"/>
        </w:rPr>
        <w:t>cascading and repurposing’</w:t>
      </w:r>
      <w:r w:rsidR="00420B3C" w:rsidRPr="005359EE">
        <w:rPr>
          <w:lang w:val="en-US"/>
        </w:rPr>
        <w:t xml:space="preserve"> and ‘</w:t>
      </w:r>
      <w:r w:rsidR="00420B3C" w:rsidRPr="005359EE">
        <w:rPr>
          <w:i/>
          <w:iCs/>
          <w:lang w:val="en-US"/>
        </w:rPr>
        <w:t>organic feedstock’</w:t>
      </w:r>
      <w:r w:rsidR="00420B3C" w:rsidRPr="005359EE">
        <w:rPr>
          <w:lang w:val="en-US"/>
        </w:rPr>
        <w:t xml:space="preserve">. </w:t>
      </w:r>
      <w:r w:rsidR="00857310" w:rsidRPr="005359EE">
        <w:rPr>
          <w:lang w:val="en-US"/>
        </w:rPr>
        <w:t xml:space="preserve">Other descriptions of CBMs </w:t>
      </w:r>
      <w:r w:rsidR="007656C6" w:rsidRPr="005359EE">
        <w:rPr>
          <w:lang w:val="en-US"/>
        </w:rPr>
        <w:t>broadly</w:t>
      </w:r>
      <w:r w:rsidR="00857310" w:rsidRPr="005359EE">
        <w:rPr>
          <w:lang w:val="en-US"/>
        </w:rPr>
        <w:t xml:space="preserve"> </w:t>
      </w:r>
      <w:r w:rsidR="008D082B" w:rsidRPr="005359EE">
        <w:rPr>
          <w:lang w:val="en-US"/>
        </w:rPr>
        <w:t xml:space="preserve">follow </w:t>
      </w:r>
      <w:r w:rsidR="00857310" w:rsidRPr="005359EE">
        <w:rPr>
          <w:lang w:val="en-US"/>
        </w:rPr>
        <w:t xml:space="preserve">the same terms – </w:t>
      </w:r>
      <w:r w:rsidR="008D082B" w:rsidRPr="005359EE">
        <w:rPr>
          <w:lang w:val="en-US"/>
        </w:rPr>
        <w:t>see for instance</w:t>
      </w:r>
      <w:r w:rsidR="00857310" w:rsidRPr="005359EE">
        <w:rPr>
          <w:lang w:val="en-US"/>
        </w:rPr>
        <w:t xml:space="preserve"> </w:t>
      </w:r>
      <w:r w:rsidR="00857310" w:rsidRPr="005359EE">
        <w:rPr>
          <w:lang w:val="en-US"/>
        </w:rPr>
        <w:fldChar w:fldCharType="begin" w:fldLock="1"/>
      </w:r>
      <w:r w:rsidR="00857310" w:rsidRPr="005359EE">
        <w:rPr>
          <w:lang w:val="en-US"/>
        </w:rPr>
        <w:instrText>ADDIN CSL_CITATION {"citationItems":[{"id":"ITEM-1","itemData":{"DOI":"10.1080/00207543.2018.1542176","ISSN":"1366588X","abstract":"Despite companies face several challenges when redesigning their supply chain for the Circular Economy, the literature lacks a systematisation of such challenges and of the ways to overcome them. Through a systematic literature review, this paper identifies and systematises 24 challenges that may hamper a supply chain redesign for the Circular Economy. Sixteen among these challenges are well known from research in related topics. On the contrary, the remaining eight are relatively new or take a different relevance within the Circular Economy context. A multiple case study in the household appliance supply chain is carried out, to explore how these challenges appear in practice and how companies may tackle them. The cases analysed involve actors at different supply chain levels, and findings suggest that a great degree of vertical integration by one actor in the supply chain is not a necessary condition for Circular Economy implementation. The empirical study, in conjunction with the literature analysis, leads to the development of a framework linking the challenges to specific levers that companies may pursue to overcome them. The framework can be seen as a reference for managers undertaking the path towards Circular Economy.","author":[{"dropping-particle":"","family":"Bressanelli","given":"Gianmarco","non-dropping-particle":"","parse-names":false,"suffix":""},{"dropping-particle":"","family":"Perona","given":"Marco","non-dropping-particle":"","parse-names":false,"suffix":""},{"dropping-particle":"","family":"Saccani","given":"Nicola","non-dropping-particle":"","parse-names":false,"suffix":""}],"container-title":"International Journal of Production Research","id":"ITEM-1","issue":"23","issued":{"date-parts":[["2019"]]},"page":"7395-7422","publisher":"Taylor &amp; Francis","title":"Challenges in supply chain redesign for the Circular Economy: a literature review and a multiple case study","type":"article-journal","volume":"57"},"uris":["http://www.mendeley.com/documents/?uuid=70dc2b0f-3931-447f-b022-110e0032d74a"]},{"id":"ITEM-2","itemData":{"DOI":"10.1002/bse.1906","ISSN":"10990836","abstract":"Circular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Environment","id":"ITEM-2","issue":"2","issued":{"date-parts":[["2017"]]},"page":"182-196","title":"Circular Business Model Innovation: Inherent Uncertainties","type":"article-journal","volume":"26"},"uris":["http://www.mendeley.com/documents/?uuid=de0204cc-b8ad-44e7-9be7-887e16477875"]},{"id":"ITEM-3","itemData":{"DOI":"10.1016/j.jclepro.2018.04.159","ISSN":"09596526","abstract":"The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Production","id":"ITEM-3","issued":{"date-parts":[["2018"]]},"page":"712-721","publisher":"Elsevier Ltd","title":"Business models and supply chains for the circular economy","type":"article-journal","volume":"190"},"uris":["http://www.mendeley.com/documents/?uuid=9790209a-b21e-4901-8d12-6006787fa048"]}],"mendeley":{"formattedCitation":"(Bressanelli et al., 2019; Geissdoerfer et al., 2018; Linder &amp; Williander, 2017)","manualFormatting":"Geissdoerfer et al. (2018), Linder and Williander (2017)","plainTextFormattedCitation":"(Bressanelli et al., 2019; Geissdoerfer et al., 2018; Linder &amp; Williander, 2017)","previouslyFormattedCitation":"(Bressanelli et al., 2019; Geissdoerfer et al., 2018; Linder &amp; Williander, 2017)"},"properties":{"noteIndex":0},"schema":"https://github.com/citation-style-language/schema/raw/master/csl-citation.json"}</w:instrText>
      </w:r>
      <w:r w:rsidR="00857310" w:rsidRPr="005359EE">
        <w:rPr>
          <w:lang w:val="en-US"/>
        </w:rPr>
        <w:fldChar w:fldCharType="separate"/>
      </w:r>
      <w:r w:rsidR="00857310" w:rsidRPr="005359EE">
        <w:rPr>
          <w:noProof/>
          <w:lang w:val="en-US"/>
        </w:rPr>
        <w:t>Geissdoerfer et al. (2018), Linder and Williander (2017)</w:t>
      </w:r>
      <w:r w:rsidR="00857310" w:rsidRPr="005359EE">
        <w:rPr>
          <w:lang w:val="en-US"/>
        </w:rPr>
        <w:fldChar w:fldCharType="end"/>
      </w:r>
      <w:r w:rsidR="00857310" w:rsidRPr="005359EE">
        <w:rPr>
          <w:lang w:val="en-US"/>
        </w:rPr>
        <w:t xml:space="preserve"> and Henry et al. (2020).</w:t>
      </w:r>
      <w:r w:rsidR="008A7140" w:rsidRPr="005359EE">
        <w:rPr>
          <w:lang w:val="en-US"/>
        </w:rPr>
        <w:t xml:space="preserve"> </w:t>
      </w:r>
    </w:p>
    <w:p w14:paraId="05DB117A" w14:textId="77777777" w:rsidR="00A93DA6" w:rsidRPr="005359EE" w:rsidRDefault="00A93DA6" w:rsidP="00A93DA6">
      <w:pPr>
        <w:spacing w:after="0"/>
        <w:jc w:val="both"/>
        <w:rPr>
          <w:lang w:val="en-US"/>
        </w:rPr>
      </w:pPr>
    </w:p>
    <w:p w14:paraId="403A3695" w14:textId="0B1D5AA0" w:rsidR="00A93DA6" w:rsidRPr="005359EE" w:rsidRDefault="00A93DA6" w:rsidP="00A93DA6">
      <w:pPr>
        <w:spacing w:after="0"/>
        <w:jc w:val="both"/>
        <w:rPr>
          <w:i/>
          <w:iCs/>
          <w:lang w:val="en-US"/>
        </w:rPr>
      </w:pPr>
      <w:r w:rsidRPr="005359EE">
        <w:rPr>
          <w:i/>
          <w:iCs/>
          <w:lang w:val="en-US"/>
        </w:rPr>
        <w:t xml:space="preserve">2.2 Value creation </w:t>
      </w:r>
      <w:r w:rsidR="001D1CD9" w:rsidRPr="005359EE">
        <w:rPr>
          <w:i/>
          <w:iCs/>
          <w:lang w:val="en-US"/>
        </w:rPr>
        <w:t xml:space="preserve">and manufacturing </w:t>
      </w:r>
      <w:r w:rsidRPr="005359EE">
        <w:rPr>
          <w:i/>
          <w:iCs/>
          <w:lang w:val="en-US"/>
        </w:rPr>
        <w:t xml:space="preserve">in </w:t>
      </w:r>
      <w:r w:rsidR="001D5F97" w:rsidRPr="005359EE">
        <w:rPr>
          <w:i/>
          <w:iCs/>
          <w:lang w:val="en-US"/>
        </w:rPr>
        <w:t>CBMs</w:t>
      </w:r>
    </w:p>
    <w:p w14:paraId="2A6212A6" w14:textId="264B9A45" w:rsidR="00C33BF1" w:rsidRPr="005359EE" w:rsidRDefault="00573B57" w:rsidP="00E41F76">
      <w:pPr>
        <w:spacing w:after="0"/>
        <w:jc w:val="both"/>
        <w:rPr>
          <w:lang w:val="en-US"/>
        </w:rPr>
      </w:pPr>
      <w:r w:rsidRPr="005359EE">
        <w:rPr>
          <w:lang w:val="en-US"/>
        </w:rPr>
        <w:t xml:space="preserve">Value creation is the main source of competitive advantage of the firm and is therefore at the heart of the business model </w:t>
      </w:r>
      <w:r w:rsidRPr="005359EE">
        <w:rPr>
          <w:lang w:val="en-US"/>
        </w:rPr>
        <w:fldChar w:fldCharType="begin" w:fldLock="1"/>
      </w:r>
      <w:r w:rsidR="00C83A66">
        <w:rPr>
          <w:lang w:val="en-US"/>
        </w:rPr>
        <w:instrText>ADDIN CSL_CITATION {"citationItems":[{"id":"ITEM-1","itemData":{"author":[{"dropping-particle":"","family":"Porter","given":"M.E.","non-dropping-particle":"","parse-names":false,"suffix":""}],"id":"ITEM-1","issued":{"date-parts":[["1985"]]},"publisher":"Free Press","publisher-place":"New York","title":"Competitive Advantage: Creating and Sustaining Superior Performance","type":"book"},"uris":["http://www.mendeley.com/documents/?uuid=a0959e71-aa3e-4693-a442-e70aed72e6ef"]},{"id":"ITEM-2","itemData":{"DOI":"10.1002/9781118785317.weom120154","abstract":"Value‐based strategy focuses on the generation of consumer and producer surpluses that allow a business to outcompete its rivals, and to control the growth and return on the resources it deploys. This is frequently achieved by the establishment of either a relative product, price, or cost advantage. Longer term strategic thinking will anticipate the erosion of competitive advantages and the challenge of competitors. To pre‐empt these threats, it is important to identify the key future strategy enablers and blockers that will impact competitive success.","author":[{"dropping-particle":"","family":"Brandenburger","given":"A.M.","non-dropping-particle":"","parse-names":false,"suffix":""},{"dropping-particle":"","family":"Stuart Jr.","given":"H.W.","non-dropping-particle":"","parse-names":false,"suffix":""}],"container-title":"Journal of economics &amp; management strategy","id":"ITEM-2","issue":"1","issued":{"date-parts":[["1996"]]},"page":"5-24","title":"Value-Based Business Strategy","type":"article-journal","volume":"5"},"uris":["http://www.mendeley.com/documents/?uuid=872663d8-6a45-43d4-a84e-c0c8de311517"]}],"mendeley":{"formattedCitation":"(Brandenburger &amp; Stuart Jr., 1996; Porter, 1985)","manualFormatting":"(Brandenburger and Stuart, 1996; Porter, 1985)","plainTextFormattedCitation":"(Brandenburger &amp; Stuart Jr., 1996; Porter, 1985)","previouslyFormattedCitation":"(Brandenburger &amp; Stuart Jr., 1996; Porter, 1985)"},"properties":{"noteIndex":0},"schema":"https://github.com/citation-style-language/schema/raw/master/csl-citation.json"}</w:instrText>
      </w:r>
      <w:r w:rsidRPr="005359EE">
        <w:rPr>
          <w:lang w:val="en-US"/>
        </w:rPr>
        <w:fldChar w:fldCharType="separate"/>
      </w:r>
      <w:r w:rsidRPr="005359EE">
        <w:rPr>
          <w:noProof/>
          <w:lang w:val="en-US"/>
        </w:rPr>
        <w:t>(Brandenburger and Stuart, 1996; Porter, 1985)</w:t>
      </w:r>
      <w:r w:rsidRPr="005359EE">
        <w:rPr>
          <w:lang w:val="en-US"/>
        </w:rPr>
        <w:fldChar w:fldCharType="end"/>
      </w:r>
      <w:r w:rsidRPr="005359EE">
        <w:rPr>
          <w:lang w:val="en-US"/>
        </w:rPr>
        <w:t>.</w:t>
      </w:r>
      <w:r w:rsidR="001D1CD9" w:rsidRPr="005359EE">
        <w:rPr>
          <w:lang w:val="en-US"/>
        </w:rPr>
        <w:t xml:space="preserve"> </w:t>
      </w:r>
      <w:r w:rsidR="003C28BA" w:rsidRPr="005359EE">
        <w:rPr>
          <w:lang w:val="en-US"/>
        </w:rPr>
        <w:t xml:space="preserve">The value creation in CBMs </w:t>
      </w:r>
      <w:r w:rsidR="007637F3" w:rsidRPr="005359EE">
        <w:rPr>
          <w:lang w:val="en-US"/>
        </w:rPr>
        <w:t xml:space="preserve">can </w:t>
      </w:r>
      <w:r w:rsidR="003C28BA" w:rsidRPr="005359EE">
        <w:rPr>
          <w:lang w:val="en-US"/>
        </w:rPr>
        <w:t>involve a</w:t>
      </w:r>
      <w:r w:rsidR="007637F3" w:rsidRPr="005359EE">
        <w:rPr>
          <w:lang w:val="en-US"/>
        </w:rPr>
        <w:t xml:space="preserve"> </w:t>
      </w:r>
      <w:r w:rsidR="003C28BA" w:rsidRPr="005359EE">
        <w:rPr>
          <w:lang w:val="en-US"/>
        </w:rPr>
        <w:t>wide variety of</w:t>
      </w:r>
      <w:r w:rsidR="007637F3" w:rsidRPr="005359EE">
        <w:rPr>
          <w:lang w:val="en-US"/>
        </w:rPr>
        <w:t xml:space="preserve"> </w:t>
      </w:r>
      <w:r w:rsidR="001D1CD9" w:rsidRPr="005359EE">
        <w:rPr>
          <w:lang w:val="en-US"/>
        </w:rPr>
        <w:t xml:space="preserve">manufacturing </w:t>
      </w:r>
      <w:r w:rsidR="003C28BA" w:rsidRPr="005359EE">
        <w:rPr>
          <w:lang w:val="en-US"/>
        </w:rPr>
        <w:t>activities</w:t>
      </w:r>
      <w:r w:rsidR="007637F3" w:rsidRPr="005359EE">
        <w:rPr>
          <w:lang w:val="en-US"/>
        </w:rPr>
        <w:t xml:space="preserve"> </w:t>
      </w:r>
      <w:r w:rsidR="00A93DA6" w:rsidRPr="005359EE">
        <w:rPr>
          <w:lang w:val="en-US"/>
        </w:rPr>
        <w:fldChar w:fldCharType="begin" w:fldLock="1"/>
      </w:r>
      <w:r w:rsidR="003C28BA" w:rsidRPr="005359EE">
        <w:rPr>
          <w:lang w:val="en-US"/>
        </w:rPr>
        <w:instrText>ADDIN CSL_CITATION {"citationItems":[{"id":"ITEM-1","itemData":{"DOI":"10.1111/jiec.12763","ISSN":"15309290","abstract":"The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Ecology","id":"ITEM-1","issue":"1","issued":{"date-parts":[["2019"]]},"page":"36-61","title":"A Review and Typology of Circular Economy Business Model Patterns","type":"article-journal","volume":"23"},"uris":["http://www.mendeley.com/documents/?uuid=09e98a65-6a20-4942-a4ca-23fd638479f0"]},{"id":"ITEM-2","itemData":{"DOI":"10.1080/21681015.2016.1172124","ISSN":"21681023","abstract":"The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non-dropping-particle":"","parse-names":false,"suffix":""},{"dropping-particle":"","family":"Grinten","given":"Bram","non-dropping-particle":"van der","parse-names":false,"suffix":""}],"container-title":"Journal of Industrial and Production Engineering","id":"ITEM-2","issue":"5","issued":{"date-parts":[["2016"]]},"page":"308-320","publisher":"Taylor &amp; Francis","title":"Product design and business model strategies for a circular economy","type":"article-journal","volume":"33"},"uris":["http://www.mendeley.com/documents/?uuid=40ae2407-f2f8-4ffd-9222-dc87b44277d9"]}],"mendeley":{"formattedCitation":"(Nancy M.P. Bocken et al., 2016; Lüdeke-Freund et al., 2019)","manualFormatting":"(Bocken et al., 2016; Lüdeke-Freund et al., 2019)","plainTextFormattedCitation":"(Nancy M.P. Bocken et al., 2016; Lüdeke-Freund et al., 2019)","previouslyFormattedCitation":"(Nancy M.P. Bocken et al., 2016; Lüdeke-Freund et al., 2019)"},"properties":{"noteIndex":0},"schema":"https://github.com/citation-style-language/schema/raw/master/csl-citation.json"}</w:instrText>
      </w:r>
      <w:r w:rsidR="00A93DA6" w:rsidRPr="005359EE">
        <w:rPr>
          <w:lang w:val="en-US"/>
        </w:rPr>
        <w:fldChar w:fldCharType="separate"/>
      </w:r>
      <w:r w:rsidR="00377911" w:rsidRPr="005359EE">
        <w:rPr>
          <w:noProof/>
          <w:lang w:val="en-US"/>
        </w:rPr>
        <w:t xml:space="preserve">(Bocken et al., 2016; Lüdeke-Freund et al., </w:t>
      </w:r>
      <w:r w:rsidR="00377911" w:rsidRPr="005359EE">
        <w:rPr>
          <w:noProof/>
          <w:lang w:val="en-US"/>
        </w:rPr>
        <w:lastRenderedPageBreak/>
        <w:t>2019)</w:t>
      </w:r>
      <w:r w:rsidR="00A93DA6" w:rsidRPr="005359EE">
        <w:rPr>
          <w:lang w:val="en-US"/>
        </w:rPr>
        <w:fldChar w:fldCharType="end"/>
      </w:r>
      <w:r w:rsidR="00A93DA6" w:rsidRPr="005359EE">
        <w:rPr>
          <w:lang w:val="en-US"/>
        </w:rPr>
        <w:t xml:space="preserve">. </w:t>
      </w:r>
      <w:r w:rsidR="003C28BA" w:rsidRPr="005359EE">
        <w:rPr>
          <w:lang w:val="en-US"/>
        </w:rPr>
        <w:t>For instance, ‘</w:t>
      </w:r>
      <w:r w:rsidR="003C28BA" w:rsidRPr="005359EE">
        <w:rPr>
          <w:i/>
          <w:iCs/>
          <w:lang w:val="en-US"/>
        </w:rPr>
        <w:t>repair and maintenance</w:t>
      </w:r>
      <w:r w:rsidR="003C28BA" w:rsidRPr="005359EE">
        <w:rPr>
          <w:lang w:val="en-US"/>
        </w:rPr>
        <w:t>’ and ‘</w:t>
      </w:r>
      <w:r w:rsidR="003C28BA" w:rsidRPr="005359EE">
        <w:rPr>
          <w:i/>
          <w:iCs/>
          <w:lang w:val="en-US"/>
        </w:rPr>
        <w:t>refurbish and remanufacturing</w:t>
      </w:r>
      <w:r w:rsidR="003C28BA" w:rsidRPr="005359EE">
        <w:rPr>
          <w:lang w:val="en-US"/>
        </w:rPr>
        <w:t>’ can involve dismantling, cleaning and replacing worn-out parts and components (</w:t>
      </w:r>
      <w:proofErr w:type="spellStart"/>
      <w:r w:rsidR="003C28BA" w:rsidRPr="005359EE">
        <w:rPr>
          <w:lang w:val="en-US"/>
        </w:rPr>
        <w:fldChar w:fldCharType="begin" w:fldLock="1"/>
      </w:r>
      <w:r w:rsidR="003C28BA" w:rsidRPr="005359EE">
        <w:rPr>
          <w:lang w:val="en-US"/>
        </w:rPr>
        <w:instrText>ADDIN CSL_CITATION {"citationItems":[{"id":"ITEM-1","itemData":{"DOI":"10.1111/jiec.12763","ISSN":"15309290","abstract":"The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Ecology","id":"ITEM-1","issue":"1","issued":{"date-parts":[["2019"]]},"page":"36-61","title":"A Review and Typology of Circular Economy Business Model Patterns","type":"article-journal","volume":"23"},"uris":["http://www.mendeley.com/documents/?uuid=09e98a65-6a20-4942-a4ca-23fd638479f0"]},{"id":"ITEM-2","itemData":{"DOI":"10.1016/j.jclepro.2018.04.159","ISSN":"09596526","abstract":"The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economy","type":"article-journal","volume":"190"},"uris":["http://www.mendeley.com/documents/?uuid=9790209a-b21e-4901-8d12-6006787fa048"]}],"mendeley":{"formattedCitation":"(Geissdoerfer et al., 2018; Lüdeke-Freund et al., 2019)","manualFormatting":"Lüdeke-Freund et al., 2019)","plainTextFormattedCitation":"(Geissdoerfer et al., 2018; Lüdeke-Freund et al., 2019)","previouslyFormattedCitation":"(Geissdoerfer et al., 2018; Lüdeke-Freund et al., 2019)"},"properties":{"noteIndex":0},"schema":"https://github.com/citation-style-language/schema/raw/master/csl-citation.json"}</w:instrText>
      </w:r>
      <w:r w:rsidR="003C28BA" w:rsidRPr="005359EE">
        <w:rPr>
          <w:lang w:val="en-US"/>
        </w:rPr>
        <w:fldChar w:fldCharType="separate"/>
      </w:r>
      <w:r w:rsidR="003C28BA" w:rsidRPr="005359EE">
        <w:rPr>
          <w:noProof/>
          <w:lang w:val="en-US"/>
        </w:rPr>
        <w:t>Lüdeke</w:t>
      </w:r>
      <w:proofErr w:type="spellEnd"/>
      <w:r w:rsidR="003C28BA" w:rsidRPr="005359EE">
        <w:rPr>
          <w:noProof/>
          <w:lang w:val="en-US"/>
        </w:rPr>
        <w:t>-Freund et al., 2019)</w:t>
      </w:r>
      <w:r w:rsidR="003C28BA" w:rsidRPr="005359EE">
        <w:rPr>
          <w:lang w:val="en-US"/>
        </w:rPr>
        <w:fldChar w:fldCharType="end"/>
      </w:r>
      <w:r w:rsidR="003C28BA" w:rsidRPr="005359EE">
        <w:rPr>
          <w:lang w:val="en-US"/>
        </w:rPr>
        <w:t xml:space="preserve"> and may require grading and sorting activities </w:t>
      </w:r>
      <w:r w:rsidR="003C28BA" w:rsidRPr="005359EE">
        <w:rPr>
          <w:lang w:val="en-US"/>
        </w:rPr>
        <w:fldChar w:fldCharType="begin" w:fldLock="1"/>
      </w:r>
      <w:r w:rsidR="00C83A66">
        <w:rPr>
          <w:lang w:val="en-US"/>
        </w:rPr>
        <w:instrText>ADDIN CSL_CITATION {"citationItems":[{"id":"ITEM-1","itemData":{"DOI":"10.1016/j.jclepro.2020.120916","ISSN":"09596526","abstract":"Studies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Production","id":"ITEM-1","issued":{"date-parts":[["2020"]]},"page":"120916","publisher":"Elsevier Ltd","title":"Exploring factors affecting the financial performance of end-of-life take-back program in a discrete manufacturing context","type":"article-journal","volume":"258"},"uris":["http://www.mendeley.com/documents/?uuid=75795c4f-48ec-4fa7-9c67-1b24d7388aba"]},{"id":"ITEM-2","itemData":{"ISSN":"0017-8012","abstract":"Companies should make design and manufacturing decisions with eventual recycling and reconditioning of their products in mind. Here are the five key activities for establishing a reverse supply chain. [ABSTRACT FROM AUTHOR]","author":[{"dropping-particle":"","family":"Guide Jr.","given":"V.","non-dropping-particle":"","parse-names":false,"suffix":""},{"dropping-particle":"","family":"Wassenhove","given":"Luk","non-dropping-particle":"Van","parse-names":false,"suffix":""}],"container-title":"Harvard business review","id":"ITEM-2","issue":"2","issued":{"date-parts":[["2002"]]},"page":"25-26","title":"The Reverse Supply Chain","type":"article-journal","volume":"80"},"uris":["http://www.mendeley.com/documents/?uuid=d1e9f3c4-3e89-47ea-84e2-8b47bcb99837"]}],"mendeley":{"formattedCitation":"(Markus Thomas Bockholt et al., 2020; V. Guide Jr. &amp; Van Wassenhove, 2002)","manualFormatting":"(Bockholt et al., 2020)","plainTextFormattedCitation":"(Markus Thomas Bockholt et al., 2020; V. Guide Jr. &amp; Van Wassenhove, 2002)","previouslyFormattedCitation":"(Markus Thomas Bockholt et al., 2020; V. Guide Jr. &amp; Van Wassenhove, 2002)"},"properties":{"noteIndex":0},"schema":"https://github.com/citation-style-language/schema/raw/master/csl-citation.json"}</w:instrText>
      </w:r>
      <w:r w:rsidR="003C28BA" w:rsidRPr="005359EE">
        <w:rPr>
          <w:lang w:val="en-US"/>
        </w:rPr>
        <w:fldChar w:fldCharType="separate"/>
      </w:r>
      <w:r w:rsidR="003C28BA" w:rsidRPr="005359EE">
        <w:rPr>
          <w:noProof/>
          <w:lang w:val="en-US"/>
        </w:rPr>
        <w:t>(Bockholt et al., 2020)</w:t>
      </w:r>
      <w:r w:rsidR="003C28BA" w:rsidRPr="005359EE">
        <w:rPr>
          <w:lang w:val="en-US"/>
        </w:rPr>
        <w:fldChar w:fldCharType="end"/>
      </w:r>
      <w:r w:rsidR="003C28BA" w:rsidRPr="005359EE">
        <w:rPr>
          <w:lang w:val="en-US"/>
        </w:rPr>
        <w:t>. CBMs based on ‘</w:t>
      </w:r>
      <w:r w:rsidR="003C28BA" w:rsidRPr="005359EE">
        <w:rPr>
          <w:i/>
          <w:iCs/>
          <w:lang w:val="en-US"/>
        </w:rPr>
        <w:t>recycling’</w:t>
      </w:r>
      <w:r w:rsidR="003C28BA" w:rsidRPr="005359EE">
        <w:rPr>
          <w:lang w:val="en-US"/>
        </w:rPr>
        <w:t xml:space="preserve"> </w:t>
      </w:r>
      <w:r w:rsidR="00C33BF1" w:rsidRPr="005359EE">
        <w:rPr>
          <w:lang w:val="en-US"/>
        </w:rPr>
        <w:t>create value by separating, processing, shredding and mixing</w:t>
      </w:r>
      <w:r w:rsidR="003C28BA" w:rsidRPr="005359EE">
        <w:rPr>
          <w:lang w:val="en-US"/>
        </w:rPr>
        <w:t xml:space="preserve"> used products </w:t>
      </w:r>
      <w:r w:rsidR="00C33BF1" w:rsidRPr="005359EE">
        <w:rPr>
          <w:lang w:val="en-US"/>
        </w:rPr>
        <w:t>and potentially insert</w:t>
      </w:r>
      <w:r w:rsidR="008D082B" w:rsidRPr="005359EE">
        <w:rPr>
          <w:lang w:val="en-US"/>
        </w:rPr>
        <w:t>ing</w:t>
      </w:r>
      <w:r w:rsidR="00C33BF1" w:rsidRPr="005359EE">
        <w:rPr>
          <w:lang w:val="en-US"/>
        </w:rPr>
        <w:t xml:space="preserve"> them into the production process of new products </w:t>
      </w:r>
      <w:r w:rsidR="004934EA" w:rsidRPr="005359EE">
        <w:rPr>
          <w:lang w:val="en-US"/>
        </w:rPr>
        <w:fldChar w:fldCharType="begin" w:fldLock="1"/>
      </w:r>
      <w:r w:rsidR="00857310" w:rsidRPr="005359EE">
        <w:rPr>
          <w:lang w:val="en-US"/>
        </w:rPr>
        <w:instrText>ADDIN CSL_CITATION {"citationItems":[{"id":"ITEM-1","itemData":{"author":[{"dropping-particle":"","family":"King","given":"A.M.S.","non-dropping-particle":"","parse-names":false,"suffix":""},{"dropping-particle":"","family":"Burgess","given":"S.C:","non-dropping-particle":"","parse-names":false,"suffix":""},{"dropping-particle":"","family":"Ijomah, Winifred","given":"","non-dropping-particle":"","parse-names":false,"suffix":""},{"dropping-particle":"","family":"McMahon","given":"C.A:","non-dropping-particle":"","parse-names":false,"suffix":""}],"container-title":"Sustainable Development","id":"ITEM-1","issue":"4","issued":{"date-parts":[["2006"]]},"page":"257-267","title":"Reducing waste: repair, recondition, remanufacture or recycle?","type":"article-journal","volume":"14"},"uris":["http://www.mendeley.com/documents/?uuid=2ed672d1-f1b9-4a4d-a1b2-5d5b9d9a4b7a"]}],"mendeley":{"formattedCitation":"(A. M. S. King et al., 2006)","manualFormatting":"(King et al., 2006)","plainTextFormattedCitation":"(A. M. S. King et al., 2006)","previouslyFormattedCitation":"(A. M. S. King et al., 2006)"},"properties":{"noteIndex":0},"schema":"https://github.com/citation-style-language/schema/raw/master/csl-citation.json"}</w:instrText>
      </w:r>
      <w:r w:rsidR="004934EA" w:rsidRPr="005359EE">
        <w:rPr>
          <w:lang w:val="en-US"/>
        </w:rPr>
        <w:fldChar w:fldCharType="separate"/>
      </w:r>
      <w:r w:rsidR="004934EA" w:rsidRPr="005359EE">
        <w:rPr>
          <w:noProof/>
          <w:lang w:val="en-US"/>
        </w:rPr>
        <w:t>(King et al., 2006)</w:t>
      </w:r>
      <w:r w:rsidR="004934EA" w:rsidRPr="005359EE">
        <w:rPr>
          <w:lang w:val="en-US"/>
        </w:rPr>
        <w:fldChar w:fldCharType="end"/>
      </w:r>
      <w:r w:rsidR="004934EA" w:rsidRPr="005359EE">
        <w:rPr>
          <w:lang w:val="en-US"/>
        </w:rPr>
        <w:t xml:space="preserve">. </w:t>
      </w:r>
      <w:r w:rsidR="003C28BA" w:rsidRPr="005359EE">
        <w:rPr>
          <w:lang w:val="en-US"/>
        </w:rPr>
        <w:t xml:space="preserve">To classify the </w:t>
      </w:r>
      <w:r w:rsidR="004934EA" w:rsidRPr="005359EE">
        <w:rPr>
          <w:lang w:val="en-US"/>
        </w:rPr>
        <w:t xml:space="preserve">various </w:t>
      </w:r>
      <w:r w:rsidR="001D1CD9" w:rsidRPr="005359EE">
        <w:rPr>
          <w:lang w:val="en-US"/>
        </w:rPr>
        <w:t>manufacturing</w:t>
      </w:r>
      <w:r w:rsidR="004934EA" w:rsidRPr="005359EE">
        <w:rPr>
          <w:lang w:val="en-US"/>
        </w:rPr>
        <w:t xml:space="preserve"> activities</w:t>
      </w:r>
      <w:r w:rsidR="003C28BA" w:rsidRPr="005359EE">
        <w:rPr>
          <w:lang w:val="en-US"/>
        </w:rPr>
        <w:t xml:space="preserve"> in general terms, we follow the </w:t>
      </w:r>
      <w:r w:rsidR="00C33BF1" w:rsidRPr="005359EE">
        <w:rPr>
          <w:lang w:val="en-US"/>
        </w:rPr>
        <w:t>chronological order in which used products can be recovered.</w:t>
      </w:r>
    </w:p>
    <w:p w14:paraId="144CD3FD" w14:textId="22C60438" w:rsidR="00A93DA6" w:rsidRPr="007C12DD" w:rsidRDefault="00C33BF1" w:rsidP="00B96593">
      <w:pPr>
        <w:spacing w:after="0"/>
        <w:ind w:firstLine="284"/>
        <w:jc w:val="both"/>
        <w:rPr>
          <w:lang w:val="en-US"/>
        </w:rPr>
      </w:pPr>
      <w:r w:rsidRPr="005359EE">
        <w:rPr>
          <w:lang w:val="en-US"/>
        </w:rPr>
        <w:t xml:space="preserve">The first step in </w:t>
      </w:r>
      <w:proofErr w:type="gramStart"/>
      <w:r w:rsidR="00A93DA6" w:rsidRPr="007C12DD">
        <w:rPr>
          <w:lang w:val="en-US"/>
        </w:rPr>
        <w:t>the value</w:t>
      </w:r>
      <w:proofErr w:type="gramEnd"/>
      <w:r w:rsidR="00A93DA6" w:rsidRPr="007C12DD">
        <w:rPr>
          <w:lang w:val="en-US"/>
        </w:rPr>
        <w:t xml:space="preserve"> creation </w:t>
      </w:r>
      <w:r w:rsidR="00763771" w:rsidRPr="007C12DD">
        <w:rPr>
          <w:lang w:val="en-US"/>
        </w:rPr>
        <w:t xml:space="preserve">often </w:t>
      </w:r>
      <w:r w:rsidRPr="007C12DD">
        <w:rPr>
          <w:lang w:val="en-US"/>
        </w:rPr>
        <w:t>involves</w:t>
      </w:r>
      <w:r w:rsidR="00A93DA6" w:rsidRPr="007C12DD">
        <w:rPr>
          <w:lang w:val="en-US"/>
        </w:rPr>
        <w:t xml:space="preserve"> pre-manufacturing activities such as testing, </w:t>
      </w:r>
      <w:proofErr w:type="gramStart"/>
      <w:r w:rsidR="00A93DA6" w:rsidRPr="007C12DD">
        <w:rPr>
          <w:lang w:val="en-US"/>
        </w:rPr>
        <w:t>sorting</w:t>
      </w:r>
      <w:proofErr w:type="gramEnd"/>
      <w:r w:rsidR="00A93DA6" w:rsidRPr="007C12DD">
        <w:rPr>
          <w:lang w:val="en-US"/>
        </w:rPr>
        <w:t xml:space="preserve"> and grading. Manual testing, sorting and grading activities are often labor-intensive</w:t>
      </w:r>
      <w:r w:rsidR="008D082B" w:rsidRPr="007C12DD">
        <w:rPr>
          <w:lang w:val="en-US"/>
        </w:rPr>
        <w:t xml:space="preserve">, </w:t>
      </w:r>
      <w:r w:rsidR="00A93DA6" w:rsidRPr="007C12DD">
        <w:rPr>
          <w:lang w:val="en-US"/>
        </w:rPr>
        <w:t>time consuming</w:t>
      </w:r>
      <w:r w:rsidR="00793A9F">
        <w:rPr>
          <w:lang w:val="en-US"/>
        </w:rPr>
        <w:t>,</w:t>
      </w:r>
      <w:r w:rsidR="00A93DA6" w:rsidRPr="007C12DD">
        <w:rPr>
          <w:lang w:val="en-US"/>
        </w:rPr>
        <w:t xml:space="preserve"> and</w:t>
      </w:r>
      <w:r w:rsidR="008D082B" w:rsidRPr="007C12DD">
        <w:rPr>
          <w:lang w:val="en-US"/>
        </w:rPr>
        <w:t xml:space="preserve"> costly</w:t>
      </w:r>
      <w:r w:rsidR="00A93DA6" w:rsidRPr="007C12DD">
        <w:rPr>
          <w:lang w:val="en-US"/>
        </w:rPr>
        <w:t xml:space="preserve"> </w:t>
      </w:r>
      <w:r w:rsidR="00A93DA6" w:rsidRPr="007C12DD">
        <w:rPr>
          <w:lang w:val="en-US"/>
        </w:rPr>
        <w:fldChar w:fldCharType="begin" w:fldLock="1"/>
      </w:r>
      <w:r w:rsidR="00A61121" w:rsidRPr="007C12DD">
        <w:rPr>
          <w:lang w:val="en-US"/>
        </w:rPr>
        <w:instrText>ADDIN CSL_CITATION {"citationItems":[{"id":"ITEM-1","itemData":{"DOI":"10.1016/j.ijpe.2011.07.019","ISSN":"09255273","abstract":"E-waste (discarded computers and electronic goods) has become a major environmental issue. It can be minimized by increasing recovery from the waste stream through reverse supply chains. This paper proposes a framework for end-of-life (EOL) computer recycling operations. It identifies critical factors for implementing EOL computer recycling operations and investigates the causal relationship among the factors influencing computer recycling operations in reverse supply chains using the cognition mapping process DEMATEL. Results indicate availability of resource, coordination and integration of recycling tasks and the volume and quality of recyclable materials, are critical for computer recycling operations. Factors such as government legislation, incentive and customer demand are found to be the major drivers. Copyright © 2011 Published by Elsevier B.V. All rights reserved.","author":[{"dropping-particle":"","family":"Rahman","given":"Shams","non-dropping-particle":"","parse-names":false,"suffix":""},{"dropping-particle":"","family":"Subramanian","given":"Nachiappan","non-dropping-particle":"","parse-names":false,"suffix":""}],"container-title":"International Journal of Production Economics","id":"ITEM-1","issue":"1","issued":{"date-parts":[["2012"]]},"page":"239-248","publisher":"Elsevier","title":"Factors for implementing end-of-life computer recycling operations in reverse supply chains","type":"article-journal","volume":"140"},"uris":["http://www.mendeley.com/documents/?uuid=16617213-f007-4227-bf7e-db4e3aec3641"]},{"id":"ITEM-2","itemData":{"DOI":"10.1002/j.2158-1592.2009.tb00098.x","ISSN":"21581592","abstract":"Few research studies have published specific empirical data regarding the reverse logistics practices of companies. This multi-stage study employed interviews, site visits, and a mail survey to collect responses from 230 members of the Warehousing Education and Research Council (WERC) regarding their reverse logistics practices. Results suggest that in spite of the growing importance of reverse logistics, few executives have product return processing as their primary responsibility and often undertake this activity along with other job responsibilities. Most firms handle the product returns process themselves and typically within the same facilities that handle forward logistics. Returning items directly to stock, repackaging and returning to stock, and selling as scrap, were the three top disposition options employed by firms. Results indicate that, contrary to general understanding, the majority of retailers and wholesalers reported a recovery rate of over 75% of product cost. Several hypotheses developed from the published literature on reverse logistics were tested. In many instances, these hypotheses were formulated on anecdotal information or single case studies and had not been empirically tested prior to this research being conducted.","author":[{"dropping-particle":"","family":"Stock","given":"James R.","non-dropping-particle":"","parse-names":false,"suffix":""},{"dropping-particle":"","family":"Mulki","given":"Jay P.","non-dropping-particle":"","parse-names":false,"suffix":""}],"container-title":"Journal of Business Logistics","id":"ITEM-2","issue":"1","issued":{"date-parts":[["2009"]]},"page":"33-62","title":"Product Returns Processing: an Examination of Practices of Manufacturers, Wholesalers/Distributors, and Retailers","type":"article-journal","volume":"30"},"uris":["http://www.mendeley.com/documents/?uuid=52112743-5bf3-4d8d-a46e-156642c49894"]}],"mendeley":{"formattedCitation":"(Rahman &amp; Subramanian, 2012; Stock &amp; Mulki, 2009)","manualFormatting":"(Rahman and Subramanian, 2012)","plainTextFormattedCitation":"(Rahman &amp; Subramanian, 2012; Stock &amp; Mulki, 2009)","previouslyFormattedCitation":"(Rahman &amp; Subramanian, 2012; Stock &amp; Mulki, 2009)"},"properties":{"noteIndex":0},"schema":"https://github.com/citation-style-language/schema/raw/master/csl-citation.json"}</w:instrText>
      </w:r>
      <w:r w:rsidR="00A93DA6" w:rsidRPr="007C12DD">
        <w:rPr>
          <w:lang w:val="en-US"/>
        </w:rPr>
        <w:fldChar w:fldCharType="separate"/>
      </w:r>
      <w:r w:rsidR="00A93DA6" w:rsidRPr="007C12DD">
        <w:rPr>
          <w:noProof/>
          <w:lang w:val="en-US"/>
        </w:rPr>
        <w:t>(Rahman and Subramanian, 2012)</w:t>
      </w:r>
      <w:r w:rsidR="00A93DA6" w:rsidRPr="007C12DD">
        <w:rPr>
          <w:lang w:val="en-US"/>
        </w:rPr>
        <w:fldChar w:fldCharType="end"/>
      </w:r>
      <w:r w:rsidR="00A93DA6" w:rsidRPr="007C12DD">
        <w:rPr>
          <w:lang w:val="en-US"/>
        </w:rPr>
        <w:t xml:space="preserve">. Automated testing, sorting and grading activities may require significant investments in technologies such as sensors and bar codes to quickly assess the quality of the used products </w:t>
      </w:r>
      <w:r w:rsidR="00A93DA6" w:rsidRPr="007C12DD">
        <w:rPr>
          <w:lang w:val="en-US"/>
        </w:rPr>
        <w:fldChar w:fldCharType="begin" w:fldLock="1"/>
      </w:r>
      <w:r w:rsidR="00C83A66">
        <w:rPr>
          <w:lang w:val="en-US"/>
        </w:rPr>
        <w:instrText>ADDIN CSL_CITATION {"citationItems":[{"id":"ITEM-1","itemData":{"ISSN":"0017-8012","abstract":"Companies should make design and manufacturing decisions with eventual recycling and reconditioning of their products in mind. Here are the five key activities for establishing a reverse supply chain. [ABSTRACT FROM AUTHOR]","author":[{"dropping-particle":"","family":"Guide Jr.","given":"V.","non-dropping-particle":"","parse-names":false,"suffix":""},{"dropping-particle":"","family":"Wassenhove","given":"Luk","non-dropping-particle":"Van","parse-names":false,"suffix":""}],"container-title":"Harvard business review","id":"ITEM-1","issue":"2","issued":{"date-parts":[["2002"]]},"page":"25-26","title":"The Reverse Supply Chain","type":"article-journal","volume":"80"},"uris":["http://www.mendeley.com/documents/?uuid=d1e9f3c4-3e89-47ea-84e2-8b47bcb99837"]},{"id":"ITEM-2","itemData":{"DOI":"10.1016/j.jclepro.2020.120916","ISSN":"09596526","abstract":"Studies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Production","id":"ITEM-2","issued":{"date-parts":[["2020"]]},"page":"120916","publisher":"Elsevier Ltd","title":"Exploring factors affecting the financial performance of end-of-life take-back program in a discrete manufacturing context","type":"article-journal","volume":"258"},"uris":["http://www.mendeley.com/documents/?uuid=75795c4f-48ec-4fa7-9c67-1b24d7388aba"]}],"mendeley":{"formattedCitation":"(Markus Thomas Bockholt et al., 2020; V. Guide Jr. &amp; Van Wassenhove, 2002)","manualFormatting":"(Bockholt et al., 2020)","plainTextFormattedCitation":"(Markus Thomas Bockholt et al., 2020; V. Guide Jr. &amp; Van Wassenhove, 2002)","previouslyFormattedCitation":"(Markus Thomas Bockholt et al., 2020; V. Guide Jr. &amp; Van Wassenhove, 2002)"},"properties":{"noteIndex":0},"schema":"https://github.com/citation-style-language/schema/raw/master/csl-citation.json"}</w:instrText>
      </w:r>
      <w:r w:rsidR="00A93DA6" w:rsidRPr="007C12DD">
        <w:rPr>
          <w:lang w:val="en-US"/>
        </w:rPr>
        <w:fldChar w:fldCharType="separate"/>
      </w:r>
      <w:r w:rsidR="00A93DA6" w:rsidRPr="007C12DD">
        <w:rPr>
          <w:noProof/>
          <w:lang w:val="en-US"/>
        </w:rPr>
        <w:t>(Bockholt et al., 2020)</w:t>
      </w:r>
      <w:r w:rsidR="00A93DA6" w:rsidRPr="007C12DD">
        <w:rPr>
          <w:lang w:val="en-US"/>
        </w:rPr>
        <w:fldChar w:fldCharType="end"/>
      </w:r>
      <w:r w:rsidR="00A93DA6" w:rsidRPr="007C12DD">
        <w:rPr>
          <w:lang w:val="en-US"/>
        </w:rPr>
        <w:t xml:space="preserve">. Moreover, in </w:t>
      </w:r>
      <w:proofErr w:type="gramStart"/>
      <w:r w:rsidR="00A93DA6" w:rsidRPr="007C12DD">
        <w:rPr>
          <w:lang w:val="en-US"/>
        </w:rPr>
        <w:t>case</w:t>
      </w:r>
      <w:proofErr w:type="gramEnd"/>
      <w:r w:rsidR="00A93DA6" w:rsidRPr="007C12DD">
        <w:rPr>
          <w:lang w:val="en-US"/>
        </w:rPr>
        <w:t xml:space="preserve"> of automated testing, an entire infrastructure might be needed to ensure that the products return to facilities with </w:t>
      </w:r>
      <w:r w:rsidR="00265B4D" w:rsidRPr="007C12DD">
        <w:rPr>
          <w:lang w:val="en-US"/>
        </w:rPr>
        <w:t xml:space="preserve">appropriate testing, sorting and grading </w:t>
      </w:r>
      <w:r w:rsidR="00A93DA6" w:rsidRPr="007C12DD">
        <w:rPr>
          <w:lang w:val="en-US"/>
        </w:rPr>
        <w:t>equipment.</w:t>
      </w:r>
      <w:r w:rsidRPr="007C12DD">
        <w:rPr>
          <w:lang w:val="en-US"/>
        </w:rPr>
        <w:t xml:space="preserve"> </w:t>
      </w:r>
      <w:r w:rsidR="00265B4D" w:rsidRPr="007C12DD">
        <w:rPr>
          <w:lang w:val="en-US"/>
        </w:rPr>
        <w:t>S</w:t>
      </w:r>
      <w:r w:rsidR="007656C6" w:rsidRPr="007C12DD">
        <w:rPr>
          <w:lang w:val="en-US"/>
        </w:rPr>
        <w:t>k</w:t>
      </w:r>
      <w:r w:rsidR="00A93DA6" w:rsidRPr="007C12DD">
        <w:rPr>
          <w:lang w:val="en-US"/>
        </w:rPr>
        <w:t xml:space="preserve">ipping pre-manufacturing might be possible when </w:t>
      </w:r>
      <w:r w:rsidRPr="007C12DD">
        <w:rPr>
          <w:lang w:val="en-US"/>
        </w:rPr>
        <w:t>start-ups</w:t>
      </w:r>
      <w:r w:rsidR="00A93DA6" w:rsidRPr="007C12DD">
        <w:rPr>
          <w:lang w:val="en-US"/>
        </w:rPr>
        <w:t xml:space="preserve"> match the input with the requirements of the manufacturing process </w:t>
      </w:r>
      <w:r w:rsidR="00A93DA6" w:rsidRPr="007C12DD">
        <w:rPr>
          <w:lang w:val="en-US"/>
        </w:rPr>
        <w:fldChar w:fldCharType="begin" w:fldLock="1"/>
      </w:r>
      <w:r w:rsidR="00B96593" w:rsidRPr="007C12DD">
        <w:rPr>
          <w:lang w:val="en-US"/>
        </w:rPr>
        <w:instrText>ADDIN CSL_CITATION {"citationItems":[{"id":"ITEM-1","itemData":{"DOI":"10.1016/j.jclepro.2019.06.169","ISSN":"09596526","abstract":"Reusing waste materials of other industries, a practice known as industrial symbiosis, attracts growing attention by industry. However, the waste materials are often of lower quality than the virgin materials they substitute. When production processes are intolerant for lower quality materials, production issues may occur. This paper sets out to explore how firms can manage the waste quality through supplier integration with the waste supplier. As suppliers have to learn new knowledge, the construct of absorptive capacity is used as an interpretive lens. An in-depth longitudinal exploratory case study approach is used to examine the involvement of different individuals and departments in the supplier integration activities in the context of the waste-based fuel supply chain of a global cement producer. Qualitative and quantitative data was gathered at both the buyer and the supplier. The data show that buyers can increase the absorptive capacity of the suppliers by aligning their own knowledge bases with the scope of the supplier integration. The increased absorptive capacity enables the suppliers to align waste quality with production requirements. Managing waste quality is an important capability of industrial symbiosis, especially when firms want to go beyond the low-hanging fruits and increase the effectiveness of their industrial symbiosis activities. The research concludes with theoretical and managerial insights into how firms can organize the supplier integration to manage waste quality in the context of industrial symbiosis.","author":[{"dropping-particle":"","family":"Prosman","given":"Ernst Johannes","non-dropping-particle":"","parse-names":false,"suffix":""},{"dropping-particle":"","family":"Wæhrens","given":"Brian Vejrum","non-dropping-particle":"","parse-names":false,"suffix":""}],"container-title":"Journal of Cleaner Production","id":"ITEM-1","issued":{"date-parts":[["2019"]]},"page":"113-123","publisher":"Elsevier Ltd","title":"Managing waste quality in industrial symbiosis: Insights on how to organize supplier integration","type":"article-journal","volume":"234"},"uris":["http://www.mendeley.com/documents/?uuid=2053dc3e-ebe1-4659-b383-3a84833720c9"]},{"id":"ITEM-2","itemData":{"ISSN":"0017-8012","abstract":"Companies should make design and manufacturing decisions with eventual recycling and reconditioning of their products in mind. Here are the five key activities for establishing a reverse supply chain. [ABSTRACT FROM AUTHOR]","author":[{"dropping-particle":"","family":"Guide Jr.","given":"V.","non-dropping-particle":"","parse-names":false,"suffix":""},{"dropping-particle":"","family":"Wassenhove","given":"Luk","non-dropping-particle":"Van","parse-names":false,"suffix":""}],"container-title":"Harvard business review","id":"ITEM-2","issue":"2","issued":{"date-parts":[["2002"]]},"page":"25-26","title":"The Reverse Supply Chain","type":"article-journal","volume":"80"},"uris":["http://www.mendeley.com/documents/?uuid=d1e9f3c4-3e89-47ea-84e2-8b47bcb99837"]}],"mendeley":{"formattedCitation":"(V. Guide Jr. &amp; Van Wassenhove, 2002; Prosman &amp; Wæhrens, 2019)","manualFormatting":"(Prosman and Wæhrens, 2019)","plainTextFormattedCitation":"(V. Guide Jr. &amp; Van Wassenhove, 2002; Prosman &amp; Wæhrens, 2019)","previouslyFormattedCitation":"(V. Guide Jr. &amp; Van Wassenhove, 2002; Prosman &amp; Wæhrens, 2019)"},"properties":{"noteIndex":0},"schema":"https://github.com/citation-style-language/schema/raw/master/csl-citation.json"}</w:instrText>
      </w:r>
      <w:r w:rsidR="00A93DA6" w:rsidRPr="007C12DD">
        <w:rPr>
          <w:lang w:val="en-US"/>
        </w:rPr>
        <w:fldChar w:fldCharType="separate"/>
      </w:r>
      <w:r w:rsidR="00A93DA6" w:rsidRPr="007C12DD">
        <w:rPr>
          <w:noProof/>
          <w:lang w:val="en-US"/>
        </w:rPr>
        <w:t>(Prosman and Wæhrens, 2019)</w:t>
      </w:r>
      <w:r w:rsidR="00A93DA6" w:rsidRPr="007C12DD">
        <w:rPr>
          <w:lang w:val="en-US"/>
        </w:rPr>
        <w:fldChar w:fldCharType="end"/>
      </w:r>
      <w:r w:rsidR="00A93DA6" w:rsidRPr="007C12DD">
        <w:rPr>
          <w:lang w:val="en-US"/>
        </w:rPr>
        <w:t xml:space="preserve"> or when the manufacturing process can handle (a certain degree of) quality differences.</w:t>
      </w:r>
    </w:p>
    <w:p w14:paraId="626D4CED" w14:textId="46F9A0DF" w:rsidR="00A93DA6" w:rsidRPr="007C12DD" w:rsidRDefault="00A93DA6" w:rsidP="00A93DA6">
      <w:pPr>
        <w:spacing w:after="0"/>
        <w:ind w:firstLine="284"/>
        <w:jc w:val="both"/>
        <w:rPr>
          <w:lang w:val="en-US"/>
        </w:rPr>
      </w:pPr>
      <w:r w:rsidRPr="007C12DD">
        <w:rPr>
          <w:lang w:val="en-US"/>
        </w:rPr>
        <w:t xml:space="preserve">Next, in the manufacturing stage, </w:t>
      </w:r>
      <w:r w:rsidR="00C33BF1" w:rsidRPr="007C12DD">
        <w:rPr>
          <w:lang w:val="en-US"/>
        </w:rPr>
        <w:t>start-ups</w:t>
      </w:r>
      <w:r w:rsidRPr="007C12DD">
        <w:rPr>
          <w:lang w:val="en-US"/>
        </w:rPr>
        <w:t xml:space="preserve"> can create value in two main ways</w:t>
      </w:r>
      <w:r w:rsidR="007B5F48">
        <w:rPr>
          <w:lang w:val="en-US"/>
        </w:rPr>
        <w:t>,</w:t>
      </w:r>
      <w:r w:rsidR="00206BF0">
        <w:rPr>
          <w:lang w:val="en-US"/>
        </w:rPr>
        <w:t xml:space="preserve"> namely</w:t>
      </w:r>
      <w:r w:rsidRPr="007C12DD">
        <w:rPr>
          <w:lang w:val="en-US"/>
        </w:rPr>
        <w:t xml:space="preserve"> through </w:t>
      </w:r>
      <w:proofErr w:type="gramStart"/>
      <w:r w:rsidRPr="007C12DD">
        <w:rPr>
          <w:lang w:val="en-US"/>
        </w:rPr>
        <w:t>discrete</w:t>
      </w:r>
      <w:proofErr w:type="gramEnd"/>
      <w:r w:rsidRPr="007C12DD">
        <w:rPr>
          <w:lang w:val="en-US"/>
        </w:rPr>
        <w:t xml:space="preserve"> and process manufacturing. Discrete manufacturing refers to activities such as </w:t>
      </w:r>
      <w:r w:rsidRPr="005359EE">
        <w:rPr>
          <w:lang w:val="en-US"/>
        </w:rPr>
        <w:t>repairing and replacing individual parts and components</w:t>
      </w:r>
      <w:r w:rsidRPr="007C12DD">
        <w:rPr>
          <w:lang w:val="en-US"/>
        </w:rPr>
        <w:t xml:space="preserve"> </w:t>
      </w:r>
      <w:r w:rsidRPr="005359EE">
        <w:rPr>
          <w:lang w:val="en-US"/>
        </w:rPr>
        <w:t xml:space="preserve">to improve the physical and aesthetic state of the used product </w:t>
      </w:r>
      <w:r w:rsidRPr="005359EE">
        <w:rPr>
          <w:lang w:val="en-US"/>
        </w:rPr>
        <w:fldChar w:fldCharType="begin" w:fldLock="1"/>
      </w:r>
      <w:r w:rsidRPr="005359EE">
        <w:rPr>
          <w:lang w:val="en-US"/>
        </w:rPr>
        <w:instrText>ADDIN CSL_CITATION {"citationItems":[{"id":"ITEM-1","itemData":{"DOI":"10.1111/jiec.12763","ISSN":"15309290","abstract":"The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Ecology","id":"ITEM-1","issue":"1","issued":{"date-parts":[["2019"]]},"page":"36-61","title":"A Review and Typology of Circular Economy Business Model Patterns","type":"article-journal","volume":"23"},"uris":["http://www.mendeley.com/documents/?uuid=09e98a65-6a20-4942-a4ca-23fd638479f0"]}],"mendeley":{"formattedCitation":"(Lüdeke-Freund et al., 2019)","plainTextFormattedCitation":"(Lüdeke-Freund et al., 2019)","previouslyFormattedCitation":"(Lüdeke-Freund et al., 2019)"},"properties":{"noteIndex":0},"schema":"https://github.com/citation-style-language/schema/raw/master/csl-citation.json"}</w:instrText>
      </w:r>
      <w:r w:rsidRPr="005359EE">
        <w:rPr>
          <w:lang w:val="en-US"/>
        </w:rPr>
        <w:fldChar w:fldCharType="separate"/>
      </w:r>
      <w:r w:rsidRPr="005359EE">
        <w:rPr>
          <w:noProof/>
          <w:lang w:val="en-US"/>
        </w:rPr>
        <w:t>(Lüdeke-Freund et al., 2019)</w:t>
      </w:r>
      <w:r w:rsidRPr="005359EE">
        <w:rPr>
          <w:lang w:val="en-US"/>
        </w:rPr>
        <w:fldChar w:fldCharType="end"/>
      </w:r>
      <w:r w:rsidRPr="005359EE">
        <w:rPr>
          <w:lang w:val="en-US"/>
        </w:rPr>
        <w:t>.</w:t>
      </w:r>
      <w:r w:rsidRPr="007C12DD">
        <w:rPr>
          <w:lang w:val="en-US"/>
        </w:rPr>
        <w:t xml:space="preserve"> Discrete manufacturing can be further broken down into standardized and customized discrete manufacturing</w:t>
      </w:r>
      <w:r w:rsidR="00D174F0" w:rsidRPr="007C12DD">
        <w:rPr>
          <w:lang w:val="en-US"/>
        </w:rPr>
        <w:t xml:space="preserve"> based on the variation in the production steps</w:t>
      </w:r>
      <w:r w:rsidRPr="007C12DD">
        <w:rPr>
          <w:lang w:val="en-US"/>
        </w:rPr>
        <w:t xml:space="preserve">. </w:t>
      </w:r>
      <w:r w:rsidR="00E41F76" w:rsidRPr="007C12DD">
        <w:rPr>
          <w:lang w:val="en-US"/>
        </w:rPr>
        <w:t xml:space="preserve">Standardized discrete manufacturing has a higher automation potential which can lead to cost reductions </w:t>
      </w:r>
      <w:r w:rsidR="00E41F76" w:rsidRPr="007C12DD">
        <w:rPr>
          <w:lang w:val="en-US"/>
        </w:rPr>
        <w:fldChar w:fldCharType="begin" w:fldLock="1"/>
      </w:r>
      <w:r w:rsidR="00E41F76" w:rsidRPr="007C12DD">
        <w:rPr>
          <w:lang w:val="en-US"/>
        </w:rPr>
        <w:instrText>ADDIN CSL_CITATION {"citationItems":[{"id":"ITEM-1","itemData":{"DOI":"10.1016/j.jclepro.2020.120916","ISSN":"09596526","abstract":"Studies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Production","id":"ITEM-1","issued":{"date-parts":[["2020"]]},"page":"120916","publisher":"Elsevier Ltd","title":"Exploring factors affecting the financial performance of end-of-life take-back program in a discrete manufacturing context","type":"article-journal","volume":"258"},"uris":["http://www.mendeley.com/documents/?uuid=75795c4f-48ec-4fa7-9c67-1b24d7388aba"]}],"mendeley":{"formattedCitation":"(Markus Thomas Bockholt et al., 2020)","manualFormatting":"(Bockholt et al., 2020)","plainTextFormattedCitation":"(Markus Thomas Bockholt et al., 2020)","previouslyFormattedCitation":"(Markus Thomas Bockholt et al., 2020)"},"properties":{"noteIndex":0},"schema":"https://github.com/citation-style-language/schema/raw/master/csl-citation.json"}</w:instrText>
      </w:r>
      <w:r w:rsidR="00E41F76" w:rsidRPr="007C12DD">
        <w:rPr>
          <w:lang w:val="en-US"/>
        </w:rPr>
        <w:fldChar w:fldCharType="separate"/>
      </w:r>
      <w:r w:rsidR="00E41F76" w:rsidRPr="007C12DD">
        <w:rPr>
          <w:noProof/>
          <w:lang w:val="en-US"/>
        </w:rPr>
        <w:t>(Bockholt et al., 2020)</w:t>
      </w:r>
      <w:r w:rsidR="00E41F76" w:rsidRPr="007C12DD">
        <w:rPr>
          <w:lang w:val="en-US"/>
        </w:rPr>
        <w:fldChar w:fldCharType="end"/>
      </w:r>
      <w:r w:rsidR="00E41F76" w:rsidRPr="007C12DD">
        <w:rPr>
          <w:lang w:val="en-US"/>
        </w:rPr>
        <w:t xml:space="preserve">. </w:t>
      </w:r>
      <w:r w:rsidRPr="007C12DD">
        <w:rPr>
          <w:lang w:val="en-US"/>
        </w:rPr>
        <w:t>Proces</w:t>
      </w:r>
      <w:r w:rsidR="00F80E66" w:rsidRPr="007C12DD">
        <w:rPr>
          <w:lang w:val="en-US"/>
        </w:rPr>
        <w:t>s manufacturing</w:t>
      </w:r>
      <w:r w:rsidRPr="007C12DD">
        <w:rPr>
          <w:lang w:val="en-US"/>
        </w:rPr>
        <w:t xml:space="preserve">, on the other hand, refers to activities such as mixing, blending, extrusion, chemical reactions, baking and annealing to produce solids, liquids and powders typically delivered in bottles, tanks, bags and buckets </w:t>
      </w:r>
      <w:r w:rsidRPr="007C12DD">
        <w:rPr>
          <w:lang w:val="en-US"/>
        </w:rPr>
        <w:fldChar w:fldCharType="begin" w:fldLock="1"/>
      </w:r>
      <w:r w:rsidR="00D174F0" w:rsidRPr="007C12DD">
        <w:rPr>
          <w:lang w:val="en-US"/>
        </w:rPr>
        <w:instrText>ADDIN CSL_CITATION {"citationItems":[{"id":"ITEM-1","itemData":{"author":[{"dropping-particle":"","family":"King","given":"P.L.","non-dropping-particle":"","parse-names":false,"suffix":""}],"id":"ITEM-1","issued":{"date-parts":[["2009"]]},"publisher":"Taylor &amp; Francis","publisher-place":"New York","title":"Lean for the process industry","type":"book"},"uris":["http://www.mendeley.com/documents/?uuid=218f9fc9-9d50-49b6-9cbf-81a0659fe07c"]}],"mendeley":{"formattedCitation":"(P. L. King, 2009)","manualFormatting":"(King, 2009)","plainTextFormattedCitation":"(P. L. King, 2009)","previouslyFormattedCitation":"(P. L. King, 2009)"},"properties":{"noteIndex":0},"schema":"https://github.com/citation-style-language/schema/raw/master/csl-citation.json"}</w:instrText>
      </w:r>
      <w:r w:rsidRPr="007C12DD">
        <w:rPr>
          <w:lang w:val="en-US"/>
        </w:rPr>
        <w:fldChar w:fldCharType="separate"/>
      </w:r>
      <w:r w:rsidR="004934EA" w:rsidRPr="007C12DD">
        <w:rPr>
          <w:noProof/>
          <w:lang w:val="en-US"/>
        </w:rPr>
        <w:t>(King, 2009)</w:t>
      </w:r>
      <w:r w:rsidRPr="007C12DD">
        <w:rPr>
          <w:lang w:val="en-US"/>
        </w:rPr>
        <w:fldChar w:fldCharType="end"/>
      </w:r>
      <w:r w:rsidRPr="007C12DD">
        <w:rPr>
          <w:lang w:val="en-US"/>
        </w:rPr>
        <w:t xml:space="preserve">. </w:t>
      </w:r>
      <w:r w:rsidR="00116D8E">
        <w:rPr>
          <w:lang w:val="en-US"/>
        </w:rPr>
        <w:t>P</w:t>
      </w:r>
      <w:r w:rsidR="00F80E66" w:rsidRPr="007C12DD">
        <w:rPr>
          <w:lang w:val="en-US"/>
        </w:rPr>
        <w:t xml:space="preserve">rocess </w:t>
      </w:r>
      <w:r w:rsidR="00F80E66" w:rsidRPr="007C12DD">
        <w:rPr>
          <w:lang w:val="en-US"/>
        </w:rPr>
        <w:lastRenderedPageBreak/>
        <w:t>manufacturing</w:t>
      </w:r>
      <w:r w:rsidRPr="007C12DD">
        <w:rPr>
          <w:lang w:val="en-US"/>
        </w:rPr>
        <w:t xml:space="preserve"> typically </w:t>
      </w:r>
      <w:r w:rsidR="00116D8E">
        <w:rPr>
          <w:lang w:val="en-US"/>
        </w:rPr>
        <w:t>creates value by</w:t>
      </w:r>
      <w:r w:rsidRPr="007C12DD">
        <w:rPr>
          <w:lang w:val="en-US"/>
        </w:rPr>
        <w:t xml:space="preserve"> winning back the materials and biological nutrients of used products </w:t>
      </w:r>
      <w:r w:rsidRPr="007C12DD">
        <w:rPr>
          <w:lang w:val="en-US"/>
        </w:rPr>
        <w:fldChar w:fldCharType="begin" w:fldLock="1"/>
      </w:r>
      <w:r w:rsidRPr="007C12DD">
        <w:rPr>
          <w:lang w:val="en-US"/>
        </w:rPr>
        <w:instrText>ADDIN CSL_CITATION {"citationItems":[{"id":"ITEM-1","itemData":{"DOI":"10.1111/jiec.12763","ISSN":"15309290","abstract":"The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Ecology","id":"ITEM-1","issue":"1","issued":{"date-parts":[["2019"]]},"page":"36-61","title":"A Review and Typology of Circular Economy Business Model Patterns","type":"article-journal","volume":"23"},"uris":["http://www.mendeley.com/documents/?uuid=09e98a65-6a20-4942-a4ca-23fd638479f0"]}],"mendeley":{"formattedCitation":"(Lüdeke-Freund et al., 2019)","plainTextFormattedCitation":"(Lüdeke-Freund et al., 2019)","previouslyFormattedCitation":"(Lüdeke-Freund et al., 2019)"},"properties":{"noteIndex":0},"schema":"https://github.com/citation-style-language/schema/raw/master/csl-citation.json"}</w:instrText>
      </w:r>
      <w:r w:rsidRPr="007C12DD">
        <w:rPr>
          <w:lang w:val="en-US"/>
        </w:rPr>
        <w:fldChar w:fldCharType="separate"/>
      </w:r>
      <w:r w:rsidRPr="007C12DD">
        <w:rPr>
          <w:noProof/>
          <w:lang w:val="en-US"/>
        </w:rPr>
        <w:t>(Lüdeke-Freund et al., 2019)</w:t>
      </w:r>
      <w:r w:rsidRPr="007C12DD">
        <w:rPr>
          <w:lang w:val="en-US"/>
        </w:rPr>
        <w:fldChar w:fldCharType="end"/>
      </w:r>
      <w:r w:rsidR="00E41F76" w:rsidRPr="007C12DD">
        <w:rPr>
          <w:lang w:val="en-US"/>
        </w:rPr>
        <w:t xml:space="preserve"> </w:t>
      </w:r>
      <w:r w:rsidR="00116D8E">
        <w:rPr>
          <w:lang w:val="en-US"/>
        </w:rPr>
        <w:t>such as in the case of</w:t>
      </w:r>
      <w:r w:rsidR="00E41F76" w:rsidRPr="007C12DD">
        <w:rPr>
          <w:lang w:val="en-US"/>
        </w:rPr>
        <w:t xml:space="preserve"> industrial symbiosis </w:t>
      </w:r>
      <w:r w:rsidR="00E41F76" w:rsidRPr="007C12DD">
        <w:rPr>
          <w:lang w:val="en-US"/>
        </w:rPr>
        <w:fldChar w:fldCharType="begin" w:fldLock="1"/>
      </w:r>
      <w:r w:rsidR="00AD288E" w:rsidRPr="007C12DD">
        <w:rPr>
          <w:lang w:val="en-US"/>
        </w:rPr>
        <w:instrText>ADDIN CSL_CITATION {"citationItems":[{"id":"ITEM-1","itemData":{"ISBN":"9788772103235","author":[{"dropping-particle":"","family":"Prosman","given":"Ernst Johannes","non-dropping-particle":"","parse-names":false,"suffix":""}],"id":"ITEM-1","issued":{"date-parts":[["2018"]]},"title":"Supply chain capabilities for industrial symbiosis Lessons from the cement industry","type":"book"},"uris":["http://www.mendeley.com/documents/?uuid=2a8b0fd6-3339-4326-a8c0-bd478959770b"]}],"mendeley":{"formattedCitation":"(Prosman, 2018)","plainTextFormattedCitation":"(Prosman, 2018)","previouslyFormattedCitation":"(Prosman, 2018)"},"properties":{"noteIndex":0},"schema":"https://github.com/citation-style-language/schema/raw/master/csl-citation.json"}</w:instrText>
      </w:r>
      <w:r w:rsidR="00E41F76" w:rsidRPr="007C12DD">
        <w:rPr>
          <w:lang w:val="en-US"/>
        </w:rPr>
        <w:fldChar w:fldCharType="separate"/>
      </w:r>
      <w:r w:rsidR="00E41F76" w:rsidRPr="007C12DD">
        <w:rPr>
          <w:noProof/>
          <w:lang w:val="en-US"/>
        </w:rPr>
        <w:t>(Prosman, 2018)</w:t>
      </w:r>
      <w:r w:rsidR="00E41F76" w:rsidRPr="007C12DD">
        <w:rPr>
          <w:lang w:val="en-US"/>
        </w:rPr>
        <w:fldChar w:fldCharType="end"/>
      </w:r>
      <w:r w:rsidR="00E41F76" w:rsidRPr="007C12DD">
        <w:rPr>
          <w:lang w:val="en-US"/>
        </w:rPr>
        <w:t xml:space="preserve">. </w:t>
      </w:r>
      <w:r w:rsidR="00F80E66" w:rsidRPr="007C12DD">
        <w:rPr>
          <w:lang w:val="en-US"/>
        </w:rPr>
        <w:t>The</w:t>
      </w:r>
      <w:r w:rsidR="00E41F76" w:rsidRPr="007C12DD">
        <w:rPr>
          <w:lang w:val="en-US"/>
        </w:rPr>
        <w:t xml:space="preserve"> outputs</w:t>
      </w:r>
      <w:r w:rsidR="00F80E66" w:rsidRPr="007C12DD">
        <w:rPr>
          <w:lang w:val="en-US"/>
        </w:rPr>
        <w:t xml:space="preserve"> of process manufacturing</w:t>
      </w:r>
      <w:r w:rsidR="00E41F76" w:rsidRPr="007C12DD">
        <w:rPr>
          <w:lang w:val="en-US"/>
        </w:rPr>
        <w:t xml:space="preserve"> can be used as inputs for discrete manufacturing</w:t>
      </w:r>
      <w:r w:rsidR="007656C6" w:rsidRPr="007C12DD">
        <w:rPr>
          <w:lang w:val="en-US"/>
        </w:rPr>
        <w:t xml:space="preserve"> (King et al., 2006)</w:t>
      </w:r>
      <w:r w:rsidR="00E41F76" w:rsidRPr="007C12DD">
        <w:rPr>
          <w:lang w:val="en-US"/>
        </w:rPr>
        <w:t xml:space="preserve">, for example </w:t>
      </w:r>
      <w:r w:rsidR="00D538D8">
        <w:rPr>
          <w:lang w:val="en-US"/>
        </w:rPr>
        <w:t>mak</w:t>
      </w:r>
      <w:r w:rsidR="00116D8E">
        <w:rPr>
          <w:lang w:val="en-US"/>
        </w:rPr>
        <w:t>ing</w:t>
      </w:r>
      <w:r w:rsidR="00E41F76" w:rsidRPr="007C12DD">
        <w:rPr>
          <w:lang w:val="en-US"/>
        </w:rPr>
        <w:t xml:space="preserve"> clothing out of recovered yarn.</w:t>
      </w:r>
    </w:p>
    <w:p w14:paraId="162D0CE5" w14:textId="219CA7FF" w:rsidR="00A93DA6" w:rsidRPr="007C12DD" w:rsidRDefault="00A93DA6" w:rsidP="00A93DA6">
      <w:pPr>
        <w:spacing w:after="0"/>
        <w:ind w:firstLine="284"/>
        <w:jc w:val="both"/>
        <w:rPr>
          <w:lang w:val="en-US"/>
        </w:rPr>
      </w:pPr>
      <w:r w:rsidRPr="007C12DD">
        <w:rPr>
          <w:lang w:val="en-US"/>
        </w:rPr>
        <w:t xml:space="preserve">Finally, </w:t>
      </w:r>
      <w:r w:rsidR="00C33BF1" w:rsidRPr="007C12DD">
        <w:rPr>
          <w:lang w:val="en-US"/>
        </w:rPr>
        <w:t>start-ups</w:t>
      </w:r>
      <w:r w:rsidRPr="007C12DD">
        <w:rPr>
          <w:lang w:val="en-US"/>
        </w:rPr>
        <w:t xml:space="preserve"> can create value by transforming the used product</w:t>
      </w:r>
      <w:r w:rsidR="007B5F48">
        <w:rPr>
          <w:lang w:val="en-US"/>
        </w:rPr>
        <w:t>s</w:t>
      </w:r>
      <w:r w:rsidRPr="007C12DD">
        <w:rPr>
          <w:lang w:val="en-US"/>
        </w:rPr>
        <w:t xml:space="preserve"> in different ways. </w:t>
      </w:r>
      <w:r w:rsidR="00265B4D" w:rsidRPr="007C12DD">
        <w:rPr>
          <w:lang w:val="en-US"/>
        </w:rPr>
        <w:t>First, s</w:t>
      </w:r>
      <w:r w:rsidR="008A7140" w:rsidRPr="007C12DD">
        <w:rPr>
          <w:lang w:val="en-US"/>
        </w:rPr>
        <w:t>tart-ups</w:t>
      </w:r>
      <w:r w:rsidRPr="007C12DD">
        <w:rPr>
          <w:lang w:val="en-US"/>
        </w:rPr>
        <w:t xml:space="preserve"> can either upcycle</w:t>
      </w:r>
      <w:r w:rsidR="00C33BF1" w:rsidRPr="007C12DD">
        <w:rPr>
          <w:lang w:val="en-US"/>
        </w:rPr>
        <w:t xml:space="preserve"> or downcycle the used products. Upcycling refers to</w:t>
      </w:r>
      <w:r w:rsidRPr="007C12DD">
        <w:rPr>
          <w:lang w:val="en-US"/>
        </w:rPr>
        <w:t xml:space="preserve"> increas</w:t>
      </w:r>
      <w:r w:rsidR="00C33BF1" w:rsidRPr="007C12DD">
        <w:rPr>
          <w:lang w:val="en-US"/>
        </w:rPr>
        <w:t>ing</w:t>
      </w:r>
      <w:r w:rsidRPr="007C12DD">
        <w:rPr>
          <w:lang w:val="en-US"/>
        </w:rPr>
        <w:t xml:space="preserve"> the value of the </w:t>
      </w:r>
      <w:r w:rsidR="007B5F48">
        <w:rPr>
          <w:lang w:val="en-US"/>
        </w:rPr>
        <w:t xml:space="preserve">used </w:t>
      </w:r>
      <w:r w:rsidRPr="007C12DD">
        <w:rPr>
          <w:lang w:val="en-US"/>
        </w:rPr>
        <w:t>product</w:t>
      </w:r>
      <w:r w:rsidR="007B5F48">
        <w:rPr>
          <w:lang w:val="en-US"/>
        </w:rPr>
        <w:t>s</w:t>
      </w:r>
      <w:r w:rsidRPr="007C12DD">
        <w:rPr>
          <w:lang w:val="en-US"/>
        </w:rPr>
        <w:t xml:space="preserve"> through improving the quality, functionality</w:t>
      </w:r>
      <w:r w:rsidR="00793A9F">
        <w:rPr>
          <w:lang w:val="en-US"/>
        </w:rPr>
        <w:t>,</w:t>
      </w:r>
      <w:r w:rsidRPr="007C12DD">
        <w:rPr>
          <w:lang w:val="en-US"/>
        </w:rPr>
        <w:t xml:space="preserve"> </w:t>
      </w:r>
      <w:r w:rsidR="007B5F48">
        <w:rPr>
          <w:lang w:val="en-US"/>
        </w:rPr>
        <w:t>and/</w:t>
      </w:r>
      <w:r w:rsidRPr="007C12DD">
        <w:rPr>
          <w:lang w:val="en-US"/>
        </w:rPr>
        <w:t>or aesthetic value</w:t>
      </w:r>
      <w:r w:rsidR="00C33BF1" w:rsidRPr="007C12DD">
        <w:rPr>
          <w:lang w:val="en-US"/>
        </w:rPr>
        <w:t>. D</w:t>
      </w:r>
      <w:r w:rsidRPr="007C12DD">
        <w:rPr>
          <w:lang w:val="en-US"/>
        </w:rPr>
        <w:t>owncycl</w:t>
      </w:r>
      <w:r w:rsidR="004934EA" w:rsidRPr="007C12DD">
        <w:rPr>
          <w:lang w:val="en-US"/>
        </w:rPr>
        <w:t>ing</w:t>
      </w:r>
      <w:r w:rsidRPr="007C12DD">
        <w:rPr>
          <w:lang w:val="en-US"/>
        </w:rPr>
        <w:t xml:space="preserve"> </w:t>
      </w:r>
      <w:r w:rsidR="00C33BF1" w:rsidRPr="007C12DD">
        <w:rPr>
          <w:lang w:val="en-US"/>
        </w:rPr>
        <w:t xml:space="preserve">refers </w:t>
      </w:r>
      <w:r w:rsidR="007656C6" w:rsidRPr="007C12DD">
        <w:rPr>
          <w:lang w:val="en-US"/>
        </w:rPr>
        <w:t>to decreasing the value</w:t>
      </w:r>
      <w:r w:rsidR="007B5F48">
        <w:rPr>
          <w:lang w:val="en-US"/>
        </w:rPr>
        <w:t xml:space="preserve"> of the used product</w:t>
      </w:r>
      <w:r w:rsidR="007656C6" w:rsidRPr="007C12DD">
        <w:rPr>
          <w:lang w:val="en-US"/>
        </w:rPr>
        <w:t xml:space="preserve"> </w:t>
      </w:r>
      <w:r w:rsidRPr="007C12DD">
        <w:rPr>
          <w:lang w:val="en-US"/>
        </w:rPr>
        <w:fldChar w:fldCharType="begin" w:fldLock="1"/>
      </w:r>
      <w:r w:rsidRPr="007C12DD">
        <w:rPr>
          <w:lang w:val="en-US"/>
        </w:rPr>
        <w:instrText>ADDIN CSL_CITATION {"citationItems":[{"id":"ITEM-1","itemData":{"DOI":"10.1111/jiec.12763","ISSN":"15309290","abstract":"The circular economy (CE) requires companies to rethink their supply chains and business models. Several frameworks found in the academic and practitioner literature propose circular economy business models (CEBMs) to redefine how companies create value while adhering to CE principles. A review of these frameworks shows that some models are frequently discussed, some are framework specific, and some use a different wording to refer to similar CEBMs, pointing to the need to consolidate the current state of the art. We conduct a morphological analysis of 26 current CEBMs from the literature, which includes defining their major business model dimensions and identifying the specific characteristics of these dimensions. Based on this analysis, we identify a broad range of business model design options and propose six major CEBM patterns with the potential to support the closing of resource flows: repair and maintenance; reuse and redistribution; refurbishment and remanufacturing; recycling; cascading and repurposing; and organic feedstock business model patterns. We also discuss different design strategies to support the development of these CEBMs.","author":[{"dropping-particle":"","family":"Lüdeke-Freund","given":"Florian","non-dropping-particle":"","parse-names":false,"suffix":""},{"dropping-particle":"","family":"Gold","given":"Stefan","non-dropping-particle":"","parse-names":false,"suffix":""},{"dropping-particle":"","family":"Bocken","given":"Nancy M.P.","non-dropping-particle":"","parse-names":false,"suffix":""}],"container-title":"Journal of Industrial Ecology","id":"ITEM-1","issue":"1","issued":{"date-parts":[["2019"]]},"page":"36-61","title":"A Review and Typology of Circular Economy Business Model Patterns","type":"article-journal","volume":"23"},"uris":["http://www.mendeley.com/documents/?uuid=09e98a65-6a20-4942-a4ca-23fd638479f0"]},{"id":"ITEM-2","itemData":{"author":[{"dropping-particle":"","family":"McDonough","given":"W.","non-dropping-particle":"","parse-names":false,"suffix":""},{"dropping-particle":"","family":"Braungart","given":"M.","non-dropping-particle":"","parse-names":false,"suffix":""}],"id":"ITEM-2","issued":{"date-parts":[["2013"]]},"publisher":"North Point","publisher-place":"New York","title":"The Upcycle","type":"book"},"uris":["http://www.mendeley.com/documents/?uuid=91f3fe09-6d5f-4cfa-82b1-105c55107a7d"]}],"mendeley":{"formattedCitation":"(Lüdeke-Freund et al., 2019; McDonough &amp; Braungart, 2013)","manualFormatting":"(Lüdeke-Freund et al., 2019; McDonough and Braungart, 2013)","plainTextFormattedCitation":"(Lüdeke-Freund et al., 2019; McDonough &amp; Braungart, 2013)","previouslyFormattedCitation":"(Lüdeke-Freund et al., 2019; McDonough &amp; Braungart, 2013)"},"properties":{"noteIndex":0},"schema":"https://github.com/citation-style-language/schema/raw/master/csl-citation.json"}</w:instrText>
      </w:r>
      <w:r w:rsidRPr="007C12DD">
        <w:rPr>
          <w:lang w:val="en-US"/>
        </w:rPr>
        <w:fldChar w:fldCharType="separate"/>
      </w:r>
      <w:r w:rsidRPr="007C12DD">
        <w:rPr>
          <w:noProof/>
          <w:lang w:val="en-US"/>
        </w:rPr>
        <w:t>(Lüdeke-Freund et al., 2019; McDonough and Braungart, 2013)</w:t>
      </w:r>
      <w:r w:rsidRPr="007C12DD">
        <w:rPr>
          <w:lang w:val="en-US"/>
        </w:rPr>
        <w:fldChar w:fldCharType="end"/>
      </w:r>
      <w:r w:rsidRPr="007C12DD">
        <w:rPr>
          <w:lang w:val="en-US"/>
        </w:rPr>
        <w:t xml:space="preserve">. </w:t>
      </w:r>
      <w:r w:rsidR="00265B4D" w:rsidRPr="007C12DD">
        <w:rPr>
          <w:lang w:val="en-US"/>
        </w:rPr>
        <w:t>Second, t</w:t>
      </w:r>
      <w:r w:rsidRPr="007C12DD">
        <w:rPr>
          <w:lang w:val="en-US"/>
        </w:rPr>
        <w:t>he transformed product can</w:t>
      </w:r>
      <w:r w:rsidR="00106DAB" w:rsidRPr="007C12DD">
        <w:rPr>
          <w:lang w:val="en-US"/>
        </w:rPr>
        <w:t xml:space="preserve"> either</w:t>
      </w:r>
      <w:r w:rsidRPr="007C12DD">
        <w:rPr>
          <w:lang w:val="en-US"/>
        </w:rPr>
        <w:t xml:space="preserve"> </w:t>
      </w:r>
      <w:r w:rsidR="007656C6" w:rsidRPr="007C12DD">
        <w:rPr>
          <w:lang w:val="en-US"/>
        </w:rPr>
        <w:t>keep</w:t>
      </w:r>
      <w:r w:rsidR="007B5F48">
        <w:rPr>
          <w:lang w:val="en-US"/>
        </w:rPr>
        <w:t xml:space="preserve"> or change</w:t>
      </w:r>
      <w:r w:rsidR="007656C6" w:rsidRPr="007C12DD">
        <w:rPr>
          <w:lang w:val="en-US"/>
        </w:rPr>
        <w:t xml:space="preserve"> its original</w:t>
      </w:r>
      <w:r w:rsidRPr="007C12DD">
        <w:rPr>
          <w:lang w:val="en-US"/>
        </w:rPr>
        <w:t xml:space="preserve"> function. For instance, transforming used clothing into stuffing is an example of downcycling used products into products with a different function. Transforming used polyethylene terephthalate (PET) bottles or ocean plastics into textiles is an example of upcycling used products into products with a different function </w:t>
      </w:r>
      <w:r w:rsidRPr="007C12DD">
        <w:rPr>
          <w:lang w:val="en-US"/>
        </w:rPr>
        <w:fldChar w:fldCharType="begin" w:fldLock="1"/>
      </w:r>
      <w:r w:rsidR="00E41F76" w:rsidRPr="007C12DD">
        <w:rPr>
          <w:lang w:val="en-US"/>
        </w:rPr>
        <w:instrText>ADDIN CSL_CITATION {"citationItems":[{"id":"ITEM-1","itemData":{"author":[{"dropping-particle":"","family":"McDonough","given":"W.","non-dropping-particle":"","parse-names":false,"suffix":""},{"dropping-particle":"","family":"Braungart","given":"M.","non-dropping-particle":"","parse-names":false,"suffix":""}],"id":"ITEM-1","issued":{"date-parts":[["2013"]]},"publisher":"North Point","publisher-place":"New York","title":"The Upcycle","type":"book"},"uris":["http://www.mendeley.com/documents/?uuid=91f3fe09-6d5f-4cfa-82b1-105c55107a7d"]}],"mendeley":{"formattedCitation":"(McDonough &amp; Braungart, 2013)","manualFormatting":"(McDonough and Braungart, 2013)","plainTextFormattedCitation":"(McDonough &amp; Braungart, 2013)","previouslyFormattedCitation":"(McDonough &amp; Braungart, 2013)"},"properties":{"noteIndex":0},"schema":"https://github.com/citation-style-language/schema/raw/master/csl-citation.json"}</w:instrText>
      </w:r>
      <w:r w:rsidRPr="007C12DD">
        <w:rPr>
          <w:lang w:val="en-US"/>
        </w:rPr>
        <w:fldChar w:fldCharType="separate"/>
      </w:r>
      <w:r w:rsidRPr="007C12DD">
        <w:rPr>
          <w:noProof/>
          <w:lang w:val="en-US"/>
        </w:rPr>
        <w:t>(McDonough and Braungart, 2013)</w:t>
      </w:r>
      <w:r w:rsidRPr="007C12DD">
        <w:rPr>
          <w:lang w:val="en-US"/>
        </w:rPr>
        <w:fldChar w:fldCharType="end"/>
      </w:r>
      <w:r w:rsidRPr="007C12DD">
        <w:rPr>
          <w:lang w:val="en-US"/>
        </w:rPr>
        <w:t>.</w:t>
      </w:r>
    </w:p>
    <w:p w14:paraId="59547D24" w14:textId="329A5E5A" w:rsidR="00A93DA6" w:rsidRPr="005359EE" w:rsidRDefault="00A93DA6" w:rsidP="00A93DA6">
      <w:pPr>
        <w:spacing w:after="0"/>
        <w:ind w:firstLine="284"/>
        <w:jc w:val="both"/>
        <w:rPr>
          <w:lang w:val="en-GB"/>
        </w:rPr>
      </w:pPr>
      <w:r w:rsidRPr="007C12DD">
        <w:rPr>
          <w:lang w:val="en-US"/>
        </w:rPr>
        <w:t>Fig</w:t>
      </w:r>
      <w:r w:rsidR="00D4037A">
        <w:rPr>
          <w:lang w:val="en-US"/>
        </w:rPr>
        <w:t>.</w:t>
      </w:r>
      <w:r w:rsidRPr="007C12DD">
        <w:rPr>
          <w:lang w:val="en-US"/>
        </w:rPr>
        <w:t xml:space="preserve"> </w:t>
      </w:r>
      <w:r w:rsidR="004934EA" w:rsidRPr="007C12DD">
        <w:rPr>
          <w:lang w:val="en-US"/>
        </w:rPr>
        <w:t>1</w:t>
      </w:r>
      <w:r w:rsidRPr="007C12DD">
        <w:rPr>
          <w:lang w:val="en-US"/>
        </w:rPr>
        <w:t xml:space="preserve"> summarizes </w:t>
      </w:r>
      <w:r w:rsidR="00251967" w:rsidRPr="007C12DD">
        <w:rPr>
          <w:lang w:val="en-US"/>
        </w:rPr>
        <w:t xml:space="preserve">the manufacturing elements </w:t>
      </w:r>
      <w:r w:rsidR="00D174F0" w:rsidRPr="007C12DD">
        <w:rPr>
          <w:lang w:val="en-US"/>
        </w:rPr>
        <w:t>used to create value in</w:t>
      </w:r>
      <w:r w:rsidR="00251967" w:rsidRPr="007C12DD">
        <w:rPr>
          <w:lang w:val="en-US"/>
        </w:rPr>
        <w:t xml:space="preserve"> CBMs.</w:t>
      </w:r>
      <w:r w:rsidRPr="007C12DD">
        <w:rPr>
          <w:lang w:val="en-US"/>
        </w:rPr>
        <w:t xml:space="preserve"> </w:t>
      </w:r>
      <w:r w:rsidRPr="005359EE">
        <w:rPr>
          <w:lang w:val="en-US"/>
        </w:rPr>
        <w:fldChar w:fldCharType="begin" w:fldLock="1"/>
      </w:r>
      <w:r w:rsidRPr="005359EE">
        <w:rPr>
          <w:lang w:val="en-US"/>
        </w:rPr>
        <w:instrText>ADDIN CSL_CITATION {"citationItems":[{"id":"ITEM-1","itemData":{"DOI":"10.1097/00006534-200002000-00083","ISSN":"00321052","PMID":"10697218","author":[{"dropping-particle":"","family":"Massa","given":"Lorenzo","non-dropping-particle":"","parse-names":false,"suffix":""},{"dropping-particle":"","family":"Tucci","given":"C.","non-dropping-particle":"","parse-names":false,"suffix":""},{"dropping-particle":"","family":"Afuah","given":"A.","non-dropping-particle":"","parse-names":false,"suffix":""}],"container-title":"Academy of Management Annals","id":"ITEM-1","issue":"1","issued":{"date-parts":[["2017"]]},"page":"73-104","title":"A critical assessment of business model research","type":"article-journal","volume":"11"},"uris":["http://www.mendeley.com/documents/?uuid=696cc142-6bb8-4100-9e72-dedda63fd24d"]}],"mendeley":{"formattedCitation":"(Massa et al., 2017)","manualFormatting":"Massa et al. (2017)","plainTextFormattedCitation":"(Massa et al., 2017)","previouslyFormattedCitation":"(Massa et al., 2017)"},"properties":{"noteIndex":0},"schema":"https://github.com/citation-style-language/schema/raw/master/csl-citation.json"}</w:instrText>
      </w:r>
      <w:r w:rsidRPr="005359EE">
        <w:rPr>
          <w:lang w:val="en-US"/>
        </w:rPr>
        <w:fldChar w:fldCharType="separate"/>
      </w:r>
      <w:r w:rsidRPr="005359EE">
        <w:rPr>
          <w:noProof/>
          <w:lang w:val="en-GB"/>
        </w:rPr>
        <w:t>Massa et al. (2017)</w:t>
      </w:r>
      <w:r w:rsidRPr="005359EE">
        <w:rPr>
          <w:lang w:val="en-US"/>
        </w:rPr>
        <w:fldChar w:fldCharType="end"/>
      </w:r>
      <w:r w:rsidRPr="005359EE">
        <w:rPr>
          <w:lang w:val="en-GB"/>
        </w:rPr>
        <w:t xml:space="preserve"> argue that </w:t>
      </w:r>
      <w:r w:rsidR="004934EA" w:rsidRPr="005359EE">
        <w:rPr>
          <w:lang w:val="en-GB"/>
        </w:rPr>
        <w:t>configurations</w:t>
      </w:r>
      <w:r w:rsidRPr="005359EE">
        <w:rPr>
          <w:lang w:val="en-GB"/>
        </w:rPr>
        <w:t xml:space="preserve"> of business model</w:t>
      </w:r>
      <w:r w:rsidR="004934EA" w:rsidRPr="005359EE">
        <w:rPr>
          <w:lang w:val="en-GB"/>
        </w:rPr>
        <w:t xml:space="preserve"> elements </w:t>
      </w:r>
      <w:r w:rsidRPr="005359EE">
        <w:rPr>
          <w:lang w:val="en-GB"/>
        </w:rPr>
        <w:t>– i.e.</w:t>
      </w:r>
      <w:r w:rsidR="007C72DF">
        <w:rPr>
          <w:lang w:val="en-GB"/>
        </w:rPr>
        <w:t>,</w:t>
      </w:r>
      <w:r w:rsidRPr="005359EE">
        <w:rPr>
          <w:lang w:val="en-GB"/>
        </w:rPr>
        <w:t xml:space="preserve"> typical</w:t>
      </w:r>
      <w:r w:rsidR="00FF5392">
        <w:rPr>
          <w:lang w:val="en-GB"/>
        </w:rPr>
        <w:t xml:space="preserve"> combinations of business model elements</w:t>
      </w:r>
      <w:r w:rsidRPr="005359EE">
        <w:rPr>
          <w:lang w:val="en-GB"/>
        </w:rPr>
        <w:t xml:space="preserve"> – are useful as </w:t>
      </w:r>
      <w:r w:rsidR="00D725AD" w:rsidRPr="005359EE">
        <w:rPr>
          <w:lang w:val="en-GB"/>
        </w:rPr>
        <w:t>they</w:t>
      </w:r>
      <w:r w:rsidRPr="005359EE">
        <w:rPr>
          <w:lang w:val="en-GB"/>
        </w:rPr>
        <w:t xml:space="preserve"> allow other </w:t>
      </w:r>
      <w:r w:rsidR="00116D8E">
        <w:rPr>
          <w:lang w:val="en-GB"/>
        </w:rPr>
        <w:t>firms</w:t>
      </w:r>
      <w:r w:rsidR="00116D8E" w:rsidRPr="005359EE">
        <w:rPr>
          <w:lang w:val="en-GB"/>
        </w:rPr>
        <w:t xml:space="preserve"> </w:t>
      </w:r>
      <w:r w:rsidRPr="005359EE">
        <w:rPr>
          <w:lang w:val="en-GB"/>
        </w:rPr>
        <w:t xml:space="preserve">to mimic or configure their business model. Therefore, insights into </w:t>
      </w:r>
      <w:r w:rsidR="00251967" w:rsidRPr="005359EE">
        <w:rPr>
          <w:lang w:val="en-GB"/>
        </w:rPr>
        <w:t>manufacturing</w:t>
      </w:r>
      <w:r w:rsidRPr="005359EE">
        <w:rPr>
          <w:lang w:val="en-GB"/>
        </w:rPr>
        <w:t xml:space="preserve"> </w:t>
      </w:r>
      <w:r w:rsidR="004934EA" w:rsidRPr="005359EE">
        <w:rPr>
          <w:lang w:val="en-GB"/>
        </w:rPr>
        <w:t>configurations</w:t>
      </w:r>
      <w:r w:rsidRPr="005359EE">
        <w:rPr>
          <w:lang w:val="en-GB"/>
        </w:rPr>
        <w:t xml:space="preserve"> of successful circular </w:t>
      </w:r>
      <w:r w:rsidR="004934EA" w:rsidRPr="005359EE">
        <w:rPr>
          <w:lang w:val="en-GB"/>
        </w:rPr>
        <w:t>CBMs</w:t>
      </w:r>
      <w:r w:rsidRPr="005359EE">
        <w:rPr>
          <w:lang w:val="en-GB"/>
        </w:rPr>
        <w:t xml:space="preserve"> allow </w:t>
      </w:r>
      <w:r w:rsidR="00251967" w:rsidRPr="005359EE">
        <w:rPr>
          <w:lang w:val="en-GB"/>
        </w:rPr>
        <w:t xml:space="preserve">other </w:t>
      </w:r>
      <w:r w:rsidRPr="005359EE">
        <w:rPr>
          <w:lang w:val="en-GB"/>
        </w:rPr>
        <w:t xml:space="preserve">firms to mimic successful </w:t>
      </w:r>
      <w:r w:rsidR="00251967" w:rsidRPr="005359EE">
        <w:rPr>
          <w:lang w:val="en-GB"/>
        </w:rPr>
        <w:t>manufacturing</w:t>
      </w:r>
      <w:r w:rsidRPr="005359EE">
        <w:rPr>
          <w:lang w:val="en-GB"/>
        </w:rPr>
        <w:t xml:space="preserve"> configurations, thereby enabling a faster transition towards </w:t>
      </w:r>
      <w:r w:rsidR="00C36CBE" w:rsidRPr="005359EE">
        <w:rPr>
          <w:lang w:val="en-GB"/>
        </w:rPr>
        <w:t>the</w:t>
      </w:r>
      <w:r w:rsidRPr="005359EE">
        <w:rPr>
          <w:lang w:val="en-GB"/>
        </w:rPr>
        <w:t xml:space="preserve"> circular economy. Since the </w:t>
      </w:r>
      <w:r w:rsidR="00251967" w:rsidRPr="005359EE">
        <w:rPr>
          <w:lang w:val="en-GB"/>
        </w:rPr>
        <w:t>manufacturing</w:t>
      </w:r>
      <w:r w:rsidRPr="005359EE">
        <w:rPr>
          <w:lang w:val="en-GB"/>
        </w:rPr>
        <w:t xml:space="preserve"> </w:t>
      </w:r>
      <w:r w:rsidR="004934EA" w:rsidRPr="005359EE">
        <w:rPr>
          <w:lang w:val="en-GB"/>
        </w:rPr>
        <w:t>configurations</w:t>
      </w:r>
      <w:r w:rsidRPr="005359EE">
        <w:rPr>
          <w:lang w:val="en-GB"/>
        </w:rPr>
        <w:t xml:space="preserve"> of successful </w:t>
      </w:r>
      <w:r w:rsidR="004934EA" w:rsidRPr="005359EE">
        <w:rPr>
          <w:lang w:val="en-GB"/>
        </w:rPr>
        <w:t>CBMs</w:t>
      </w:r>
      <w:r w:rsidRPr="005359EE">
        <w:rPr>
          <w:lang w:val="en-GB"/>
        </w:rPr>
        <w:t xml:space="preserve"> are unknown, our first research question is:</w:t>
      </w:r>
    </w:p>
    <w:p w14:paraId="579EFD5D" w14:textId="77777777" w:rsidR="00C36CBE" w:rsidRPr="005359EE" w:rsidRDefault="00C36CBE" w:rsidP="000F6D5B">
      <w:pPr>
        <w:spacing w:after="0"/>
        <w:jc w:val="both"/>
        <w:rPr>
          <w:lang w:val="en-GB"/>
        </w:rPr>
      </w:pPr>
    </w:p>
    <w:p w14:paraId="6B8CE096" w14:textId="1A04B859" w:rsidR="00A93DA6" w:rsidRPr="007C12DD" w:rsidRDefault="00A93DA6" w:rsidP="00A93DA6">
      <w:pPr>
        <w:spacing w:after="0"/>
        <w:jc w:val="both"/>
        <w:rPr>
          <w:i/>
          <w:iCs/>
          <w:lang w:val="en-US"/>
        </w:rPr>
      </w:pPr>
      <w:r w:rsidRPr="007C12DD">
        <w:rPr>
          <w:lang w:val="en-US"/>
        </w:rPr>
        <w:t xml:space="preserve">RQ1. </w:t>
      </w:r>
      <w:r w:rsidRPr="007C12DD">
        <w:rPr>
          <w:i/>
          <w:iCs/>
          <w:lang w:val="en-US"/>
        </w:rPr>
        <w:t xml:space="preserve">Which </w:t>
      </w:r>
      <w:r w:rsidR="00251967" w:rsidRPr="007C12DD">
        <w:rPr>
          <w:i/>
          <w:iCs/>
          <w:lang w:val="en-US"/>
        </w:rPr>
        <w:t>manufacturing configurations characterize the CBMs of</w:t>
      </w:r>
      <w:r w:rsidRPr="007C12DD">
        <w:rPr>
          <w:i/>
          <w:iCs/>
          <w:lang w:val="en-US"/>
        </w:rPr>
        <w:t xml:space="preserve"> successful circular start</w:t>
      </w:r>
      <w:r w:rsidR="0087600B" w:rsidRPr="007C12DD">
        <w:rPr>
          <w:i/>
          <w:iCs/>
          <w:lang w:val="en-US"/>
        </w:rPr>
        <w:t>-</w:t>
      </w:r>
      <w:r w:rsidRPr="007C12DD">
        <w:rPr>
          <w:i/>
          <w:iCs/>
          <w:lang w:val="en-US"/>
        </w:rPr>
        <w:t>ups?</w:t>
      </w:r>
    </w:p>
    <w:p w14:paraId="4220F5D0" w14:textId="77777777" w:rsidR="00D174F0" w:rsidRPr="007C12DD" w:rsidRDefault="00D174F0" w:rsidP="00A93DA6">
      <w:pPr>
        <w:spacing w:after="0"/>
        <w:jc w:val="both"/>
        <w:rPr>
          <w:i/>
          <w:iCs/>
          <w:lang w:val="en-US"/>
        </w:rPr>
      </w:pPr>
    </w:p>
    <w:tbl>
      <w:tblPr>
        <w:tblStyle w:val="TableGrid"/>
        <w:tblW w:w="0" w:type="auto"/>
        <w:tblLook w:val="04A0" w:firstRow="1" w:lastRow="0" w:firstColumn="1" w:lastColumn="0" w:noHBand="0" w:noVBand="1"/>
      </w:tblPr>
      <w:tblGrid>
        <w:gridCol w:w="2268"/>
        <w:gridCol w:w="3401"/>
        <w:gridCol w:w="3401"/>
      </w:tblGrid>
      <w:tr w:rsidR="00A93DA6" w:rsidRPr="005359EE" w14:paraId="233FA3A4" w14:textId="77777777" w:rsidTr="000F6D5B">
        <w:tc>
          <w:tcPr>
            <w:tcW w:w="9070" w:type="dxa"/>
            <w:gridSpan w:val="3"/>
            <w:tcBorders>
              <w:top w:val="nil"/>
              <w:left w:val="nil"/>
              <w:bottom w:val="nil"/>
              <w:right w:val="nil"/>
            </w:tcBorders>
          </w:tcPr>
          <w:p w14:paraId="1E7C57C3" w14:textId="158ACE8B" w:rsidR="00A93DA6" w:rsidRPr="005359EE" w:rsidRDefault="00D174F0" w:rsidP="00861F97">
            <w:pPr>
              <w:jc w:val="center"/>
              <w:rPr>
                <w:b/>
                <w:bCs/>
                <w:sz w:val="16"/>
                <w:szCs w:val="16"/>
                <w:lang w:val="en-US"/>
              </w:rPr>
            </w:pPr>
            <w:r w:rsidRPr="005359EE">
              <w:rPr>
                <w:b/>
                <w:bCs/>
                <w:sz w:val="16"/>
                <w:szCs w:val="16"/>
                <w:lang w:val="en-US"/>
              </w:rPr>
              <w:t>Manufacturing elements</w:t>
            </w:r>
          </w:p>
        </w:tc>
      </w:tr>
      <w:tr w:rsidR="00A93DA6" w:rsidRPr="005359EE" w14:paraId="6AC1604E" w14:textId="77777777" w:rsidTr="000F6D5B">
        <w:tc>
          <w:tcPr>
            <w:tcW w:w="2268" w:type="dxa"/>
            <w:tcBorders>
              <w:top w:val="nil"/>
              <w:left w:val="nil"/>
              <w:bottom w:val="single" w:sz="4" w:space="0" w:color="auto"/>
              <w:right w:val="nil"/>
            </w:tcBorders>
          </w:tcPr>
          <w:p w14:paraId="5B758F36" w14:textId="7A5A6371" w:rsidR="00A93DA6" w:rsidRPr="005359EE" w:rsidRDefault="00A93DA6" w:rsidP="00861F97">
            <w:pPr>
              <w:jc w:val="both"/>
              <w:rPr>
                <w:i/>
                <w:iCs/>
                <w:sz w:val="16"/>
                <w:szCs w:val="16"/>
                <w:lang w:val="en-US"/>
              </w:rPr>
            </w:pPr>
            <w:r w:rsidRPr="005359EE">
              <w:rPr>
                <w:i/>
                <w:iCs/>
                <w:sz w:val="16"/>
                <w:szCs w:val="16"/>
                <w:lang w:val="en-US"/>
              </w:rPr>
              <w:t>Pre-manufacturing</w:t>
            </w:r>
            <w:r w:rsidR="00C36CBE" w:rsidRPr="005359EE">
              <w:rPr>
                <w:i/>
                <w:iCs/>
                <w:sz w:val="16"/>
                <w:szCs w:val="16"/>
                <w:lang w:val="en-US"/>
              </w:rPr>
              <w:t xml:space="preserve"> activities</w:t>
            </w:r>
          </w:p>
        </w:tc>
        <w:tc>
          <w:tcPr>
            <w:tcW w:w="3401" w:type="dxa"/>
            <w:tcBorders>
              <w:top w:val="nil"/>
              <w:left w:val="nil"/>
              <w:bottom w:val="single" w:sz="4" w:space="0" w:color="auto"/>
              <w:right w:val="nil"/>
            </w:tcBorders>
          </w:tcPr>
          <w:p w14:paraId="4803F324" w14:textId="77777777" w:rsidR="00A93DA6" w:rsidRPr="005359EE" w:rsidRDefault="00A93DA6" w:rsidP="00861F97">
            <w:pPr>
              <w:jc w:val="both"/>
              <w:rPr>
                <w:i/>
                <w:iCs/>
                <w:sz w:val="16"/>
                <w:szCs w:val="16"/>
                <w:lang w:val="en-US"/>
              </w:rPr>
            </w:pPr>
            <w:r w:rsidRPr="005359EE">
              <w:rPr>
                <w:i/>
                <w:iCs/>
                <w:sz w:val="16"/>
                <w:szCs w:val="16"/>
                <w:lang w:val="en-US"/>
              </w:rPr>
              <w:t>Manufacturing type</w:t>
            </w:r>
          </w:p>
        </w:tc>
        <w:tc>
          <w:tcPr>
            <w:tcW w:w="3401" w:type="dxa"/>
            <w:tcBorders>
              <w:top w:val="nil"/>
              <w:left w:val="nil"/>
              <w:bottom w:val="single" w:sz="4" w:space="0" w:color="auto"/>
              <w:right w:val="nil"/>
            </w:tcBorders>
          </w:tcPr>
          <w:p w14:paraId="5A9394D4" w14:textId="77777777" w:rsidR="00A93DA6" w:rsidRPr="005359EE" w:rsidRDefault="00A93DA6" w:rsidP="00861F97">
            <w:pPr>
              <w:jc w:val="both"/>
              <w:rPr>
                <w:i/>
                <w:iCs/>
                <w:sz w:val="16"/>
                <w:szCs w:val="16"/>
                <w:lang w:val="en-US"/>
              </w:rPr>
            </w:pPr>
            <w:r w:rsidRPr="005359EE">
              <w:rPr>
                <w:i/>
                <w:iCs/>
                <w:sz w:val="16"/>
                <w:szCs w:val="16"/>
                <w:lang w:val="en-US"/>
              </w:rPr>
              <w:t>Product transformation</w:t>
            </w:r>
          </w:p>
        </w:tc>
      </w:tr>
      <w:tr w:rsidR="00A93DA6" w:rsidRPr="005359EE" w14:paraId="067F85F3" w14:textId="77777777" w:rsidTr="000F6D5B">
        <w:tc>
          <w:tcPr>
            <w:tcW w:w="2268" w:type="dxa"/>
            <w:tcBorders>
              <w:top w:val="single" w:sz="4" w:space="0" w:color="auto"/>
              <w:left w:val="nil"/>
              <w:bottom w:val="nil"/>
              <w:right w:val="nil"/>
            </w:tcBorders>
          </w:tcPr>
          <w:p w14:paraId="179881A1" w14:textId="77777777" w:rsidR="00A93DA6" w:rsidRPr="005359EE" w:rsidRDefault="00A93DA6" w:rsidP="00861F97">
            <w:pPr>
              <w:rPr>
                <w:sz w:val="16"/>
                <w:szCs w:val="16"/>
                <w:lang w:val="en-US"/>
              </w:rPr>
            </w:pPr>
            <w:r w:rsidRPr="005359EE">
              <w:rPr>
                <w:sz w:val="16"/>
                <w:szCs w:val="16"/>
                <w:lang w:val="en-US"/>
              </w:rPr>
              <w:t>Manual sorting and grading</w:t>
            </w:r>
          </w:p>
        </w:tc>
        <w:tc>
          <w:tcPr>
            <w:tcW w:w="3401" w:type="dxa"/>
            <w:tcBorders>
              <w:top w:val="single" w:sz="4" w:space="0" w:color="auto"/>
              <w:left w:val="nil"/>
              <w:bottom w:val="nil"/>
              <w:right w:val="nil"/>
            </w:tcBorders>
          </w:tcPr>
          <w:p w14:paraId="50B1C98A" w14:textId="77777777" w:rsidR="00A93DA6" w:rsidRPr="005359EE" w:rsidRDefault="00A93DA6" w:rsidP="00861F97">
            <w:pPr>
              <w:ind w:left="184" w:hanging="184"/>
              <w:rPr>
                <w:sz w:val="16"/>
                <w:szCs w:val="16"/>
                <w:lang w:val="en-US"/>
              </w:rPr>
            </w:pPr>
            <w:r w:rsidRPr="005359EE">
              <w:rPr>
                <w:sz w:val="16"/>
                <w:szCs w:val="16"/>
                <w:lang w:val="en-US"/>
              </w:rPr>
              <w:t>Discrete (standardized)</w:t>
            </w:r>
          </w:p>
        </w:tc>
        <w:tc>
          <w:tcPr>
            <w:tcW w:w="3401" w:type="dxa"/>
            <w:tcBorders>
              <w:top w:val="single" w:sz="4" w:space="0" w:color="auto"/>
              <w:left w:val="nil"/>
              <w:bottom w:val="nil"/>
              <w:right w:val="nil"/>
            </w:tcBorders>
          </w:tcPr>
          <w:p w14:paraId="4F8D9AFC" w14:textId="77777777" w:rsidR="00A93DA6" w:rsidRPr="005359EE" w:rsidRDefault="00A93DA6" w:rsidP="00861F97">
            <w:pPr>
              <w:rPr>
                <w:sz w:val="16"/>
                <w:szCs w:val="16"/>
                <w:lang w:val="en-US"/>
              </w:rPr>
            </w:pPr>
            <w:r w:rsidRPr="005359EE">
              <w:rPr>
                <w:sz w:val="16"/>
                <w:szCs w:val="16"/>
                <w:lang w:val="en-US"/>
              </w:rPr>
              <w:t xml:space="preserve">Same function – upcycling </w:t>
            </w:r>
          </w:p>
        </w:tc>
      </w:tr>
      <w:tr w:rsidR="00A93DA6" w:rsidRPr="005359EE" w14:paraId="63DF3307" w14:textId="77777777" w:rsidTr="000F6D5B">
        <w:tc>
          <w:tcPr>
            <w:tcW w:w="2268" w:type="dxa"/>
            <w:tcBorders>
              <w:top w:val="nil"/>
              <w:left w:val="nil"/>
              <w:bottom w:val="nil"/>
              <w:right w:val="nil"/>
            </w:tcBorders>
          </w:tcPr>
          <w:p w14:paraId="65426AEE" w14:textId="77777777" w:rsidR="00A93DA6" w:rsidRPr="005359EE" w:rsidRDefault="00A93DA6" w:rsidP="00861F97">
            <w:pPr>
              <w:rPr>
                <w:sz w:val="16"/>
                <w:szCs w:val="16"/>
                <w:lang w:val="en-US"/>
              </w:rPr>
            </w:pPr>
            <w:r w:rsidRPr="005359EE">
              <w:rPr>
                <w:sz w:val="16"/>
                <w:szCs w:val="16"/>
                <w:lang w:val="en-US"/>
              </w:rPr>
              <w:t>Automated sorting and grading</w:t>
            </w:r>
          </w:p>
        </w:tc>
        <w:tc>
          <w:tcPr>
            <w:tcW w:w="3401" w:type="dxa"/>
            <w:tcBorders>
              <w:top w:val="nil"/>
              <w:left w:val="nil"/>
              <w:bottom w:val="nil"/>
              <w:right w:val="nil"/>
            </w:tcBorders>
          </w:tcPr>
          <w:p w14:paraId="400D1A62" w14:textId="77777777" w:rsidR="00A93DA6" w:rsidRPr="005359EE" w:rsidRDefault="00A93DA6" w:rsidP="00861F97">
            <w:pPr>
              <w:ind w:left="184" w:hanging="184"/>
              <w:rPr>
                <w:sz w:val="16"/>
                <w:szCs w:val="16"/>
                <w:lang w:val="en-US"/>
              </w:rPr>
            </w:pPr>
            <w:r w:rsidRPr="005359EE">
              <w:rPr>
                <w:sz w:val="16"/>
                <w:szCs w:val="16"/>
                <w:lang w:val="en-US"/>
              </w:rPr>
              <w:t>Discrete (customized)</w:t>
            </w:r>
          </w:p>
        </w:tc>
        <w:tc>
          <w:tcPr>
            <w:tcW w:w="3401" w:type="dxa"/>
            <w:tcBorders>
              <w:top w:val="nil"/>
              <w:left w:val="nil"/>
              <w:bottom w:val="nil"/>
              <w:right w:val="nil"/>
            </w:tcBorders>
          </w:tcPr>
          <w:p w14:paraId="51B9E6FC" w14:textId="77777777" w:rsidR="00A93DA6" w:rsidRPr="005359EE" w:rsidRDefault="00A93DA6" w:rsidP="00861F97">
            <w:pPr>
              <w:rPr>
                <w:sz w:val="16"/>
                <w:szCs w:val="16"/>
                <w:lang w:val="en-US"/>
              </w:rPr>
            </w:pPr>
            <w:r w:rsidRPr="005359EE">
              <w:rPr>
                <w:sz w:val="16"/>
                <w:szCs w:val="16"/>
                <w:lang w:val="en-US"/>
              </w:rPr>
              <w:t>Same function – downcycling</w:t>
            </w:r>
          </w:p>
        </w:tc>
      </w:tr>
      <w:tr w:rsidR="00A93DA6" w:rsidRPr="005359EE" w14:paraId="7DF15F28" w14:textId="77777777" w:rsidTr="000F6D5B">
        <w:tc>
          <w:tcPr>
            <w:tcW w:w="2268" w:type="dxa"/>
            <w:tcBorders>
              <w:top w:val="nil"/>
              <w:left w:val="nil"/>
              <w:bottom w:val="nil"/>
              <w:right w:val="nil"/>
            </w:tcBorders>
          </w:tcPr>
          <w:p w14:paraId="04B57973" w14:textId="77777777" w:rsidR="00A93DA6" w:rsidRPr="005359EE" w:rsidRDefault="00A93DA6" w:rsidP="00861F97">
            <w:pPr>
              <w:rPr>
                <w:sz w:val="16"/>
                <w:szCs w:val="16"/>
                <w:lang w:val="en-US"/>
              </w:rPr>
            </w:pPr>
            <w:r w:rsidRPr="005359EE">
              <w:rPr>
                <w:sz w:val="16"/>
                <w:szCs w:val="16"/>
                <w:lang w:val="en-US"/>
              </w:rPr>
              <w:t>No sorting and grading</w:t>
            </w:r>
          </w:p>
        </w:tc>
        <w:tc>
          <w:tcPr>
            <w:tcW w:w="3401" w:type="dxa"/>
            <w:tcBorders>
              <w:top w:val="nil"/>
              <w:left w:val="nil"/>
              <w:bottom w:val="nil"/>
              <w:right w:val="nil"/>
            </w:tcBorders>
          </w:tcPr>
          <w:p w14:paraId="4100E574" w14:textId="19B08FAF" w:rsidR="00A93DA6" w:rsidRPr="005359EE" w:rsidRDefault="00A93DA6" w:rsidP="00861F97">
            <w:pPr>
              <w:ind w:left="184" w:hanging="184"/>
              <w:rPr>
                <w:sz w:val="16"/>
                <w:szCs w:val="16"/>
                <w:lang w:val="en-US"/>
              </w:rPr>
            </w:pPr>
            <w:r w:rsidRPr="005359EE">
              <w:rPr>
                <w:sz w:val="16"/>
                <w:szCs w:val="16"/>
                <w:lang w:val="en-US"/>
              </w:rPr>
              <w:t>Process</w:t>
            </w:r>
            <w:r w:rsidR="006E09C8" w:rsidRPr="005359EE">
              <w:rPr>
                <w:sz w:val="16"/>
                <w:szCs w:val="16"/>
                <w:lang w:val="en-US"/>
              </w:rPr>
              <w:t xml:space="preserve"> manufacturing</w:t>
            </w:r>
          </w:p>
        </w:tc>
        <w:tc>
          <w:tcPr>
            <w:tcW w:w="3401" w:type="dxa"/>
            <w:tcBorders>
              <w:top w:val="nil"/>
              <w:left w:val="nil"/>
              <w:bottom w:val="nil"/>
              <w:right w:val="nil"/>
            </w:tcBorders>
          </w:tcPr>
          <w:p w14:paraId="5A6F6137" w14:textId="77777777" w:rsidR="00A93DA6" w:rsidRPr="005359EE" w:rsidRDefault="00A93DA6" w:rsidP="00861F97">
            <w:pPr>
              <w:rPr>
                <w:sz w:val="16"/>
                <w:szCs w:val="16"/>
                <w:lang w:val="en-US"/>
              </w:rPr>
            </w:pPr>
            <w:r w:rsidRPr="005359EE">
              <w:rPr>
                <w:sz w:val="16"/>
                <w:szCs w:val="16"/>
                <w:lang w:val="en-US"/>
              </w:rPr>
              <w:t>Different function – upcycling</w:t>
            </w:r>
          </w:p>
        </w:tc>
      </w:tr>
      <w:tr w:rsidR="00A93DA6" w:rsidRPr="005359EE" w14:paraId="516F2510" w14:textId="77777777" w:rsidTr="000F6D5B">
        <w:tc>
          <w:tcPr>
            <w:tcW w:w="2268" w:type="dxa"/>
            <w:tcBorders>
              <w:top w:val="nil"/>
              <w:left w:val="nil"/>
              <w:bottom w:val="nil"/>
              <w:right w:val="nil"/>
            </w:tcBorders>
          </w:tcPr>
          <w:p w14:paraId="2FDC7C1E" w14:textId="77777777" w:rsidR="00A93DA6" w:rsidRPr="005359EE" w:rsidRDefault="00A93DA6" w:rsidP="00861F97">
            <w:pPr>
              <w:rPr>
                <w:sz w:val="16"/>
                <w:szCs w:val="16"/>
                <w:lang w:val="en-US"/>
              </w:rPr>
            </w:pPr>
          </w:p>
        </w:tc>
        <w:tc>
          <w:tcPr>
            <w:tcW w:w="3401" w:type="dxa"/>
            <w:tcBorders>
              <w:top w:val="nil"/>
              <w:left w:val="nil"/>
              <w:bottom w:val="nil"/>
              <w:right w:val="nil"/>
            </w:tcBorders>
          </w:tcPr>
          <w:p w14:paraId="389244AB" w14:textId="4EEA5DDC" w:rsidR="00A93DA6" w:rsidRPr="005359EE" w:rsidRDefault="00A93DA6" w:rsidP="00861F97">
            <w:pPr>
              <w:ind w:left="184" w:hanging="184"/>
              <w:rPr>
                <w:sz w:val="16"/>
                <w:szCs w:val="16"/>
                <w:lang w:val="en-US"/>
              </w:rPr>
            </w:pPr>
            <w:r w:rsidRPr="005359EE">
              <w:rPr>
                <w:sz w:val="16"/>
                <w:szCs w:val="16"/>
                <w:lang w:val="en-US"/>
              </w:rPr>
              <w:t>Process</w:t>
            </w:r>
            <w:r w:rsidR="006E09C8" w:rsidRPr="005359EE">
              <w:rPr>
                <w:sz w:val="16"/>
                <w:szCs w:val="16"/>
                <w:lang w:val="en-US"/>
              </w:rPr>
              <w:t xml:space="preserve"> manufacturing</w:t>
            </w:r>
            <w:r w:rsidRPr="005359EE">
              <w:rPr>
                <w:sz w:val="16"/>
                <w:szCs w:val="16"/>
                <w:lang w:val="en-US"/>
              </w:rPr>
              <w:t xml:space="preserve"> + discrete (standardized)</w:t>
            </w:r>
          </w:p>
        </w:tc>
        <w:tc>
          <w:tcPr>
            <w:tcW w:w="3401" w:type="dxa"/>
            <w:tcBorders>
              <w:top w:val="nil"/>
              <w:left w:val="nil"/>
              <w:bottom w:val="nil"/>
              <w:right w:val="nil"/>
            </w:tcBorders>
          </w:tcPr>
          <w:p w14:paraId="5E612FAF" w14:textId="77777777" w:rsidR="00A93DA6" w:rsidRPr="005359EE" w:rsidRDefault="00A93DA6" w:rsidP="00861F97">
            <w:pPr>
              <w:rPr>
                <w:sz w:val="16"/>
                <w:szCs w:val="16"/>
                <w:lang w:val="en-US"/>
              </w:rPr>
            </w:pPr>
            <w:r w:rsidRPr="005359EE">
              <w:rPr>
                <w:sz w:val="16"/>
                <w:szCs w:val="16"/>
                <w:lang w:val="en-US"/>
              </w:rPr>
              <w:t>Different function – downcycling</w:t>
            </w:r>
          </w:p>
        </w:tc>
      </w:tr>
      <w:tr w:rsidR="00A93DA6" w:rsidRPr="005359EE" w14:paraId="4F782C98" w14:textId="77777777" w:rsidTr="000F6D5B">
        <w:tc>
          <w:tcPr>
            <w:tcW w:w="2268" w:type="dxa"/>
            <w:tcBorders>
              <w:top w:val="nil"/>
              <w:left w:val="nil"/>
              <w:bottom w:val="nil"/>
              <w:right w:val="nil"/>
            </w:tcBorders>
          </w:tcPr>
          <w:p w14:paraId="2FEDC482" w14:textId="77777777" w:rsidR="00A93DA6" w:rsidRPr="005359EE" w:rsidRDefault="00A93DA6" w:rsidP="00861F97">
            <w:pPr>
              <w:rPr>
                <w:sz w:val="16"/>
                <w:szCs w:val="16"/>
                <w:lang w:val="en-US"/>
              </w:rPr>
            </w:pPr>
          </w:p>
        </w:tc>
        <w:tc>
          <w:tcPr>
            <w:tcW w:w="3401" w:type="dxa"/>
            <w:tcBorders>
              <w:top w:val="nil"/>
              <w:left w:val="nil"/>
              <w:bottom w:val="nil"/>
              <w:right w:val="nil"/>
            </w:tcBorders>
          </w:tcPr>
          <w:p w14:paraId="4F988611" w14:textId="0920A5B2" w:rsidR="00A93DA6" w:rsidRPr="005359EE" w:rsidRDefault="00A93DA6" w:rsidP="00861F97">
            <w:pPr>
              <w:ind w:left="184" w:hanging="184"/>
              <w:rPr>
                <w:sz w:val="16"/>
                <w:szCs w:val="16"/>
                <w:lang w:val="en-US"/>
              </w:rPr>
            </w:pPr>
            <w:r w:rsidRPr="005359EE">
              <w:rPr>
                <w:sz w:val="16"/>
                <w:szCs w:val="16"/>
                <w:lang w:val="en-US"/>
              </w:rPr>
              <w:t>Process</w:t>
            </w:r>
            <w:r w:rsidR="006E09C8" w:rsidRPr="005359EE">
              <w:rPr>
                <w:sz w:val="16"/>
                <w:szCs w:val="16"/>
                <w:lang w:val="en-US"/>
              </w:rPr>
              <w:t xml:space="preserve"> manufacturing</w:t>
            </w:r>
            <w:r w:rsidRPr="005359EE">
              <w:rPr>
                <w:sz w:val="16"/>
                <w:szCs w:val="16"/>
                <w:lang w:val="en-US"/>
              </w:rPr>
              <w:t xml:space="preserve"> + discrete (customized)</w:t>
            </w:r>
          </w:p>
        </w:tc>
        <w:tc>
          <w:tcPr>
            <w:tcW w:w="3401" w:type="dxa"/>
            <w:tcBorders>
              <w:top w:val="nil"/>
              <w:left w:val="nil"/>
              <w:bottom w:val="nil"/>
              <w:right w:val="nil"/>
            </w:tcBorders>
          </w:tcPr>
          <w:p w14:paraId="295C2806" w14:textId="77777777" w:rsidR="00A93DA6" w:rsidRPr="005359EE" w:rsidRDefault="00A93DA6" w:rsidP="00861F97">
            <w:pPr>
              <w:rPr>
                <w:sz w:val="16"/>
                <w:szCs w:val="16"/>
                <w:lang w:val="en-US"/>
              </w:rPr>
            </w:pPr>
          </w:p>
        </w:tc>
      </w:tr>
    </w:tbl>
    <w:p w14:paraId="5053A8D2" w14:textId="4964595E" w:rsidR="00A93DA6" w:rsidRPr="005359EE" w:rsidRDefault="00A93DA6" w:rsidP="00A93DA6">
      <w:pPr>
        <w:spacing w:after="0"/>
        <w:jc w:val="center"/>
        <w:rPr>
          <w:lang w:val="en-US"/>
        </w:rPr>
      </w:pPr>
      <w:r w:rsidRPr="005359EE">
        <w:rPr>
          <w:b/>
          <w:bCs/>
          <w:lang w:val="en-US"/>
        </w:rPr>
        <w:t>Fig</w:t>
      </w:r>
      <w:r w:rsidR="00D4037A">
        <w:rPr>
          <w:b/>
          <w:bCs/>
          <w:lang w:val="en-US"/>
        </w:rPr>
        <w:t>.</w:t>
      </w:r>
      <w:r w:rsidRPr="005359EE">
        <w:rPr>
          <w:b/>
          <w:bCs/>
          <w:lang w:val="en-US"/>
        </w:rPr>
        <w:t xml:space="preserve"> 1</w:t>
      </w:r>
      <w:r w:rsidRPr="005359EE">
        <w:rPr>
          <w:lang w:val="en-US"/>
        </w:rPr>
        <w:t xml:space="preserve">. Main </w:t>
      </w:r>
      <w:r w:rsidR="00251967" w:rsidRPr="005359EE">
        <w:rPr>
          <w:lang w:val="en-US"/>
        </w:rPr>
        <w:t>elements of the manufacturing configuration of CBMs</w:t>
      </w:r>
    </w:p>
    <w:p w14:paraId="348065D1" w14:textId="77777777" w:rsidR="00A93DA6" w:rsidRPr="005359EE" w:rsidRDefault="00A93DA6" w:rsidP="00A93DA6">
      <w:pPr>
        <w:spacing w:after="0"/>
        <w:jc w:val="both"/>
        <w:rPr>
          <w:lang w:val="en-US"/>
        </w:rPr>
      </w:pPr>
    </w:p>
    <w:p w14:paraId="7ACCA5DF" w14:textId="7F7CA26F" w:rsidR="00A93DA6" w:rsidRPr="007C12DD" w:rsidRDefault="00A93DA6" w:rsidP="00A93DA6">
      <w:pPr>
        <w:spacing w:after="0"/>
        <w:jc w:val="both"/>
        <w:rPr>
          <w:i/>
          <w:iCs/>
          <w:lang w:val="en-US"/>
        </w:rPr>
      </w:pPr>
      <w:r w:rsidRPr="007C12DD">
        <w:rPr>
          <w:i/>
          <w:iCs/>
          <w:lang w:val="en-US"/>
        </w:rPr>
        <w:t xml:space="preserve">2.3 </w:t>
      </w:r>
      <w:r w:rsidR="00577EAC">
        <w:rPr>
          <w:i/>
          <w:iCs/>
          <w:lang w:val="en-US"/>
        </w:rPr>
        <w:t xml:space="preserve">Aligning </w:t>
      </w:r>
      <w:r w:rsidR="00D174F0" w:rsidRPr="007C12DD">
        <w:rPr>
          <w:i/>
          <w:iCs/>
          <w:lang w:val="en-US"/>
        </w:rPr>
        <w:t>manufacturing configurations</w:t>
      </w:r>
      <w:r w:rsidRPr="007C12DD">
        <w:rPr>
          <w:i/>
          <w:iCs/>
          <w:lang w:val="en-US"/>
        </w:rPr>
        <w:t xml:space="preserve"> with </w:t>
      </w:r>
      <w:r w:rsidR="001D1CD9" w:rsidRPr="007C12DD">
        <w:rPr>
          <w:i/>
          <w:iCs/>
          <w:lang w:val="en-US"/>
        </w:rPr>
        <w:t>supply</w:t>
      </w:r>
      <w:r w:rsidR="004934EA" w:rsidRPr="007C12DD">
        <w:rPr>
          <w:i/>
          <w:iCs/>
          <w:lang w:val="en-US"/>
        </w:rPr>
        <w:t xml:space="preserve"> characteristics</w:t>
      </w:r>
      <w:r w:rsidR="00B61E71">
        <w:rPr>
          <w:i/>
          <w:iCs/>
          <w:lang w:val="en-US"/>
        </w:rPr>
        <w:t>:</w:t>
      </w:r>
      <w:r w:rsidR="00950337">
        <w:rPr>
          <w:i/>
          <w:iCs/>
          <w:lang w:val="en-US"/>
        </w:rPr>
        <w:t xml:space="preserve"> a contingency </w:t>
      </w:r>
      <w:r w:rsidR="00B61E71">
        <w:rPr>
          <w:i/>
          <w:iCs/>
          <w:lang w:val="en-US"/>
        </w:rPr>
        <w:t xml:space="preserve">theory </w:t>
      </w:r>
      <w:proofErr w:type="gramStart"/>
      <w:r w:rsidR="00354B7A">
        <w:rPr>
          <w:i/>
          <w:iCs/>
          <w:lang w:val="en-US"/>
        </w:rPr>
        <w:t>perspective</w:t>
      </w:r>
      <w:proofErr w:type="gramEnd"/>
    </w:p>
    <w:p w14:paraId="537B2F86" w14:textId="0A0E30B1" w:rsidR="00D61851" w:rsidRDefault="00B61E71" w:rsidP="00A93DA6">
      <w:pPr>
        <w:spacing w:after="0"/>
        <w:jc w:val="both"/>
        <w:rPr>
          <w:lang w:val="en-US"/>
        </w:rPr>
      </w:pPr>
      <w:r>
        <w:rPr>
          <w:lang w:val="en-US"/>
        </w:rPr>
        <w:t>Contingency theory holds that firms are exposed to conditions which impact their practices and performance</w:t>
      </w:r>
      <w:r w:rsidR="008E1938">
        <w:rPr>
          <w:lang w:val="en-US"/>
        </w:rPr>
        <w:t>s</w:t>
      </w:r>
      <w:r>
        <w:rPr>
          <w:lang w:val="en-US"/>
        </w:rPr>
        <w:t xml:space="preserve"> </w:t>
      </w:r>
      <w:r>
        <w:rPr>
          <w:lang w:val="en-US"/>
        </w:rPr>
        <w:fldChar w:fldCharType="begin" w:fldLock="1"/>
      </w:r>
      <w:r w:rsidR="00275B73">
        <w:rPr>
          <w:lang w:val="en-US"/>
        </w:rPr>
        <w:instrText>ADDIN CSL_CITATION {"citationItems":[{"id":"ITEM-1","itemData":{"DOI":"10.1016/j.jom.2011.01.003","ISSN":"02726963","abstract":"This paper extends prior supply chain research by building and empirically testing a theoretical model of the contingency effects of environmental uncertainty (EU) on the relationships between three dimensions of supply chain integration and four dimensions of operational performance. Based on the contingency and organizational information processing theories, we argue that under a high EU, the associations between supplier/customer integration, and delivery and flexibility performance, and those between internal integration, and product quality and production cost, will be strengthened. These theoretical propositions are largely confirmed by multi-group and structural path analyses of survey responses collected from 151 of Thailand's automotive manufacturing plants. This paper contributes to operations management contingency research and provides theory-driven and empirically proven explanations for managers to differentiate the effects of internal and external integration efforts under different environmental conditions. © 2011 Elsevier B.V.","author":[{"dropping-particle":"","family":"Wong","given":"Chee Yew","non-dropping-particle":"","parse-names":false,"suffix":""},{"dropping-particle":"","family":"Boon-Itt","given":"Sakun","non-dropping-particle":"","parse-names":false,"suffix":""},{"dropping-particle":"","family":"Wong","given":"Christina W.Y.","non-dropping-particle":"","parse-names":false,"suffix":""}],"container-title":"Journal of Operations Management","id":"ITEM-1","issue":"6","issued":{"date-parts":[["2011"]]},"page":"604-615","publisher":"Elsevier B.V.","title":"The contingency effects of environmental uncertainty on the relationship between supply chain integration and operational performance","type":"article-journal","volume":"29"},"uris":["http://www.mendeley.com/documents/?uuid=be693d8d-b66e-4289-acaf-27adb6a6a95d"]},{"id":"ITEM-2","itemData":{"author":[{"dropping-particle":"","family":"Galbraith","given":"J.R.","non-dropping-particle":"","parse-names":false,"suffix":""}],"id":"ITEM-2","issued":{"date-parts":[["1973"]]},"publisher":"Addison-Wesley Longman Publishing","title":"Designing Complex Organizations","type":"book"},"uris":["http://www.mendeley.com/documents/?uuid=8bbcddc6-09ea-4200-94b9-00d4631ed6d8"]},{"id":"ITEM-3","itemData":{"author":[{"dropping-particle":"","family":"Lawrence","given":"P.R.","non-dropping-particle":"","parse-names":false,"suffix":""},{"dropping-particle":"","family":"Lorsch","given":"J.W.","non-dropping-particle":"","parse-names":false,"suffix":""}],"id":"ITEM-3","issued":{"date-parts":[["1967"]]},"publisher":"Harvard University Press","publisher-place":"Cambridge (MA)","title":"Organization and Environment","type":"book"},"uris":["http://www.mendeley.com/documents/?uuid=57722c4d-b92c-484d-a9af-30ebc3fba9c9"]},{"id":"ITEM-4","itemData":{"author":[{"dropping-particle":"","family":"Sousa","given":"R.","non-dropping-particle":"","parse-names":false,"suffix":""},{"dropping-particle":"","family":"Voss","given":"C.A.","non-dropping-particle":"","parse-names":false,"suffix":""}],"container-title":"Journal of Operations Management2","id":"ITEM-4","issue":"6","issued":{"date-parts":[["2008"]]},"page":"697-713","title":"Contingency research in operations management practices","type":"article-journal","volume":"26"},"uris":["http://www.mendeley.com/documents/?uuid=f7529957-a48b-4f24-b019-75f7d1ceff18"]}],"mendeley":{"formattedCitation":"(Galbraith, 1973; P.R. Lawrence &amp; Lorsch, 1967; Sousa &amp; Voss, 2008; Wong et al., 2011)","manualFormatting":"(Galbraith, 1973; Lawrence and Lorsch, 1967; Sousa and Voss, 2008; Wong et al., 2011)","plainTextFormattedCitation":"(Galbraith, 1973; P.R. Lawrence &amp; Lorsch, 1967; Sousa &amp; Voss, 2008; Wong et al., 2011)","previouslyFormattedCitation":"(Galbraith, 1973; P.R. Lawrence &amp; Lorsch, 1967; Sousa &amp; Voss, 2008; Wong et al., 2011)"},"properties":{"noteIndex":0},"schema":"https://github.com/citation-style-language/schema/raw/master/csl-citation.json"}</w:instrText>
      </w:r>
      <w:r>
        <w:rPr>
          <w:lang w:val="en-US"/>
        </w:rPr>
        <w:fldChar w:fldCharType="separate"/>
      </w:r>
      <w:r w:rsidRPr="00B61E71">
        <w:rPr>
          <w:noProof/>
          <w:lang w:val="en-US"/>
        </w:rPr>
        <w:t xml:space="preserve">(Galbraith, 1973; Lawrence </w:t>
      </w:r>
      <w:r w:rsidR="008E1938">
        <w:rPr>
          <w:noProof/>
          <w:lang w:val="en-US"/>
        </w:rPr>
        <w:t>and</w:t>
      </w:r>
      <w:r w:rsidRPr="00B61E71">
        <w:rPr>
          <w:noProof/>
          <w:lang w:val="en-US"/>
        </w:rPr>
        <w:t xml:space="preserve"> Lorsch, 1967; Sousa </w:t>
      </w:r>
      <w:r w:rsidR="008E1938">
        <w:rPr>
          <w:noProof/>
          <w:lang w:val="en-US"/>
        </w:rPr>
        <w:t>and</w:t>
      </w:r>
      <w:r w:rsidRPr="00B61E71">
        <w:rPr>
          <w:noProof/>
          <w:lang w:val="en-US"/>
        </w:rPr>
        <w:t xml:space="preserve"> Voss, 2008; Wong et al., 2011)</w:t>
      </w:r>
      <w:r>
        <w:rPr>
          <w:lang w:val="en-US"/>
        </w:rPr>
        <w:fldChar w:fldCharType="end"/>
      </w:r>
      <w:r>
        <w:rPr>
          <w:lang w:val="en-US"/>
        </w:rPr>
        <w:t>.</w:t>
      </w:r>
      <w:r w:rsidR="008E1938">
        <w:rPr>
          <w:lang w:val="en-US"/>
        </w:rPr>
        <w:t xml:space="preserve"> Previous literature </w:t>
      </w:r>
      <w:r w:rsidR="001E1881">
        <w:rPr>
          <w:lang w:val="en-US"/>
        </w:rPr>
        <w:t>highlights the relevance of contingency factors for several manufacturing activities</w:t>
      </w:r>
      <w:r w:rsidR="00950337">
        <w:rPr>
          <w:lang w:val="en-US"/>
        </w:rPr>
        <w:t xml:space="preserve"> </w:t>
      </w:r>
      <w:r w:rsidR="008E1938">
        <w:rPr>
          <w:lang w:val="en-US"/>
        </w:rPr>
        <w:t>such as</w:t>
      </w:r>
      <w:r w:rsidR="00B6692C">
        <w:rPr>
          <w:lang w:val="en-US"/>
        </w:rPr>
        <w:t xml:space="preserve"> firm size</w:t>
      </w:r>
      <w:r w:rsidR="001E1881">
        <w:rPr>
          <w:lang w:val="en-US"/>
        </w:rPr>
        <w:t xml:space="preserve"> for performance measurement </w:t>
      </w:r>
      <w:bookmarkStart w:id="1" w:name="_Hlk98663737"/>
      <w:r w:rsidR="001E1881">
        <w:rPr>
          <w:lang w:val="en-US"/>
        </w:rPr>
        <w:t>practices</w:t>
      </w:r>
      <w:r w:rsidR="00B6692C">
        <w:rPr>
          <w:lang w:val="en-US"/>
        </w:rPr>
        <w:t xml:space="preserve"> </w:t>
      </w:r>
      <w:r w:rsidR="00B6692C">
        <w:rPr>
          <w:lang w:val="en-US"/>
        </w:rPr>
        <w:fldChar w:fldCharType="begin" w:fldLock="1"/>
      </w:r>
      <w:r w:rsidR="001E1881">
        <w:rPr>
          <w:lang w:val="en-US"/>
        </w:rPr>
        <w:instrText>ADDIN CSL_CITATION {"citationItems":[{"id":"ITEM-1","itemData":{"DOI":"10.1080/00207543.2013.842023","ISSN":"00207543","abstract":"This article investigates the influence of organisation size on the effective implementation of performance measurement systems (PMSs). Contingency theory suggests that size effects are relevant for many operations management practices and extant studies confirm this to be true for practices such as total quality management, Lean and business process re-engineering. However, robust empirical evidence of size effects on PMS implementation has not yet been produced. We draw upon fundamental differences between small and medium-sized enterprises (SMEs) and large firms to develop eight hypotheses about size effects for PMS implementation. Using empirical data from 349 UK manufacturing firms we find support for seven out of the eight hypotheses which confirms the presence of size effects in PMS contexts. Our findings help managers to recognise that practices which enable PMS implementation in large firms are not necessarily the most relevant levers in SMEs and vice versa. The results provide guidance on where to focus attention and resources during PMS implementation and on the most likely sources of any missing knowledge and expertise. Our findings also provide a mandate for further investigation of size effects on PMS implementation in a wider range of contexts. © 2013 Taylor and Francis.","author":[{"dropping-particle":"","family":"Taylor","given":"Andrew","non-dropping-particle":"","parse-names":false,"suffix":""},{"dropping-particle":"","family":"Taylor","given":"Margaret","non-dropping-particle":"","parse-names":false,"suffix":""}],"container-title":"International Journal of Production Research","id":"ITEM-1","issue":"3","issued":{"date-parts":[["2014"]]},"page":"847-866","title":"Factors influencing effective implementation of performance measurement systems in small and medium-sized enterprises and large firms: A perspective from Contingency Theory","type":"article-journal","volume":"52"},"uris":["http://www.mendeley.com/documents/?uuid=dd59327c-3f07-43fe-bd13-0ebdcf407f8b"]}],"mendeley":{"formattedCitation":"(Taylor &amp; Taylor, 2014)","manualFormatting":"(Taylor and Taylor, 2014)","plainTextFormattedCitation":"(Taylor &amp; Taylor, 2014)","previouslyFormattedCitation":"(Taylor &amp; Taylor, 2014)"},"properties":{"noteIndex":0},"schema":"https://github.com/citation-style-language/schema/raw/master/csl-citation.json"}</w:instrText>
      </w:r>
      <w:r w:rsidR="00B6692C">
        <w:rPr>
          <w:lang w:val="en-US"/>
        </w:rPr>
        <w:fldChar w:fldCharType="separate"/>
      </w:r>
      <w:r w:rsidR="00B6692C" w:rsidRPr="00B6692C">
        <w:rPr>
          <w:noProof/>
          <w:lang w:val="en-US"/>
        </w:rPr>
        <w:t xml:space="preserve">(Taylor </w:t>
      </w:r>
      <w:r w:rsidR="00B6692C">
        <w:rPr>
          <w:noProof/>
          <w:lang w:val="en-US"/>
        </w:rPr>
        <w:t>and</w:t>
      </w:r>
      <w:r w:rsidR="00B6692C" w:rsidRPr="00B6692C">
        <w:rPr>
          <w:noProof/>
          <w:lang w:val="en-US"/>
        </w:rPr>
        <w:t xml:space="preserve"> Taylor, 2014)</w:t>
      </w:r>
      <w:r w:rsidR="00B6692C">
        <w:rPr>
          <w:lang w:val="en-US"/>
        </w:rPr>
        <w:fldChar w:fldCharType="end"/>
      </w:r>
      <w:r w:rsidR="008E1938">
        <w:rPr>
          <w:lang w:val="en-US"/>
        </w:rPr>
        <w:t xml:space="preserve"> and</w:t>
      </w:r>
      <w:r w:rsidR="001E1881">
        <w:rPr>
          <w:lang w:val="en-US"/>
        </w:rPr>
        <w:t xml:space="preserve"> labor productivity, labor </w:t>
      </w:r>
      <w:r w:rsidR="001E1881" w:rsidRPr="0020544B">
        <w:rPr>
          <w:lang w:val="en-US"/>
        </w:rPr>
        <w:t>intensity and</w:t>
      </w:r>
      <w:r w:rsidR="001E1881" w:rsidRPr="00D61851">
        <w:rPr>
          <w:lang w:val="en-US"/>
        </w:rPr>
        <w:t xml:space="preserve"> fierceness of competition for ISO </w:t>
      </w:r>
      <w:r w:rsidR="001E1881" w:rsidRPr="00D82F83">
        <w:rPr>
          <w:lang w:val="en-US"/>
        </w:rPr>
        <w:t>9000 adoption</w:t>
      </w:r>
      <w:r w:rsidR="008E1938" w:rsidRPr="00D82F83">
        <w:rPr>
          <w:lang w:val="en-US"/>
        </w:rPr>
        <w:t xml:space="preserve"> </w:t>
      </w:r>
      <w:r w:rsidR="001E1881" w:rsidRPr="0020544B">
        <w:rPr>
          <w:lang w:val="en-US"/>
        </w:rPr>
        <w:fldChar w:fldCharType="begin" w:fldLock="1"/>
      </w:r>
      <w:r w:rsidR="0020544B">
        <w:rPr>
          <w:lang w:val="en-US"/>
        </w:rPr>
        <w:instrText>ADDIN CSL_CITATION {"citationItems":[{"id":"ITEM-1","itemData":{"DOI":"10.1016/j.jom.2013.04.002","ISSN":"02726963","abstract":"This study investigates the importance of contextual factors on the efficacy of ISO 9000 adoption. We explore the role of various contextual factors at the firm-level (i.e., technology intensity, labor productivity, and labor intensity) and industry-level (i.e., industry efficiency level, industry competitiveness, industry sales growth, and industry ISO 9000 adoption level) that potentially impact the efficacy of ISO 9000 adoption. We carry out a hierarchical linear modeling (HLM) analysis based on objective financial data from 438 U.S. manufacturing firms. The results show that firms with low technology intensity, low labor productivity and high labor intensity reap more benefit from ISO 9000 adoption. Firms in industries with low efficiency levels, high competition, high sales growth and low ISO 9000 adoption levels also obtain more benefit from the adoption. Our research provides supporting evidence for the context-dependent proposition of ISO 9000 adoption. Given the significant costs and resources involved, it is crucial for operations managers to assess to what extent ISO 9000 might benefit their performance before embarking on the implementation process. © 2013 Elsevier B.V.","author":[{"dropping-particle":"","family":"Lo","given":"Chris K.Y.","non-dropping-particle":"","parse-names":false,"suffix":""},{"dropping-particle":"","family":"Wiengarten","given":"Frank","non-dropping-particle":"","parse-names":false,"suffix":""},{"dropping-particle":"","family":"Humphreys","given":"Paul","non-dropping-particle":"","parse-names":false,"suffix":""},{"dropping-particle":"","family":"Yeung","given":"Andy C.L.","non-dropping-particle":"","parse-names":false,"suffix":""},{"dropping-particle":"","family":"Cheng","given":"T. C.E.","non-dropping-particle":"","parse-names":false,"suffix":""}],"container-title":"Journal of Operations Management","id":"ITEM-1","issue":"5","issued":{"date-parts":[["2013"]]},"page":"229-235","publisher":"Elsevier B.V.","title":"The impact of contextual factors on the efficacy of ISO 9000 adoption","type":"article-journal","volume":"31"},"uris":["http://www.mendeley.com/documents/?uuid=a2e7c8ce-7a60-46e0-9e9c-ec27b3a4def5"]}],"mendeley":{"formattedCitation":"(Lo et al., 2013)","plainTextFormattedCitation":"(Lo et al., 2013)","previouslyFormattedCitation":"(Lo et al., 2013)"},"properties":{"noteIndex":0},"schema":"https://github.com/citation-style-language/schema/raw/master/csl-citation.json"}</w:instrText>
      </w:r>
      <w:r w:rsidR="001E1881" w:rsidRPr="0020544B">
        <w:rPr>
          <w:lang w:val="en-US"/>
        </w:rPr>
        <w:fldChar w:fldCharType="separate"/>
      </w:r>
      <w:r w:rsidR="001E1881" w:rsidRPr="0020544B">
        <w:rPr>
          <w:noProof/>
          <w:lang w:val="en-US"/>
        </w:rPr>
        <w:t>(Lo et al., 2013)</w:t>
      </w:r>
      <w:r w:rsidR="001E1881" w:rsidRPr="0020544B">
        <w:rPr>
          <w:lang w:val="en-US"/>
        </w:rPr>
        <w:fldChar w:fldCharType="end"/>
      </w:r>
      <w:r w:rsidR="00950337" w:rsidRPr="0020544B">
        <w:rPr>
          <w:lang w:val="en-US"/>
        </w:rPr>
        <w:t xml:space="preserve">. </w:t>
      </w:r>
      <w:r w:rsidR="00D82F83">
        <w:rPr>
          <w:lang w:val="en-US"/>
        </w:rPr>
        <w:t xml:space="preserve">With regards to sustainable practices, </w:t>
      </w:r>
      <w:r w:rsidR="00D82F83">
        <w:rPr>
          <w:lang w:val="en-US"/>
        </w:rPr>
        <w:fldChar w:fldCharType="begin" w:fldLock="1"/>
      </w:r>
      <w:r w:rsidR="00D82F83">
        <w:rPr>
          <w:lang w:val="en-US"/>
        </w:rPr>
        <w:instrText>ADDIN CSL_CITATION {"citationItems":[{"id":"ITEM-1","itemData":{"DOI":"10.1108/IJOPM-01-2020-0043","ISSN":"17586593","abstract":"Purpose: This paper explores how organizational capabilities and path dependence affect the implementation of supply chain (SC) sustainability initiatives. Through the lenses of contingency and evolutionary theory, the paper addresses the underexplored supply chain dynamics that enhance or inhibit sustainability trajectories. Design/methodology/approach: Using in-depth multi-case studies for theory elaboration, five supply chains were studied through open-ended interviews with SC members, secondary data collection and site visit observation. The design consists of a combination of deductive and inductive approaches to elaborate theory on supply chain dynamics and enhanced sustainability trajectories. Findings: The empirical study shows that learning is a fundamental condition for supply chains as they implement sustainability initiatives, and that exploitation capabilities are more frequently used than exploration capabilities. Path dependence plays a role in the outcomes of supply chain sustainability initiatives, which are influenced by both path dependence and contingencies of the contexts in which these systems operate. Research limitations/implications: This paper puts forward five propositions that emerge from the literature and from the field study results. Although this is an exploratory research bounded by geographical limitations and the limited number of SC cases, the goal of elaborating theory may open up several promising avenues for future large-scale and longitudinal research studies. Practical implications: By enhancing our understanding of the dynamics of supply chain sustainability trajectories, decision-makers, scholars and policy-makers can better understand how supply chains learn, how they employ SC member capabilities and how they deal with stakeholder resistance. Originality/value: This paper extends supply chain sustainability theory by addressing the knowledge gap that exists with regard to understanding the dynamics of evolving supply chain sustainability trajectories. This paper sheds additional light on this important topic and contributes in multiple ways to the sustainable supply chain management literature.","author":[{"dropping-particle":"","family":"Silvestre","given":"Bruno S.","non-dropping-particle":"","parse-names":false,"suffix":""},{"dropping-particle":"","family":"Silva","given":"Minelle E.","non-dropping-particle":"","parse-names":false,"suffix":""},{"dropping-particle":"","family":"Cormack","given":"Allan","non-dropping-particle":"","parse-names":false,"suffix":""},{"dropping-particle":"","family":"Thome","given":"Antônio Márcio Tavares","non-dropping-particle":"","parse-names":false,"suffix":""}],"container-title":"International Journal of Operations and Production Management","id":"ITEM-1","issue":"9","issued":{"date-parts":[["2020"]]},"page":"1301-1337","title":"Supply chain sustainability trajectories: learning through sustainability initiatives","type":"article-journal","volume":"40"},"uris":["http://www.mendeley.com/documents/?uuid=479b4c42-9157-483f-b4c2-ad3d7dc48de4"]}],"mendeley":{"formattedCitation":"(Silvestre et al., 2020)","manualFormatting":"Silvestre et al. (2020)","plainTextFormattedCitation":"(Silvestre et al., 2020)","previouslyFormattedCitation":"(Silvestre et al., 2020)"},"properties":{"noteIndex":0},"schema":"https://github.com/citation-style-language/schema/raw/master/csl-citation.json"}</w:instrText>
      </w:r>
      <w:r w:rsidR="00D82F83">
        <w:rPr>
          <w:lang w:val="en-US"/>
        </w:rPr>
        <w:fldChar w:fldCharType="separate"/>
      </w:r>
      <w:r w:rsidR="00D82F83" w:rsidRPr="00D61851">
        <w:rPr>
          <w:noProof/>
          <w:lang w:val="en-US"/>
        </w:rPr>
        <w:t>Silvestre et al.</w:t>
      </w:r>
      <w:r w:rsidR="00D82F83">
        <w:rPr>
          <w:noProof/>
          <w:lang w:val="en-US"/>
        </w:rPr>
        <w:t xml:space="preserve"> (</w:t>
      </w:r>
      <w:r w:rsidR="00D82F83" w:rsidRPr="00D61851">
        <w:rPr>
          <w:noProof/>
          <w:lang w:val="en-US"/>
        </w:rPr>
        <w:t>2020)</w:t>
      </w:r>
      <w:r w:rsidR="00D82F83">
        <w:rPr>
          <w:lang w:val="en-US"/>
        </w:rPr>
        <w:fldChar w:fldCharType="end"/>
      </w:r>
      <w:r w:rsidR="00D82F83">
        <w:rPr>
          <w:lang w:val="en-US"/>
        </w:rPr>
        <w:t xml:space="preserve"> found </w:t>
      </w:r>
      <w:bookmarkEnd w:id="1"/>
      <w:r w:rsidR="00D82F83">
        <w:rPr>
          <w:lang w:val="en-US"/>
        </w:rPr>
        <w:t xml:space="preserve">that contingencies in the supply chain dynamics moderate the relationship between sustainable supply chain initiatives and supply chain sustainability trajectories. </w:t>
      </w:r>
      <w:r w:rsidR="001E1881" w:rsidRPr="0020544B">
        <w:rPr>
          <w:lang w:val="en-US"/>
        </w:rPr>
        <w:t>Following the same contingency logic</w:t>
      </w:r>
      <w:r w:rsidR="002B489E" w:rsidRPr="00D61851">
        <w:rPr>
          <w:lang w:val="en-US"/>
        </w:rPr>
        <w:t>,</w:t>
      </w:r>
      <w:r w:rsidR="00EF636F" w:rsidRPr="00D61851">
        <w:rPr>
          <w:lang w:val="en-US"/>
        </w:rPr>
        <w:t xml:space="preserve"> </w:t>
      </w:r>
      <w:r w:rsidR="00EF636F" w:rsidRPr="00CA43A0">
        <w:rPr>
          <w:lang w:val="en-US"/>
        </w:rPr>
        <w:t xml:space="preserve">start-ups need to align the manufacturing configuration of their CBM with the context in which they operate </w:t>
      </w:r>
      <w:r w:rsidR="00EF636F" w:rsidRPr="0020544B">
        <w:rPr>
          <w:lang w:val="en-US"/>
        </w:rPr>
        <w:fldChar w:fldCharType="begin" w:fldLock="1"/>
      </w:r>
      <w:r w:rsidR="00EF636F" w:rsidRPr="00CA43A0">
        <w:rPr>
          <w:lang w:val="en-US"/>
        </w:rPr>
        <w:instrText>ADDIN CSL_CITATION {"citationItems":[{"id":"ITEM-1","itemData":{"DOI":"10.1016/j.jclepro.2013.11.039","ISSN":"09596526","abstract":"Eco-innovations, eco-efficiency and corporate social responsibility practices define much of the current industrial sustainability agenda. While important, they are insufficient in themselves to deliver the holistic changes necessary to achieve long-term social and environmental sustainability. How can we encourage corporate innovation that significantly changes the way companies operate to ensure greater sustainability? Sustainable business models (SBM) incorporate a triple bottom line approach and consider a wide range of stakeholder interests, including environment and society. They are important in driving and implementing corporate innovation for sustainability, can help embed sustainability into business purpose and processes, and serve as a key driver of competitive advantage. Many innovative approaches may contribute to delivering sustainability through business models, but have not been collated under a unifying theme of business model innovation. The literature and business practice review has identified a wide range of examples of mechanisms and solutions that can contribute to business model innovation for sustainability. The examples were collated and analysed to identify defining patterns and attributes that might facilitate categorisation. Sustainable business model archetypes are introduced to describe groupings of mechanisms and solutions that may contribute to building up the business model for sustainability. The aim of these archetypes is to develop a common language that can be used to accelerate the development of sustainable business models in research and practice. The archetypes are: Maximise material and energy efficiency; Create value from 'waste'; Substitute with renewables and natural processes; Deliver functionality rather than ownership; Adopt a stewardship role; Encourage sufficiency; Re-purpose the business for society/environment; and Develop scale-up solutions. © 2014 The Authors. Published by Elsevier Ltd. All rights reserved.","author":[{"dropping-particle":"","family":"Bocken","given":"N. M.P.","non-dropping-particle":"","parse-names":false,"suffix":""},{"dropping-particle":"","family":"Short","given":"S. W.","non-dropping-particle":"","parse-names":false,"suffix":""},{"dropping-particle":"","family":"Rana","given":"P.","non-dropping-particle":"","parse-names":false,"suffix":""},{"dropping-particle":"","family":"Evans","given":"S.","non-dropping-particle":"","parse-names":false,"suffix":""}],"container-title":"Journal of Cleaner Production","id":"ITEM-1","issued":{"date-parts":[["2014"]]},"page":"42-56","publisher":"Elsevier Ltd","title":"A literature and practice review to develop sustainable business model archetypes","type":"article-journal","volume":"65"},"uris":["http://www.mendeley.com/documents/?uuid=1176d14c-11fb-430d-9cb1-80cd7c4643f6"]},{"id":"ITEM-2","itemData":{"DOI":"10.1016/j.jclepro.2018.04.159","ISSN":"09596526","abstract":"The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economy","type":"article-journal","volume":"190"},"uris":["http://www.mendeley.com/documents/?uuid=9790209a-b21e-4901-8d12-6006787fa048"]},{"id":"ITEM-3","itemData":{"DOI":"10.1142/S1363919617500049","ISSN":"13639196","abstract":"Companies are more frequently seen shifting their focus from technological innovation towards business model innovation. One efficient option for business model innovation is to learn from existing solutions, i.e., business model patterns. However, the various understandings of the business model pattern concept are often confusing and contradictory, with the available collections incomplete, overlapping, and inconsistently structured. Therefore, the rich body of literature on business model patterns has not yet reached its full potential for both practical application as well as theoretic advancement. To help remedy this, we conduct an exhaustive review, filter for duplicates, and structure the patterns along several dimensions by applying a rigorous taxonomy-building approach. The resulting business model pattern database allows for navigation to the relevant set of patterns for a specific impa</w:instrText>
      </w:r>
      <w:r w:rsidR="00EF636F" w:rsidRPr="007B2648">
        <w:instrText>ct on a company's business model. It can be used for systematic business model innovation, which we illustrate via a simplified case study.","author":[{"dropping-particle":"","family":"Remane","given":"Gerrit","non-dropping-particle":"","parse-names":false,"suffix":""},{"dropping-particle":"","family":"Hanelt","given":"Andre","non-dropping-particle":"","parse-names":false,"suffix":""},{"dropping-particle":"","family":"Tesch","given":"Jan F.","non-dropping-particle":"","parse-names":false,"suffix":""},{"dropping-particle":"","family":"Kolbe","given":"Lutz M.","non-dropping-particle":"","parse-names":false,"suffix":""}],"container-title":"International Journal of Innovation Management","id":"ITEM-3","issue":"1","issued":{"date-parts":[["2017"]]},"title":"The Business Model Pattern Database-A Tool For Systematic Business Model Innovation","type":"article-journal","volume":"21"},"uris":["http://www.mendeley.com/documents/?uuid=f24c8da7-ad03-4680-a212-e5af84a306b9"]}],"mendeley":{"formattedCitation":"(N. M.P. Bocken et al., 2014; Geissdoerfer et al., 2018; Remane et al., 2017)","manualFormatting":"(Bocken et al., 2014; Geissdoerfer et al., 2018)","plainTextFormattedCitation":"(N. M.P. Bocken et al., 2014; Geissdoerfer et al., 2018; Remane et al., 2017)","previouslyFormattedCitation":"(N. M.P. Bocken et al., 2014; Geissdoerfer et al., 2018; Remane et al., 2017)"},"properties":{"noteIndex":0},"schema":"https://github.com/citation-style-language/schema/raw/master/csl-citation.json"}</w:instrText>
      </w:r>
      <w:r w:rsidR="00EF636F" w:rsidRPr="0020544B">
        <w:rPr>
          <w:lang w:val="en-US"/>
        </w:rPr>
        <w:fldChar w:fldCharType="separate"/>
      </w:r>
      <w:r w:rsidR="00EF636F" w:rsidRPr="007B2648">
        <w:rPr>
          <w:noProof/>
        </w:rPr>
        <w:t>(Bocken et al., 2014; Geissdoerfer et al., 2018)</w:t>
      </w:r>
      <w:r w:rsidR="00EF636F" w:rsidRPr="0020544B">
        <w:rPr>
          <w:lang w:val="en-US"/>
        </w:rPr>
        <w:fldChar w:fldCharType="end"/>
      </w:r>
      <w:r w:rsidR="00EF636F" w:rsidRPr="007B2648">
        <w:t>.</w:t>
      </w:r>
      <w:r w:rsidR="001E1881" w:rsidRPr="007B2648">
        <w:t xml:space="preserve"> </w:t>
      </w:r>
      <w:r w:rsidR="00CA43A0" w:rsidRPr="007B2648">
        <w:t xml:space="preserve">In fact, </w:t>
      </w:r>
      <w:r w:rsidR="00CA43A0" w:rsidRPr="007B2648">
        <w:rPr>
          <w:lang w:val="en-US"/>
        </w:rPr>
        <w:fldChar w:fldCharType="begin" w:fldLock="1"/>
      </w:r>
      <w:r w:rsidR="00CA43A0" w:rsidRPr="007B2648">
        <w:instrText>ADDIN CSL_CITATION {"citationItems":[{"id":"ITEM-1","itemData":{"DOI":"10.1016/j.ijpe.2017.07.004","ISSN":"09255273","abstract":"With the increasing significance of the business model in a connected economy, a new stream of literature has turned to explore the antecedents of business model design. Beyond external antecedents derived from a rational positioning view, little research has investigated the role of internal manufacturing flexibility. Based on theory of constraints and business ecosystem theory, this examines how manufacturing flexibility affects efficiency- and novelty-centred business model designs and consequent firm performance. We propose and test eight hypotheses using data from one hundred and eighty-six manufacturing firms in China. The results indicate that manufacturing flexibility promotes both efficiency- and novelty-centred business model designs and subsequent firm performance. Furthermore, the relationship between manufacturing flexibility and an efficiency-centred business model design is strengthened by competitive intensity but weakened by demand heterogeneity. In contrast, the relationship between manufacturing flexibility and novelty-centred business model design is weakened by competitive intensity but strengthened by demand heterogeneity.","author":[{"dropping-particle":"","family":"Wei","given":"Zelong","non-dropping-particle":"","parse-names":false,"suffix":""},{"dropping-particle":"","family":"Song","given":"Xi","non-dropping-particle":"","parse-names":false,"suffix":""},{"dropping-particle":"","family":"Wang","given":"Donghan","non-dropping-particle":"","parse-names":false,"suffix":""}],"container-title":"International Journal of Production Economics","id":"ITEM-1","issue":"28","issued":{"date-parts":[["2017"]]},"page":"87-97","title":"Manufacturing flexibility, business model design, and firm performance","type":"article-journal","volume":"193"},"uris":["http://www.mendeley.com/documents/?uuid=77875c67-dd05-441a-a5b7-8a5d2da729a5"]}],"mendeley":{"formattedCitation":"(Wei et al., 2017)","manualFormatting":"Wei et al. (2017)","plainTextFormattedCitation":"(Wei et al., 2017)","previouslyFormattedCitation":"(Wei et al., 2017)"},"properties":{"noteIndex":0},"schema":"https://github.com/citation-style-language/schema/raw/master/csl-citation.json"}</w:instrText>
      </w:r>
      <w:r w:rsidR="00CA43A0" w:rsidRPr="007B2648">
        <w:rPr>
          <w:lang w:val="en-US"/>
        </w:rPr>
        <w:fldChar w:fldCharType="separate"/>
      </w:r>
      <w:r w:rsidR="00CA43A0" w:rsidRPr="007B2648">
        <w:rPr>
          <w:noProof/>
        </w:rPr>
        <w:t xml:space="preserve">Wei et al. </w:t>
      </w:r>
      <w:r w:rsidR="00CA43A0" w:rsidRPr="00AF682F">
        <w:rPr>
          <w:noProof/>
        </w:rPr>
        <w:t>(2017)</w:t>
      </w:r>
      <w:r w:rsidR="00CA43A0" w:rsidRPr="007B2648">
        <w:rPr>
          <w:lang w:val="en-US"/>
        </w:rPr>
        <w:fldChar w:fldCharType="end"/>
      </w:r>
      <w:r w:rsidR="00CA43A0" w:rsidRPr="00AF682F">
        <w:t xml:space="preserve"> and </w:t>
      </w:r>
      <w:r w:rsidR="00CA43A0" w:rsidRPr="007B2648">
        <w:rPr>
          <w:lang w:val="en-US"/>
        </w:rPr>
        <w:fldChar w:fldCharType="begin" w:fldLock="1"/>
      </w:r>
      <w:r w:rsidR="00CA43A0" w:rsidRPr="00AF682F">
        <w:instrText xml:space="preserve">ADDIN CSL_CITATION {"citationItems":[{"id":"ITEM-1","itemData":{"DOI":"10.1177/0149206311406265","ISSN":"01492063","abstract":"This article provides a broad and multifaceted review of the received literature on business models in which the authors examine the business model concept through multiple subject-matter lenses.The review reveals that scholars do not agree on what a business model is and that the literature is developing largely in silos, according to the phenomena of interest of the respective researchers.However, the authors also found emerging common themes among scholars of business models.Specifically, </w:instrText>
      </w:r>
      <w:r w:rsidR="00CA43A0" w:rsidRPr="00AF682F">
        <w:rPr>
          <w:lang w:val="en-US"/>
        </w:rPr>
        <w:instrText>(1) the business model is emerging as a new unit of analysis; (2) business models emphasize a system-level, holistic approach to explaining how firms \"do business\"; (3) firm activities play an important role in the various conceptualizations of business models that have been proposed; and (4) business models seek to explain how value is created, not just how it is captured.These emerging themes could serve as catalysts for a more unified study of business models.© The Author(s) 2011.","author":[{"dropping-particle":"","family":"Zott","given":"Christoph","non-dropping-particle":"","parse-names":false,"suffix":""},{"dropping-particle":"","family":"Amit","given":"Raphael","non-dropping-particle":"","parse-names":false,"suffix":""},{"dropping-particle":"","family":"Massa","given":"Lorenzo","non-dropping-particle":"","parse-names":false,"suffix":""}],"co</w:instrText>
      </w:r>
      <w:r w:rsidR="00CA43A0" w:rsidRPr="00CA43A0">
        <w:rPr>
          <w:lang w:val="en-US"/>
        </w:rPr>
        <w:instrText>ntainer-title":"Journal of Management","id":"ITEM-1","issue":"4","issued":{"date-parts":[["2011"]]},"page":"1019-1042","title":"The business model: Recent developments and future research","type":"article-journal","volume":"37"},"uris":["http://www.mendeley.com/documents/?uuid=392e681b-de7f-4b35-bdb8-f9bde0b4aea6"]}],"mendeley":{"formattedCitation":"(Zott et al., 2011)","manualFormatting":"Zott et al. (2011)","plainTextFormattedCitation":"(Zott et al., 2011)","previouslyFormattedCitation":"(Zott et al., 2011)"},"properties":{"noteIndex":0},"schema":"https://github.com/citation-style-language/schema/raw/master/csl-citation.json"}</w:instrText>
      </w:r>
      <w:r w:rsidR="00CA43A0" w:rsidRPr="007B2648">
        <w:rPr>
          <w:lang w:val="en-US"/>
        </w:rPr>
        <w:fldChar w:fldCharType="separate"/>
      </w:r>
      <w:r w:rsidR="00CA43A0" w:rsidRPr="00CA43A0">
        <w:rPr>
          <w:noProof/>
          <w:lang w:val="en-US"/>
        </w:rPr>
        <w:t>Zott et al. (2011)</w:t>
      </w:r>
      <w:r w:rsidR="00CA43A0" w:rsidRPr="007B2648">
        <w:rPr>
          <w:lang w:val="en-US"/>
        </w:rPr>
        <w:fldChar w:fldCharType="end"/>
      </w:r>
      <w:r w:rsidR="00CA43A0" w:rsidRPr="0020544B">
        <w:rPr>
          <w:lang w:val="en-US"/>
        </w:rPr>
        <w:t xml:space="preserve"> argue that CBMs should transcend firm boundaries and should include contextual factors which </w:t>
      </w:r>
      <w:bookmarkStart w:id="2" w:name="_Hlk98663753"/>
      <w:r w:rsidR="00CA43A0" w:rsidRPr="0020544B">
        <w:rPr>
          <w:lang w:val="en-US"/>
        </w:rPr>
        <w:t>shape the business model.</w:t>
      </w:r>
      <w:r w:rsidR="00CA43A0">
        <w:rPr>
          <w:lang w:val="en-US"/>
        </w:rPr>
        <w:t xml:space="preserve"> </w:t>
      </w:r>
      <w:r w:rsidR="00CA43A0" w:rsidRPr="0020544B">
        <w:rPr>
          <w:lang w:val="en-US"/>
        </w:rPr>
        <w:t xml:space="preserve">However, the contingency </w:t>
      </w:r>
      <w:r w:rsidR="00CA43A0" w:rsidRPr="00D61851">
        <w:rPr>
          <w:lang w:val="en-US"/>
        </w:rPr>
        <w:t xml:space="preserve">perspective on the adoption of sustainable and </w:t>
      </w:r>
      <w:r w:rsidR="00CA43A0" w:rsidRPr="00D82F83">
        <w:rPr>
          <w:lang w:val="en-US"/>
        </w:rPr>
        <w:t>circular manufacturing configurations</w:t>
      </w:r>
      <w:r w:rsidR="00CA43A0" w:rsidRPr="00C002E9">
        <w:rPr>
          <w:lang w:val="en-US"/>
        </w:rPr>
        <w:t xml:space="preserve"> </w:t>
      </w:r>
      <w:r w:rsidR="00CA43A0" w:rsidRPr="008B59A5">
        <w:rPr>
          <w:lang w:val="en-US"/>
        </w:rPr>
        <w:t xml:space="preserve">remains </w:t>
      </w:r>
      <w:r w:rsidR="00CA43A0" w:rsidRPr="00CA43A0">
        <w:rPr>
          <w:lang w:val="en-US"/>
        </w:rPr>
        <w:t xml:space="preserve">rather immature </w:t>
      </w:r>
      <w:r w:rsidR="00CA43A0" w:rsidRPr="0020544B">
        <w:rPr>
          <w:lang w:val="en-US"/>
        </w:rPr>
        <w:fldChar w:fldCharType="begin" w:fldLock="1"/>
      </w:r>
      <w:r w:rsidR="00CA43A0" w:rsidRPr="00CA43A0">
        <w:rPr>
          <w:lang w:val="en-US"/>
        </w:rPr>
        <w:instrText>ADDIN CSL_CITATION {"citationItems":[{"id":"ITEM-1","itemData":{"DOI":"10.1016/j.ijpe.2014.12.009","ISSN":"09255273","abstract":"The literature on production economics has highlighted the importance of information exchange with supply chain partners for achieving performance gains. In addition to managing information to enable product flows, trading enterprises increasingly emphasize environmental management information (EMI) sharing with their upstream suppliers and downstream customers to satisfy their environmental quests. This study seeks to investigate the performance value of EMI sharing with supply chain partners in a trading context from the resources dependence perspective. Using survey responses collected from 210 trading firms in Hong Kong, we find that EMI sharing with suppliers can bring cost and environmental performance, but not profit related benefits. The cost and environmental performance benefits due to EMI sharing with suppliers are more salient when the trading firms operate at high environmental munificence. On the other hand, the results show positive effects in profit and cost performance when the trading firms disclose EMI with their customers. Nevertheless, such sharing with customers brings no environmental related benefits. Managers should understand the performance effects of EMI with supply chain partners and formulate action plans considering environmental munificence to increase their performance success.","author":[{"dropping-particle":"","family":"Lai","given":"Kee Hung","non-dropping-particle":"","parse-names":false,"suffix":""},{"dropping-particle":"","family":"Wong","given":"Christina W.Y.","non-dropping-particle":"","parse-names":false,"suffix":""},{"dropping-particle":"","family":"Lam","given":"Jasmine Siu Lee","non-dropping-particle":"","parse-names":false,"suffix":""}],"container-title":"International Journal of Production Economics","id":"ITEM-1","issued":{"date-parts":[["2015"]]},"page":"445-453","publisher":"Elsevier","title":"Sharing environmental management information with supply chain partners and the performance contingencies on environmental munificence","type":"article-journal","volume":"164"},"uris":["http://www.mendeley.com/documents/?uuid=6d303099-7b6a-4d59-8236-88400900de8c"]},{"id":"ITEM-2","itemData":{"DOI":"10.1016/j.jom.2013.04.002","ISSN":"02726963","abstract":"This study investigates the importance of contextual factors on the efficacy of ISO 9000 adoption. We explore the role of various contextual factors at the firm-level (i.e., technology intensity, labor productivity, and labor intensity) and industry-level (i.e., industry efficiency level, industry competitiveness, industry sales growth, and industry ISO 9000 adoption level) that potentially impact the efficacy of ISO 9000 adoption. We carry out a hierarchical linear modeling (HLM) analysis based on objective financial data from 438 U.S. manufacturing firms. The results show that firms with low technology intensity, low labor productivity and high labor intensity reap more benefit from ISO 9000 adoption. Firms in industries with low efficiency levels, high competition, high sales growth and low ISO 9000 adoption levels also obtain more benefit from the adoption. Our research provides supporting evidence for the context-dependent proposition of ISO 9000 adoption. Given the significant costs and resources involved, it is crucial for operations managers to assess to what extent ISO 9000 might benefit their performance before embarking on the implementation process. © 2013 Elsevier B.V.","author":[{"dropping-particle":"","family":"Lo","given":"Chris K.Y.","non-dropping-particle":"","parse-names":false,"suffix":""},{"dropping-particle":"","family":"Wiengarten","given":"Frank","non-dropping-particle":"","parse-names":false,"suffix":""},{"dropping-particle":"","family":"Humphreys","given":"Paul","non-dropping-particle":"","parse-names":false,"suffix":""},{"dropping-particle":"","family":"Yeung","given":"Andy C.L.","non-dropping-particle":"","parse-names":false,"suffix":""},{"dropping-particle":"","family":"Cheng","given":"T. C.E.","non-dropping-particle":"","parse-names":false,"suffix":""}],"container-title":"Journal of Operations Management","id":"ITEM-2","issue":"5","issued":{"date-parts":[["2013"]]},"page":"229-235","publisher":"Elsevier B.V.","title":"The impact of contextual factors on the efficacy of ISO 9000 adoption","type":"article-journal","volume":"31"},"uris":["http://www.mendeley.com/documents/?uuid=a2e7c8ce-7a60-46e0-9e9c-ec27b3a4def5"]},{"id":"ITEM-3","itemData":{"DOI":"10.1016/j.ijpe.2021.108222","ISSN":"09255273","abstract":"Previous research presents mixed findings about the impact of environmental orientation (EO) on environmental performance (EP). Using the theoretical lens of resource orchestration theory (ROT) and contingency theory (CT), this study explores the relationships between EO, external environmental information exchange (EEIE) (with suppliers and customers), and EP. In particular, this study investigates the mediating role of EEIE between EO and EP, and the moderating effect of EO on the relationship between EEIE and EP. The proposed relationships were analysed through structural equation modelling and hierarchical linear regression analysis using survey data collected in Australia. The results reveal the partial mediating effect of EEIE on the EO-EP link, and the contingency effect of EO on the relationship between EEIE (with customers) and EP. Our study extends the boundaries of the current understanding by empirically testing both mediation and moderation within the same study, thereby presenting insights into how EO can positively influence EP, and under what circumstances. These findings provide managers with useful guidance on how EO can be complemented by external information sharing for environmental solutions.","author":[{"dropping-particle":"","family":"Chavez","given":"Roberto","non-dropping-particle":"","parse-names":false,"suffix":""},{"dropping-particle":"","family":"Malik","given":"Mohsin","non-dropping-particle":"","parse-names":false,"suffix":""},{"dropping-particle":"","family":"Ghaderi","given":"Hadi","non-dropping-particle":"","parse-names":false,"suffix":""},{"dropping-particle":"","family":"Yu","given":"Wantao","non-dropping-particle":"","parse-names":false,"suffix":""}],"container-title":"International Journal of Production Economics","id":"ITEM-3","issue":"July","issued":{"date-parts":[["2021"]]},"page":"108222","publisher":"Elsevier B.V.","title":"Environmental orientation, external environmental information exchange and environmental performance: Examining mediation and moderation effects","type":"article-journal","volume":"240"},"uris":["http://www.mendeley.com/documents/?uuid=3a6a35ce-75f9-4156-92ec-5b077d310adb"]}],"mendeley":{"formattedCitation":"(Chavez et al., 2021; Lai et al., 2015; Lo et al., 2013)","plainTextFormattedCitation":"(Chavez et al., 2021; Lai et al., 2015; Lo et al., 2013)","previouslyFormattedCitation":"(Chavez et al., 2021; Lai et al., 2015; Lo et al., 2013)"},"properties":{"noteIndex":0},"schema":"https://github.com/citation-style-language/schema/raw/master/csl-citation.json"}</w:instrText>
      </w:r>
      <w:r w:rsidR="00CA43A0" w:rsidRPr="0020544B">
        <w:rPr>
          <w:lang w:val="en-US"/>
        </w:rPr>
        <w:fldChar w:fldCharType="separate"/>
      </w:r>
      <w:r w:rsidR="00CA43A0" w:rsidRPr="007B2648">
        <w:rPr>
          <w:noProof/>
          <w:lang w:val="en-US"/>
        </w:rPr>
        <w:t>(Chavez et al., 2021; Lai et al., 2015; Lo et al., 2013)</w:t>
      </w:r>
      <w:r w:rsidR="00CA43A0" w:rsidRPr="0020544B">
        <w:rPr>
          <w:lang w:val="en-US"/>
        </w:rPr>
        <w:fldChar w:fldCharType="end"/>
      </w:r>
      <w:r w:rsidR="00CA43A0" w:rsidRPr="007B2648">
        <w:rPr>
          <w:lang w:val="en-US"/>
        </w:rPr>
        <w:t xml:space="preserve">. </w:t>
      </w:r>
      <w:r w:rsidR="001E1881" w:rsidRPr="0020544B">
        <w:rPr>
          <w:lang w:val="en-US"/>
        </w:rPr>
        <w:t>Current litera</w:t>
      </w:r>
      <w:r w:rsidR="001E1881" w:rsidRPr="00D61851">
        <w:rPr>
          <w:lang w:val="en-US"/>
        </w:rPr>
        <w:t>ture</w:t>
      </w:r>
      <w:r w:rsidR="00EF636F" w:rsidRPr="00CA43A0">
        <w:rPr>
          <w:lang w:val="en-US"/>
        </w:rPr>
        <w:t xml:space="preserve"> on CBMs typically take</w:t>
      </w:r>
      <w:r w:rsidR="00CA43A0">
        <w:rPr>
          <w:lang w:val="en-US"/>
        </w:rPr>
        <w:t>s</w:t>
      </w:r>
      <w:r w:rsidR="00EF636F" w:rsidRPr="0020544B">
        <w:rPr>
          <w:lang w:val="en-US"/>
        </w:rPr>
        <w:t xml:space="preserve"> a firm-level perspective where the CBM describes </w:t>
      </w:r>
      <w:bookmarkEnd w:id="2"/>
      <w:r w:rsidR="00EF636F" w:rsidRPr="0020544B">
        <w:rPr>
          <w:lang w:val="en-US"/>
        </w:rPr>
        <w:t xml:space="preserve">how a firm creates value by adopting a circular </w:t>
      </w:r>
      <w:bookmarkStart w:id="3" w:name="_Hlk98663760"/>
      <w:r w:rsidR="00EF636F" w:rsidRPr="0020544B">
        <w:rPr>
          <w:lang w:val="en-US"/>
        </w:rPr>
        <w:t>practice regardless of the context.</w:t>
      </w:r>
      <w:r w:rsidR="00EF636F" w:rsidRPr="00CA43A0">
        <w:rPr>
          <w:lang w:val="en-US"/>
        </w:rPr>
        <w:t xml:space="preserve"> </w:t>
      </w:r>
      <w:r w:rsidR="00242F5D" w:rsidRPr="007B2648">
        <w:rPr>
          <w:lang w:val="en-US"/>
        </w:rPr>
        <w:t xml:space="preserve">An exception is </w:t>
      </w:r>
      <w:r w:rsidR="00275B73" w:rsidRPr="007B2648">
        <w:rPr>
          <w:lang w:val="en-US"/>
        </w:rPr>
        <w:fldChar w:fldCharType="begin" w:fldLock="1"/>
      </w:r>
      <w:r w:rsidR="00995D0F" w:rsidRPr="007B2648">
        <w:rPr>
          <w:lang w:val="en-US"/>
        </w:rPr>
        <w:instrText>ADDIN CSL_CITATION {"citationItems":[{"id":"ITEM-1","itemData":{"DOI":"10.1016/j.ijpe.2022.108414","ISSN":"09255273","abstract":"Additive manufacturing (AM) is one of the technologies driving the shift to Industry 4.0. This transition reconfigures the supply chain to achieve the circular economy (CE) ideal along with improved resource efficiency. This study aims to explore how AM can be implemented in the CE context and to conceptualise the integration of AM and CE. The conceptual elements are identified through a systematic review and content analysis of the related literature, which consist of 51 journal articles. The content analysis was further enhanced by a contingency analysis and a causal loop diagram (CLD). The study highlights the role of the customer and the maturity of the technology as cornerstones when adopting AM in the CE context. Further, understanding the impact of manufacture location, the rapid prototyping legacy and workforce skill is crucial for achieving sustainability in the long run through AM implementation. Further, the contingency analysis reveals key constructs, which are grouped into five key clusters that need to be considered when implementing AM: (1) supply chain actors, (2) drivers, (3) key AM decisions, (4) CE implementation strategies and (5) operational practices. The CLD illustrates the interconnections between these five clusters, thereby revealing how key AM decisions and drivers mediate the influence exerted by CE implementation strategies and supply chain actors of AM on the operational practices. From a practical viewpoint, this study strives to realise the CE by proposing an elaborated guideline for practitioners to implement state-of-the-art AM technology.","author":[{"dropping-particle":"","family":"Hettiarachchi","given":"Biman Darshana","non-dropping-particle":"","parse-names":false,"suffix":""},{"dropping-particle":"","family":"Brandenburg","given":"Marcus","non-dropping-particle":"","parse-names":false,"suffix":""},{"dropping-particle":"","family":"Seuring","given":"Stefan","non-dropping-particle":"","parse-names":false,"suffix":""}],"container-title":"International Journal of Production Economics","id":"ITEM-1","issue":"January","issued":{"date-parts":[["2022"]]},"page":"108414","publisher":"Elsevier B.V.","title":"Connecting additive manufacturing to circular economy implementation strategies: Links, contingencies and causal loops","type":"article-journal","volume":"246"},"uris":["http://www.mendeley.com/documents/?uuid=46b7cf44-e45e-40d8-b74a-2d62f558424c"]}],"mendeley":{"formattedCitation":"(Hettiarachchi et al., 2022)","manualFormatting":"Hettiarachchi et al. (2022)","plainTextFormattedCitation":"(Hettiarachchi et al., 2022)","previouslyFormattedCitation":"(Hettiarachchi et al., 2022)"},"properties":{"noteIndex":0},"schema":"https://github.com/citation-style-language/schema/raw/master/csl-citation.json"}</w:instrText>
      </w:r>
      <w:r w:rsidR="00275B73" w:rsidRPr="007B2648">
        <w:rPr>
          <w:lang w:val="en-US"/>
        </w:rPr>
        <w:fldChar w:fldCharType="separate"/>
      </w:r>
      <w:r w:rsidR="00275B73" w:rsidRPr="007B2648">
        <w:rPr>
          <w:noProof/>
          <w:lang w:val="en-US"/>
        </w:rPr>
        <w:t xml:space="preserve">Hettiarachchi et al. </w:t>
      </w:r>
      <w:r w:rsidR="00736C20" w:rsidRPr="007B2648">
        <w:rPr>
          <w:noProof/>
          <w:lang w:val="en-US"/>
        </w:rPr>
        <w:t>(</w:t>
      </w:r>
      <w:r w:rsidR="00275B73" w:rsidRPr="007B2648">
        <w:rPr>
          <w:noProof/>
          <w:lang w:val="en-US"/>
        </w:rPr>
        <w:t>2022)</w:t>
      </w:r>
      <w:r w:rsidR="00275B73" w:rsidRPr="007B2648">
        <w:rPr>
          <w:lang w:val="en-US"/>
        </w:rPr>
        <w:fldChar w:fldCharType="end"/>
      </w:r>
      <w:r w:rsidR="002514B9" w:rsidRPr="007B2648">
        <w:rPr>
          <w:lang w:val="en-US"/>
        </w:rPr>
        <w:t xml:space="preserve"> who explored contingency factors for additive </w:t>
      </w:r>
      <w:bookmarkEnd w:id="3"/>
      <w:r w:rsidR="002514B9" w:rsidRPr="007B2648">
        <w:rPr>
          <w:lang w:val="en-US"/>
        </w:rPr>
        <w:t xml:space="preserve">manufacturing </w:t>
      </w:r>
      <w:r w:rsidR="00FB2263" w:rsidRPr="007B2648">
        <w:rPr>
          <w:lang w:val="en-US"/>
        </w:rPr>
        <w:t xml:space="preserve">to reduce material usage </w:t>
      </w:r>
      <w:r w:rsidR="00736C20" w:rsidRPr="007B2648">
        <w:rPr>
          <w:lang w:val="en-US"/>
        </w:rPr>
        <w:t>as a circular economy strategy</w:t>
      </w:r>
      <w:r w:rsidR="00D82F83">
        <w:rPr>
          <w:lang w:val="en-US"/>
        </w:rPr>
        <w:t xml:space="preserve">. </w:t>
      </w:r>
      <w:r w:rsidR="00736C20" w:rsidRPr="007B2648">
        <w:rPr>
          <w:lang w:val="en-US"/>
        </w:rPr>
        <w:t xml:space="preserve">Hence, exploring contingency factors is </w:t>
      </w:r>
      <w:r w:rsidR="00242F5D" w:rsidRPr="0020544B">
        <w:rPr>
          <w:lang w:val="en-US"/>
        </w:rPr>
        <w:t>crucial to gain a deeper understanding o</w:t>
      </w:r>
      <w:r w:rsidR="00736C20" w:rsidRPr="0020544B">
        <w:rPr>
          <w:lang w:val="en-US"/>
        </w:rPr>
        <w:t>n</w:t>
      </w:r>
      <w:r w:rsidR="00242F5D" w:rsidRPr="00D61851">
        <w:rPr>
          <w:lang w:val="en-US"/>
        </w:rPr>
        <w:t xml:space="preserve"> when (not) to adopt a certain manufacturing </w:t>
      </w:r>
      <w:proofErr w:type="gramStart"/>
      <w:r w:rsidR="00242F5D" w:rsidRPr="00D61851">
        <w:rPr>
          <w:lang w:val="en-US"/>
        </w:rPr>
        <w:t>configuration</w:t>
      </w:r>
      <w:proofErr w:type="gramEnd"/>
      <w:r w:rsidR="00D61851">
        <w:rPr>
          <w:lang w:val="en-US"/>
        </w:rPr>
        <w:t xml:space="preserve"> </w:t>
      </w:r>
    </w:p>
    <w:p w14:paraId="35639D6F" w14:textId="6E1F0CC3" w:rsidR="00A93DA6" w:rsidRPr="005359EE" w:rsidRDefault="002B489E" w:rsidP="000F6D5B">
      <w:pPr>
        <w:spacing w:after="0"/>
        <w:ind w:firstLine="284"/>
        <w:jc w:val="both"/>
        <w:rPr>
          <w:lang w:val="en-US"/>
        </w:rPr>
      </w:pPr>
      <w:r>
        <w:rPr>
          <w:lang w:val="en-US"/>
        </w:rPr>
        <w:t xml:space="preserve">Supply characteristics such as </w:t>
      </w:r>
      <w:r w:rsidR="00EA4A91">
        <w:rPr>
          <w:lang w:val="en-US"/>
        </w:rPr>
        <w:t>h</w:t>
      </w:r>
      <w:r w:rsidR="00EA4A91" w:rsidRPr="007C12DD">
        <w:rPr>
          <w:lang w:val="en-US"/>
        </w:rPr>
        <w:t>eterogeneous</w:t>
      </w:r>
      <w:r w:rsidR="00A93DA6" w:rsidRPr="007C12DD">
        <w:rPr>
          <w:lang w:val="en-US"/>
        </w:rPr>
        <w:t xml:space="preserve"> quality, insufficient quantities and uncertain timing are </w:t>
      </w:r>
      <w:r w:rsidR="008A7140" w:rsidRPr="007C12DD">
        <w:rPr>
          <w:lang w:val="en-US"/>
        </w:rPr>
        <w:t xml:space="preserve">well-established </w:t>
      </w:r>
      <w:r>
        <w:rPr>
          <w:lang w:val="en-US"/>
        </w:rPr>
        <w:t>contingent factors</w:t>
      </w:r>
      <w:r w:rsidR="00A93DA6" w:rsidRPr="007C12DD">
        <w:rPr>
          <w:lang w:val="en-US"/>
        </w:rPr>
        <w:t xml:space="preserve"> which affect the manufacturing performance of </w:t>
      </w:r>
      <w:r w:rsidR="00EF7082" w:rsidRPr="007C12DD">
        <w:rPr>
          <w:lang w:val="en-US"/>
        </w:rPr>
        <w:t>CBMs</w:t>
      </w:r>
      <w:r w:rsidR="00A93DA6" w:rsidRPr="007C12DD">
        <w:rPr>
          <w:lang w:val="en-US"/>
        </w:rPr>
        <w:t xml:space="preserve"> </w:t>
      </w:r>
      <w:r w:rsidR="00106DAB" w:rsidRPr="007C12DD">
        <w:rPr>
          <w:lang w:val="en-US"/>
        </w:rPr>
        <w:t>(</w:t>
      </w:r>
      <w:proofErr w:type="spellStart"/>
      <w:r w:rsidR="00A93DA6" w:rsidRPr="007C12DD">
        <w:rPr>
          <w:lang w:val="en-US"/>
        </w:rPr>
        <w:fldChar w:fldCharType="begin" w:fldLock="1"/>
      </w:r>
      <w:r w:rsidR="005A3405">
        <w:rPr>
          <w:lang w:val="en-US"/>
        </w:rPr>
        <w:instrText>ADDIN CSL_CITATION {"citationItems":[{"id":"ITEM-1","itemData":{"DOI":"10.1016/j.jclepro.2020.120916","ISSN":"09596526","abstract":"Studies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Production","id":"ITEM-1","issued":{"date-parts":[["2020"]]},"page":"120916","publisher":"Elsevier Ltd","title":"Exploring factors affecting the financial performance of end-of-life take-back program in a discrete manufacturing context","type":"article-journal","volume":"258"},"uris":["http://www.mendeley.com/documents/?uuid=75795c4f-48ec-4fa7-9c67-1b24d7388aba"]},{"id":"ITEM-2","itemData":{"DOI":"10.1111/j.1937-5956.2001.tb00075.x","abstract":"Firms are often encouraged to offer environmentally friendly products as a demonstration of corporate citizenship. However, this may prove to be an unrealistic expectation since a rational firm will only engage in profitable ventures; those that increase shareholder wealth. We develop a framework for analyzing the profitability of reuse activities and show how the management of product returns influences operational requirements. We show that the acquisition of used products may be used as the control lever for the management and profitability of reuse activities. These activities, termed product acquisition management, affect several important business decisions. First, if a firm is to pursue reuse activities, these reuse activities must be value-creating. Second, if a firm is to compete by offering remanufactured products, then we show how product returns management influences the overall profitability of such activities via a trial and error EVA approach. Third, we show how operational issues are strongly affected by the approach used to manage product returns. There is a need for future research specifying the mathematical relationship between acquisition price and the nominal quality of the returned product.","author":[{"dropping-particle":"","family":"Guide","given":"V. Daniel R.","non-dropping-particle":"","parse-names":false,"suffix":""},{"dropping-particle":"","family":"Wassenhove","given":"Luk N.","non-dropping-particle":"Van","parse-names":false,"suffix":""}],"container-title":"Production and Operations Management","id":"ITEM-2","issue":"2","issued":{"date-parts":[["2009"]]},"page":"142-155","title":"Managing Product Returns for Remanufacturing","type":"article-journal","volume":"10"},"uris":["http://www.mendeley.com/documents/?uuid=e53441d5-ce2f-4999-af69-62b89096260f"]},{"id":"ITEM-3","itemData":{"DOI":"10.1111/j.1937-5956.2006.tb00252.x","ISSN":"1059-1478","abstract":"The condition of the used items acquired by remanufacturers is often highly variable, and sorting is an important aspect of remanufacturing operations. Sorting policies-the rules specifying which used products should be remanufactured and which should be scrapped-have received limited attention in the literature. In this paper, we examine the case of a remanufacturer who acquires unsorted used products as needed from third party brokers. As more used items are acquired for a given demand, the remanufacturer can be more selective when sorting. Thus, two related decisions are made: how many used items to acquire, and how selective to be during the sorting process. We derive optimal acquisition and sorting policies in the presence of used product condition variability for a remanufacturer facing both deterministic and uncertain demand. We show the existence of a single optimal acquisition and sorting policy with a simple structure and show that this policy is independent of production amount when acquisition costs are linear.","author":[{"dropping-particle":"","family":"Galbreth","given":"Michael R.","non-dropping-particle":"","parse-names":false,"suffix":""},{"dropping-particle":"","family":"Blackburn","given":"Joseph D.","non-dropping-particle":"","parse-names":false,"suffix":""}],"container-title":"Production and Operations Management","id":"ITEM-3","issue":"3","issued":{"date-parts":[["2009"]]},"page":"384-392","title":"Optimal Acquisition and Sorting Policies for Remanufacturing","type":"article-journal","volume":"15"},"uris":["http://www.mendeley.com/documents/?uuid=6125ff2d-5f86-4216-996f-d5ae405b52dc"]},{"id":"ITEM-4","itemData":{"DOI":"10.1016/j.ejor.2006.10.025","ISSN":"03772217","abstract":"This paper investigates how the profitability of reuse activities is affected by uncertainty regarding the quality of returned products. Specifically, we examine a reverse supply chain consisting of two collection sites and a refurbishing site, which faces stochastic demand for refurbished products in a single-period setting. The quality of returns (refurbishing yield) becomes known only after the transportation of the products to the refurbishing site. We prove that the expected profit function has a unique optimal solution (procurement and production quantities) and we derive the conditions under which it is optimal to use only one of the collection sites. The analysis is supported by numerical results which provide insights regarding the effect of the uncertain yields at the two collection sites and their correlation on optimal decisions and system profitability. © 2006 Elsevier B.V. All rights reserved.","author":[{"dropping-particle":"","family":"Zikopoulos","given":"Christos","non-dropping-particle":"","parse-names":false,"suffix":""},{"dropping-particle":"","family":"Tagaras","given":"George","non-dropping-particle":"","parse-names":false,"suffix":""}],"container-title":"European Journal of Operational Research","id":"ITEM-4","issue":"1","issued":{"date-parts":[["2007"]]},"page":"205-225","title":"Impact of uncertainty in the quality of returns on the profitability of a single-period refurbishing operation","type":"article-journal","volume":"182"},"uris":["http://www.mendeley.com/documents/?uuid=83094d05-122e-48d3-8aca-5008840c0fae"]},{"id":"ITEM-5","itemData":{"DOI":"10.1016/j.jclepro.2019.06.169","ISSN":"09596526","abstract":"Reusing waste materials of other industries, a practice known as industrial symbiosis, attracts growing attention by industry. However, the waste materials are often of lower quality than the virgin materials they substitute. When production processes are intolerant for lower quality materials, production issues may occur. This paper sets out to explore how firms can manage the waste quality through supplier integration with the waste supplier. As suppliers have to learn new knowledge, the construct of absorptive capacity is used as an interpretive lens. An in-depth longitudinal exploratory case study approach is used to examine the involvement of different individuals and departments in the supplier integration activities in the context of the waste-based fuel supply chain of a global cement producer. Qualitative and quantitative data was gathered at both the buyer and the supplier. The data show that buyers can increase the absorptive capacity of the suppliers by aligning their own knowledge bases with the scope of the supplier integration. The increased absorptive capacity enables the suppliers to align waste quality with production requirements. Managing waste quality is an important capability of industrial symbiosis, especially when firms want to go beyond the low-hanging fruits and increase the effectiveness of their industrial symbiosis activities. The research concludes with theoretical and managerial insights into how firms can organize the supplier integration to manage waste quality in the context of industrial symbiosis.","author":[{"dropping-particle":"","family":"Prosman","given":"Ernst Johannes","non-dropping-particle":"","parse-names":false,"suffix":""},{"dropping-particle":"","family":"Wæhrens","given":"Brian Vejrum","non-dropping-particle":"","parse-names":false,"suffix":""}],"container-title":"Journal of Cleaner Production","id":"ITEM-5","issued":{"date-parts":[["2019"]]},"page":"113-123","publisher":"Elsevier Ltd","title":"Managing waste quality in industrial symbiosis: Insights on how to organize supplier integration","type":"article-journal","volume":"234"},"uris":["http://www.mendeley.com/documents/?uuid=2053dc3e-ebe1-4659-b383-3a84833720c9"]},{"id":"ITEM-6","itemData":{"DOI":"10.1080/00207543.2018.1542176","ISSN":"1366588X","abstract":"Despite companies face several challenges when redesigning their supply chain for the Circular Economy, the literature lacks a systematisation of such challenges and of the ways to overcome them. Through a systematic literature review, this paper identifies and systematises 24 challenges that may hamper a supply chain redesign for the Circular Economy. Sixteen among these challenges are well known from research in related topics. On the contrary, the remaining eight are relatively new or take a different relevance within the Circular Economy context. A multiple case study in the household appliance supply chain is carried out, to explore how these challenges appear in practice and how companies may tackle them. The cases analysed involve actors at different supply chain levels, and findings suggest that a great degree of vertical integration by one actor in the supply chain is not a necessary condition for Circular Economy implementation. The empirical study, in conjunction with the literature analysis, leads to the development of a framework linking the challenges to specific levers that companies may pursue to overcome them. The framework can be seen as a reference for managers undertaking the path towards Circular Economy.","author":[{"dropping-particle":"","family":"Bressanelli","given":"Gianmarco","non-dropping-particle":"","parse-names":false,"suffix":""},{"dropping-particle":"","family":"Perona","given":"Marco","non-dropping-particle":"","parse-names":false,"suffix":""},{"dropping-particle":"","family":"Saccani","given":"Nicola","non-dropping-particle":"","parse-names":false,"suffix":""}],"container-title":"International Journal of Production Research","id":"ITEM-6","issue":"23","issued":{"date-parts":[["2019"]]},"page":"7395-7422","publisher":"Taylor &amp; Francis","title":"Challenges in supply chain redesign for the Circular Economy: a literature review and a multiple case study","type":"article-journal","volume":"57"},"uris":["http://www.mendeley.com/documents/?uuid=70dc2b0f-3931-447f-b022-110e0032d74a"]}],"mendeley":{"formattedCitation":"(Markus Thomas Bockholt et al., 2020; Bressanelli et al., 2019; Galbreth &amp; Blackburn, 2009; Guide &amp; Van Wassenhove, 2009; Prosman &amp; Wæhrens, 2019; Zikopoulos &amp; Tagaras, 2007)","manualFormatting":"Bockholt et al., 2020; Bressanelli et al., 2019; Galbreth and Blackburn, 2009; Guide and Van Wassenhove, 2009a; Prosman and Wæhrens, 2019)","plainTextFormattedCitation":"(Markus Thomas Bockholt et al., 2020; Bressanelli et al., 2019; Galbreth &amp; Blackburn, 2009; Guide &amp; Van Wassenhove, 2009; Prosman &amp; Wæhrens, 2019; Zikopoulos &amp; Tagaras, 2007)","previouslyFormattedCitation":"(Markus Thomas Bockholt et al., 2020; Bressanelli et al., 2019; Galbreth &amp; Blackburn, 2009; Guide &amp; Van Wassenhove, 2009; Prosman &amp; Wæhrens, 2019; Zikopoulos &amp; Tagaras, 2007)"},"properties":{"noteIndex":0},"schema":"https://github.com/citation-style-language/schema/raw/master/csl-citation.json"}</w:instrText>
      </w:r>
      <w:r w:rsidR="00A93DA6" w:rsidRPr="007C12DD">
        <w:rPr>
          <w:lang w:val="en-US"/>
        </w:rPr>
        <w:fldChar w:fldCharType="separate"/>
      </w:r>
      <w:r w:rsidR="008A7140" w:rsidRPr="007C12DD">
        <w:rPr>
          <w:noProof/>
          <w:lang w:val="en-US"/>
        </w:rPr>
        <w:t>Bockholt</w:t>
      </w:r>
      <w:proofErr w:type="spellEnd"/>
      <w:r w:rsidR="008A7140" w:rsidRPr="007C12DD">
        <w:rPr>
          <w:noProof/>
          <w:lang w:val="en-US"/>
        </w:rPr>
        <w:t xml:space="preserve"> et al., 2020; Bressanelli et al., 2019; Galbreth and Blackburn, 2009; Guide and Van Wassenhove, 2009a; Prosman and Wæhrens, 2019)</w:t>
      </w:r>
      <w:r w:rsidR="00A93DA6" w:rsidRPr="007C12DD">
        <w:rPr>
          <w:lang w:val="en-US"/>
        </w:rPr>
        <w:fldChar w:fldCharType="end"/>
      </w:r>
      <w:r w:rsidR="00A93DA6" w:rsidRPr="007C12DD">
        <w:rPr>
          <w:lang w:val="en-US"/>
        </w:rPr>
        <w:t>.</w:t>
      </w:r>
      <w:r w:rsidR="00C36CBE" w:rsidRPr="007C12DD">
        <w:rPr>
          <w:lang w:val="en-US"/>
        </w:rPr>
        <w:t xml:space="preserve"> T</w:t>
      </w:r>
      <w:r w:rsidR="00A93DA6" w:rsidRPr="007C12DD">
        <w:rPr>
          <w:lang w:val="en-US"/>
        </w:rPr>
        <w:t xml:space="preserve">he negative impact of </w:t>
      </w:r>
      <w:r w:rsidR="00EA4A91" w:rsidRPr="007C12DD">
        <w:rPr>
          <w:lang w:val="en-US"/>
        </w:rPr>
        <w:t>heterogeneous</w:t>
      </w:r>
      <w:r w:rsidR="00A93DA6" w:rsidRPr="007C12DD">
        <w:rPr>
          <w:lang w:val="en-US"/>
        </w:rPr>
        <w:t xml:space="preserve"> quality stems from higher </w:t>
      </w:r>
      <w:r w:rsidR="00D538D8">
        <w:rPr>
          <w:lang w:val="en-US"/>
        </w:rPr>
        <w:t xml:space="preserve">costs due to </w:t>
      </w:r>
      <w:r w:rsidR="00A93DA6" w:rsidRPr="007C12DD">
        <w:rPr>
          <w:lang w:val="en-US"/>
        </w:rPr>
        <w:t xml:space="preserve">testing, sorting and grading </w:t>
      </w:r>
      <w:r w:rsidR="00D538D8">
        <w:rPr>
          <w:lang w:val="en-US"/>
        </w:rPr>
        <w:t>activities</w:t>
      </w:r>
      <w:r w:rsidR="00A93DA6" w:rsidRPr="007C12DD">
        <w:rPr>
          <w:lang w:val="en-US"/>
        </w:rPr>
        <w:t xml:space="preserve"> </w:t>
      </w:r>
      <w:r w:rsidR="00A93DA6" w:rsidRPr="007C12DD">
        <w:rPr>
          <w:lang w:val="en-US"/>
        </w:rPr>
        <w:fldChar w:fldCharType="begin" w:fldLock="1"/>
      </w:r>
      <w:r w:rsidR="00C83A66">
        <w:rPr>
          <w:lang w:val="en-US"/>
        </w:rPr>
        <w:instrText>ADDIN CSL_CITATION {"citationItems":[{"id":"ITEM-1","itemData":{"ISSN":"0017-8012","abstract":"Companies should make design and manufacturing decisions with eventual recycling and reconditioning of their products in mind. Here are the five key activities for establishing a reverse supply chain. [ABSTRACT FROM AUTHOR]","author":[{"dropping-particle":"","family":"Guide Jr.","given":"V.","non-dropping-particle":"","parse-names":false,"suffix":""},{"dropping-particle":"","family":"Wassenhove","given":"Luk","non-dropping-particle":"Van","parse-names":false,"suffix":""}],"container-title":"Harvard business review","id":"ITEM-1","issue":"2","issued":{"date-parts":[["2002"]]},"page":"25-26","title":"The Reverse Supply Chain","type":"article-journal","volume":"80"},"uris":["http://www.mendeley.com/documents/?uuid=d1e9f3c4-3e89-47ea-84e2-8b47bcb99837"]},{"id":"ITEM-2","itemData":{"DOI":"10.1016/j.cie.2007.12.009","ISSN":"03608352","abstract":"This study analyses a production-management model that considers the possibility of implementing a reverse-logistics system for remanufacturing end-of-life products in a lean production environment (as opposed to models that use EOQ approaches). Decision variables are identified (including manufacturing and remanufacturing capacities and return rates and use rates for end-of-life products) and optimal policies are determined. Moreover, the structure of these optimal policies is analysed. The conclusion drawn is that, in many realistic scenarios, mixed policies (that is, with return rates and use rates strictly between 0 and 1) can be optimal. This conclusion is contrary to results published in earlier studies, which are based on more restrictive assumptions. © 2007 Elsevier Ltd. All rights reserved.","author":[{"dropping-particle":"","family":"Rubio","given":"Sergio","non-dropping-particle":"","parse-names":false,"suffix":""},{"dropping-particle":"","family":"Corominas","given":"Albert","non-dropping-particle":"","parse-names":false,"suffix":""}],"container-title":"Computers and Industrial Engineering","id":"ITEM-2","issue":"1","issued":{"date-parts":[["2008"]]},"page":"234-242","title":"Optimal manufacturing-remanufacturing policies in a lean production environment","type":"article-journal","volume":"55"},"uris":["http://www.mendeley.com/documents/?uuid=46dc9001-d120-4a21-bdd3-fba13de9e468"]},{"id":"ITEM-3","itemData":{"DOI":"10.1108/13598540210447719","ISBN":"1359854021044","ISSN":"13598546","abstract":"This paper compares and contrasts forward and reverse logistics in a retail environment, with the focus on the reverse flow of product. Many differences between forward and reverse flows of logistics systems are presented. The impact of these factors depends to some extent on the supply chain position of a firm. Unlike much reverse logistics research, which is written from the perspective of the firm which will remanufacture or refurbish the product in the reverse flow, we consider the issues from the perspective of the firm generating the reverse flow. © 2002, MCB UP Limited","author":[{"dropping-particle":"","family":"Tibben-Lembke","given":"Ronald S.","non-dropping-particle":"","parse-names":false,"suffix":""},{"dropping-particle":"","family":"Rogers","given":"Dale S.","non-dropping-particle":"","parse-names":false,"suffix":""}],"container-title":"Supply Chain Management: An International Journal","id":"ITEM-3","issue":"5","issued":{"date-parts":[["2002"]]},"page":"271-282","title":"Differences between forward and reverse logistics in a retail environment","type":"article-journal","volume":"7"},"uris":["http://www.mendeley.com/documents/?uuid=0aa86a21-32d0-425f-a138-ef8e90a3e713"]},{"id":"ITEM-4","itemData":{"author":[{"dropping-particle":"","family":"Carter","given":"Craig R","non-dropping-particle":"","parse-names":false,"suffix":""},{"dropping-particle":"","family":"Ellram","given":"Lisa M","non-dropping-particle":"","parse-names":false,"suffix":""}],"container-title":"Journal of Business Logistics","id":"ITEM-4","issue":"1","issued":{"date-parts":[["1998"]]},"page":"85-102","title":"Reverse Logistics: A review of the literature and framework for future investigation","type":"article-journal","volume":"19"},"uris":["http://www.mendeley.com/documents/?uuid=e414708b-4cf5-49ab-a150-69d338d0ffd8"]}],"mendeley":{"formattedCitation":"(Carter &amp; Ellram, 1998; V. Guide Jr. &amp; Van Wassenhove, 2002; Rubio &amp; Corominas, 2008; Tibben-Lembke &amp; Rogers, 2002)","manualFormatting":"(Rubio and Corominas, 2008)","plainTextFormattedCitation":"(Carter &amp; Ellram, 1998; V. Guide Jr. &amp; Van Wassenhove, 2002; Rubio &amp; Corominas, 2008; Tibben-Lembke &amp; Rogers, 2002)","previouslyFormattedCitation":"(Carter &amp; Ellram, 1998; V. Guide Jr. &amp; Van Wassenhove, 2002; Rubio &amp; Corominas, 2008; Tibben-Lembke &amp; Rogers, 2002)"},"properties":{"noteIndex":0},"schema":"https://github.com/citation-style-language/schema/raw/master/csl-citation.json"}</w:instrText>
      </w:r>
      <w:r w:rsidR="00A93DA6" w:rsidRPr="007C12DD">
        <w:rPr>
          <w:lang w:val="en-US"/>
        </w:rPr>
        <w:fldChar w:fldCharType="separate"/>
      </w:r>
      <w:r w:rsidR="00A93DA6" w:rsidRPr="007C12DD">
        <w:rPr>
          <w:noProof/>
          <w:lang w:val="en-US"/>
        </w:rPr>
        <w:t>(Rubio and Corominas, 2008)</w:t>
      </w:r>
      <w:r w:rsidR="00A93DA6" w:rsidRPr="007C12DD">
        <w:rPr>
          <w:lang w:val="en-US"/>
        </w:rPr>
        <w:fldChar w:fldCharType="end"/>
      </w:r>
      <w:r w:rsidR="00A93DA6" w:rsidRPr="007C12DD">
        <w:rPr>
          <w:lang w:val="en-US"/>
        </w:rPr>
        <w:t xml:space="preserve">. </w:t>
      </w:r>
      <w:r w:rsidR="00A93DA6" w:rsidRPr="007C12DD">
        <w:rPr>
          <w:lang w:val="en-US"/>
        </w:rPr>
        <w:lastRenderedPageBreak/>
        <w:t>Moreover,</w:t>
      </w:r>
      <w:r w:rsidR="0063737C" w:rsidRPr="005359EE">
        <w:rPr>
          <w:lang w:val="en-US"/>
        </w:rPr>
        <w:t xml:space="preserve"> </w:t>
      </w:r>
      <w:r w:rsidR="00EA4A91" w:rsidRPr="005359EE">
        <w:rPr>
          <w:lang w:val="en-US"/>
        </w:rPr>
        <w:t>heterogeneous</w:t>
      </w:r>
      <w:r w:rsidR="0063737C" w:rsidRPr="005359EE">
        <w:rPr>
          <w:lang w:val="en-US"/>
        </w:rPr>
        <w:t xml:space="preserve"> quality can cause highly variable processing times</w:t>
      </w:r>
      <w:r w:rsidR="0027494E" w:rsidRPr="005359EE">
        <w:rPr>
          <w:lang w:val="en-US"/>
        </w:rPr>
        <w:t>,</w:t>
      </w:r>
      <w:r w:rsidR="0063737C" w:rsidRPr="005359EE">
        <w:rPr>
          <w:lang w:val="en-US"/>
        </w:rPr>
        <w:t xml:space="preserve"> as such complicating the production planning and control and limiting </w:t>
      </w:r>
      <w:r w:rsidR="00E61928">
        <w:rPr>
          <w:lang w:val="en-US"/>
        </w:rPr>
        <w:t xml:space="preserve">the </w:t>
      </w:r>
      <w:r w:rsidR="0063737C" w:rsidRPr="005359EE">
        <w:rPr>
          <w:lang w:val="en-US"/>
        </w:rPr>
        <w:t xml:space="preserve">opportunities for standardized manufacturing </w:t>
      </w:r>
      <w:r w:rsidR="0063737C" w:rsidRPr="005359EE">
        <w:rPr>
          <w:lang w:val="en-US"/>
        </w:rPr>
        <w:fldChar w:fldCharType="begin" w:fldLock="1"/>
      </w:r>
      <w:r w:rsidR="00C83A66">
        <w:rPr>
          <w:lang w:val="en-US"/>
        </w:rPr>
        <w:instrText>ADDIN CSL_CITATION {"citationItems":[{"id":"ITEM-1","itemData":{"ISBN":"1412396476","abstract":"Remanufacturing represents a higher form of reuse by focusing on value-added recovery, rather than materials recovery (ie, recycling). Remanufacturing systems are widespread in the United States and are profitable. However, the management of production planning  ... \\n","author":[{"dropping-particle":"","family":"Guide Jr","given":"V D R","non-dropping-particle":"","parse-names":false,"suffix":""}],"container-title":"Journal of Operations Management","id":"ITEM-1","issue":"4","issued":{"date-parts":[["2000"]]},"page":"467-483","title":"Production planning and control for remanufacturing: industry practice and research needs","type":"article-journal","volume":"18"},"uris":["http://www.mendeley.com/documents/?uuid=5b50c11d-7130-4a29-b5df-c39ff8070852"]},{"id":"ITEM-2","itemData":{"DOI":"10.1016/j.jclepro.2020.120916","ISSN":"09596526","abstract":"Studies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Production","id":"ITEM-2","issued":{"date-parts":[["2020"]]},"page":"120916","publisher":"Elsevier Ltd","title":"Exploring factors affecting the financial performance of end-of-life take-back program in a discrete manufacturing context","type":"article-journal","volume":"258"},"uris":["http://www.mendeley.com/documents/?uuid=75795c4f-48ec-4fa7-9c67-1b24d7388aba"]}],"mendeley":{"formattedCitation":"(Markus Thomas Bockholt et al., 2020; V. D. R. Guide Jr, 2000)","manualFormatting":"(Bockholt et al., 2020; Guide, 2000)","plainTextFormattedCitation":"(Markus Thomas Bockholt et al., 2020; V. D. R. Guide Jr, 2000)","previouslyFormattedCitation":"(Markus Thomas Bockholt et al., 2020; V. D. R. Guide Jr, 2000)"},"properties":{"noteIndex":0},"schema":"https://github.com/citation-style-language/schema/raw/master/csl-citation.json"}</w:instrText>
      </w:r>
      <w:r w:rsidR="0063737C" w:rsidRPr="005359EE">
        <w:rPr>
          <w:lang w:val="en-US"/>
        </w:rPr>
        <w:fldChar w:fldCharType="separate"/>
      </w:r>
      <w:r w:rsidR="0063737C" w:rsidRPr="005359EE">
        <w:rPr>
          <w:noProof/>
          <w:lang w:val="en-US"/>
        </w:rPr>
        <w:t>(</w:t>
      </w:r>
      <w:r w:rsidR="0027494E" w:rsidRPr="005359EE">
        <w:rPr>
          <w:noProof/>
          <w:lang w:val="en-US"/>
        </w:rPr>
        <w:t>B</w:t>
      </w:r>
      <w:r w:rsidR="0063737C" w:rsidRPr="005359EE">
        <w:rPr>
          <w:noProof/>
          <w:lang w:val="en-US"/>
        </w:rPr>
        <w:t>ockholt et al., 2020; Guide, 2000)</w:t>
      </w:r>
      <w:r w:rsidR="0063737C" w:rsidRPr="005359EE">
        <w:rPr>
          <w:lang w:val="en-US"/>
        </w:rPr>
        <w:fldChar w:fldCharType="end"/>
      </w:r>
      <w:r w:rsidR="0063737C" w:rsidRPr="005359EE">
        <w:rPr>
          <w:lang w:val="en-US"/>
        </w:rPr>
        <w:t>.</w:t>
      </w:r>
      <w:r w:rsidR="0027494E" w:rsidRPr="005359EE">
        <w:rPr>
          <w:lang w:val="en-US"/>
        </w:rPr>
        <w:t xml:space="preserve"> </w:t>
      </w:r>
      <w:r w:rsidR="0027494E" w:rsidRPr="007C12DD">
        <w:rPr>
          <w:lang w:val="en-US"/>
        </w:rPr>
        <w:fldChar w:fldCharType="begin" w:fldLock="1"/>
      </w:r>
      <w:r w:rsidR="0027494E" w:rsidRPr="005359EE">
        <w:rPr>
          <w:lang w:val="en-US"/>
        </w:rPr>
        <w:instrText>ADDIN CSL_CITATION {"citationItems":[{"id":"ITEM-1","itemData":{"DOI":"10.1016/j.jclepro.2019.06.169","ISSN":"09596526","abstract":"Reusing waste materials of other industries, a practice known as industrial symbiosis, attracts growing attention by industry. However, the waste materials are often of lower quality than the virgin materials they substitute. When production processes are intolerant for lower quality materials, production issues may occur. This paper sets out to explore how firms can manage the waste quality through supplier integration with the waste supplier. As suppliers have to learn new knowledge, the construct of absorptive capacity is used as an interpretive lens. An in-depth longitudinal exploratory case study approach is used to examine the involvement of different individuals and departments in the supplier integration activities in the context of the waste-based fuel supply chain of a global cement producer. Qualitative and quantitative data was gathered at both the buyer and the supplier. The data show that buyers can increase the absorptive capacity of the suppliers by aligning their own knowledge bases with the scope of the supplier integration. The increased absorptive capacity enables the suppliers to align waste quality with production requirements. Managing waste quality is an important capability of industrial symbiosis, especially when firms want to go beyond the low-hanging fruits and increase the effectiveness of their industrial symbiosis activities. The research concludes with theoretical and managerial insights into how firms can organize the supplier integration to manage waste quality in the context of industrial symbiosis.","author":[{"dropping-particle":"","family":"Prosman","given":"Ernst Johannes","non-dropping-particle":"","parse-names":false,"suffix":""},{"dropping-particle":"","family":"Wæhrens","given":"Brian Vejrum","non-dropping-particle":"","parse-names":false,"suffix":""}],"container-title":"Journal of Cleaner Production","id":"ITEM-1","issued":{"date-parts":[["2019"]]},"page":"113-123","publisher":"Elsevier Ltd","title":"Managing waste quality in industrial symbiosis: Insights on how to organize supplier integration","type":"article-journal","volume":"234"},"uris":["http://www.mendeley.com/documents/?uuid=2053dc3e-ebe1-4659-b383-3a84833720c9"]}],"mendeley":{"formattedCitation":"(Prosman &amp; Wæhrens, 2019)","manualFormatting":"Prosman and Wæhrens (2019)","plainTextFormattedCitation":"(Prosman &amp; Wæhrens, 2019)","previouslyFormattedCitation":"(Prosman &amp; Wæhrens, 2019)"},"properties":{"noteIndex":0},"schema":"https://github.com/citation-style-language/schema/raw/master/csl-citation.json"}</w:instrText>
      </w:r>
      <w:r w:rsidR="0027494E" w:rsidRPr="007C12DD">
        <w:rPr>
          <w:lang w:val="en-US"/>
        </w:rPr>
        <w:fldChar w:fldCharType="separate"/>
      </w:r>
      <w:r w:rsidR="0027494E" w:rsidRPr="005359EE">
        <w:rPr>
          <w:noProof/>
          <w:lang w:val="en-US"/>
        </w:rPr>
        <w:t>Prosman and Wæhrens (2019)</w:t>
      </w:r>
      <w:r w:rsidR="0027494E" w:rsidRPr="007C12DD">
        <w:rPr>
          <w:lang w:val="en-US"/>
        </w:rPr>
        <w:fldChar w:fldCharType="end"/>
      </w:r>
      <w:r w:rsidR="0027494E" w:rsidRPr="005359EE">
        <w:rPr>
          <w:lang w:val="en-US"/>
        </w:rPr>
        <w:t xml:space="preserve"> show that even slight quality variances can have major impacts on manufacturing efficiency. </w:t>
      </w:r>
      <w:r w:rsidR="00F66620" w:rsidRPr="005359EE">
        <w:rPr>
          <w:lang w:val="en-US"/>
        </w:rPr>
        <w:t>U</w:t>
      </w:r>
      <w:r w:rsidR="00A93DA6" w:rsidRPr="005359EE">
        <w:rPr>
          <w:lang w:val="en-US"/>
        </w:rPr>
        <w:t>ncertain timing</w:t>
      </w:r>
      <w:r w:rsidR="00F66620" w:rsidRPr="005359EE">
        <w:rPr>
          <w:lang w:val="en-US"/>
        </w:rPr>
        <w:t>, in turn,</w:t>
      </w:r>
      <w:r w:rsidR="00A93DA6" w:rsidRPr="005359EE">
        <w:rPr>
          <w:lang w:val="en-US"/>
        </w:rPr>
        <w:t xml:space="preserve"> can be caused by a number of factors such as the life-cycle stage of the used product</w:t>
      </w:r>
      <w:r w:rsidR="00857310" w:rsidRPr="005359EE">
        <w:rPr>
          <w:lang w:val="en-US"/>
        </w:rPr>
        <w:t xml:space="preserve">, </w:t>
      </w:r>
      <w:r w:rsidR="00A93DA6" w:rsidRPr="005359EE">
        <w:rPr>
          <w:lang w:val="en-US"/>
        </w:rPr>
        <w:t>the rate of technological change</w:t>
      </w:r>
      <w:r w:rsidR="00EA4A91">
        <w:rPr>
          <w:lang w:val="en-US"/>
        </w:rPr>
        <w:t>,</w:t>
      </w:r>
      <w:r w:rsidR="00857310" w:rsidRPr="005359EE">
        <w:rPr>
          <w:lang w:val="en-US"/>
        </w:rPr>
        <w:t xml:space="preserve"> and illegal forms of product disposal </w:t>
      </w:r>
      <w:r w:rsidR="00857310" w:rsidRPr="005359EE">
        <w:rPr>
          <w:lang w:val="en-US"/>
        </w:rPr>
        <w:fldChar w:fldCharType="begin" w:fldLock="1"/>
      </w:r>
      <w:r w:rsidR="008A7140" w:rsidRPr="005359EE">
        <w:rPr>
          <w:lang w:val="en-US"/>
        </w:rPr>
        <w:instrText>ADDIN CSL_CITATION {"citationItems":[{"id":"ITEM-1","itemData":{"DOI":"10.1080/00207543.2018.1542176","ISSN":"1366588X","abstract":"Despite companies face several challenges when redesigning their supply chain for the Circular Economy, the literature lacks a systematisation of such challenges and of the ways to overcome them. Through a systematic literature review, this paper identifies and systematises 24 challenges that may hamper a supply chain redesign for the Circular Economy. Sixteen among these challenges are well known from research in related topics. On the contrary, the remaining eight are relatively new or take a different relevance within the Circular Economy context. A multiple case study in the household appliance supply chain is carried out, to explore how these challenges appear in practice and how companies may tackle them. The cases analysed involve actors at different supply chain levels, and findings suggest that a great degree of vertical integration by one actor in the supply chain is not a necessary condition for Circular Economy implementation. The empirical study, in conjunction with the literature analysis, leads to the development of a framework linking the challenges to specific levers that companies may pursue to overcome them. The framework can be seen as a reference for managers undertaking the path towards Circular Economy.","author":[{"dropping-particle":"","family":"Bressanelli","given":"Gianmarco","non-dropping-particle":"","parse-names":false,"suffix":""},{"dropping-particle":"","family":"Perona","given":"Marco","non-dropping-particle":"","parse-names":false,"suffix":""},{"dropping-particle":"","family":"Saccani","given":"Nicola","non-dropping-particle":"","parse-names":false,"suffix":""}],"container-title":"International Journal of Production Research","id":"ITEM-1","issue":"23","issued":{"date-parts":[["2019"]]},"page":"7395-7422","publisher":"Taylor &amp; Francis","title":"Challenges in supply chain redesign for the Circular Economy: a literature review and a multiple case study","type":"article-journal","volume":"57"},"uris":["http://www.mendeley.com/documents/?uuid=70dc2b0f-3931-447f-b022-110e0032d74a"]}],"mendeley":{"formattedCitation":"(Bressanelli et al., 2019)","plainTextFormattedCitation":"(Bressanelli et al., 2019)","previouslyFormattedCitation":"(Bressanelli et al., 2019)"},"properties":{"noteIndex":0},"schema":"https://github.com/citation-style-language/schema/raw/master/csl-citation.json"}</w:instrText>
      </w:r>
      <w:r w:rsidR="00857310" w:rsidRPr="005359EE">
        <w:rPr>
          <w:lang w:val="en-US"/>
        </w:rPr>
        <w:fldChar w:fldCharType="separate"/>
      </w:r>
      <w:r w:rsidR="00857310" w:rsidRPr="005359EE">
        <w:rPr>
          <w:noProof/>
          <w:lang w:val="en-US"/>
        </w:rPr>
        <w:t>(Bressanelli et al., 2019)</w:t>
      </w:r>
      <w:r w:rsidR="00857310" w:rsidRPr="005359EE">
        <w:rPr>
          <w:lang w:val="en-US"/>
        </w:rPr>
        <w:fldChar w:fldCharType="end"/>
      </w:r>
      <w:r w:rsidR="00A93DA6" w:rsidRPr="005359EE">
        <w:rPr>
          <w:lang w:val="en-US"/>
        </w:rPr>
        <w:t>. High</w:t>
      </w:r>
      <w:r w:rsidR="00CA43A0">
        <w:rPr>
          <w:lang w:val="en-US"/>
        </w:rPr>
        <w:t xml:space="preserve"> degrees of</w:t>
      </w:r>
      <w:r w:rsidR="00A93DA6" w:rsidRPr="005359EE">
        <w:rPr>
          <w:lang w:val="en-US"/>
        </w:rPr>
        <w:t xml:space="preserve"> uncertainty complicates planning and forecasting activities</w:t>
      </w:r>
      <w:r w:rsidR="00C35604" w:rsidRPr="005359EE">
        <w:rPr>
          <w:lang w:val="en-US"/>
        </w:rPr>
        <w:t xml:space="preserve"> </w:t>
      </w:r>
      <w:r w:rsidR="00857310" w:rsidRPr="005359EE">
        <w:rPr>
          <w:lang w:val="en-US"/>
        </w:rPr>
        <w:t>and potentially</w:t>
      </w:r>
      <w:r w:rsidR="00A93DA6" w:rsidRPr="005359EE">
        <w:rPr>
          <w:lang w:val="en-US"/>
        </w:rPr>
        <w:t xml:space="preserve"> </w:t>
      </w:r>
      <w:r w:rsidR="00C35604" w:rsidRPr="005359EE">
        <w:rPr>
          <w:lang w:val="en-US"/>
        </w:rPr>
        <w:t xml:space="preserve">leads to </w:t>
      </w:r>
      <w:r w:rsidR="00A93DA6" w:rsidRPr="005359EE">
        <w:rPr>
          <w:lang w:val="en-US"/>
        </w:rPr>
        <w:t>higher inventory costs to buffer against the supply</w:t>
      </w:r>
      <w:r w:rsidR="00EC28C7" w:rsidRPr="005359EE">
        <w:rPr>
          <w:lang w:val="en-US"/>
        </w:rPr>
        <w:t xml:space="preserve"> uncertainty</w:t>
      </w:r>
      <w:r w:rsidR="00A93DA6" w:rsidRPr="005359EE">
        <w:rPr>
          <w:lang w:val="en-US"/>
        </w:rPr>
        <w:t xml:space="preserve"> </w:t>
      </w:r>
      <w:r w:rsidR="00A93DA6" w:rsidRPr="007C12DD">
        <w:rPr>
          <w:lang w:val="en-US"/>
        </w:rPr>
        <w:fldChar w:fldCharType="begin" w:fldLock="1"/>
      </w:r>
      <w:r w:rsidR="00B96593" w:rsidRPr="007C12DD">
        <w:rPr>
          <w:lang w:val="en-US"/>
        </w:rPr>
        <w:instrText>ADDIN CSL_CITATION {"citationItems":[{"id":"ITEM-1","itemData":{"ISSN":"0017-8012","abstract":"Companies should make design and manufacturing decisions with eventual recycling and reconditioning of their products in mind. Here are the five key activities for establishing a reverse supply chain. [ABSTRACT FROM AUTHOR]","author":[{"dropping-particle":"","family":"Guide Jr.","given":"V.","non-dropping-particle":"","parse-names":false,"suffix":""},{"dropping-particle":"","family":"Wassenhove","given":"Luk","non-dropping-particle":"Van","parse-names":false,"suffix":""}],"container-title":"Harvard business review","id":"ITEM-1","issue":"2","issued":{"date-parts":[["2002"]]},"page":"25-26","title":"The Reverse Supply Chain","type":"article-journal","volume":"80"},"uris":["http://www.mendeley.com/documents/?uuid=d1e9f3c4-3e89-47ea-84e2-8b47bcb99837"]},{"id":"ITEM-2","itemData":{"DOI":"10.1016/j.cie.2007.12.009","ISSN":"03608352","abstract":"This study analyses a production-management model that considers the possibility of implementing a reverse-logistics system for remanufacturing end-of-life products in a lean production environment (as opposed to models that use EOQ approaches). Decision variables are identified (including manufacturing and remanufacturing capacities and return rates and use rates for end-of-life products) and optimal policies are determined. Moreover, the structure of these optimal policies is analysed. The conclusion drawn is that, in many realistic scenarios, mixed policies (that is, with return rates and use rates strictly between 0 and 1) can be optimal. This conclusion is contrary to results published in earlier studies, which are based on more restrictive assumptions. © 2007 Elsevier Ltd. All rights reserved.","author":[{"dropping-particle":"","family":"Rubio","given":"Sergio","non-dropping-particle":"","parse-names":false,"suffix":""},{"dropping-particle":"","family":"Corominas","given":"Albert","non-dropping-particle":"","parse-names":false,"suffix":""}],"container-title":"Computers and Industrial Engineering","id":"ITEM-2","issue":"1","issued":{"date-parts":[["2008"]]},"page":"234-242","title":"Optimal manufacturing-remanufacturing policies in a lean production environment","type":"article-journal","volume":"55"},"uris":["http://www.mendeley.com/documents/?uuid=46dc9001-d120-4a21-bdd3-fba13de9e468"]},{"id":"ITEM-3","itemData":{"DOI":"10.1108/13598540210447719","ISBN":"1359854021044","ISSN":"13598546","abstract":"This paper compares and contrasts forward and reverse logistics in a retail environment, with the focus on the reverse flow of product. Many differences between forward and reverse flows of logistics systems are presented. The impact of these factors depends to some extent on the supply chain position of a firm. Unlike much reverse logistics research, which is written from the perspective of the firm which will remanufacture or refurbish the product in the reverse flow, we consider the issues from the perspective of the firm generating the reverse flow. © 2002, MCB UP Limited","author":[{"dropping-particle":"","family":"Tibben-Lembke","given":"Ronald S.","non-dropping-particle":"","parse-names":false,"suffix":""},{"dropping-particle":"","family":"Rogers","given":"Dale S.","non-dropping-particle":"","parse-names":false,"suffix":""}],"container-title":"Supply Chain Management: An International Journal","id":"ITEM-3","issue":"5","issued":{"date-parts":[["2002"]]},"page":"271-282","title":"Differences between forward and reverse logistics in a retail environment","type":"article-journal","volume":"7"},"uris":["http://www.mendeley.com/documents/?uuid=0aa86a21-32d0-425f-a138-ef8e90a3e713"]},{"id":"ITEM-4","itemData":{"author":[{"dropping-particle":"","family":"Carter","given":"Craig R","non-dropping-particle":"","parse-names":false,"suffix":""},{"dropping-particle":"","family":"Ellram","given":"Lisa M","non-dropping-particle":"","parse-names":false,"suffix":""}],"container-title":"Journal of Business Logistics","id":"ITEM-4","issue":"1","issued":{"date-parts":[["1998"]]},"page":"85-102","title":"Reverse Logistics: A review of the literature and framework for future investigation","type":"article-journal","volume":"19"},"uris":["http://www.mendeley.com/documents/?uuid=e414708b-4cf5-49ab-a150-69d338d0ffd8"]}],"mendeley":{"formattedCitation":"(Carter &amp; Ellram, 1998; V. Guide Jr. &amp; Van Wassenhove, 2002; Rubio &amp; Corominas, 2008; Tibben-Lembke &amp; Rogers, 2002)","manualFormatting":"(Rubio and Corominas, 2008)","plainTextFormattedCitation":"(Carter &amp; Ellram, 1998; V. Guide Jr. &amp; Van Wassenhove, 2002; Rubio &amp; Corominas, 2008; Tibben-Lembke &amp; Rogers, 2002)","previouslyFormattedCitation":"(Carter &amp; Ellram, 1998; V. Guide Jr. &amp; Van Wassenhove, 2002; Rubio &amp; Corominas, 2008; Tibben-Lembke &amp; Rogers, 2002)"},"properties":{"noteIndex":0},"schema":"https://github.com/citation-style-language/schema/raw/master/csl-citation.json"}</w:instrText>
      </w:r>
      <w:r w:rsidR="00A93DA6" w:rsidRPr="007C12DD">
        <w:rPr>
          <w:lang w:val="en-US"/>
        </w:rPr>
        <w:fldChar w:fldCharType="separate"/>
      </w:r>
      <w:r w:rsidR="00A93DA6" w:rsidRPr="007C12DD">
        <w:rPr>
          <w:noProof/>
          <w:lang w:val="en-US"/>
        </w:rPr>
        <w:t>(Rubio and Corominas, 2008)</w:t>
      </w:r>
      <w:r w:rsidR="00A93DA6" w:rsidRPr="007C12DD">
        <w:rPr>
          <w:lang w:val="en-US"/>
        </w:rPr>
        <w:fldChar w:fldCharType="end"/>
      </w:r>
      <w:r w:rsidR="00A93DA6" w:rsidRPr="007C12DD">
        <w:rPr>
          <w:lang w:val="en-US"/>
        </w:rPr>
        <w:t>.</w:t>
      </w:r>
      <w:r w:rsidR="00857310" w:rsidRPr="007C12DD">
        <w:rPr>
          <w:lang w:val="en-US"/>
        </w:rPr>
        <w:t xml:space="preserve"> </w:t>
      </w:r>
      <w:r w:rsidR="00F66620" w:rsidRPr="007C12DD">
        <w:rPr>
          <w:lang w:val="en-US"/>
        </w:rPr>
        <w:t>Finally</w:t>
      </w:r>
      <w:r w:rsidR="00A93DA6" w:rsidRPr="007C12DD">
        <w:rPr>
          <w:lang w:val="en-US"/>
        </w:rPr>
        <w:t xml:space="preserve">, insufficient quantities </w:t>
      </w:r>
      <w:r w:rsidR="0075208B">
        <w:rPr>
          <w:lang w:val="en-US"/>
        </w:rPr>
        <w:t>reduce</w:t>
      </w:r>
      <w:r w:rsidR="0075208B" w:rsidRPr="007C12DD">
        <w:rPr>
          <w:lang w:val="en-US"/>
        </w:rPr>
        <w:t xml:space="preserve"> </w:t>
      </w:r>
      <w:r w:rsidR="00A93DA6" w:rsidRPr="007C12DD">
        <w:rPr>
          <w:lang w:val="en-US"/>
        </w:rPr>
        <w:t xml:space="preserve">the </w:t>
      </w:r>
      <w:r w:rsidR="0075208B">
        <w:rPr>
          <w:lang w:val="en-US"/>
        </w:rPr>
        <w:t>possibility of leveraging upon</w:t>
      </w:r>
      <w:r w:rsidR="00A93DA6" w:rsidRPr="007C12DD">
        <w:rPr>
          <w:lang w:val="en-US"/>
        </w:rPr>
        <w:t xml:space="preserve"> economies of scale </w:t>
      </w:r>
      <w:r w:rsidR="00A93DA6" w:rsidRPr="007C12DD">
        <w:rPr>
          <w:lang w:val="en-US"/>
        </w:rPr>
        <w:fldChar w:fldCharType="begin" w:fldLock="1"/>
      </w:r>
      <w:r w:rsidR="00E41F76" w:rsidRPr="007C12DD">
        <w:rPr>
          <w:lang w:val="en-US"/>
        </w:rPr>
        <w:instrText>ADDIN CSL_CITATION {"citationItems":[{"id":"ITEM-1","itemData":{"DOI":"10.1016/j.jclepro.2015.12.042","ISSN":"09596526","abstract":"The concept of circular economy (CE) is to an increasing extent treated as a solution to series of challenges such as waste generation, resource scarcity and sustaining economic benefits. However the concept of circularity is not of novel as such. Specific circumstances and motivations have stimulated ideas relevant to circularity in the past through activities such as reuse, remanufacturing or recycling. Main objectives of this work are: to provide a comprehensive review of research efforts encompassing aspects of resources scarcity, waste generation and economic advantages; to explore the CE landscape in the context of these three aspects especially when they are considered simultaneously; based on an idea of a comprehensive CE framework, propose an implementation strategy using top-down and bottom-up approach in a concurrent manner. To fulfill this objective a comprehensive review of state-of-the-art research is carried out to understand different ideas relevant to CE, motivation for the research and context of their recurrence. Main contributions of this paper are a comprehensive CE framework and a practical implementation strategy for a regenerative economy and natural environment. The framework emphasizes on a combined view of three main aspects i.e. environment, resources and economic benefits. It also underlines that joint support of all stakeholders is necessary in order to successfully implement the CE concept at large scale. The proposed framework and implementation strategy also identify new avenues for future research and practice in the field of CE.","author":[{"dropping-particle":"","family":"Lieder","given":"Michael","non-dropping-particle":"","parse-names":false,"suffix":""},{"dropping-particle":"","family":"Rashid","given":"Amir","non-dropping-particle":"","parse-names":false,"suffix":""}],"container-title":"Journal of Cleaner Production","id":"ITEM-1","issued":{"date-parts":[["2016"]]},"page":"36-51","publisher":"Elsevier Ltd","title":"Towards circular economy implementation: A comprehensive review in context of manufacturing industry","type":"article-journal","volume":"115"},"uris":["http://www.mendeley.com/documents/?uuid=139bce95-9b54-4217-ae7e-617663d5475f"]},{"id":"ITEM-2","itemData":{"DOI":"10.1016/j.jom.2007.01.015","ISSN":"02726963","abstract":"This paper explores managerial efforts in reverse supply chains (RSC), where the focus is on the capture and exploitation of used products and materials. The RSC can potentially reduce negative environmental impacts of extracting virgin raw materials and waste disposal. If so, investment in the reverse supply chain should not be made in isolation, but instead must be integrated with investments selected to improve the forward supply chain. After defining and operationalizing these constructs, a survey of plant managers was used to empirically assess the linkages between supply chain investments, organizational risk propensity (i.e., willingness to take risk) and business uncertainty. Reverse supply chain investment had two primary dimensions: reconditioning (i.e., high-value recovery) and recycling and waste management (i.e., low- or no-value recovery). Ongoing investment in the forward supply chain was significantly related to investment in recycling and waste management, but not to investment in reconditioning. Moreover, risk propensity was found to mediate the relationship between the external business uncertainty and investment in the forward and reverse supply chain. © 2007 Elsevier B.V. All rights reserved.","author":[{"dropping-particle":"","family":"Kocabasoglu","given":"Canan","non-dropping-particle":"","parse-names":false,"suffix":""},{"dropping-particle":"","family":"Prahinski","given":"Carol","non-dropping-particle":"","parse-names":false,"suffix":""},{"dropping-particle":"","family":"Klassen","given":"Robert D.","non-dropping-particle":"","parse-names":false,"suffix":""}],"container-title":"Journal of Operations Management","id":"ITEM-2","issue":"6","issued":{"date-parts":[["2007"]]},"page":"1141-1160","title":"Linking forward and reverse supply chain investments: The role of business uncertainty","type":"article-journal","volume":"25"},"uris":["http://www.mendeley.com/documents/?uuid=ba65fc1f-5d03-41cb-99a2-7e6ae45b146e"]}],"mendeley":{"formattedCitation":"(Kocabasoglu et al., 2007; Lieder &amp; Rashid, 2016)","manualFormatting":"(Kocabasoglu et al., 2007; Lieder and Rashid, 2016)","plainTextFormattedCitation":"(Kocabasoglu et al., 2007; Lieder &amp; Rashid, 2016)","previouslyFormattedCitation":"(Kocabasoglu et al., 2007; Lieder &amp; Rashid, 2016)"},"properties":{"noteIndex":0},"schema":"https://github.com/citation-style-language/schema/raw/master/csl-citation.json"}</w:instrText>
      </w:r>
      <w:r w:rsidR="00A93DA6" w:rsidRPr="007C12DD">
        <w:rPr>
          <w:lang w:val="en-US"/>
        </w:rPr>
        <w:fldChar w:fldCharType="separate"/>
      </w:r>
      <w:r w:rsidR="00A93DA6" w:rsidRPr="007C12DD">
        <w:rPr>
          <w:noProof/>
          <w:lang w:val="en-US"/>
        </w:rPr>
        <w:t>(Kocabasoglu et al., 2007; Lieder and Rashid, 2016)</w:t>
      </w:r>
      <w:r w:rsidR="00A93DA6" w:rsidRPr="007C12DD">
        <w:rPr>
          <w:lang w:val="en-US"/>
        </w:rPr>
        <w:fldChar w:fldCharType="end"/>
      </w:r>
      <w:r w:rsidR="00A93DA6" w:rsidRPr="007C12DD">
        <w:rPr>
          <w:lang w:val="en-US"/>
        </w:rPr>
        <w:t>.</w:t>
      </w:r>
      <w:r w:rsidR="00A93DA6" w:rsidRPr="005359EE">
        <w:rPr>
          <w:lang w:val="en-US"/>
        </w:rPr>
        <w:t xml:space="preserve"> </w:t>
      </w:r>
      <w:r w:rsidR="00C35604" w:rsidRPr="007C12DD">
        <w:rPr>
          <w:lang w:val="en-US"/>
        </w:rPr>
        <w:t xml:space="preserve">Process manufacturing typically requires large and stable quantities </w:t>
      </w:r>
      <w:r w:rsidR="00EC28C7" w:rsidRPr="007C12DD">
        <w:rPr>
          <w:lang w:val="en-US"/>
        </w:rPr>
        <w:t xml:space="preserve">due to </w:t>
      </w:r>
      <w:r w:rsidR="00C35604" w:rsidRPr="007C12DD">
        <w:rPr>
          <w:lang w:val="en-US"/>
        </w:rPr>
        <w:t>high capital investments and the difficult</w:t>
      </w:r>
      <w:r w:rsidR="00EC28C7" w:rsidRPr="007C12DD">
        <w:rPr>
          <w:lang w:val="en-US"/>
        </w:rPr>
        <w:t>y</w:t>
      </w:r>
      <w:r w:rsidR="00C35604" w:rsidRPr="007C12DD">
        <w:rPr>
          <w:lang w:val="en-US"/>
        </w:rPr>
        <w:t xml:space="preserve"> </w:t>
      </w:r>
      <w:proofErr w:type="gramStart"/>
      <w:r w:rsidR="00C35604" w:rsidRPr="007C12DD">
        <w:rPr>
          <w:lang w:val="en-US"/>
        </w:rPr>
        <w:t>to interrupt</w:t>
      </w:r>
      <w:proofErr w:type="gramEnd"/>
      <w:r w:rsidR="00C35604" w:rsidRPr="007C12DD">
        <w:rPr>
          <w:lang w:val="en-US"/>
        </w:rPr>
        <w:t xml:space="preserve"> </w:t>
      </w:r>
      <w:r w:rsidR="00EC28C7" w:rsidRPr="007C12DD">
        <w:rPr>
          <w:lang w:val="en-US"/>
        </w:rPr>
        <w:t xml:space="preserve">the process </w:t>
      </w:r>
      <w:r w:rsidR="00C35604" w:rsidRPr="007C12DD">
        <w:rPr>
          <w:lang w:val="en-US"/>
        </w:rPr>
        <w:t>in case of insufficient quantities (King, 2009).</w:t>
      </w:r>
      <w:r w:rsidR="00EC28C7" w:rsidRPr="007C12DD">
        <w:rPr>
          <w:lang w:val="en-US"/>
        </w:rPr>
        <w:t xml:space="preserve"> Indeed,</w:t>
      </w:r>
      <w:r w:rsidR="00C35604" w:rsidRPr="007C12DD">
        <w:rPr>
          <w:lang w:val="en-US"/>
        </w:rPr>
        <w:t xml:space="preserve"> </w:t>
      </w:r>
      <w:r w:rsidR="00A93DA6" w:rsidRPr="007C12DD">
        <w:rPr>
          <w:lang w:val="en-US"/>
        </w:rPr>
        <w:fldChar w:fldCharType="begin" w:fldLock="1"/>
      </w:r>
      <w:r w:rsidR="00A93DA6" w:rsidRPr="005359EE">
        <w:rPr>
          <w:lang w:val="en-US"/>
        </w:rPr>
        <w:instrText>ADDIN CSL_CITATION {"citationItems":[{"id":"ITEM-1","itemData":{"DOI":"10.1016/j.jclepro.2017.09.056","ISSN":"09596526","abstract":"The Circular Economy (CE) has received considerable attention as an approach that promises to reconcile ecological systems and economic growth. In spite of its increased popularity, little is known about the implementation struggles of incumbent firms across industrial sectors. Furthermore, although the notion of circular production systems is at the intersection of different research areas such as sustainable product design, sustainable supply chains, and reverse logistics, knowledge on how these concepts combine to ease or impede firms' transition towards circularity is scarce. To shed light on these gaps, I used multiple case studies from Cradle to Cradle certified companies in the textile industry in Europe. By employing qualitative research, I identified a set of factors along the textile value chain, from product design to take-back and reprocessing, that are crucial in expediting or delaying a firm's aspirations to develop a circular product. The main contribution of this paper is the dynamic understanding of how certain collaborative supplier-buyer innovation factors (i.e., supply chain position, power balance, and a shared vision) coupled with complex aspects in product design, namely in basic materials, architecture, and functionality, combine to determine the output speed and quantity of circular products to be sold, taken back, and ultimately regenerated.","author":[{"dropping-particle":"","family":"Franco","given":"Maria A.","non-dropping-particle":"","parse-names":false,"suffix":""}],"container-title":"Journal of Cleaner Production","id":"ITEM-1","issued":{"date-parts":[["2017"]]},"page":"833-845","publisher":"Elsevier Ltd","title":"Circular economy at the micro level: A dynamic view of incumbents' struggles and challenges in the textile industry","type":"article-journal","volume":"168"},"uris":["http://www.mendeley.com/documents/?uuid=b7f89273-7a5e-4519-ac45-cb7d012b7fe9"]}],"mendeley":{"formattedCitation":"(Franco, 2017)","manualFormatting":"Franco (2017)","plainTextFormattedCitation":"(Franco, 2017)","previouslyFormattedCitation":"(Franco, 2017)"},"properties":{"noteIndex":0},"schema":"https://github.com/citation-style-language/schema/raw/master/csl-citation.json"}</w:instrText>
      </w:r>
      <w:r w:rsidR="00A93DA6" w:rsidRPr="007C12DD">
        <w:rPr>
          <w:lang w:val="en-US"/>
        </w:rPr>
        <w:fldChar w:fldCharType="separate"/>
      </w:r>
      <w:r w:rsidR="00A93DA6" w:rsidRPr="005359EE">
        <w:rPr>
          <w:noProof/>
          <w:lang w:val="en-US"/>
        </w:rPr>
        <w:t>Franco (2017)</w:t>
      </w:r>
      <w:r w:rsidR="00A93DA6" w:rsidRPr="007C12DD">
        <w:rPr>
          <w:lang w:val="en-US"/>
        </w:rPr>
        <w:fldChar w:fldCharType="end"/>
      </w:r>
      <w:r w:rsidR="00A93DA6" w:rsidRPr="005359EE">
        <w:rPr>
          <w:lang w:val="en-US"/>
        </w:rPr>
        <w:t xml:space="preserve"> shows that one of the main steps in textile recycling is to select post-consumer waste streams which, in size and in form, are large enough to be regenerated and to realize economies of scale.</w:t>
      </w:r>
    </w:p>
    <w:p w14:paraId="499B8B28" w14:textId="2AD49698" w:rsidR="00A93DA6" w:rsidRPr="00E806E9" w:rsidRDefault="00A93DA6" w:rsidP="00A93DA6">
      <w:pPr>
        <w:spacing w:after="0"/>
        <w:ind w:firstLine="284"/>
        <w:jc w:val="both"/>
        <w:rPr>
          <w:lang w:val="en-GB"/>
        </w:rPr>
      </w:pPr>
      <w:r w:rsidRPr="005359EE">
        <w:rPr>
          <w:lang w:val="en-US"/>
        </w:rPr>
        <w:t>Beside</w:t>
      </w:r>
      <w:r w:rsidR="00D538D8">
        <w:rPr>
          <w:lang w:val="en-US"/>
        </w:rPr>
        <w:t>s</w:t>
      </w:r>
      <w:r w:rsidRPr="005359EE">
        <w:rPr>
          <w:lang w:val="en-US"/>
        </w:rPr>
        <w:t xml:space="preserve"> the</w:t>
      </w:r>
      <w:r w:rsidR="00C35604" w:rsidRPr="005359EE">
        <w:rPr>
          <w:lang w:val="en-US"/>
        </w:rPr>
        <w:t xml:space="preserve"> </w:t>
      </w:r>
      <w:r w:rsidRPr="005359EE">
        <w:rPr>
          <w:lang w:val="en-US"/>
        </w:rPr>
        <w:t xml:space="preserve">aforementioned </w:t>
      </w:r>
      <w:r w:rsidR="001D1CD9" w:rsidRPr="005359EE">
        <w:rPr>
          <w:lang w:val="en-US"/>
        </w:rPr>
        <w:t>supply</w:t>
      </w:r>
      <w:r w:rsidR="00C35604" w:rsidRPr="005359EE">
        <w:rPr>
          <w:lang w:val="en-US"/>
        </w:rPr>
        <w:t xml:space="preserve"> characteristics</w:t>
      </w:r>
      <w:r w:rsidRPr="005359EE">
        <w:rPr>
          <w:lang w:val="en-US"/>
        </w:rPr>
        <w:t xml:space="preserve">, the value of the </w:t>
      </w:r>
      <w:r w:rsidR="00F66620" w:rsidRPr="005359EE">
        <w:rPr>
          <w:lang w:val="en-US"/>
        </w:rPr>
        <w:t xml:space="preserve">used products </w:t>
      </w:r>
      <w:r w:rsidRPr="005359EE">
        <w:rPr>
          <w:lang w:val="en-US"/>
        </w:rPr>
        <w:t xml:space="preserve">may </w:t>
      </w:r>
      <w:r w:rsidR="00D538D8">
        <w:rPr>
          <w:lang w:val="en-US"/>
        </w:rPr>
        <w:t xml:space="preserve">also </w:t>
      </w:r>
      <w:r w:rsidRPr="005359EE">
        <w:rPr>
          <w:lang w:val="en-US"/>
        </w:rPr>
        <w:t xml:space="preserve">affect manufacturing activities </w:t>
      </w:r>
      <w:r w:rsidRPr="005359EE">
        <w:rPr>
          <w:lang w:val="en-US"/>
        </w:rPr>
        <w:fldChar w:fldCharType="begin" w:fldLock="1"/>
      </w:r>
      <w:r w:rsidRPr="005359EE">
        <w:rPr>
          <w:lang w:val="en-US"/>
        </w:rPr>
        <w:instrText>ADDIN CSL_CITATION {"citationItems":[{"id":"ITEM-1","itemData":{"DOI":"10.1016/j.jclepro.2016.07.102","ISSN":"09596526","abstract":"Sustainability has become one of the key factors for long-term business success. Recent research and practice show that business model innovation is a promising approach for improving sustainability in manufacturing firms. To date business models have been examined mostly from the perspectives of value proposition, value capture, value creation and delivery. There is a need for a more comprehensive understanding of value in order to promote sustainability. This paper proposes value uncaptured as a new perspective for sustainable business model innovation, and develops four forms of value uncaptured: value surplus, value absence, value missed and value destroyed. This paper also proposes a framework of using value uncaptured for sustainable business model innovation. This framework has been validated in case studies in six product-service systems firms with advanced manufacturing technologies. The empirical studies identify 26 main sources of value uncaptured throughout the product life cycle. The findings show that (a) the new perspective of value uncaptured can help manufacturing firms understand the negative aspects of their business models; (b) the four forms and 26 sources can assist firms in identifying value uncaptured in a structured way; and (c) the identified value uncaptured can trigger the discovery of new value opportunities which lead to new business models with higher sustainable value. This paper extends the existing studies on business models from the perspectives of value proposition, capture, creation and delivery, to value uncaptured. The proposed framework has helped firms identify value opportunities that trigger the innovation of sustainable business models. Therefore, this paper contributes to both theory and practice in the field of sustainable business models innovation.","author":[{"dropping-particle":"","family":"Yang","given":"M.","non-dropping-particle":"","parse-names":false,"suffix":""},{"dropping-particle":"","family":"Evans","given":"S.","non-dropping-particle":"","parse-names":false,"suffix":""},{"dropping-particle":"","family":"Vladimirova","given":"D.","non-dropping-particle":"","parse-names":false,"suffix":""},{"dropping-particle":"","family":"Rana","given":"P.","non-dropping-particle":"","parse-names":false,"suffix":""}],"container-title":"Journal of Cleaner Production","id":"ITEM-1","issued":{"date-parts":[["2017"]]},"page":"1794-1804","publisher":"Elsevier Ltd","title":"Value uncaptured perspective for sustainable business model innovation","type":"article-journal","volume":"140"},"uris":["http://www.mendeley.com/documents/?uuid=5d5f5de4-640f-4684-a5b7-b26094b64446"]},{"id":"ITEM-2","itemData":{"DOI":"10.1109/IEEM44572.2019.8978540","ISBN":"9781728138046","ISSN":"2157362X","abstract":"The natural biosphere operates according to a system of nutrients and metabolisms, in which there is no such thing as waste. Forming an eternal cycle, which iteratively recycles its major nutrients. This objective is what many industrial organizations aim for by closing industrial material and product loops in the Technosphere. In doing so industrial organisations aim to drive sustainability, ensure supply resilience and explore new financial revenue streams. Unlike the biosphere, the technosphere is immature, often failing to prove financial vitality and hence scalability. This paper utilizes biomimicry to cross fertilize natural intelligence, which evolved over millions of years. Biological organism ensures vitality (surplus of calories) by foraging for food, a process, which contains continuous search and digestion processes, optimized to environmental conditions through evolution. This paper explores how biological search and digestion strategies can be exploited in industrial product takeback systems to make informed decisions for maximizing industrial vitality (surplus of financial income).","author":[{"dropping-particle":"","family":"Bockholt","given":"M. T.","non-dropping-particle":"","parse-names":false,"suffix":""},{"dropping-particle":"","family":"Kristensen","given":"J. H.","non-dropping-particle":"","parse-names":false,"suffix":""},{"dropping-particle":"V.","family":"Wahrens","given":"B.","non-dropping-particle":"","parse-names":false,"suffix":""},{"dropping-particle":"","family":"Evans","given":"S.","non-dropping-particle":"","parse-names":false,"suffix":""}],"container-title":"IEEE International Conference on Industrial Engineering and Engineering Management","id":"ITEM-2","issued":{"date-parts":[["2019"]]},"page":"870-875","title":"Learning from the Nature: Enabling the Transition Towards Circular Economy Through Biomimicry","type":"article-journal"},"uris":["http://www.mendeley.com/documents/?uuid=f92a7067-c1f0-4a45-9709-dec2a0f7b4e4"]}],"mendeley":{"formattedCitation":"(M. T. Bockholt et al., 2019; Yang et al., 2017)","manualFormatting":"(Bockholt et al., 2019; Yang et al., 2017)","plainTextFormattedCitation":"(M. T. Bockholt et al., 2019; Yang et al., 2017)","previouslyFormattedCitation":"(M. T. Bockholt et al., 2019; Yang et al., 2017)"},"properties":{"noteIndex":0},"schema":"https://github.com/citation-style-language/schema/raw/master/csl-citation.json"}</w:instrText>
      </w:r>
      <w:r w:rsidRPr="005359EE">
        <w:rPr>
          <w:lang w:val="en-US"/>
        </w:rPr>
        <w:fldChar w:fldCharType="separate"/>
      </w:r>
      <w:r w:rsidRPr="005359EE">
        <w:rPr>
          <w:noProof/>
          <w:lang w:val="en-US"/>
        </w:rPr>
        <w:t>(Bockholt et al., 2019; Yang et al., 2017)</w:t>
      </w:r>
      <w:r w:rsidRPr="005359EE">
        <w:rPr>
          <w:lang w:val="en-US"/>
        </w:rPr>
        <w:fldChar w:fldCharType="end"/>
      </w:r>
      <w:r w:rsidRPr="005359EE">
        <w:rPr>
          <w:lang w:val="en-US"/>
        </w:rPr>
        <w:t xml:space="preserve">. </w:t>
      </w:r>
      <w:r w:rsidR="00364DC5" w:rsidRPr="005359EE">
        <w:rPr>
          <w:lang w:val="en-US"/>
        </w:rPr>
        <w:t>H</w:t>
      </w:r>
      <w:r w:rsidRPr="005359EE">
        <w:rPr>
          <w:lang w:val="en-US"/>
        </w:rPr>
        <w:t xml:space="preserve">igh value </w:t>
      </w:r>
      <w:r w:rsidR="00364DC5" w:rsidRPr="005359EE">
        <w:rPr>
          <w:lang w:val="en-US"/>
        </w:rPr>
        <w:t xml:space="preserve">products </w:t>
      </w:r>
      <w:r w:rsidRPr="005359EE">
        <w:rPr>
          <w:lang w:val="en-US"/>
        </w:rPr>
        <w:t>may allow</w:t>
      </w:r>
      <w:r w:rsidR="00C35604" w:rsidRPr="005359EE">
        <w:rPr>
          <w:lang w:val="en-US"/>
        </w:rPr>
        <w:t xml:space="preserve"> for</w:t>
      </w:r>
      <w:r w:rsidRPr="005359EE">
        <w:rPr>
          <w:lang w:val="en-US"/>
        </w:rPr>
        <w:t xml:space="preserve"> more extensive manufacturing activities whereas</w:t>
      </w:r>
      <w:r w:rsidR="00364DC5" w:rsidRPr="005359EE">
        <w:rPr>
          <w:lang w:val="en-US"/>
        </w:rPr>
        <w:t xml:space="preserve"> low value</w:t>
      </w:r>
      <w:r w:rsidRPr="005359EE">
        <w:rPr>
          <w:lang w:val="en-US"/>
        </w:rPr>
        <w:t xml:space="preserve"> inputs require more cost-efficient manufacturing activities</w:t>
      </w:r>
      <w:r w:rsidR="00364DC5" w:rsidRPr="005359EE">
        <w:rPr>
          <w:lang w:val="en-US"/>
        </w:rPr>
        <w:t xml:space="preserve"> </w:t>
      </w:r>
      <w:r w:rsidR="00364DC5" w:rsidRPr="005359EE">
        <w:rPr>
          <w:lang w:val="en-US"/>
        </w:rPr>
        <w:fldChar w:fldCharType="begin" w:fldLock="1"/>
      </w:r>
      <w:r w:rsidR="00364DC5" w:rsidRPr="005359EE">
        <w:rPr>
          <w:lang w:val="en-US"/>
        </w:rPr>
        <w:instrText xml:space="preserve">ADDIN CSL_CITATION {"citationItems":[{"id":"ITEM-1","itemData":{"DOI":"10.1016/j.jclepro.2016.07.102","ISSN":"09596526","abstract":"Sustainability has become one of the key factors for long-term business success. Recent research and practice show that business model innovation is a promising approach for improving sustainability in manufacturing firms. To date business models have been examined mostly from the perspectives of value proposition, value capture, value creation and delivery. There is a need for a more comprehensive understanding of value in order to promote sustainability. This paper proposes value uncaptured as a new perspective for sustainable business model innovation, and develops four forms of value uncaptured: value surplus, value absence, value missed and value destroyed. This paper also proposes a framework of using value uncaptured for sustainable business model innovation. This framework has been validated in case studies in six product-service systems firms with advanced manufacturing technologies. The empirical studies identify 26 main sources of value uncaptured throughout the product life cycle. The findings show that (a) the new perspective of value uncaptured can help manufacturing firms understand the negative aspects of their business models; (b) the four forms and 26 sources can assist firms in identifying value uncaptured in a structured way; and (c) the identified value uncaptured can trigger the discovery of new value opportunities which lead to new business models with higher sustainable value. This paper extends the existing studies on business models from the perspectives of value proposition, capture, creation and delivery, to value uncaptured. The proposed framework has helped firms identify value opportunities that trigger the innovation of sustainable business models. Therefore, this paper contributes to both theory and practice in the field of sustainable business models innovation.","author":[{"dropping-particle":"","family":"Yang","given":"M.","non-dropping-particle":"","parse-names":false,"suffix":""},{"dropping-particle":"","family":"Evans","given":"S.","non-dropping-particle":"","parse-names":false,"suffix":""},{"dropping-particle":"","family":"Vladimirova","given":"D.","non-dropping-particle":"","parse-names":false,"suffix":""},{"dropping-particle":"","family":"Rana","given":"P.","non-dropping-particle":"","parse-names":false,"suffix":""}],"container-title":"Journal of Cleaner Production","id":"ITEM-1","issued":{"date-parts":[["2017"]]},"page":"1794-1804","publisher":"Elsevier Ltd","title":"Value uncaptured perspective for sustainable business model innovation","type":"article-journal","volume":"140"},"uris":["http://www.mendeley.com/documents/?uuid=5d5f5de4-640f-4684-a5b7-b26094b64446"]},{"id":"ITEM-2","itemData":{"DOI":"10.1109/IEEM44572.2019.8978540","ISBN":"9781728138046","ISSN":"2157362X","abstract":"The natural biosphere operates according to a system of nutrients and metabolisms, in which there is no such thing as waste. Forming an eternal cycle, which iteratively recycles its major nutrients. This objective is what many industrial organizations aim for by closing industrial material and product loops in the Technosphere. In doing so industrial organisations aim to drive sustainability, ensure supply resilience and explore new financial revenue streams. Unlike the biosphere, the technosphere is immature, often failing to prove financial vitality and hence scalability. This paper utilizes biomimicry to cross fertilize natural intelligence, which evolved over millions of years. Biological organism ensures vitality (surplus of calories) by foraging for food, a process, which contains continuous search and digestion processes, optimized to environmental conditions through evolution. This paper explores </w:instrText>
      </w:r>
      <w:r w:rsidR="00364DC5" w:rsidRPr="00E806E9">
        <w:rPr>
          <w:lang w:val="en-GB"/>
        </w:rPr>
        <w:instrText>how biological search and digestion strategies can be exploited in industrial product takeback systems to make informed decisions for maximizing industrial vitality (surplus of financial income).","author":[{"dropping-particle":"","family":"Bockholt","given":"M. T.","non-dropping-particle":"","parse-names":false,"suffix":""},{"dropping-particle":"","family":"Kristensen","given":"J. H.","non-dropping-particle":"","parse-names":false,"suffix":""},{"dropping-particle":"V.","family":"Wahrens","given":"B.","non-dropping-particle":"","parse-names":false,"suffix":""},{"dropping-particle":"","family":"Evans","given":"S.","non-dropping-particle":"","parse-names":false,"suffix":""}],"container-title":"IEEE International Conference on Industrial Engineering and Engineering Management","id":"ITEM-2","issued":{"date-parts":[["2019"]]},"page":"870-875","title":"Learning from the Nature: Enabling the Transition Towards Circular Economy Through Biomimicry","type":"article-journal"},"uris":["http://www.mendeley.com/documents/?uuid=f92a7067-c1f0-4a45-9709-dec2a0f7b4e4"]}],"mendeley":{"formattedCitation":"(M. T. Bockholt et al., 2019; Yang et al., 2017)","manualFormatting":"(Bockholt et al., 2019; Yang et al., 2017)","plainTextFormattedCitation":"(M. T. Bockholt et al., 2019; Yang et al., 2017)","previouslyFormattedCitation":"(M. T. Bockholt et al., 2019; Yang et al., 2017)"},"properties":{"noteIndex":0},"schema":"https://github.com/citation-style-language/schema/raw/master/csl-citation.json"}</w:instrText>
      </w:r>
      <w:r w:rsidR="00364DC5" w:rsidRPr="005359EE">
        <w:rPr>
          <w:lang w:val="en-US"/>
        </w:rPr>
        <w:fldChar w:fldCharType="separate"/>
      </w:r>
      <w:r w:rsidR="00364DC5" w:rsidRPr="00E806E9">
        <w:rPr>
          <w:noProof/>
          <w:lang w:val="en-GB"/>
        </w:rPr>
        <w:t>(Bockholt et al., 2019; Yang et al., 2017)</w:t>
      </w:r>
      <w:r w:rsidR="00364DC5" w:rsidRPr="005359EE">
        <w:rPr>
          <w:lang w:val="en-US"/>
        </w:rPr>
        <w:fldChar w:fldCharType="end"/>
      </w:r>
      <w:r w:rsidR="00364DC5" w:rsidRPr="00E806E9">
        <w:rPr>
          <w:lang w:val="en-GB"/>
        </w:rPr>
        <w:t>.</w:t>
      </w:r>
      <w:r w:rsidRPr="00E806E9">
        <w:rPr>
          <w:lang w:val="en-GB"/>
        </w:rPr>
        <w:t xml:space="preserve"> </w:t>
      </w:r>
    </w:p>
    <w:p w14:paraId="6F366395" w14:textId="77777777" w:rsidR="00A93DA6" w:rsidRPr="00E806E9" w:rsidRDefault="00A93DA6" w:rsidP="00A93DA6">
      <w:pPr>
        <w:spacing w:after="0"/>
        <w:ind w:firstLine="284"/>
        <w:jc w:val="both"/>
        <w:rPr>
          <w:lang w:val="en-GB"/>
        </w:rPr>
      </w:pPr>
    </w:p>
    <w:p w14:paraId="1497341B" w14:textId="0A384661" w:rsidR="00A93DA6" w:rsidRPr="007C12DD" w:rsidRDefault="00577EAC" w:rsidP="00A93DA6">
      <w:pPr>
        <w:spacing w:after="0"/>
        <w:jc w:val="both"/>
        <w:rPr>
          <w:lang w:val="en-US"/>
        </w:rPr>
      </w:pPr>
      <w:r w:rsidRPr="00E806E9">
        <w:rPr>
          <w:lang w:val="en-GB"/>
        </w:rPr>
        <w:t>F</w:t>
      </w:r>
      <w:r w:rsidR="00A93DA6" w:rsidRPr="00E01890">
        <w:rPr>
          <w:lang w:val="en-GB"/>
        </w:rPr>
        <w:t>ig</w:t>
      </w:r>
      <w:r w:rsidR="00D4037A">
        <w:rPr>
          <w:lang w:val="en-GB"/>
        </w:rPr>
        <w:t>.</w:t>
      </w:r>
      <w:r w:rsidR="00A93DA6" w:rsidRPr="00E01890">
        <w:rPr>
          <w:lang w:val="en-GB"/>
        </w:rPr>
        <w:t xml:space="preserve"> </w:t>
      </w:r>
      <w:r w:rsidR="008A7140" w:rsidRPr="00E01890">
        <w:rPr>
          <w:lang w:val="en-GB"/>
        </w:rPr>
        <w:t>2</w:t>
      </w:r>
      <w:r w:rsidR="00A93DA6" w:rsidRPr="00E01890">
        <w:rPr>
          <w:lang w:val="en-GB"/>
        </w:rPr>
        <w:t xml:space="preserve"> illustrates </w:t>
      </w:r>
      <w:r w:rsidRPr="00E01890">
        <w:rPr>
          <w:lang w:val="en-GB"/>
        </w:rPr>
        <w:t xml:space="preserve">the alignment between manufacturing configurations and the supply characteristics. </w:t>
      </w:r>
      <w:r w:rsidR="00A93DA6" w:rsidRPr="005359EE">
        <w:rPr>
          <w:lang w:val="en-US"/>
        </w:rPr>
        <w:t xml:space="preserve">However, although literature identifies </w:t>
      </w:r>
      <w:r w:rsidR="008A7140" w:rsidRPr="005359EE">
        <w:rPr>
          <w:lang w:val="en-US"/>
        </w:rPr>
        <w:t xml:space="preserve">the </w:t>
      </w:r>
      <w:r w:rsidR="001D1CD9" w:rsidRPr="005359EE">
        <w:rPr>
          <w:lang w:val="en-US"/>
        </w:rPr>
        <w:t>supply</w:t>
      </w:r>
      <w:r w:rsidR="008A7140" w:rsidRPr="005359EE">
        <w:rPr>
          <w:lang w:val="en-US"/>
        </w:rPr>
        <w:t xml:space="preserve"> characteristics</w:t>
      </w:r>
      <w:r w:rsidR="00A93DA6" w:rsidRPr="005359EE">
        <w:rPr>
          <w:lang w:val="en-US"/>
        </w:rPr>
        <w:t xml:space="preserve"> which affect the </w:t>
      </w:r>
      <w:r w:rsidR="00D174F0" w:rsidRPr="005359EE">
        <w:rPr>
          <w:lang w:val="en-US"/>
        </w:rPr>
        <w:t>manufacturing</w:t>
      </w:r>
      <w:r w:rsidR="00A93DA6" w:rsidRPr="005359EE">
        <w:rPr>
          <w:lang w:val="en-US"/>
        </w:rPr>
        <w:t xml:space="preserve"> configuration</w:t>
      </w:r>
      <w:r w:rsidR="00D725AD" w:rsidRPr="005359EE">
        <w:rPr>
          <w:lang w:val="en-US"/>
        </w:rPr>
        <w:t xml:space="preserve"> of CBMs</w:t>
      </w:r>
      <w:r w:rsidR="00A93DA6" w:rsidRPr="005359EE">
        <w:rPr>
          <w:lang w:val="en-US"/>
        </w:rPr>
        <w:t xml:space="preserve">, literature does not provide insights on how </w:t>
      </w:r>
      <w:r>
        <w:rPr>
          <w:lang w:val="en-US"/>
        </w:rPr>
        <w:t xml:space="preserve">firms </w:t>
      </w:r>
      <w:r w:rsidR="00106DAB" w:rsidRPr="005359EE">
        <w:rPr>
          <w:lang w:val="en-US"/>
        </w:rPr>
        <w:t xml:space="preserve">can </w:t>
      </w:r>
      <w:r>
        <w:rPr>
          <w:lang w:val="en-US"/>
        </w:rPr>
        <w:t>align</w:t>
      </w:r>
      <w:r w:rsidR="00900DC3" w:rsidRPr="005359EE">
        <w:rPr>
          <w:lang w:val="en-US"/>
        </w:rPr>
        <w:t xml:space="preserve"> </w:t>
      </w:r>
      <w:r w:rsidR="00F66620" w:rsidRPr="005359EE">
        <w:rPr>
          <w:lang w:val="en-US"/>
        </w:rPr>
        <w:t>the</w:t>
      </w:r>
      <w:r w:rsidR="00A93DA6" w:rsidRPr="005359EE">
        <w:rPr>
          <w:lang w:val="en-US"/>
        </w:rPr>
        <w:t xml:space="preserve"> </w:t>
      </w:r>
      <w:r w:rsidR="00D174F0" w:rsidRPr="005359EE">
        <w:rPr>
          <w:lang w:val="en-US"/>
        </w:rPr>
        <w:t>manufacturing</w:t>
      </w:r>
      <w:r w:rsidR="00A93DA6" w:rsidRPr="005359EE">
        <w:rPr>
          <w:lang w:val="en-US"/>
        </w:rPr>
        <w:t xml:space="preserve"> configuration </w:t>
      </w:r>
      <w:r w:rsidR="00F66620" w:rsidRPr="005359EE">
        <w:rPr>
          <w:lang w:val="en-US"/>
        </w:rPr>
        <w:t>with</w:t>
      </w:r>
      <w:r w:rsidR="00A93DA6" w:rsidRPr="005359EE">
        <w:rPr>
          <w:lang w:val="en-US"/>
        </w:rPr>
        <w:t xml:space="preserve"> </w:t>
      </w:r>
      <w:r w:rsidR="008A7140" w:rsidRPr="005359EE">
        <w:rPr>
          <w:lang w:val="en-US"/>
        </w:rPr>
        <w:t xml:space="preserve">the </w:t>
      </w:r>
      <w:r w:rsidR="001D1CD9" w:rsidRPr="005359EE">
        <w:rPr>
          <w:lang w:val="en-US"/>
        </w:rPr>
        <w:t>supply</w:t>
      </w:r>
      <w:r w:rsidR="008A7140" w:rsidRPr="005359EE">
        <w:rPr>
          <w:lang w:val="en-US"/>
        </w:rPr>
        <w:t xml:space="preserve"> characteristics</w:t>
      </w:r>
      <w:r w:rsidR="00A93DA6" w:rsidRPr="005359EE">
        <w:rPr>
          <w:lang w:val="en-US"/>
        </w:rPr>
        <w:t xml:space="preserve">. </w:t>
      </w:r>
      <w:r w:rsidR="00900DC3" w:rsidRPr="007C12DD">
        <w:rPr>
          <w:lang w:val="en-US"/>
        </w:rPr>
        <w:t>I</w:t>
      </w:r>
      <w:r w:rsidR="00A93DA6" w:rsidRPr="007C12DD">
        <w:rPr>
          <w:lang w:val="en-US"/>
        </w:rPr>
        <w:t xml:space="preserve">nsights into which </w:t>
      </w:r>
      <w:r w:rsidR="00D174F0" w:rsidRPr="007C12DD">
        <w:rPr>
          <w:lang w:val="en-US"/>
        </w:rPr>
        <w:t>manufacturing</w:t>
      </w:r>
      <w:r w:rsidR="00A93DA6" w:rsidRPr="007C12DD">
        <w:rPr>
          <w:lang w:val="en-US"/>
        </w:rPr>
        <w:t xml:space="preserve"> configuration to use </w:t>
      </w:r>
      <w:proofErr w:type="gramStart"/>
      <w:r w:rsidR="00A93DA6" w:rsidRPr="007C12DD">
        <w:rPr>
          <w:lang w:val="en-US"/>
        </w:rPr>
        <w:t>in a given</w:t>
      </w:r>
      <w:proofErr w:type="gramEnd"/>
      <w:r w:rsidR="00A93DA6" w:rsidRPr="007C12DD">
        <w:rPr>
          <w:lang w:val="en-US"/>
        </w:rPr>
        <w:t xml:space="preserve"> context guides managers in designing economically viable </w:t>
      </w:r>
      <w:r w:rsidR="008A7140" w:rsidRPr="007C12DD">
        <w:rPr>
          <w:lang w:val="en-US"/>
        </w:rPr>
        <w:t>CBMs</w:t>
      </w:r>
      <w:r w:rsidR="00A93DA6" w:rsidRPr="005359EE">
        <w:rPr>
          <w:lang w:val="en-US"/>
        </w:rPr>
        <w:t xml:space="preserve">. </w:t>
      </w:r>
      <w:r w:rsidR="00A93DA6" w:rsidRPr="007C12DD">
        <w:rPr>
          <w:lang w:val="en-US"/>
        </w:rPr>
        <w:t>Therefore, to empower the transition towards a circular economy, we set out to explore the following research question:</w:t>
      </w:r>
    </w:p>
    <w:p w14:paraId="4529D4B4" w14:textId="77777777" w:rsidR="00106DAB" w:rsidRPr="007C12DD" w:rsidRDefault="00106DAB" w:rsidP="00A93DA6">
      <w:pPr>
        <w:spacing w:after="0"/>
        <w:jc w:val="both"/>
        <w:rPr>
          <w:lang w:val="en-US"/>
        </w:rPr>
      </w:pPr>
    </w:p>
    <w:p w14:paraId="07661962" w14:textId="00B1CBBC" w:rsidR="00A93DA6" w:rsidRPr="007C12DD" w:rsidRDefault="00A93DA6" w:rsidP="00A93DA6">
      <w:pPr>
        <w:spacing w:after="0"/>
        <w:jc w:val="both"/>
        <w:rPr>
          <w:i/>
          <w:iCs/>
          <w:lang w:val="en-US"/>
        </w:rPr>
      </w:pPr>
      <w:r w:rsidRPr="007C12DD">
        <w:rPr>
          <w:lang w:val="en-US"/>
        </w:rPr>
        <w:lastRenderedPageBreak/>
        <w:t xml:space="preserve">RQ2. </w:t>
      </w:r>
      <w:r w:rsidRPr="007C12DD">
        <w:rPr>
          <w:i/>
          <w:iCs/>
          <w:lang w:val="en-US"/>
        </w:rPr>
        <w:t>How do start</w:t>
      </w:r>
      <w:r w:rsidR="0087600B" w:rsidRPr="007C12DD">
        <w:rPr>
          <w:i/>
          <w:iCs/>
          <w:lang w:val="en-US"/>
        </w:rPr>
        <w:t>-</w:t>
      </w:r>
      <w:r w:rsidRPr="007C12DD">
        <w:rPr>
          <w:i/>
          <w:iCs/>
          <w:lang w:val="en-US"/>
        </w:rPr>
        <w:t>ups align the</w:t>
      </w:r>
      <w:r w:rsidR="00F66620" w:rsidRPr="007C12DD">
        <w:rPr>
          <w:i/>
          <w:iCs/>
          <w:lang w:val="en-US"/>
        </w:rPr>
        <w:t>ir</w:t>
      </w:r>
      <w:r w:rsidRPr="007C12DD">
        <w:rPr>
          <w:i/>
          <w:iCs/>
          <w:lang w:val="en-US"/>
        </w:rPr>
        <w:t xml:space="preserve"> </w:t>
      </w:r>
      <w:r w:rsidR="00D174F0" w:rsidRPr="007C12DD">
        <w:rPr>
          <w:i/>
          <w:iCs/>
          <w:lang w:val="en-US"/>
        </w:rPr>
        <w:t>manufacturing</w:t>
      </w:r>
      <w:r w:rsidRPr="007C12DD">
        <w:rPr>
          <w:i/>
          <w:iCs/>
          <w:lang w:val="en-US"/>
        </w:rPr>
        <w:t xml:space="preserve"> configuration with </w:t>
      </w:r>
      <w:r w:rsidR="001D1CD9" w:rsidRPr="007C12DD">
        <w:rPr>
          <w:i/>
          <w:iCs/>
          <w:lang w:val="en-US"/>
        </w:rPr>
        <w:t>supply</w:t>
      </w:r>
      <w:r w:rsidR="008A7140" w:rsidRPr="007C12DD">
        <w:rPr>
          <w:i/>
          <w:iCs/>
          <w:lang w:val="en-US"/>
        </w:rPr>
        <w:t xml:space="preserve"> characteristics</w:t>
      </w:r>
      <w:r w:rsidRPr="007C12DD">
        <w:rPr>
          <w:i/>
          <w:iCs/>
          <w:lang w:val="en-US"/>
        </w:rPr>
        <w:t>?</w:t>
      </w:r>
    </w:p>
    <w:p w14:paraId="5CAFA12B" w14:textId="77777777" w:rsidR="00106DAB" w:rsidRPr="007C12DD" w:rsidRDefault="00106DAB" w:rsidP="008C6F1A">
      <w:pPr>
        <w:spacing w:after="0"/>
        <w:jc w:val="both"/>
        <w:rPr>
          <w:lang w:val="en-US"/>
        </w:rPr>
      </w:pPr>
    </w:p>
    <w:p w14:paraId="06BB6993" w14:textId="2CC82564" w:rsidR="008C6F1A" w:rsidRPr="007C12DD" w:rsidRDefault="00F66620" w:rsidP="008C6F1A">
      <w:pPr>
        <w:spacing w:after="0"/>
        <w:jc w:val="both"/>
        <w:rPr>
          <w:lang w:val="en-US"/>
        </w:rPr>
      </w:pPr>
      <w:r w:rsidRPr="007C12DD">
        <w:rPr>
          <w:noProof/>
          <w:lang w:val="it-IT" w:eastAsia="it-IT"/>
        </w:rPr>
        <mc:AlternateContent>
          <mc:Choice Requires="wpg">
            <w:drawing>
              <wp:anchor distT="0" distB="0" distL="114300" distR="114300" simplePos="0" relativeHeight="251639296" behindDoc="0" locked="0" layoutInCell="1" allowOverlap="1" wp14:anchorId="473988F8" wp14:editId="221CDD12">
                <wp:simplePos x="0" y="0"/>
                <wp:positionH relativeFrom="column">
                  <wp:posOffset>109220</wp:posOffset>
                </wp:positionH>
                <wp:positionV relativeFrom="paragraph">
                  <wp:posOffset>176426</wp:posOffset>
                </wp:positionV>
                <wp:extent cx="5581650" cy="1129134"/>
                <wp:effectExtent l="0" t="0" r="19050" b="13970"/>
                <wp:wrapNone/>
                <wp:docPr id="7" name="Groep 7"/>
                <wp:cNvGraphicFramePr/>
                <a:graphic xmlns:a="http://schemas.openxmlformats.org/drawingml/2006/main">
                  <a:graphicData uri="http://schemas.microsoft.com/office/word/2010/wordprocessingGroup">
                    <wpg:wgp>
                      <wpg:cNvGrpSpPr/>
                      <wpg:grpSpPr>
                        <a:xfrm>
                          <a:off x="0" y="0"/>
                          <a:ext cx="5581650" cy="1129134"/>
                          <a:chOff x="0" y="43017"/>
                          <a:chExt cx="5581650" cy="1129614"/>
                        </a:xfrm>
                      </wpg:grpSpPr>
                      <wps:wsp>
                        <wps:cNvPr id="1" name="Pijl: vijfhoek 1"/>
                        <wps:cNvSpPr/>
                        <wps:spPr>
                          <a:xfrm>
                            <a:off x="0" y="417313"/>
                            <a:ext cx="2087880" cy="754806"/>
                          </a:xfrm>
                          <a:prstGeom prst="homePlate">
                            <a:avLst>
                              <a:gd name="adj" fmla="val 22722"/>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BFA6B2E" w14:textId="54FF3E70" w:rsidR="00861F97" w:rsidRPr="00FE7514" w:rsidRDefault="00861F97" w:rsidP="00012285">
                              <w:pPr>
                                <w:spacing w:after="0" w:line="240" w:lineRule="auto"/>
                                <w:rPr>
                                  <w:b/>
                                  <w:bCs/>
                                  <w:sz w:val="16"/>
                                  <w:szCs w:val="16"/>
                                  <w:lang w:val="en-GB"/>
                                </w:rPr>
                              </w:pPr>
                              <w:r>
                                <w:rPr>
                                  <w:b/>
                                  <w:bCs/>
                                  <w:sz w:val="16"/>
                                  <w:szCs w:val="16"/>
                                  <w:lang w:val="en-US"/>
                                </w:rPr>
                                <w:t>Manufacturing configuration</w:t>
                              </w:r>
                            </w:p>
                            <w:p w14:paraId="662B7EB7" w14:textId="4D015EF1" w:rsidR="00861F97" w:rsidRDefault="00861F97" w:rsidP="00012285">
                              <w:pPr>
                                <w:spacing w:after="0" w:line="240" w:lineRule="auto"/>
                                <w:rPr>
                                  <w:i/>
                                  <w:iCs/>
                                  <w:sz w:val="16"/>
                                  <w:szCs w:val="16"/>
                                  <w:lang w:val="en-GB"/>
                                </w:rPr>
                              </w:pPr>
                              <w:r>
                                <w:rPr>
                                  <w:i/>
                                  <w:iCs/>
                                  <w:sz w:val="16"/>
                                  <w:szCs w:val="16"/>
                                  <w:lang w:val="en-GB"/>
                                </w:rPr>
                                <w:t>Pre-manufacturing activities</w:t>
                              </w:r>
                            </w:p>
                            <w:p w14:paraId="4499F6E5" w14:textId="3627D80D" w:rsidR="00861F97" w:rsidRDefault="00861F97" w:rsidP="00012285">
                              <w:pPr>
                                <w:spacing w:after="0" w:line="240" w:lineRule="auto"/>
                                <w:rPr>
                                  <w:i/>
                                  <w:iCs/>
                                  <w:sz w:val="16"/>
                                  <w:szCs w:val="16"/>
                                  <w:lang w:val="en-GB"/>
                                </w:rPr>
                              </w:pPr>
                              <w:r>
                                <w:rPr>
                                  <w:i/>
                                  <w:iCs/>
                                  <w:sz w:val="16"/>
                                  <w:szCs w:val="16"/>
                                  <w:lang w:val="en-GB"/>
                                </w:rPr>
                                <w:t>Manufacturing type</w:t>
                              </w:r>
                            </w:p>
                            <w:p w14:paraId="61B158E3" w14:textId="7159C49B" w:rsidR="00861F97" w:rsidRPr="00FE7514" w:rsidRDefault="00861F97" w:rsidP="00012285">
                              <w:pPr>
                                <w:spacing w:after="0" w:line="240" w:lineRule="auto"/>
                                <w:rPr>
                                  <w:i/>
                                  <w:iCs/>
                                  <w:sz w:val="16"/>
                                  <w:szCs w:val="16"/>
                                  <w:lang w:val="en-GB"/>
                                </w:rPr>
                              </w:pPr>
                              <w:r>
                                <w:rPr>
                                  <w:i/>
                                  <w:iCs/>
                                  <w:sz w:val="16"/>
                                  <w:szCs w:val="16"/>
                                  <w:lang w:val="en-GB"/>
                                </w:rPr>
                                <w:t>Product transformation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Pijl: vijfhoek 2"/>
                        <wps:cNvSpPr/>
                        <wps:spPr>
                          <a:xfrm flipH="1">
                            <a:off x="3353522" y="417456"/>
                            <a:ext cx="2228128" cy="755175"/>
                          </a:xfrm>
                          <a:prstGeom prst="homePlate">
                            <a:avLst>
                              <a:gd name="adj" fmla="val 22722"/>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2BDB15" w14:textId="63FF9A59" w:rsidR="00861F97" w:rsidRPr="00FE7514" w:rsidRDefault="00861F97" w:rsidP="00012285">
                              <w:pPr>
                                <w:spacing w:after="0" w:line="240" w:lineRule="auto"/>
                                <w:jc w:val="right"/>
                                <w:rPr>
                                  <w:b/>
                                  <w:bCs/>
                                  <w:sz w:val="16"/>
                                  <w:szCs w:val="16"/>
                                  <w:lang w:val="en-US"/>
                                </w:rPr>
                              </w:pPr>
                              <w:r>
                                <w:rPr>
                                  <w:b/>
                                  <w:bCs/>
                                  <w:sz w:val="16"/>
                                  <w:szCs w:val="16"/>
                                  <w:lang w:val="en-US"/>
                                </w:rPr>
                                <w:t>Supply characteristics</w:t>
                              </w:r>
                              <w:r w:rsidRPr="00FE7514">
                                <w:rPr>
                                  <w:b/>
                                  <w:bCs/>
                                  <w:sz w:val="16"/>
                                  <w:szCs w:val="16"/>
                                  <w:lang w:val="en-US"/>
                                </w:rPr>
                                <w:t>:</w:t>
                              </w:r>
                            </w:p>
                            <w:p w14:paraId="5B806901" w14:textId="7D017598" w:rsidR="00861F97" w:rsidRPr="00FE7514" w:rsidRDefault="00861F97" w:rsidP="00012285">
                              <w:pPr>
                                <w:pStyle w:val="ListParagraph"/>
                                <w:spacing w:after="0" w:line="240" w:lineRule="auto"/>
                                <w:jc w:val="right"/>
                                <w:rPr>
                                  <w:i/>
                                  <w:iCs/>
                                  <w:sz w:val="16"/>
                                  <w:szCs w:val="16"/>
                                  <w:lang w:val="en-GB"/>
                                </w:rPr>
                              </w:pPr>
                              <w:r w:rsidRPr="00FE7514">
                                <w:rPr>
                                  <w:i/>
                                  <w:iCs/>
                                  <w:sz w:val="16"/>
                                  <w:szCs w:val="16"/>
                                  <w:lang w:val="en-GB"/>
                                </w:rPr>
                                <w:t>Heterogeneous quality</w:t>
                              </w:r>
                            </w:p>
                            <w:p w14:paraId="684923ED" w14:textId="68C7B11E" w:rsidR="00861F97" w:rsidRDefault="00861F97" w:rsidP="00012285">
                              <w:pPr>
                                <w:pStyle w:val="ListParagraph"/>
                                <w:spacing w:after="0" w:line="240" w:lineRule="auto"/>
                                <w:jc w:val="right"/>
                                <w:rPr>
                                  <w:i/>
                                  <w:iCs/>
                                  <w:sz w:val="16"/>
                                  <w:szCs w:val="16"/>
                                  <w:lang w:val="en-GB"/>
                                </w:rPr>
                              </w:pPr>
                              <w:r>
                                <w:rPr>
                                  <w:i/>
                                  <w:iCs/>
                                  <w:sz w:val="16"/>
                                  <w:szCs w:val="16"/>
                                  <w:lang w:val="en-GB"/>
                                </w:rPr>
                                <w:t>Uncertain</w:t>
                              </w:r>
                              <w:r w:rsidRPr="00FE7514">
                                <w:rPr>
                                  <w:i/>
                                  <w:iCs/>
                                  <w:sz w:val="16"/>
                                  <w:szCs w:val="16"/>
                                  <w:lang w:val="en-GB"/>
                                </w:rPr>
                                <w:t xml:space="preserve"> timing</w:t>
                              </w:r>
                            </w:p>
                            <w:p w14:paraId="45AC6D71" w14:textId="77777777" w:rsidR="00861F97" w:rsidRDefault="00861F97" w:rsidP="00030D28">
                              <w:pPr>
                                <w:pStyle w:val="ListParagraph"/>
                                <w:spacing w:after="0" w:line="240" w:lineRule="auto"/>
                                <w:jc w:val="right"/>
                                <w:rPr>
                                  <w:i/>
                                  <w:iCs/>
                                  <w:sz w:val="16"/>
                                  <w:szCs w:val="16"/>
                                  <w:lang w:val="en-GB"/>
                                </w:rPr>
                              </w:pPr>
                              <w:r>
                                <w:rPr>
                                  <w:i/>
                                  <w:iCs/>
                                  <w:sz w:val="16"/>
                                  <w:szCs w:val="16"/>
                                  <w:lang w:val="en-GB"/>
                                </w:rPr>
                                <w:t>Insufficient</w:t>
                              </w:r>
                              <w:r w:rsidRPr="00FE7514">
                                <w:rPr>
                                  <w:i/>
                                  <w:iCs/>
                                  <w:sz w:val="16"/>
                                  <w:szCs w:val="16"/>
                                  <w:lang w:val="en-GB"/>
                                </w:rPr>
                                <w:t xml:space="preserve"> quantity</w:t>
                              </w:r>
                            </w:p>
                            <w:p w14:paraId="48CEED2F" w14:textId="53EC2765" w:rsidR="00861F97" w:rsidRPr="00FE7514" w:rsidRDefault="00861F97" w:rsidP="00012285">
                              <w:pPr>
                                <w:pStyle w:val="ListParagraph"/>
                                <w:spacing w:after="0" w:line="240" w:lineRule="auto"/>
                                <w:jc w:val="right"/>
                                <w:rPr>
                                  <w:i/>
                                  <w:iCs/>
                                  <w:sz w:val="16"/>
                                  <w:szCs w:val="16"/>
                                  <w:lang w:val="en-GB"/>
                                </w:rPr>
                              </w:pPr>
                              <w:r>
                                <w:rPr>
                                  <w:i/>
                                  <w:iCs/>
                                  <w:sz w:val="16"/>
                                  <w:szCs w:val="16"/>
                                  <w:lang w:val="en-GB"/>
                                </w:rPr>
                                <w:t>Value of the used products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Pijl: gekromd omhoog 3"/>
                        <wps:cNvSpPr/>
                        <wps:spPr>
                          <a:xfrm>
                            <a:off x="2153888" y="807654"/>
                            <a:ext cx="1152000" cy="180000"/>
                          </a:xfrm>
                          <a:prstGeom prst="curved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Pijl: gekromd omlaag 5"/>
                        <wps:cNvSpPr/>
                        <wps:spPr>
                          <a:xfrm flipH="1">
                            <a:off x="2153888" y="500217"/>
                            <a:ext cx="1152000" cy="180000"/>
                          </a:xfrm>
                          <a:prstGeom prst="curved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Tekstvak 6"/>
                        <wps:cNvSpPr txBox="1"/>
                        <wps:spPr>
                          <a:xfrm>
                            <a:off x="1956025" y="43017"/>
                            <a:ext cx="1533379" cy="457200"/>
                          </a:xfrm>
                          <a:prstGeom prst="rect">
                            <a:avLst/>
                          </a:prstGeom>
                          <a:noFill/>
                          <a:ln w="6350">
                            <a:noFill/>
                          </a:ln>
                        </wps:spPr>
                        <wps:txbx>
                          <w:txbxContent>
                            <w:p w14:paraId="5A92F122" w14:textId="77CF8A2B" w:rsidR="00861F97" w:rsidRPr="00FE7514" w:rsidRDefault="00861F97" w:rsidP="00012285">
                              <w:pPr>
                                <w:spacing w:line="240" w:lineRule="auto"/>
                                <w:jc w:val="center"/>
                                <w:rPr>
                                  <w:sz w:val="16"/>
                                  <w:szCs w:val="16"/>
                                  <w:lang w:val="en-US"/>
                                </w:rPr>
                              </w:pPr>
                              <w:r w:rsidRPr="00FE7514">
                                <w:rPr>
                                  <w:sz w:val="16"/>
                                  <w:szCs w:val="16"/>
                                  <w:lang w:val="en-US"/>
                                </w:rPr>
                                <w:t xml:space="preserve">Strategic </w:t>
                              </w:r>
                              <w:r>
                                <w:rPr>
                                  <w:sz w:val="16"/>
                                  <w:szCs w:val="16"/>
                                  <w:lang w:val="en-US"/>
                                </w:rPr>
                                <w:t>alignment</w:t>
                              </w:r>
                              <w:r w:rsidRPr="00FE7514">
                                <w:rPr>
                                  <w:sz w:val="16"/>
                                  <w:szCs w:val="16"/>
                                  <w:lang w:val="en-US"/>
                                </w:rPr>
                                <w:t xml:space="preserve"> to maximize value capture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73988F8" id="Groep 7" o:spid="_x0000_s1026" style="position:absolute;left:0;text-align:left;margin-left:8.6pt;margin-top:13.9pt;width:439.5pt;height:88.9pt;z-index:251639296;mso-height-relative:margin" coordorigin=",430" coordsize="55816,11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ijl: vijfhoek 1" o:spid="_x0000_s1027" type="#_x0000_t15" style="position:absolute;top:4173;width:20878;height:7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" adj="19826" fillcolor="white [3201]" strokecolor="black [3213]" strokeweight="1pt">
                  <v:textbox>
                    <w:txbxContent>
                      <w:p w14:paraId="1BFA6B2E" w14:textId="54FF3E70" w:rsidR="00861F97" w:rsidRPr="00FE7514" w:rsidRDefault="00861F97" w:rsidP="00012285">
                        <w:pPr>
                          <w:spacing w:after="0" w:line="240" w:lineRule="auto"/>
                          <w:rPr>
                            <w:b/>
                            <w:bCs/>
                            <w:sz w:val="16"/>
                            <w:szCs w:val="16"/>
                            <w:lang w:val="en-GB"/>
                          </w:rPr>
                        </w:pPr>
                        <w:r>
                          <w:rPr>
                            <w:b/>
                            <w:bCs/>
                            <w:sz w:val="16"/>
                            <w:szCs w:val="16"/>
                            <w:lang w:val="en-US"/>
                          </w:rPr>
                          <w:t>Manufacturing configuration</w:t>
                        </w:r>
                      </w:p>
                      <w:p w14:paraId="662B7EB7" w14:textId="4D015EF1" w:rsidR="00861F97" w:rsidRDefault="00861F97" w:rsidP="00012285">
                        <w:pPr>
                          <w:spacing w:after="0" w:line="240" w:lineRule="auto"/>
                          <w:rPr>
                            <w:i/>
                            <w:iCs/>
                            <w:sz w:val="16"/>
                            <w:szCs w:val="16"/>
                            <w:lang w:val="en-GB"/>
                          </w:rPr>
                        </w:pPr>
                        <w:r>
                          <w:rPr>
                            <w:i/>
                            <w:iCs/>
                            <w:sz w:val="16"/>
                            <w:szCs w:val="16"/>
                            <w:lang w:val="en-GB"/>
                          </w:rPr>
                          <w:t>Pre-manufacturing activities</w:t>
                        </w:r>
                      </w:p>
                      <w:p w14:paraId="4499F6E5" w14:textId="3627D80D" w:rsidR="00861F97" w:rsidRDefault="00861F97" w:rsidP="00012285">
                        <w:pPr>
                          <w:spacing w:after="0" w:line="240" w:lineRule="auto"/>
                          <w:rPr>
                            <w:i/>
                            <w:iCs/>
                            <w:sz w:val="16"/>
                            <w:szCs w:val="16"/>
                            <w:lang w:val="en-GB"/>
                          </w:rPr>
                        </w:pPr>
                        <w:r>
                          <w:rPr>
                            <w:i/>
                            <w:iCs/>
                            <w:sz w:val="16"/>
                            <w:szCs w:val="16"/>
                            <w:lang w:val="en-GB"/>
                          </w:rPr>
                          <w:t>Manufacturing type</w:t>
                        </w:r>
                      </w:p>
                      <w:p w14:paraId="61B158E3" w14:textId="7159C49B" w:rsidR="00861F97" w:rsidRPr="00FE7514" w:rsidRDefault="00861F97" w:rsidP="00012285">
                        <w:pPr>
                          <w:spacing w:after="0" w:line="240" w:lineRule="auto"/>
                          <w:rPr>
                            <w:i/>
                            <w:iCs/>
                            <w:sz w:val="16"/>
                            <w:szCs w:val="16"/>
                            <w:lang w:val="en-GB"/>
                          </w:rPr>
                        </w:pPr>
                        <w:r>
                          <w:rPr>
                            <w:i/>
                            <w:iCs/>
                            <w:sz w:val="16"/>
                            <w:szCs w:val="16"/>
                            <w:lang w:val="en-GB"/>
                          </w:rPr>
                          <w:t>Product transformation</w:t>
                        </w:r>
                      </w:p>
                    </w:txbxContent>
                  </v:textbox>
                </v:shape>
                <v:shape id="Pijl: vijfhoek 2" o:spid="_x0000_s1028" type="#_x0000_t15" style="position:absolute;left:33535;top:4174;width:22281;height:755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" adj="19937" fillcolor="white [3201]" strokecolor="black [3213]" strokeweight="1pt">
                  <v:textbox>
                    <w:txbxContent>
                      <w:p w14:paraId="062BDB15" w14:textId="63FF9A59" w:rsidR="00861F97" w:rsidRPr="00FE7514" w:rsidRDefault="00861F97" w:rsidP="00012285">
                        <w:pPr>
                          <w:spacing w:after="0" w:line="240" w:lineRule="auto"/>
                          <w:jc w:val="right"/>
                          <w:rPr>
                            <w:b/>
                            <w:bCs/>
                            <w:sz w:val="16"/>
                            <w:szCs w:val="16"/>
                            <w:lang w:val="en-US"/>
                          </w:rPr>
                        </w:pPr>
                        <w:r>
                          <w:rPr>
                            <w:b/>
                            <w:bCs/>
                            <w:sz w:val="16"/>
                            <w:szCs w:val="16"/>
                            <w:lang w:val="en-US"/>
                          </w:rPr>
                          <w:t>Supply characteristics</w:t>
                        </w:r>
                        <w:r w:rsidRPr="00FE7514">
                          <w:rPr>
                            <w:b/>
                            <w:bCs/>
                            <w:sz w:val="16"/>
                            <w:szCs w:val="16"/>
                            <w:lang w:val="en-US"/>
                          </w:rPr>
                          <w:t>:</w:t>
                        </w:r>
                      </w:p>
                      <w:p w14:paraId="5B806901" w14:textId="7D017598" w:rsidR="00861F97" w:rsidRPr="00FE7514" w:rsidRDefault="00861F97" w:rsidP="00012285">
                        <w:pPr>
                          <w:pStyle w:val="ListParagraph"/>
                          <w:spacing w:after="0" w:line="240" w:lineRule="auto"/>
                          <w:jc w:val="right"/>
                          <w:rPr>
                            <w:i/>
                            <w:iCs/>
                            <w:sz w:val="16"/>
                            <w:szCs w:val="16"/>
                            <w:lang w:val="en-GB"/>
                          </w:rPr>
                        </w:pPr>
                        <w:r w:rsidRPr="00FE7514">
                          <w:rPr>
                            <w:i/>
                            <w:iCs/>
                            <w:sz w:val="16"/>
                            <w:szCs w:val="16"/>
                            <w:lang w:val="en-GB"/>
                          </w:rPr>
                          <w:t>Heterogeneous quality</w:t>
                        </w:r>
                      </w:p>
                      <w:p w14:paraId="684923ED" w14:textId="68C7B11E" w:rsidR="00861F97" w:rsidRDefault="00861F97" w:rsidP="00012285">
                        <w:pPr>
                          <w:pStyle w:val="ListParagraph"/>
                          <w:spacing w:after="0" w:line="240" w:lineRule="auto"/>
                          <w:jc w:val="right"/>
                          <w:rPr>
                            <w:i/>
                            <w:iCs/>
                            <w:sz w:val="16"/>
                            <w:szCs w:val="16"/>
                            <w:lang w:val="en-GB"/>
                          </w:rPr>
                        </w:pPr>
                        <w:r>
                          <w:rPr>
                            <w:i/>
                            <w:iCs/>
                            <w:sz w:val="16"/>
                            <w:szCs w:val="16"/>
                            <w:lang w:val="en-GB"/>
                          </w:rPr>
                          <w:t>Uncertain</w:t>
                        </w:r>
                        <w:r w:rsidRPr="00FE7514">
                          <w:rPr>
                            <w:i/>
                            <w:iCs/>
                            <w:sz w:val="16"/>
                            <w:szCs w:val="16"/>
                            <w:lang w:val="en-GB"/>
                          </w:rPr>
                          <w:t xml:space="preserve"> timing</w:t>
                        </w:r>
                      </w:p>
                      <w:p w14:paraId="45AC6D71" w14:textId="77777777" w:rsidR="00861F97" w:rsidRDefault="00861F97" w:rsidP="00030D28">
                        <w:pPr>
                          <w:pStyle w:val="ListParagraph"/>
                          <w:spacing w:after="0" w:line="240" w:lineRule="auto"/>
                          <w:jc w:val="right"/>
                          <w:rPr>
                            <w:i/>
                            <w:iCs/>
                            <w:sz w:val="16"/>
                            <w:szCs w:val="16"/>
                            <w:lang w:val="en-GB"/>
                          </w:rPr>
                        </w:pPr>
                        <w:r>
                          <w:rPr>
                            <w:i/>
                            <w:iCs/>
                            <w:sz w:val="16"/>
                            <w:szCs w:val="16"/>
                            <w:lang w:val="en-GB"/>
                          </w:rPr>
                          <w:t>Insufficient</w:t>
                        </w:r>
                        <w:r w:rsidRPr="00FE7514">
                          <w:rPr>
                            <w:i/>
                            <w:iCs/>
                            <w:sz w:val="16"/>
                            <w:szCs w:val="16"/>
                            <w:lang w:val="en-GB"/>
                          </w:rPr>
                          <w:t xml:space="preserve"> quantity</w:t>
                        </w:r>
                      </w:p>
                      <w:p w14:paraId="48CEED2F" w14:textId="53EC2765" w:rsidR="00861F97" w:rsidRPr="00FE7514" w:rsidRDefault="00861F97" w:rsidP="00012285">
                        <w:pPr>
                          <w:pStyle w:val="ListParagraph"/>
                          <w:spacing w:after="0" w:line="240" w:lineRule="auto"/>
                          <w:jc w:val="right"/>
                          <w:rPr>
                            <w:i/>
                            <w:iCs/>
                            <w:sz w:val="16"/>
                            <w:szCs w:val="16"/>
                            <w:lang w:val="en-GB"/>
                          </w:rPr>
                        </w:pPr>
                        <w:r>
                          <w:rPr>
                            <w:i/>
                            <w:iCs/>
                            <w:sz w:val="16"/>
                            <w:szCs w:val="16"/>
                            <w:lang w:val="en-GB"/>
                          </w:rPr>
                          <w:t>Value of the used products</w:t>
                        </w:r>
                      </w:p>
                    </w:txbxContent>
                  </v:textbox>
                </v:shape>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Pijl: gekromd omhoog 3" o:spid="_x0000_s1029" type="#_x0000_t104" style="position:absolute;left:21538;top:8076;width:1152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" adj="19913,21178,5400" fillcolor="black [3200]" strokecolor="black [1600]" strokeweight="1p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Pijl: gekromd omlaag 5" o:spid="_x0000_s1030" type="#_x0000_t105" style="position:absolute;left:21538;top:5002;width:11520;height:180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" adj="19913,21178,16200" fillcolor="black [3200]" strokecolor="black [1600]" strokeweight="1pt"/>
                <v:shapetype id="_x0000_t202" coordsize="21600,21600" o:spt="202" path="m,l,21600r21600,l21600,xe">
                  <v:stroke joinstyle="miter"/>
                  <v:path gradientshapeok="t" o:connecttype="rect"/>
                </v:shapetype>
                <v:shape id="Tekstvak 6" o:spid="_x0000_s1031" type="#_x0000_t202" style="position:absolute;left:19560;top:430;width:1533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" filled="f" stroked="f" strokeweight=".5pt">
                  <v:textbox>
                    <w:txbxContent>
                      <w:p w14:paraId="5A92F122" w14:textId="77CF8A2B" w:rsidR="00861F97" w:rsidRPr="00FE7514" w:rsidRDefault="00861F97" w:rsidP="00012285">
                        <w:pPr>
                          <w:spacing w:line="240" w:lineRule="auto"/>
                          <w:jc w:val="center"/>
                          <w:rPr>
                            <w:sz w:val="16"/>
                            <w:szCs w:val="16"/>
                            <w:lang w:val="en-US"/>
                          </w:rPr>
                        </w:pPr>
                        <w:r w:rsidRPr="00FE7514">
                          <w:rPr>
                            <w:sz w:val="16"/>
                            <w:szCs w:val="16"/>
                            <w:lang w:val="en-US"/>
                          </w:rPr>
                          <w:t xml:space="preserve">Strategic </w:t>
                        </w:r>
                        <w:r>
                          <w:rPr>
                            <w:sz w:val="16"/>
                            <w:szCs w:val="16"/>
                            <w:lang w:val="en-US"/>
                          </w:rPr>
                          <w:t>alignment</w:t>
                        </w:r>
                        <w:r w:rsidRPr="00FE7514">
                          <w:rPr>
                            <w:sz w:val="16"/>
                            <w:szCs w:val="16"/>
                            <w:lang w:val="en-US"/>
                          </w:rPr>
                          <w:t xml:space="preserve"> to maximize value capture</w:t>
                        </w:r>
                      </w:p>
                    </w:txbxContent>
                  </v:textbox>
                </v:shape>
              </v:group>
            </w:pict>
          </mc:Fallback>
        </mc:AlternateContent>
      </w:r>
    </w:p>
    <w:p w14:paraId="154F39AF" w14:textId="77777777" w:rsidR="00106DAB" w:rsidRPr="007C12DD" w:rsidRDefault="00106DAB" w:rsidP="008C6F1A">
      <w:pPr>
        <w:spacing w:after="0"/>
        <w:jc w:val="both"/>
        <w:rPr>
          <w:lang w:val="en-US"/>
        </w:rPr>
      </w:pPr>
    </w:p>
    <w:p w14:paraId="2FC209E7" w14:textId="4CFEABDF" w:rsidR="00BA5F94" w:rsidRPr="007C12DD" w:rsidRDefault="00BA5F94" w:rsidP="005E04E4">
      <w:pPr>
        <w:spacing w:after="0"/>
        <w:jc w:val="both"/>
        <w:rPr>
          <w:lang w:val="en-US"/>
        </w:rPr>
      </w:pPr>
    </w:p>
    <w:p w14:paraId="1B61AAA0" w14:textId="6DD049BF" w:rsidR="00431653" w:rsidRPr="007C12DD" w:rsidRDefault="00431653" w:rsidP="00D61FA3">
      <w:pPr>
        <w:spacing w:after="0"/>
        <w:jc w:val="both"/>
        <w:rPr>
          <w:lang w:val="en-US"/>
        </w:rPr>
      </w:pPr>
    </w:p>
    <w:p w14:paraId="53ED6DD8" w14:textId="4C5EAE4E" w:rsidR="00431653" w:rsidRPr="007C12DD" w:rsidRDefault="005C312B" w:rsidP="005C312B">
      <w:pPr>
        <w:spacing w:after="0"/>
        <w:jc w:val="center"/>
        <w:rPr>
          <w:i/>
          <w:iCs/>
          <w:lang w:val="en-US"/>
        </w:rPr>
      </w:pPr>
      <w:r w:rsidRPr="007C12DD">
        <w:rPr>
          <w:b/>
          <w:bCs/>
          <w:i/>
          <w:iCs/>
          <w:lang w:val="en-US"/>
        </w:rPr>
        <w:t>Fig</w:t>
      </w:r>
      <w:r w:rsidR="00D4037A">
        <w:rPr>
          <w:b/>
          <w:bCs/>
          <w:i/>
          <w:iCs/>
          <w:lang w:val="en-US"/>
        </w:rPr>
        <w:t>.</w:t>
      </w:r>
      <w:r w:rsidRPr="007C12DD">
        <w:rPr>
          <w:b/>
          <w:bCs/>
          <w:i/>
          <w:iCs/>
          <w:lang w:val="en-US"/>
        </w:rPr>
        <w:t xml:space="preserve"> </w:t>
      </w:r>
      <w:r w:rsidR="00386472" w:rsidRPr="007C12DD">
        <w:rPr>
          <w:b/>
          <w:bCs/>
          <w:i/>
          <w:iCs/>
          <w:lang w:val="en-US"/>
        </w:rPr>
        <w:t>2</w:t>
      </w:r>
      <w:r w:rsidRPr="007C12DD">
        <w:rPr>
          <w:i/>
          <w:iCs/>
          <w:lang w:val="en-US"/>
        </w:rPr>
        <w:t xml:space="preserve">. The </w:t>
      </w:r>
      <w:r w:rsidR="00577EAC">
        <w:rPr>
          <w:i/>
          <w:iCs/>
          <w:lang w:val="en-US"/>
        </w:rPr>
        <w:t>alignment</w:t>
      </w:r>
      <w:r w:rsidR="00577EAC" w:rsidRPr="007C12DD">
        <w:rPr>
          <w:i/>
          <w:iCs/>
          <w:lang w:val="en-US"/>
        </w:rPr>
        <w:t xml:space="preserve"> </w:t>
      </w:r>
      <w:r w:rsidR="00EA499A" w:rsidRPr="007C12DD">
        <w:rPr>
          <w:i/>
          <w:iCs/>
          <w:lang w:val="en-US"/>
        </w:rPr>
        <w:t>of the</w:t>
      </w:r>
      <w:r w:rsidRPr="007C12DD">
        <w:rPr>
          <w:i/>
          <w:iCs/>
          <w:lang w:val="en-US"/>
        </w:rPr>
        <w:t xml:space="preserve"> </w:t>
      </w:r>
      <w:r w:rsidR="00D174F0" w:rsidRPr="007C12DD">
        <w:rPr>
          <w:i/>
          <w:iCs/>
          <w:lang w:val="en-US"/>
        </w:rPr>
        <w:t>manufacturing</w:t>
      </w:r>
      <w:r w:rsidRPr="007C12DD">
        <w:rPr>
          <w:i/>
          <w:iCs/>
          <w:lang w:val="en-US"/>
        </w:rPr>
        <w:t xml:space="preserve"> </w:t>
      </w:r>
      <w:r w:rsidR="008A7140" w:rsidRPr="007C12DD">
        <w:rPr>
          <w:i/>
          <w:iCs/>
          <w:lang w:val="en-US"/>
        </w:rPr>
        <w:t>configuration</w:t>
      </w:r>
      <w:r w:rsidRPr="007C12DD">
        <w:rPr>
          <w:i/>
          <w:iCs/>
          <w:lang w:val="en-US"/>
        </w:rPr>
        <w:t xml:space="preserve"> </w:t>
      </w:r>
      <w:r w:rsidR="008A7140" w:rsidRPr="007C12DD">
        <w:rPr>
          <w:i/>
          <w:iCs/>
          <w:lang w:val="en-US"/>
        </w:rPr>
        <w:t xml:space="preserve">and </w:t>
      </w:r>
      <w:r w:rsidR="001D1CD9" w:rsidRPr="007C12DD">
        <w:rPr>
          <w:i/>
          <w:iCs/>
          <w:lang w:val="en-US"/>
        </w:rPr>
        <w:t>supply</w:t>
      </w:r>
      <w:r w:rsidR="008A7140" w:rsidRPr="007C12DD">
        <w:rPr>
          <w:i/>
          <w:iCs/>
          <w:lang w:val="en-US"/>
        </w:rPr>
        <w:t xml:space="preserve"> characteristics</w:t>
      </w:r>
    </w:p>
    <w:p w14:paraId="17F16A64" w14:textId="77777777" w:rsidR="004501B6" w:rsidRPr="007C12DD" w:rsidRDefault="004501B6" w:rsidP="005C312B">
      <w:pPr>
        <w:spacing w:after="0"/>
        <w:jc w:val="center"/>
        <w:rPr>
          <w:i/>
          <w:iCs/>
          <w:lang w:val="en-US"/>
        </w:rPr>
      </w:pPr>
    </w:p>
    <w:bookmarkEnd w:id="0"/>
    <w:p w14:paraId="0AA2ECC3" w14:textId="06D1E906" w:rsidR="00D4110D" w:rsidRPr="007C12DD" w:rsidRDefault="00FB657D" w:rsidP="00D4110D">
      <w:pPr>
        <w:spacing w:after="0"/>
        <w:jc w:val="both"/>
        <w:rPr>
          <w:b/>
          <w:bCs/>
          <w:lang w:val="en-US"/>
        </w:rPr>
      </w:pPr>
      <w:r w:rsidRPr="007C12DD">
        <w:rPr>
          <w:b/>
          <w:bCs/>
          <w:lang w:val="en-US"/>
        </w:rPr>
        <w:t xml:space="preserve">3. </w:t>
      </w:r>
      <w:r w:rsidR="00364246" w:rsidRPr="007C12DD">
        <w:rPr>
          <w:b/>
          <w:bCs/>
          <w:lang w:val="en-US"/>
        </w:rPr>
        <w:t>Methodology</w:t>
      </w:r>
    </w:p>
    <w:p w14:paraId="5EB59E17" w14:textId="3B5C9F11" w:rsidR="00F50B22" w:rsidRPr="007C12DD" w:rsidRDefault="00090C6F" w:rsidP="00A9606C">
      <w:pPr>
        <w:spacing w:after="0"/>
        <w:jc w:val="both"/>
        <w:rPr>
          <w:lang w:val="en-US"/>
        </w:rPr>
      </w:pPr>
      <w:r w:rsidRPr="007C12DD">
        <w:rPr>
          <w:lang w:val="en-US"/>
        </w:rPr>
        <w:t xml:space="preserve">To </w:t>
      </w:r>
      <w:r w:rsidR="00C008C6" w:rsidRPr="007C12DD">
        <w:rPr>
          <w:lang w:val="en-US"/>
        </w:rPr>
        <w:t xml:space="preserve">empirically </w:t>
      </w:r>
      <w:r w:rsidRPr="007C12DD">
        <w:rPr>
          <w:lang w:val="en-US"/>
        </w:rPr>
        <w:t xml:space="preserve">explore </w:t>
      </w:r>
      <w:r w:rsidR="001B61E4" w:rsidRPr="007C12DD">
        <w:rPr>
          <w:lang w:val="en-US"/>
        </w:rPr>
        <w:t xml:space="preserve">the </w:t>
      </w:r>
      <w:r w:rsidRPr="007C12DD">
        <w:rPr>
          <w:lang w:val="en-US"/>
        </w:rPr>
        <w:t xml:space="preserve">research questions, </w:t>
      </w:r>
      <w:r w:rsidR="00BA1B0E" w:rsidRPr="007C12DD">
        <w:rPr>
          <w:lang w:val="en-US"/>
        </w:rPr>
        <w:t xml:space="preserve">we </w:t>
      </w:r>
      <w:r w:rsidR="000532AD" w:rsidRPr="007C12DD">
        <w:rPr>
          <w:lang w:val="en-US"/>
        </w:rPr>
        <w:t>collect</w:t>
      </w:r>
      <w:r w:rsidR="00A91309" w:rsidRPr="007C12DD">
        <w:rPr>
          <w:lang w:val="en-US"/>
        </w:rPr>
        <w:t xml:space="preserve"> and analyze</w:t>
      </w:r>
      <w:r w:rsidR="000532AD" w:rsidRPr="007C12DD">
        <w:rPr>
          <w:lang w:val="en-US"/>
        </w:rPr>
        <w:t xml:space="preserve"> secondary data on the </w:t>
      </w:r>
      <w:r w:rsidR="00D174F0" w:rsidRPr="007C12DD">
        <w:rPr>
          <w:lang w:val="en-US"/>
        </w:rPr>
        <w:t>manufacturing</w:t>
      </w:r>
      <w:r w:rsidR="000532AD" w:rsidRPr="007C12DD">
        <w:rPr>
          <w:lang w:val="en-US"/>
        </w:rPr>
        <w:t xml:space="preserve"> configuration</w:t>
      </w:r>
      <w:r w:rsidR="00106DAB" w:rsidRPr="007C12DD">
        <w:rPr>
          <w:lang w:val="en-US"/>
        </w:rPr>
        <w:t>s</w:t>
      </w:r>
      <w:r w:rsidR="00FA13BD" w:rsidRPr="007C12DD">
        <w:rPr>
          <w:lang w:val="en-US"/>
        </w:rPr>
        <w:t xml:space="preserve"> and the </w:t>
      </w:r>
      <w:r w:rsidR="002B4BE1" w:rsidRPr="007C12DD">
        <w:rPr>
          <w:lang w:val="en-US"/>
        </w:rPr>
        <w:t>supply characteristics</w:t>
      </w:r>
      <w:r w:rsidR="000532AD" w:rsidRPr="007C12DD">
        <w:rPr>
          <w:lang w:val="en-US"/>
        </w:rPr>
        <w:t xml:space="preserve"> of </w:t>
      </w:r>
      <w:r w:rsidR="00BA1B0E" w:rsidRPr="007C12DD">
        <w:rPr>
          <w:lang w:val="en-US"/>
        </w:rPr>
        <w:t>successful circular start</w:t>
      </w:r>
      <w:r w:rsidR="0087600B" w:rsidRPr="007C12DD">
        <w:rPr>
          <w:lang w:val="en-US"/>
        </w:rPr>
        <w:t>-</w:t>
      </w:r>
      <w:r w:rsidR="00BA1B0E" w:rsidRPr="007C12DD">
        <w:rPr>
          <w:lang w:val="en-US"/>
        </w:rPr>
        <w:t>ups</w:t>
      </w:r>
      <w:r w:rsidR="00F50B22" w:rsidRPr="007C12DD">
        <w:rPr>
          <w:lang w:val="en-US"/>
        </w:rPr>
        <w:t xml:space="preserve">. </w:t>
      </w:r>
      <w:r w:rsidR="000532AD" w:rsidRPr="007C12DD">
        <w:rPr>
          <w:lang w:val="en-US"/>
        </w:rPr>
        <w:t xml:space="preserve">Secondary data typically suffice to describe </w:t>
      </w:r>
      <w:r w:rsidR="00106DAB" w:rsidRPr="007C12DD">
        <w:rPr>
          <w:lang w:val="en-US"/>
        </w:rPr>
        <w:t>CBMs</w:t>
      </w:r>
      <w:r w:rsidR="000532AD" w:rsidRPr="007C12DD">
        <w:rPr>
          <w:lang w:val="en-US"/>
        </w:rPr>
        <w:t xml:space="preserve"> as the “elements of business models are often quite transparent” </w:t>
      </w:r>
      <w:r w:rsidR="000532AD" w:rsidRPr="007C12DD">
        <w:rPr>
          <w:lang w:val="en-US"/>
        </w:rPr>
        <w:fldChar w:fldCharType="begin" w:fldLock="1"/>
      </w:r>
      <w:r w:rsidR="000532AD" w:rsidRPr="007C12DD">
        <w:rPr>
          <w:lang w:val="en-US"/>
        </w:rPr>
        <w:instrText>ADDIN CSL_CITATION {"citationItems":[{"id":"ITEM-1","itemData":{"DOI":"10.1016/j.lrp.2009.07.003","ISSN":"00246301","abstract":"Whenever a business enterprise is established, it either explicitly or implicitly employs a particular business model that describes the design or architecture of the value creation, delivery, and capture mechanisms it employs. The essence of a business model is in defining the manner by which the enterprise delivers value to customers, entices customers to pay for value, and converts those payments to profit. It thus reflects management's hypothesis about what customers want, how they want it, and how the enterprise can organize to best meet those needs, get paid for doing so, and make a profit. The purpose of this article is to understand the significance of business models and explore their connections with business strategy, innovation management, and economic theory. © 2009.","author":[{"dropping-particle":"","family":"Teece","given":"David J.","non-dropping-particle":"","parse-names":false,"suffix":""}],"container-title":"Long Range Planning","id":"ITEM-1","issue":"2-3","issued":{"date-parts":[["2010"]]},"page":"172-194","publisher":"Elsevier Ltd","title":"Business models, business strategy and innovation","type":"article-journal","volume":"43"},"uris":["http://www.mendeley.com/documents/?uuid=ba9d152f-dcdc-4733-a904-42654073f74d"]}],"mendeley":{"formattedCitation":"(Teece, 2010)","manualFormatting":"(Teece, 2010, p. 179)","plainTextFormattedCitation":"(Teece, 2010)","previouslyFormattedCitation":"(Teece, 2010)"},"properties":{"noteIndex":0},"schema":"https://github.com/citation-style-language/schema/raw/master/csl-citation.json"}</w:instrText>
      </w:r>
      <w:r w:rsidR="000532AD" w:rsidRPr="007C12DD">
        <w:rPr>
          <w:lang w:val="en-US"/>
        </w:rPr>
        <w:fldChar w:fldCharType="separate"/>
      </w:r>
      <w:r w:rsidR="000532AD" w:rsidRPr="007C12DD">
        <w:rPr>
          <w:noProof/>
          <w:lang w:val="en-US"/>
        </w:rPr>
        <w:t>(Teece, 2010, p. 179)</w:t>
      </w:r>
      <w:r w:rsidR="000532AD" w:rsidRPr="007C12DD">
        <w:rPr>
          <w:lang w:val="en-US"/>
        </w:rPr>
        <w:fldChar w:fldCharType="end"/>
      </w:r>
      <w:r w:rsidR="00F50B22" w:rsidRPr="007C12DD">
        <w:rPr>
          <w:lang w:val="en-US"/>
        </w:rPr>
        <w:t xml:space="preserve">. </w:t>
      </w:r>
      <w:r w:rsidR="00C4196B" w:rsidRPr="007C12DD">
        <w:rPr>
          <w:lang w:val="en-US"/>
        </w:rPr>
        <w:t>Indeed, d</w:t>
      </w:r>
      <w:r w:rsidR="00F50B22" w:rsidRPr="007C12DD">
        <w:rPr>
          <w:lang w:val="en-US"/>
        </w:rPr>
        <w:t>atabases, magazines and newspapers contain vast amounts of secondary data about start</w:t>
      </w:r>
      <w:r w:rsidR="0087600B" w:rsidRPr="007C12DD">
        <w:rPr>
          <w:lang w:val="en-US"/>
        </w:rPr>
        <w:t>-</w:t>
      </w:r>
      <w:r w:rsidR="00F50B22" w:rsidRPr="007C12DD">
        <w:rPr>
          <w:lang w:val="en-US"/>
        </w:rPr>
        <w:t>ups</w:t>
      </w:r>
      <w:r w:rsidR="001B61E4" w:rsidRPr="007C12DD">
        <w:rPr>
          <w:lang w:val="en-US"/>
        </w:rPr>
        <w:t xml:space="preserve"> which </w:t>
      </w:r>
      <w:r w:rsidR="00455823">
        <w:rPr>
          <w:lang w:val="en-US"/>
        </w:rPr>
        <w:t xml:space="preserve">are </w:t>
      </w:r>
      <w:r w:rsidR="00203692">
        <w:rPr>
          <w:lang w:val="en-US"/>
        </w:rPr>
        <w:t xml:space="preserve">publicly available and </w:t>
      </w:r>
      <w:r w:rsidR="001B61E4" w:rsidRPr="007C12DD">
        <w:rPr>
          <w:lang w:val="en-US"/>
        </w:rPr>
        <w:t>easy and inexpensive to access.</w:t>
      </w:r>
      <w:r w:rsidR="002560CB">
        <w:rPr>
          <w:lang w:val="en-US"/>
        </w:rPr>
        <w:t xml:space="preserve"> Moreover, by relying on widely available secondary data, we </w:t>
      </w:r>
      <w:proofErr w:type="gramStart"/>
      <w:r w:rsidR="002560CB">
        <w:rPr>
          <w:lang w:val="en-US"/>
        </w:rPr>
        <w:t>are able to</w:t>
      </w:r>
      <w:proofErr w:type="gramEnd"/>
      <w:r w:rsidR="002560CB">
        <w:rPr>
          <w:lang w:val="en-US"/>
        </w:rPr>
        <w:t xml:space="preserve"> collect data on virtually every circular start-up. Hence, we are less prone to </w:t>
      </w:r>
      <w:r w:rsidR="00E1299E" w:rsidRPr="007C12DD">
        <w:rPr>
          <w:lang w:val="en-US"/>
        </w:rPr>
        <w:t xml:space="preserve">biases and limitations </w:t>
      </w:r>
      <w:r w:rsidR="0024332F">
        <w:rPr>
          <w:lang w:val="en-US"/>
        </w:rPr>
        <w:t xml:space="preserve">related to </w:t>
      </w:r>
      <w:r w:rsidR="00455823">
        <w:rPr>
          <w:lang w:val="en-US"/>
        </w:rPr>
        <w:t xml:space="preserve">sample selection and </w:t>
      </w:r>
      <w:r w:rsidR="0024332F">
        <w:rPr>
          <w:lang w:val="en-US"/>
        </w:rPr>
        <w:t xml:space="preserve">low response rates. </w:t>
      </w:r>
      <w:r w:rsidR="00E1299E" w:rsidRPr="007C12DD">
        <w:rPr>
          <w:lang w:val="en-US"/>
        </w:rPr>
        <w:t xml:space="preserve"> Therefore, relying on secondary data is appropriate to explore the research questions. </w:t>
      </w:r>
      <w:r w:rsidR="00F50B22" w:rsidRPr="007C12DD">
        <w:rPr>
          <w:lang w:val="en-US"/>
        </w:rPr>
        <w:t xml:space="preserve">In fact, previous research on </w:t>
      </w:r>
      <w:r w:rsidR="001B61E4" w:rsidRPr="007C12DD">
        <w:rPr>
          <w:lang w:val="en-US"/>
        </w:rPr>
        <w:t xml:space="preserve">the business models of </w:t>
      </w:r>
      <w:r w:rsidR="00F50B22" w:rsidRPr="007C12DD">
        <w:rPr>
          <w:lang w:val="en-US"/>
        </w:rPr>
        <w:t>start</w:t>
      </w:r>
      <w:r w:rsidR="0087600B" w:rsidRPr="007C12DD">
        <w:rPr>
          <w:lang w:val="en-US"/>
        </w:rPr>
        <w:t>-</w:t>
      </w:r>
      <w:r w:rsidR="00F50B22" w:rsidRPr="007C12DD">
        <w:rPr>
          <w:lang w:val="en-US"/>
        </w:rPr>
        <w:t xml:space="preserve">ups have relied on secondary data, see for example </w:t>
      </w:r>
      <w:r w:rsidR="00F50B22" w:rsidRPr="007C12DD">
        <w:rPr>
          <w:lang w:val="en-US"/>
        </w:rPr>
        <w:fldChar w:fldCharType="begin" w:fldLock="1"/>
      </w:r>
      <w:r w:rsidR="00E41F76" w:rsidRPr="007C12DD">
        <w:rPr>
          <w:lang w:val="en-US"/>
        </w:rPr>
        <w:instrText>ADDIN CSL_CITATION {"citationItems":[{"id":"ITEM-1","itemData":{"DOI":"10.1108/IJOPM-02-2014-0098","ISSN":"17586593","abstract":"Purpose: The purpose of this paper is to derive a taxonomy of business models used by start-up firms that rely on data as a key resource for business, namely data-driven business models (DDBMs). By providing a framework to systematically analyse DDBMs, the study provides an introduction to DDBM as a field of study. Design/methodology/approach: To develop the taxonomy of DDBMs, business model descriptions of 100 randomly chosen start-up firms were coded using a DDBM framework derived from literature, comprising six dimensions with 35 features. Subsequent application of clustering algorithms produced six different types of DDBM, validated by case studies from the study’s sample. Findings: The taxonomy derived from the research consists of six different types of DDBM among start-ups. These types are characterised by a subset of six of nine clustering variables from the DDBM framework. Practical implications: A major contribution of the paper is the designed framework, which stimulates thinking about the nature and future of DDBMs. The proposed taxonomy will help organisations to position their activities in the current DDBM landscape. Moreover, framework and taxonomy may lead to a DDBM design toolbox. Originality/value: This paper develops a basis for understanding how start-ups build business models capture value from data as a key resource, adding a business perspective to the discussion of big data. By offering the scientific community a specific framework of business model features and a subsequent taxonomy, the paper provides reference points and serves as a foundation for future studies of DDBMs.","author":[{"dropping-particle":"","family":"Hartmann","given":"Philipp Max","non-dropping-particle":"","parse-names":false,"suffix":""},{"dropping-particle":"","family":"Zaki","given":"Mohamed","non-dropping-particle":"","parse-names":false,"suffix":""},{"dropping-particle":"","family":"Feldmann","given":"Niels","non-dropping-particle":"","parse-names":false,"suffix":""},{"dropping-particle":"","family":"Neely","given":"Andy","non-dropping-particle":"","parse-names":false,"suffix":""}],"container-title":"International Journal of Operations and Production Management","id":"ITEM-1","issue":"10","issued":{"date-parts":[["2016"]]},"page":"1382-1406","title":"Capturing value from big data – a taxonomy of data-driven business models used by start-up firms","type":"article-journal","volume":"36"},"uris":["http://www.mendeley.com/documents/?uuid=b93eef00-19be-48f8-8b87-41811a2c7cd6"]},{"id":"ITEM-2","itemData":{"DOI":"10.1016/j.jclepro.2019.118528","ISSN":"09596526","abstract":"The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Production","id":"ITEM-2","issued":{"date-parts":[["2020"]]},"page":"118528","publisher":"Elsevier Ltd","title":"A typology of circular start-ups: Analysis of 128 circular business models","type":"article-journal","volume":"245"},"uris":["http://www.mendeley.com/documents/?uuid=7630feed-abf9-4ffe-a0cc-b8d6c60d3d34"]}],"mendeley":{"formattedCitation":"(Hartmann et al., 2016; Henry et al., 2020)","manualFormatting":"Hartmann et al. (2016) and Henry et al. (2020)","plainTextFormattedCitation":"(Hartmann et al., 2016; Henry et al., 2020)","previouslyFormattedCitation":"(Hartmann et al., 2016; Henry et al., 2020)"},"properties":{"noteIndex":0},"schema":"https://github.com/citation-style-language/schema/raw/master/csl-citation.json"}</w:instrText>
      </w:r>
      <w:r w:rsidR="00F50B22" w:rsidRPr="007C12DD">
        <w:rPr>
          <w:lang w:val="en-US"/>
        </w:rPr>
        <w:fldChar w:fldCharType="separate"/>
      </w:r>
      <w:r w:rsidR="00F50B22" w:rsidRPr="007C12DD">
        <w:rPr>
          <w:noProof/>
          <w:lang w:val="en-US"/>
        </w:rPr>
        <w:t>Hartmann et al. (2016) and Henry et al. (2020)</w:t>
      </w:r>
      <w:r w:rsidR="00F50B22" w:rsidRPr="007C12DD">
        <w:rPr>
          <w:lang w:val="en-US"/>
        </w:rPr>
        <w:fldChar w:fldCharType="end"/>
      </w:r>
      <w:r w:rsidR="00F50B22" w:rsidRPr="007C12DD">
        <w:rPr>
          <w:lang w:val="en-US"/>
        </w:rPr>
        <w:t>.</w:t>
      </w:r>
      <w:r w:rsidR="00B4238C" w:rsidRPr="007C12DD">
        <w:rPr>
          <w:lang w:val="en-US"/>
        </w:rPr>
        <w:t xml:space="preserve"> </w:t>
      </w:r>
    </w:p>
    <w:p w14:paraId="2FA9B85C" w14:textId="77777777" w:rsidR="000E0009" w:rsidRPr="007C12DD" w:rsidRDefault="000E0009" w:rsidP="000E0009">
      <w:pPr>
        <w:spacing w:after="0"/>
        <w:jc w:val="both"/>
        <w:rPr>
          <w:lang w:val="en-US"/>
        </w:rPr>
      </w:pPr>
    </w:p>
    <w:p w14:paraId="3971A4D4" w14:textId="645EC6C9" w:rsidR="000E0009" w:rsidRPr="007C12DD" w:rsidRDefault="00364246" w:rsidP="000F6D5B">
      <w:pPr>
        <w:spacing w:after="0"/>
        <w:jc w:val="both"/>
        <w:rPr>
          <w:i/>
          <w:iCs/>
          <w:lang w:val="en-US"/>
        </w:rPr>
      </w:pPr>
      <w:r w:rsidRPr="007C12DD">
        <w:rPr>
          <w:i/>
          <w:iCs/>
          <w:lang w:val="en-US"/>
        </w:rPr>
        <w:t xml:space="preserve">3.1 </w:t>
      </w:r>
      <w:r w:rsidR="000E0009" w:rsidRPr="007C12DD">
        <w:rPr>
          <w:i/>
          <w:iCs/>
          <w:lang w:val="en-US"/>
        </w:rPr>
        <w:t>Data</w:t>
      </w:r>
      <w:r w:rsidR="00BA1B0E" w:rsidRPr="007C12DD">
        <w:rPr>
          <w:i/>
          <w:iCs/>
          <w:lang w:val="en-US"/>
        </w:rPr>
        <w:t>base development</w:t>
      </w:r>
    </w:p>
    <w:p w14:paraId="3B4ED6B5" w14:textId="6B4D16E9" w:rsidR="00DE2CBA" w:rsidRPr="007C12DD" w:rsidRDefault="00DE2CBA" w:rsidP="00C008C6">
      <w:pPr>
        <w:spacing w:after="0"/>
        <w:jc w:val="both"/>
        <w:rPr>
          <w:lang w:val="en-US"/>
        </w:rPr>
      </w:pPr>
      <w:r w:rsidRPr="007C12DD">
        <w:rPr>
          <w:lang w:val="en-US"/>
        </w:rPr>
        <w:t>The database development followed several steps</w:t>
      </w:r>
      <w:r w:rsidR="001B61E4" w:rsidRPr="007C12DD">
        <w:rPr>
          <w:lang w:val="en-US"/>
        </w:rPr>
        <w:t>.</w:t>
      </w:r>
      <w:r w:rsidRPr="007C12DD">
        <w:rPr>
          <w:lang w:val="en-US"/>
        </w:rPr>
        <w:t xml:space="preserve"> </w:t>
      </w:r>
      <w:r w:rsidR="001B61E4" w:rsidRPr="007C12DD">
        <w:rPr>
          <w:lang w:val="en-US"/>
        </w:rPr>
        <w:t>W</w:t>
      </w:r>
      <w:r w:rsidRPr="007C12DD">
        <w:rPr>
          <w:lang w:val="en-US"/>
        </w:rPr>
        <w:t>e started with a broad database which we gradually narrowed down</w:t>
      </w:r>
      <w:r w:rsidR="00B4238C" w:rsidRPr="007C12DD">
        <w:rPr>
          <w:lang w:val="en-US"/>
        </w:rPr>
        <w:t xml:space="preserve"> to derive </w:t>
      </w:r>
      <w:r w:rsidR="00186BA3">
        <w:rPr>
          <w:lang w:val="en-US"/>
        </w:rPr>
        <w:t xml:space="preserve">at </w:t>
      </w:r>
      <w:r w:rsidR="00B4238C" w:rsidRPr="007C12DD">
        <w:rPr>
          <w:lang w:val="en-US"/>
        </w:rPr>
        <w:t>our final sample</w:t>
      </w:r>
      <w:r w:rsidRPr="007C12DD">
        <w:rPr>
          <w:lang w:val="en-US"/>
        </w:rPr>
        <w:t>. Fig</w:t>
      </w:r>
      <w:r w:rsidR="00D4037A">
        <w:rPr>
          <w:lang w:val="en-US"/>
        </w:rPr>
        <w:t>.</w:t>
      </w:r>
      <w:r w:rsidRPr="007C12DD">
        <w:rPr>
          <w:lang w:val="en-US"/>
        </w:rPr>
        <w:t xml:space="preserve"> </w:t>
      </w:r>
      <w:r w:rsidR="00386472" w:rsidRPr="007C12DD">
        <w:rPr>
          <w:lang w:val="en-US"/>
        </w:rPr>
        <w:t>3</w:t>
      </w:r>
      <w:r w:rsidRPr="007C12DD">
        <w:rPr>
          <w:lang w:val="en-US"/>
        </w:rPr>
        <w:t xml:space="preserve"> provides an overview of all</w:t>
      </w:r>
      <w:r w:rsidR="00B4238C" w:rsidRPr="007C12DD">
        <w:rPr>
          <w:lang w:val="en-US"/>
        </w:rPr>
        <w:t xml:space="preserve"> the</w:t>
      </w:r>
      <w:r w:rsidRPr="007C12DD">
        <w:rPr>
          <w:lang w:val="en-US"/>
        </w:rPr>
        <w:t xml:space="preserve"> steps in the data collection and database development process.</w:t>
      </w:r>
    </w:p>
    <w:p w14:paraId="4EB95234" w14:textId="77777777" w:rsidR="00A93DA6" w:rsidRPr="007C12DD" w:rsidRDefault="00A93DA6" w:rsidP="00C008C6">
      <w:pPr>
        <w:spacing w:after="0"/>
        <w:jc w:val="both"/>
        <w:rPr>
          <w:lang w:val="en-US"/>
        </w:rPr>
      </w:pPr>
    </w:p>
    <w:p w14:paraId="592B707A" w14:textId="66257E2C" w:rsidR="00490184" w:rsidRPr="007C12DD" w:rsidRDefault="00E14E92" w:rsidP="000F6D5B">
      <w:pPr>
        <w:jc w:val="center"/>
        <w:rPr>
          <w:lang w:val="en-US"/>
        </w:rPr>
      </w:pPr>
      <w:r w:rsidRPr="005359EE">
        <w:rPr>
          <w:noProof/>
          <w:lang w:val="it-IT" w:eastAsia="it-IT"/>
        </w:rPr>
        <w:lastRenderedPageBreak/>
        <w:drawing>
          <wp:inline distT="0" distB="0" distL="0" distR="0" wp14:anchorId="2290E0F4" wp14:editId="138F3CA7">
            <wp:extent cx="3901540" cy="5133975"/>
            <wp:effectExtent l="0" t="0" r="381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907953" cy="5142414"/>
                    </a:xfrm>
                    <a:prstGeom prst="rect">
                      <a:avLst/>
                    </a:prstGeom>
                  </pic:spPr>
                </pic:pic>
              </a:graphicData>
            </a:graphic>
          </wp:inline>
        </w:drawing>
      </w:r>
    </w:p>
    <w:p w14:paraId="38AF7AEA" w14:textId="2788601F" w:rsidR="00E255AE" w:rsidRPr="007C12DD" w:rsidRDefault="00E14E92" w:rsidP="000F6D5B">
      <w:pPr>
        <w:spacing w:after="0"/>
        <w:jc w:val="center"/>
        <w:rPr>
          <w:lang w:val="en-US"/>
        </w:rPr>
      </w:pPr>
      <w:r w:rsidRPr="007C12DD">
        <w:rPr>
          <w:b/>
          <w:bCs/>
          <w:lang w:val="en-US"/>
        </w:rPr>
        <w:t>Fig</w:t>
      </w:r>
      <w:r w:rsidR="00D4037A">
        <w:rPr>
          <w:b/>
          <w:bCs/>
          <w:lang w:val="en-US"/>
        </w:rPr>
        <w:t>.</w:t>
      </w:r>
      <w:r w:rsidRPr="007C12DD">
        <w:rPr>
          <w:b/>
          <w:bCs/>
          <w:lang w:val="en-US"/>
        </w:rPr>
        <w:t xml:space="preserve"> </w:t>
      </w:r>
      <w:r w:rsidR="00386472" w:rsidRPr="007C12DD">
        <w:rPr>
          <w:b/>
          <w:bCs/>
          <w:lang w:val="en-US"/>
        </w:rPr>
        <w:t>3</w:t>
      </w:r>
      <w:r w:rsidRPr="007C12DD">
        <w:rPr>
          <w:lang w:val="en-US"/>
        </w:rPr>
        <w:t>. Overview of the data collection and database construction process.</w:t>
      </w:r>
    </w:p>
    <w:p w14:paraId="5292EBEB" w14:textId="77777777" w:rsidR="00B4238C" w:rsidRPr="007C12DD" w:rsidRDefault="00B4238C" w:rsidP="00C008C6">
      <w:pPr>
        <w:spacing w:after="0"/>
        <w:jc w:val="both"/>
        <w:rPr>
          <w:lang w:val="en-US"/>
        </w:rPr>
      </w:pPr>
    </w:p>
    <w:p w14:paraId="07B4A028" w14:textId="21351747" w:rsidR="005D6FC6" w:rsidRPr="007C12DD" w:rsidRDefault="00DE2CBA" w:rsidP="00C008C6">
      <w:pPr>
        <w:spacing w:after="0"/>
        <w:jc w:val="both"/>
        <w:rPr>
          <w:lang w:val="en-US"/>
        </w:rPr>
      </w:pPr>
      <w:r w:rsidRPr="007C12DD">
        <w:rPr>
          <w:lang w:val="en-US"/>
        </w:rPr>
        <w:t>As illustrated in Fig</w:t>
      </w:r>
      <w:r w:rsidR="00D4037A">
        <w:rPr>
          <w:lang w:val="en-US"/>
        </w:rPr>
        <w:t>.</w:t>
      </w:r>
      <w:r w:rsidRPr="007C12DD">
        <w:rPr>
          <w:lang w:val="en-US"/>
        </w:rPr>
        <w:t xml:space="preserve"> </w:t>
      </w:r>
      <w:r w:rsidR="00386472" w:rsidRPr="007C12DD">
        <w:rPr>
          <w:lang w:val="en-US"/>
        </w:rPr>
        <w:t>3</w:t>
      </w:r>
      <w:r w:rsidRPr="007C12DD">
        <w:rPr>
          <w:lang w:val="en-US"/>
        </w:rPr>
        <w:t xml:space="preserve">, </w:t>
      </w:r>
      <w:r w:rsidR="00C008C6" w:rsidRPr="007C12DD">
        <w:rPr>
          <w:lang w:val="en-US"/>
        </w:rPr>
        <w:t xml:space="preserve">we </w:t>
      </w:r>
      <w:r w:rsidRPr="007C12DD">
        <w:rPr>
          <w:lang w:val="en-US"/>
        </w:rPr>
        <w:t xml:space="preserve">first </w:t>
      </w:r>
      <w:r w:rsidR="00B24099" w:rsidRPr="007C12DD">
        <w:rPr>
          <w:lang w:val="en-US"/>
        </w:rPr>
        <w:t>withdr</w:t>
      </w:r>
      <w:r w:rsidR="00B8048B" w:rsidRPr="007C12DD">
        <w:rPr>
          <w:lang w:val="en-US"/>
        </w:rPr>
        <w:t>e</w:t>
      </w:r>
      <w:r w:rsidR="00B24099" w:rsidRPr="007C12DD">
        <w:rPr>
          <w:lang w:val="en-US"/>
        </w:rPr>
        <w:t>w data from the Crunchbase database</w:t>
      </w:r>
      <w:r w:rsidRPr="007C12DD">
        <w:rPr>
          <w:lang w:val="en-US"/>
        </w:rPr>
        <w:t xml:space="preserve">. Crunchbase is the </w:t>
      </w:r>
      <w:r w:rsidR="00490184" w:rsidRPr="007C12DD">
        <w:rPr>
          <w:lang w:val="en-US"/>
        </w:rPr>
        <w:t xml:space="preserve">world’s </w:t>
      </w:r>
      <w:r w:rsidRPr="007C12DD">
        <w:rPr>
          <w:lang w:val="en-US"/>
        </w:rPr>
        <w:t>largest start</w:t>
      </w:r>
      <w:r w:rsidR="0087600B" w:rsidRPr="007C12DD">
        <w:rPr>
          <w:lang w:val="en-US"/>
        </w:rPr>
        <w:t>-</w:t>
      </w:r>
      <w:r w:rsidRPr="007C12DD">
        <w:rPr>
          <w:lang w:val="en-US"/>
        </w:rPr>
        <w:t>up database and</w:t>
      </w:r>
      <w:r w:rsidR="00B24099" w:rsidRPr="007C12DD">
        <w:rPr>
          <w:lang w:val="en-US"/>
        </w:rPr>
        <w:t xml:space="preserve"> contains funding and organizational </w:t>
      </w:r>
      <w:r w:rsidR="00087665" w:rsidRPr="007C12DD">
        <w:rPr>
          <w:lang w:val="en-US"/>
        </w:rPr>
        <w:t>data</w:t>
      </w:r>
      <w:r w:rsidR="00B24099" w:rsidRPr="007C12DD">
        <w:rPr>
          <w:lang w:val="en-US"/>
        </w:rPr>
        <w:t xml:space="preserve"> of over 650</w:t>
      </w:r>
      <w:r w:rsidR="0087600B" w:rsidRPr="007C12DD">
        <w:rPr>
          <w:lang w:val="en-US"/>
        </w:rPr>
        <w:t>,</w:t>
      </w:r>
      <w:r w:rsidR="00B24099" w:rsidRPr="007C12DD">
        <w:rPr>
          <w:lang w:val="en-US"/>
        </w:rPr>
        <w:t>000 start</w:t>
      </w:r>
      <w:r w:rsidR="0087600B" w:rsidRPr="007C12DD">
        <w:rPr>
          <w:lang w:val="en-US"/>
        </w:rPr>
        <w:t>-</w:t>
      </w:r>
      <w:r w:rsidR="00B24099" w:rsidRPr="007C12DD">
        <w:rPr>
          <w:lang w:val="en-US"/>
        </w:rPr>
        <w:t xml:space="preserve">ups. </w:t>
      </w:r>
      <w:proofErr w:type="gramStart"/>
      <w:r w:rsidR="001B61E4" w:rsidRPr="007C12DD">
        <w:rPr>
          <w:lang w:val="en-US"/>
        </w:rPr>
        <w:t>T</w:t>
      </w:r>
      <w:r w:rsidRPr="007C12DD">
        <w:rPr>
          <w:lang w:val="en-US"/>
        </w:rPr>
        <w:t>he premium</w:t>
      </w:r>
      <w:proofErr w:type="gramEnd"/>
      <w:r w:rsidRPr="007C12DD">
        <w:rPr>
          <w:lang w:val="en-US"/>
        </w:rPr>
        <w:t xml:space="preserve"> access of the research institute allowed the authors to download large datasets</w:t>
      </w:r>
      <w:r w:rsidR="001B61E4" w:rsidRPr="007C12DD">
        <w:rPr>
          <w:lang w:val="en-US"/>
        </w:rPr>
        <w:t>.</w:t>
      </w:r>
      <w:r w:rsidRPr="007C12DD">
        <w:rPr>
          <w:lang w:val="en-US"/>
        </w:rPr>
        <w:t xml:space="preserve"> </w:t>
      </w:r>
      <w:r w:rsidR="00087665" w:rsidRPr="007C12DD">
        <w:rPr>
          <w:lang w:val="en-US"/>
        </w:rPr>
        <w:t>On the 7</w:t>
      </w:r>
      <w:r w:rsidR="00087665" w:rsidRPr="007C12DD">
        <w:rPr>
          <w:vertAlign w:val="superscript"/>
          <w:lang w:val="en-US"/>
        </w:rPr>
        <w:t>th</w:t>
      </w:r>
      <w:r w:rsidR="00087665" w:rsidRPr="007C12DD">
        <w:rPr>
          <w:lang w:val="en-US"/>
        </w:rPr>
        <w:t xml:space="preserve"> of July</w:t>
      </w:r>
      <w:r w:rsidRPr="007C12DD">
        <w:rPr>
          <w:lang w:val="en-US"/>
        </w:rPr>
        <w:t xml:space="preserve"> 2020</w:t>
      </w:r>
      <w:r w:rsidR="00087665" w:rsidRPr="007C12DD">
        <w:rPr>
          <w:lang w:val="en-US"/>
        </w:rPr>
        <w:t>, w</w:t>
      </w:r>
      <w:r w:rsidR="00B24099" w:rsidRPr="007C12DD">
        <w:rPr>
          <w:lang w:val="en-US"/>
        </w:rPr>
        <w:t>e downloaded the information of all start</w:t>
      </w:r>
      <w:r w:rsidR="0087600B" w:rsidRPr="007C12DD">
        <w:rPr>
          <w:lang w:val="en-US"/>
        </w:rPr>
        <w:t>-</w:t>
      </w:r>
      <w:r w:rsidR="00B24099" w:rsidRPr="007C12DD">
        <w:rPr>
          <w:lang w:val="en-US"/>
        </w:rPr>
        <w:t>ups containing at least on</w:t>
      </w:r>
      <w:r w:rsidR="00087665" w:rsidRPr="007C12DD">
        <w:rPr>
          <w:lang w:val="en-US"/>
        </w:rPr>
        <w:t>e</w:t>
      </w:r>
      <w:r w:rsidR="00B24099" w:rsidRPr="007C12DD">
        <w:rPr>
          <w:lang w:val="en-US"/>
        </w:rPr>
        <w:t xml:space="preserve"> of the following words in their organizational description: </w:t>
      </w:r>
      <w:r w:rsidR="00B24099" w:rsidRPr="007C12DD">
        <w:rPr>
          <w:i/>
          <w:iCs/>
          <w:lang w:val="en-US"/>
        </w:rPr>
        <w:t>“upcycling”</w:t>
      </w:r>
      <w:r w:rsidR="00B24099" w:rsidRPr="007C12DD">
        <w:rPr>
          <w:lang w:val="en-US"/>
        </w:rPr>
        <w:t xml:space="preserve">, </w:t>
      </w:r>
      <w:r w:rsidR="00B24099" w:rsidRPr="007C12DD">
        <w:rPr>
          <w:i/>
          <w:iCs/>
          <w:lang w:val="en-US"/>
        </w:rPr>
        <w:t>“</w:t>
      </w:r>
      <w:r w:rsidR="00087665" w:rsidRPr="007C12DD">
        <w:rPr>
          <w:i/>
          <w:iCs/>
          <w:lang w:val="en-US"/>
        </w:rPr>
        <w:t>recycling</w:t>
      </w:r>
      <w:r w:rsidR="00B24099" w:rsidRPr="007C12DD">
        <w:rPr>
          <w:i/>
          <w:iCs/>
          <w:lang w:val="en-US"/>
        </w:rPr>
        <w:t>”</w:t>
      </w:r>
      <w:r w:rsidR="00087665" w:rsidRPr="007C12DD">
        <w:rPr>
          <w:lang w:val="en-US"/>
        </w:rPr>
        <w:t xml:space="preserve">, </w:t>
      </w:r>
      <w:r w:rsidR="00087665" w:rsidRPr="007C12DD">
        <w:rPr>
          <w:i/>
          <w:iCs/>
          <w:lang w:val="en-US"/>
        </w:rPr>
        <w:t>“refurbishing”</w:t>
      </w:r>
      <w:r w:rsidR="00087665" w:rsidRPr="007C12DD">
        <w:rPr>
          <w:lang w:val="en-US"/>
        </w:rPr>
        <w:t xml:space="preserve">, </w:t>
      </w:r>
      <w:r w:rsidR="00087665" w:rsidRPr="007C12DD">
        <w:rPr>
          <w:i/>
          <w:iCs/>
          <w:lang w:val="en-US"/>
        </w:rPr>
        <w:t>“remanufacturing”</w:t>
      </w:r>
      <w:r w:rsidR="00087665" w:rsidRPr="007C12DD">
        <w:rPr>
          <w:lang w:val="en-US"/>
        </w:rPr>
        <w:t xml:space="preserve">, </w:t>
      </w:r>
      <w:r w:rsidR="00087665" w:rsidRPr="007C12DD">
        <w:rPr>
          <w:i/>
          <w:iCs/>
          <w:lang w:val="en-US"/>
        </w:rPr>
        <w:t>“repair”</w:t>
      </w:r>
      <w:r w:rsidR="00087665" w:rsidRPr="007C12DD">
        <w:rPr>
          <w:lang w:val="en-US"/>
        </w:rPr>
        <w:t xml:space="preserve">, </w:t>
      </w:r>
      <w:r w:rsidR="00087665" w:rsidRPr="007C12DD">
        <w:rPr>
          <w:i/>
          <w:iCs/>
          <w:lang w:val="en-US"/>
        </w:rPr>
        <w:t>“repurpose”</w:t>
      </w:r>
      <w:r w:rsidR="00087665" w:rsidRPr="007C12DD">
        <w:rPr>
          <w:lang w:val="en-US"/>
        </w:rPr>
        <w:t xml:space="preserve">, </w:t>
      </w:r>
      <w:r w:rsidR="00087665" w:rsidRPr="007C12DD">
        <w:rPr>
          <w:i/>
          <w:iCs/>
          <w:lang w:val="en-US"/>
        </w:rPr>
        <w:t>“waste”</w:t>
      </w:r>
      <w:r w:rsidR="00087665" w:rsidRPr="007C12DD">
        <w:rPr>
          <w:lang w:val="en-US"/>
        </w:rPr>
        <w:t xml:space="preserve">, </w:t>
      </w:r>
      <w:r w:rsidR="00087665" w:rsidRPr="007C12DD">
        <w:rPr>
          <w:i/>
          <w:iCs/>
          <w:lang w:val="en-US"/>
        </w:rPr>
        <w:t>“circular”</w:t>
      </w:r>
      <w:r w:rsidR="00087665" w:rsidRPr="007C12DD">
        <w:rPr>
          <w:lang w:val="en-US"/>
        </w:rPr>
        <w:t xml:space="preserve">, </w:t>
      </w:r>
      <w:r w:rsidR="00087665" w:rsidRPr="007C12DD">
        <w:rPr>
          <w:i/>
          <w:iCs/>
          <w:lang w:val="en-US"/>
        </w:rPr>
        <w:t>“take-back”</w:t>
      </w:r>
      <w:r w:rsidR="00886780">
        <w:rPr>
          <w:i/>
          <w:iCs/>
          <w:lang w:val="en-US"/>
        </w:rPr>
        <w:t>,</w:t>
      </w:r>
      <w:r w:rsidR="00087665" w:rsidRPr="007C12DD">
        <w:rPr>
          <w:lang w:val="en-US"/>
        </w:rPr>
        <w:t xml:space="preserve"> </w:t>
      </w:r>
      <w:r w:rsidR="00186BA3">
        <w:rPr>
          <w:lang w:val="en-US"/>
        </w:rPr>
        <w:t>and</w:t>
      </w:r>
      <w:r w:rsidR="00087665" w:rsidRPr="007C12DD">
        <w:rPr>
          <w:lang w:val="en-US"/>
        </w:rPr>
        <w:t xml:space="preserve"> any grammatic</w:t>
      </w:r>
      <w:r w:rsidR="00B8048B" w:rsidRPr="007C12DD">
        <w:rPr>
          <w:lang w:val="en-US"/>
        </w:rPr>
        <w:t>al</w:t>
      </w:r>
      <w:r w:rsidR="00087665" w:rsidRPr="007C12DD">
        <w:rPr>
          <w:lang w:val="en-US"/>
        </w:rPr>
        <w:t xml:space="preserve"> variation</w:t>
      </w:r>
      <w:r w:rsidR="00FF518E">
        <w:rPr>
          <w:lang w:val="en-US"/>
        </w:rPr>
        <w:t>s</w:t>
      </w:r>
      <w:r w:rsidR="00087665" w:rsidRPr="007C12DD">
        <w:rPr>
          <w:lang w:val="en-US"/>
        </w:rPr>
        <w:t xml:space="preserve"> of these</w:t>
      </w:r>
      <w:r w:rsidR="00BB7230" w:rsidRPr="007C12DD">
        <w:rPr>
          <w:lang w:val="en-US"/>
        </w:rPr>
        <w:t xml:space="preserve"> words. </w:t>
      </w:r>
      <w:r w:rsidR="00087665" w:rsidRPr="007C12DD">
        <w:rPr>
          <w:lang w:val="en-US"/>
        </w:rPr>
        <w:t>As a result, we downloaded the data of 4</w:t>
      </w:r>
      <w:r w:rsidR="0087600B" w:rsidRPr="007C12DD">
        <w:rPr>
          <w:lang w:val="en-US"/>
        </w:rPr>
        <w:t>,</w:t>
      </w:r>
      <w:r w:rsidR="00B8048B" w:rsidRPr="007C12DD">
        <w:rPr>
          <w:lang w:val="en-US"/>
        </w:rPr>
        <w:t>586</w:t>
      </w:r>
      <w:r w:rsidR="00087665" w:rsidRPr="007C12DD">
        <w:rPr>
          <w:lang w:val="en-US"/>
        </w:rPr>
        <w:t xml:space="preserve"> start</w:t>
      </w:r>
      <w:r w:rsidR="0087600B" w:rsidRPr="007C12DD">
        <w:rPr>
          <w:lang w:val="en-US"/>
        </w:rPr>
        <w:t>-</w:t>
      </w:r>
      <w:r w:rsidR="00087665" w:rsidRPr="007C12DD">
        <w:rPr>
          <w:lang w:val="en-US"/>
        </w:rPr>
        <w:t>ups.</w:t>
      </w:r>
      <w:r w:rsidR="00BB7230" w:rsidRPr="007C12DD">
        <w:rPr>
          <w:lang w:val="en-US"/>
        </w:rPr>
        <w:t xml:space="preserve"> </w:t>
      </w:r>
      <w:r w:rsidR="005D6FC6" w:rsidRPr="007C12DD">
        <w:rPr>
          <w:lang w:val="en-US"/>
        </w:rPr>
        <w:t>In addition,</w:t>
      </w:r>
      <w:r w:rsidR="0087600B" w:rsidRPr="007C12DD">
        <w:rPr>
          <w:lang w:val="en-US"/>
        </w:rPr>
        <w:t xml:space="preserve"> we performed </w:t>
      </w:r>
      <w:r w:rsidR="005D6FC6" w:rsidRPr="007C12DD">
        <w:rPr>
          <w:lang w:val="en-US"/>
        </w:rPr>
        <w:t>an internet</w:t>
      </w:r>
      <w:r w:rsidR="00467BE4" w:rsidRPr="007C12DD">
        <w:rPr>
          <w:lang w:val="en-US"/>
        </w:rPr>
        <w:t xml:space="preserve"> search</w:t>
      </w:r>
      <w:r w:rsidR="005D6FC6" w:rsidRPr="007C12DD">
        <w:rPr>
          <w:lang w:val="en-US"/>
        </w:rPr>
        <w:t xml:space="preserve"> to identify </w:t>
      </w:r>
      <w:r w:rsidR="00560E08">
        <w:rPr>
          <w:lang w:val="en-US"/>
        </w:rPr>
        <w:t>additional</w:t>
      </w:r>
      <w:r w:rsidR="005D6FC6" w:rsidRPr="007C12DD">
        <w:rPr>
          <w:lang w:val="en-US"/>
        </w:rPr>
        <w:t xml:space="preserve"> circular start</w:t>
      </w:r>
      <w:r w:rsidR="0087600B" w:rsidRPr="007C12DD">
        <w:rPr>
          <w:lang w:val="en-US"/>
        </w:rPr>
        <w:t>-</w:t>
      </w:r>
      <w:r w:rsidR="005D6FC6" w:rsidRPr="007C12DD">
        <w:rPr>
          <w:lang w:val="en-US"/>
        </w:rPr>
        <w:t xml:space="preserve">ups using search strings such as </w:t>
      </w:r>
      <w:r w:rsidR="005D6FC6" w:rsidRPr="007C12DD">
        <w:rPr>
          <w:lang w:val="en-US"/>
        </w:rPr>
        <w:lastRenderedPageBreak/>
        <w:t>“</w:t>
      </w:r>
      <w:r w:rsidR="005D6FC6" w:rsidRPr="007C12DD">
        <w:rPr>
          <w:i/>
          <w:iCs/>
          <w:lang w:val="en-US"/>
        </w:rPr>
        <w:t>sustainable start</w:t>
      </w:r>
      <w:r w:rsidR="0087600B" w:rsidRPr="007C12DD">
        <w:rPr>
          <w:i/>
          <w:iCs/>
          <w:lang w:val="en-US"/>
        </w:rPr>
        <w:t>-</w:t>
      </w:r>
      <w:r w:rsidR="005D6FC6" w:rsidRPr="007C12DD">
        <w:rPr>
          <w:i/>
          <w:iCs/>
          <w:lang w:val="en-US"/>
        </w:rPr>
        <w:t>up</w:t>
      </w:r>
      <w:r w:rsidR="005D6FC6" w:rsidRPr="007C12DD">
        <w:rPr>
          <w:lang w:val="en-US"/>
        </w:rPr>
        <w:t>”, “</w:t>
      </w:r>
      <w:r w:rsidR="005D6FC6" w:rsidRPr="007C12DD">
        <w:rPr>
          <w:i/>
          <w:iCs/>
          <w:lang w:val="en-US"/>
        </w:rPr>
        <w:t>circular start</w:t>
      </w:r>
      <w:r w:rsidR="0087600B" w:rsidRPr="007C12DD">
        <w:rPr>
          <w:i/>
          <w:iCs/>
          <w:lang w:val="en-US"/>
        </w:rPr>
        <w:t>-</w:t>
      </w:r>
      <w:r w:rsidR="005D6FC6" w:rsidRPr="007C12DD">
        <w:rPr>
          <w:i/>
          <w:iCs/>
          <w:lang w:val="en-US"/>
        </w:rPr>
        <w:t>up</w:t>
      </w:r>
      <w:r w:rsidR="005D6FC6" w:rsidRPr="007C12DD">
        <w:rPr>
          <w:lang w:val="en-US"/>
        </w:rPr>
        <w:t>”, “</w:t>
      </w:r>
      <w:r w:rsidR="005D6FC6" w:rsidRPr="007C12DD">
        <w:rPr>
          <w:i/>
          <w:iCs/>
          <w:lang w:val="en-US"/>
        </w:rPr>
        <w:t>waste start</w:t>
      </w:r>
      <w:r w:rsidR="0087600B" w:rsidRPr="007C12DD">
        <w:rPr>
          <w:i/>
          <w:iCs/>
          <w:lang w:val="en-US"/>
        </w:rPr>
        <w:t>-</w:t>
      </w:r>
      <w:r w:rsidR="005D6FC6" w:rsidRPr="007C12DD">
        <w:rPr>
          <w:i/>
          <w:iCs/>
          <w:lang w:val="en-US"/>
        </w:rPr>
        <w:t>up</w:t>
      </w:r>
      <w:r w:rsidR="005D6FC6" w:rsidRPr="007C12DD">
        <w:rPr>
          <w:lang w:val="en-US"/>
        </w:rPr>
        <w:t>” “</w:t>
      </w:r>
      <w:r w:rsidR="005D6FC6" w:rsidRPr="007C12DD">
        <w:rPr>
          <w:i/>
          <w:iCs/>
          <w:lang w:val="en-US"/>
        </w:rPr>
        <w:t>upcycling start</w:t>
      </w:r>
      <w:r w:rsidR="0087600B" w:rsidRPr="007C12DD">
        <w:rPr>
          <w:i/>
          <w:iCs/>
          <w:lang w:val="en-US"/>
        </w:rPr>
        <w:t>-</w:t>
      </w:r>
      <w:r w:rsidR="005D6FC6" w:rsidRPr="007C12DD">
        <w:rPr>
          <w:i/>
          <w:iCs/>
          <w:lang w:val="en-US"/>
        </w:rPr>
        <w:t>up</w:t>
      </w:r>
      <w:r w:rsidR="005D6FC6" w:rsidRPr="007C12DD">
        <w:rPr>
          <w:lang w:val="en-US"/>
        </w:rPr>
        <w:t>”, “</w:t>
      </w:r>
      <w:r w:rsidR="005D6FC6" w:rsidRPr="007C12DD">
        <w:rPr>
          <w:i/>
          <w:iCs/>
          <w:lang w:val="en-US"/>
        </w:rPr>
        <w:t>recycling start</w:t>
      </w:r>
      <w:r w:rsidR="0087600B" w:rsidRPr="007C12DD">
        <w:rPr>
          <w:i/>
          <w:iCs/>
          <w:lang w:val="en-US"/>
        </w:rPr>
        <w:t>-</w:t>
      </w:r>
      <w:r w:rsidR="005D6FC6" w:rsidRPr="007C12DD">
        <w:rPr>
          <w:i/>
          <w:iCs/>
          <w:lang w:val="en-US"/>
        </w:rPr>
        <w:t>up</w:t>
      </w:r>
      <w:r w:rsidR="005D6FC6" w:rsidRPr="007C12DD">
        <w:rPr>
          <w:lang w:val="en-US"/>
        </w:rPr>
        <w:t>”, “</w:t>
      </w:r>
      <w:r w:rsidR="005D6FC6" w:rsidRPr="007C12DD">
        <w:rPr>
          <w:i/>
          <w:iCs/>
          <w:lang w:val="en-US"/>
        </w:rPr>
        <w:t>take-back start</w:t>
      </w:r>
      <w:r w:rsidR="0087600B" w:rsidRPr="007C12DD">
        <w:rPr>
          <w:i/>
          <w:iCs/>
          <w:lang w:val="en-US"/>
        </w:rPr>
        <w:t>-</w:t>
      </w:r>
      <w:r w:rsidR="005D6FC6" w:rsidRPr="007C12DD">
        <w:rPr>
          <w:i/>
          <w:iCs/>
          <w:lang w:val="en-US"/>
        </w:rPr>
        <w:t>up</w:t>
      </w:r>
      <w:r w:rsidR="005D6FC6" w:rsidRPr="007C12DD">
        <w:rPr>
          <w:lang w:val="en-US"/>
        </w:rPr>
        <w:t>” in combination with different keywords such as “</w:t>
      </w:r>
      <w:r w:rsidR="005D6FC6" w:rsidRPr="007C12DD">
        <w:rPr>
          <w:i/>
          <w:iCs/>
          <w:lang w:val="en-US"/>
        </w:rPr>
        <w:t>food</w:t>
      </w:r>
      <w:r w:rsidR="005D6FC6" w:rsidRPr="007C12DD">
        <w:rPr>
          <w:lang w:val="en-US"/>
        </w:rPr>
        <w:t>”, “</w:t>
      </w:r>
      <w:r w:rsidR="005D6FC6" w:rsidRPr="007C12DD">
        <w:rPr>
          <w:i/>
          <w:iCs/>
          <w:lang w:val="en-US"/>
        </w:rPr>
        <w:t>e-waste</w:t>
      </w:r>
      <w:r w:rsidR="005D6FC6" w:rsidRPr="007C12DD">
        <w:rPr>
          <w:lang w:val="en-US"/>
        </w:rPr>
        <w:t>”, “</w:t>
      </w:r>
      <w:r w:rsidR="005D6FC6" w:rsidRPr="007C12DD">
        <w:rPr>
          <w:i/>
          <w:iCs/>
          <w:lang w:val="en-US"/>
        </w:rPr>
        <w:t>electronics</w:t>
      </w:r>
      <w:r w:rsidR="005D6FC6" w:rsidRPr="007C12DD">
        <w:rPr>
          <w:lang w:val="en-US"/>
        </w:rPr>
        <w:t>”, “</w:t>
      </w:r>
      <w:r w:rsidR="005D6FC6" w:rsidRPr="007C12DD">
        <w:rPr>
          <w:i/>
          <w:iCs/>
          <w:lang w:val="en-US"/>
        </w:rPr>
        <w:t>furniture</w:t>
      </w:r>
      <w:r w:rsidR="005D6FC6" w:rsidRPr="007C12DD">
        <w:rPr>
          <w:lang w:val="en-US"/>
        </w:rPr>
        <w:t>”</w:t>
      </w:r>
      <w:r w:rsidR="00886780">
        <w:rPr>
          <w:lang w:val="en-US"/>
        </w:rPr>
        <w:t>,</w:t>
      </w:r>
      <w:r w:rsidR="005D6FC6" w:rsidRPr="007C12DD">
        <w:rPr>
          <w:lang w:val="en-US"/>
        </w:rPr>
        <w:t xml:space="preserve"> and “</w:t>
      </w:r>
      <w:r w:rsidR="005D6FC6" w:rsidRPr="007C12DD">
        <w:rPr>
          <w:i/>
          <w:iCs/>
          <w:lang w:val="en-US"/>
        </w:rPr>
        <w:t>fashion</w:t>
      </w:r>
      <w:r w:rsidR="005D6FC6" w:rsidRPr="007C12DD">
        <w:rPr>
          <w:lang w:val="en-US"/>
        </w:rPr>
        <w:t>”. The search was conducted in</w:t>
      </w:r>
      <w:r w:rsidR="00A9606C" w:rsidRPr="007C12DD">
        <w:rPr>
          <w:lang w:val="en-US"/>
        </w:rPr>
        <w:t xml:space="preserve"> the main languages of the authors (</w:t>
      </w:r>
      <w:r w:rsidR="005D6FC6" w:rsidRPr="007C12DD">
        <w:rPr>
          <w:lang w:val="en-US"/>
        </w:rPr>
        <w:t>English, Italian, German, Dutch and Danish</w:t>
      </w:r>
      <w:r w:rsidR="00A9606C" w:rsidRPr="007C12DD">
        <w:rPr>
          <w:lang w:val="en-US"/>
        </w:rPr>
        <w:t>)</w:t>
      </w:r>
      <w:r w:rsidR="005D6FC6" w:rsidRPr="007C12DD">
        <w:rPr>
          <w:lang w:val="en-US"/>
        </w:rPr>
        <w:t xml:space="preserve">. We continued </w:t>
      </w:r>
      <w:r w:rsidR="00CB28CF" w:rsidRPr="007C12DD">
        <w:rPr>
          <w:lang w:val="en-US"/>
        </w:rPr>
        <w:t>the internet search</w:t>
      </w:r>
      <w:r w:rsidR="005D6FC6" w:rsidRPr="007C12DD">
        <w:rPr>
          <w:lang w:val="en-US"/>
        </w:rPr>
        <w:t xml:space="preserve"> until we did not find any additional start</w:t>
      </w:r>
      <w:r w:rsidR="0087600B" w:rsidRPr="007C12DD">
        <w:rPr>
          <w:lang w:val="en-US"/>
        </w:rPr>
        <w:t>-</w:t>
      </w:r>
      <w:r w:rsidR="005D6FC6" w:rsidRPr="007C12DD">
        <w:rPr>
          <w:lang w:val="en-US"/>
        </w:rPr>
        <w:t>ups</w:t>
      </w:r>
      <w:r w:rsidR="0087600B" w:rsidRPr="007C12DD">
        <w:rPr>
          <w:lang w:val="en-US"/>
        </w:rPr>
        <w:t xml:space="preserve">. In total, we </w:t>
      </w:r>
      <w:r w:rsidR="005D6FC6" w:rsidRPr="007C12DD">
        <w:rPr>
          <w:lang w:val="en-US"/>
        </w:rPr>
        <w:t>add</w:t>
      </w:r>
      <w:r w:rsidR="0087600B" w:rsidRPr="007C12DD">
        <w:rPr>
          <w:lang w:val="en-US"/>
        </w:rPr>
        <w:t>ed</w:t>
      </w:r>
      <w:r w:rsidR="005D6FC6" w:rsidRPr="007C12DD">
        <w:rPr>
          <w:lang w:val="en-US"/>
        </w:rPr>
        <w:t xml:space="preserve"> an additional 63 start</w:t>
      </w:r>
      <w:r w:rsidR="0087600B" w:rsidRPr="007C12DD">
        <w:rPr>
          <w:lang w:val="en-US"/>
        </w:rPr>
        <w:t>-</w:t>
      </w:r>
      <w:r w:rsidR="005D6FC6" w:rsidRPr="007C12DD">
        <w:rPr>
          <w:lang w:val="en-US"/>
        </w:rPr>
        <w:t xml:space="preserve">ups to the database. </w:t>
      </w:r>
      <w:r w:rsidR="00012285" w:rsidRPr="007C12DD">
        <w:rPr>
          <w:lang w:val="en-US"/>
        </w:rPr>
        <w:t xml:space="preserve">Due to the language constraints and due to the limited presence of Crunchbase outside of Europe, North </w:t>
      </w:r>
      <w:proofErr w:type="gramStart"/>
      <w:r w:rsidR="00012285" w:rsidRPr="007C12DD">
        <w:rPr>
          <w:lang w:val="en-US"/>
        </w:rPr>
        <w:t>America</w:t>
      </w:r>
      <w:proofErr w:type="gramEnd"/>
      <w:r w:rsidR="00012285" w:rsidRPr="007C12DD">
        <w:rPr>
          <w:lang w:val="en-US"/>
        </w:rPr>
        <w:t xml:space="preserve"> and Australia, we limited ourselves to start</w:t>
      </w:r>
      <w:r w:rsidR="0087600B" w:rsidRPr="007C12DD">
        <w:rPr>
          <w:lang w:val="en-US"/>
        </w:rPr>
        <w:t>-</w:t>
      </w:r>
      <w:r w:rsidR="00012285" w:rsidRPr="007C12DD">
        <w:rPr>
          <w:lang w:val="en-US"/>
        </w:rPr>
        <w:t>ups</w:t>
      </w:r>
      <w:r w:rsidR="00467BE4" w:rsidRPr="007C12DD">
        <w:rPr>
          <w:lang w:val="en-US"/>
        </w:rPr>
        <w:t xml:space="preserve"> from those </w:t>
      </w:r>
      <w:r w:rsidR="00F97C85" w:rsidRPr="007C12DD">
        <w:rPr>
          <w:lang w:val="en-US"/>
        </w:rPr>
        <w:t>regions</w:t>
      </w:r>
      <w:r w:rsidR="00012285" w:rsidRPr="007C12DD">
        <w:rPr>
          <w:lang w:val="en-US"/>
        </w:rPr>
        <w:t>. Although other countries such as China and India may have vast amounts of circular start</w:t>
      </w:r>
      <w:r w:rsidR="0087600B" w:rsidRPr="007C12DD">
        <w:rPr>
          <w:lang w:val="en-US"/>
        </w:rPr>
        <w:t>-</w:t>
      </w:r>
      <w:r w:rsidR="00012285" w:rsidRPr="007C12DD">
        <w:rPr>
          <w:lang w:val="en-US"/>
        </w:rPr>
        <w:t>ups</w:t>
      </w:r>
      <w:r w:rsidR="00B4238C" w:rsidRPr="007C12DD">
        <w:rPr>
          <w:lang w:val="en-US"/>
        </w:rPr>
        <w:t xml:space="preserve"> too</w:t>
      </w:r>
      <w:r w:rsidR="00012285" w:rsidRPr="007C12DD">
        <w:rPr>
          <w:lang w:val="en-US"/>
        </w:rPr>
        <w:t xml:space="preserve">, we were unable to </w:t>
      </w:r>
      <w:r w:rsidR="00402E02" w:rsidRPr="007C12DD">
        <w:rPr>
          <w:lang w:val="en-US"/>
        </w:rPr>
        <w:t xml:space="preserve">obtain a </w:t>
      </w:r>
      <w:r w:rsidR="0087600B" w:rsidRPr="007C12DD">
        <w:rPr>
          <w:lang w:val="en-US"/>
        </w:rPr>
        <w:t>representative</w:t>
      </w:r>
      <w:r w:rsidR="00402E02" w:rsidRPr="007C12DD">
        <w:rPr>
          <w:lang w:val="en-US"/>
        </w:rPr>
        <w:t xml:space="preserve"> sample</w:t>
      </w:r>
      <w:r w:rsidR="00012285" w:rsidRPr="007C12DD">
        <w:rPr>
          <w:lang w:val="en-US"/>
        </w:rPr>
        <w:t xml:space="preserve">. Including the few </w:t>
      </w:r>
      <w:r w:rsidR="00467BE4" w:rsidRPr="007C12DD">
        <w:rPr>
          <w:lang w:val="en-US"/>
        </w:rPr>
        <w:t xml:space="preserve">identified </w:t>
      </w:r>
      <w:r w:rsidR="00012285" w:rsidRPr="007C12DD">
        <w:rPr>
          <w:lang w:val="en-US"/>
        </w:rPr>
        <w:t>Asian, African and South American start</w:t>
      </w:r>
      <w:r w:rsidR="0087600B" w:rsidRPr="007C12DD">
        <w:rPr>
          <w:lang w:val="en-US"/>
        </w:rPr>
        <w:t>-</w:t>
      </w:r>
      <w:r w:rsidR="00012285" w:rsidRPr="007C12DD">
        <w:rPr>
          <w:lang w:val="en-US"/>
        </w:rPr>
        <w:t>ups</w:t>
      </w:r>
      <w:r w:rsidR="00467BE4" w:rsidRPr="007C12DD">
        <w:rPr>
          <w:lang w:val="en-US"/>
        </w:rPr>
        <w:t xml:space="preserve"> in</w:t>
      </w:r>
      <w:r w:rsidR="00402E02" w:rsidRPr="007C12DD">
        <w:rPr>
          <w:lang w:val="en-US"/>
        </w:rPr>
        <w:t xml:space="preserve"> </w:t>
      </w:r>
      <w:r w:rsidR="00467BE4" w:rsidRPr="007C12DD">
        <w:rPr>
          <w:lang w:val="en-US"/>
        </w:rPr>
        <w:t>our database</w:t>
      </w:r>
      <w:r w:rsidR="00402E02" w:rsidRPr="007C12DD">
        <w:rPr>
          <w:lang w:val="en-US"/>
        </w:rPr>
        <w:t xml:space="preserve"> </w:t>
      </w:r>
      <w:r w:rsidR="00012285" w:rsidRPr="007C12DD">
        <w:rPr>
          <w:lang w:val="en-US"/>
        </w:rPr>
        <w:t xml:space="preserve">might lead to potential contextual biases </w:t>
      </w:r>
      <w:r w:rsidR="00402E02" w:rsidRPr="007C12DD">
        <w:rPr>
          <w:lang w:val="en-US"/>
        </w:rPr>
        <w:t xml:space="preserve">which </w:t>
      </w:r>
      <w:r w:rsidR="00012285" w:rsidRPr="007C12DD">
        <w:rPr>
          <w:lang w:val="en-US"/>
        </w:rPr>
        <w:t xml:space="preserve">are difficult to control </w:t>
      </w:r>
      <w:r w:rsidR="00402E02" w:rsidRPr="007C12DD">
        <w:rPr>
          <w:lang w:val="en-US"/>
        </w:rPr>
        <w:t>for</w:t>
      </w:r>
      <w:r w:rsidR="00012285" w:rsidRPr="007C12DD">
        <w:rPr>
          <w:lang w:val="en-US"/>
        </w:rPr>
        <w:t>.</w:t>
      </w:r>
    </w:p>
    <w:p w14:paraId="51BE99B6" w14:textId="7BF60313" w:rsidR="00DE2CBA" w:rsidRPr="007C12DD" w:rsidRDefault="00DE2CBA" w:rsidP="00DE2CBA">
      <w:pPr>
        <w:spacing w:after="0"/>
        <w:ind w:firstLine="284"/>
        <w:jc w:val="both"/>
        <w:rPr>
          <w:lang w:val="en-US"/>
        </w:rPr>
      </w:pPr>
      <w:r w:rsidRPr="007C12DD">
        <w:rPr>
          <w:lang w:val="en-US"/>
        </w:rPr>
        <w:t xml:space="preserve">Next, we </w:t>
      </w:r>
      <w:r w:rsidR="007D4116" w:rsidRPr="007C12DD">
        <w:rPr>
          <w:lang w:val="en-US"/>
        </w:rPr>
        <w:t xml:space="preserve">manually </w:t>
      </w:r>
      <w:proofErr w:type="gramStart"/>
      <w:r w:rsidRPr="007C12DD">
        <w:rPr>
          <w:lang w:val="en-US"/>
        </w:rPr>
        <w:t>controlled for</w:t>
      </w:r>
      <w:proofErr w:type="gramEnd"/>
      <w:r w:rsidRPr="007C12DD">
        <w:rPr>
          <w:lang w:val="en-US"/>
        </w:rPr>
        <w:t xml:space="preserve"> the business model of the start</w:t>
      </w:r>
      <w:r w:rsidR="0087600B" w:rsidRPr="007C12DD">
        <w:rPr>
          <w:lang w:val="en-US"/>
        </w:rPr>
        <w:t>-</w:t>
      </w:r>
      <w:r w:rsidRPr="007C12DD">
        <w:rPr>
          <w:lang w:val="en-US"/>
        </w:rPr>
        <w:t xml:space="preserve">ups </w:t>
      </w:r>
      <w:r w:rsidR="005359EE" w:rsidRPr="007C12DD">
        <w:rPr>
          <w:lang w:val="en-US"/>
        </w:rPr>
        <w:t>to</w:t>
      </w:r>
      <w:r w:rsidRPr="007C12DD">
        <w:rPr>
          <w:lang w:val="en-US"/>
        </w:rPr>
        <w:t xml:space="preserve"> exclude start</w:t>
      </w:r>
      <w:r w:rsidR="0087600B" w:rsidRPr="007C12DD">
        <w:rPr>
          <w:lang w:val="en-US"/>
        </w:rPr>
        <w:t>-</w:t>
      </w:r>
      <w:r w:rsidRPr="007C12DD">
        <w:rPr>
          <w:lang w:val="en-US"/>
        </w:rPr>
        <w:t>ups which d</w:t>
      </w:r>
      <w:r w:rsidR="00402E02" w:rsidRPr="007C12DD">
        <w:rPr>
          <w:lang w:val="en-US"/>
        </w:rPr>
        <w:t>id</w:t>
      </w:r>
      <w:r w:rsidRPr="007C12DD">
        <w:rPr>
          <w:lang w:val="en-US"/>
        </w:rPr>
        <w:t xml:space="preserve"> not have a manufacturing CBM.</w:t>
      </w:r>
      <w:r w:rsidR="007D4116" w:rsidRPr="007C12DD">
        <w:rPr>
          <w:lang w:val="en-US"/>
        </w:rPr>
        <w:t xml:space="preserve"> </w:t>
      </w:r>
      <w:r w:rsidR="007D17A7" w:rsidRPr="007C12DD">
        <w:rPr>
          <w:lang w:val="en-US"/>
        </w:rPr>
        <w:t>Due to the wide range of keywords</w:t>
      </w:r>
      <w:r w:rsidR="00F636A7">
        <w:rPr>
          <w:lang w:val="en-US"/>
        </w:rPr>
        <w:t xml:space="preserve"> used</w:t>
      </w:r>
      <w:r w:rsidR="007D17A7" w:rsidRPr="007C12DD">
        <w:rPr>
          <w:lang w:val="en-US"/>
        </w:rPr>
        <w:t>, t</w:t>
      </w:r>
      <w:r w:rsidR="007D4116" w:rsidRPr="007C12DD">
        <w:rPr>
          <w:lang w:val="en-US"/>
        </w:rPr>
        <w:t>he majority (92</w:t>
      </w:r>
      <w:r w:rsidR="00E255AE" w:rsidRPr="007C12DD">
        <w:rPr>
          <w:lang w:val="en-US"/>
        </w:rPr>
        <w:t>.2</w:t>
      </w:r>
      <w:r w:rsidR="007D4116" w:rsidRPr="007C12DD">
        <w:rPr>
          <w:lang w:val="en-US"/>
        </w:rPr>
        <w:t>%) of the start</w:t>
      </w:r>
      <w:r w:rsidR="0087600B" w:rsidRPr="007C12DD">
        <w:rPr>
          <w:lang w:val="en-US"/>
        </w:rPr>
        <w:t>-</w:t>
      </w:r>
      <w:r w:rsidR="007D4116" w:rsidRPr="005359EE">
        <w:rPr>
          <w:lang w:val="en-US"/>
        </w:rPr>
        <w:t xml:space="preserve">ups did not have a </w:t>
      </w:r>
      <w:r w:rsidR="00E255AE" w:rsidRPr="005359EE">
        <w:rPr>
          <w:lang w:val="en-US"/>
        </w:rPr>
        <w:t>business model</w:t>
      </w:r>
      <w:r w:rsidR="007D4116" w:rsidRPr="005359EE">
        <w:rPr>
          <w:lang w:val="en-US"/>
        </w:rPr>
        <w:t xml:space="preserve"> related to the circular economy </w:t>
      </w:r>
      <w:r w:rsidR="007D17A7" w:rsidRPr="005359EE">
        <w:rPr>
          <w:lang w:val="en-US"/>
        </w:rPr>
        <w:t xml:space="preserve">and were, therefore, excluded from the database. </w:t>
      </w:r>
      <w:r w:rsidR="00E255AE" w:rsidRPr="005359EE">
        <w:rPr>
          <w:lang w:val="en-US"/>
        </w:rPr>
        <w:t xml:space="preserve">Furthermore, </w:t>
      </w:r>
      <w:r w:rsidR="00402E02" w:rsidRPr="005359EE">
        <w:rPr>
          <w:lang w:val="en-US"/>
        </w:rPr>
        <w:t xml:space="preserve">although </w:t>
      </w:r>
      <w:r w:rsidR="007D17A7" w:rsidRPr="005359EE">
        <w:rPr>
          <w:lang w:val="en-US"/>
        </w:rPr>
        <w:t>2</w:t>
      </w:r>
      <w:r w:rsidR="00E255AE" w:rsidRPr="005359EE">
        <w:rPr>
          <w:lang w:val="en-US"/>
        </w:rPr>
        <w:t>.3</w:t>
      </w:r>
      <w:r w:rsidR="007D17A7" w:rsidRPr="005359EE">
        <w:rPr>
          <w:lang w:val="en-US"/>
        </w:rPr>
        <w:t>% of the start</w:t>
      </w:r>
      <w:r w:rsidR="0087600B" w:rsidRPr="005359EE">
        <w:rPr>
          <w:lang w:val="en-US"/>
        </w:rPr>
        <w:t>-</w:t>
      </w:r>
      <w:r w:rsidR="007D17A7" w:rsidRPr="005359EE">
        <w:rPr>
          <w:lang w:val="en-US"/>
        </w:rPr>
        <w:t xml:space="preserve">ups </w:t>
      </w:r>
      <w:r w:rsidR="00402E02" w:rsidRPr="005359EE">
        <w:rPr>
          <w:lang w:val="en-US"/>
        </w:rPr>
        <w:t>w</w:t>
      </w:r>
      <w:r w:rsidR="0087600B" w:rsidRPr="005359EE">
        <w:rPr>
          <w:lang w:val="en-US"/>
        </w:rPr>
        <w:t>ere</w:t>
      </w:r>
      <w:r w:rsidR="00402E02" w:rsidRPr="005359EE">
        <w:rPr>
          <w:lang w:val="en-US"/>
        </w:rPr>
        <w:t xml:space="preserve"> active in the circular economy, they</w:t>
      </w:r>
      <w:r w:rsidR="007D17A7" w:rsidRPr="005359EE">
        <w:rPr>
          <w:lang w:val="en-US"/>
        </w:rPr>
        <w:t xml:space="preserve"> did not </w:t>
      </w:r>
      <w:r w:rsidR="00E255AE" w:rsidRPr="005359EE">
        <w:rPr>
          <w:lang w:val="en-US"/>
        </w:rPr>
        <w:t xml:space="preserve">deploy </w:t>
      </w:r>
      <w:r w:rsidR="00402E02" w:rsidRPr="005359EE">
        <w:rPr>
          <w:lang w:val="en-US"/>
        </w:rPr>
        <w:t xml:space="preserve">any </w:t>
      </w:r>
      <w:r w:rsidR="00E255AE" w:rsidRPr="005359EE">
        <w:rPr>
          <w:lang w:val="en-US"/>
        </w:rPr>
        <w:t xml:space="preserve">manufacturing activities </w:t>
      </w:r>
      <w:r w:rsidRPr="007C12DD">
        <w:rPr>
          <w:lang w:val="en-US"/>
        </w:rPr>
        <w:t>(e.g.</w:t>
      </w:r>
      <w:r w:rsidR="007C72DF">
        <w:rPr>
          <w:lang w:val="en-US"/>
        </w:rPr>
        <w:t>,</w:t>
      </w:r>
      <w:r w:rsidRPr="007C12DD">
        <w:rPr>
          <w:lang w:val="en-US"/>
        </w:rPr>
        <w:t xml:space="preserve"> sharing and redistribution platforms, consulting or </w:t>
      </w:r>
      <w:r w:rsidR="00DF7789">
        <w:rPr>
          <w:lang w:val="en-US"/>
        </w:rPr>
        <w:t>developing</w:t>
      </w:r>
      <w:r w:rsidR="00AC2CB4">
        <w:rPr>
          <w:lang w:val="en-US"/>
        </w:rPr>
        <w:t xml:space="preserve"> </w:t>
      </w:r>
      <w:r w:rsidRPr="007C12DD">
        <w:rPr>
          <w:lang w:val="en-US"/>
        </w:rPr>
        <w:t>new technologies needed for the circular economy)</w:t>
      </w:r>
      <w:r w:rsidR="00B4238C" w:rsidRPr="007C12DD">
        <w:rPr>
          <w:lang w:val="en-US"/>
        </w:rPr>
        <w:t>. We duly removed th</w:t>
      </w:r>
      <w:r w:rsidR="00560E08">
        <w:rPr>
          <w:lang w:val="en-US"/>
        </w:rPr>
        <w:t>o</w:t>
      </w:r>
      <w:r w:rsidR="00B4238C" w:rsidRPr="007C12DD">
        <w:rPr>
          <w:lang w:val="en-US"/>
        </w:rPr>
        <w:t>se start-ups</w:t>
      </w:r>
      <w:r w:rsidR="00E255AE" w:rsidRPr="007C12DD">
        <w:rPr>
          <w:lang w:val="en-US"/>
        </w:rPr>
        <w:t xml:space="preserve"> </w:t>
      </w:r>
      <w:r w:rsidR="00402E02" w:rsidRPr="007C12DD">
        <w:rPr>
          <w:lang w:val="en-US"/>
        </w:rPr>
        <w:t>from the database</w:t>
      </w:r>
      <w:r w:rsidR="00E255AE" w:rsidRPr="007C12DD">
        <w:rPr>
          <w:lang w:val="en-US"/>
        </w:rPr>
        <w:t>.</w:t>
      </w:r>
      <w:r w:rsidR="007D17A7" w:rsidRPr="007C12DD">
        <w:rPr>
          <w:lang w:val="en-US"/>
        </w:rPr>
        <w:t xml:space="preserve"> </w:t>
      </w:r>
      <w:r w:rsidR="00560E08">
        <w:rPr>
          <w:lang w:val="en-US"/>
        </w:rPr>
        <w:t>Furthermore</w:t>
      </w:r>
      <w:r w:rsidR="007D17A7" w:rsidRPr="007C12DD">
        <w:rPr>
          <w:lang w:val="en-US"/>
        </w:rPr>
        <w:t>, 2</w:t>
      </w:r>
      <w:r w:rsidR="00E255AE" w:rsidRPr="007C12DD">
        <w:rPr>
          <w:lang w:val="en-US"/>
        </w:rPr>
        <w:t>.2</w:t>
      </w:r>
      <w:r w:rsidR="007D17A7" w:rsidRPr="007C12DD">
        <w:rPr>
          <w:lang w:val="en-US"/>
        </w:rPr>
        <w:t xml:space="preserve">% of the start-ups </w:t>
      </w:r>
      <w:r w:rsidR="00402E02" w:rsidRPr="007C12DD">
        <w:rPr>
          <w:lang w:val="en-US"/>
        </w:rPr>
        <w:t>had a linear business model which they combined with a</w:t>
      </w:r>
      <w:r w:rsidR="007D17A7" w:rsidRPr="007C12DD">
        <w:rPr>
          <w:lang w:val="en-US"/>
        </w:rPr>
        <w:t xml:space="preserve"> manufacturing CBM. The existence of a linear </w:t>
      </w:r>
      <w:r w:rsidR="00E255AE" w:rsidRPr="007C12DD">
        <w:rPr>
          <w:lang w:val="en-US"/>
        </w:rPr>
        <w:t>business model</w:t>
      </w:r>
      <w:r w:rsidR="007D17A7" w:rsidRPr="007C12DD">
        <w:rPr>
          <w:lang w:val="en-US"/>
        </w:rPr>
        <w:t xml:space="preserve"> complicates the assessment of the success of the CBM</w:t>
      </w:r>
      <w:r w:rsidR="00E255AE" w:rsidRPr="007C12DD">
        <w:rPr>
          <w:lang w:val="en-US"/>
        </w:rPr>
        <w:t xml:space="preserve"> as the CBM is less “pure” and may solely exist to support the linear business model</w:t>
      </w:r>
      <w:r w:rsidR="007D17A7" w:rsidRPr="007C12DD">
        <w:rPr>
          <w:lang w:val="en-US"/>
        </w:rPr>
        <w:t xml:space="preserve">. </w:t>
      </w:r>
      <w:r w:rsidR="00560E08">
        <w:rPr>
          <w:lang w:val="en-US"/>
        </w:rPr>
        <w:t>After removing those start-ups</w:t>
      </w:r>
      <w:r w:rsidR="007D17A7" w:rsidRPr="007C12DD">
        <w:rPr>
          <w:lang w:val="en-US"/>
        </w:rPr>
        <w:t xml:space="preserve">, </w:t>
      </w:r>
      <w:r w:rsidRPr="007C12DD">
        <w:rPr>
          <w:lang w:val="en-US"/>
        </w:rPr>
        <w:t>we retained a sample of 1</w:t>
      </w:r>
      <w:r w:rsidR="00FE7A6A" w:rsidRPr="007C12DD">
        <w:rPr>
          <w:lang w:val="en-US"/>
        </w:rPr>
        <w:t>45</w:t>
      </w:r>
      <w:r w:rsidRPr="007C12DD">
        <w:rPr>
          <w:lang w:val="en-US"/>
        </w:rPr>
        <w:t xml:space="preserve"> start</w:t>
      </w:r>
      <w:r w:rsidR="0087600B" w:rsidRPr="007C12DD">
        <w:rPr>
          <w:lang w:val="en-US"/>
        </w:rPr>
        <w:t>-</w:t>
      </w:r>
      <w:r w:rsidRPr="007C12DD">
        <w:rPr>
          <w:lang w:val="en-US"/>
        </w:rPr>
        <w:t xml:space="preserve">ups. </w:t>
      </w:r>
    </w:p>
    <w:p w14:paraId="4C624BF8" w14:textId="56D3155B" w:rsidR="004C01D9" w:rsidRPr="007C12DD" w:rsidRDefault="004C01D9" w:rsidP="00677FFA">
      <w:pPr>
        <w:spacing w:after="0"/>
        <w:ind w:firstLine="284"/>
        <w:jc w:val="both"/>
        <w:rPr>
          <w:lang w:val="en-US"/>
        </w:rPr>
      </w:pPr>
      <w:r w:rsidRPr="007C12DD">
        <w:rPr>
          <w:lang w:val="en-US"/>
        </w:rPr>
        <w:t>In t</w:t>
      </w:r>
      <w:r w:rsidR="00BB7230" w:rsidRPr="007C12DD">
        <w:rPr>
          <w:lang w:val="en-US"/>
        </w:rPr>
        <w:t xml:space="preserve">he next step </w:t>
      </w:r>
      <w:r w:rsidRPr="007C12DD">
        <w:rPr>
          <w:lang w:val="en-US"/>
        </w:rPr>
        <w:t xml:space="preserve">of the database development, we </w:t>
      </w:r>
      <w:proofErr w:type="gramStart"/>
      <w:r w:rsidR="00BB7230" w:rsidRPr="007C12DD">
        <w:rPr>
          <w:lang w:val="en-US"/>
        </w:rPr>
        <w:t>control</w:t>
      </w:r>
      <w:r w:rsidRPr="007C12DD">
        <w:rPr>
          <w:lang w:val="en-US"/>
        </w:rPr>
        <w:t>led</w:t>
      </w:r>
      <w:r w:rsidR="00BB7230" w:rsidRPr="007C12DD">
        <w:rPr>
          <w:lang w:val="en-US"/>
        </w:rPr>
        <w:t xml:space="preserve"> </w:t>
      </w:r>
      <w:r w:rsidRPr="007C12DD">
        <w:rPr>
          <w:lang w:val="en-US"/>
        </w:rPr>
        <w:t>for</w:t>
      </w:r>
      <w:proofErr w:type="gramEnd"/>
      <w:r w:rsidRPr="007C12DD">
        <w:rPr>
          <w:lang w:val="en-US"/>
        </w:rPr>
        <w:t xml:space="preserve"> start</w:t>
      </w:r>
      <w:r w:rsidR="0087600B" w:rsidRPr="007C12DD">
        <w:rPr>
          <w:lang w:val="en-US"/>
        </w:rPr>
        <w:t>-</w:t>
      </w:r>
      <w:r w:rsidRPr="007C12DD">
        <w:rPr>
          <w:lang w:val="en-US"/>
        </w:rPr>
        <w:t>up success. In the context of start</w:t>
      </w:r>
      <w:r w:rsidR="0087600B" w:rsidRPr="007C12DD">
        <w:rPr>
          <w:lang w:val="en-US"/>
        </w:rPr>
        <w:t>-</w:t>
      </w:r>
      <w:r w:rsidRPr="007C12DD">
        <w:rPr>
          <w:lang w:val="en-US"/>
        </w:rPr>
        <w:t>ups, traditional economic performance metrics such as profit, turnover and return on investment may not fully reflect start</w:t>
      </w:r>
      <w:r w:rsidR="0087600B" w:rsidRPr="007C12DD">
        <w:rPr>
          <w:lang w:val="en-US"/>
        </w:rPr>
        <w:t>-</w:t>
      </w:r>
      <w:r w:rsidRPr="007C12DD">
        <w:rPr>
          <w:lang w:val="en-US"/>
        </w:rPr>
        <w:t>up success as high initial costs and immature operations might provide a biased view. Moreover, traditional firm performance metrics may fail to capture the growth potential of the start</w:t>
      </w:r>
      <w:r w:rsidR="0087600B" w:rsidRPr="007C12DD">
        <w:rPr>
          <w:lang w:val="en-US"/>
        </w:rPr>
        <w:t>-</w:t>
      </w:r>
      <w:r w:rsidRPr="007C12DD">
        <w:rPr>
          <w:lang w:val="en-US"/>
        </w:rPr>
        <w:t>up. Therefore, in line with previous studies on start</w:t>
      </w:r>
      <w:r w:rsidR="0087600B" w:rsidRPr="007C12DD">
        <w:rPr>
          <w:lang w:val="en-US"/>
        </w:rPr>
        <w:t>-</w:t>
      </w:r>
      <w:r w:rsidRPr="007C12DD">
        <w:rPr>
          <w:lang w:val="en-US"/>
        </w:rPr>
        <w:t xml:space="preserve">up performance, we </w:t>
      </w:r>
      <w:r w:rsidRPr="007C12DD">
        <w:rPr>
          <w:lang w:val="en-US"/>
        </w:rPr>
        <w:lastRenderedPageBreak/>
        <w:t>measure</w:t>
      </w:r>
      <w:r w:rsidR="00F02F98">
        <w:rPr>
          <w:lang w:val="en-US"/>
        </w:rPr>
        <w:t>d</w:t>
      </w:r>
      <w:r w:rsidRPr="007C12DD">
        <w:rPr>
          <w:lang w:val="en-US"/>
        </w:rPr>
        <w:t xml:space="preserve"> performance in terms of firm size and in terms of their survival time </w:t>
      </w:r>
      <w:r w:rsidRPr="007C12DD">
        <w:rPr>
          <w:lang w:val="en-US"/>
        </w:rPr>
        <w:fldChar w:fldCharType="begin" w:fldLock="1"/>
      </w:r>
      <w:r w:rsidR="00A61121" w:rsidRPr="007C12DD">
        <w:rPr>
          <w:lang w:val="en-US"/>
        </w:rPr>
        <w:instrText>ADDIN CSL_CITATION {"citationItems":[{"id":"ITEM-1","itemData":{"DOI":"10.1002/smj.2987","ISSN":"10970266","abstract":"Why do some entrepreneurs thrive while others fail? We explore whether the advice entrepreneurs receive about managing their employees influences their startup's performance. We conducted a randomized field experiment in India with 100 high-growth technology firms whose founders received in-person advice from other entrepreneurs who varied in their managerial style. We find that entrepreneurs who received advice from peers with a formal approach to managing people—instituting regular meetings, setting goals consistently, and providing frequent feedback to employees—grew 28% larger and were 10 percentage points less likely to fail than those who got advice from peers with an informal approach to managing people, 2 years after our intervention. Entrepreneurs with MBAs or accelerator experience did not respond to this intervention, suggesting that formal training can limit the spread of peer advice.","author":[{"dropping-particle":"","family":"Chatterji","given":"Aaron","non-dropping-particle":"","parse-names":false,"suffix":""},{"dropping-particle":"","family":"Delecourt","given":"Solène","non-dropping-particle":"","parse-names":false,"suffix":""},{"dropping-particle":"","family":"Hasan","given":"Sharique","non-dropping-particle":"","parse-names":false,"suffix":""},{"dropping-particle":"","family":"Koning","given":"Rembrand","non-dropping-particle":"","parse-names":false,"suffix":""}],"container-title":"Strategic Management Journal","id":"ITEM-1","issue":"3","issued":{"date-parts":[["2019"]]},"page":"331-356","title":"When does advice impact startup performance?","type":"article-journal","volume":"40"},"uris":["http://www.mendeley.com/documents/?uuid=ab287c9d-4bcb-4723-b5a8-1b8d888fea33"]},{"id":"ITEM-2","itemData":{"author":[{"dropping-particle":"","family":"Baum","given":"Joel A C","non-dropping-particle":"","parse-names":false,"suffix":""},{"dropping-particle":"","family":"Calabrese","given":"Tony","non-dropping-particle":"","parse-names":false,"suffix":""},{"dropping-particle":"","family":"Silverman","given":"Brian S","non-dropping-particle":"","parse-names":false,"suffix":""}],"container-title":"Strategic Management Journal","id":"ITEM-2","issue":"3","issued":{"date-parts":[["2000"]]},"page":"267-294","title":"Don't Go It Alone: Alliance Network Composition and Startups' Performance in Canadian Biotechnology","type":"article-journal","volume":"21"},"uris":["http://www.mendeley.com/documents/?uuid=e4a6e944-c76b-4440-bb0c-7f2fae56c3d1"]},{"id":"ITEM-3","itemData":{"DOI":"10.1016/S0883-9026(03)00038-7","ISSN":"08839026","abstract":"In the entrepreneurial setting, financial intermediaries such as venture capital firms (VCs) are perhaps the dominant source of selection shaping the environment within which new ventures evolve. VCs affect selection both by acting as a \"scout\" able to identify future potential and as a \"coach\" that can help realize it. Despite the large literature on the role of VCs in encouraging startups, it is generally taken for granted that VCs are expert scouts and coaches, and so the ways in which VCs actually enhance startup performance are not well understood. In this study, we examine whether VCs' emphasize picking winners or building them by comparing the effects of startups' alliance, intellectual, and human capital characteristics on VCs decisions to finance them with the effects of the same characteristics on future startup performance. Our findings point to a joint logic that combines the roles: VCs finance startups that have strong technology, but are at risk of failure in the short run, and so in need of management expertise. Our findings thus support the belief in VC expertise, but only to a point. VCs also appear to make a common attribution error overemphasizing startups' human capital when making their investment decisions. © 2003 Elsevier Science Inc. All rights reserved.","author":[{"dropping-particle":"","family":"Baum","given":"Joel A.C.","non-dropping-particle":"","parse-names":false,"suffix":""},{"dropping-particle":"","family":"Silverman","given":"Brian S.","non-dropping-particle":"","parse-names":false,"suffix":""}],"container-title":"Journal of Business Venturing","id":"ITEM-3","issue":"3","issued":{"date-parts":[["2004"]]},"page":"411-436","title":"Picking winners or building them? Alliance, intellectual, and human capital as selection criteria in venture financing and performance of biotechnology startups","type":"article-journal","volume":"19"},"uris":["http://www.mendeley.com/documents/?uuid=f28cd7e6-a1ec-4d61-b107-059f7f913ea5"]},{"id":"ITEM-4","itemData":{"DOI":"10.1007/BF02705120","ISBN":"0250-5991","ISSN":"0250-5991","PMID":"12799492","abstract":"This paper examines the association between interfirm cooperation and the innovation output of startup firms in the biotechnology industry. A reciprocal association is hypothesized. The results, however, show only that cooperation affects innovation. Several control variables are related to cooperation and innovation, especially the startup's position in the cooperative network.","author":[{"dropping-particle":"","family":"Shan","given":"Weijan","non-dropping-particle":"","parse-names":false,"suffix":""},{"dropping-particle":"","family":"Walker","given":"Gordon","non-dropping-particle":"","parse-names":false,"suffix":""},{"dropping-particle":"","family":"Kogut","given":"Bruce","non-dropping-particle":"","parse-names":false,"suffix":""}],"container-title":"Strategic Management Journal","id":"ITEM-4","issue":"5","issued":{"date-parts":[["1994"]]},"page":"387-394","title":"Interfirm Cooperation and Startup Innovation in the Biotechnology Industry","type":"article-journal","volume":"15"},"uris":["http://www.mendeley.com/documents/?uuid=40806db4-b199-4371-9686-7be6eaa93d26"]}],"mendeley":{"formattedCitation":"(Baum et al., 2000; Baum &amp; Silverman, 2004; Chatterji et al., 2019; Shan et al., 1994)","manualFormatting":"(Baum et al., 2000; Chatterji et al., 2019; Shan et al., 1994)","plainTextFormattedCitation":"(Baum et al., 2000; Baum &amp; Silverman, 2004; Chatterji et al., 2019; Shan et al., 1994)","previouslyFormattedCitation":"(Baum et al., 2000; Baum &amp; Silverman, 2004; Chatterji et al., 2019; Shan et al., 1994)"},"properties":{"noteIndex":0},"schema":"https://github.com/citation-style-language/schema/raw/master/csl-citation.json"}</w:instrText>
      </w:r>
      <w:r w:rsidRPr="007C12DD">
        <w:rPr>
          <w:lang w:val="en-US"/>
        </w:rPr>
        <w:fldChar w:fldCharType="separate"/>
      </w:r>
      <w:r w:rsidRPr="007C12DD">
        <w:rPr>
          <w:noProof/>
          <w:lang w:val="en-US"/>
        </w:rPr>
        <w:t>(Baum et al., 2000; Chatterji et al., 2019; Shan et al., 1994)</w:t>
      </w:r>
      <w:r w:rsidRPr="007C12DD">
        <w:rPr>
          <w:lang w:val="en-US"/>
        </w:rPr>
        <w:fldChar w:fldCharType="end"/>
      </w:r>
      <w:r w:rsidRPr="007C12DD">
        <w:rPr>
          <w:lang w:val="en-US"/>
        </w:rPr>
        <w:t>.</w:t>
      </w:r>
      <w:r w:rsidR="00512352" w:rsidRPr="007C12DD">
        <w:rPr>
          <w:lang w:val="en-US"/>
        </w:rPr>
        <w:t xml:space="preserve"> In addition, we used the received funding as a proxy for the start-up’s growth potential.</w:t>
      </w:r>
      <w:r w:rsidRPr="007C12DD">
        <w:rPr>
          <w:lang w:val="en-US"/>
        </w:rPr>
        <w:t xml:space="preserve"> </w:t>
      </w:r>
      <w:r w:rsidR="00512352" w:rsidRPr="007C12DD">
        <w:rPr>
          <w:lang w:val="en-US"/>
        </w:rPr>
        <w:t xml:space="preserve">We collected data on the firm size, survival time and funding from the LinkedIn profiles, </w:t>
      </w:r>
      <w:proofErr w:type="gramStart"/>
      <w:r w:rsidR="00512352" w:rsidRPr="007C12DD">
        <w:rPr>
          <w:lang w:val="en-US"/>
        </w:rPr>
        <w:t>website</w:t>
      </w:r>
      <w:r w:rsidR="00E6131B" w:rsidRPr="007C12DD">
        <w:rPr>
          <w:lang w:val="en-US"/>
        </w:rPr>
        <w:t>s</w:t>
      </w:r>
      <w:proofErr w:type="gramEnd"/>
      <w:r w:rsidR="00512352" w:rsidRPr="007C12DD">
        <w:rPr>
          <w:lang w:val="en-US"/>
        </w:rPr>
        <w:t xml:space="preserve"> and social media accounts of the start</w:t>
      </w:r>
      <w:r w:rsidR="0087600B" w:rsidRPr="007C12DD">
        <w:rPr>
          <w:lang w:val="en-US"/>
        </w:rPr>
        <w:t>-</w:t>
      </w:r>
      <w:r w:rsidR="00512352" w:rsidRPr="007C12DD">
        <w:rPr>
          <w:lang w:val="en-US"/>
        </w:rPr>
        <w:t>ups as well as</w:t>
      </w:r>
      <w:r w:rsidR="00442832">
        <w:rPr>
          <w:lang w:val="en-US"/>
        </w:rPr>
        <w:t xml:space="preserve"> from</w:t>
      </w:r>
      <w:r w:rsidR="00512352" w:rsidRPr="007C12DD">
        <w:rPr>
          <w:lang w:val="en-US"/>
        </w:rPr>
        <w:t xml:space="preserve"> their profiles on Crunchbase. </w:t>
      </w:r>
      <w:r w:rsidR="00B8048B" w:rsidRPr="007C12DD">
        <w:rPr>
          <w:lang w:val="en-US"/>
        </w:rPr>
        <w:t xml:space="preserve">Following </w:t>
      </w:r>
      <w:r w:rsidR="00B8048B" w:rsidRPr="007C12DD">
        <w:rPr>
          <w:lang w:val="en-US"/>
        </w:rPr>
        <w:fldChar w:fldCharType="begin" w:fldLock="1"/>
      </w:r>
      <w:r w:rsidR="00B8048B" w:rsidRPr="007C12DD">
        <w:rPr>
          <w:lang w:val="en-US"/>
        </w:rPr>
        <w:instrText>ADDIN CSL_CITATION {"citationItems":[{"id":"ITEM-1","itemData":{"DOI":"10.1002/smj.2987","ISSN":"10970266","abstract":"Why do some entrepreneurs thrive while others fail? We explore whether the advice entrepreneurs receive about managing their employees influences their startup's performance. We conducted a randomized field experiment in India with 100 high-growth technology firms whose founders received in-person advice from other entrepreneurs who varied in their managerial style. We find that entrepreneurs who received advice from peers with a formal approach to managing people—instituting regular meetings, setting goals consistently, and providing frequent feedback to employees—grew 28% larger and were 10 percentage points less likely to fail than those who got advice from peers with an informal approach to managing people, 2 years after our intervention. Entrepreneurs with MBAs or accelerator experience did not respond to this intervention, suggesting that formal training can limit the spread of peer advice.","author":[{"dropping-particle":"","family":"Chatterji","given":"Aaron","non-dropping-particle":"","parse-names":false,"suffix":""},{"dropping-particle":"","family":"Delecourt","given":"Solène","non-dropping-particle":"","parse-names":false,"suffix":""},{"dropping-particle":"","family":"Hasan","given":"Sharique","non-dropping-particle":"","parse-names":false,"suffix":""},{"dropping-particle":"","family":"Koning","given":"Rembrand","non-dropping-particle":"","parse-names":false,"suffix":""}],"container-title":"Strategic Management Journal","id":"ITEM-1","issue":"3","issued":{"date-parts":[["2019"]]},"page":"331-356","title":"When does advice impact startup performance?","type":"article-journal","volume":"40"},"uris":["http://www.mendeley.com/documents/?uuid=ab287c9d-4bcb-4723-b5a8-1b8d888fea33"]}],"mendeley":{"formattedCitation":"(Chatterji et al., 2019)","manualFormatting":"Chatterji et al. (2019)","plainTextFormattedCitation":"(Chatterji et al., 2019)","previouslyFormattedCitation":"(Chatterji et al., 2019)"},"properties":{"noteIndex":0},"schema":"https://github.com/citation-style-language/schema/raw/master/csl-citation.json"}</w:instrText>
      </w:r>
      <w:r w:rsidR="00B8048B" w:rsidRPr="007C12DD">
        <w:rPr>
          <w:lang w:val="en-US"/>
        </w:rPr>
        <w:fldChar w:fldCharType="separate"/>
      </w:r>
      <w:r w:rsidR="00B8048B" w:rsidRPr="007C12DD">
        <w:rPr>
          <w:noProof/>
          <w:lang w:val="en-US"/>
        </w:rPr>
        <w:t>Chatterji et al. (2019)</w:t>
      </w:r>
      <w:r w:rsidR="00B8048B" w:rsidRPr="007C12DD">
        <w:rPr>
          <w:lang w:val="en-US"/>
        </w:rPr>
        <w:fldChar w:fldCharType="end"/>
      </w:r>
      <w:r w:rsidR="00B8048B" w:rsidRPr="007C12DD">
        <w:rPr>
          <w:lang w:val="en-US"/>
        </w:rPr>
        <w:t xml:space="preserve">, we classified </w:t>
      </w:r>
      <w:r w:rsidR="00442832">
        <w:rPr>
          <w:lang w:val="en-US"/>
        </w:rPr>
        <w:t>start-ups</w:t>
      </w:r>
      <w:r w:rsidR="00442832" w:rsidRPr="007C12DD">
        <w:rPr>
          <w:lang w:val="en-US"/>
        </w:rPr>
        <w:t xml:space="preserve"> </w:t>
      </w:r>
      <w:r w:rsidR="00B8048B" w:rsidRPr="007C12DD">
        <w:rPr>
          <w:lang w:val="en-US"/>
        </w:rPr>
        <w:t>as active when (a) their website and social media accounts were active, (b) LinkedIn showed employees currently working at the start</w:t>
      </w:r>
      <w:r w:rsidR="0087600B" w:rsidRPr="007C12DD">
        <w:rPr>
          <w:lang w:val="en-US"/>
        </w:rPr>
        <w:t>-</w:t>
      </w:r>
      <w:r w:rsidR="00B8048B" w:rsidRPr="007C12DD">
        <w:rPr>
          <w:lang w:val="en-US"/>
        </w:rPr>
        <w:t>up, and (c) Crunch</w:t>
      </w:r>
      <w:r w:rsidR="00A9606C" w:rsidRPr="007C12DD">
        <w:rPr>
          <w:lang w:val="en-US"/>
        </w:rPr>
        <w:t>b</w:t>
      </w:r>
      <w:r w:rsidR="00B8048B" w:rsidRPr="007C12DD">
        <w:rPr>
          <w:lang w:val="en-US"/>
        </w:rPr>
        <w:t>ase and the start</w:t>
      </w:r>
      <w:r w:rsidR="0087600B" w:rsidRPr="007C12DD">
        <w:rPr>
          <w:lang w:val="en-US"/>
        </w:rPr>
        <w:t>-</w:t>
      </w:r>
      <w:r w:rsidR="00B8048B" w:rsidRPr="007C12DD">
        <w:rPr>
          <w:lang w:val="en-US"/>
        </w:rPr>
        <w:t>up’s website and social media accounts had no mentions of a shutdown.</w:t>
      </w:r>
      <w:r w:rsidR="00DE2CBA" w:rsidRPr="007C12DD">
        <w:rPr>
          <w:lang w:val="en-US"/>
        </w:rPr>
        <w:t xml:space="preserve"> We classified </w:t>
      </w:r>
      <w:r w:rsidR="00E6131B" w:rsidRPr="007C12DD">
        <w:rPr>
          <w:lang w:val="en-US"/>
        </w:rPr>
        <w:t xml:space="preserve">active </w:t>
      </w:r>
      <w:r w:rsidR="00DE2CBA" w:rsidRPr="007C12DD">
        <w:rPr>
          <w:lang w:val="en-US"/>
        </w:rPr>
        <w:t>start</w:t>
      </w:r>
      <w:r w:rsidR="0087600B" w:rsidRPr="007C12DD">
        <w:rPr>
          <w:lang w:val="en-US"/>
        </w:rPr>
        <w:t>-</w:t>
      </w:r>
      <w:r w:rsidR="00DE2CBA" w:rsidRPr="007C12DD">
        <w:rPr>
          <w:lang w:val="en-US"/>
        </w:rPr>
        <w:t xml:space="preserve">ups who employ </w:t>
      </w:r>
      <w:r w:rsidR="00512352" w:rsidRPr="007C12DD">
        <w:rPr>
          <w:lang w:val="en-US"/>
        </w:rPr>
        <w:t>less than</w:t>
      </w:r>
      <w:r w:rsidR="00DE2CBA" w:rsidRPr="007C12DD">
        <w:rPr>
          <w:lang w:val="en-US"/>
        </w:rPr>
        <w:t xml:space="preserve"> five employees </w:t>
      </w:r>
      <w:r w:rsidR="00DB3F23" w:rsidRPr="007C12DD">
        <w:rPr>
          <w:lang w:val="en-US"/>
        </w:rPr>
        <w:t>while being</w:t>
      </w:r>
      <w:r w:rsidR="00DE2CBA" w:rsidRPr="007C12DD">
        <w:rPr>
          <w:lang w:val="en-US"/>
        </w:rPr>
        <w:t xml:space="preserve"> operative for at least three years as </w:t>
      </w:r>
      <w:r w:rsidR="00446A0C" w:rsidRPr="007C12DD">
        <w:rPr>
          <w:lang w:val="en-US"/>
        </w:rPr>
        <w:t>‘</w:t>
      </w:r>
      <w:r w:rsidR="00512352" w:rsidRPr="007C12DD">
        <w:rPr>
          <w:i/>
          <w:iCs/>
          <w:lang w:val="en-US"/>
        </w:rPr>
        <w:t xml:space="preserve">moderately </w:t>
      </w:r>
      <w:r w:rsidR="00DE2CBA" w:rsidRPr="007C12DD">
        <w:rPr>
          <w:i/>
          <w:iCs/>
          <w:lang w:val="en-US"/>
        </w:rPr>
        <w:t>successful</w:t>
      </w:r>
      <w:r w:rsidR="00446A0C" w:rsidRPr="007C12DD">
        <w:rPr>
          <w:lang w:val="en-US"/>
        </w:rPr>
        <w:t>’</w:t>
      </w:r>
      <w:r w:rsidR="00DE2CBA" w:rsidRPr="007C12DD">
        <w:rPr>
          <w:lang w:val="en-US"/>
        </w:rPr>
        <w:t>.</w:t>
      </w:r>
      <w:r w:rsidRPr="007C12DD">
        <w:rPr>
          <w:lang w:val="en-US"/>
        </w:rPr>
        <w:t xml:space="preserve"> </w:t>
      </w:r>
      <w:r w:rsidR="00DB3F23" w:rsidRPr="006D7745">
        <w:rPr>
          <w:lang w:val="en-US"/>
        </w:rPr>
        <w:t>The cutting criteri</w:t>
      </w:r>
      <w:r w:rsidR="006D7745" w:rsidRPr="006D7745">
        <w:rPr>
          <w:lang w:val="en-US"/>
        </w:rPr>
        <w:t>on</w:t>
      </w:r>
      <w:r w:rsidR="00DB3F23" w:rsidRPr="006D7745">
        <w:rPr>
          <w:lang w:val="en-US"/>
        </w:rPr>
        <w:t xml:space="preserve"> of </w:t>
      </w:r>
      <w:r w:rsidR="00512352" w:rsidRPr="006D7745">
        <w:rPr>
          <w:lang w:val="en-US"/>
        </w:rPr>
        <w:t>more</w:t>
      </w:r>
      <w:r w:rsidR="00E425E2" w:rsidRPr="006D7745">
        <w:rPr>
          <w:lang w:val="en-US"/>
        </w:rPr>
        <w:t xml:space="preserve"> than </w:t>
      </w:r>
      <w:r w:rsidR="00DB3F23" w:rsidRPr="006D7745">
        <w:rPr>
          <w:lang w:val="en-US"/>
        </w:rPr>
        <w:t>five employees seems reasonable as many start-ups (24%) have only one to f</w:t>
      </w:r>
      <w:r w:rsidR="00DB3F23" w:rsidRPr="007C12DD">
        <w:rPr>
          <w:lang w:val="en-US"/>
        </w:rPr>
        <w:t>our employees</w:t>
      </w:r>
      <w:r w:rsidR="00E425E2" w:rsidRPr="007C12DD">
        <w:rPr>
          <w:lang w:val="en-US"/>
        </w:rPr>
        <w:t xml:space="preserve"> after three years. These one to four employees are</w:t>
      </w:r>
      <w:r w:rsidR="00DB3F23" w:rsidRPr="007C12DD">
        <w:rPr>
          <w:lang w:val="en-US"/>
        </w:rPr>
        <w:t xml:space="preserve"> typically the founders</w:t>
      </w:r>
      <w:r w:rsidR="00E425E2" w:rsidRPr="007C12DD">
        <w:rPr>
          <w:lang w:val="en-US"/>
        </w:rPr>
        <w:t xml:space="preserve"> of the start-up, as such indicating survival but little growth. Following the same line of reasoning, we classified s</w:t>
      </w:r>
      <w:r w:rsidR="00DB3F23" w:rsidRPr="007C12DD">
        <w:rPr>
          <w:lang w:val="en-US"/>
        </w:rPr>
        <w:t xml:space="preserve">tart-ups with five or more employees </w:t>
      </w:r>
      <w:r w:rsidR="00E425E2" w:rsidRPr="007C12DD">
        <w:rPr>
          <w:lang w:val="en-US"/>
        </w:rPr>
        <w:t xml:space="preserve">as </w:t>
      </w:r>
      <w:r w:rsidR="00446A0C" w:rsidRPr="007C12DD">
        <w:rPr>
          <w:lang w:val="en-US"/>
        </w:rPr>
        <w:t>‘</w:t>
      </w:r>
      <w:r w:rsidR="00E425E2" w:rsidRPr="007C12DD">
        <w:rPr>
          <w:i/>
          <w:iCs/>
          <w:lang w:val="en-US"/>
        </w:rPr>
        <w:t>successful</w:t>
      </w:r>
      <w:r w:rsidR="00446A0C" w:rsidRPr="007C12DD">
        <w:rPr>
          <w:lang w:val="en-US"/>
        </w:rPr>
        <w:t>’</w:t>
      </w:r>
      <w:r w:rsidR="00E425E2" w:rsidRPr="007C12DD">
        <w:rPr>
          <w:lang w:val="en-US"/>
        </w:rPr>
        <w:t xml:space="preserve"> as the recruitment of employees signifies grow</w:t>
      </w:r>
      <w:r w:rsidR="00E6131B" w:rsidRPr="007C12DD">
        <w:rPr>
          <w:lang w:val="en-US"/>
        </w:rPr>
        <w:t>th</w:t>
      </w:r>
      <w:r w:rsidR="00DB3F23" w:rsidRPr="007C12DD">
        <w:rPr>
          <w:lang w:val="en-US"/>
        </w:rPr>
        <w:t xml:space="preserve">. </w:t>
      </w:r>
      <w:r w:rsidRPr="007C12DD">
        <w:rPr>
          <w:lang w:val="en-US"/>
        </w:rPr>
        <w:t xml:space="preserve">In addition, we </w:t>
      </w:r>
      <w:r w:rsidR="00E425E2" w:rsidRPr="007C12DD">
        <w:rPr>
          <w:lang w:val="en-US"/>
        </w:rPr>
        <w:t xml:space="preserve">also </w:t>
      </w:r>
      <w:r w:rsidR="00DB3F23" w:rsidRPr="007C12DD">
        <w:rPr>
          <w:lang w:val="en-US"/>
        </w:rPr>
        <w:t xml:space="preserve">classified </w:t>
      </w:r>
      <w:r w:rsidRPr="007C12DD">
        <w:rPr>
          <w:lang w:val="en-US"/>
        </w:rPr>
        <w:t>start</w:t>
      </w:r>
      <w:r w:rsidR="0087600B" w:rsidRPr="007C12DD">
        <w:rPr>
          <w:lang w:val="en-US"/>
        </w:rPr>
        <w:t>-</w:t>
      </w:r>
      <w:r w:rsidRPr="007C12DD">
        <w:rPr>
          <w:lang w:val="en-US"/>
        </w:rPr>
        <w:t>ups</w:t>
      </w:r>
      <w:r w:rsidR="00B8048B" w:rsidRPr="007C12DD">
        <w:rPr>
          <w:lang w:val="en-US"/>
        </w:rPr>
        <w:t xml:space="preserve"> who did not meet the </w:t>
      </w:r>
      <w:r w:rsidR="00E425E2" w:rsidRPr="008D795C">
        <w:rPr>
          <w:lang w:val="en-US"/>
        </w:rPr>
        <w:t xml:space="preserve">employee </w:t>
      </w:r>
      <w:r w:rsidR="00B8048B" w:rsidRPr="008D795C">
        <w:rPr>
          <w:lang w:val="en-US"/>
        </w:rPr>
        <w:t>criteri</w:t>
      </w:r>
      <w:r w:rsidR="008D795C" w:rsidRPr="008D795C">
        <w:rPr>
          <w:lang w:val="en-US"/>
        </w:rPr>
        <w:t>on</w:t>
      </w:r>
      <w:r w:rsidR="00B8048B" w:rsidRPr="008D795C">
        <w:rPr>
          <w:lang w:val="en-US"/>
        </w:rPr>
        <w:t xml:space="preserve"> but</w:t>
      </w:r>
      <w:r w:rsidRPr="007C12DD">
        <w:rPr>
          <w:lang w:val="en-US"/>
        </w:rPr>
        <w:t xml:space="preserve"> who</w:t>
      </w:r>
      <w:r w:rsidR="00BA3098" w:rsidRPr="007C12DD">
        <w:rPr>
          <w:lang w:val="en-US"/>
        </w:rPr>
        <w:t xml:space="preserve"> </w:t>
      </w:r>
      <w:r w:rsidRPr="007C12DD">
        <w:rPr>
          <w:lang w:val="en-US"/>
        </w:rPr>
        <w:t>received funding of at least $5</w:t>
      </w:r>
      <w:r w:rsidR="00FE7A6A" w:rsidRPr="007C12DD">
        <w:rPr>
          <w:lang w:val="en-US"/>
        </w:rPr>
        <w:t>2</w:t>
      </w:r>
      <w:r w:rsidR="007A1F09">
        <w:rPr>
          <w:lang w:val="en-US"/>
        </w:rPr>
        <w:t>,</w:t>
      </w:r>
      <w:r w:rsidRPr="007C12DD">
        <w:rPr>
          <w:lang w:val="en-US"/>
        </w:rPr>
        <w:t>000</w:t>
      </w:r>
      <w:r w:rsidR="00E425E2" w:rsidRPr="007C12DD">
        <w:rPr>
          <w:lang w:val="en-US"/>
        </w:rPr>
        <w:t xml:space="preserve"> as </w:t>
      </w:r>
      <w:r w:rsidR="00446A0C" w:rsidRPr="007C12DD">
        <w:rPr>
          <w:lang w:val="en-US"/>
        </w:rPr>
        <w:t>‘</w:t>
      </w:r>
      <w:r w:rsidR="00E425E2" w:rsidRPr="007C12DD">
        <w:rPr>
          <w:i/>
          <w:iCs/>
          <w:lang w:val="en-US"/>
        </w:rPr>
        <w:t>successful</w:t>
      </w:r>
      <w:r w:rsidR="00446A0C" w:rsidRPr="007C12DD">
        <w:rPr>
          <w:lang w:val="en-US"/>
        </w:rPr>
        <w:t>’</w:t>
      </w:r>
      <w:r w:rsidRPr="007C12DD">
        <w:rPr>
          <w:lang w:val="en-US"/>
        </w:rPr>
        <w:t xml:space="preserve">. </w:t>
      </w:r>
      <w:r w:rsidR="00DB3F23" w:rsidRPr="007C12DD">
        <w:rPr>
          <w:lang w:val="en-US"/>
        </w:rPr>
        <w:t>The cutting criteri</w:t>
      </w:r>
      <w:r w:rsidR="006D7745">
        <w:rPr>
          <w:lang w:val="en-US"/>
        </w:rPr>
        <w:t>on</w:t>
      </w:r>
      <w:r w:rsidR="000B65C0" w:rsidRPr="007C12DD">
        <w:rPr>
          <w:lang w:val="en-US"/>
        </w:rPr>
        <w:t xml:space="preserve"> of $</w:t>
      </w:r>
      <w:r w:rsidR="00FE7A6A" w:rsidRPr="007C12DD">
        <w:rPr>
          <w:lang w:val="en-US"/>
        </w:rPr>
        <w:t>52</w:t>
      </w:r>
      <w:r w:rsidR="007A1F09">
        <w:rPr>
          <w:lang w:val="en-US"/>
        </w:rPr>
        <w:t>,</w:t>
      </w:r>
      <w:r w:rsidR="000B65C0" w:rsidRPr="007C12DD">
        <w:rPr>
          <w:lang w:val="en-US"/>
        </w:rPr>
        <w:t>000</w:t>
      </w:r>
      <w:r w:rsidR="00DB3F23" w:rsidRPr="007C12DD">
        <w:rPr>
          <w:lang w:val="en-US"/>
        </w:rPr>
        <w:t xml:space="preserve"> </w:t>
      </w:r>
      <w:r w:rsidR="00E425E2" w:rsidRPr="007C12DD">
        <w:rPr>
          <w:lang w:val="en-US"/>
        </w:rPr>
        <w:t>is based on the analysis of the funding data of the start-ups</w:t>
      </w:r>
      <w:r w:rsidR="00FE7A6A" w:rsidRPr="007C12DD">
        <w:rPr>
          <w:lang w:val="en-US"/>
        </w:rPr>
        <w:t>. O</w:t>
      </w:r>
      <w:r w:rsidR="00E425E2" w:rsidRPr="007C12DD">
        <w:rPr>
          <w:lang w:val="en-US"/>
        </w:rPr>
        <w:t>ur data show that a large share of start-ups</w:t>
      </w:r>
      <w:r w:rsidR="00467BE4" w:rsidRPr="007C12DD">
        <w:rPr>
          <w:lang w:val="en-US"/>
        </w:rPr>
        <w:t xml:space="preserve"> in our sample</w:t>
      </w:r>
      <w:r w:rsidR="00E425E2" w:rsidRPr="007C12DD">
        <w:rPr>
          <w:lang w:val="en-US"/>
        </w:rPr>
        <w:t xml:space="preserve"> </w:t>
      </w:r>
      <w:r w:rsidR="000B65C0" w:rsidRPr="007C12DD">
        <w:rPr>
          <w:lang w:val="en-US"/>
        </w:rPr>
        <w:t xml:space="preserve">(60%) </w:t>
      </w:r>
      <w:r w:rsidR="00E425E2" w:rsidRPr="007C12DD">
        <w:rPr>
          <w:lang w:val="en-US"/>
        </w:rPr>
        <w:t>receive</w:t>
      </w:r>
      <w:r w:rsidR="000B65C0" w:rsidRPr="007C12DD">
        <w:rPr>
          <w:lang w:val="en-US"/>
        </w:rPr>
        <w:t>d seed</w:t>
      </w:r>
      <w:r w:rsidR="00E425E2" w:rsidRPr="007C12DD">
        <w:rPr>
          <w:lang w:val="en-US"/>
        </w:rPr>
        <w:t xml:space="preserve"> funding</w:t>
      </w:r>
      <w:r w:rsidR="00E6131B" w:rsidRPr="007C12DD">
        <w:rPr>
          <w:lang w:val="en-US"/>
        </w:rPr>
        <w:t xml:space="preserve"> of</w:t>
      </w:r>
      <w:r w:rsidR="00E425E2" w:rsidRPr="007C12DD">
        <w:rPr>
          <w:lang w:val="en-US"/>
        </w:rPr>
        <w:t xml:space="preserve"> up to $</w:t>
      </w:r>
      <w:r w:rsidR="00FE7A6A" w:rsidRPr="007C12DD">
        <w:rPr>
          <w:lang w:val="en-US"/>
        </w:rPr>
        <w:t>52</w:t>
      </w:r>
      <w:r w:rsidR="007A1F09">
        <w:rPr>
          <w:lang w:val="en-US"/>
        </w:rPr>
        <w:t>,</w:t>
      </w:r>
      <w:r w:rsidR="00E425E2" w:rsidRPr="007C12DD">
        <w:rPr>
          <w:lang w:val="en-US"/>
        </w:rPr>
        <w:t>000</w:t>
      </w:r>
      <w:r w:rsidR="000B65C0" w:rsidRPr="007C12DD">
        <w:rPr>
          <w:lang w:val="en-US"/>
        </w:rPr>
        <w:t>. After $</w:t>
      </w:r>
      <w:r w:rsidR="00FE7A6A" w:rsidRPr="007C12DD">
        <w:rPr>
          <w:lang w:val="en-US"/>
        </w:rPr>
        <w:t>52</w:t>
      </w:r>
      <w:r w:rsidR="007A1F09">
        <w:rPr>
          <w:lang w:val="en-US"/>
        </w:rPr>
        <w:t>,</w:t>
      </w:r>
      <w:r w:rsidR="000B65C0" w:rsidRPr="007C12DD">
        <w:rPr>
          <w:lang w:val="en-US"/>
        </w:rPr>
        <w:t>000</w:t>
      </w:r>
      <w:r w:rsidR="00E6131B" w:rsidRPr="007C12DD">
        <w:rPr>
          <w:lang w:val="en-US"/>
        </w:rPr>
        <w:t>,</w:t>
      </w:r>
      <w:r w:rsidR="000B65C0" w:rsidRPr="007C12DD">
        <w:rPr>
          <w:lang w:val="en-US"/>
        </w:rPr>
        <w:t xml:space="preserve"> the funding amounts grow rapidly (the next funding amounts being $91</w:t>
      </w:r>
      <w:r w:rsidR="007A1F09">
        <w:rPr>
          <w:lang w:val="en-US"/>
        </w:rPr>
        <w:t>,</w:t>
      </w:r>
      <w:r w:rsidR="000B65C0" w:rsidRPr="007C12DD">
        <w:rPr>
          <w:lang w:val="en-US"/>
        </w:rPr>
        <w:t xml:space="preserve">000, </w:t>
      </w:r>
      <w:proofErr w:type="gramStart"/>
      <w:r w:rsidR="000B65C0" w:rsidRPr="007C12DD">
        <w:rPr>
          <w:lang w:val="en-US"/>
        </w:rPr>
        <w:t>$150</w:t>
      </w:r>
      <w:r w:rsidR="007A1F09">
        <w:rPr>
          <w:lang w:val="en-US"/>
        </w:rPr>
        <w:t>,</w:t>
      </w:r>
      <w:r w:rsidR="000B65C0" w:rsidRPr="007C12DD">
        <w:rPr>
          <w:lang w:val="en-US"/>
        </w:rPr>
        <w:t>000</w:t>
      </w:r>
      <w:proofErr w:type="gramEnd"/>
      <w:r w:rsidR="000B65C0" w:rsidRPr="007C12DD">
        <w:rPr>
          <w:lang w:val="en-US"/>
        </w:rPr>
        <w:t xml:space="preserve"> and $194</w:t>
      </w:r>
      <w:r w:rsidR="007A1F09">
        <w:rPr>
          <w:lang w:val="en-US"/>
        </w:rPr>
        <w:t>,</w:t>
      </w:r>
      <w:r w:rsidR="000B65C0" w:rsidRPr="007C12DD">
        <w:rPr>
          <w:lang w:val="en-US"/>
        </w:rPr>
        <w:t>000) due to series A, B and C funding</w:t>
      </w:r>
      <w:r w:rsidR="00FE7A6A" w:rsidRPr="007C12DD">
        <w:rPr>
          <w:lang w:val="en-US"/>
        </w:rPr>
        <w:t>. We assume that these significantly higher funding amounts</w:t>
      </w:r>
      <w:r w:rsidR="000B65C0" w:rsidRPr="007C12DD">
        <w:rPr>
          <w:lang w:val="en-US"/>
        </w:rPr>
        <w:t xml:space="preserve"> reflect </w:t>
      </w:r>
      <w:r w:rsidR="00512352" w:rsidRPr="007C12DD">
        <w:rPr>
          <w:lang w:val="en-US"/>
        </w:rPr>
        <w:t>the investors</w:t>
      </w:r>
      <w:r w:rsidR="00E6131B" w:rsidRPr="007C12DD">
        <w:rPr>
          <w:lang w:val="en-US"/>
        </w:rPr>
        <w:t>’</w:t>
      </w:r>
      <w:r w:rsidR="00512352" w:rsidRPr="007C12DD">
        <w:rPr>
          <w:lang w:val="en-US"/>
        </w:rPr>
        <w:t xml:space="preserve"> </w:t>
      </w:r>
      <w:r w:rsidR="000B65C0" w:rsidRPr="007C12DD">
        <w:rPr>
          <w:lang w:val="en-US"/>
        </w:rPr>
        <w:t xml:space="preserve">growth expectations of the start-up. Finally, we excluded start-ups which were </w:t>
      </w:r>
      <w:r w:rsidR="00512352" w:rsidRPr="007C12DD">
        <w:rPr>
          <w:lang w:val="en-US"/>
        </w:rPr>
        <w:t>founded less</w:t>
      </w:r>
      <w:r w:rsidR="000B65C0" w:rsidRPr="007C12DD">
        <w:rPr>
          <w:lang w:val="en-US"/>
        </w:rPr>
        <w:t xml:space="preserve"> than three years </w:t>
      </w:r>
      <w:r w:rsidR="00512352" w:rsidRPr="007C12DD">
        <w:rPr>
          <w:lang w:val="en-US"/>
        </w:rPr>
        <w:t xml:space="preserve">ago </w:t>
      </w:r>
      <w:r w:rsidR="000B65C0" w:rsidRPr="007C12DD">
        <w:rPr>
          <w:lang w:val="en-US"/>
        </w:rPr>
        <w:t>and did</w:t>
      </w:r>
      <w:r w:rsidR="00490184" w:rsidRPr="007C12DD">
        <w:rPr>
          <w:lang w:val="en-US"/>
        </w:rPr>
        <w:t xml:space="preserve"> not receive more than $</w:t>
      </w:r>
      <w:r w:rsidR="00FE7A6A" w:rsidRPr="007C12DD">
        <w:rPr>
          <w:lang w:val="en-US"/>
        </w:rPr>
        <w:t>52</w:t>
      </w:r>
      <w:r w:rsidR="007A1F09">
        <w:rPr>
          <w:lang w:val="en-US"/>
        </w:rPr>
        <w:t>,</w:t>
      </w:r>
      <w:r w:rsidR="00490184" w:rsidRPr="007C12DD">
        <w:rPr>
          <w:lang w:val="en-US"/>
        </w:rPr>
        <w:t>000 of fund</w:t>
      </w:r>
      <w:r w:rsidR="00FE7A6A" w:rsidRPr="007C12DD">
        <w:rPr>
          <w:lang w:val="en-US"/>
        </w:rPr>
        <w:t>ing</w:t>
      </w:r>
      <w:r w:rsidR="00512352" w:rsidRPr="007C12DD">
        <w:rPr>
          <w:lang w:val="en-US"/>
        </w:rPr>
        <w:t xml:space="preserve"> since it is too early to assess</w:t>
      </w:r>
      <w:r w:rsidR="00490184" w:rsidRPr="007C12DD">
        <w:rPr>
          <w:lang w:val="en-US"/>
        </w:rPr>
        <w:t xml:space="preserve"> the success of </w:t>
      </w:r>
      <w:r w:rsidR="00446A0C" w:rsidRPr="007C12DD">
        <w:rPr>
          <w:lang w:val="en-US"/>
        </w:rPr>
        <w:t>these</w:t>
      </w:r>
      <w:r w:rsidR="00490184" w:rsidRPr="007C12DD">
        <w:rPr>
          <w:lang w:val="en-US"/>
        </w:rPr>
        <w:t xml:space="preserve"> start-ups. </w:t>
      </w:r>
      <w:r w:rsidRPr="007C12DD">
        <w:rPr>
          <w:lang w:val="en-US"/>
        </w:rPr>
        <w:t xml:space="preserve">As a consequence, we </w:t>
      </w:r>
      <w:r w:rsidR="00490184" w:rsidRPr="007C12DD">
        <w:rPr>
          <w:lang w:val="en-US"/>
        </w:rPr>
        <w:t xml:space="preserve">classified </w:t>
      </w:r>
      <w:r w:rsidR="00FE7A6A" w:rsidRPr="007C12DD">
        <w:rPr>
          <w:lang w:val="en-US"/>
        </w:rPr>
        <w:t>19</w:t>
      </w:r>
      <w:r w:rsidR="00490184" w:rsidRPr="007C12DD">
        <w:rPr>
          <w:lang w:val="en-US"/>
        </w:rPr>
        <w:t xml:space="preserve"> start-ups as </w:t>
      </w:r>
      <w:r w:rsidR="00446A0C" w:rsidRPr="007C12DD">
        <w:rPr>
          <w:lang w:val="en-US"/>
        </w:rPr>
        <w:t>‘</w:t>
      </w:r>
      <w:r w:rsidR="00490184" w:rsidRPr="007C12DD">
        <w:rPr>
          <w:i/>
          <w:iCs/>
          <w:lang w:val="en-US"/>
        </w:rPr>
        <w:t>moderately successful</w:t>
      </w:r>
      <w:r w:rsidR="00446A0C" w:rsidRPr="007C12DD">
        <w:rPr>
          <w:lang w:val="en-US"/>
        </w:rPr>
        <w:t>’</w:t>
      </w:r>
      <w:r w:rsidR="00490184" w:rsidRPr="007C12DD">
        <w:rPr>
          <w:lang w:val="en-US"/>
        </w:rPr>
        <w:t xml:space="preserve"> and </w:t>
      </w:r>
      <w:r w:rsidR="00FE7A6A" w:rsidRPr="007C12DD">
        <w:rPr>
          <w:lang w:val="en-US"/>
        </w:rPr>
        <w:t>7</w:t>
      </w:r>
      <w:r w:rsidR="00490184" w:rsidRPr="007C12DD">
        <w:rPr>
          <w:lang w:val="en-US"/>
        </w:rPr>
        <w:t xml:space="preserve">9 start-ups as </w:t>
      </w:r>
      <w:r w:rsidR="00446A0C" w:rsidRPr="007C12DD">
        <w:rPr>
          <w:lang w:val="en-US"/>
        </w:rPr>
        <w:t>‘</w:t>
      </w:r>
      <w:r w:rsidR="00490184" w:rsidRPr="007C12DD">
        <w:rPr>
          <w:i/>
          <w:iCs/>
          <w:lang w:val="en-US"/>
        </w:rPr>
        <w:t>successful</w:t>
      </w:r>
      <w:r w:rsidR="00446A0C" w:rsidRPr="007C12DD">
        <w:rPr>
          <w:lang w:val="en-US"/>
        </w:rPr>
        <w:t>’</w:t>
      </w:r>
      <w:r w:rsidR="00490184" w:rsidRPr="007C12DD">
        <w:rPr>
          <w:lang w:val="en-US"/>
        </w:rPr>
        <w:t xml:space="preserve"> while we excluded 47 start-ups from our sample.</w:t>
      </w:r>
    </w:p>
    <w:p w14:paraId="43EFDE22" w14:textId="27E0F367" w:rsidR="00DF38A7" w:rsidRPr="007C12DD" w:rsidRDefault="00677FFA" w:rsidP="00DF38A7">
      <w:pPr>
        <w:spacing w:after="0"/>
        <w:ind w:firstLine="284"/>
        <w:jc w:val="both"/>
        <w:rPr>
          <w:lang w:val="en-US"/>
        </w:rPr>
      </w:pPr>
      <w:r w:rsidRPr="007C12DD">
        <w:rPr>
          <w:lang w:val="en-US"/>
        </w:rPr>
        <w:t xml:space="preserve">As a final step of the database development, we </w:t>
      </w:r>
      <w:r w:rsidR="000E0009" w:rsidRPr="007C12DD">
        <w:rPr>
          <w:color w:val="000000" w:themeColor="text1"/>
          <w:lang w:val="en-US"/>
        </w:rPr>
        <w:t>collected</w:t>
      </w:r>
      <w:r w:rsidR="00BA1B0E" w:rsidRPr="007C12DD">
        <w:rPr>
          <w:color w:val="000000" w:themeColor="text1"/>
          <w:lang w:val="en-US"/>
        </w:rPr>
        <w:t xml:space="preserve"> </w:t>
      </w:r>
      <w:r w:rsidR="00490184" w:rsidRPr="007C12DD">
        <w:rPr>
          <w:color w:val="000000" w:themeColor="text1"/>
          <w:lang w:val="en-US"/>
        </w:rPr>
        <w:t xml:space="preserve">and coded </w:t>
      </w:r>
      <w:r w:rsidR="00BA1B0E" w:rsidRPr="007C12DD">
        <w:rPr>
          <w:color w:val="000000" w:themeColor="text1"/>
          <w:lang w:val="en-US"/>
        </w:rPr>
        <w:t>the</w:t>
      </w:r>
      <w:r w:rsidR="000E0009" w:rsidRPr="007C12DD">
        <w:rPr>
          <w:color w:val="000000" w:themeColor="text1"/>
          <w:lang w:val="en-US"/>
        </w:rPr>
        <w:t xml:space="preserve"> data</w:t>
      </w:r>
      <w:r w:rsidR="000E0009" w:rsidRPr="007C12DD">
        <w:rPr>
          <w:lang w:val="en-US"/>
        </w:rPr>
        <w:t xml:space="preserve"> on the </w:t>
      </w:r>
      <w:r w:rsidR="00D174F0" w:rsidRPr="007C12DD">
        <w:rPr>
          <w:lang w:val="en-US"/>
        </w:rPr>
        <w:t>manufacturing</w:t>
      </w:r>
      <w:r w:rsidR="00E20A13" w:rsidRPr="007C12DD">
        <w:rPr>
          <w:lang w:val="en-US"/>
        </w:rPr>
        <w:t xml:space="preserve"> </w:t>
      </w:r>
      <w:r w:rsidR="00446A0C" w:rsidRPr="007C12DD">
        <w:rPr>
          <w:lang w:val="en-US"/>
        </w:rPr>
        <w:t>configuration and</w:t>
      </w:r>
      <w:r w:rsidR="00E20A13" w:rsidRPr="007C12DD">
        <w:rPr>
          <w:lang w:val="en-US"/>
        </w:rPr>
        <w:t xml:space="preserve"> the</w:t>
      </w:r>
      <w:r w:rsidR="00446A0C" w:rsidRPr="007C12DD">
        <w:rPr>
          <w:lang w:val="en-US"/>
        </w:rPr>
        <w:t xml:space="preserve"> </w:t>
      </w:r>
      <w:r w:rsidR="00792C09" w:rsidRPr="007C12DD">
        <w:rPr>
          <w:lang w:val="en-US"/>
        </w:rPr>
        <w:t xml:space="preserve">supply </w:t>
      </w:r>
      <w:r w:rsidR="002B4BE1" w:rsidRPr="007C12DD">
        <w:rPr>
          <w:lang w:val="en-US"/>
        </w:rPr>
        <w:t>characteristics</w:t>
      </w:r>
      <w:r w:rsidR="005C312B" w:rsidRPr="007C12DD">
        <w:rPr>
          <w:lang w:val="en-US"/>
        </w:rPr>
        <w:t>.</w:t>
      </w:r>
      <w:r w:rsidR="00BA1B0E" w:rsidRPr="007C12DD">
        <w:rPr>
          <w:lang w:val="en-US"/>
        </w:rPr>
        <w:t xml:space="preserve"> We collected data from publicly available sources such as the company</w:t>
      </w:r>
      <w:r w:rsidR="00E83C2F" w:rsidRPr="007C12DD">
        <w:rPr>
          <w:lang w:val="en-US"/>
        </w:rPr>
        <w:t>’s</w:t>
      </w:r>
      <w:r w:rsidR="00BA1B0E" w:rsidRPr="007C12DD">
        <w:rPr>
          <w:lang w:val="en-US"/>
        </w:rPr>
        <w:t xml:space="preserve"> website</w:t>
      </w:r>
      <w:r w:rsidR="00446A0C" w:rsidRPr="007C12DD">
        <w:rPr>
          <w:lang w:val="en-US"/>
        </w:rPr>
        <w:t>s</w:t>
      </w:r>
      <w:r w:rsidR="00E83C2F" w:rsidRPr="007C12DD">
        <w:rPr>
          <w:lang w:val="en-US"/>
        </w:rPr>
        <w:t xml:space="preserve"> and</w:t>
      </w:r>
      <w:r w:rsidR="00BA1B0E" w:rsidRPr="007C12DD">
        <w:rPr>
          <w:lang w:val="en-US"/>
        </w:rPr>
        <w:t xml:space="preserve"> social media accounts, relevant press articles</w:t>
      </w:r>
      <w:r w:rsidR="00E20A13" w:rsidRPr="007C12DD">
        <w:rPr>
          <w:lang w:val="en-US"/>
        </w:rPr>
        <w:t>,</w:t>
      </w:r>
      <w:r w:rsidR="00BA1B0E" w:rsidRPr="007C12DD">
        <w:rPr>
          <w:lang w:val="en-US"/>
        </w:rPr>
        <w:t xml:space="preserve"> and case </w:t>
      </w:r>
      <w:r w:rsidR="00BA1B0E" w:rsidRPr="007C12DD">
        <w:rPr>
          <w:lang w:val="en-US"/>
        </w:rPr>
        <w:lastRenderedPageBreak/>
        <w:t xml:space="preserve">studies in the grey literature </w:t>
      </w:r>
      <w:r w:rsidR="00E20A13" w:rsidRPr="007C12DD">
        <w:rPr>
          <w:lang w:val="en-US"/>
        </w:rPr>
        <w:t>which describe</w:t>
      </w:r>
      <w:r w:rsidR="00BA1B0E" w:rsidRPr="007C12DD">
        <w:rPr>
          <w:lang w:val="en-US"/>
        </w:rPr>
        <w:t xml:space="preserve"> the CB</w:t>
      </w:r>
      <w:r w:rsidR="000F7266" w:rsidRPr="007C12DD">
        <w:rPr>
          <w:lang w:val="en-US"/>
        </w:rPr>
        <w:t>M</w:t>
      </w:r>
      <w:r w:rsidR="00BA1B0E" w:rsidRPr="007C12DD">
        <w:rPr>
          <w:lang w:val="en-US"/>
        </w:rPr>
        <w:t>s</w:t>
      </w:r>
      <w:r w:rsidR="00E20A13" w:rsidRPr="007C12DD">
        <w:rPr>
          <w:lang w:val="en-US"/>
        </w:rPr>
        <w:t xml:space="preserve"> and the context</w:t>
      </w:r>
      <w:r w:rsidR="00BA1B0E" w:rsidRPr="007C12DD">
        <w:rPr>
          <w:lang w:val="en-US"/>
        </w:rPr>
        <w:t xml:space="preserve"> </w:t>
      </w:r>
      <w:r w:rsidR="00CB28CF" w:rsidRPr="007C12DD">
        <w:rPr>
          <w:lang w:val="en-US"/>
        </w:rPr>
        <w:t>in which the start</w:t>
      </w:r>
      <w:r w:rsidR="0087600B" w:rsidRPr="007C12DD">
        <w:rPr>
          <w:lang w:val="en-US"/>
        </w:rPr>
        <w:t>-</w:t>
      </w:r>
      <w:r w:rsidR="00CB28CF" w:rsidRPr="007C12DD">
        <w:rPr>
          <w:lang w:val="en-US"/>
        </w:rPr>
        <w:t>up</w:t>
      </w:r>
      <w:r w:rsidR="00467BE4" w:rsidRPr="007C12DD">
        <w:rPr>
          <w:lang w:val="en-US"/>
        </w:rPr>
        <w:t>s</w:t>
      </w:r>
      <w:r w:rsidR="00CB28CF" w:rsidRPr="007C12DD">
        <w:rPr>
          <w:lang w:val="en-US"/>
        </w:rPr>
        <w:t xml:space="preserve"> operate</w:t>
      </w:r>
      <w:r w:rsidR="00BA1B0E" w:rsidRPr="007C12DD">
        <w:rPr>
          <w:lang w:val="en-US"/>
        </w:rPr>
        <w:t>.</w:t>
      </w:r>
      <w:r w:rsidR="00F36DA7" w:rsidRPr="007C12DD">
        <w:rPr>
          <w:lang w:val="en-US"/>
        </w:rPr>
        <w:t xml:space="preserve"> </w:t>
      </w:r>
      <w:r w:rsidR="00A9606C" w:rsidRPr="007C12DD">
        <w:rPr>
          <w:lang w:val="en-US"/>
        </w:rPr>
        <w:t xml:space="preserve">Where needed, </w:t>
      </w:r>
      <w:r w:rsidR="00467BE4" w:rsidRPr="007C12DD">
        <w:rPr>
          <w:lang w:val="en-US"/>
        </w:rPr>
        <w:t xml:space="preserve">we contacted the </w:t>
      </w:r>
      <w:r w:rsidR="00A9606C" w:rsidRPr="007C12DD">
        <w:rPr>
          <w:lang w:val="en-US"/>
        </w:rPr>
        <w:t>start</w:t>
      </w:r>
      <w:r w:rsidR="0087600B" w:rsidRPr="007C12DD">
        <w:rPr>
          <w:lang w:val="en-US"/>
        </w:rPr>
        <w:t>-</w:t>
      </w:r>
      <w:r w:rsidR="00A9606C" w:rsidRPr="007C12DD">
        <w:rPr>
          <w:lang w:val="en-US"/>
        </w:rPr>
        <w:t>ups to collect the missing data.</w:t>
      </w:r>
      <w:r w:rsidR="00467BE4" w:rsidRPr="007C12DD">
        <w:rPr>
          <w:lang w:val="en-US"/>
        </w:rPr>
        <w:t xml:space="preserve"> </w:t>
      </w:r>
      <w:r w:rsidR="000963E8" w:rsidRPr="007C12DD">
        <w:rPr>
          <w:lang w:val="en-US"/>
        </w:rPr>
        <w:t>Table</w:t>
      </w:r>
      <w:r w:rsidR="00467BE4" w:rsidRPr="007C12DD">
        <w:rPr>
          <w:lang w:val="en-US"/>
        </w:rPr>
        <w:t xml:space="preserve"> </w:t>
      </w:r>
      <w:r w:rsidR="00386472" w:rsidRPr="007C12DD">
        <w:rPr>
          <w:lang w:val="en-US"/>
        </w:rPr>
        <w:t>1</w:t>
      </w:r>
      <w:r w:rsidR="000963E8" w:rsidRPr="007C12DD">
        <w:rPr>
          <w:lang w:val="en-US"/>
        </w:rPr>
        <w:t xml:space="preserve"> provide</w:t>
      </w:r>
      <w:r w:rsidR="00446A0C" w:rsidRPr="007C12DD">
        <w:rPr>
          <w:lang w:val="en-US"/>
        </w:rPr>
        <w:t>s</w:t>
      </w:r>
      <w:r w:rsidR="000963E8" w:rsidRPr="007C12DD">
        <w:rPr>
          <w:lang w:val="en-US"/>
        </w:rPr>
        <w:t xml:space="preserve"> a description of the </w:t>
      </w:r>
      <w:r w:rsidR="00563E3B" w:rsidRPr="007C12DD">
        <w:rPr>
          <w:lang w:val="en-US"/>
        </w:rPr>
        <w:t xml:space="preserve">conditions </w:t>
      </w:r>
      <w:r w:rsidR="000963E8" w:rsidRPr="007C12DD">
        <w:rPr>
          <w:lang w:val="en-US"/>
        </w:rPr>
        <w:t xml:space="preserve">and </w:t>
      </w:r>
      <w:r w:rsidR="000A5D59" w:rsidRPr="007C12DD">
        <w:rPr>
          <w:lang w:val="en-US"/>
        </w:rPr>
        <w:t xml:space="preserve">in-depth insights into </w:t>
      </w:r>
      <w:r w:rsidR="000963E8" w:rsidRPr="007C12DD">
        <w:rPr>
          <w:lang w:val="en-US"/>
        </w:rPr>
        <w:t xml:space="preserve">the coding criteria. </w:t>
      </w:r>
      <w:r w:rsidR="00DF38A7" w:rsidRPr="007C12DD">
        <w:rPr>
          <w:lang w:val="en-US"/>
        </w:rPr>
        <w:t>As two start</w:t>
      </w:r>
      <w:r w:rsidR="0087600B" w:rsidRPr="007C12DD">
        <w:rPr>
          <w:lang w:val="en-US"/>
        </w:rPr>
        <w:t>-</w:t>
      </w:r>
      <w:r w:rsidR="00DF38A7" w:rsidRPr="007C12DD">
        <w:rPr>
          <w:lang w:val="en-US"/>
        </w:rPr>
        <w:t>ups lacked vital information to code the CBMs, these start</w:t>
      </w:r>
      <w:r w:rsidR="0087600B" w:rsidRPr="007C12DD">
        <w:rPr>
          <w:lang w:val="en-US"/>
        </w:rPr>
        <w:t>-</w:t>
      </w:r>
      <w:r w:rsidR="00DF38A7" w:rsidRPr="007C12DD">
        <w:rPr>
          <w:lang w:val="en-US"/>
        </w:rPr>
        <w:t xml:space="preserve">ups were excluded from the database. As such, we retained a final </w:t>
      </w:r>
      <w:r w:rsidR="00446A0C" w:rsidRPr="007C12DD">
        <w:rPr>
          <w:lang w:val="en-US"/>
        </w:rPr>
        <w:t>sample</w:t>
      </w:r>
      <w:r w:rsidR="00DF38A7" w:rsidRPr="007C12DD">
        <w:rPr>
          <w:lang w:val="en-US"/>
        </w:rPr>
        <w:t xml:space="preserve"> of 96 start</w:t>
      </w:r>
      <w:r w:rsidR="0087600B" w:rsidRPr="007C12DD">
        <w:rPr>
          <w:lang w:val="en-US"/>
        </w:rPr>
        <w:t>-</w:t>
      </w:r>
      <w:r w:rsidR="00DF38A7" w:rsidRPr="007C12DD">
        <w:rPr>
          <w:lang w:val="en-US"/>
        </w:rPr>
        <w:t xml:space="preserve">ups. Although the final sample size is smaller than many observational studies at the firm level, </w:t>
      </w:r>
      <w:r w:rsidR="004F387C">
        <w:rPr>
          <w:lang w:val="en-US"/>
        </w:rPr>
        <w:t xml:space="preserve">it </w:t>
      </w:r>
      <w:r w:rsidR="00DF38A7" w:rsidRPr="007C12DD">
        <w:rPr>
          <w:lang w:val="en-US"/>
        </w:rPr>
        <w:t>represents a substantial portion of the (moderately) successful circular start</w:t>
      </w:r>
      <w:r w:rsidR="0087600B" w:rsidRPr="007C12DD">
        <w:rPr>
          <w:lang w:val="en-US"/>
        </w:rPr>
        <w:t>-</w:t>
      </w:r>
      <w:r w:rsidR="00DF38A7" w:rsidRPr="007C12DD">
        <w:rPr>
          <w:lang w:val="en-US"/>
        </w:rPr>
        <w:t>ups. Moreover, our sample size is comparable to previous studies on start</w:t>
      </w:r>
      <w:r w:rsidR="0087600B" w:rsidRPr="007C12DD">
        <w:rPr>
          <w:lang w:val="en-US"/>
        </w:rPr>
        <w:t>-</w:t>
      </w:r>
      <w:r w:rsidR="00DF38A7" w:rsidRPr="007C12DD">
        <w:rPr>
          <w:lang w:val="en-US"/>
        </w:rPr>
        <w:t>ups – e.g.</w:t>
      </w:r>
      <w:r w:rsidR="007C72DF">
        <w:rPr>
          <w:lang w:val="en-US"/>
        </w:rPr>
        <w:t>,</w:t>
      </w:r>
      <w:r w:rsidR="00DF38A7" w:rsidRPr="007C12DD">
        <w:rPr>
          <w:lang w:val="en-US"/>
        </w:rPr>
        <w:t xml:space="preserve"> the study of </w:t>
      </w:r>
      <w:r w:rsidR="00DF38A7" w:rsidRPr="007C12DD">
        <w:rPr>
          <w:lang w:val="en-US"/>
        </w:rPr>
        <w:fldChar w:fldCharType="begin" w:fldLock="1"/>
      </w:r>
      <w:r w:rsidR="00DF38A7" w:rsidRPr="007C12DD">
        <w:rPr>
          <w:lang w:val="en-US"/>
        </w:rPr>
        <w:instrText>ADDIN CSL_CITATION {"citationItems":[{"id":"ITEM-1","itemData":{"DOI":"10.1002/smj.2987","ISSN":"10970266","abstract":"Why do some entrepreneurs thrive while others fail? We explore whether the advice entrepreneurs receive about managing their employees influences their startup's performance. We conducted a randomized field experiment in India with 100 high-growth technology firms whose founders received in-person advice from other entrepreneurs who varied in their managerial style. We find that entrepreneurs who received advice from peers with a formal approach to managing people—instituting regular meetings, setting goals consistently, and providing frequent feedback to employees—grew 28% larger and were 10 percentage points less likely to fail than those who got advice from peers with an informal approach to managing people, 2 years after our intervention. Entrepreneurs with MBAs or accelerator experience did not respond to this intervention, suggesting that formal training can limit the spread of peer advice.","author":[{"dropping-particle":"","family":"Chatterji","given":"Aaron","non-dropping-particle":"","parse-names":false,"suffix":""},{"dropping-particle":"","family":"Delecourt","given":"Solène","non-dropping-particle":"","parse-names":false,"suffix":""},{"dropping-particle":"","family":"Hasan","given":"Sharique","non-dropping-particle":"","parse-names":false,"suffix":""},{"dropping-particle":"","family":"Koning","given":"Rembrand","non-dropping-particle":"","parse-names":false,"suffix":""}],"container-title":"Strategic Management Journal","id":"ITEM-1","issue":"3","issued":{"date-parts":[["2019"]]},"page":"331-356","title":"When does advice impact startup performance?","type":"article-journal","volume":"40"},"uris":["http://www.mendeley.com/documents/?uuid=ab287c9d-4bcb-4723-b5a8-1b8d888fea33"]}],"mendeley":{"formattedCitation":"(Chatterji et al., 2019)","manualFormatting":"Chatterji et al. (2019)","plainTextFormattedCitation":"(Chatterji et al., 2019)","previouslyFormattedCitation":"(Chatterji et al., 2019)"},"properties":{"noteIndex":0},"schema":"https://github.com/citation-style-language/schema/raw/master/csl-citation.json"}</w:instrText>
      </w:r>
      <w:r w:rsidR="00DF38A7" w:rsidRPr="007C12DD">
        <w:rPr>
          <w:lang w:val="en-US"/>
        </w:rPr>
        <w:fldChar w:fldCharType="separate"/>
      </w:r>
      <w:r w:rsidR="00DF38A7" w:rsidRPr="007C12DD">
        <w:rPr>
          <w:noProof/>
          <w:lang w:val="en-US"/>
        </w:rPr>
        <w:t>Chatterji et al. (2019)</w:t>
      </w:r>
      <w:r w:rsidR="00DF38A7" w:rsidRPr="007C12DD">
        <w:rPr>
          <w:lang w:val="en-US"/>
        </w:rPr>
        <w:fldChar w:fldCharType="end"/>
      </w:r>
      <w:r w:rsidR="00DF38A7" w:rsidRPr="007C12DD">
        <w:rPr>
          <w:lang w:val="en-US"/>
        </w:rPr>
        <w:t xml:space="preserve"> contains 100 start</w:t>
      </w:r>
      <w:r w:rsidR="0087600B" w:rsidRPr="007C12DD">
        <w:rPr>
          <w:lang w:val="en-US"/>
        </w:rPr>
        <w:t>-</w:t>
      </w:r>
      <w:r w:rsidR="00DF38A7" w:rsidRPr="007C12DD">
        <w:rPr>
          <w:lang w:val="en-US"/>
        </w:rPr>
        <w:t xml:space="preserve">ups, </w:t>
      </w:r>
      <w:r w:rsidR="00DF38A7" w:rsidRPr="007C12DD">
        <w:rPr>
          <w:lang w:val="en-US"/>
        </w:rPr>
        <w:fldChar w:fldCharType="begin" w:fldLock="1"/>
      </w:r>
      <w:r w:rsidR="00DF38A7" w:rsidRPr="007C12DD">
        <w:rPr>
          <w:lang w:val="en-US"/>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 Ltd","title":"A typology of circular start-ups: Analysis of 128 circular business models","type":"article-journal","volume":"245"},"uris":["http://www.mendeley.com/documents/?uuid=7630feed-abf9-4ffe-a0cc-b8d6c60d3d34"]}],"mendeley":{"formattedCitation":"(Henry et al., 2020)","manualFormatting":"Henry et al. (2020)","plainTextFormattedCitation":"(Henry et al., 2020)","previouslyFormattedCitation":"(Henry et al., 2020)"},"properties":{"noteIndex":0},"schema":"https://github.com/citation-style-language/schema/raw/master/csl-citation.json"}</w:instrText>
      </w:r>
      <w:r w:rsidR="00DF38A7" w:rsidRPr="007C12DD">
        <w:rPr>
          <w:lang w:val="en-US"/>
        </w:rPr>
        <w:fldChar w:fldCharType="separate"/>
      </w:r>
      <w:r w:rsidR="00DF38A7" w:rsidRPr="007C12DD">
        <w:rPr>
          <w:noProof/>
          <w:lang w:val="en-US"/>
        </w:rPr>
        <w:t>Henry et al. (2020)</w:t>
      </w:r>
      <w:r w:rsidR="00DF38A7" w:rsidRPr="007C12DD">
        <w:rPr>
          <w:lang w:val="en-US"/>
        </w:rPr>
        <w:fldChar w:fldCharType="end"/>
      </w:r>
      <w:r w:rsidR="00DF38A7" w:rsidRPr="007C12DD">
        <w:rPr>
          <w:lang w:val="en-US"/>
        </w:rPr>
        <w:t xml:space="preserve"> use a sample of 128 start</w:t>
      </w:r>
      <w:r w:rsidR="0087600B" w:rsidRPr="007C12DD">
        <w:rPr>
          <w:lang w:val="en-US"/>
        </w:rPr>
        <w:t>-</w:t>
      </w:r>
      <w:r w:rsidR="00DF38A7" w:rsidRPr="007C12DD">
        <w:rPr>
          <w:lang w:val="en-US"/>
        </w:rPr>
        <w:t xml:space="preserve">ups and </w:t>
      </w:r>
      <w:r w:rsidR="00DF38A7" w:rsidRPr="007C12DD">
        <w:rPr>
          <w:lang w:val="en-US"/>
        </w:rPr>
        <w:fldChar w:fldCharType="begin" w:fldLock="1"/>
      </w:r>
      <w:r w:rsidR="00DF38A7" w:rsidRPr="007C12DD">
        <w:rPr>
          <w:lang w:val="en-US"/>
        </w:rPr>
        <w:instrText>ADDIN CSL_CITATION {"citationItems":[{"id":"ITEM-1","itemData":{"author":[{"dropping-particle":"","family":"Baum","given":"Joel A C","non-dropping-particle":"","parse-names":false,"suffix":""},{"dropping-particle":"","family":"Calabrese","given":"Tony","non-dropping-particle":"","parse-names":false,"suffix":""},{"dropping-particle":"","family":"Silverman","given":"Brian S","non-dropping-particle":"","parse-names":false,"suffix":""}],"container-title":"Strategic Management Journal","id":"ITEM-1","issue":"3","issued":{"date-parts":[["2000"]]},"page":"267-294","title":"Don't Go It Alone: Alliance Network Composition and Startups' Performance in Canadian Biotechnology","type":"article-journal","volume":"21"},"uris":["http://www.mendeley.com/documents/?uuid=e4a6e944-c76b-4440-bb0c-7f2fae56c3d1"]}],"mendeley":{"formattedCitation":"(Baum et al., 2000)","manualFormatting":"Baum et al. (2000)","plainTextFormattedCitation":"(Baum et al., 2000)","previouslyFormattedCitation":"(Baum et al., 2000)"},"properties":{"noteIndex":0},"schema":"https://github.com/citation-style-language/schema/raw/master/csl-citation.json"}</w:instrText>
      </w:r>
      <w:r w:rsidR="00DF38A7" w:rsidRPr="007C12DD">
        <w:rPr>
          <w:lang w:val="en-US"/>
        </w:rPr>
        <w:fldChar w:fldCharType="separate"/>
      </w:r>
      <w:r w:rsidR="00DF38A7" w:rsidRPr="007C12DD">
        <w:rPr>
          <w:noProof/>
          <w:lang w:val="en-US"/>
        </w:rPr>
        <w:t>Baum et al. (2000)</w:t>
      </w:r>
      <w:r w:rsidR="00DF38A7" w:rsidRPr="007C12DD">
        <w:rPr>
          <w:lang w:val="en-US"/>
        </w:rPr>
        <w:fldChar w:fldCharType="end"/>
      </w:r>
      <w:r w:rsidR="00DF38A7" w:rsidRPr="007C12DD">
        <w:rPr>
          <w:lang w:val="en-US"/>
        </w:rPr>
        <w:t xml:space="preserve"> base their findings on an analysis of 142 start</w:t>
      </w:r>
      <w:r w:rsidR="0087600B" w:rsidRPr="007C12DD">
        <w:rPr>
          <w:lang w:val="en-US"/>
        </w:rPr>
        <w:t>-</w:t>
      </w:r>
      <w:r w:rsidR="00DF38A7" w:rsidRPr="007C12DD">
        <w:rPr>
          <w:lang w:val="en-US"/>
        </w:rPr>
        <w:t>ups.</w:t>
      </w:r>
    </w:p>
    <w:p w14:paraId="684B177B" w14:textId="4919562D" w:rsidR="00383781" w:rsidRPr="007C12DD" w:rsidRDefault="00383781">
      <w:pPr>
        <w:rPr>
          <w:lang w:val="en-US"/>
        </w:rPr>
      </w:pPr>
      <w:r w:rsidRPr="007C12DD">
        <w:rPr>
          <w:lang w:val="en-US"/>
        </w:rPr>
        <w:br w:type="page"/>
      </w:r>
    </w:p>
    <w:tbl>
      <w:tblPr>
        <w:tblStyle w:val="TableGrid"/>
        <w:tblW w:w="9072" w:type="dxa"/>
        <w:tblLook w:val="04A0" w:firstRow="1" w:lastRow="0" w:firstColumn="1" w:lastColumn="0" w:noHBand="0" w:noVBand="1"/>
      </w:tblPr>
      <w:tblGrid>
        <w:gridCol w:w="1219"/>
        <w:gridCol w:w="1258"/>
        <w:gridCol w:w="6595"/>
      </w:tblGrid>
      <w:tr w:rsidR="00497B20" w:rsidRPr="005359EE" w14:paraId="6C53AADD" w14:textId="77777777" w:rsidTr="000A5D59">
        <w:tc>
          <w:tcPr>
            <w:tcW w:w="1150" w:type="dxa"/>
            <w:tcBorders>
              <w:top w:val="single" w:sz="4" w:space="0" w:color="auto"/>
              <w:left w:val="nil"/>
              <w:bottom w:val="single" w:sz="4" w:space="0" w:color="auto"/>
              <w:right w:val="nil"/>
            </w:tcBorders>
          </w:tcPr>
          <w:p w14:paraId="5AC993AF" w14:textId="187F7D15" w:rsidR="00497B20" w:rsidRPr="005359EE" w:rsidRDefault="00792C09" w:rsidP="00CB23E3">
            <w:pPr>
              <w:rPr>
                <w:b/>
                <w:bCs/>
                <w:sz w:val="16"/>
                <w:szCs w:val="16"/>
                <w:lang w:val="en-US"/>
              </w:rPr>
            </w:pPr>
            <w:r w:rsidRPr="007C12DD">
              <w:rPr>
                <w:b/>
                <w:bCs/>
                <w:sz w:val="16"/>
                <w:szCs w:val="16"/>
                <w:lang w:val="en-US"/>
              </w:rPr>
              <w:lastRenderedPageBreak/>
              <w:t xml:space="preserve">Supply </w:t>
            </w:r>
            <w:r w:rsidR="002B4BE1" w:rsidRPr="007C12DD">
              <w:rPr>
                <w:b/>
                <w:bCs/>
                <w:sz w:val="16"/>
                <w:szCs w:val="16"/>
                <w:lang w:val="en-US"/>
              </w:rPr>
              <w:t>characteristics</w:t>
            </w:r>
          </w:p>
        </w:tc>
        <w:tc>
          <w:tcPr>
            <w:tcW w:w="1260" w:type="dxa"/>
            <w:tcBorders>
              <w:top w:val="single" w:sz="4" w:space="0" w:color="auto"/>
              <w:left w:val="nil"/>
              <w:bottom w:val="single" w:sz="4" w:space="0" w:color="auto"/>
              <w:right w:val="nil"/>
            </w:tcBorders>
          </w:tcPr>
          <w:p w14:paraId="02339132" w14:textId="4EBC663D" w:rsidR="00497B20" w:rsidRPr="005359EE" w:rsidRDefault="00497B20" w:rsidP="00CB23E3">
            <w:pPr>
              <w:rPr>
                <w:b/>
                <w:bCs/>
                <w:sz w:val="16"/>
                <w:szCs w:val="16"/>
                <w:lang w:val="en-US"/>
              </w:rPr>
            </w:pPr>
            <w:r w:rsidRPr="005359EE">
              <w:rPr>
                <w:b/>
                <w:bCs/>
                <w:sz w:val="16"/>
                <w:szCs w:val="16"/>
                <w:lang w:val="en-US"/>
              </w:rPr>
              <w:t>Levels</w:t>
            </w:r>
          </w:p>
        </w:tc>
        <w:tc>
          <w:tcPr>
            <w:tcW w:w="6662" w:type="dxa"/>
            <w:tcBorders>
              <w:top w:val="single" w:sz="4" w:space="0" w:color="auto"/>
              <w:left w:val="nil"/>
              <w:bottom w:val="single" w:sz="4" w:space="0" w:color="auto"/>
              <w:right w:val="nil"/>
            </w:tcBorders>
          </w:tcPr>
          <w:p w14:paraId="0F55DEDE" w14:textId="5A611639" w:rsidR="00497B20" w:rsidRPr="005359EE" w:rsidRDefault="00542563" w:rsidP="00CB23E3">
            <w:pPr>
              <w:rPr>
                <w:b/>
                <w:bCs/>
                <w:sz w:val="16"/>
                <w:szCs w:val="16"/>
                <w:lang w:val="en-US"/>
              </w:rPr>
            </w:pPr>
            <w:r w:rsidRPr="005359EE">
              <w:rPr>
                <w:b/>
                <w:bCs/>
                <w:sz w:val="16"/>
                <w:szCs w:val="16"/>
                <w:lang w:val="en-US"/>
              </w:rPr>
              <w:t>Excerpt of coding</w:t>
            </w:r>
          </w:p>
        </w:tc>
      </w:tr>
      <w:tr w:rsidR="00497B20" w:rsidRPr="00AF682F" w14:paraId="04401CF0" w14:textId="77777777" w:rsidTr="000A5D59">
        <w:tc>
          <w:tcPr>
            <w:tcW w:w="1150" w:type="dxa"/>
            <w:vMerge w:val="restart"/>
            <w:tcBorders>
              <w:top w:val="single" w:sz="4" w:space="0" w:color="auto"/>
              <w:left w:val="nil"/>
              <w:right w:val="nil"/>
            </w:tcBorders>
            <w:shd w:val="clear" w:color="auto" w:fill="auto"/>
          </w:tcPr>
          <w:p w14:paraId="60CEC450" w14:textId="0F91B66F" w:rsidR="00497B20" w:rsidRPr="005359EE" w:rsidRDefault="00497B20" w:rsidP="00CB23E3">
            <w:pPr>
              <w:rPr>
                <w:sz w:val="16"/>
                <w:szCs w:val="16"/>
                <w:lang w:val="en-US"/>
              </w:rPr>
            </w:pPr>
            <w:r w:rsidRPr="005359EE">
              <w:rPr>
                <w:sz w:val="16"/>
                <w:szCs w:val="16"/>
                <w:lang w:val="en-US"/>
              </w:rPr>
              <w:t>Heterogen</w:t>
            </w:r>
            <w:r w:rsidR="00295B22" w:rsidRPr="005359EE">
              <w:rPr>
                <w:sz w:val="16"/>
                <w:szCs w:val="16"/>
                <w:lang w:val="en-US"/>
              </w:rPr>
              <w:t>eous quality</w:t>
            </w:r>
          </w:p>
        </w:tc>
        <w:tc>
          <w:tcPr>
            <w:tcW w:w="1260" w:type="dxa"/>
            <w:tcBorders>
              <w:top w:val="single" w:sz="4" w:space="0" w:color="auto"/>
              <w:left w:val="nil"/>
              <w:bottom w:val="single" w:sz="4" w:space="0" w:color="auto"/>
              <w:right w:val="nil"/>
            </w:tcBorders>
            <w:shd w:val="clear" w:color="auto" w:fill="auto"/>
          </w:tcPr>
          <w:p w14:paraId="774E1DC8" w14:textId="77777777" w:rsidR="00497B20" w:rsidRPr="005359EE" w:rsidRDefault="00497B20" w:rsidP="00CB23E3">
            <w:pPr>
              <w:rPr>
                <w:sz w:val="16"/>
                <w:szCs w:val="16"/>
                <w:lang w:val="en-US"/>
              </w:rPr>
            </w:pPr>
            <w:r w:rsidRPr="005359EE">
              <w:rPr>
                <w:b/>
                <w:bCs/>
                <w:sz w:val="16"/>
                <w:szCs w:val="16"/>
                <w:lang w:val="en-US"/>
              </w:rPr>
              <w:t>Low</w:t>
            </w:r>
            <w:r w:rsidRPr="005359EE">
              <w:rPr>
                <w:sz w:val="16"/>
                <w:szCs w:val="16"/>
                <w:lang w:val="en-US"/>
              </w:rPr>
              <w:t xml:space="preserve">: homogeneous quality  </w:t>
            </w:r>
          </w:p>
        </w:tc>
        <w:tc>
          <w:tcPr>
            <w:tcW w:w="6662" w:type="dxa"/>
            <w:tcBorders>
              <w:top w:val="single" w:sz="4" w:space="0" w:color="auto"/>
              <w:left w:val="nil"/>
              <w:bottom w:val="single" w:sz="4" w:space="0" w:color="auto"/>
              <w:right w:val="nil"/>
            </w:tcBorders>
            <w:shd w:val="clear" w:color="auto" w:fill="auto"/>
          </w:tcPr>
          <w:p w14:paraId="0AD97101" w14:textId="6DEE52BC" w:rsidR="00497B20" w:rsidRPr="005359EE" w:rsidRDefault="00497B20" w:rsidP="00497B20">
            <w:pPr>
              <w:pStyle w:val="ListParagraph"/>
              <w:numPr>
                <w:ilvl w:val="0"/>
                <w:numId w:val="7"/>
              </w:numPr>
              <w:ind w:left="351" w:hanging="284"/>
              <w:rPr>
                <w:sz w:val="16"/>
                <w:szCs w:val="16"/>
                <w:lang w:val="en-US"/>
              </w:rPr>
            </w:pPr>
            <w:r w:rsidRPr="005359EE">
              <w:rPr>
                <w:b/>
                <w:bCs/>
                <w:sz w:val="16"/>
                <w:szCs w:val="16"/>
                <w:lang w:val="en-US"/>
              </w:rPr>
              <w:t>Specific waste streams from the process industry</w:t>
            </w:r>
            <w:r w:rsidRPr="005359EE">
              <w:rPr>
                <w:sz w:val="16"/>
                <w:szCs w:val="16"/>
                <w:lang w:val="en-US"/>
              </w:rPr>
              <w:t xml:space="preserve">: pulp, spent barley, </w:t>
            </w:r>
            <w:r w:rsidR="001D4D06" w:rsidRPr="001D4D06">
              <w:rPr>
                <w:sz w:val="16"/>
                <w:szCs w:val="16"/>
                <w:lang w:val="en-US"/>
              </w:rPr>
              <w:t>gelatin</w:t>
            </w:r>
            <w:r w:rsidRPr="005359EE">
              <w:rPr>
                <w:sz w:val="16"/>
                <w:szCs w:val="16"/>
                <w:lang w:val="en-US"/>
              </w:rPr>
              <w:t>, defatted sunflower seeds, aquafaba (liquid from cooking chickpeas), waste</w:t>
            </w:r>
            <w:r w:rsidRPr="007C12DD">
              <w:rPr>
                <w:sz w:val="16"/>
                <w:szCs w:val="16"/>
                <w:lang w:val="en-US"/>
              </w:rPr>
              <w:t>water</w:t>
            </w:r>
            <w:r w:rsidRPr="005359EE">
              <w:rPr>
                <w:sz w:val="16"/>
                <w:szCs w:val="16"/>
                <w:lang w:val="en-US"/>
              </w:rPr>
              <w:t xml:space="preserve"> from the whiskey industry, shells from shellfish, orange peels (from orange juice factories).</w:t>
            </w:r>
          </w:p>
          <w:p w14:paraId="52D0E3D7" w14:textId="7AA4593A" w:rsidR="00497B20" w:rsidRPr="005359EE" w:rsidRDefault="00497B20" w:rsidP="00497B20">
            <w:pPr>
              <w:pStyle w:val="ListParagraph"/>
              <w:numPr>
                <w:ilvl w:val="0"/>
                <w:numId w:val="7"/>
              </w:numPr>
              <w:ind w:left="351" w:hanging="284"/>
              <w:rPr>
                <w:sz w:val="16"/>
                <w:szCs w:val="16"/>
                <w:lang w:val="en-US"/>
              </w:rPr>
            </w:pPr>
            <w:r w:rsidRPr="005359EE">
              <w:rPr>
                <w:b/>
                <w:bCs/>
                <w:sz w:val="16"/>
                <w:szCs w:val="16"/>
                <w:lang w:val="en-US"/>
              </w:rPr>
              <w:t>Specific food waste</w:t>
            </w:r>
            <w:r w:rsidRPr="005359EE">
              <w:rPr>
                <w:sz w:val="16"/>
                <w:szCs w:val="16"/>
                <w:lang w:val="en-US"/>
              </w:rPr>
              <w:t>: orange peels (from supermarkets), spent coffee grounds</w:t>
            </w:r>
            <w:r w:rsidR="00E83C2F" w:rsidRPr="005359EE">
              <w:rPr>
                <w:sz w:val="16"/>
                <w:szCs w:val="16"/>
                <w:lang w:val="en-US"/>
              </w:rPr>
              <w:t>.</w:t>
            </w:r>
          </w:p>
          <w:p w14:paraId="32C19CF4" w14:textId="24C3B8B6" w:rsidR="00497B20" w:rsidRPr="005359EE" w:rsidRDefault="00497B20" w:rsidP="00497B20">
            <w:pPr>
              <w:pStyle w:val="ListParagraph"/>
              <w:numPr>
                <w:ilvl w:val="0"/>
                <w:numId w:val="7"/>
              </w:numPr>
              <w:ind w:left="351" w:hanging="284"/>
              <w:rPr>
                <w:sz w:val="16"/>
                <w:szCs w:val="16"/>
                <w:lang w:val="en-US"/>
              </w:rPr>
            </w:pPr>
            <w:r w:rsidRPr="005359EE">
              <w:rPr>
                <w:b/>
                <w:bCs/>
                <w:sz w:val="16"/>
                <w:szCs w:val="16"/>
                <w:lang w:val="en-US"/>
              </w:rPr>
              <w:t>Sorted waste</w:t>
            </w:r>
            <w:r w:rsidRPr="005359EE">
              <w:rPr>
                <w:sz w:val="16"/>
                <w:szCs w:val="16"/>
                <w:lang w:val="en-US"/>
              </w:rPr>
              <w:t xml:space="preserve">: PET, HDPE (yoghurt cups, milk jugs), PP, fishing nets, </w:t>
            </w:r>
            <w:proofErr w:type="spellStart"/>
            <w:r w:rsidR="0044037C">
              <w:rPr>
                <w:sz w:val="16"/>
                <w:szCs w:val="16"/>
                <w:lang w:val="en-US"/>
              </w:rPr>
              <w:t>s</w:t>
            </w:r>
            <w:r w:rsidRPr="005359EE">
              <w:rPr>
                <w:sz w:val="16"/>
                <w:szCs w:val="16"/>
                <w:lang w:val="en-US"/>
              </w:rPr>
              <w:t>tyrofoam</w:t>
            </w:r>
            <w:proofErr w:type="spellEnd"/>
            <w:r w:rsidRPr="005359EE">
              <w:rPr>
                <w:sz w:val="16"/>
                <w:szCs w:val="16"/>
                <w:lang w:val="en-US"/>
              </w:rPr>
              <w:t xml:space="preserve"> (food trays), paper.</w:t>
            </w:r>
          </w:p>
          <w:p w14:paraId="48AEFB0E" w14:textId="77777777" w:rsidR="00497B20" w:rsidRPr="005359EE" w:rsidRDefault="00497B20" w:rsidP="00497B20">
            <w:pPr>
              <w:pStyle w:val="ListParagraph"/>
              <w:numPr>
                <w:ilvl w:val="0"/>
                <w:numId w:val="7"/>
              </w:numPr>
              <w:ind w:left="351" w:hanging="284"/>
              <w:rPr>
                <w:sz w:val="16"/>
                <w:szCs w:val="16"/>
                <w:lang w:val="en-US"/>
              </w:rPr>
            </w:pPr>
            <w:r w:rsidRPr="005359EE">
              <w:rPr>
                <w:b/>
                <w:bCs/>
                <w:sz w:val="16"/>
                <w:szCs w:val="16"/>
                <w:lang w:val="en-US"/>
              </w:rPr>
              <w:t>Specific agricultural waste</w:t>
            </w:r>
            <w:r w:rsidRPr="005359EE">
              <w:rPr>
                <w:sz w:val="16"/>
                <w:szCs w:val="16"/>
                <w:lang w:val="en-US"/>
              </w:rPr>
              <w:t xml:space="preserve">: pineapple leaves, coconut shells, coffee shells, tobacco stems, corn waste, coffee cherries, expired milk, excess milk, rice husk, cacao fruit pulp. </w:t>
            </w:r>
          </w:p>
          <w:p w14:paraId="7BE22DAF" w14:textId="77777777" w:rsidR="00497B20" w:rsidRPr="005359EE" w:rsidRDefault="00497B20" w:rsidP="00497B20">
            <w:pPr>
              <w:pStyle w:val="ListParagraph"/>
              <w:numPr>
                <w:ilvl w:val="0"/>
                <w:numId w:val="7"/>
              </w:numPr>
              <w:ind w:left="351" w:hanging="284"/>
              <w:rPr>
                <w:sz w:val="16"/>
                <w:szCs w:val="16"/>
                <w:lang w:val="en-US"/>
              </w:rPr>
            </w:pPr>
            <w:r w:rsidRPr="005359EE">
              <w:rPr>
                <w:b/>
                <w:bCs/>
                <w:sz w:val="16"/>
                <w:szCs w:val="16"/>
                <w:lang w:val="en-US"/>
              </w:rPr>
              <w:t xml:space="preserve">Cutting waste and scraps from the fashion industry: </w:t>
            </w:r>
            <w:r w:rsidRPr="005359EE">
              <w:rPr>
                <w:sz w:val="16"/>
                <w:szCs w:val="16"/>
                <w:lang w:val="en-US"/>
              </w:rPr>
              <w:t>leather, fabrics, cotton, yarn.</w:t>
            </w:r>
          </w:p>
          <w:p w14:paraId="2EFF9E77" w14:textId="77777777" w:rsidR="00497B20" w:rsidRPr="005359EE" w:rsidRDefault="00497B20" w:rsidP="00497B20">
            <w:pPr>
              <w:pStyle w:val="ListParagraph"/>
              <w:numPr>
                <w:ilvl w:val="0"/>
                <w:numId w:val="7"/>
              </w:numPr>
              <w:ind w:left="351" w:hanging="284"/>
              <w:rPr>
                <w:sz w:val="16"/>
                <w:szCs w:val="16"/>
                <w:lang w:val="en-US"/>
              </w:rPr>
            </w:pPr>
            <w:r w:rsidRPr="005359EE">
              <w:rPr>
                <w:b/>
                <w:bCs/>
                <w:sz w:val="16"/>
                <w:szCs w:val="16"/>
                <w:lang w:val="en-US"/>
              </w:rPr>
              <w:t>Blemished food:</w:t>
            </w:r>
            <w:r w:rsidRPr="005359EE">
              <w:rPr>
                <w:sz w:val="16"/>
                <w:szCs w:val="16"/>
                <w:lang w:val="en-US"/>
              </w:rPr>
              <w:t xml:space="preserve"> tomatoes, pears, apples, citrus fruits.</w:t>
            </w:r>
          </w:p>
          <w:p w14:paraId="1F6F19DE" w14:textId="0391E048" w:rsidR="00497B20" w:rsidRPr="005359EE" w:rsidRDefault="00497B20" w:rsidP="00497B20">
            <w:pPr>
              <w:pStyle w:val="ListParagraph"/>
              <w:numPr>
                <w:ilvl w:val="0"/>
                <w:numId w:val="7"/>
              </w:numPr>
              <w:ind w:left="351" w:hanging="284"/>
              <w:rPr>
                <w:sz w:val="16"/>
                <w:szCs w:val="16"/>
                <w:lang w:val="en-US"/>
              </w:rPr>
            </w:pPr>
            <w:r w:rsidRPr="005359EE">
              <w:rPr>
                <w:b/>
                <w:bCs/>
                <w:sz w:val="16"/>
                <w:szCs w:val="16"/>
                <w:lang w:val="en-US"/>
              </w:rPr>
              <w:t>Other</w:t>
            </w:r>
            <w:r w:rsidRPr="005359EE">
              <w:rPr>
                <w:sz w:val="16"/>
                <w:szCs w:val="16"/>
                <w:lang w:val="en-US"/>
              </w:rPr>
              <w:t>: vinyl billboards, uprooted trees, used bullets, plastic storage/transportation trays, feathers, chewing gum, chopsticks, mining waste, corrugated cardboard, dust from marble mining and limestone quarries, car tires, wine bottles.</w:t>
            </w:r>
          </w:p>
        </w:tc>
      </w:tr>
      <w:tr w:rsidR="00497B20" w:rsidRPr="00AF682F" w14:paraId="727CEF11" w14:textId="77777777" w:rsidTr="000A5D59">
        <w:tc>
          <w:tcPr>
            <w:tcW w:w="1150" w:type="dxa"/>
            <w:vMerge/>
            <w:tcBorders>
              <w:left w:val="nil"/>
              <w:right w:val="nil"/>
            </w:tcBorders>
            <w:shd w:val="clear" w:color="auto" w:fill="auto"/>
          </w:tcPr>
          <w:p w14:paraId="2AA2DB03" w14:textId="77777777" w:rsidR="00497B20" w:rsidRPr="00E806E9" w:rsidRDefault="00497B20" w:rsidP="00CB23E3">
            <w:pPr>
              <w:rPr>
                <w:sz w:val="16"/>
                <w:szCs w:val="16"/>
                <w:lang w:val="en-US"/>
              </w:rPr>
            </w:pPr>
          </w:p>
        </w:tc>
        <w:tc>
          <w:tcPr>
            <w:tcW w:w="1260" w:type="dxa"/>
            <w:tcBorders>
              <w:top w:val="single" w:sz="4" w:space="0" w:color="auto"/>
              <w:left w:val="nil"/>
              <w:bottom w:val="single" w:sz="4" w:space="0" w:color="auto"/>
              <w:right w:val="nil"/>
            </w:tcBorders>
            <w:shd w:val="clear" w:color="auto" w:fill="auto"/>
          </w:tcPr>
          <w:p w14:paraId="44B8C1EE" w14:textId="77777777" w:rsidR="00497B20" w:rsidRPr="00E806E9" w:rsidRDefault="00497B20" w:rsidP="00CB23E3">
            <w:pPr>
              <w:rPr>
                <w:sz w:val="16"/>
                <w:szCs w:val="16"/>
                <w:lang w:val="en-US"/>
              </w:rPr>
            </w:pPr>
            <w:r w:rsidRPr="00E806E9">
              <w:rPr>
                <w:b/>
                <w:bCs/>
                <w:sz w:val="16"/>
                <w:szCs w:val="16"/>
                <w:lang w:val="en-US"/>
              </w:rPr>
              <w:t>Medium</w:t>
            </w:r>
            <w:r w:rsidRPr="00E806E9">
              <w:rPr>
                <w:sz w:val="16"/>
                <w:szCs w:val="16"/>
                <w:lang w:val="en-US"/>
              </w:rPr>
              <w:t xml:space="preserve">: similar products but with different quality levels </w:t>
            </w:r>
          </w:p>
        </w:tc>
        <w:tc>
          <w:tcPr>
            <w:tcW w:w="6662" w:type="dxa"/>
            <w:tcBorders>
              <w:top w:val="single" w:sz="4" w:space="0" w:color="auto"/>
              <w:left w:val="nil"/>
              <w:bottom w:val="single" w:sz="4" w:space="0" w:color="auto"/>
              <w:right w:val="nil"/>
            </w:tcBorders>
            <w:shd w:val="clear" w:color="auto" w:fill="auto"/>
          </w:tcPr>
          <w:p w14:paraId="7EF49801" w14:textId="77777777" w:rsidR="00497B20" w:rsidRPr="00E806E9" w:rsidRDefault="00497B20" w:rsidP="00497B20">
            <w:pPr>
              <w:pStyle w:val="ListParagraph"/>
              <w:numPr>
                <w:ilvl w:val="0"/>
                <w:numId w:val="7"/>
              </w:numPr>
              <w:ind w:left="351" w:hanging="284"/>
              <w:rPr>
                <w:sz w:val="16"/>
                <w:szCs w:val="16"/>
                <w:lang w:val="en-US"/>
              </w:rPr>
            </w:pPr>
            <w:r w:rsidRPr="00E806E9">
              <w:rPr>
                <w:b/>
                <w:bCs/>
                <w:sz w:val="16"/>
                <w:szCs w:val="16"/>
                <w:lang w:val="en-US"/>
              </w:rPr>
              <w:t>Food waste</w:t>
            </w:r>
            <w:r w:rsidRPr="00E806E9">
              <w:rPr>
                <w:sz w:val="16"/>
                <w:szCs w:val="16"/>
                <w:lang w:val="en-US"/>
              </w:rPr>
              <w:t>: mix of expired food and surplus food.</w:t>
            </w:r>
          </w:p>
          <w:p w14:paraId="087868AF" w14:textId="709D100E" w:rsidR="00497B20" w:rsidRPr="00E806E9" w:rsidRDefault="00497B20" w:rsidP="00497B20">
            <w:pPr>
              <w:pStyle w:val="ListParagraph"/>
              <w:numPr>
                <w:ilvl w:val="0"/>
                <w:numId w:val="7"/>
              </w:numPr>
              <w:ind w:left="351" w:hanging="284"/>
              <w:rPr>
                <w:sz w:val="16"/>
                <w:szCs w:val="16"/>
                <w:lang w:val="en-US"/>
              </w:rPr>
            </w:pPr>
            <w:r w:rsidRPr="00E806E9">
              <w:rPr>
                <w:b/>
                <w:bCs/>
                <w:sz w:val="16"/>
                <w:szCs w:val="16"/>
                <w:lang w:val="en-US"/>
              </w:rPr>
              <w:t>Plastic</w:t>
            </w:r>
            <w:r w:rsidRPr="00E806E9">
              <w:rPr>
                <w:sz w:val="16"/>
                <w:szCs w:val="16"/>
                <w:lang w:val="en-US"/>
              </w:rPr>
              <w:t>: mixed plastic</w:t>
            </w:r>
            <w:r w:rsidR="00E83C2F" w:rsidRPr="00E806E9">
              <w:rPr>
                <w:sz w:val="16"/>
                <w:szCs w:val="16"/>
                <w:lang w:val="en-US"/>
              </w:rPr>
              <w:t>s</w:t>
            </w:r>
            <w:r w:rsidRPr="00E806E9">
              <w:rPr>
                <w:sz w:val="16"/>
                <w:szCs w:val="16"/>
                <w:lang w:val="en-US"/>
              </w:rPr>
              <w:t>, marine plastic</w:t>
            </w:r>
            <w:r w:rsidR="00E83C2F" w:rsidRPr="00E806E9">
              <w:rPr>
                <w:sz w:val="16"/>
                <w:szCs w:val="16"/>
                <w:lang w:val="en-US"/>
              </w:rPr>
              <w:t>s</w:t>
            </w:r>
            <w:r w:rsidRPr="00E806E9">
              <w:rPr>
                <w:sz w:val="16"/>
                <w:szCs w:val="16"/>
                <w:lang w:val="en-US"/>
              </w:rPr>
              <w:t>.</w:t>
            </w:r>
          </w:p>
          <w:p w14:paraId="0E54C10B" w14:textId="77777777" w:rsidR="00497B20" w:rsidRPr="00E806E9" w:rsidRDefault="00497B20" w:rsidP="00497B20">
            <w:pPr>
              <w:pStyle w:val="ListParagraph"/>
              <w:numPr>
                <w:ilvl w:val="0"/>
                <w:numId w:val="7"/>
              </w:numPr>
              <w:ind w:left="351" w:hanging="284"/>
              <w:rPr>
                <w:sz w:val="16"/>
                <w:szCs w:val="16"/>
                <w:lang w:val="en-US"/>
              </w:rPr>
            </w:pPr>
            <w:r w:rsidRPr="00E806E9">
              <w:rPr>
                <w:b/>
                <w:bCs/>
                <w:sz w:val="16"/>
                <w:szCs w:val="16"/>
                <w:lang w:val="en-US"/>
              </w:rPr>
              <w:t>Agricultural waste</w:t>
            </w:r>
            <w:r w:rsidRPr="00E806E9">
              <w:rPr>
                <w:sz w:val="16"/>
                <w:szCs w:val="16"/>
                <w:lang w:val="en-US"/>
              </w:rPr>
              <w:t>: mix of</w:t>
            </w:r>
            <w:r w:rsidRPr="00E806E9">
              <w:rPr>
                <w:b/>
                <w:bCs/>
                <w:sz w:val="16"/>
                <w:szCs w:val="16"/>
                <w:lang w:val="en-US"/>
              </w:rPr>
              <w:t xml:space="preserve"> </w:t>
            </w:r>
            <w:r w:rsidRPr="00E806E9">
              <w:rPr>
                <w:sz w:val="16"/>
                <w:szCs w:val="16"/>
                <w:lang w:val="en-US"/>
              </w:rPr>
              <w:t>leaves, stalks, dead plants, organic matter, roots.</w:t>
            </w:r>
          </w:p>
          <w:p w14:paraId="647E70B3" w14:textId="77777777" w:rsidR="00497B20" w:rsidRPr="00E806E9" w:rsidRDefault="00497B20" w:rsidP="00497B20">
            <w:pPr>
              <w:pStyle w:val="ListParagraph"/>
              <w:numPr>
                <w:ilvl w:val="0"/>
                <w:numId w:val="7"/>
              </w:numPr>
              <w:ind w:left="351" w:hanging="284"/>
              <w:rPr>
                <w:sz w:val="16"/>
                <w:szCs w:val="16"/>
                <w:lang w:val="en-US"/>
              </w:rPr>
            </w:pPr>
            <w:r w:rsidRPr="00E806E9">
              <w:rPr>
                <w:b/>
                <w:bCs/>
                <w:sz w:val="16"/>
                <w:szCs w:val="16"/>
                <w:lang w:val="en-US"/>
              </w:rPr>
              <w:t>Construction debris</w:t>
            </w:r>
            <w:r w:rsidRPr="00E806E9">
              <w:rPr>
                <w:sz w:val="16"/>
                <w:szCs w:val="16"/>
                <w:lang w:val="en-US"/>
              </w:rPr>
              <w:t>: mix of different stones and materials.</w:t>
            </w:r>
          </w:p>
          <w:p w14:paraId="61B67B96" w14:textId="3BE82B38" w:rsidR="00497B20" w:rsidRPr="007C12DD" w:rsidRDefault="00497B20" w:rsidP="00497B20">
            <w:pPr>
              <w:pStyle w:val="ListParagraph"/>
              <w:numPr>
                <w:ilvl w:val="0"/>
                <w:numId w:val="7"/>
              </w:numPr>
              <w:ind w:left="351" w:hanging="284"/>
              <w:rPr>
                <w:sz w:val="16"/>
                <w:szCs w:val="16"/>
                <w:lang w:val="en-US"/>
              </w:rPr>
            </w:pPr>
            <w:r w:rsidRPr="00E806E9">
              <w:rPr>
                <w:b/>
                <w:bCs/>
                <w:sz w:val="16"/>
                <w:szCs w:val="16"/>
                <w:lang w:val="en-US"/>
              </w:rPr>
              <w:t>Capital goods</w:t>
            </w:r>
            <w:r w:rsidRPr="00E806E9">
              <w:rPr>
                <w:sz w:val="16"/>
                <w:szCs w:val="16"/>
                <w:lang w:val="en-US"/>
              </w:rPr>
              <w:t>: shipping containers, data cente</w:t>
            </w:r>
            <w:r w:rsidR="007C12DD">
              <w:rPr>
                <w:sz w:val="16"/>
                <w:szCs w:val="16"/>
                <w:lang w:val="en-US"/>
              </w:rPr>
              <w:t>r</w:t>
            </w:r>
            <w:r w:rsidRPr="007C12DD">
              <w:rPr>
                <w:sz w:val="16"/>
                <w:szCs w:val="16"/>
                <w:lang w:val="en-US"/>
              </w:rPr>
              <w:t xml:space="preserve"> equipment, airplanes, helicopters, wind turbine blades, cars, car batteries.</w:t>
            </w:r>
          </w:p>
          <w:p w14:paraId="30B00D4C" w14:textId="77777777"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Used garments</w:t>
            </w:r>
            <w:r w:rsidRPr="007C12DD">
              <w:rPr>
                <w:sz w:val="16"/>
                <w:szCs w:val="16"/>
                <w:lang w:val="en-US"/>
              </w:rPr>
              <w:t>: mix of clothing types, leather jackets, t-shirts, clothing.</w:t>
            </w:r>
          </w:p>
          <w:p w14:paraId="6CFAF459" w14:textId="77777777"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Used consumer products</w:t>
            </w:r>
            <w:r w:rsidRPr="007C12DD">
              <w:rPr>
                <w:sz w:val="16"/>
                <w:szCs w:val="16"/>
                <w:lang w:val="en-US"/>
              </w:rPr>
              <w:t xml:space="preserve"> </w:t>
            </w:r>
            <w:r w:rsidRPr="007C12DD">
              <w:rPr>
                <w:b/>
                <w:bCs/>
                <w:sz w:val="16"/>
                <w:szCs w:val="16"/>
                <w:lang w:val="en-US"/>
              </w:rPr>
              <w:t xml:space="preserve">(different models, </w:t>
            </w:r>
            <w:proofErr w:type="gramStart"/>
            <w:r w:rsidRPr="007C12DD">
              <w:rPr>
                <w:b/>
                <w:bCs/>
                <w:sz w:val="16"/>
                <w:szCs w:val="16"/>
                <w:lang w:val="en-US"/>
              </w:rPr>
              <w:t>wear</w:t>
            </w:r>
            <w:proofErr w:type="gramEnd"/>
            <w:r w:rsidRPr="007C12DD">
              <w:rPr>
                <w:b/>
                <w:bCs/>
                <w:sz w:val="16"/>
                <w:szCs w:val="16"/>
                <w:lang w:val="en-US"/>
              </w:rPr>
              <w:t xml:space="preserve"> and tear, etc.)</w:t>
            </w:r>
            <w:r w:rsidRPr="007C12DD">
              <w:rPr>
                <w:sz w:val="16"/>
                <w:szCs w:val="16"/>
                <w:lang w:val="en-US"/>
              </w:rPr>
              <w:t>: phones, hard drives.</w:t>
            </w:r>
          </w:p>
        </w:tc>
      </w:tr>
      <w:tr w:rsidR="00497B20" w:rsidRPr="00AF682F" w14:paraId="009A8419" w14:textId="77777777" w:rsidTr="000A5D59">
        <w:tc>
          <w:tcPr>
            <w:tcW w:w="1150" w:type="dxa"/>
            <w:vMerge/>
            <w:tcBorders>
              <w:left w:val="nil"/>
              <w:bottom w:val="single" w:sz="4" w:space="0" w:color="auto"/>
              <w:right w:val="nil"/>
            </w:tcBorders>
            <w:shd w:val="clear" w:color="auto" w:fill="auto"/>
          </w:tcPr>
          <w:p w14:paraId="3DEC5F61" w14:textId="77777777" w:rsidR="00497B20" w:rsidRPr="007C12DD" w:rsidRDefault="00497B20" w:rsidP="00CB23E3">
            <w:pPr>
              <w:rPr>
                <w:sz w:val="16"/>
                <w:szCs w:val="16"/>
                <w:lang w:val="en-US"/>
              </w:rPr>
            </w:pPr>
          </w:p>
        </w:tc>
        <w:tc>
          <w:tcPr>
            <w:tcW w:w="1260" w:type="dxa"/>
            <w:tcBorders>
              <w:top w:val="single" w:sz="4" w:space="0" w:color="auto"/>
              <w:left w:val="nil"/>
              <w:bottom w:val="single" w:sz="4" w:space="0" w:color="auto"/>
              <w:right w:val="nil"/>
            </w:tcBorders>
            <w:shd w:val="clear" w:color="auto" w:fill="auto"/>
          </w:tcPr>
          <w:p w14:paraId="0537ECE9" w14:textId="304C1BDC" w:rsidR="00497B20" w:rsidRPr="007C12DD" w:rsidRDefault="00497B20" w:rsidP="00497B20">
            <w:pPr>
              <w:rPr>
                <w:sz w:val="16"/>
                <w:szCs w:val="16"/>
                <w:lang w:val="en-US"/>
              </w:rPr>
            </w:pPr>
            <w:r w:rsidRPr="007C12DD">
              <w:rPr>
                <w:b/>
                <w:bCs/>
                <w:sz w:val="16"/>
                <w:szCs w:val="16"/>
                <w:lang w:val="en-US"/>
              </w:rPr>
              <w:t>High</w:t>
            </w:r>
            <w:r w:rsidRPr="007C12DD">
              <w:rPr>
                <w:sz w:val="16"/>
                <w:szCs w:val="16"/>
                <w:lang w:val="en-US"/>
              </w:rPr>
              <w:t>: different products</w:t>
            </w:r>
          </w:p>
        </w:tc>
        <w:tc>
          <w:tcPr>
            <w:tcW w:w="6662" w:type="dxa"/>
            <w:tcBorders>
              <w:top w:val="single" w:sz="4" w:space="0" w:color="auto"/>
              <w:left w:val="nil"/>
              <w:bottom w:val="single" w:sz="4" w:space="0" w:color="auto"/>
              <w:right w:val="nil"/>
            </w:tcBorders>
            <w:shd w:val="clear" w:color="auto" w:fill="auto"/>
          </w:tcPr>
          <w:p w14:paraId="4D884A63" w14:textId="77777777"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Mix of consumer electronics</w:t>
            </w:r>
            <w:r w:rsidRPr="007C12DD">
              <w:rPr>
                <w:sz w:val="16"/>
                <w:szCs w:val="16"/>
                <w:lang w:val="en-US"/>
              </w:rPr>
              <w:t>: phones, laptops, CD’s, etc.</w:t>
            </w:r>
          </w:p>
        </w:tc>
      </w:tr>
      <w:tr w:rsidR="00497B20" w:rsidRPr="00AF682F" w14:paraId="1811ECC9" w14:textId="77777777" w:rsidTr="000A5D59">
        <w:tc>
          <w:tcPr>
            <w:tcW w:w="1150" w:type="dxa"/>
            <w:vMerge w:val="restart"/>
            <w:tcBorders>
              <w:top w:val="single" w:sz="4" w:space="0" w:color="auto"/>
              <w:left w:val="nil"/>
              <w:right w:val="nil"/>
            </w:tcBorders>
          </w:tcPr>
          <w:p w14:paraId="42CA552D" w14:textId="30C220F8" w:rsidR="00497B20" w:rsidRPr="007C12DD" w:rsidRDefault="00295B22" w:rsidP="00CB23E3">
            <w:pPr>
              <w:rPr>
                <w:sz w:val="16"/>
                <w:szCs w:val="16"/>
                <w:lang w:val="en-US"/>
              </w:rPr>
            </w:pPr>
            <w:r w:rsidRPr="007C12DD">
              <w:rPr>
                <w:sz w:val="16"/>
                <w:szCs w:val="16"/>
                <w:lang w:val="en-US"/>
              </w:rPr>
              <w:t>Uncertain timing</w:t>
            </w:r>
            <w:r w:rsidR="00497B20" w:rsidRPr="007C12DD">
              <w:rPr>
                <w:sz w:val="16"/>
                <w:szCs w:val="16"/>
                <w:lang w:val="en-US"/>
              </w:rPr>
              <w:t xml:space="preserve"> </w:t>
            </w:r>
          </w:p>
        </w:tc>
        <w:tc>
          <w:tcPr>
            <w:tcW w:w="1260" w:type="dxa"/>
            <w:tcBorders>
              <w:top w:val="single" w:sz="4" w:space="0" w:color="auto"/>
              <w:left w:val="nil"/>
              <w:bottom w:val="single" w:sz="4" w:space="0" w:color="auto"/>
              <w:right w:val="nil"/>
            </w:tcBorders>
          </w:tcPr>
          <w:p w14:paraId="67326BA0" w14:textId="77777777" w:rsidR="00497B20" w:rsidRPr="007C12DD" w:rsidRDefault="00497B20" w:rsidP="00CB23E3">
            <w:pPr>
              <w:rPr>
                <w:sz w:val="16"/>
                <w:szCs w:val="16"/>
                <w:lang w:val="en-US"/>
              </w:rPr>
            </w:pPr>
            <w:r w:rsidRPr="007C12DD">
              <w:rPr>
                <w:b/>
                <w:bCs/>
                <w:sz w:val="16"/>
                <w:szCs w:val="16"/>
                <w:lang w:val="en-US"/>
              </w:rPr>
              <w:t>High</w:t>
            </w:r>
            <w:r w:rsidRPr="007C12DD">
              <w:rPr>
                <w:sz w:val="16"/>
                <w:szCs w:val="16"/>
                <w:lang w:val="en-US"/>
              </w:rPr>
              <w:t xml:space="preserve">: certain deliveries with stable quantities </w:t>
            </w:r>
          </w:p>
          <w:p w14:paraId="1457BAFC" w14:textId="77777777" w:rsidR="00497B20" w:rsidRPr="007C12DD" w:rsidRDefault="00497B20" w:rsidP="00CB23E3">
            <w:pPr>
              <w:rPr>
                <w:sz w:val="16"/>
                <w:szCs w:val="16"/>
                <w:lang w:val="en-US"/>
              </w:rPr>
            </w:pPr>
          </w:p>
        </w:tc>
        <w:tc>
          <w:tcPr>
            <w:tcW w:w="6662" w:type="dxa"/>
            <w:tcBorders>
              <w:top w:val="single" w:sz="4" w:space="0" w:color="auto"/>
              <w:left w:val="nil"/>
              <w:bottom w:val="single" w:sz="4" w:space="0" w:color="auto"/>
              <w:right w:val="nil"/>
            </w:tcBorders>
          </w:tcPr>
          <w:p w14:paraId="04AD1192" w14:textId="1BC96B20"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Waste streams from the process industry</w:t>
            </w:r>
            <w:r w:rsidR="00E83C2F" w:rsidRPr="007C12DD">
              <w:rPr>
                <w:b/>
                <w:bCs/>
                <w:sz w:val="16"/>
                <w:szCs w:val="16"/>
                <w:lang w:val="en-US"/>
              </w:rPr>
              <w:t>:</w:t>
            </w:r>
            <w:r w:rsidRPr="007C12DD">
              <w:rPr>
                <w:sz w:val="16"/>
                <w:szCs w:val="16"/>
                <w:lang w:val="en-US"/>
              </w:rPr>
              <w:t xml:space="preserve"> pulp, spent barley, </w:t>
            </w:r>
            <w:r w:rsidR="001D4D06" w:rsidRPr="007C12DD">
              <w:rPr>
                <w:sz w:val="16"/>
                <w:szCs w:val="16"/>
                <w:lang w:val="en-US"/>
              </w:rPr>
              <w:t>gelatin</w:t>
            </w:r>
            <w:r w:rsidR="00E83C2F" w:rsidRPr="007C12DD">
              <w:rPr>
                <w:sz w:val="16"/>
                <w:szCs w:val="16"/>
                <w:lang w:val="en-US"/>
              </w:rPr>
              <w:t>.</w:t>
            </w:r>
          </w:p>
          <w:p w14:paraId="7E87AE1B" w14:textId="77777777"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Regular collection of household food waste.</w:t>
            </w:r>
          </w:p>
          <w:p w14:paraId="362F381F" w14:textId="77777777"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Service industry</w:t>
            </w:r>
            <w:r w:rsidRPr="007C12DD">
              <w:rPr>
                <w:sz w:val="16"/>
                <w:szCs w:val="16"/>
                <w:lang w:val="en-US"/>
              </w:rPr>
              <w:t>: wine bottles from restaurants, spent coffee grounds from bars.</w:t>
            </w:r>
          </w:p>
          <w:p w14:paraId="4C88CFE8" w14:textId="77777777"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Cutting waste and scraps from the fashion industry:</w:t>
            </w:r>
            <w:r w:rsidRPr="007C12DD">
              <w:rPr>
                <w:sz w:val="16"/>
                <w:szCs w:val="16"/>
                <w:lang w:val="en-US"/>
              </w:rPr>
              <w:t xml:space="preserve"> leather, fabrics, cotton, yarn. </w:t>
            </w:r>
          </w:p>
          <w:p w14:paraId="379CDE89" w14:textId="191F5F61"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 xml:space="preserve">Intermediaries: </w:t>
            </w:r>
            <w:r w:rsidRPr="007C12DD">
              <w:rPr>
                <w:sz w:val="16"/>
                <w:szCs w:val="16"/>
                <w:lang w:val="en-US"/>
              </w:rPr>
              <w:t xml:space="preserve">collection points (electronic shops for consumer electronics, </w:t>
            </w:r>
            <w:r w:rsidR="007C12DD" w:rsidRPr="007C12DD">
              <w:rPr>
                <w:sz w:val="16"/>
                <w:szCs w:val="16"/>
                <w:lang w:val="en-US"/>
              </w:rPr>
              <w:t>second-hand</w:t>
            </w:r>
            <w:r w:rsidRPr="007C12DD">
              <w:rPr>
                <w:sz w:val="16"/>
                <w:szCs w:val="16"/>
                <w:lang w:val="en-US"/>
              </w:rPr>
              <w:t xml:space="preserve"> clothing collection points), recycling companies (plastics, car tires).</w:t>
            </w:r>
          </w:p>
        </w:tc>
      </w:tr>
      <w:tr w:rsidR="00497B20" w:rsidRPr="00AF682F" w14:paraId="0F3CCB9F" w14:textId="77777777" w:rsidTr="000A5D59">
        <w:tc>
          <w:tcPr>
            <w:tcW w:w="1150" w:type="dxa"/>
            <w:vMerge/>
            <w:tcBorders>
              <w:left w:val="nil"/>
              <w:right w:val="nil"/>
            </w:tcBorders>
          </w:tcPr>
          <w:p w14:paraId="02B5ABA5" w14:textId="77777777" w:rsidR="00497B20" w:rsidRPr="007C12DD" w:rsidRDefault="00497B20" w:rsidP="00CB23E3">
            <w:pPr>
              <w:rPr>
                <w:sz w:val="16"/>
                <w:szCs w:val="16"/>
                <w:lang w:val="en-US"/>
              </w:rPr>
            </w:pPr>
          </w:p>
        </w:tc>
        <w:tc>
          <w:tcPr>
            <w:tcW w:w="1260" w:type="dxa"/>
            <w:tcBorders>
              <w:top w:val="single" w:sz="4" w:space="0" w:color="auto"/>
              <w:left w:val="nil"/>
              <w:bottom w:val="single" w:sz="4" w:space="0" w:color="auto"/>
              <w:right w:val="nil"/>
            </w:tcBorders>
          </w:tcPr>
          <w:p w14:paraId="5D55190F" w14:textId="6329A250" w:rsidR="00497B20" w:rsidRPr="007C12DD" w:rsidRDefault="00497B20" w:rsidP="000A5D59">
            <w:pPr>
              <w:rPr>
                <w:sz w:val="16"/>
                <w:szCs w:val="16"/>
                <w:lang w:val="en-US"/>
              </w:rPr>
            </w:pPr>
            <w:r w:rsidRPr="007C12DD">
              <w:rPr>
                <w:b/>
                <w:bCs/>
                <w:sz w:val="16"/>
                <w:szCs w:val="16"/>
                <w:lang w:val="en-US"/>
              </w:rPr>
              <w:t>Medium</w:t>
            </w:r>
            <w:r w:rsidRPr="007C12DD">
              <w:rPr>
                <w:sz w:val="16"/>
                <w:szCs w:val="16"/>
                <w:lang w:val="en-US"/>
              </w:rPr>
              <w:t xml:space="preserve">: erratic but predictable timing and quantities </w:t>
            </w:r>
          </w:p>
        </w:tc>
        <w:tc>
          <w:tcPr>
            <w:tcW w:w="6662" w:type="dxa"/>
            <w:tcBorders>
              <w:top w:val="single" w:sz="4" w:space="0" w:color="auto"/>
              <w:left w:val="nil"/>
              <w:bottom w:val="single" w:sz="4" w:space="0" w:color="auto"/>
              <w:right w:val="nil"/>
            </w:tcBorders>
          </w:tcPr>
          <w:p w14:paraId="24AF31F6" w14:textId="77777777"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Projects</w:t>
            </w:r>
            <w:r w:rsidRPr="007C12DD">
              <w:rPr>
                <w:sz w:val="16"/>
                <w:szCs w:val="16"/>
                <w:lang w:val="en-US"/>
              </w:rPr>
              <w:t>: excavation waste and construction debris from building sites.</w:t>
            </w:r>
          </w:p>
          <w:p w14:paraId="701C7837" w14:textId="0E55EC8C" w:rsidR="00497B20" w:rsidRPr="007C12DD" w:rsidRDefault="00497B20" w:rsidP="00497B20">
            <w:pPr>
              <w:pStyle w:val="ListParagraph"/>
              <w:numPr>
                <w:ilvl w:val="0"/>
                <w:numId w:val="7"/>
              </w:numPr>
              <w:ind w:left="351" w:hanging="284"/>
              <w:rPr>
                <w:sz w:val="16"/>
                <w:szCs w:val="16"/>
                <w:lang w:val="en-US"/>
              </w:rPr>
            </w:pPr>
            <w:r w:rsidRPr="007C12DD">
              <w:rPr>
                <w:b/>
                <w:bCs/>
                <w:sz w:val="16"/>
                <w:szCs w:val="16"/>
                <w:lang w:val="en-US"/>
              </w:rPr>
              <w:t>Seasonal agricultural (harvest) waste</w:t>
            </w:r>
            <w:r w:rsidRPr="007C12DD">
              <w:rPr>
                <w:sz w:val="16"/>
                <w:szCs w:val="16"/>
                <w:lang w:val="en-US"/>
              </w:rPr>
              <w:t>: leaves, stalks, dead plants, organic matter, roots, rice husk, pineapple leaves, coconut shells, coffee shells, tobacco stems, corn waste, coffee cherries, cacao fruit pulp.</w:t>
            </w:r>
          </w:p>
        </w:tc>
      </w:tr>
      <w:tr w:rsidR="00497B20" w:rsidRPr="00AF682F" w14:paraId="1793D2DF" w14:textId="77777777" w:rsidTr="000A5D59">
        <w:tc>
          <w:tcPr>
            <w:tcW w:w="1150" w:type="dxa"/>
            <w:vMerge/>
            <w:tcBorders>
              <w:left w:val="nil"/>
              <w:bottom w:val="nil"/>
              <w:right w:val="nil"/>
            </w:tcBorders>
          </w:tcPr>
          <w:p w14:paraId="2A5C4D22" w14:textId="77777777" w:rsidR="00497B20" w:rsidRPr="007C12DD" w:rsidRDefault="00497B20" w:rsidP="00CB23E3">
            <w:pPr>
              <w:rPr>
                <w:sz w:val="16"/>
                <w:szCs w:val="16"/>
                <w:lang w:val="en-US"/>
              </w:rPr>
            </w:pPr>
          </w:p>
        </w:tc>
        <w:tc>
          <w:tcPr>
            <w:tcW w:w="1260" w:type="dxa"/>
            <w:tcBorders>
              <w:top w:val="single" w:sz="4" w:space="0" w:color="auto"/>
              <w:left w:val="nil"/>
              <w:bottom w:val="single" w:sz="4" w:space="0" w:color="auto"/>
              <w:right w:val="nil"/>
            </w:tcBorders>
          </w:tcPr>
          <w:p w14:paraId="71F3C9B5" w14:textId="12D80E04" w:rsidR="00497B20" w:rsidRPr="007C12DD" w:rsidRDefault="00497B20" w:rsidP="000A5D59">
            <w:pPr>
              <w:rPr>
                <w:sz w:val="16"/>
                <w:szCs w:val="16"/>
                <w:lang w:val="en-US"/>
              </w:rPr>
            </w:pPr>
            <w:r w:rsidRPr="007C12DD">
              <w:rPr>
                <w:b/>
                <w:bCs/>
                <w:sz w:val="16"/>
                <w:szCs w:val="16"/>
                <w:lang w:val="en-US"/>
              </w:rPr>
              <w:t>Low</w:t>
            </w:r>
            <w:r w:rsidRPr="007C12DD">
              <w:rPr>
                <w:sz w:val="16"/>
                <w:szCs w:val="16"/>
                <w:lang w:val="en-US"/>
              </w:rPr>
              <w:t xml:space="preserve">: erratic and unpredictable </w:t>
            </w:r>
            <w:r w:rsidR="00542563" w:rsidRPr="007C12DD">
              <w:rPr>
                <w:sz w:val="16"/>
                <w:szCs w:val="16"/>
                <w:lang w:val="en-US"/>
              </w:rPr>
              <w:t>timing and/or quantities</w:t>
            </w:r>
          </w:p>
        </w:tc>
        <w:tc>
          <w:tcPr>
            <w:tcW w:w="6662" w:type="dxa"/>
            <w:tcBorders>
              <w:top w:val="single" w:sz="4" w:space="0" w:color="auto"/>
              <w:left w:val="nil"/>
              <w:bottom w:val="single" w:sz="4" w:space="0" w:color="auto"/>
              <w:right w:val="nil"/>
            </w:tcBorders>
          </w:tcPr>
          <w:p w14:paraId="308E1573" w14:textId="639ABAEB"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US"/>
              </w:rPr>
              <w:t>End-of life consumer products (not sourced through an intermediary)</w:t>
            </w:r>
            <w:r w:rsidRPr="007C12DD">
              <w:rPr>
                <w:sz w:val="16"/>
                <w:szCs w:val="16"/>
                <w:lang w:val="en-US"/>
              </w:rPr>
              <w:t>: phones, hard drives, laptops, airplanes, helicopters, wind turbine blades, data cente</w:t>
            </w:r>
            <w:r w:rsidR="007C12DD">
              <w:rPr>
                <w:sz w:val="16"/>
                <w:szCs w:val="16"/>
                <w:lang w:val="en-US"/>
              </w:rPr>
              <w:t>r</w:t>
            </w:r>
            <w:r w:rsidRPr="007C12DD">
              <w:rPr>
                <w:sz w:val="16"/>
                <w:szCs w:val="16"/>
                <w:lang w:val="en-GB"/>
              </w:rPr>
              <w:t xml:space="preserve"> equipment, cars, car batteries.</w:t>
            </w:r>
          </w:p>
          <w:p w14:paraId="55D99772" w14:textId="77777777"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Unpredictable agricultural waste</w:t>
            </w:r>
            <w:r w:rsidRPr="007C12DD">
              <w:rPr>
                <w:sz w:val="16"/>
                <w:szCs w:val="16"/>
                <w:lang w:val="en-GB"/>
              </w:rPr>
              <w:t>: expired milk and excess milk from farmers, overproduction of fruits and vegetables.</w:t>
            </w:r>
          </w:p>
        </w:tc>
      </w:tr>
      <w:tr w:rsidR="00497B20" w:rsidRPr="00AF682F" w14:paraId="1C90AA76" w14:textId="77777777" w:rsidTr="000A5D59">
        <w:tc>
          <w:tcPr>
            <w:tcW w:w="1150" w:type="dxa"/>
            <w:vMerge w:val="restart"/>
            <w:tcBorders>
              <w:left w:val="nil"/>
              <w:right w:val="nil"/>
            </w:tcBorders>
            <w:shd w:val="clear" w:color="auto" w:fill="auto"/>
          </w:tcPr>
          <w:p w14:paraId="1D0D826A" w14:textId="6126CD06" w:rsidR="00497B20" w:rsidRPr="007C12DD" w:rsidRDefault="00295B22" w:rsidP="00CB23E3">
            <w:pPr>
              <w:rPr>
                <w:sz w:val="16"/>
                <w:szCs w:val="16"/>
                <w:lang w:val="en-GB"/>
              </w:rPr>
            </w:pPr>
            <w:r w:rsidRPr="007C12DD">
              <w:rPr>
                <w:sz w:val="16"/>
                <w:szCs w:val="16"/>
                <w:lang w:val="en-GB"/>
              </w:rPr>
              <w:t>Ins</w:t>
            </w:r>
            <w:r w:rsidR="00497B20" w:rsidRPr="007C12DD">
              <w:rPr>
                <w:sz w:val="16"/>
                <w:szCs w:val="16"/>
                <w:lang w:val="en-GB"/>
              </w:rPr>
              <w:t>ufficient quantity</w:t>
            </w:r>
          </w:p>
        </w:tc>
        <w:tc>
          <w:tcPr>
            <w:tcW w:w="1260" w:type="dxa"/>
            <w:tcBorders>
              <w:top w:val="single" w:sz="4" w:space="0" w:color="auto"/>
              <w:left w:val="nil"/>
              <w:bottom w:val="single" w:sz="4" w:space="0" w:color="auto"/>
              <w:right w:val="nil"/>
            </w:tcBorders>
            <w:shd w:val="clear" w:color="auto" w:fill="auto"/>
          </w:tcPr>
          <w:p w14:paraId="2A50E856" w14:textId="6739CE70" w:rsidR="00497B20" w:rsidRPr="007C12DD" w:rsidRDefault="00497B20" w:rsidP="00CB23E3">
            <w:pPr>
              <w:rPr>
                <w:sz w:val="16"/>
                <w:szCs w:val="16"/>
                <w:lang w:val="en-GB"/>
              </w:rPr>
            </w:pPr>
            <w:r w:rsidRPr="007C12DD">
              <w:rPr>
                <w:sz w:val="16"/>
                <w:szCs w:val="16"/>
                <w:lang w:val="en-GB"/>
              </w:rPr>
              <w:t xml:space="preserve">Many sources </w:t>
            </w:r>
          </w:p>
          <w:p w14:paraId="7CEDFE2F" w14:textId="77777777" w:rsidR="00497B20" w:rsidRPr="007C12DD" w:rsidRDefault="00497B20" w:rsidP="00CB23E3">
            <w:pPr>
              <w:rPr>
                <w:sz w:val="16"/>
                <w:szCs w:val="16"/>
                <w:lang w:val="en-GB"/>
              </w:rPr>
            </w:pPr>
          </w:p>
        </w:tc>
        <w:tc>
          <w:tcPr>
            <w:tcW w:w="6662" w:type="dxa"/>
            <w:tcBorders>
              <w:top w:val="single" w:sz="4" w:space="0" w:color="auto"/>
              <w:left w:val="nil"/>
              <w:bottom w:val="single" w:sz="4" w:space="0" w:color="auto"/>
              <w:right w:val="nil"/>
            </w:tcBorders>
            <w:shd w:val="clear" w:color="auto" w:fill="auto"/>
          </w:tcPr>
          <w:p w14:paraId="513D5433" w14:textId="77777777"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Consumers</w:t>
            </w:r>
            <w:r w:rsidRPr="007C12DD">
              <w:rPr>
                <w:sz w:val="16"/>
                <w:szCs w:val="16"/>
                <w:lang w:val="en-GB"/>
              </w:rPr>
              <w:t>: food waste, phones, laptops, t-shirts, cars, car batteries.</w:t>
            </w:r>
          </w:p>
          <w:p w14:paraId="38D3FD92" w14:textId="3CE1D863"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Common production waste</w:t>
            </w:r>
            <w:r w:rsidRPr="007C12DD">
              <w:rPr>
                <w:sz w:val="16"/>
                <w:szCs w:val="16"/>
                <w:lang w:val="en-GB"/>
              </w:rPr>
              <w:t xml:space="preserve">: </w:t>
            </w:r>
            <w:r w:rsidR="003C7D1C">
              <w:rPr>
                <w:sz w:val="16"/>
                <w:szCs w:val="16"/>
                <w:lang w:val="en-GB"/>
              </w:rPr>
              <w:t xml:space="preserve">waste from </w:t>
            </w:r>
            <w:r w:rsidRPr="007C12DD">
              <w:rPr>
                <w:sz w:val="16"/>
                <w:szCs w:val="16"/>
                <w:lang w:val="en-GB"/>
              </w:rPr>
              <w:t>farms, fisherm</w:t>
            </w:r>
            <w:r w:rsidR="003C7D1C">
              <w:rPr>
                <w:sz w:val="16"/>
                <w:szCs w:val="16"/>
                <w:lang w:val="en-GB"/>
              </w:rPr>
              <w:t>e</w:t>
            </w:r>
            <w:r w:rsidRPr="007C12DD">
              <w:rPr>
                <w:sz w:val="16"/>
                <w:szCs w:val="16"/>
                <w:lang w:val="en-GB"/>
              </w:rPr>
              <w:t xml:space="preserve">n, </w:t>
            </w:r>
            <w:proofErr w:type="gramStart"/>
            <w:r w:rsidRPr="007C12DD">
              <w:rPr>
                <w:sz w:val="16"/>
                <w:szCs w:val="16"/>
                <w:lang w:val="en-GB"/>
              </w:rPr>
              <w:t>bars</w:t>
            </w:r>
            <w:proofErr w:type="gramEnd"/>
            <w:r w:rsidR="003C7D1C">
              <w:rPr>
                <w:sz w:val="16"/>
                <w:szCs w:val="16"/>
                <w:lang w:val="en-GB"/>
              </w:rPr>
              <w:t xml:space="preserve"> and</w:t>
            </w:r>
            <w:r w:rsidRPr="007C12DD">
              <w:rPr>
                <w:sz w:val="16"/>
                <w:szCs w:val="16"/>
                <w:lang w:val="en-GB"/>
              </w:rPr>
              <w:t xml:space="preserve"> construction sites. </w:t>
            </w:r>
          </w:p>
          <w:p w14:paraId="37B3AA19" w14:textId="7BE687DD"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Common intermediaries for waste collection</w:t>
            </w:r>
            <w:r w:rsidRPr="007C12DD">
              <w:rPr>
                <w:sz w:val="16"/>
                <w:szCs w:val="16"/>
                <w:lang w:val="en-GB"/>
              </w:rPr>
              <w:t>: retailers (e.g.</w:t>
            </w:r>
            <w:r w:rsidR="007C72DF">
              <w:rPr>
                <w:sz w:val="16"/>
                <w:szCs w:val="16"/>
                <w:lang w:val="en-GB"/>
              </w:rPr>
              <w:t>,</w:t>
            </w:r>
            <w:r w:rsidRPr="007C12DD">
              <w:rPr>
                <w:sz w:val="16"/>
                <w:szCs w:val="16"/>
                <w:lang w:val="en-GB"/>
              </w:rPr>
              <w:t xml:space="preserve"> returned electronics) and charities for </w:t>
            </w:r>
            <w:r w:rsidR="005335AD" w:rsidRPr="007C12DD">
              <w:rPr>
                <w:sz w:val="16"/>
                <w:szCs w:val="16"/>
                <w:lang w:val="en-GB"/>
              </w:rPr>
              <w:t>second</w:t>
            </w:r>
            <w:r w:rsidR="00161533">
              <w:rPr>
                <w:sz w:val="16"/>
                <w:szCs w:val="16"/>
                <w:lang w:val="en-GB"/>
              </w:rPr>
              <w:t>-</w:t>
            </w:r>
            <w:r w:rsidR="005335AD" w:rsidRPr="007C12DD">
              <w:rPr>
                <w:sz w:val="16"/>
                <w:szCs w:val="16"/>
                <w:lang w:val="en-GB"/>
              </w:rPr>
              <w:t>hand</w:t>
            </w:r>
            <w:r w:rsidRPr="007C12DD">
              <w:rPr>
                <w:sz w:val="16"/>
                <w:szCs w:val="16"/>
                <w:lang w:val="en-GB"/>
              </w:rPr>
              <w:t xml:space="preserve"> clothing.  </w:t>
            </w:r>
          </w:p>
          <w:p w14:paraId="029155AE" w14:textId="77777777"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Common service sector waste</w:t>
            </w:r>
            <w:r w:rsidRPr="007C12DD">
              <w:rPr>
                <w:sz w:val="16"/>
                <w:szCs w:val="16"/>
                <w:lang w:val="en-GB"/>
              </w:rPr>
              <w:t>: Food waste from supermarkets, bars, bakeries, green grocers, restaurants, schools, canteens, and computers and phones from companies.</w:t>
            </w:r>
          </w:p>
        </w:tc>
      </w:tr>
      <w:tr w:rsidR="00497B20" w:rsidRPr="00AF682F" w14:paraId="101450A6" w14:textId="77777777" w:rsidTr="000A5D59">
        <w:tc>
          <w:tcPr>
            <w:tcW w:w="1150" w:type="dxa"/>
            <w:vMerge/>
            <w:tcBorders>
              <w:left w:val="nil"/>
              <w:right w:val="nil"/>
            </w:tcBorders>
            <w:shd w:val="clear" w:color="auto" w:fill="auto"/>
          </w:tcPr>
          <w:p w14:paraId="74E837D3" w14:textId="77777777" w:rsidR="00497B20" w:rsidRPr="007C12DD" w:rsidRDefault="00497B20" w:rsidP="00CB23E3">
            <w:pPr>
              <w:rPr>
                <w:sz w:val="16"/>
                <w:szCs w:val="16"/>
                <w:lang w:val="en-GB"/>
              </w:rPr>
            </w:pPr>
          </w:p>
        </w:tc>
        <w:tc>
          <w:tcPr>
            <w:tcW w:w="1260" w:type="dxa"/>
            <w:tcBorders>
              <w:top w:val="single" w:sz="4" w:space="0" w:color="auto"/>
              <w:left w:val="nil"/>
              <w:bottom w:val="single" w:sz="4" w:space="0" w:color="auto"/>
              <w:right w:val="nil"/>
            </w:tcBorders>
            <w:shd w:val="clear" w:color="auto" w:fill="auto"/>
          </w:tcPr>
          <w:p w14:paraId="0BB28B06" w14:textId="02DFB7C2" w:rsidR="00497B20" w:rsidRPr="007C12DD" w:rsidRDefault="00497B20" w:rsidP="00CB23E3">
            <w:pPr>
              <w:rPr>
                <w:sz w:val="16"/>
                <w:szCs w:val="16"/>
                <w:lang w:val="en-GB"/>
              </w:rPr>
            </w:pPr>
            <w:r w:rsidRPr="007C12DD">
              <w:rPr>
                <w:sz w:val="16"/>
                <w:szCs w:val="16"/>
                <w:lang w:val="en-GB"/>
              </w:rPr>
              <w:t>Few</w:t>
            </w:r>
            <w:r w:rsidR="00542563" w:rsidRPr="007C12DD">
              <w:rPr>
                <w:sz w:val="16"/>
                <w:szCs w:val="16"/>
                <w:lang w:val="en-GB"/>
              </w:rPr>
              <w:t xml:space="preserve"> but large</w:t>
            </w:r>
            <w:r w:rsidRPr="007C12DD">
              <w:rPr>
                <w:sz w:val="16"/>
                <w:szCs w:val="16"/>
                <w:lang w:val="en-GB"/>
              </w:rPr>
              <w:t xml:space="preserve"> sources</w:t>
            </w:r>
          </w:p>
          <w:p w14:paraId="5B8C11E9" w14:textId="77777777" w:rsidR="00497B20" w:rsidRPr="007C12DD" w:rsidRDefault="00497B20" w:rsidP="00CB23E3">
            <w:pPr>
              <w:rPr>
                <w:sz w:val="16"/>
                <w:szCs w:val="16"/>
                <w:lang w:val="en-GB"/>
              </w:rPr>
            </w:pPr>
          </w:p>
        </w:tc>
        <w:tc>
          <w:tcPr>
            <w:tcW w:w="6662" w:type="dxa"/>
            <w:tcBorders>
              <w:top w:val="single" w:sz="4" w:space="0" w:color="auto"/>
              <w:left w:val="nil"/>
              <w:bottom w:val="single" w:sz="4" w:space="0" w:color="auto"/>
              <w:right w:val="nil"/>
            </w:tcBorders>
            <w:shd w:val="clear" w:color="auto" w:fill="auto"/>
          </w:tcPr>
          <w:p w14:paraId="27980258" w14:textId="00947914"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Specialized industries</w:t>
            </w:r>
            <w:r w:rsidRPr="007C12DD">
              <w:rPr>
                <w:sz w:val="16"/>
                <w:szCs w:val="16"/>
                <w:lang w:val="en-GB"/>
              </w:rPr>
              <w:t>: leather, ski skins, leather shoe</w:t>
            </w:r>
            <w:r w:rsidR="003C7D1C">
              <w:rPr>
                <w:sz w:val="16"/>
                <w:szCs w:val="16"/>
                <w:lang w:val="en-GB"/>
              </w:rPr>
              <w:t>s and s</w:t>
            </w:r>
            <w:r w:rsidRPr="007C12DD">
              <w:rPr>
                <w:sz w:val="16"/>
                <w:szCs w:val="16"/>
                <w:lang w:val="en-GB"/>
              </w:rPr>
              <w:t>nowboard jacket</w:t>
            </w:r>
            <w:r w:rsidR="003C7D1C">
              <w:rPr>
                <w:sz w:val="16"/>
                <w:szCs w:val="16"/>
                <w:lang w:val="en-GB"/>
              </w:rPr>
              <w:t>s manufacturers</w:t>
            </w:r>
          </w:p>
          <w:p w14:paraId="0D9EB6A0" w14:textId="1E562882"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Specialized food process industry</w:t>
            </w:r>
            <w:r w:rsidRPr="007C12DD">
              <w:rPr>
                <w:sz w:val="16"/>
                <w:szCs w:val="16"/>
                <w:lang w:val="en-GB"/>
              </w:rPr>
              <w:t>: orange juice, sunflower oil, meat processing, breweries, soy milk, hummus, whiskey</w:t>
            </w:r>
            <w:r w:rsidR="003C7D1C">
              <w:rPr>
                <w:sz w:val="16"/>
                <w:szCs w:val="16"/>
                <w:lang w:val="en-GB"/>
              </w:rPr>
              <w:t xml:space="preserve"> producers</w:t>
            </w:r>
            <w:r w:rsidRPr="007C12DD">
              <w:rPr>
                <w:sz w:val="16"/>
                <w:szCs w:val="16"/>
                <w:lang w:val="en-GB"/>
              </w:rPr>
              <w:t>.</w:t>
            </w:r>
          </w:p>
          <w:p w14:paraId="1CD0C4A3" w14:textId="03BFB336"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Other</w:t>
            </w:r>
            <w:r w:rsidRPr="007C12DD">
              <w:rPr>
                <w:sz w:val="16"/>
                <w:szCs w:val="16"/>
                <w:lang w:val="en-GB"/>
              </w:rPr>
              <w:t>: festivals, billboard advertisement agencies, marble min</w:t>
            </w:r>
            <w:r w:rsidR="003C7D1C">
              <w:rPr>
                <w:sz w:val="16"/>
                <w:szCs w:val="16"/>
                <w:lang w:val="en-GB"/>
              </w:rPr>
              <w:t>es</w:t>
            </w:r>
            <w:r w:rsidRPr="007C12DD">
              <w:rPr>
                <w:sz w:val="16"/>
                <w:szCs w:val="16"/>
                <w:lang w:val="en-GB"/>
              </w:rPr>
              <w:t>, stone quarries</w:t>
            </w:r>
            <w:r w:rsidR="007C12DD">
              <w:rPr>
                <w:sz w:val="16"/>
                <w:szCs w:val="16"/>
                <w:lang w:val="en-GB"/>
              </w:rPr>
              <w:t>,</w:t>
            </w:r>
            <w:r w:rsidRPr="007C12DD">
              <w:rPr>
                <w:sz w:val="16"/>
                <w:szCs w:val="16"/>
                <w:lang w:val="en-GB"/>
              </w:rPr>
              <w:t xml:space="preserve"> data</w:t>
            </w:r>
            <w:r w:rsidR="007C12DD">
              <w:rPr>
                <w:sz w:val="16"/>
                <w:szCs w:val="16"/>
                <w:lang w:val="en-GB"/>
              </w:rPr>
              <w:t xml:space="preserve"> </w:t>
            </w:r>
            <w:r w:rsidR="001D4D06" w:rsidRPr="007C12DD">
              <w:rPr>
                <w:sz w:val="16"/>
                <w:szCs w:val="16"/>
                <w:lang w:val="en-GB"/>
              </w:rPr>
              <w:t>centr</w:t>
            </w:r>
            <w:r w:rsidR="001D4D06">
              <w:rPr>
                <w:sz w:val="16"/>
                <w:szCs w:val="16"/>
                <w:lang w:val="en-GB"/>
              </w:rPr>
              <w:t>es</w:t>
            </w:r>
            <w:r w:rsidRPr="007C12DD">
              <w:rPr>
                <w:sz w:val="16"/>
                <w:szCs w:val="16"/>
                <w:lang w:val="en-GB"/>
              </w:rPr>
              <w:t>, airlines, wind park exploiters, large online retailers (Amazon), army.</w:t>
            </w:r>
          </w:p>
        </w:tc>
      </w:tr>
      <w:tr w:rsidR="00497B20" w:rsidRPr="007C12DD" w14:paraId="5862A5F6" w14:textId="77777777" w:rsidTr="000A5D59">
        <w:tc>
          <w:tcPr>
            <w:tcW w:w="1150" w:type="dxa"/>
            <w:vMerge/>
            <w:tcBorders>
              <w:left w:val="nil"/>
              <w:right w:val="nil"/>
            </w:tcBorders>
            <w:shd w:val="clear" w:color="auto" w:fill="auto"/>
          </w:tcPr>
          <w:p w14:paraId="7666A2F4" w14:textId="77777777" w:rsidR="00497B20" w:rsidRPr="007C12DD" w:rsidRDefault="00497B20" w:rsidP="00CB23E3">
            <w:pPr>
              <w:rPr>
                <w:sz w:val="16"/>
                <w:szCs w:val="16"/>
                <w:lang w:val="en-GB"/>
              </w:rPr>
            </w:pPr>
          </w:p>
        </w:tc>
        <w:tc>
          <w:tcPr>
            <w:tcW w:w="1260" w:type="dxa"/>
            <w:tcBorders>
              <w:top w:val="single" w:sz="4" w:space="0" w:color="auto"/>
              <w:left w:val="nil"/>
              <w:bottom w:val="single" w:sz="4" w:space="0" w:color="auto"/>
              <w:right w:val="nil"/>
            </w:tcBorders>
            <w:shd w:val="clear" w:color="auto" w:fill="auto"/>
          </w:tcPr>
          <w:p w14:paraId="7087402E" w14:textId="059E7883" w:rsidR="00497B20" w:rsidRPr="007C12DD" w:rsidRDefault="00497B20" w:rsidP="00542563">
            <w:pPr>
              <w:rPr>
                <w:sz w:val="16"/>
                <w:szCs w:val="16"/>
                <w:lang w:val="en-GB"/>
              </w:rPr>
            </w:pPr>
            <w:r w:rsidRPr="007C12DD">
              <w:rPr>
                <w:sz w:val="16"/>
                <w:szCs w:val="16"/>
                <w:lang w:val="en-GB"/>
              </w:rPr>
              <w:t>Few and small</w:t>
            </w:r>
            <w:r w:rsidR="00542563" w:rsidRPr="007C12DD">
              <w:rPr>
                <w:sz w:val="16"/>
                <w:szCs w:val="16"/>
                <w:lang w:val="en-GB"/>
              </w:rPr>
              <w:t xml:space="preserve"> sources</w:t>
            </w:r>
          </w:p>
        </w:tc>
        <w:tc>
          <w:tcPr>
            <w:tcW w:w="6662" w:type="dxa"/>
            <w:tcBorders>
              <w:top w:val="single" w:sz="4" w:space="0" w:color="auto"/>
              <w:left w:val="nil"/>
              <w:bottom w:val="single" w:sz="4" w:space="0" w:color="auto"/>
              <w:right w:val="nil"/>
            </w:tcBorders>
            <w:shd w:val="clear" w:color="auto" w:fill="auto"/>
          </w:tcPr>
          <w:p w14:paraId="0FB61C26" w14:textId="3D1BB984" w:rsidR="00497B20" w:rsidRPr="007C12DD" w:rsidRDefault="00507837" w:rsidP="00497B20">
            <w:pPr>
              <w:pStyle w:val="ListParagraph"/>
              <w:numPr>
                <w:ilvl w:val="0"/>
                <w:numId w:val="7"/>
              </w:numPr>
              <w:ind w:left="351" w:hanging="284"/>
              <w:rPr>
                <w:b/>
                <w:bCs/>
                <w:sz w:val="16"/>
                <w:szCs w:val="16"/>
                <w:lang w:val="en-GB"/>
              </w:rPr>
            </w:pPr>
            <w:r w:rsidRPr="007C12DD">
              <w:rPr>
                <w:sz w:val="16"/>
                <w:szCs w:val="16"/>
                <w:lang w:val="en-GB"/>
              </w:rPr>
              <w:t>No examples found</w:t>
            </w:r>
            <w:r w:rsidR="00E83C2F" w:rsidRPr="007C12DD">
              <w:rPr>
                <w:sz w:val="16"/>
                <w:szCs w:val="16"/>
                <w:lang w:val="en-GB"/>
              </w:rPr>
              <w:t>.</w:t>
            </w:r>
          </w:p>
        </w:tc>
      </w:tr>
      <w:tr w:rsidR="00497B20" w:rsidRPr="00AF682F" w14:paraId="287D76D7" w14:textId="77777777" w:rsidTr="000A5D59">
        <w:tc>
          <w:tcPr>
            <w:tcW w:w="1150" w:type="dxa"/>
            <w:vMerge w:val="restart"/>
            <w:tcBorders>
              <w:top w:val="single" w:sz="4" w:space="0" w:color="auto"/>
              <w:left w:val="nil"/>
              <w:right w:val="nil"/>
            </w:tcBorders>
            <w:shd w:val="clear" w:color="auto" w:fill="auto"/>
          </w:tcPr>
          <w:p w14:paraId="5B85A522" w14:textId="5A8FD8A6" w:rsidR="00497B20" w:rsidRPr="007C12DD" w:rsidRDefault="00497B20" w:rsidP="00CB23E3">
            <w:pPr>
              <w:rPr>
                <w:sz w:val="16"/>
                <w:szCs w:val="16"/>
                <w:lang w:val="en-GB"/>
              </w:rPr>
            </w:pPr>
            <w:r w:rsidRPr="007C12DD">
              <w:rPr>
                <w:sz w:val="16"/>
                <w:szCs w:val="16"/>
                <w:lang w:val="en-GB"/>
              </w:rPr>
              <w:t xml:space="preserve">Value of the </w:t>
            </w:r>
            <w:r w:rsidR="00295B22" w:rsidRPr="007C12DD">
              <w:rPr>
                <w:sz w:val="16"/>
                <w:szCs w:val="16"/>
                <w:lang w:val="en-GB"/>
              </w:rPr>
              <w:t xml:space="preserve">used </w:t>
            </w:r>
            <w:r w:rsidRPr="007C12DD">
              <w:rPr>
                <w:sz w:val="16"/>
                <w:szCs w:val="16"/>
                <w:lang w:val="en-GB"/>
              </w:rPr>
              <w:t>product</w:t>
            </w:r>
          </w:p>
          <w:p w14:paraId="311CF03B" w14:textId="77777777" w:rsidR="00497B20" w:rsidRPr="007C12DD" w:rsidRDefault="00497B20" w:rsidP="00CB23E3">
            <w:pPr>
              <w:rPr>
                <w:sz w:val="16"/>
                <w:szCs w:val="16"/>
                <w:lang w:val="en-GB"/>
              </w:rPr>
            </w:pPr>
          </w:p>
        </w:tc>
        <w:tc>
          <w:tcPr>
            <w:tcW w:w="1260" w:type="dxa"/>
            <w:tcBorders>
              <w:top w:val="single" w:sz="4" w:space="0" w:color="auto"/>
              <w:left w:val="nil"/>
              <w:bottom w:val="single" w:sz="4" w:space="0" w:color="auto"/>
              <w:right w:val="nil"/>
            </w:tcBorders>
            <w:shd w:val="clear" w:color="auto" w:fill="auto"/>
          </w:tcPr>
          <w:p w14:paraId="3E38C9F8" w14:textId="061099B2" w:rsidR="00497B20" w:rsidRPr="007C12DD" w:rsidRDefault="00542563" w:rsidP="00CB23E3">
            <w:pPr>
              <w:rPr>
                <w:sz w:val="16"/>
                <w:szCs w:val="16"/>
                <w:lang w:val="en-GB"/>
              </w:rPr>
            </w:pPr>
            <w:r w:rsidRPr="007C12DD">
              <w:rPr>
                <w:sz w:val="16"/>
                <w:szCs w:val="16"/>
                <w:lang w:val="en-GB"/>
              </w:rPr>
              <w:t>Low</w:t>
            </w:r>
          </w:p>
        </w:tc>
        <w:tc>
          <w:tcPr>
            <w:tcW w:w="6662" w:type="dxa"/>
            <w:tcBorders>
              <w:top w:val="single" w:sz="4" w:space="0" w:color="auto"/>
              <w:left w:val="nil"/>
              <w:bottom w:val="single" w:sz="4" w:space="0" w:color="auto"/>
              <w:right w:val="nil"/>
            </w:tcBorders>
            <w:shd w:val="clear" w:color="auto" w:fill="auto"/>
          </w:tcPr>
          <w:p w14:paraId="23A91453" w14:textId="54CDB58E" w:rsidR="00497B20" w:rsidRPr="007C12DD" w:rsidRDefault="00542563" w:rsidP="00497B20">
            <w:pPr>
              <w:pStyle w:val="ListParagraph"/>
              <w:numPr>
                <w:ilvl w:val="0"/>
                <w:numId w:val="7"/>
              </w:numPr>
              <w:ind w:left="351" w:hanging="284"/>
              <w:rPr>
                <w:sz w:val="16"/>
                <w:szCs w:val="16"/>
                <w:lang w:val="en-GB"/>
              </w:rPr>
            </w:pPr>
            <w:r w:rsidRPr="007C12DD">
              <w:rPr>
                <w:b/>
                <w:bCs/>
                <w:sz w:val="16"/>
                <w:szCs w:val="16"/>
                <w:lang w:val="en-GB"/>
              </w:rPr>
              <w:t>Negative or neglectable value</w:t>
            </w:r>
            <w:r w:rsidR="00497B20" w:rsidRPr="007C12DD">
              <w:rPr>
                <w:sz w:val="16"/>
                <w:szCs w:val="16"/>
                <w:lang w:val="en-GB"/>
              </w:rPr>
              <w:t>: food waste, mixed plastic waste, used fishing nets, waste streams from the processing industry (pulp, spent barley), cutting waste and scraps from the fashion industry (leather, fabrics, cotton, yarn), chopsticks, marble dust, cardboard, gravel.</w:t>
            </w:r>
          </w:p>
        </w:tc>
      </w:tr>
      <w:tr w:rsidR="00497B20" w:rsidRPr="00AF682F" w14:paraId="4192780C" w14:textId="77777777" w:rsidTr="000A5D59">
        <w:tc>
          <w:tcPr>
            <w:tcW w:w="1150" w:type="dxa"/>
            <w:vMerge/>
            <w:tcBorders>
              <w:left w:val="nil"/>
              <w:right w:val="nil"/>
            </w:tcBorders>
            <w:shd w:val="clear" w:color="auto" w:fill="auto"/>
          </w:tcPr>
          <w:p w14:paraId="7044E2E8" w14:textId="77777777" w:rsidR="00497B20" w:rsidRPr="007C12DD" w:rsidRDefault="00497B20" w:rsidP="00CB23E3">
            <w:pPr>
              <w:rPr>
                <w:sz w:val="16"/>
                <w:szCs w:val="16"/>
                <w:lang w:val="en-GB"/>
              </w:rPr>
            </w:pPr>
          </w:p>
        </w:tc>
        <w:tc>
          <w:tcPr>
            <w:tcW w:w="1260" w:type="dxa"/>
            <w:tcBorders>
              <w:top w:val="single" w:sz="4" w:space="0" w:color="auto"/>
              <w:left w:val="nil"/>
              <w:bottom w:val="single" w:sz="4" w:space="0" w:color="auto"/>
              <w:right w:val="nil"/>
            </w:tcBorders>
            <w:shd w:val="clear" w:color="auto" w:fill="auto"/>
          </w:tcPr>
          <w:p w14:paraId="1DC1BF17" w14:textId="230A4983" w:rsidR="00497B20" w:rsidRPr="007C12DD" w:rsidRDefault="00497B20" w:rsidP="00CB23E3">
            <w:pPr>
              <w:rPr>
                <w:sz w:val="16"/>
                <w:szCs w:val="16"/>
                <w:lang w:val="en-GB"/>
              </w:rPr>
            </w:pPr>
            <w:r w:rsidRPr="007C12DD">
              <w:rPr>
                <w:sz w:val="16"/>
                <w:szCs w:val="16"/>
                <w:lang w:val="en-GB"/>
              </w:rPr>
              <w:t>Medium</w:t>
            </w:r>
            <w:r w:rsidR="00542563" w:rsidRPr="007C12DD">
              <w:rPr>
                <w:sz w:val="16"/>
                <w:szCs w:val="16"/>
                <w:lang w:val="en-GB"/>
              </w:rPr>
              <w:t xml:space="preserve"> </w:t>
            </w:r>
          </w:p>
        </w:tc>
        <w:tc>
          <w:tcPr>
            <w:tcW w:w="6662" w:type="dxa"/>
            <w:tcBorders>
              <w:top w:val="single" w:sz="4" w:space="0" w:color="auto"/>
              <w:left w:val="nil"/>
              <w:bottom w:val="single" w:sz="4" w:space="0" w:color="auto"/>
              <w:right w:val="nil"/>
            </w:tcBorders>
            <w:shd w:val="clear" w:color="auto" w:fill="auto"/>
          </w:tcPr>
          <w:p w14:paraId="2CCCA2E8" w14:textId="55F71422" w:rsidR="00497B20" w:rsidRPr="007C12DD" w:rsidRDefault="00542563" w:rsidP="00497B20">
            <w:pPr>
              <w:pStyle w:val="ListParagraph"/>
              <w:numPr>
                <w:ilvl w:val="0"/>
                <w:numId w:val="7"/>
              </w:numPr>
              <w:ind w:left="351" w:hanging="284"/>
              <w:rPr>
                <w:sz w:val="16"/>
                <w:szCs w:val="16"/>
                <w:lang w:val="en-GB"/>
              </w:rPr>
            </w:pPr>
            <w:r w:rsidRPr="007C12DD">
              <w:rPr>
                <w:b/>
                <w:bCs/>
                <w:sz w:val="16"/>
                <w:szCs w:val="16"/>
                <w:lang w:val="en-GB"/>
              </w:rPr>
              <w:t>Products with a low market value</w:t>
            </w:r>
            <w:r w:rsidRPr="007C12DD">
              <w:rPr>
                <w:sz w:val="16"/>
                <w:szCs w:val="16"/>
                <w:lang w:val="en-GB"/>
              </w:rPr>
              <w:t>: s</w:t>
            </w:r>
            <w:r w:rsidR="00497B20" w:rsidRPr="007C12DD">
              <w:rPr>
                <w:sz w:val="16"/>
                <w:szCs w:val="16"/>
                <w:lang w:val="en-GB"/>
              </w:rPr>
              <w:t>orted plastic with a market (e.g.</w:t>
            </w:r>
            <w:r w:rsidR="007C72DF">
              <w:rPr>
                <w:sz w:val="16"/>
                <w:szCs w:val="16"/>
                <w:lang w:val="en-GB"/>
              </w:rPr>
              <w:t>,</w:t>
            </w:r>
            <w:r w:rsidR="00497B20" w:rsidRPr="007C12DD">
              <w:rPr>
                <w:sz w:val="16"/>
                <w:szCs w:val="16"/>
                <w:lang w:val="en-GB"/>
              </w:rPr>
              <w:t xml:space="preserve"> PET, HDPE), used car tires, second</w:t>
            </w:r>
            <w:r w:rsidR="00161533">
              <w:rPr>
                <w:sz w:val="16"/>
                <w:szCs w:val="16"/>
                <w:lang w:val="en-GB"/>
              </w:rPr>
              <w:t>-</w:t>
            </w:r>
            <w:r w:rsidR="00497B20" w:rsidRPr="007C12DD">
              <w:rPr>
                <w:sz w:val="16"/>
                <w:szCs w:val="16"/>
                <w:lang w:val="en-GB"/>
              </w:rPr>
              <w:t>hand clothing</w:t>
            </w:r>
            <w:r w:rsidRPr="007C12DD">
              <w:rPr>
                <w:sz w:val="16"/>
                <w:szCs w:val="16"/>
                <w:lang w:val="en-GB"/>
              </w:rPr>
              <w:t>.</w:t>
            </w:r>
          </w:p>
        </w:tc>
      </w:tr>
      <w:tr w:rsidR="00497B20" w:rsidRPr="00AF682F" w14:paraId="5DD7AAF2" w14:textId="77777777" w:rsidTr="000A5D59">
        <w:tc>
          <w:tcPr>
            <w:tcW w:w="1150" w:type="dxa"/>
            <w:vMerge/>
            <w:tcBorders>
              <w:left w:val="nil"/>
              <w:right w:val="nil"/>
            </w:tcBorders>
            <w:shd w:val="clear" w:color="auto" w:fill="auto"/>
          </w:tcPr>
          <w:p w14:paraId="2B142F11" w14:textId="77777777" w:rsidR="00497B20" w:rsidRPr="007C12DD" w:rsidRDefault="00497B20" w:rsidP="00CB23E3">
            <w:pPr>
              <w:rPr>
                <w:sz w:val="16"/>
                <w:szCs w:val="16"/>
                <w:lang w:val="en-GB"/>
              </w:rPr>
            </w:pPr>
          </w:p>
        </w:tc>
        <w:tc>
          <w:tcPr>
            <w:tcW w:w="1260" w:type="dxa"/>
            <w:tcBorders>
              <w:top w:val="single" w:sz="4" w:space="0" w:color="auto"/>
              <w:left w:val="nil"/>
              <w:bottom w:val="single" w:sz="4" w:space="0" w:color="auto"/>
              <w:right w:val="nil"/>
            </w:tcBorders>
            <w:shd w:val="clear" w:color="auto" w:fill="auto"/>
          </w:tcPr>
          <w:p w14:paraId="405E5653" w14:textId="77777777" w:rsidR="00497B20" w:rsidRPr="007C12DD" w:rsidRDefault="00497B20" w:rsidP="00CB23E3">
            <w:pPr>
              <w:rPr>
                <w:sz w:val="16"/>
                <w:szCs w:val="16"/>
                <w:lang w:val="en-GB"/>
              </w:rPr>
            </w:pPr>
            <w:r w:rsidRPr="007C12DD">
              <w:rPr>
                <w:sz w:val="16"/>
                <w:szCs w:val="16"/>
                <w:lang w:val="en-GB"/>
              </w:rPr>
              <w:t>High</w:t>
            </w:r>
          </w:p>
        </w:tc>
        <w:tc>
          <w:tcPr>
            <w:tcW w:w="6662" w:type="dxa"/>
            <w:tcBorders>
              <w:top w:val="single" w:sz="4" w:space="0" w:color="auto"/>
              <w:left w:val="nil"/>
              <w:bottom w:val="single" w:sz="4" w:space="0" w:color="auto"/>
              <w:right w:val="nil"/>
            </w:tcBorders>
            <w:shd w:val="clear" w:color="auto" w:fill="auto"/>
          </w:tcPr>
          <w:p w14:paraId="0BFC01A4" w14:textId="72BAE532" w:rsidR="00497B20" w:rsidRPr="007C12DD" w:rsidRDefault="00497B20" w:rsidP="00542563">
            <w:pPr>
              <w:pStyle w:val="ListParagraph"/>
              <w:numPr>
                <w:ilvl w:val="0"/>
                <w:numId w:val="7"/>
              </w:numPr>
              <w:ind w:left="351" w:hanging="284"/>
              <w:rPr>
                <w:b/>
                <w:bCs/>
                <w:sz w:val="16"/>
                <w:szCs w:val="16"/>
                <w:lang w:val="en-GB"/>
              </w:rPr>
            </w:pPr>
            <w:r w:rsidRPr="007C12DD">
              <w:rPr>
                <w:b/>
                <w:bCs/>
                <w:sz w:val="16"/>
                <w:szCs w:val="16"/>
                <w:lang w:val="en-GB"/>
              </w:rPr>
              <w:t>Electronics</w:t>
            </w:r>
            <w:r w:rsidRPr="007C12DD">
              <w:rPr>
                <w:sz w:val="16"/>
                <w:szCs w:val="16"/>
                <w:lang w:val="en-GB"/>
              </w:rPr>
              <w:t>: used phones and laptops</w:t>
            </w:r>
            <w:r w:rsidR="00E83C2F" w:rsidRPr="007C12DD">
              <w:rPr>
                <w:sz w:val="16"/>
                <w:szCs w:val="16"/>
                <w:lang w:val="en-GB"/>
              </w:rPr>
              <w:t>.</w:t>
            </w:r>
            <w:r w:rsidRPr="007C12DD">
              <w:rPr>
                <w:sz w:val="16"/>
                <w:szCs w:val="16"/>
                <w:lang w:val="en-GB"/>
              </w:rPr>
              <w:t xml:space="preserve"> </w:t>
            </w:r>
          </w:p>
        </w:tc>
      </w:tr>
      <w:tr w:rsidR="00497B20" w:rsidRPr="00AF682F" w14:paraId="3AF04613" w14:textId="77777777" w:rsidTr="000A5D59">
        <w:tc>
          <w:tcPr>
            <w:tcW w:w="1150" w:type="dxa"/>
            <w:vMerge/>
            <w:tcBorders>
              <w:left w:val="nil"/>
              <w:bottom w:val="single" w:sz="4" w:space="0" w:color="auto"/>
              <w:right w:val="nil"/>
            </w:tcBorders>
            <w:shd w:val="clear" w:color="auto" w:fill="auto"/>
          </w:tcPr>
          <w:p w14:paraId="35C5F2DC" w14:textId="77777777" w:rsidR="00497B20" w:rsidRPr="007C12DD" w:rsidRDefault="00497B20" w:rsidP="00CB23E3">
            <w:pPr>
              <w:rPr>
                <w:sz w:val="16"/>
                <w:szCs w:val="16"/>
                <w:lang w:val="en-GB"/>
              </w:rPr>
            </w:pPr>
          </w:p>
        </w:tc>
        <w:tc>
          <w:tcPr>
            <w:tcW w:w="1260" w:type="dxa"/>
            <w:tcBorders>
              <w:top w:val="single" w:sz="4" w:space="0" w:color="auto"/>
              <w:left w:val="nil"/>
              <w:bottom w:val="single" w:sz="4" w:space="0" w:color="auto"/>
              <w:right w:val="nil"/>
            </w:tcBorders>
            <w:shd w:val="clear" w:color="auto" w:fill="auto"/>
          </w:tcPr>
          <w:p w14:paraId="0602BFD0" w14:textId="3741673F" w:rsidR="00497B20" w:rsidRPr="007C12DD" w:rsidRDefault="00497B20" w:rsidP="00CB23E3">
            <w:pPr>
              <w:rPr>
                <w:sz w:val="16"/>
                <w:szCs w:val="16"/>
                <w:lang w:val="en-GB"/>
              </w:rPr>
            </w:pPr>
            <w:r w:rsidRPr="007C12DD">
              <w:rPr>
                <w:sz w:val="16"/>
                <w:szCs w:val="16"/>
                <w:lang w:val="en-GB"/>
              </w:rPr>
              <w:t>Very high</w:t>
            </w:r>
          </w:p>
        </w:tc>
        <w:tc>
          <w:tcPr>
            <w:tcW w:w="6662" w:type="dxa"/>
            <w:tcBorders>
              <w:top w:val="single" w:sz="4" w:space="0" w:color="auto"/>
              <w:left w:val="nil"/>
              <w:bottom w:val="single" w:sz="4" w:space="0" w:color="auto"/>
              <w:right w:val="nil"/>
            </w:tcBorders>
            <w:shd w:val="clear" w:color="auto" w:fill="auto"/>
          </w:tcPr>
          <w:p w14:paraId="32853287" w14:textId="06F79C7D" w:rsidR="00497B20" w:rsidRPr="007C12DD" w:rsidRDefault="00497B20" w:rsidP="00497B20">
            <w:pPr>
              <w:pStyle w:val="ListParagraph"/>
              <w:numPr>
                <w:ilvl w:val="0"/>
                <w:numId w:val="7"/>
              </w:numPr>
              <w:ind w:left="351" w:hanging="284"/>
              <w:rPr>
                <w:sz w:val="16"/>
                <w:szCs w:val="16"/>
                <w:lang w:val="en-GB"/>
              </w:rPr>
            </w:pPr>
            <w:r w:rsidRPr="007C12DD">
              <w:rPr>
                <w:b/>
                <w:bCs/>
                <w:sz w:val="16"/>
                <w:szCs w:val="16"/>
                <w:lang w:val="en-GB"/>
              </w:rPr>
              <w:t>Capital goods and industrial equipment</w:t>
            </w:r>
            <w:r w:rsidRPr="007C12DD">
              <w:rPr>
                <w:sz w:val="16"/>
                <w:szCs w:val="16"/>
                <w:lang w:val="en-GB"/>
              </w:rPr>
              <w:t xml:space="preserve">: Shipping containers, airplanes, helicopters, wind turbine blades, data centre equipment, machines, gearboxes, </w:t>
            </w:r>
            <w:r w:rsidR="00E83C2F" w:rsidRPr="007C12DD">
              <w:rPr>
                <w:sz w:val="16"/>
                <w:szCs w:val="16"/>
                <w:lang w:val="en-GB"/>
              </w:rPr>
              <w:t xml:space="preserve">car </w:t>
            </w:r>
            <w:r w:rsidRPr="007C12DD">
              <w:rPr>
                <w:sz w:val="16"/>
                <w:szCs w:val="16"/>
                <w:lang w:val="en-GB"/>
              </w:rPr>
              <w:t>engines, car batteries.</w:t>
            </w:r>
          </w:p>
        </w:tc>
      </w:tr>
    </w:tbl>
    <w:p w14:paraId="2E48480C" w14:textId="643B1B7C" w:rsidR="00507837" w:rsidRPr="007C12DD" w:rsidRDefault="00507837" w:rsidP="00507837">
      <w:pPr>
        <w:spacing w:after="0"/>
        <w:jc w:val="center"/>
        <w:rPr>
          <w:b/>
          <w:bCs/>
          <w:i/>
          <w:iCs/>
          <w:lang w:val="en-US"/>
        </w:rPr>
      </w:pPr>
      <w:r w:rsidRPr="007C12DD">
        <w:rPr>
          <w:b/>
          <w:bCs/>
          <w:i/>
          <w:iCs/>
          <w:lang w:val="en-US"/>
        </w:rPr>
        <w:t xml:space="preserve">Table </w:t>
      </w:r>
      <w:r w:rsidR="00386472" w:rsidRPr="007C12DD">
        <w:rPr>
          <w:b/>
          <w:bCs/>
          <w:i/>
          <w:iCs/>
          <w:lang w:val="en-US"/>
        </w:rPr>
        <w:t>1</w:t>
      </w:r>
      <w:r w:rsidRPr="007C12DD">
        <w:rPr>
          <w:b/>
          <w:bCs/>
          <w:i/>
          <w:iCs/>
          <w:lang w:val="en-US"/>
        </w:rPr>
        <w:t xml:space="preserve">. </w:t>
      </w:r>
      <w:r w:rsidRPr="007C12DD">
        <w:rPr>
          <w:i/>
          <w:iCs/>
          <w:lang w:val="en-US"/>
        </w:rPr>
        <w:t xml:space="preserve">Description </w:t>
      </w:r>
      <w:r w:rsidR="00542563" w:rsidRPr="007C12DD">
        <w:rPr>
          <w:i/>
          <w:iCs/>
          <w:lang w:val="en-US"/>
        </w:rPr>
        <w:t>of the</w:t>
      </w:r>
      <w:r w:rsidRPr="007C12DD">
        <w:rPr>
          <w:i/>
          <w:iCs/>
          <w:lang w:val="en-US"/>
        </w:rPr>
        <w:t xml:space="preserve"> coding criteria </w:t>
      </w:r>
      <w:r w:rsidR="00542563" w:rsidRPr="007C12DD">
        <w:rPr>
          <w:i/>
          <w:iCs/>
          <w:lang w:val="en-US"/>
        </w:rPr>
        <w:t xml:space="preserve">and excerpt of the coding for </w:t>
      </w:r>
      <w:r w:rsidR="002B4BE1" w:rsidRPr="007C12DD">
        <w:rPr>
          <w:i/>
          <w:iCs/>
          <w:lang w:val="en-US"/>
        </w:rPr>
        <w:t xml:space="preserve">the </w:t>
      </w:r>
      <w:r w:rsidR="00792C09" w:rsidRPr="007C12DD">
        <w:rPr>
          <w:i/>
          <w:iCs/>
          <w:lang w:val="en-US"/>
        </w:rPr>
        <w:t xml:space="preserve">supply </w:t>
      </w:r>
      <w:r w:rsidR="002B4BE1" w:rsidRPr="007C12DD">
        <w:rPr>
          <w:i/>
          <w:iCs/>
          <w:lang w:val="en-US"/>
        </w:rPr>
        <w:t>characteristics</w:t>
      </w:r>
    </w:p>
    <w:p w14:paraId="058F0543" w14:textId="79E72EA1" w:rsidR="00497B20" w:rsidRPr="007C12DD" w:rsidRDefault="00497B20" w:rsidP="003F0A27">
      <w:pPr>
        <w:spacing w:after="0"/>
        <w:jc w:val="center"/>
        <w:rPr>
          <w:b/>
          <w:bCs/>
          <w:i/>
          <w:iCs/>
          <w:lang w:val="en-US"/>
        </w:rPr>
      </w:pPr>
    </w:p>
    <w:p w14:paraId="34F4CD40" w14:textId="2E72E658" w:rsidR="00D058AF" w:rsidRPr="007C12DD" w:rsidRDefault="00D058AF" w:rsidP="003F0A27">
      <w:pPr>
        <w:spacing w:after="0"/>
        <w:jc w:val="center"/>
        <w:rPr>
          <w:b/>
          <w:bCs/>
          <w:i/>
          <w:iCs/>
          <w:lang w:val="en-US"/>
        </w:rPr>
      </w:pPr>
    </w:p>
    <w:p w14:paraId="53B7B52E" w14:textId="3A003E64" w:rsidR="00364246" w:rsidRPr="007C12DD" w:rsidRDefault="00364246" w:rsidP="00AD288E">
      <w:pPr>
        <w:spacing w:after="0"/>
        <w:jc w:val="both"/>
        <w:rPr>
          <w:lang w:val="en-US"/>
        </w:rPr>
      </w:pPr>
      <w:r w:rsidRPr="007C12DD">
        <w:rPr>
          <w:i/>
          <w:iCs/>
          <w:lang w:val="en-US"/>
        </w:rPr>
        <w:lastRenderedPageBreak/>
        <w:t>3.</w:t>
      </w:r>
      <w:r w:rsidR="001A6C10" w:rsidRPr="007C12DD">
        <w:rPr>
          <w:i/>
          <w:iCs/>
          <w:lang w:val="en-US"/>
        </w:rPr>
        <w:t>2</w:t>
      </w:r>
      <w:r w:rsidRPr="007C12DD">
        <w:rPr>
          <w:i/>
          <w:iCs/>
          <w:lang w:val="en-US"/>
        </w:rPr>
        <w:t xml:space="preserve"> </w:t>
      </w:r>
      <w:r w:rsidR="00AD288E" w:rsidRPr="007C12DD">
        <w:rPr>
          <w:i/>
          <w:iCs/>
          <w:lang w:val="en-US"/>
        </w:rPr>
        <w:t>Data analysis</w:t>
      </w:r>
    </w:p>
    <w:p w14:paraId="680D8D22" w14:textId="7AE72670" w:rsidR="00662B99" w:rsidRPr="005359EE" w:rsidRDefault="00AD288E" w:rsidP="000A058E">
      <w:pPr>
        <w:spacing w:after="0"/>
        <w:jc w:val="both"/>
        <w:rPr>
          <w:lang w:val="en-US"/>
        </w:rPr>
      </w:pPr>
      <w:r w:rsidRPr="007C12DD">
        <w:rPr>
          <w:lang w:val="en-US"/>
        </w:rPr>
        <w:t xml:space="preserve">To analyze the data, </w:t>
      </w:r>
      <w:r w:rsidR="00F00CA7" w:rsidRPr="005359EE">
        <w:rPr>
          <w:lang w:val="en-US"/>
        </w:rPr>
        <w:t xml:space="preserve">we </w:t>
      </w:r>
      <w:r w:rsidR="00DF38A7" w:rsidRPr="005359EE">
        <w:rPr>
          <w:lang w:val="en-US"/>
        </w:rPr>
        <w:t>perform</w:t>
      </w:r>
      <w:r w:rsidR="00F00CA7" w:rsidRPr="005359EE">
        <w:rPr>
          <w:lang w:val="en-US"/>
        </w:rPr>
        <w:t>ed</w:t>
      </w:r>
      <w:r w:rsidR="00DF38A7" w:rsidRPr="005359EE">
        <w:rPr>
          <w:lang w:val="en-US"/>
        </w:rPr>
        <w:t xml:space="preserve"> a qualitative comparative analysis (QCA)</w:t>
      </w:r>
      <w:r w:rsidR="00E048B0" w:rsidRPr="005359EE">
        <w:rPr>
          <w:lang w:val="en-US"/>
        </w:rPr>
        <w:t>.</w:t>
      </w:r>
      <w:r w:rsidR="00F00CA7" w:rsidRPr="005359EE">
        <w:rPr>
          <w:lang w:val="en-US"/>
        </w:rPr>
        <w:t xml:space="preserve"> Although QCA </w:t>
      </w:r>
      <w:r w:rsidR="00886780">
        <w:rPr>
          <w:lang w:val="en-US"/>
        </w:rPr>
        <w:t>was</w:t>
      </w:r>
      <w:r w:rsidR="00886780" w:rsidRPr="005359EE">
        <w:rPr>
          <w:lang w:val="en-US"/>
        </w:rPr>
        <w:t xml:space="preserve"> </w:t>
      </w:r>
      <w:r w:rsidR="00F00CA7" w:rsidRPr="005359EE">
        <w:rPr>
          <w:lang w:val="en-US"/>
        </w:rPr>
        <w:t>born in political science</w:t>
      </w:r>
      <w:r w:rsidR="007A1F09">
        <w:rPr>
          <w:lang w:val="en-US"/>
        </w:rPr>
        <w:t>s</w:t>
      </w:r>
      <w:r w:rsidR="00F00CA7" w:rsidRPr="005359EE">
        <w:rPr>
          <w:lang w:val="en-US"/>
        </w:rPr>
        <w:t xml:space="preserve">, the technique is increasingly used in other fields </w:t>
      </w:r>
      <w:r w:rsidR="00F00CA7" w:rsidRPr="005359EE">
        <w:rPr>
          <w:lang w:val="en-US"/>
        </w:rPr>
        <w:fldChar w:fldCharType="begin" w:fldLock="1"/>
      </w:r>
      <w:r w:rsidR="00F00CA7" w:rsidRPr="005359EE">
        <w:rPr>
          <w:lang w:val="en-US"/>
        </w:rPr>
        <w:instrText>ADDIN CSL_CITATION {"citationItems":[{"id":"ITEM-1","itemData":{"DOI":"10.1177/1525822X09332633","ISSN":"1525822X","abstract":"This article assesses the strengths and shortcomings of multi-value qualitative comparative analysis (mvQCA), a comparative technique for small- to medium-sized data sets that has been integrated in the TOSMANA software developed by Lasse Cronqvist. The main difference with \"crisp-set\" QCA is that in mvQCA, the conditions can have more values than just the Boolean values 0 and 1, whereas the main difference with \"fuzzy-set\" QCA is that mvQCA conditions remain discrete. The major advantage of nondichotomous categorization, according to its proponents, is that it reduces the likelihood of contradictory configurations because of a more homogeneous grouping of cases. We give an overview of existing mvQCA applications, with a detailed discussion of two recent publications, and argue that crisp-set and fuzzy-set alternatives should be less easily discarded, as the mvQCA solution comes with substantial set-theoretical costs. © 2009 SAGE Publications.","author":[{"dropping-particle":"","family":"Vink","given":"Maarten P.","non-dropping-particle":"","parse-names":false,"suffix":""},{"dropping-particle":"","family":"Vliet","given":"Olaf","non-dropping-particle":"van","parse-names":false,"suffix":""}],"container-title":"Field Methods","id":"ITEM-1","issue":"3","issued":{"date-parts":[["2009"]]},"page":"265-289","title":"Not quite crisp, not yet fuzzy? assessing the potentials and pitfalls of multi-value QCA","type":"article-journal","volume":"21"},"uris":["http://www.mendeley.com/documents/?uuid=ae8f22cb-32cb-49d2-af1f-95e816c539aa"]}],"mendeley":{"formattedCitation":"(Vink &amp; van Vliet, 2009)","manualFormatting":"(Vink and van Vliet, 2009)","plainTextFormattedCitation":"(Vink &amp; van Vliet, 2009)","previouslyFormattedCitation":"(Vink &amp; van Vliet, 2009)"},"properties":{"noteIndex":0},"schema":"https://github.com/citation-style-language/schema/raw/master/csl-citation.json"}</w:instrText>
      </w:r>
      <w:r w:rsidR="00F00CA7" w:rsidRPr="005359EE">
        <w:rPr>
          <w:lang w:val="en-US"/>
        </w:rPr>
        <w:fldChar w:fldCharType="separate"/>
      </w:r>
      <w:r w:rsidR="00F00CA7" w:rsidRPr="005359EE">
        <w:rPr>
          <w:noProof/>
          <w:lang w:val="en-US"/>
        </w:rPr>
        <w:t>(Vink and van Vliet, 2009)</w:t>
      </w:r>
      <w:r w:rsidR="00F00CA7" w:rsidRPr="005359EE">
        <w:rPr>
          <w:lang w:val="en-US"/>
        </w:rPr>
        <w:fldChar w:fldCharType="end"/>
      </w:r>
      <w:r w:rsidR="00F00CA7" w:rsidRPr="005359EE">
        <w:rPr>
          <w:lang w:val="en-US"/>
        </w:rPr>
        <w:t xml:space="preserve"> </w:t>
      </w:r>
      <w:r w:rsidRPr="005359EE">
        <w:rPr>
          <w:lang w:val="en-US"/>
        </w:rPr>
        <w:t xml:space="preserve">– </w:t>
      </w:r>
      <w:r w:rsidR="00F00CA7" w:rsidRPr="005359EE">
        <w:rPr>
          <w:lang w:val="en-US"/>
        </w:rPr>
        <w:t xml:space="preserve">see for example </w:t>
      </w:r>
      <w:r w:rsidR="00F00CA7" w:rsidRPr="005359EE">
        <w:rPr>
          <w:lang w:val="en-US"/>
        </w:rPr>
        <w:fldChar w:fldCharType="begin" w:fldLock="1"/>
      </w:r>
      <w:r w:rsidR="00F00CA7" w:rsidRPr="005359EE">
        <w:rPr>
          <w:lang w:val="en-US"/>
        </w:rPr>
        <w:instrText>ADDIN CSL_CITATION {"citationItems":[{"id":"ITEM-1","itemData":{"DOI":"10.1016/j.ijinfomgt.2019.05.007","ISSN":"02684012","abstract":"Taking a configurational approach, this paper investigates the causal configurations of IT ambidexterity (i.e., IT capabilities for exploitation and exploration), dynamic capabilities (i.e., innovation and networking capabilities) and environmental uncertainty that are associated to service innovation performance in small and medium-sized enterprises (SMEs). Results from a fuzzy set qualitative comparative analysis (fsQCA) of 63 industrial service SMEs show that these firms attain high service innovation performance with three different configurations under conditions of high uncertainty. Two configurations highlight the importance of IT exploration capabilities (combined with the absence of innovation and networking capabilities in one configuration and with the absence of networking capabilities and IT capabilities for exploitation in another), whereas another configuration accentuates the importance of IT exploitation capabilities (combined with the presence of innovation and networking capabilities). Our study contributes to the literature in multiple ways. For instance, due to the equifinal properties of the configurational approach, our results suggest that SMEs can attain high innovation performance through both sequential and simultaneous IT ambidexterity, thus providing a starting point for reconciling competing views of IT ambidexterity. Other contributions to theory and practice and avenues for future research are also discussed.","author":[{"dropping-particle":"","family":"Ortiz de Guinea","given":"Ana","non-dropping-particle":"","parse-names":false,"suffix":""},{"dropping-particle":"","family":"Raymond","given":"Louis","non-dropping-particle":"","parse-names":false,"suffix":""}],"container-title":"International Journal of Information Management","id":"ITEM-1","issue":"November 2018","issued":{"date-parts":[["2020"]]},"page":"244-260","publisher":"Elsevier","title":"Enabling innovation in the face of uncertainty through IT ambidexterity: A fuzzy set qualitative comparative analysis of industrial service SMEs","type":"article-journal","volume":"50"},"uris":["http://www.mendeley.com/documents/?uuid=83b7f3e9-1569-4fed-88a9-6117fdef4eb7"]}],"mendeley":{"formattedCitation":"(Ortiz de Guinea &amp; Raymond, 2020)","manualFormatting":"Ortiz de Guinea and Raymond (2020)","plainTextFormattedCitation":"(Ortiz de Guinea &amp; Raymond, 2020)","previouslyFormattedCitation":"(Ortiz de Guinea &amp; Raymond, 2020)"},"properties":{"noteIndex":0},"schema":"https://github.com/citation-style-language/schema/raw/master/csl-citation.json"}</w:instrText>
      </w:r>
      <w:r w:rsidR="00F00CA7" w:rsidRPr="005359EE">
        <w:rPr>
          <w:lang w:val="en-US"/>
        </w:rPr>
        <w:fldChar w:fldCharType="separate"/>
      </w:r>
      <w:r w:rsidR="00F00CA7" w:rsidRPr="005359EE">
        <w:rPr>
          <w:noProof/>
          <w:lang w:val="en-US"/>
        </w:rPr>
        <w:t>Ortiz de Guinea and Raymond (2020)</w:t>
      </w:r>
      <w:r w:rsidR="00F00CA7" w:rsidRPr="005359EE">
        <w:rPr>
          <w:lang w:val="en-US"/>
        </w:rPr>
        <w:fldChar w:fldCharType="end"/>
      </w:r>
      <w:r w:rsidR="00F00CA7" w:rsidRPr="005359EE">
        <w:rPr>
          <w:lang w:val="en-US"/>
        </w:rPr>
        <w:t xml:space="preserve">. </w:t>
      </w:r>
      <w:r w:rsidR="00D31D81" w:rsidRPr="005359EE">
        <w:rPr>
          <w:lang w:val="en-US"/>
        </w:rPr>
        <w:t xml:space="preserve">In essence, </w:t>
      </w:r>
      <w:r w:rsidR="00D538D6" w:rsidRPr="005359EE">
        <w:rPr>
          <w:lang w:val="en-US"/>
        </w:rPr>
        <w:t xml:space="preserve">QCA </w:t>
      </w:r>
      <w:r w:rsidR="00D31D81" w:rsidRPr="005359EE">
        <w:rPr>
          <w:lang w:val="en-US"/>
        </w:rPr>
        <w:t xml:space="preserve">uses Boolean logic to determine different configurations of </w:t>
      </w:r>
      <w:r w:rsidR="00563E3B" w:rsidRPr="005359EE">
        <w:rPr>
          <w:lang w:val="en-US"/>
        </w:rPr>
        <w:t>conditions</w:t>
      </w:r>
      <w:r w:rsidR="00D31D81" w:rsidRPr="005359EE">
        <w:rPr>
          <w:lang w:val="en-US"/>
        </w:rPr>
        <w:t xml:space="preserve"> (</w:t>
      </w:r>
      <w:r w:rsidR="00862AED">
        <w:rPr>
          <w:lang w:val="en-US"/>
        </w:rPr>
        <w:t>i.e.</w:t>
      </w:r>
      <w:r w:rsidR="007C72DF">
        <w:rPr>
          <w:lang w:val="en-US"/>
        </w:rPr>
        <w:t>,</w:t>
      </w:r>
      <w:r w:rsidR="00862AED">
        <w:rPr>
          <w:lang w:val="en-US"/>
        </w:rPr>
        <w:t xml:space="preserve"> </w:t>
      </w:r>
      <w:r w:rsidR="00D31D81" w:rsidRPr="005359EE">
        <w:rPr>
          <w:lang w:val="en-US"/>
        </w:rPr>
        <w:t>the</w:t>
      </w:r>
      <w:r w:rsidRPr="005359EE">
        <w:rPr>
          <w:lang w:val="en-US"/>
        </w:rPr>
        <w:t xml:space="preserve"> </w:t>
      </w:r>
      <w:r w:rsidR="001D1CD9" w:rsidRPr="005359EE">
        <w:rPr>
          <w:lang w:val="en-US"/>
        </w:rPr>
        <w:t>manufacturing configurations</w:t>
      </w:r>
      <w:r w:rsidRPr="005359EE">
        <w:rPr>
          <w:lang w:val="en-US"/>
        </w:rPr>
        <w:t xml:space="preserve"> and </w:t>
      </w:r>
      <w:r w:rsidR="001D1CD9" w:rsidRPr="005359EE">
        <w:rPr>
          <w:lang w:val="en-US"/>
        </w:rPr>
        <w:t>supply</w:t>
      </w:r>
      <w:r w:rsidRPr="005359EE">
        <w:rPr>
          <w:lang w:val="en-US"/>
        </w:rPr>
        <w:t xml:space="preserve"> characteristics</w:t>
      </w:r>
      <w:r w:rsidR="00D31D81" w:rsidRPr="005359EE">
        <w:rPr>
          <w:lang w:val="en-US"/>
        </w:rPr>
        <w:t>) that generate the same outcome (i.e.</w:t>
      </w:r>
      <w:r w:rsidR="007C72DF">
        <w:rPr>
          <w:lang w:val="en-US"/>
        </w:rPr>
        <w:t>,</w:t>
      </w:r>
      <w:r w:rsidR="00D31D81" w:rsidRPr="005359EE">
        <w:rPr>
          <w:lang w:val="en-US"/>
        </w:rPr>
        <w:t xml:space="preserve"> </w:t>
      </w:r>
      <w:r w:rsidR="00F00CA7" w:rsidRPr="005359EE">
        <w:rPr>
          <w:lang w:val="en-US"/>
        </w:rPr>
        <w:t>‘</w:t>
      </w:r>
      <w:r w:rsidR="00D31D81" w:rsidRPr="005359EE">
        <w:rPr>
          <w:i/>
          <w:iCs/>
          <w:lang w:val="en-US"/>
        </w:rPr>
        <w:t>moderately successful</w:t>
      </w:r>
      <w:r w:rsidR="00F00CA7" w:rsidRPr="005359EE">
        <w:rPr>
          <w:lang w:val="en-US"/>
        </w:rPr>
        <w:t>’</w:t>
      </w:r>
      <w:r w:rsidR="00D31D81" w:rsidRPr="005359EE">
        <w:rPr>
          <w:lang w:val="en-US"/>
        </w:rPr>
        <w:t xml:space="preserve"> and </w:t>
      </w:r>
      <w:r w:rsidR="00F00CA7" w:rsidRPr="005359EE">
        <w:rPr>
          <w:lang w:val="en-US"/>
        </w:rPr>
        <w:t>‘</w:t>
      </w:r>
      <w:r w:rsidR="00D31D81" w:rsidRPr="005359EE">
        <w:rPr>
          <w:i/>
          <w:iCs/>
          <w:lang w:val="en-US"/>
        </w:rPr>
        <w:t>successful</w:t>
      </w:r>
      <w:r w:rsidR="00F00CA7" w:rsidRPr="005359EE">
        <w:rPr>
          <w:lang w:val="en-US"/>
        </w:rPr>
        <w:t>’</w:t>
      </w:r>
      <w:r w:rsidR="00D31D81" w:rsidRPr="005359EE">
        <w:rPr>
          <w:lang w:val="en-US"/>
        </w:rPr>
        <w:t xml:space="preserve"> </w:t>
      </w:r>
      <w:r w:rsidRPr="005359EE">
        <w:rPr>
          <w:lang w:val="en-US"/>
        </w:rPr>
        <w:t>start-ups</w:t>
      </w:r>
      <w:r w:rsidR="00D31D81" w:rsidRPr="005359EE">
        <w:rPr>
          <w:lang w:val="en-US"/>
        </w:rPr>
        <w:t>).</w:t>
      </w:r>
      <w:r w:rsidRPr="005359EE">
        <w:rPr>
          <w:lang w:val="en-US"/>
        </w:rPr>
        <w:t xml:space="preserve"> Q</w:t>
      </w:r>
      <w:r w:rsidR="00F00CA7" w:rsidRPr="005359EE">
        <w:rPr>
          <w:lang w:val="en-US"/>
        </w:rPr>
        <w:t xml:space="preserve">CA can deal with small sample sizes </w:t>
      </w:r>
      <w:r w:rsidRPr="005359EE">
        <w:rPr>
          <w:lang w:val="en-US"/>
        </w:rPr>
        <w:t>of</w:t>
      </w:r>
      <w:r w:rsidR="00F00CA7" w:rsidRPr="005359EE">
        <w:rPr>
          <w:lang w:val="en-US"/>
        </w:rPr>
        <w:t xml:space="preserve"> less than 100 cases </w:t>
      </w:r>
      <w:r w:rsidR="00F00CA7" w:rsidRPr="005359EE">
        <w:rPr>
          <w:lang w:val="en-US"/>
        </w:rPr>
        <w:fldChar w:fldCharType="begin" w:fldLock="1"/>
      </w:r>
      <w:r w:rsidR="00F00CA7" w:rsidRPr="005359EE">
        <w:rPr>
          <w:lang w:val="en-US"/>
        </w:rPr>
        <w:instrText>ADDIN CSL_CITATION {"citationItems":[{"id":"ITEM-1","itemData":{"author":[{"dropping-particle":"","family":"Ragin","given":"C.C.","non-dropping-particle":"","parse-names":false,"suffix":""}],"id":"ITEM-1","issued":{"date-parts":[["1987"]]},"publisher":"Berkeley","publisher-place":"Los Angeles","title":"The Comparative Method. Moving Beyond Qualitative and Quantitative Strategies","type":"book"},"uris":["http://www.mendeley.com/documents/?uuid=3668e6cc-7cb3-4cd0-afc4-fbc12eab27f5"]}],"mendeley":{"formattedCitation":"(C.C. Ragin, 1987)","manualFormatting":"(Ragin, 1987)","plainTextFormattedCitation":"(C.C. Ragin, 1987)","previouslyFormattedCitation":"(C.C. Ragin, 1987)"},"properties":{"noteIndex":0},"schema":"https://github.com/citation-style-language/schema/raw/master/csl-citation.json"}</w:instrText>
      </w:r>
      <w:r w:rsidR="00F00CA7" w:rsidRPr="005359EE">
        <w:rPr>
          <w:lang w:val="en-US"/>
        </w:rPr>
        <w:fldChar w:fldCharType="separate"/>
      </w:r>
      <w:r w:rsidR="00F00CA7" w:rsidRPr="005359EE">
        <w:rPr>
          <w:noProof/>
          <w:lang w:val="en-US"/>
        </w:rPr>
        <w:t>(Ragin, 1987)</w:t>
      </w:r>
      <w:r w:rsidR="00F00CA7" w:rsidRPr="005359EE">
        <w:rPr>
          <w:lang w:val="en-US"/>
        </w:rPr>
        <w:fldChar w:fldCharType="end"/>
      </w:r>
      <w:r w:rsidR="00A878F2" w:rsidRPr="005359EE">
        <w:rPr>
          <w:lang w:val="en-US"/>
        </w:rPr>
        <w:t>. Therefore,</w:t>
      </w:r>
      <w:r w:rsidRPr="005359EE">
        <w:rPr>
          <w:lang w:val="en-US"/>
        </w:rPr>
        <w:t xml:space="preserve"> QCA fits our purpose</w:t>
      </w:r>
      <w:r w:rsidR="00A878F2" w:rsidRPr="005359EE">
        <w:rPr>
          <w:lang w:val="en-US"/>
        </w:rPr>
        <w:t xml:space="preserve"> of developing </w:t>
      </w:r>
      <w:r w:rsidR="00DD3E09" w:rsidRPr="005359EE">
        <w:rPr>
          <w:lang w:val="en-US"/>
        </w:rPr>
        <w:t>configurations</w:t>
      </w:r>
      <w:r w:rsidRPr="005359EE">
        <w:rPr>
          <w:lang w:val="en-US"/>
        </w:rPr>
        <w:t xml:space="preserve"> </w:t>
      </w:r>
      <w:r w:rsidR="00A878F2" w:rsidRPr="005359EE">
        <w:rPr>
          <w:lang w:val="en-US"/>
        </w:rPr>
        <w:t xml:space="preserve">of how successful circular start-ups create value </w:t>
      </w:r>
      <w:r w:rsidRPr="005359EE">
        <w:rPr>
          <w:lang w:val="en-US"/>
        </w:rPr>
        <w:fldChar w:fldCharType="begin" w:fldLock="1"/>
      </w:r>
      <w:r w:rsidR="00C83A66">
        <w:rPr>
          <w:lang w:val="en-US"/>
        </w:rPr>
        <w:instrText>ADDIN CSL_CITATION {"citationItems":[{"id":"ITEM-1","itemData":{"DOI":"10.1163/156913210X12493538729793","ISSN":"15691322","abstract":"As a relatively new methodological tool, QCA is still a work in progress. Standards of good practice are needed in order to enhance the quality of its applications. We present a list from A to Z of twenty-six proposals regarding what a \"good\" QCA-based research entails, both with regard to QCA as a research approach and as an analytical technique. Our suggestions are subdivided into three categories: criteria referring to the research stages before, during, and after the analytical moment of data analysis. This listing can be read as a guideline for authors, reviewers, and readers of QCA. © 2010 Koninklijke Brill NV, Leiden.","author":[{"dropping-particle":"","family":"Schneider","given":"Carsten Q.","non-dropping-particle":"","parse-names":false,"suffix":""},{"dropping-particle":"","family":"Wagemann","given":"Claudius","non-dropping-particle":"","parse-names":false,"suffix":""}],"container-title":"Comparative Sociology","id":"ITEM-1","issue":"3","issued":{"date-parts":[["2010"]]},"page":"397-418","title":"Standards of good practice in qualitative comparative analysis (QCA) and fuzzy-sets","type":"article-journal","volume":"9"},"uris":["http://www.mendeley.com/documents/?uuid=8c678488-f8d3-44ce-89e5-81f954f2ff5f"]}],"mendeley":{"formattedCitation":"(Schneider &amp; Wagemann, 2010)","manualFormatting":"(Schneider and Wagemann, 2010)","plainTextFormattedCitation":"(Schneider &amp; Wagemann, 2010)","previouslyFormattedCitation":"(Schneider &amp; Wagemann, 2010)"},"properties":{"noteIndex":0},"schema":"https://github.com/citation-style-language/schema/raw/master/csl-citation.json"}</w:instrText>
      </w:r>
      <w:r w:rsidRPr="005359EE">
        <w:rPr>
          <w:lang w:val="en-US"/>
        </w:rPr>
        <w:fldChar w:fldCharType="separate"/>
      </w:r>
      <w:r w:rsidRPr="005359EE">
        <w:rPr>
          <w:noProof/>
          <w:lang w:val="en-US"/>
        </w:rPr>
        <w:t xml:space="preserve">(Schneider </w:t>
      </w:r>
      <w:r w:rsidR="005C4347" w:rsidRPr="005359EE">
        <w:rPr>
          <w:noProof/>
          <w:lang w:val="en-US"/>
        </w:rPr>
        <w:t>and</w:t>
      </w:r>
      <w:r w:rsidRPr="005359EE">
        <w:rPr>
          <w:noProof/>
          <w:lang w:val="en-US"/>
        </w:rPr>
        <w:t xml:space="preserve"> Wagemann, 2010)</w:t>
      </w:r>
      <w:r w:rsidRPr="005359EE">
        <w:rPr>
          <w:lang w:val="en-US"/>
        </w:rPr>
        <w:fldChar w:fldCharType="end"/>
      </w:r>
      <w:r w:rsidRPr="005359EE">
        <w:rPr>
          <w:lang w:val="en-US"/>
        </w:rPr>
        <w:t>.</w:t>
      </w:r>
      <w:r w:rsidR="00A878F2" w:rsidRPr="005359EE">
        <w:rPr>
          <w:lang w:val="en-US"/>
        </w:rPr>
        <w:t xml:space="preserve"> To develop the </w:t>
      </w:r>
      <w:r w:rsidR="00DD3E09" w:rsidRPr="005359EE">
        <w:rPr>
          <w:lang w:val="en-US"/>
        </w:rPr>
        <w:t>configurations</w:t>
      </w:r>
      <w:r w:rsidR="00A878F2" w:rsidRPr="005359EE">
        <w:rPr>
          <w:lang w:val="en-US"/>
        </w:rPr>
        <w:t xml:space="preserve">, we followed a </w:t>
      </w:r>
      <w:r w:rsidR="001966CE" w:rsidRPr="005359EE">
        <w:rPr>
          <w:lang w:val="en-US"/>
        </w:rPr>
        <w:t>five</w:t>
      </w:r>
      <w:r w:rsidR="00A878F2" w:rsidRPr="005359EE">
        <w:rPr>
          <w:lang w:val="en-US"/>
        </w:rPr>
        <w:t xml:space="preserve">-step </w:t>
      </w:r>
      <w:r w:rsidR="00AD5A53" w:rsidRPr="005359EE">
        <w:rPr>
          <w:lang w:val="en-US"/>
        </w:rPr>
        <w:t>procedure</w:t>
      </w:r>
      <w:r w:rsidR="00A878F2" w:rsidRPr="005359EE">
        <w:rPr>
          <w:lang w:val="en-US"/>
        </w:rPr>
        <w:t>: choice of the QCA method</w:t>
      </w:r>
      <w:r w:rsidR="001A6C10" w:rsidRPr="005359EE">
        <w:rPr>
          <w:lang w:val="en-US"/>
        </w:rPr>
        <w:t>, choice of</w:t>
      </w:r>
      <w:r w:rsidR="00A878F2" w:rsidRPr="005359EE">
        <w:rPr>
          <w:lang w:val="en-US"/>
        </w:rPr>
        <w:t xml:space="preserve"> the QCA </w:t>
      </w:r>
      <w:r w:rsidR="00D50EEE" w:rsidRPr="005359EE">
        <w:rPr>
          <w:lang w:val="en-US"/>
        </w:rPr>
        <w:t>approach</w:t>
      </w:r>
      <w:r w:rsidR="00A878F2" w:rsidRPr="005359EE">
        <w:rPr>
          <w:lang w:val="en-US"/>
        </w:rPr>
        <w:t>,</w:t>
      </w:r>
      <w:r w:rsidR="005A018C" w:rsidRPr="005359EE">
        <w:rPr>
          <w:lang w:val="en-US"/>
        </w:rPr>
        <w:t xml:space="preserve"> necessity analysis, sufficiency analysis </w:t>
      </w:r>
      <w:r w:rsidR="00A878F2" w:rsidRPr="005359EE">
        <w:rPr>
          <w:lang w:val="en-US"/>
        </w:rPr>
        <w:t>and interpretation of the QCA results.</w:t>
      </w:r>
    </w:p>
    <w:p w14:paraId="0A599933" w14:textId="2E536160" w:rsidR="00416D3F" w:rsidRPr="005359EE" w:rsidRDefault="00A878F2" w:rsidP="000F6D5B">
      <w:pPr>
        <w:spacing w:after="0"/>
        <w:ind w:firstLine="284"/>
        <w:jc w:val="both"/>
        <w:rPr>
          <w:lang w:val="en-US"/>
        </w:rPr>
      </w:pPr>
      <w:r w:rsidRPr="005359EE">
        <w:rPr>
          <w:lang w:val="en-US"/>
        </w:rPr>
        <w:t xml:space="preserve">In the first step, we selected the QCA </w:t>
      </w:r>
      <w:r w:rsidR="00AD5A53" w:rsidRPr="005359EE">
        <w:rPr>
          <w:lang w:val="en-US"/>
        </w:rPr>
        <w:t>technique</w:t>
      </w:r>
      <w:r w:rsidRPr="005359EE">
        <w:rPr>
          <w:lang w:val="en-US"/>
        </w:rPr>
        <w:t xml:space="preserve">. </w:t>
      </w:r>
      <w:r w:rsidR="00416D3F" w:rsidRPr="005359EE">
        <w:rPr>
          <w:lang w:val="en-US"/>
        </w:rPr>
        <w:t xml:space="preserve">Three QCA </w:t>
      </w:r>
      <w:r w:rsidR="000F62A6" w:rsidRPr="005359EE">
        <w:rPr>
          <w:lang w:val="en-US"/>
        </w:rPr>
        <w:t>techniques</w:t>
      </w:r>
      <w:r w:rsidR="00416D3F" w:rsidRPr="005359EE">
        <w:rPr>
          <w:lang w:val="en-US"/>
        </w:rPr>
        <w:t xml:space="preserve"> exist, namely crisp</w:t>
      </w:r>
      <w:r w:rsidRPr="005359EE">
        <w:rPr>
          <w:lang w:val="en-US"/>
        </w:rPr>
        <w:t>-</w:t>
      </w:r>
      <w:r w:rsidR="00416D3F" w:rsidRPr="005359EE">
        <w:rPr>
          <w:lang w:val="en-US"/>
        </w:rPr>
        <w:t>set QCA (csQCA), multi-value QCA (</w:t>
      </w:r>
      <w:proofErr w:type="spellStart"/>
      <w:r w:rsidR="00416D3F" w:rsidRPr="005359EE">
        <w:rPr>
          <w:lang w:val="en-US"/>
        </w:rPr>
        <w:t>mvQCA</w:t>
      </w:r>
      <w:proofErr w:type="spellEnd"/>
      <w:r w:rsidR="00416D3F" w:rsidRPr="005359EE">
        <w:rPr>
          <w:lang w:val="en-US"/>
        </w:rPr>
        <w:t>) and fuzzy</w:t>
      </w:r>
      <w:r w:rsidRPr="005359EE">
        <w:rPr>
          <w:lang w:val="en-US"/>
        </w:rPr>
        <w:t>-</w:t>
      </w:r>
      <w:r w:rsidR="00416D3F" w:rsidRPr="005359EE">
        <w:rPr>
          <w:lang w:val="en-US"/>
        </w:rPr>
        <w:t>set QCA (</w:t>
      </w:r>
      <w:proofErr w:type="spellStart"/>
      <w:r w:rsidR="00416D3F" w:rsidRPr="005359EE">
        <w:rPr>
          <w:lang w:val="en-US"/>
        </w:rPr>
        <w:t>fsQCA</w:t>
      </w:r>
      <w:proofErr w:type="spellEnd"/>
      <w:r w:rsidR="00416D3F" w:rsidRPr="005359EE">
        <w:rPr>
          <w:lang w:val="en-US"/>
        </w:rPr>
        <w:t xml:space="preserve">). </w:t>
      </w:r>
      <w:proofErr w:type="spellStart"/>
      <w:r w:rsidR="00416D3F" w:rsidRPr="005359EE">
        <w:rPr>
          <w:lang w:val="en-US"/>
        </w:rPr>
        <w:t>fsQCA</w:t>
      </w:r>
      <w:proofErr w:type="spellEnd"/>
      <w:r w:rsidR="00416D3F" w:rsidRPr="005359EE">
        <w:rPr>
          <w:lang w:val="en-US"/>
        </w:rPr>
        <w:t xml:space="preserve"> is extraordinarily sensitive</w:t>
      </w:r>
      <w:r w:rsidR="00F00CA7" w:rsidRPr="005359EE">
        <w:rPr>
          <w:lang w:val="en-US"/>
        </w:rPr>
        <w:t xml:space="preserve"> and i</w:t>
      </w:r>
      <w:r w:rsidR="00416D3F" w:rsidRPr="005359EE">
        <w:rPr>
          <w:lang w:val="en-US"/>
        </w:rPr>
        <w:t xml:space="preserve">naccurate values of key </w:t>
      </w:r>
      <w:r w:rsidR="00563E3B" w:rsidRPr="005359EE">
        <w:rPr>
          <w:lang w:val="en-US"/>
        </w:rPr>
        <w:t>conditions</w:t>
      </w:r>
      <w:r w:rsidR="00416D3F" w:rsidRPr="005359EE">
        <w:rPr>
          <w:lang w:val="en-US"/>
        </w:rPr>
        <w:t xml:space="preserve"> </w:t>
      </w:r>
      <w:r w:rsidR="000F62A6" w:rsidRPr="005359EE">
        <w:rPr>
          <w:lang w:val="en-US"/>
        </w:rPr>
        <w:t xml:space="preserve">can </w:t>
      </w:r>
      <w:r w:rsidR="00416D3F" w:rsidRPr="005359EE">
        <w:rPr>
          <w:lang w:val="en-US"/>
        </w:rPr>
        <w:t xml:space="preserve">lead to biased results </w:t>
      </w:r>
      <w:r w:rsidR="00416D3F" w:rsidRPr="005359EE">
        <w:rPr>
          <w:lang w:val="en-US"/>
        </w:rPr>
        <w:fldChar w:fldCharType="begin" w:fldLock="1"/>
      </w:r>
      <w:r w:rsidR="00416D3F" w:rsidRPr="005359EE">
        <w:rPr>
          <w:lang w:val="en-US"/>
        </w:rPr>
        <w:instrText>ADDIN CSL_CITATION {"citationItems":[{"id":"ITEM-1","itemData":{"DOI":"10.1093/pan/mpu016","ISSN":"14764989","abstract":"Scholars have increasingly turned to fuzzy set Qualitative Comparative Analysis (fsQCA) to conduct small- and medium-N studies, arguing that it combines the most desired elements of variable-oriented and case-oriented research. This article demonstrates, however, that fsQCA is an extraordinarily sensitive method whose results are worryingly susceptible to minor parametric and model specification changes. We make two specific claims. First, the causal conditions identified by fsQCA as being sufficient for an outcome to occur are highly contingent upon the values of several key parameters selected by the user. Second, fsQCA results are subject to marked confirmation bias. Given its tendency toward finding complex connections between variables, the method is highly likely to identify as sufficient for an outcome causal combinations containing even randomly generated variables. To support these arguments, we replicate three articles utilizing fsQCA and conduct sensitivity analyses and Monte Carlo simulations to assess the impact of small changes in parameter values and the method's built-in confirmation bias on the overall conclusions about sufficient conditions.","author":[{"dropping-particle":"","family":"Krogslund","given":"Chris","non-dropping-particle":"","parse-names":false,"suffix":""},{"dropping-particle":"","family":"Choi","given":"Donghyun Danny","non-dropping-particle":"","parse-names":false,"suffix":""},{"dropping-particle":"","family":"Poertner","given":"Mathias","non-dropping-particle":"","parse-names":false,"suffix":""}],"container-title":"Political Analysis","id":"ITEM-1","issue":"1","issued":{"date-parts":[["2015"]]},"page":"21-41","title":"Fuzzy sets on shaky ground: Parameter sensitivity and confirmation bias in fsQCA","type":"article-journal","volume":"23"},"uris":["http://www.mendeley.com/documents/?uuid=64016a32-803c-44ac-9e7d-3d09a2bbaa3a"]}],"mendeley":{"formattedCitation":"(Krogslund et al., 2015)","plainTextFormattedCitation":"(Krogslund et al., 2015)","previouslyFormattedCitation":"(Krogslund et al., 2015)"},"properties":{"noteIndex":0},"schema":"https://github.com/citation-style-language/schema/raw/master/csl-citation.json"}</w:instrText>
      </w:r>
      <w:r w:rsidR="00416D3F" w:rsidRPr="005359EE">
        <w:rPr>
          <w:lang w:val="en-US"/>
        </w:rPr>
        <w:fldChar w:fldCharType="separate"/>
      </w:r>
      <w:r w:rsidR="00416D3F" w:rsidRPr="005359EE">
        <w:rPr>
          <w:noProof/>
          <w:lang w:val="en-US"/>
        </w:rPr>
        <w:t>(Krogslund et al., 2015)</w:t>
      </w:r>
      <w:r w:rsidR="00416D3F" w:rsidRPr="005359EE">
        <w:rPr>
          <w:lang w:val="en-US"/>
        </w:rPr>
        <w:fldChar w:fldCharType="end"/>
      </w:r>
      <w:r w:rsidR="00416D3F" w:rsidRPr="005359EE">
        <w:rPr>
          <w:lang w:val="en-US"/>
        </w:rPr>
        <w:t>. As we rely on secondary data, we lack the substantive knowledge needed to calibrate fuzzy</w:t>
      </w:r>
      <w:r w:rsidRPr="005359EE">
        <w:rPr>
          <w:lang w:val="en-US"/>
        </w:rPr>
        <w:t>-</w:t>
      </w:r>
      <w:r w:rsidR="00416D3F" w:rsidRPr="005359EE">
        <w:rPr>
          <w:lang w:val="en-US"/>
        </w:rPr>
        <w:t>set data.</w:t>
      </w:r>
      <w:r w:rsidR="00AD5A53" w:rsidRPr="005359EE">
        <w:rPr>
          <w:lang w:val="en-US"/>
        </w:rPr>
        <w:t xml:space="preserve"> Therefore,</w:t>
      </w:r>
      <w:r w:rsidR="00416D3F" w:rsidRPr="005359EE">
        <w:rPr>
          <w:lang w:val="en-US"/>
        </w:rPr>
        <w:t xml:space="preserve"> </w:t>
      </w:r>
      <w:r w:rsidR="00E75C33" w:rsidRPr="005359EE">
        <w:rPr>
          <w:lang w:val="en-US"/>
        </w:rPr>
        <w:t>i</w:t>
      </w:r>
      <w:r w:rsidR="00416D3F" w:rsidRPr="005359EE">
        <w:rPr>
          <w:lang w:val="en-US"/>
        </w:rPr>
        <w:t xml:space="preserve">t seems sensible to opt for </w:t>
      </w:r>
      <w:r w:rsidRPr="005359EE">
        <w:rPr>
          <w:lang w:val="en-US"/>
        </w:rPr>
        <w:t>the</w:t>
      </w:r>
      <w:r w:rsidR="00416D3F" w:rsidRPr="005359EE">
        <w:rPr>
          <w:lang w:val="en-US"/>
        </w:rPr>
        <w:t xml:space="preserve"> more robust csQCA or </w:t>
      </w:r>
      <w:proofErr w:type="spellStart"/>
      <w:r w:rsidR="00416D3F" w:rsidRPr="005359EE">
        <w:rPr>
          <w:lang w:val="en-US"/>
        </w:rPr>
        <w:t>mvQCA</w:t>
      </w:r>
      <w:proofErr w:type="spellEnd"/>
      <w:r w:rsidR="00D538D6" w:rsidRPr="005359EE">
        <w:rPr>
          <w:lang w:val="en-US"/>
        </w:rPr>
        <w:t xml:space="preserve"> techniques</w:t>
      </w:r>
      <w:r w:rsidR="00416D3F" w:rsidRPr="005359EE">
        <w:rPr>
          <w:lang w:val="en-US"/>
        </w:rPr>
        <w:t xml:space="preserve">. The choice between csQCA and </w:t>
      </w:r>
      <w:proofErr w:type="spellStart"/>
      <w:r w:rsidR="00416D3F" w:rsidRPr="005359EE">
        <w:rPr>
          <w:lang w:val="en-US"/>
        </w:rPr>
        <w:t>mvQCA</w:t>
      </w:r>
      <w:proofErr w:type="spellEnd"/>
      <w:r w:rsidR="00416D3F" w:rsidRPr="005359EE">
        <w:rPr>
          <w:lang w:val="en-US"/>
        </w:rPr>
        <w:t xml:space="preserve"> depends on the type of data </w:t>
      </w:r>
      <w:r w:rsidR="00416D3F" w:rsidRPr="005359EE">
        <w:rPr>
          <w:lang w:val="en-US"/>
        </w:rPr>
        <w:fldChar w:fldCharType="begin" w:fldLock="1"/>
      </w:r>
      <w:r w:rsidR="000D53BE" w:rsidRPr="005359EE">
        <w:rPr>
          <w:lang w:val="en-US"/>
        </w:rPr>
        <w:instrText>ADDIN CSL_CITATION {"citationItems":[{"id":"ITEM-1","itemData":{"DOI":"10.1177/1525822X09332633","ISSN":"1525822X","abstract":"This article assesses the strengths and shortcomings of multi-value qualitative comparative analysis (mvQCA), a comparative technique for small- to medium-sized data sets that has been integrated in the TOSMANA software developed by Lasse Cronqvist. The main difference with \"crisp-set\" QCA is that in mvQCA, the conditions can have more values than just the Boolean values 0 and 1, whereas the main difference with \"fuzzy-set\" QCA is that mvQCA conditions remain discrete. The major advantage of nondichotomous categorization, according to its proponents, is that it reduces the likelihood of contradictory configurations because of a more homogeneous grouping of cases. We give an overview of existing mvQCA applications, with a detailed discussion of two recent publications, and argue that crisp-set and fuzzy-set alternatives should be less easily discarded, as the mvQCA solution comes with substantial set-theoretical costs. © 2009 SAGE Publications.","author":[{"dropping-particle":"","family":"Vink","given":"Maarten P.","non-dropping-particle":"","parse-names":false,"suffix":""},{"dropping-particle":"","family":"Vliet","given":"Olaf","non-dropping-particle":"van","parse-names":false,"suffix":""}],"container-title":"Field Methods","id":"ITEM-1","issue":"3","issued":{"date-parts":[["2009"]]},"page":"265-289","title":"Not quite crisp, not yet fuzzy? assessing the potentials and pitfalls of multi-value QCA","type":"article-journal","volume":"21"},"uris":["http://www.mendeley.com/documents/?uuid=ae8f22cb-32cb-49d2-af1f-95e816c539aa"]},{"id":"ITEM-2","itemData":{"author":[{"dropping-particle":"","family":"Ragin","given":"C.C.","non-dropping-particle":"","parse-names":false,"suffix":""}],"id":"ITEM-2","issued":{"date-parts":[["2000"]]},"publisher":"University of Chicago Press","title":"Fuzzy-set social science","type":"book"},"uris":["http://www.mendeley.com/documents/?uuid=f90188db-df04-4ec6-a251-93b0a4202010"]},{"id":"ITEM-3","itemData":{"author":[{"dropping-particle":"","family":"Ragin","given":"C.C.","non-dropping-particle":"","parse-names":false,"suffix":""}],"container-title":"Configurational comparative methods","editor":[{"dropping-particle":"","family":"Rihoux","given":"B.","non-dropping-particle":"","parse-names":false,"suffix":""},{"dropping-particle":"","family":"Meur","given":"G.","non-dropping-particle":"De","parse-names":false,"suffix":""}],"id":"ITEM-3","issued":{"date-parts":[["2008"]]},"page":"87-121","publisher":"Sage","publisher-place":"Thousand Oaks, CA","title":"Qualitative comparative analysis using fuzzy sets (fsQCA)","type":"chapter"},"uris":["http://www.mendeley.com/documents/?uuid=fb24a24b-876d-489c-bdcb-b875e557d818"]}],"mendeley":{"formattedCitation":"(C.C. Ragin, 2000, 2008; Vink &amp; van Vliet, 2009)","manualFormatting":"(Ragin, 2008; Vink and van Vliet, 2009)","plainTextFormattedCitation":"(C.C. Ragin, 2000, 2008; Vink &amp; van Vliet, 2009)","previouslyFormattedCitation":"(C.C. Ragin, 2000, 2008; Vink &amp; van Vliet, 2009)"},"properties":{"noteIndex":0},"schema":"https://github.com/citation-style-language/schema/raw/master/csl-citation.json"}</w:instrText>
      </w:r>
      <w:r w:rsidR="00416D3F" w:rsidRPr="005359EE">
        <w:rPr>
          <w:lang w:val="en-US"/>
        </w:rPr>
        <w:fldChar w:fldCharType="separate"/>
      </w:r>
      <w:r w:rsidR="00E168FE" w:rsidRPr="005359EE">
        <w:rPr>
          <w:noProof/>
          <w:lang w:val="en-US"/>
        </w:rPr>
        <w:t xml:space="preserve">(Ragin, 2008; Vink </w:t>
      </w:r>
      <w:r w:rsidR="00EF7082" w:rsidRPr="005359EE">
        <w:rPr>
          <w:noProof/>
          <w:lang w:val="en-US"/>
        </w:rPr>
        <w:t>and</w:t>
      </w:r>
      <w:r w:rsidR="00E168FE" w:rsidRPr="005359EE">
        <w:rPr>
          <w:noProof/>
          <w:lang w:val="en-US"/>
        </w:rPr>
        <w:t xml:space="preserve"> van Vliet, 2009)</w:t>
      </w:r>
      <w:r w:rsidR="00416D3F" w:rsidRPr="005359EE">
        <w:rPr>
          <w:lang w:val="en-US"/>
        </w:rPr>
        <w:fldChar w:fldCharType="end"/>
      </w:r>
      <w:r w:rsidR="00416D3F" w:rsidRPr="005359EE">
        <w:rPr>
          <w:lang w:val="en-US"/>
        </w:rPr>
        <w:t xml:space="preserve">. Table </w:t>
      </w:r>
      <w:r w:rsidR="00386472" w:rsidRPr="005359EE">
        <w:rPr>
          <w:lang w:val="en-US"/>
        </w:rPr>
        <w:t>2</w:t>
      </w:r>
      <w:r w:rsidR="00416D3F" w:rsidRPr="005359EE">
        <w:rPr>
          <w:lang w:val="en-US"/>
        </w:rPr>
        <w:t xml:space="preserve"> shows the data types of our study </w:t>
      </w:r>
      <w:r w:rsidRPr="005359EE">
        <w:rPr>
          <w:lang w:val="en-US"/>
        </w:rPr>
        <w:t>and the</w:t>
      </w:r>
      <w:r w:rsidR="000F62A6" w:rsidRPr="005359EE">
        <w:rPr>
          <w:lang w:val="en-US"/>
        </w:rPr>
        <w:t xml:space="preserve"> </w:t>
      </w:r>
      <w:r w:rsidR="00416D3F" w:rsidRPr="005359EE">
        <w:rPr>
          <w:lang w:val="en-US"/>
        </w:rPr>
        <w:t xml:space="preserve">possible QCA </w:t>
      </w:r>
      <w:r w:rsidR="000F62A6" w:rsidRPr="005359EE">
        <w:rPr>
          <w:lang w:val="en-US"/>
        </w:rPr>
        <w:t>techniques</w:t>
      </w:r>
      <w:r w:rsidR="00416D3F" w:rsidRPr="005359EE">
        <w:rPr>
          <w:lang w:val="en-US"/>
        </w:rPr>
        <w:t xml:space="preserve"> according to </w:t>
      </w:r>
      <w:r w:rsidR="00416D3F" w:rsidRPr="005359EE">
        <w:rPr>
          <w:lang w:val="en-US"/>
        </w:rPr>
        <w:fldChar w:fldCharType="begin" w:fldLock="1"/>
      </w:r>
      <w:r w:rsidR="00C83A66">
        <w:rPr>
          <w:lang w:val="en-US"/>
        </w:rPr>
        <w:instrText>ADDIN CSL_CITATION {"citationItems":[{"id":"ITEM-1","itemData":{"DOI":"10.1177/1525822X09332633","ISSN":"1525822X","abstract":"This article assesses the strengths and shortcomings of multi-value qualitative comparative analysis (mvQCA), a comparative technique for small- to medium-sized data sets that has been integrated in the TOSMANA software developed by Lasse Cronqvist. The main difference with \"crisp-set\" QCA is that in mvQCA, the conditions can have more values than just the Boolean values 0 and 1, whereas the main difference with \"fuzzy-set\" QCA is that mvQCA conditions remain discrete. The major advantage of nondichotomous categorization, according to its proponents, is that it reduces the likelihood of contradictory configurations because of a more homogeneous grouping of cases. We give an overview of existing mvQCA applications, with a detailed discussion of two recent publications, and argue that crisp-set and fuzzy-set alternatives should be less easily discarded, as the mvQCA solution comes with substantial set-theoretical costs. © 2009 SAGE Publications.","author":[{"dropping-particle":"","family":"Vink","given":"Maarten P.","non-dropping-particle":"","parse-names":false,"suffix":""},{"dropping-particle":"","family":"Vliet","given":"Olaf","non-dropping-particle":"van","parse-names":false,"suffix":""}],"container-title":"Field Methods","id":"ITEM-1","issue":"3","issued":{"date-parts":[["2009"]]},"page":"265-289","title":"Not quite crisp, not yet fuzzy? assessing the potentials and pitfalls of multi-value QCA","type":"article-journal","volume":"21"},"uris":["http://www.mendeley.com/documents/?uuid=ae8f22cb-32cb-49d2-af1f-95e816c539aa"]},{"id":"ITEM-2","itemData":{"DOI":"10.1177/1525822X13478134","ISSN":"1525822X","author":[{"dropping-particle":"","family":"Vink","given":"Maarten P.","non-dropping-particle":"","parse-names":false,"suffix":""},{"dropping-particle":"","family":"Vliet","given":"Olaf","non-dropping-particle":"van","parse-names":false,"suffix":""}],"container-title":"Field Methods","id":"ITEM-2","issue":"2","issued":{"date-parts":[["2013"]]},"page":"208-213","title":"Potentials and Pitfalls of Multi-value QCA: Response to Thiem","type":"article-journal","volume":"25"},"uris":["http://www.mendeley.com/documents/?uuid=ea772668-90ea-4a34-8aa2-dc5156001fc1"]}],"mendeley":{"formattedCitation":"(Vink &amp; van Vliet, 2009, 2013)","manualFormatting":"Vink and van Vliet (2009)","plainTextFormattedCitation":"(Vink &amp; van Vliet, 2009, 2013)","previouslyFormattedCitation":"(Vink &amp; van Vliet, 2009, 2013)"},"properties":{"noteIndex":0},"schema":"https://github.com/citation-style-language/schema/raw/master/csl-citation.json"}</w:instrText>
      </w:r>
      <w:r w:rsidR="00416D3F" w:rsidRPr="005359EE">
        <w:rPr>
          <w:lang w:val="en-US"/>
        </w:rPr>
        <w:fldChar w:fldCharType="separate"/>
      </w:r>
      <w:r w:rsidR="00416D3F" w:rsidRPr="005359EE">
        <w:rPr>
          <w:noProof/>
          <w:lang w:val="en-US"/>
        </w:rPr>
        <w:t>Vink and van Vliet (2009)</w:t>
      </w:r>
      <w:r w:rsidR="00416D3F" w:rsidRPr="005359EE">
        <w:rPr>
          <w:lang w:val="en-US"/>
        </w:rPr>
        <w:fldChar w:fldCharType="end"/>
      </w:r>
      <w:r w:rsidR="00416D3F" w:rsidRPr="005359EE">
        <w:rPr>
          <w:lang w:val="en-US"/>
        </w:rPr>
        <w:t xml:space="preserve"> and </w:t>
      </w:r>
      <w:r w:rsidR="00416D3F" w:rsidRPr="005359EE">
        <w:rPr>
          <w:lang w:val="en-US"/>
        </w:rPr>
        <w:fldChar w:fldCharType="begin" w:fldLock="1"/>
      </w:r>
      <w:r w:rsidR="00C83A66">
        <w:rPr>
          <w:lang w:val="en-US"/>
        </w:rPr>
        <w:instrText>ADDIN CSL_CITATION {"citationItems":[{"id":"ITEM-1","itemData":{"author":[{"dropping-particle":"","family":"Ragin","given":"C.C.","non-dropping-particle":"","parse-names":false,"suffix":""}],"id":"ITEM-1","issued":{"date-parts":[["2000"]]},"publisher":"University of Chicago Press","title":"Fuzzy-set social science","type":"book"},"uris":["http://www.mendeley.com/documents/?uuid=f90188db-df04-4ec6-a251-93b0a4202010"]},{"id":"ITEM-2","itemData":{"author":[{"dropping-particle":"","family":"Ragin","given":"C.C.","non-dropping-particle":"","parse-names":false,"suffix":""}],"container-title":"Configurational comparative methods","editor":[{"dropping-particle":"","family":"Rihoux","given":"B.","non-dropping-particle":"","parse-names":false,"suffix":""},{"dropping-particle":"","family":"Meur","given":"G.","non-dropping-particle":"De","parse-names":false,"suffix":""}],"id":"ITEM-2","issued":{"date-parts":[["2008"]]},"page":"87-121","publisher":"Sage","publisher-place":"Thousand Oaks, CA","title":"Qualitative comparative analysis using fuzzy sets (fsQCA)","type":"chapter"},"uris":["http://www.mendeley.com/documents/?uuid=fb24a24b-876d-489c-bdcb-b875e557d818"]}],"mendeley":{"formattedCitation":"(C.C. Ragin, 2000, 2008)","manualFormatting":"Ragin (2008)","plainTextFormattedCitation":"(C.C. Ragin, 2000, 2008)","previouslyFormattedCitation":"(C.C. Ragin, 2000, 2008)"},"properties":{"noteIndex":0},"schema":"https://github.com/citation-style-language/schema/raw/master/csl-citation.json"}</w:instrText>
      </w:r>
      <w:r w:rsidR="00416D3F" w:rsidRPr="005359EE">
        <w:rPr>
          <w:lang w:val="en-US"/>
        </w:rPr>
        <w:fldChar w:fldCharType="separate"/>
      </w:r>
      <w:r w:rsidR="00416D3F" w:rsidRPr="005359EE">
        <w:rPr>
          <w:noProof/>
          <w:lang w:val="en-US"/>
        </w:rPr>
        <w:t>Ragin (2008)</w:t>
      </w:r>
      <w:r w:rsidR="00416D3F" w:rsidRPr="005359EE">
        <w:rPr>
          <w:lang w:val="en-US"/>
        </w:rPr>
        <w:fldChar w:fldCharType="end"/>
      </w:r>
      <w:r w:rsidR="00416D3F" w:rsidRPr="005359EE">
        <w:rPr>
          <w:lang w:val="en-US"/>
        </w:rPr>
        <w:t xml:space="preserve">. As evident from </w:t>
      </w:r>
      <w:r w:rsidR="00D4037A">
        <w:rPr>
          <w:lang w:val="en-US"/>
        </w:rPr>
        <w:t>T</w:t>
      </w:r>
      <w:r w:rsidR="00416D3F" w:rsidRPr="005359EE">
        <w:rPr>
          <w:lang w:val="en-US"/>
        </w:rPr>
        <w:t xml:space="preserve">able </w:t>
      </w:r>
      <w:r w:rsidR="00386472" w:rsidRPr="005359EE">
        <w:rPr>
          <w:lang w:val="en-US"/>
        </w:rPr>
        <w:t>2</w:t>
      </w:r>
      <w:r w:rsidR="00416D3F" w:rsidRPr="005359EE">
        <w:rPr>
          <w:lang w:val="en-US"/>
        </w:rPr>
        <w:t>, the csQCA (</w:t>
      </w:r>
      <w:r w:rsidRPr="005359EE">
        <w:rPr>
          <w:lang w:val="en-US"/>
        </w:rPr>
        <w:t>with</w:t>
      </w:r>
      <w:r w:rsidR="00416D3F" w:rsidRPr="005359EE">
        <w:rPr>
          <w:lang w:val="en-US"/>
        </w:rPr>
        <w:t xml:space="preserve"> dichotomize</w:t>
      </w:r>
      <w:r w:rsidRPr="005359EE">
        <w:rPr>
          <w:lang w:val="en-US"/>
        </w:rPr>
        <w:t>d</w:t>
      </w:r>
      <w:r w:rsidR="00416D3F" w:rsidRPr="005359EE">
        <w:rPr>
          <w:lang w:val="en-US"/>
        </w:rPr>
        <w:t xml:space="preserve"> multichotomous </w:t>
      </w:r>
      <w:r w:rsidR="00563E3B" w:rsidRPr="005359EE">
        <w:rPr>
          <w:lang w:val="en-US"/>
        </w:rPr>
        <w:t>conditions</w:t>
      </w:r>
      <w:r w:rsidR="00416D3F" w:rsidRPr="005359EE">
        <w:rPr>
          <w:lang w:val="en-US"/>
        </w:rPr>
        <w:t xml:space="preserve">) is the most appropriate QCA </w:t>
      </w:r>
      <w:r w:rsidR="000F62A6" w:rsidRPr="005359EE">
        <w:rPr>
          <w:lang w:val="en-US"/>
        </w:rPr>
        <w:t>technique</w:t>
      </w:r>
      <w:r w:rsidR="00416D3F" w:rsidRPr="005359EE">
        <w:rPr>
          <w:lang w:val="en-US"/>
        </w:rPr>
        <w:t xml:space="preserve"> for our study. </w:t>
      </w:r>
    </w:p>
    <w:p w14:paraId="2A56F3AC" w14:textId="77777777" w:rsidR="00416D3F" w:rsidRPr="005359EE" w:rsidRDefault="00416D3F" w:rsidP="00416D3F">
      <w:pPr>
        <w:spacing w:after="0"/>
        <w:jc w:val="both"/>
        <w:rPr>
          <w:lang w:val="en-US"/>
        </w:rPr>
      </w:pP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08"/>
        <w:gridCol w:w="2895"/>
        <w:gridCol w:w="2977"/>
        <w:gridCol w:w="992"/>
      </w:tblGrid>
      <w:tr w:rsidR="00416D3F" w:rsidRPr="005359EE" w14:paraId="69203D79" w14:textId="77777777" w:rsidTr="00FE7A6A">
        <w:tc>
          <w:tcPr>
            <w:tcW w:w="2208" w:type="dxa"/>
            <w:tcBorders>
              <w:top w:val="single" w:sz="4" w:space="0" w:color="auto"/>
              <w:bottom w:val="single" w:sz="4" w:space="0" w:color="auto"/>
            </w:tcBorders>
          </w:tcPr>
          <w:p w14:paraId="64CEE586" w14:textId="77777777" w:rsidR="00416D3F" w:rsidRPr="005359EE" w:rsidRDefault="00416D3F" w:rsidP="00FE7A6A">
            <w:pPr>
              <w:rPr>
                <w:b/>
                <w:bCs/>
                <w:i/>
                <w:iCs/>
                <w:sz w:val="16"/>
                <w:szCs w:val="16"/>
                <w:lang w:val="en-US"/>
              </w:rPr>
            </w:pPr>
            <w:r w:rsidRPr="005359EE">
              <w:rPr>
                <w:b/>
                <w:bCs/>
                <w:i/>
                <w:iCs/>
                <w:sz w:val="16"/>
                <w:szCs w:val="16"/>
                <w:lang w:val="en-US"/>
              </w:rPr>
              <w:t>Data type</w:t>
            </w:r>
          </w:p>
        </w:tc>
        <w:tc>
          <w:tcPr>
            <w:tcW w:w="2895" w:type="dxa"/>
            <w:tcBorders>
              <w:top w:val="single" w:sz="4" w:space="0" w:color="auto"/>
              <w:bottom w:val="single" w:sz="4" w:space="0" w:color="auto"/>
            </w:tcBorders>
          </w:tcPr>
          <w:p w14:paraId="70482FED" w14:textId="77777777" w:rsidR="00416D3F" w:rsidRPr="005359EE" w:rsidRDefault="00416D3F" w:rsidP="00FE7A6A">
            <w:pPr>
              <w:rPr>
                <w:b/>
                <w:bCs/>
                <w:i/>
                <w:iCs/>
                <w:sz w:val="16"/>
                <w:szCs w:val="16"/>
                <w:lang w:val="en-US"/>
              </w:rPr>
            </w:pPr>
            <w:r w:rsidRPr="005359EE">
              <w:rPr>
                <w:b/>
                <w:bCs/>
                <w:i/>
                <w:iCs/>
                <w:sz w:val="16"/>
                <w:szCs w:val="16"/>
                <w:lang w:val="en-US"/>
              </w:rPr>
              <w:t>Example</w:t>
            </w:r>
          </w:p>
        </w:tc>
        <w:tc>
          <w:tcPr>
            <w:tcW w:w="2977" w:type="dxa"/>
            <w:tcBorders>
              <w:top w:val="single" w:sz="4" w:space="0" w:color="auto"/>
              <w:bottom w:val="single" w:sz="4" w:space="0" w:color="auto"/>
            </w:tcBorders>
          </w:tcPr>
          <w:p w14:paraId="1C6386AB" w14:textId="77777777" w:rsidR="00416D3F" w:rsidRPr="005359EE" w:rsidRDefault="00416D3F" w:rsidP="00FE7A6A">
            <w:pPr>
              <w:rPr>
                <w:b/>
                <w:bCs/>
                <w:i/>
                <w:iCs/>
                <w:sz w:val="16"/>
                <w:szCs w:val="16"/>
                <w:lang w:val="en-US"/>
              </w:rPr>
            </w:pPr>
            <w:r w:rsidRPr="005359EE">
              <w:rPr>
                <w:b/>
                <w:bCs/>
                <w:i/>
                <w:iCs/>
                <w:sz w:val="16"/>
                <w:szCs w:val="16"/>
                <w:lang w:val="en-US"/>
              </w:rPr>
              <w:t>csQCA</w:t>
            </w:r>
          </w:p>
        </w:tc>
        <w:tc>
          <w:tcPr>
            <w:tcW w:w="992" w:type="dxa"/>
            <w:tcBorders>
              <w:top w:val="single" w:sz="4" w:space="0" w:color="auto"/>
              <w:bottom w:val="single" w:sz="4" w:space="0" w:color="auto"/>
            </w:tcBorders>
          </w:tcPr>
          <w:p w14:paraId="3132136E" w14:textId="77777777" w:rsidR="00416D3F" w:rsidRPr="005359EE" w:rsidRDefault="00416D3F" w:rsidP="00FE7A6A">
            <w:pPr>
              <w:rPr>
                <w:b/>
                <w:bCs/>
                <w:i/>
                <w:iCs/>
                <w:sz w:val="16"/>
                <w:szCs w:val="16"/>
                <w:lang w:val="en-US"/>
              </w:rPr>
            </w:pPr>
            <w:proofErr w:type="spellStart"/>
            <w:r w:rsidRPr="005359EE">
              <w:rPr>
                <w:b/>
                <w:bCs/>
                <w:i/>
                <w:iCs/>
                <w:sz w:val="16"/>
                <w:szCs w:val="16"/>
                <w:lang w:val="en-US"/>
              </w:rPr>
              <w:t>mvQCA</w:t>
            </w:r>
            <w:proofErr w:type="spellEnd"/>
            <w:r w:rsidRPr="005359EE">
              <w:rPr>
                <w:b/>
                <w:bCs/>
                <w:i/>
                <w:iCs/>
                <w:sz w:val="16"/>
                <w:szCs w:val="16"/>
                <w:lang w:val="en-US"/>
              </w:rPr>
              <w:t xml:space="preserve"> </w:t>
            </w:r>
          </w:p>
        </w:tc>
      </w:tr>
      <w:tr w:rsidR="00416D3F" w:rsidRPr="005359EE" w14:paraId="48CC04D1" w14:textId="77777777" w:rsidTr="00FE7A6A">
        <w:tc>
          <w:tcPr>
            <w:tcW w:w="2208" w:type="dxa"/>
            <w:tcBorders>
              <w:top w:val="single" w:sz="4" w:space="0" w:color="auto"/>
            </w:tcBorders>
          </w:tcPr>
          <w:p w14:paraId="14E334FC" w14:textId="77777777" w:rsidR="00416D3F" w:rsidRPr="005359EE" w:rsidRDefault="00416D3F" w:rsidP="00FE7A6A">
            <w:pPr>
              <w:rPr>
                <w:sz w:val="16"/>
                <w:szCs w:val="16"/>
                <w:lang w:val="en-US"/>
              </w:rPr>
            </w:pPr>
            <w:r w:rsidRPr="005359EE">
              <w:rPr>
                <w:sz w:val="16"/>
                <w:szCs w:val="16"/>
                <w:lang w:val="en-US"/>
              </w:rPr>
              <w:t>Dichotomous nominal data</w:t>
            </w:r>
          </w:p>
        </w:tc>
        <w:tc>
          <w:tcPr>
            <w:tcW w:w="2895" w:type="dxa"/>
            <w:tcBorders>
              <w:top w:val="single" w:sz="4" w:space="0" w:color="auto"/>
            </w:tcBorders>
          </w:tcPr>
          <w:p w14:paraId="6B745BD8" w14:textId="1AF7F45B" w:rsidR="00416D3F" w:rsidRPr="005359EE" w:rsidRDefault="007A730C" w:rsidP="00FE7A6A">
            <w:pPr>
              <w:rPr>
                <w:sz w:val="16"/>
                <w:szCs w:val="16"/>
                <w:lang w:val="en-US"/>
              </w:rPr>
            </w:pPr>
            <w:r w:rsidRPr="005359EE">
              <w:rPr>
                <w:sz w:val="16"/>
                <w:szCs w:val="16"/>
                <w:lang w:val="en-US"/>
              </w:rPr>
              <w:t>Product transformation</w:t>
            </w:r>
            <w:r w:rsidR="00416D3F" w:rsidRPr="005359EE">
              <w:rPr>
                <w:sz w:val="16"/>
                <w:szCs w:val="16"/>
                <w:lang w:val="en-US"/>
              </w:rPr>
              <w:t xml:space="preserve">: </w:t>
            </w:r>
            <w:r w:rsidRPr="005359EE">
              <w:rPr>
                <w:sz w:val="16"/>
                <w:szCs w:val="16"/>
                <w:lang w:val="en-US"/>
              </w:rPr>
              <w:t>upcycling</w:t>
            </w:r>
            <w:r w:rsidR="00416D3F" w:rsidRPr="005359EE">
              <w:rPr>
                <w:sz w:val="16"/>
                <w:szCs w:val="16"/>
                <w:lang w:val="en-US"/>
              </w:rPr>
              <w:t xml:space="preserve">, </w:t>
            </w:r>
            <w:r w:rsidRPr="005359EE">
              <w:rPr>
                <w:sz w:val="16"/>
                <w:szCs w:val="16"/>
                <w:lang w:val="en-US"/>
              </w:rPr>
              <w:t>downcycling</w:t>
            </w:r>
          </w:p>
        </w:tc>
        <w:tc>
          <w:tcPr>
            <w:tcW w:w="2977" w:type="dxa"/>
            <w:tcBorders>
              <w:top w:val="single" w:sz="4" w:space="0" w:color="auto"/>
            </w:tcBorders>
          </w:tcPr>
          <w:p w14:paraId="69F4656D" w14:textId="77777777" w:rsidR="00416D3F" w:rsidRPr="005359EE" w:rsidRDefault="00416D3F" w:rsidP="00FE7A6A">
            <w:pPr>
              <w:rPr>
                <w:sz w:val="16"/>
                <w:szCs w:val="16"/>
                <w:lang w:val="en-US"/>
              </w:rPr>
            </w:pPr>
            <w:r w:rsidRPr="005359EE">
              <w:rPr>
                <w:sz w:val="16"/>
                <w:szCs w:val="16"/>
                <w:lang w:val="en-US"/>
              </w:rPr>
              <w:t>Yes</w:t>
            </w:r>
          </w:p>
        </w:tc>
        <w:tc>
          <w:tcPr>
            <w:tcW w:w="992" w:type="dxa"/>
            <w:tcBorders>
              <w:top w:val="single" w:sz="4" w:space="0" w:color="auto"/>
            </w:tcBorders>
          </w:tcPr>
          <w:p w14:paraId="5FE3FF75" w14:textId="77777777" w:rsidR="00416D3F" w:rsidRPr="005359EE" w:rsidRDefault="00416D3F" w:rsidP="00FE7A6A">
            <w:pPr>
              <w:rPr>
                <w:sz w:val="16"/>
                <w:szCs w:val="16"/>
                <w:lang w:val="en-US"/>
              </w:rPr>
            </w:pPr>
            <w:r w:rsidRPr="005359EE">
              <w:rPr>
                <w:sz w:val="16"/>
                <w:szCs w:val="16"/>
                <w:lang w:val="en-US"/>
              </w:rPr>
              <w:t>No</w:t>
            </w:r>
          </w:p>
        </w:tc>
      </w:tr>
      <w:tr w:rsidR="00416D3F" w:rsidRPr="005359EE" w14:paraId="152DB322" w14:textId="77777777" w:rsidTr="00FE7A6A">
        <w:tc>
          <w:tcPr>
            <w:tcW w:w="2208" w:type="dxa"/>
          </w:tcPr>
          <w:p w14:paraId="55E1B38B" w14:textId="77777777" w:rsidR="00416D3F" w:rsidRPr="005359EE" w:rsidRDefault="00416D3F" w:rsidP="00FE7A6A">
            <w:pPr>
              <w:rPr>
                <w:sz w:val="16"/>
                <w:szCs w:val="16"/>
                <w:lang w:val="en-US"/>
              </w:rPr>
            </w:pPr>
            <w:r w:rsidRPr="005359EE">
              <w:rPr>
                <w:sz w:val="16"/>
                <w:szCs w:val="16"/>
                <w:lang w:val="en-US"/>
              </w:rPr>
              <w:t>Multichotomous nominal data</w:t>
            </w:r>
          </w:p>
        </w:tc>
        <w:tc>
          <w:tcPr>
            <w:tcW w:w="2895" w:type="dxa"/>
          </w:tcPr>
          <w:p w14:paraId="4EB1D1BB" w14:textId="657BD3AB" w:rsidR="00416D3F" w:rsidRPr="005359EE" w:rsidRDefault="00D538D6" w:rsidP="00FE7A6A">
            <w:pPr>
              <w:rPr>
                <w:sz w:val="16"/>
                <w:szCs w:val="16"/>
                <w:lang w:val="en-US"/>
              </w:rPr>
            </w:pPr>
            <w:r w:rsidRPr="005359EE">
              <w:rPr>
                <w:sz w:val="16"/>
                <w:szCs w:val="16"/>
                <w:lang w:val="en-US"/>
              </w:rPr>
              <w:t>Manufacturing type</w:t>
            </w:r>
            <w:r w:rsidR="00416D3F" w:rsidRPr="005359EE">
              <w:rPr>
                <w:sz w:val="16"/>
                <w:szCs w:val="16"/>
                <w:lang w:val="en-US"/>
              </w:rPr>
              <w:t xml:space="preserve">: </w:t>
            </w:r>
            <w:r w:rsidRPr="005359EE">
              <w:rPr>
                <w:sz w:val="16"/>
                <w:szCs w:val="16"/>
                <w:lang w:val="en-US"/>
              </w:rPr>
              <w:t>process</w:t>
            </w:r>
            <w:r w:rsidR="006E09C8" w:rsidRPr="005359EE">
              <w:rPr>
                <w:sz w:val="16"/>
                <w:szCs w:val="16"/>
                <w:lang w:val="en-US"/>
              </w:rPr>
              <w:t xml:space="preserve"> manufacturing</w:t>
            </w:r>
            <w:r w:rsidRPr="005359EE">
              <w:rPr>
                <w:sz w:val="16"/>
                <w:szCs w:val="16"/>
                <w:lang w:val="en-US"/>
              </w:rPr>
              <w:t xml:space="preserve">, discrete </w:t>
            </w:r>
            <w:r w:rsidR="006E09C8" w:rsidRPr="005359EE">
              <w:rPr>
                <w:sz w:val="16"/>
                <w:szCs w:val="16"/>
                <w:lang w:val="en-US"/>
              </w:rPr>
              <w:t xml:space="preserve">manufacturing </w:t>
            </w:r>
            <w:r w:rsidRPr="005359EE">
              <w:rPr>
                <w:sz w:val="16"/>
                <w:szCs w:val="16"/>
                <w:lang w:val="en-US"/>
              </w:rPr>
              <w:t xml:space="preserve">(standard), discrete </w:t>
            </w:r>
            <w:r w:rsidR="006E09C8" w:rsidRPr="005359EE">
              <w:rPr>
                <w:sz w:val="16"/>
                <w:szCs w:val="16"/>
                <w:lang w:val="en-US"/>
              </w:rPr>
              <w:t xml:space="preserve">manufacturing </w:t>
            </w:r>
            <w:r w:rsidRPr="005359EE">
              <w:rPr>
                <w:sz w:val="16"/>
                <w:szCs w:val="16"/>
                <w:lang w:val="en-US"/>
              </w:rPr>
              <w:t>(</w:t>
            </w:r>
            <w:r w:rsidR="006E09C8" w:rsidRPr="005359EE">
              <w:rPr>
                <w:sz w:val="16"/>
                <w:szCs w:val="16"/>
                <w:lang w:val="en-US"/>
              </w:rPr>
              <w:t>custom</w:t>
            </w:r>
            <w:r w:rsidRPr="005359EE">
              <w:rPr>
                <w:sz w:val="16"/>
                <w:szCs w:val="16"/>
                <w:lang w:val="en-US"/>
              </w:rPr>
              <w:t xml:space="preserve">), </w:t>
            </w:r>
            <w:r w:rsidR="007D03CA" w:rsidRPr="005359EE">
              <w:rPr>
                <w:sz w:val="16"/>
                <w:szCs w:val="16"/>
                <w:lang w:val="en-US"/>
              </w:rPr>
              <w:t>process</w:t>
            </w:r>
            <w:r w:rsidR="006E09C8" w:rsidRPr="005359EE">
              <w:rPr>
                <w:sz w:val="16"/>
                <w:szCs w:val="16"/>
                <w:lang w:val="en-US"/>
              </w:rPr>
              <w:t xml:space="preserve"> manufacturing</w:t>
            </w:r>
            <w:r w:rsidR="007D03CA" w:rsidRPr="005359EE">
              <w:rPr>
                <w:sz w:val="16"/>
                <w:szCs w:val="16"/>
                <w:lang w:val="en-US"/>
              </w:rPr>
              <w:t xml:space="preserve"> + discrete</w:t>
            </w:r>
            <w:r w:rsidR="00E75C33" w:rsidRPr="005359EE">
              <w:rPr>
                <w:sz w:val="16"/>
                <w:szCs w:val="16"/>
                <w:lang w:val="en-US"/>
              </w:rPr>
              <w:t xml:space="preserve"> </w:t>
            </w:r>
            <w:r w:rsidR="00AD5A53" w:rsidRPr="005359EE">
              <w:rPr>
                <w:sz w:val="16"/>
                <w:szCs w:val="16"/>
                <w:lang w:val="en-US"/>
              </w:rPr>
              <w:t>manufacturing</w:t>
            </w:r>
          </w:p>
        </w:tc>
        <w:tc>
          <w:tcPr>
            <w:tcW w:w="2977" w:type="dxa"/>
          </w:tcPr>
          <w:p w14:paraId="16C7E4E7" w14:textId="77777777" w:rsidR="00416D3F" w:rsidRPr="005359EE" w:rsidRDefault="00416D3F" w:rsidP="00FE7A6A">
            <w:pPr>
              <w:rPr>
                <w:sz w:val="16"/>
                <w:szCs w:val="16"/>
                <w:lang w:val="en-US"/>
              </w:rPr>
            </w:pPr>
            <w:r w:rsidRPr="005359EE">
              <w:rPr>
                <w:sz w:val="16"/>
                <w:szCs w:val="16"/>
                <w:lang w:val="en-US"/>
              </w:rPr>
              <w:t>Yes (based on dichotomized dummy variables)</w:t>
            </w:r>
          </w:p>
        </w:tc>
        <w:tc>
          <w:tcPr>
            <w:tcW w:w="992" w:type="dxa"/>
          </w:tcPr>
          <w:p w14:paraId="0DA52FF6" w14:textId="77777777" w:rsidR="00416D3F" w:rsidRPr="005359EE" w:rsidRDefault="00416D3F" w:rsidP="00FE7A6A">
            <w:pPr>
              <w:rPr>
                <w:sz w:val="16"/>
                <w:szCs w:val="16"/>
                <w:lang w:val="en-US"/>
              </w:rPr>
            </w:pPr>
            <w:r w:rsidRPr="005359EE">
              <w:rPr>
                <w:sz w:val="16"/>
                <w:szCs w:val="16"/>
                <w:lang w:val="en-US"/>
              </w:rPr>
              <w:t>Yes</w:t>
            </w:r>
          </w:p>
        </w:tc>
      </w:tr>
      <w:tr w:rsidR="00416D3F" w:rsidRPr="005359EE" w14:paraId="633C94E3" w14:textId="77777777" w:rsidTr="00FE7A6A">
        <w:tc>
          <w:tcPr>
            <w:tcW w:w="2208" w:type="dxa"/>
          </w:tcPr>
          <w:p w14:paraId="153DCCC3" w14:textId="77777777" w:rsidR="00416D3F" w:rsidRPr="005359EE" w:rsidRDefault="00416D3F" w:rsidP="00FE7A6A">
            <w:pPr>
              <w:rPr>
                <w:sz w:val="16"/>
                <w:szCs w:val="16"/>
                <w:lang w:val="en-US"/>
              </w:rPr>
            </w:pPr>
            <w:r w:rsidRPr="005359EE">
              <w:rPr>
                <w:sz w:val="16"/>
                <w:szCs w:val="16"/>
                <w:lang w:val="en-US"/>
              </w:rPr>
              <w:t>Multichotomous ordinal data</w:t>
            </w:r>
          </w:p>
        </w:tc>
        <w:tc>
          <w:tcPr>
            <w:tcW w:w="2895" w:type="dxa"/>
          </w:tcPr>
          <w:p w14:paraId="7EE50B29" w14:textId="77777777" w:rsidR="00416D3F" w:rsidRPr="005359EE" w:rsidRDefault="00416D3F" w:rsidP="00FE7A6A">
            <w:pPr>
              <w:rPr>
                <w:sz w:val="16"/>
                <w:szCs w:val="16"/>
                <w:lang w:val="en-US"/>
              </w:rPr>
            </w:pPr>
            <w:r w:rsidRPr="005359EE">
              <w:rPr>
                <w:sz w:val="16"/>
                <w:szCs w:val="16"/>
                <w:lang w:val="en-US"/>
              </w:rPr>
              <w:t>Heterogeneity of the input: high, medium, low</w:t>
            </w:r>
          </w:p>
        </w:tc>
        <w:tc>
          <w:tcPr>
            <w:tcW w:w="2977" w:type="dxa"/>
          </w:tcPr>
          <w:p w14:paraId="33EA182F" w14:textId="77777777" w:rsidR="00416D3F" w:rsidRPr="005359EE" w:rsidRDefault="00416D3F" w:rsidP="00FE7A6A">
            <w:pPr>
              <w:rPr>
                <w:sz w:val="16"/>
                <w:szCs w:val="16"/>
                <w:lang w:val="en-US"/>
              </w:rPr>
            </w:pPr>
            <w:r w:rsidRPr="005359EE">
              <w:rPr>
                <w:sz w:val="16"/>
                <w:szCs w:val="16"/>
                <w:lang w:val="en-US"/>
              </w:rPr>
              <w:t>Yes (based on dichotomized dummy variables)</w:t>
            </w:r>
          </w:p>
        </w:tc>
        <w:tc>
          <w:tcPr>
            <w:tcW w:w="992" w:type="dxa"/>
          </w:tcPr>
          <w:p w14:paraId="36AE9951" w14:textId="77777777" w:rsidR="00416D3F" w:rsidRPr="005359EE" w:rsidRDefault="00416D3F" w:rsidP="00FE7A6A">
            <w:pPr>
              <w:rPr>
                <w:sz w:val="16"/>
                <w:szCs w:val="16"/>
                <w:lang w:val="en-US"/>
              </w:rPr>
            </w:pPr>
            <w:r w:rsidRPr="005359EE">
              <w:rPr>
                <w:sz w:val="16"/>
                <w:szCs w:val="16"/>
                <w:lang w:val="en-US"/>
              </w:rPr>
              <w:t>No</w:t>
            </w:r>
          </w:p>
        </w:tc>
      </w:tr>
    </w:tbl>
    <w:p w14:paraId="3F0E99E8" w14:textId="7AD228F6" w:rsidR="000F62A6" w:rsidRPr="007C12DD" w:rsidRDefault="000F62A6" w:rsidP="000F62A6">
      <w:pPr>
        <w:spacing w:after="0"/>
        <w:jc w:val="center"/>
        <w:rPr>
          <w:i/>
          <w:iCs/>
          <w:lang w:val="en-US"/>
        </w:rPr>
      </w:pPr>
      <w:r w:rsidRPr="007C12DD">
        <w:rPr>
          <w:b/>
          <w:bCs/>
          <w:i/>
          <w:iCs/>
          <w:lang w:val="en-US"/>
        </w:rPr>
        <w:t>Table</w:t>
      </w:r>
      <w:r w:rsidR="00386472" w:rsidRPr="007C12DD">
        <w:rPr>
          <w:b/>
          <w:bCs/>
          <w:i/>
          <w:iCs/>
          <w:lang w:val="en-US"/>
        </w:rPr>
        <w:t xml:space="preserve"> 2</w:t>
      </w:r>
      <w:r w:rsidRPr="007C12DD">
        <w:rPr>
          <w:b/>
          <w:bCs/>
          <w:i/>
          <w:iCs/>
          <w:lang w:val="en-US"/>
        </w:rPr>
        <w:t>.</w:t>
      </w:r>
      <w:r w:rsidRPr="007C12DD">
        <w:rPr>
          <w:i/>
          <w:iCs/>
          <w:lang w:val="en-US"/>
        </w:rPr>
        <w:t xml:space="preserve"> The link between data type and QCA technique</w:t>
      </w:r>
    </w:p>
    <w:p w14:paraId="64B65CA9" w14:textId="7F395C15" w:rsidR="00D50EEE" w:rsidRPr="00161533" w:rsidRDefault="001A6C10" w:rsidP="001A6C10">
      <w:pPr>
        <w:spacing w:after="0"/>
        <w:ind w:firstLine="284"/>
        <w:jc w:val="both"/>
        <w:rPr>
          <w:lang w:val="en-US"/>
        </w:rPr>
      </w:pPr>
      <w:r w:rsidRPr="00161533">
        <w:rPr>
          <w:lang w:val="en-US"/>
        </w:rPr>
        <w:lastRenderedPageBreak/>
        <w:t xml:space="preserve">A high number of conditions </w:t>
      </w:r>
      <w:r w:rsidR="00D50EEE" w:rsidRPr="00161533">
        <w:rPr>
          <w:lang w:val="en-US"/>
        </w:rPr>
        <w:t>produces very complex results, making a meaningful interpretation of the c</w:t>
      </w:r>
      <w:r w:rsidRPr="00161533">
        <w:rPr>
          <w:lang w:val="en-US"/>
        </w:rPr>
        <w:t>sQCA</w:t>
      </w:r>
      <w:r w:rsidR="00D50EEE" w:rsidRPr="00161533">
        <w:rPr>
          <w:lang w:val="en-US"/>
        </w:rPr>
        <w:t xml:space="preserve"> outcomes a daunting task</w:t>
      </w:r>
      <w:r w:rsidR="00A83BFF" w:rsidRPr="00161533">
        <w:rPr>
          <w:lang w:val="en-US"/>
        </w:rPr>
        <w:t xml:space="preserve"> </w:t>
      </w:r>
      <w:r w:rsidRPr="00161533">
        <w:rPr>
          <w:lang w:val="en-US"/>
        </w:rPr>
        <w:fldChar w:fldCharType="begin" w:fldLock="1"/>
      </w:r>
      <w:r w:rsidR="00C83A66">
        <w:rPr>
          <w:lang w:val="en-US"/>
        </w:rPr>
        <w:instrText>ADDIN CSL_CITATION {"citationItems":[{"id":"ITEM-1","itemData":{"DOI":"10.1163/156913210X12493538729793","ISSN":"15691322","abstract":"As a relatively new methodological tool, QCA is still a work in progress. Standards of good practice are needed in order to enhance the quality of its applications. We present a list from A to Z of twenty-six proposals regarding what a \"good\" QCA-based research entails, both with regard to QCA as a research approach and as an analytical technique. Our suggestions are subdivided into three categories: criteria referring to the research stages before, during, and after the analytical moment of data analysis. This listing can be read as a guideline for authors, reviewers, and readers of QCA. © 2010 Koninklijke Brill NV, Leiden.","author":[{"dropping-particle":"","family":"Schneider","given":"Carsten Q.","non-dropping-particle":"","parse-names":false,"suffix":""},{"dropping-particle":"","family":"Wagemann","given":"Claudius","non-dropping-particle":"","parse-names":false,"suffix":""}],"container-title":"Comparative Sociology","id":"ITEM-1","issue":"3","issued":{"date-parts":[["2010"]]},"page":"397-418","title":"Standards of good practice in qualitative comparative analysis (QCA) and fuzzy-sets","type":"article-journal","volume":"9"},"uris":["http://www.mendeley.com/documents/?uuid=8c678488-f8d3-44ce-89e5-81f954f2ff5f"]},{"id":"ITEM-2","itemData":{"DOI":"10.1111/j.1475-6765.2006.00635.x","ISSN":"03044130","abstract":"Comparative methods based on set theoretic relationships such as 'fuzzy set Qualitative Comparative Analysis' (fs/QCA) represent a useful tool for dealing with complex causal hypotheses in terms of necessary and sufficient conditions under the constraint of a medium-sized number of cases. However, real-world research situations might make the application of fs/QCA difficult in two respects - namely, the complexity of the results and the phenomenon of limited diversity. We suggest a two-step approach as one possibility to mitigate these problems. After introducing the difference between remote and proximate factors, the application of a two-step fs/QCA approach is demonstrated analyzing the causes of the consolidation of democracy. We find that different paths lead to consolidation, but all are characterized by a fit of the institutional mix chosen to the societal context in terms of power dispersion. Hence, we demonstrate that the application of fs/QCA in a two-step manner helps to formulate and test equifinal and conjunctural hypotheses in medium-size N comparative analyses, and thus to contribute to an enhanced understanding of social phenomena. © 2006 (European Consortium for Political Research).","author":[{"dropping-particle":"","family":"Schneider","given":"Carsten Q.","non-dropping-particle":"","parse-names":false,"suffix":""},{"dropping-particle":"","family":"Wagemann","given":"Claudius","non-dropping-particle":"","parse-names":false,"suffix":""}],"container-title":"European Journal of Political Research","id":"ITEM-2","issue":"5","issued":{"date-parts":[["2006"]]},"page":"751-786","title":"Reducing complexity in Qualitative Comparative Analysis (QCA): Remote and proximate factors and the consolidation of democracy","type":"article-journal","volume":"45"},"uris":["http://www.mendeley.com/documents/?uuid=4427118c-d6cf-4578-8580-02bd93890883"]}],"mendeley":{"formattedCitation":"(Schneider &amp; Wagemann, 2006, 2010)","manualFormatting":"(Schneider and Wagemann, 2010)","plainTextFormattedCitation":"(Schneider &amp; Wagemann, 2006, 2010)","previouslyFormattedCitation":"(Schneider &amp; Wagemann, 2006, 2010)"},"properties":{"noteIndex":0},"schema":"https://github.com/citation-style-language/schema/raw/master/csl-citation.json"}</w:instrText>
      </w:r>
      <w:r w:rsidRPr="00161533">
        <w:rPr>
          <w:lang w:val="en-US"/>
        </w:rPr>
        <w:fldChar w:fldCharType="separate"/>
      </w:r>
      <w:r w:rsidRPr="00161533">
        <w:rPr>
          <w:noProof/>
          <w:lang w:val="en-US"/>
        </w:rPr>
        <w:t xml:space="preserve">(Schneider </w:t>
      </w:r>
      <w:r w:rsidR="005C4347" w:rsidRPr="00161533">
        <w:rPr>
          <w:noProof/>
          <w:lang w:val="en-US"/>
        </w:rPr>
        <w:t>and</w:t>
      </w:r>
      <w:r w:rsidRPr="00161533">
        <w:rPr>
          <w:noProof/>
          <w:lang w:val="en-US"/>
        </w:rPr>
        <w:t xml:space="preserve"> Wagemann</w:t>
      </w:r>
      <w:r w:rsidR="00A61121" w:rsidRPr="00161533">
        <w:rPr>
          <w:noProof/>
          <w:lang w:val="en-US"/>
        </w:rPr>
        <w:t>,</w:t>
      </w:r>
      <w:r w:rsidRPr="00161533">
        <w:rPr>
          <w:noProof/>
          <w:lang w:val="en-US"/>
        </w:rPr>
        <w:t xml:space="preserve"> 2010)</w:t>
      </w:r>
      <w:r w:rsidRPr="00161533">
        <w:rPr>
          <w:lang w:val="en-US"/>
        </w:rPr>
        <w:fldChar w:fldCharType="end"/>
      </w:r>
      <w:r w:rsidRPr="00161533">
        <w:rPr>
          <w:lang w:val="en-US"/>
        </w:rPr>
        <w:t xml:space="preserve">. </w:t>
      </w:r>
      <w:r w:rsidR="00D50EEE" w:rsidRPr="00161533">
        <w:rPr>
          <w:lang w:val="en-US"/>
        </w:rPr>
        <w:t xml:space="preserve">To limit the complexity, </w:t>
      </w:r>
      <w:r w:rsidR="0067085E" w:rsidRPr="00161533">
        <w:rPr>
          <w:lang w:val="en-US"/>
        </w:rPr>
        <w:t>we follow</w:t>
      </w:r>
      <w:r w:rsidR="008040DD">
        <w:rPr>
          <w:lang w:val="en-US"/>
        </w:rPr>
        <w:t>ed</w:t>
      </w:r>
      <w:r w:rsidR="0067085E" w:rsidRPr="00161533">
        <w:rPr>
          <w:lang w:val="en-US"/>
        </w:rPr>
        <w:t xml:space="preserve"> the two-step approach of </w:t>
      </w:r>
      <w:r w:rsidR="00D50EEE" w:rsidRPr="00161533">
        <w:rPr>
          <w:lang w:val="en-US"/>
        </w:rPr>
        <w:fldChar w:fldCharType="begin" w:fldLock="1"/>
      </w:r>
      <w:r w:rsidR="00C83A66">
        <w:rPr>
          <w:lang w:val="en-US"/>
        </w:rPr>
        <w:instrText>ADDIN CSL_CITATION {"citationItems":[{"id":"ITEM-1","itemData":{"DOI":"10.1163/156913210X12493538729793","ISSN":"15691322","abstract":"As a relatively new methodological tool, QCA is still a work in progress. Standards of good practice are needed in order to enhance the quality of its applications. We present a list from A to Z of twenty-six proposals regarding what a \"good\" QCA-based research entails, both with regard to QCA as a research approach and as an analytical technique. Our suggestions are subdivided into three categories: criteria referring to the research stages before, during, and after the analytical moment of data analysis. This listing can be read as a guideline for authors, reviewers, and readers of QCA. © 2010 Koninklijke Brill NV, Leiden.","author":[{"dropping-particle":"","family":"Schneider","given":"Carsten Q.","non-dropping-particle":"","parse-names":false,"suffix":""},{"dropping-particle":"","family":"Wagemann","given":"Claudius","non-dropping-particle":"","parse-names":false,"suffix":""}],"container-title":"Comparative Sociology","id":"ITEM-1","issue":"3","issued":{"date-parts":[["2010"]]},"page":"397-418","title":"Standards of good practice in qualitative comparative analysis (QCA) and fuzzy-sets","type":"article-journal","volume":"9"},"uris":["http://www.mendeley.com/documents/?uuid=8c678488-f8d3-44ce-89e5-81f954f2ff5f"]},{"id":"ITEM-2","itemData":{"DOI":"10.1111/j.1475-6765.2006.00635.x","ISSN":"03044130","abstract":"Comparative methods based on set theoretic relationships such as 'fuzzy set Qualitative Comparative Analysis' (fs/QCA) represent a useful tool for dealing with complex causal hypotheses in terms of necessary and sufficient conditions under the constraint of a medium-sized number of cases. However, real-world research situations might make the application of fs/QCA difficult in two respects - namely, the complexity of the results and the phenomenon of limited diversity. We suggest a two-step approach as one possibility to mitigate these problems. After introducing the difference between remote and proximate factors, the application of a two-step fs/QCA approach is demonstrated analyzing the causes of the consolidation of democracy. We find that different paths lead to consolidation, but all are characterized by a fit of the institutional mix chosen to the societal context in terms of power dispersion. Hence, we demonstrate that the application of fs/QCA in a two-step manner helps to formulate and test equifinal and conjunctural hypotheses in medium-size N comparative analyses, and thus to contribute to an enhanced understanding of social phenomena. © 2006 (European Consortium for Political Research).","author":[{"dropping-particle":"","family":"Schneider","given":"Carsten Q.","non-dropping-particle":"","parse-names":false,"suffix":""},{"dropping-particle":"","family":"Wagemann","given":"Claudius","non-dropping-particle":"","parse-names":false,"suffix":""}],"container-title":"European Journal of Political Research","id":"ITEM-2","issue":"5","issued":{"date-parts":[["2006"]]},"page":"751-786","title":"Reducing complexity in Qualitative Comparative Analysis (QCA): Remote and proximate factors and the consolidation of democracy","type":"article-journal","volume":"45"},"uris":["http://www.mendeley.com/documents/?uuid=4427118c-d6cf-4578-8580-02bd93890883"]}],"mendeley":{"formattedCitation":"(Schneider &amp; Wagemann, 2006, 2010)","manualFormatting":"Schneider and Wagemann (2010)","plainTextFormattedCitation":"(Schneider &amp; Wagemann, 2006, 2010)","previouslyFormattedCitation":"(Schneider &amp; Wagemann, 2006, 2010)"},"properties":{"noteIndex":0},"schema":"https://github.com/citation-style-language/schema/raw/master/csl-citation.json"}</w:instrText>
      </w:r>
      <w:r w:rsidR="00D50EEE" w:rsidRPr="00161533">
        <w:rPr>
          <w:lang w:val="en-US"/>
        </w:rPr>
        <w:fldChar w:fldCharType="separate"/>
      </w:r>
      <w:r w:rsidR="00D50EEE" w:rsidRPr="00161533">
        <w:rPr>
          <w:noProof/>
          <w:lang w:val="en-US"/>
        </w:rPr>
        <w:t>Schneider a</w:t>
      </w:r>
      <w:r w:rsidR="0067085E" w:rsidRPr="00161533">
        <w:rPr>
          <w:noProof/>
          <w:lang w:val="en-US"/>
        </w:rPr>
        <w:t>n</w:t>
      </w:r>
      <w:r w:rsidR="00D50EEE" w:rsidRPr="00161533">
        <w:rPr>
          <w:noProof/>
          <w:lang w:val="en-US"/>
        </w:rPr>
        <w:t>d Wagemann (2010)</w:t>
      </w:r>
      <w:r w:rsidR="00D50EEE" w:rsidRPr="00161533">
        <w:rPr>
          <w:lang w:val="en-US"/>
        </w:rPr>
        <w:fldChar w:fldCharType="end"/>
      </w:r>
      <w:r w:rsidR="00D50EEE" w:rsidRPr="00161533">
        <w:rPr>
          <w:lang w:val="en-US"/>
        </w:rPr>
        <w:t xml:space="preserve">. In the first step, the </w:t>
      </w:r>
      <w:r w:rsidR="0067085E" w:rsidRPr="00161533">
        <w:rPr>
          <w:lang w:val="en-US"/>
        </w:rPr>
        <w:t>cs</w:t>
      </w:r>
      <w:r w:rsidR="00D50EEE" w:rsidRPr="00161533">
        <w:rPr>
          <w:lang w:val="en-US"/>
        </w:rPr>
        <w:t xml:space="preserve">QCA </w:t>
      </w:r>
      <w:r w:rsidR="0067085E" w:rsidRPr="00161533">
        <w:rPr>
          <w:lang w:val="en-US"/>
        </w:rPr>
        <w:t>analyses</w:t>
      </w:r>
      <w:r w:rsidR="00D50EEE" w:rsidRPr="00161533">
        <w:rPr>
          <w:lang w:val="en-US"/>
        </w:rPr>
        <w:t xml:space="preserve"> the </w:t>
      </w:r>
      <w:r w:rsidR="00D174F0" w:rsidRPr="00161533">
        <w:rPr>
          <w:lang w:val="en-US"/>
        </w:rPr>
        <w:t>manufacturing</w:t>
      </w:r>
      <w:r w:rsidR="00D50EEE" w:rsidRPr="00161533">
        <w:rPr>
          <w:lang w:val="en-US"/>
        </w:rPr>
        <w:t xml:space="preserve"> configurations that can lead to success</w:t>
      </w:r>
      <w:r w:rsidR="0067085E" w:rsidRPr="00161533">
        <w:rPr>
          <w:lang w:val="en-US"/>
        </w:rPr>
        <w:t xml:space="preserve"> – as such exploring our first research question</w:t>
      </w:r>
      <w:r w:rsidR="00D50EEE" w:rsidRPr="00161533">
        <w:rPr>
          <w:lang w:val="en-US"/>
        </w:rPr>
        <w:t xml:space="preserve">. In the second step, the </w:t>
      </w:r>
      <w:r w:rsidR="0067085E" w:rsidRPr="00161533">
        <w:rPr>
          <w:lang w:val="en-US"/>
        </w:rPr>
        <w:t>cs</w:t>
      </w:r>
      <w:r w:rsidR="00D50EEE" w:rsidRPr="00161533">
        <w:rPr>
          <w:lang w:val="en-US"/>
        </w:rPr>
        <w:t xml:space="preserve">QCA </w:t>
      </w:r>
      <w:r w:rsidR="00CA38E1" w:rsidRPr="00161533">
        <w:rPr>
          <w:lang w:val="en-US"/>
        </w:rPr>
        <w:t xml:space="preserve">identifies </w:t>
      </w:r>
      <w:r w:rsidR="00D50EEE" w:rsidRPr="00161533">
        <w:rPr>
          <w:lang w:val="en-US"/>
        </w:rPr>
        <w:t xml:space="preserve">which </w:t>
      </w:r>
      <w:r w:rsidR="001D1CD9" w:rsidRPr="00161533">
        <w:rPr>
          <w:lang w:val="en-US"/>
        </w:rPr>
        <w:t>supply</w:t>
      </w:r>
      <w:r w:rsidR="00D50EEE" w:rsidRPr="00161533">
        <w:rPr>
          <w:lang w:val="en-US"/>
        </w:rPr>
        <w:t xml:space="preserve"> characteristics lead to success </w:t>
      </w:r>
      <w:r w:rsidR="00D50EEE" w:rsidRPr="00161533">
        <w:rPr>
          <w:i/>
          <w:iCs/>
          <w:lang w:val="en-US"/>
        </w:rPr>
        <w:t>within</w:t>
      </w:r>
      <w:r w:rsidR="00D50EEE" w:rsidRPr="00161533">
        <w:rPr>
          <w:lang w:val="en-US"/>
        </w:rPr>
        <w:t xml:space="preserve"> the </w:t>
      </w:r>
      <w:r w:rsidR="00D174F0" w:rsidRPr="00161533">
        <w:rPr>
          <w:lang w:val="en-US"/>
        </w:rPr>
        <w:t>manufacturing</w:t>
      </w:r>
      <w:r w:rsidR="00D50EEE" w:rsidRPr="00161533">
        <w:rPr>
          <w:lang w:val="en-US"/>
        </w:rPr>
        <w:t xml:space="preserve"> configurations</w:t>
      </w:r>
      <w:r w:rsidR="0067085E" w:rsidRPr="00161533">
        <w:rPr>
          <w:lang w:val="en-US"/>
        </w:rPr>
        <w:t xml:space="preserve"> identified</w:t>
      </w:r>
      <w:r w:rsidR="00D50EEE" w:rsidRPr="00161533">
        <w:rPr>
          <w:lang w:val="en-US"/>
        </w:rPr>
        <w:t xml:space="preserve"> </w:t>
      </w:r>
      <w:r w:rsidR="0067085E" w:rsidRPr="00161533">
        <w:rPr>
          <w:lang w:val="en-US"/>
        </w:rPr>
        <w:t>in</w:t>
      </w:r>
      <w:r w:rsidR="00D50EEE" w:rsidRPr="00161533">
        <w:rPr>
          <w:lang w:val="en-US"/>
        </w:rPr>
        <w:t xml:space="preserve"> </w:t>
      </w:r>
      <w:r w:rsidR="00CA38E1" w:rsidRPr="00161533">
        <w:rPr>
          <w:lang w:val="en-US"/>
        </w:rPr>
        <w:t xml:space="preserve">the first </w:t>
      </w:r>
      <w:r w:rsidR="00D50EEE" w:rsidRPr="00161533">
        <w:rPr>
          <w:lang w:val="en-US"/>
        </w:rPr>
        <w:t xml:space="preserve">step – </w:t>
      </w:r>
      <w:r w:rsidR="0067085E" w:rsidRPr="00161533">
        <w:rPr>
          <w:lang w:val="en-US"/>
        </w:rPr>
        <w:t xml:space="preserve">thereby </w:t>
      </w:r>
      <w:r w:rsidR="00D50EEE" w:rsidRPr="00161533">
        <w:rPr>
          <w:lang w:val="en-US"/>
        </w:rPr>
        <w:t xml:space="preserve">exploring </w:t>
      </w:r>
      <w:r w:rsidR="0089706C" w:rsidRPr="00161533">
        <w:rPr>
          <w:lang w:val="en-US"/>
        </w:rPr>
        <w:t xml:space="preserve">the second </w:t>
      </w:r>
      <w:r w:rsidR="00D50EEE" w:rsidRPr="00161533">
        <w:rPr>
          <w:lang w:val="en-US"/>
        </w:rPr>
        <w:t>research question.</w:t>
      </w:r>
      <w:r w:rsidR="0067085E" w:rsidRPr="00161533">
        <w:rPr>
          <w:lang w:val="en-US"/>
        </w:rPr>
        <w:t xml:space="preserve"> </w:t>
      </w:r>
    </w:p>
    <w:p w14:paraId="583B2105" w14:textId="7F24E9CE" w:rsidR="00A43AAC" w:rsidRPr="00161533" w:rsidRDefault="0067085E" w:rsidP="000F6D5B">
      <w:pPr>
        <w:spacing w:after="0"/>
        <w:ind w:firstLine="284"/>
        <w:jc w:val="both"/>
        <w:rPr>
          <w:lang w:val="en-US"/>
        </w:rPr>
      </w:pPr>
      <w:r w:rsidRPr="00161533">
        <w:rPr>
          <w:lang w:val="en-US"/>
        </w:rPr>
        <w:t>Next, we perform</w:t>
      </w:r>
      <w:r w:rsidR="008040DD">
        <w:rPr>
          <w:lang w:val="en-US"/>
        </w:rPr>
        <w:t>ed</w:t>
      </w:r>
      <w:r w:rsidRPr="00161533">
        <w:rPr>
          <w:lang w:val="en-US"/>
        </w:rPr>
        <w:t xml:space="preserve"> the necessity</w:t>
      </w:r>
      <w:r w:rsidR="00C63EA2" w:rsidRPr="00161533">
        <w:rPr>
          <w:lang w:val="en-US"/>
        </w:rPr>
        <w:t xml:space="preserve"> analysis</w:t>
      </w:r>
      <w:r w:rsidRPr="00161533">
        <w:rPr>
          <w:lang w:val="en-US"/>
        </w:rPr>
        <w:t xml:space="preserve"> based on the </w:t>
      </w:r>
      <w:r w:rsidR="00C63EA2" w:rsidRPr="00161533">
        <w:rPr>
          <w:lang w:val="en-US"/>
        </w:rPr>
        <w:t>inclusion</w:t>
      </w:r>
      <w:r w:rsidRPr="00161533">
        <w:rPr>
          <w:lang w:val="en-US"/>
        </w:rPr>
        <w:t xml:space="preserve"> and the relevance of the conditions.</w:t>
      </w:r>
      <w:r w:rsidR="006F3016" w:rsidRPr="00161533">
        <w:rPr>
          <w:lang w:val="en-US"/>
        </w:rPr>
        <w:t xml:space="preserve"> </w:t>
      </w:r>
      <w:r w:rsidR="00C63EA2" w:rsidRPr="00161533">
        <w:rPr>
          <w:lang w:val="en-US"/>
        </w:rPr>
        <w:t>Inclusion</w:t>
      </w:r>
      <w:r w:rsidR="006F3016" w:rsidRPr="00161533">
        <w:rPr>
          <w:lang w:val="en-US"/>
        </w:rPr>
        <w:t xml:space="preserve"> </w:t>
      </w:r>
      <w:r w:rsidR="00C63EA2" w:rsidRPr="00161533">
        <w:rPr>
          <w:lang w:val="en-US"/>
        </w:rPr>
        <w:t>provides a first indication</w:t>
      </w:r>
      <w:r w:rsidR="00416D3F" w:rsidRPr="00161533">
        <w:rPr>
          <w:lang w:val="en-US"/>
        </w:rPr>
        <w:t xml:space="preserve"> if</w:t>
      </w:r>
      <w:r w:rsidR="007D03CA" w:rsidRPr="00161533">
        <w:rPr>
          <w:lang w:val="en-US"/>
        </w:rPr>
        <w:t xml:space="preserve"> </w:t>
      </w:r>
      <w:r w:rsidRPr="00161533">
        <w:rPr>
          <w:lang w:val="en-US"/>
        </w:rPr>
        <w:t>condition</w:t>
      </w:r>
      <w:r w:rsidR="007D03CA" w:rsidRPr="00161533">
        <w:rPr>
          <w:lang w:val="en-US"/>
        </w:rPr>
        <w:t xml:space="preserve"> </w:t>
      </w:r>
      <w:r w:rsidR="00416D3F" w:rsidRPr="00161533">
        <w:rPr>
          <w:lang w:val="en-US"/>
        </w:rPr>
        <w:t xml:space="preserve">X is a necessary </w:t>
      </w:r>
      <w:r w:rsidRPr="00161533">
        <w:rPr>
          <w:lang w:val="en-US"/>
        </w:rPr>
        <w:t>condition</w:t>
      </w:r>
      <w:r w:rsidR="00416D3F" w:rsidRPr="00161533">
        <w:rPr>
          <w:lang w:val="en-US"/>
        </w:rPr>
        <w:t xml:space="preserve"> for outcome Y because X is present when Y occurs </w:t>
      </w:r>
      <w:r w:rsidR="00416D3F" w:rsidRPr="00161533">
        <w:rPr>
          <w:lang w:val="en-US"/>
        </w:rPr>
        <w:fldChar w:fldCharType="begin" w:fldLock="1"/>
      </w:r>
      <w:r w:rsidR="00CB23E3" w:rsidRPr="00161533">
        <w:rPr>
          <w:lang w:val="en-US"/>
        </w:rPr>
        <w:instrText>ADDIN CSL_CITATION {"citationItems":[{"id":"ITEM-1","itemData":{"author":[{"dropping-particle":"","family":"Ragin","given":"C.C.","non-dropping-particle":"","parse-names":false,"suffix":""}],"id":"ITEM-1","issued":{"date-parts":[["1987"]]},"publisher":"Berkeley","publisher-place":"Los Angeles","title":"The Comparative Method. Moving Beyond Qualitative and Quantitative Strategies","type":"book"},"uris":["http://www.mendeley.com/documents/?uuid=3668e6cc-7cb3-4cd0-afc4-fbc12eab27f5"]}],"mendeley":{"formattedCitation":"(C.C. Ragin, 1987)","manualFormatting":"(Ragin, 1987)","plainTextFormattedCitation":"(C.C. Ragin, 1987)","previouslyFormattedCitation":"(C.C. Ragin, 1987)"},"properties":{"noteIndex":0},"schema":"https://github.com/citation-style-language/schema/raw/master/csl-citation.json"}</w:instrText>
      </w:r>
      <w:r w:rsidR="00416D3F" w:rsidRPr="00161533">
        <w:rPr>
          <w:lang w:val="en-US"/>
        </w:rPr>
        <w:fldChar w:fldCharType="separate"/>
      </w:r>
      <w:r w:rsidR="00E168FE" w:rsidRPr="00161533">
        <w:rPr>
          <w:noProof/>
          <w:lang w:val="en-US"/>
        </w:rPr>
        <w:t>(Ragin, 1987)</w:t>
      </w:r>
      <w:r w:rsidR="00416D3F" w:rsidRPr="00161533">
        <w:rPr>
          <w:lang w:val="en-US"/>
        </w:rPr>
        <w:fldChar w:fldCharType="end"/>
      </w:r>
      <w:r w:rsidR="007176C0" w:rsidRPr="00161533">
        <w:rPr>
          <w:lang w:val="en-US"/>
        </w:rPr>
        <w:t>:</w:t>
      </w:r>
      <w:r w:rsidR="00416D3F" w:rsidRPr="00161533">
        <w:rPr>
          <w:lang w:val="en-US"/>
        </w:rPr>
        <w:t xml:space="preserve"> </w:t>
      </w:r>
    </w:p>
    <w:p w14:paraId="4D2A639E" w14:textId="338BE9E3" w:rsidR="00A43AAC" w:rsidRPr="007C12DD" w:rsidRDefault="00000000" w:rsidP="00A43AAC">
      <w:pPr>
        <w:spacing w:after="0"/>
        <w:jc w:val="both"/>
        <w:rPr>
          <w:lang w:val="en-US"/>
        </w:rPr>
      </w:pPr>
      <m:oMathPara>
        <m:oMath>
          <m:sSub>
            <m:sSubPr>
              <m:ctrlPr>
                <w:rPr>
                  <w:rFonts w:ascii="Cambria Math" w:hAnsi="Cambria Math"/>
                  <w:i/>
                  <w:lang w:val="en-US"/>
                </w:rPr>
              </m:ctrlPr>
            </m:sSubPr>
            <m:e>
              <m:r>
                <w:rPr>
                  <w:rFonts w:ascii="Cambria Math" w:hAnsi="Cambria Math"/>
                  <w:lang w:val="en-US"/>
                </w:rPr>
                <m:t>Inclusion</m:t>
              </m:r>
            </m:e>
            <m:sub>
              <m:r>
                <w:rPr>
                  <w:rFonts w:ascii="Cambria Math" w:hAnsi="Cambria Math"/>
                  <w:lang w:val="en-US"/>
                </w:rPr>
                <m:t>X⇐Y</m:t>
              </m:r>
            </m:sub>
          </m:sSub>
          <m:r>
            <w:rPr>
              <w:rFonts w:ascii="Cambria Math" w:eastAsia="Cambria Math" w:hAnsi="Cambria Math" w:cs="Cambria Math"/>
              <w:lang w:val="en-US"/>
            </w:rPr>
            <m:t>=</m:t>
          </m:r>
          <m:f>
            <m:fPr>
              <m:ctrlPr>
                <w:rPr>
                  <w:rFonts w:ascii="Cambria Math" w:eastAsia="Cambria Math" w:hAnsi="Cambria Math" w:cs="Cambria Math"/>
                  <w:i/>
                  <w:lang w:val="en-US"/>
                </w:rPr>
              </m:ctrlPr>
            </m:fPr>
            <m:num>
              <m:r>
                <m:rPr>
                  <m:sty m:val="p"/>
                </m:rPr>
                <w:rPr>
                  <w:rFonts w:ascii="Cambria Math" w:eastAsia="Cambria Math" w:hAnsi="Cambria Math" w:cs="Cambria Math"/>
                  <w:lang w:val="en-US"/>
                </w:rPr>
                <m:t>X∩Y</m:t>
              </m:r>
            </m:num>
            <m:den>
              <m:r>
                <m:rPr>
                  <m:sty m:val="p"/>
                </m:rPr>
                <w:rPr>
                  <w:rFonts w:ascii="Cambria Math" w:eastAsia="Cambria Math" w:hAnsi="Cambria Math" w:cs="Cambria Math"/>
                  <w:lang w:val="en-US"/>
                </w:rPr>
                <m:t>Y</m:t>
              </m:r>
            </m:den>
          </m:f>
          <m:r>
            <w:rPr>
              <w:rFonts w:ascii="Cambria Math" w:eastAsia="Cambria Math" w:hAnsi="Cambria Math" w:cs="Cambria Math"/>
              <w:lang w:val="en-US"/>
            </w:rPr>
            <m:t xml:space="preserve"> </m:t>
          </m:r>
        </m:oMath>
      </m:oMathPara>
    </w:p>
    <w:p w14:paraId="07F44956" w14:textId="77777777" w:rsidR="00C63EA2" w:rsidRPr="00161533" w:rsidRDefault="00C63EA2" w:rsidP="00416D3F">
      <w:pPr>
        <w:spacing w:after="0"/>
        <w:jc w:val="both"/>
        <w:rPr>
          <w:lang w:val="en-US"/>
        </w:rPr>
      </w:pPr>
    </w:p>
    <w:p w14:paraId="68613A0B" w14:textId="10BA837D" w:rsidR="00A43AAC" w:rsidRPr="00161533" w:rsidRDefault="00640EFB" w:rsidP="00416D3F">
      <w:pPr>
        <w:spacing w:after="0"/>
        <w:jc w:val="both"/>
        <w:rPr>
          <w:lang w:val="en-US"/>
        </w:rPr>
      </w:pPr>
      <w:r w:rsidRPr="00161533">
        <w:rPr>
          <w:lang w:val="en-US"/>
        </w:rPr>
        <w:t xml:space="preserve">Inclusion scores above 0.9 indicate that the condition is, on its own, necessary to achieve the outcome. </w:t>
      </w:r>
      <w:r w:rsidRPr="00161533">
        <w:rPr>
          <w:lang w:val="en-US"/>
        </w:rPr>
        <w:fldChar w:fldCharType="begin" w:fldLock="1"/>
      </w:r>
      <w:r w:rsidR="00C83A66">
        <w:rPr>
          <w:lang w:val="en-US"/>
        </w:rPr>
        <w:instrText>ADDIN CSL_CITATION {"citationItems":[{"id":"ITEM-1","itemData":{"author":[{"dropping-particle":"","family":"Schneider","given":"Carsten Q.","non-dropping-particle":"","parse-names":false,"suffix":""},{"dropping-particle":"","family":"Wagemann","given":"Claudius","non-dropping-particle":"","parse-names":false,"suffix":""}],"id":"ITEM-1","issued":{"date-parts":[["2012"]]},"publisher":"Cambridge University Press","publisher-place":"Cambridge","title":"Set-Theoretic Methods for the Social Sciences: A Guide to Qualitative Comparative Analysis","type":"book"},"uris":["http://www.mendeley.com/documents/?uuid=8dd46045-f5d8-490b-8201-adb66c7c473e"]}],"mendeley":{"formattedCitation":"(Schneider &amp; Wagemann, 2012)","manualFormatting":"(Schneider and Wagemann, 2012)","plainTextFormattedCitation":"(Schneider &amp; Wagemann, 2012)","previouslyFormattedCitation":"(Schneider &amp; Wagemann, 2012)"},"properties":{"noteIndex":0},"schema":"https://github.com/citation-style-language/schema/raw/master/csl-citation.json"}</w:instrText>
      </w:r>
      <w:r w:rsidRPr="00161533">
        <w:rPr>
          <w:lang w:val="en-US"/>
        </w:rPr>
        <w:fldChar w:fldCharType="separate"/>
      </w:r>
      <w:r w:rsidRPr="00161533">
        <w:rPr>
          <w:noProof/>
          <w:lang w:val="en-US"/>
        </w:rPr>
        <w:t xml:space="preserve">(Schneider </w:t>
      </w:r>
      <w:r w:rsidR="005C4347" w:rsidRPr="00161533">
        <w:rPr>
          <w:noProof/>
          <w:lang w:val="en-US"/>
        </w:rPr>
        <w:t>and</w:t>
      </w:r>
      <w:r w:rsidRPr="00161533">
        <w:rPr>
          <w:noProof/>
          <w:lang w:val="en-US"/>
        </w:rPr>
        <w:t xml:space="preserve"> Wagemann, 2012)</w:t>
      </w:r>
      <w:r w:rsidRPr="00161533">
        <w:rPr>
          <w:lang w:val="en-US"/>
        </w:rPr>
        <w:fldChar w:fldCharType="end"/>
      </w:r>
      <w:r w:rsidRPr="00161533">
        <w:rPr>
          <w:lang w:val="en-US"/>
        </w:rPr>
        <w:t xml:space="preserve">. </w:t>
      </w:r>
      <w:r w:rsidR="00416D3F" w:rsidRPr="00161533">
        <w:rPr>
          <w:lang w:val="en-US"/>
        </w:rPr>
        <w:t>To check i</w:t>
      </w:r>
      <w:r w:rsidR="006A3768" w:rsidRPr="00161533">
        <w:rPr>
          <w:lang w:val="en-US"/>
        </w:rPr>
        <w:t>f</w:t>
      </w:r>
      <w:r w:rsidR="00416D3F" w:rsidRPr="00161533">
        <w:rPr>
          <w:lang w:val="en-US"/>
        </w:rPr>
        <w:t xml:space="preserve"> a</w:t>
      </w:r>
      <w:r w:rsidR="00563E3B" w:rsidRPr="00161533">
        <w:rPr>
          <w:lang w:val="en-US"/>
        </w:rPr>
        <w:t xml:space="preserve"> condition</w:t>
      </w:r>
      <w:r w:rsidR="007D03CA" w:rsidRPr="00161533">
        <w:rPr>
          <w:lang w:val="en-US"/>
        </w:rPr>
        <w:t xml:space="preserve"> </w:t>
      </w:r>
      <w:r w:rsidR="00416D3F" w:rsidRPr="00161533">
        <w:rPr>
          <w:lang w:val="en-US"/>
        </w:rPr>
        <w:t>is trivial for the success of the start-up, i.e.</w:t>
      </w:r>
      <w:r w:rsidR="007C72DF">
        <w:rPr>
          <w:lang w:val="en-US"/>
        </w:rPr>
        <w:t>,</w:t>
      </w:r>
      <w:r w:rsidR="00416D3F" w:rsidRPr="00161533">
        <w:rPr>
          <w:lang w:val="en-US"/>
        </w:rPr>
        <w:t xml:space="preserve"> </w:t>
      </w:r>
      <w:r w:rsidR="00C63EA2" w:rsidRPr="00161533">
        <w:rPr>
          <w:lang w:val="en-US"/>
        </w:rPr>
        <w:t>condition</w:t>
      </w:r>
      <w:r w:rsidR="00416D3F" w:rsidRPr="00161533">
        <w:rPr>
          <w:lang w:val="en-US"/>
        </w:rPr>
        <w:t xml:space="preserve"> X is widely present in the dataset but the coverage on outcome Y is small, we calculate the Relevance of Necessity (</w:t>
      </w:r>
      <w:proofErr w:type="spellStart"/>
      <w:r w:rsidR="00416D3F" w:rsidRPr="00161533">
        <w:rPr>
          <w:lang w:val="en-US"/>
        </w:rPr>
        <w:t>RoN</w:t>
      </w:r>
      <w:proofErr w:type="spellEnd"/>
      <w:r w:rsidR="00416D3F" w:rsidRPr="00161533">
        <w:rPr>
          <w:lang w:val="en-US"/>
        </w:rPr>
        <w:t xml:space="preserve">) </w:t>
      </w:r>
      <w:r w:rsidR="0067085E" w:rsidRPr="00161533">
        <w:rPr>
          <w:lang w:val="en-US"/>
        </w:rPr>
        <w:t>value</w:t>
      </w:r>
      <w:r w:rsidR="00C63EA2" w:rsidRPr="00161533">
        <w:rPr>
          <w:lang w:val="en-US"/>
        </w:rPr>
        <w:t xml:space="preserve"> for each condition</w:t>
      </w:r>
      <w:r w:rsidR="00A43AAC" w:rsidRPr="00161533">
        <w:rPr>
          <w:lang w:val="en-US"/>
        </w:rPr>
        <w:t>:</w:t>
      </w:r>
    </w:p>
    <w:p w14:paraId="0C8A09DD" w14:textId="6F5D1DF7" w:rsidR="00A43AAC" w:rsidRPr="007C12DD" w:rsidRDefault="00A43AAC" w:rsidP="00A43AAC">
      <w:pPr>
        <w:spacing w:after="0"/>
        <w:jc w:val="both"/>
        <w:rPr>
          <w:lang w:val="en-US"/>
        </w:rPr>
      </w:pPr>
      <m:oMathPara>
        <m:oMath>
          <m:r>
            <w:rPr>
              <w:rFonts w:ascii="Cambria Math" w:eastAsia="Cambria Math" w:hAnsi="Cambria Math" w:cs="Cambria Math"/>
              <w:lang w:val="en-US"/>
            </w:rPr>
            <m:t>RoN=</m:t>
          </m:r>
          <m:f>
            <m:fPr>
              <m:ctrlPr>
                <w:rPr>
                  <w:rFonts w:ascii="Cambria Math" w:eastAsia="Cambria Math" w:hAnsi="Cambria Math" w:cs="Cambria Math"/>
                  <w:i/>
                  <w:lang w:val="en-US"/>
                </w:rPr>
              </m:ctrlPr>
            </m:fPr>
            <m:num>
              <m:nary>
                <m:naryPr>
                  <m:chr m:val="∑"/>
                  <m:limLoc m:val="undOvr"/>
                  <m:subHide m:val="1"/>
                  <m:supHide m:val="1"/>
                  <m:ctrlPr>
                    <w:rPr>
                      <w:rFonts w:ascii="Cambria Math" w:eastAsia="Cambria Math" w:hAnsi="Cambria Math" w:cs="Cambria Math"/>
                      <w:lang w:val="en-US"/>
                    </w:rPr>
                  </m:ctrlPr>
                </m:naryPr>
                <m:sub/>
                <m:sup/>
                <m:e>
                  <m:r>
                    <m:rPr>
                      <m:sty m:val="p"/>
                    </m:rPr>
                    <w:rPr>
                      <w:rFonts w:ascii="Cambria Math" w:eastAsia="Cambria Math" w:hAnsi="Cambria Math" w:cs="Cambria Math"/>
                      <w:lang w:val="en-US"/>
                    </w:rPr>
                    <m:t>1-X</m:t>
                  </m:r>
                </m:e>
              </m:nary>
            </m:num>
            <m:den>
              <m:nary>
                <m:naryPr>
                  <m:chr m:val="∑"/>
                  <m:limLoc m:val="undOvr"/>
                  <m:subHide m:val="1"/>
                  <m:supHide m:val="1"/>
                  <m:ctrlPr>
                    <w:rPr>
                      <w:rFonts w:ascii="Cambria Math" w:eastAsia="Cambria Math" w:hAnsi="Cambria Math" w:cs="Cambria Math"/>
                      <w:i/>
                      <w:lang w:val="en-US"/>
                    </w:rPr>
                  </m:ctrlPr>
                </m:naryPr>
                <m:sub/>
                <m:sup/>
                <m:e>
                  <m:r>
                    <w:rPr>
                      <w:rFonts w:ascii="Cambria Math" w:eastAsia="Cambria Math" w:hAnsi="Cambria Math" w:cs="Cambria Math"/>
                      <w:lang w:val="en-US"/>
                    </w:rPr>
                    <m:t>(1-</m:t>
                  </m:r>
                  <m:func>
                    <m:funcPr>
                      <m:ctrlPr>
                        <w:rPr>
                          <w:rFonts w:ascii="Cambria Math" w:eastAsia="Cambria Math" w:hAnsi="Cambria Math" w:cs="Cambria Math"/>
                          <w:lang w:val="en-US"/>
                        </w:rPr>
                      </m:ctrlPr>
                    </m:funcPr>
                    <m:fName>
                      <m:r>
                        <m:rPr>
                          <m:sty m:val="p"/>
                        </m:rPr>
                        <w:rPr>
                          <w:rFonts w:ascii="Cambria Math" w:eastAsia="Cambria Math" w:hAnsi="Cambria Math" w:cs="Cambria Math"/>
                          <w:lang w:val="en-US"/>
                        </w:rPr>
                        <m:t>min</m:t>
                      </m:r>
                      <m:ctrlPr>
                        <w:rPr>
                          <w:rFonts w:ascii="Cambria Math" w:eastAsia="Cambria Math" w:hAnsi="Cambria Math" w:cs="Cambria Math"/>
                          <w:i/>
                          <w:lang w:val="en-US"/>
                        </w:rPr>
                      </m:ctrlPr>
                    </m:fName>
                    <m:e>
                      <m:d>
                        <m:dPr>
                          <m:ctrlPr>
                            <w:rPr>
                              <w:rFonts w:ascii="Cambria Math" w:eastAsia="Cambria Math" w:hAnsi="Cambria Math" w:cs="Cambria Math"/>
                              <w:iCs/>
                              <w:lang w:val="en-US"/>
                            </w:rPr>
                          </m:ctrlPr>
                        </m:dPr>
                        <m:e>
                          <m:r>
                            <m:rPr>
                              <m:sty m:val="p"/>
                            </m:rPr>
                            <w:rPr>
                              <w:rFonts w:ascii="Cambria Math" w:eastAsia="Cambria Math" w:hAnsi="Cambria Math" w:cs="Cambria Math"/>
                              <w:lang w:val="en-US"/>
                            </w:rPr>
                            <m:t>X,Y</m:t>
                          </m:r>
                        </m:e>
                      </m:d>
                    </m:e>
                  </m:func>
                  <m:r>
                    <w:rPr>
                      <w:rFonts w:ascii="Cambria Math" w:eastAsia="Cambria Math" w:hAnsi="Cambria Math" w:cs="Cambria Math"/>
                      <w:lang w:val="en-US"/>
                    </w:rPr>
                    <m:t>)</m:t>
                  </m:r>
                </m:e>
              </m:nary>
            </m:den>
          </m:f>
          <m:r>
            <w:rPr>
              <w:rFonts w:ascii="Cambria Math" w:eastAsia="Cambria Math" w:hAnsi="Cambria Math" w:cs="Cambria Math"/>
              <w:lang w:val="en-US"/>
            </w:rPr>
            <m:t xml:space="preserve"> </m:t>
          </m:r>
        </m:oMath>
      </m:oMathPara>
    </w:p>
    <w:p w14:paraId="05EE21C8" w14:textId="77777777" w:rsidR="00A43AAC" w:rsidRPr="00161533" w:rsidRDefault="00A43AAC" w:rsidP="00416D3F">
      <w:pPr>
        <w:spacing w:after="0"/>
        <w:jc w:val="both"/>
        <w:rPr>
          <w:lang w:val="en-US"/>
        </w:rPr>
      </w:pPr>
    </w:p>
    <w:p w14:paraId="4E96790D" w14:textId="6A2814A2" w:rsidR="00C63EA2" w:rsidRPr="00161533" w:rsidRDefault="00640EFB" w:rsidP="00E168FE">
      <w:pPr>
        <w:spacing w:after="0"/>
        <w:jc w:val="both"/>
        <w:rPr>
          <w:lang w:val="en-US"/>
        </w:rPr>
      </w:pPr>
      <w:r w:rsidRPr="00161533">
        <w:rPr>
          <w:lang w:val="en-US"/>
        </w:rPr>
        <w:t>L</w:t>
      </w:r>
      <w:r w:rsidR="00C63EA2" w:rsidRPr="00161533">
        <w:rPr>
          <w:lang w:val="en-US"/>
        </w:rPr>
        <w:t xml:space="preserve">ow </w:t>
      </w:r>
      <w:proofErr w:type="spellStart"/>
      <w:r w:rsidR="00416D3F" w:rsidRPr="00161533">
        <w:rPr>
          <w:lang w:val="en-US"/>
        </w:rPr>
        <w:t>RoN</w:t>
      </w:r>
      <w:proofErr w:type="spellEnd"/>
      <w:r w:rsidR="00655465" w:rsidRPr="00161533">
        <w:rPr>
          <w:lang w:val="en-US"/>
        </w:rPr>
        <w:t xml:space="preserve"> value</w:t>
      </w:r>
      <w:r w:rsidRPr="00161533">
        <w:rPr>
          <w:lang w:val="en-US"/>
        </w:rPr>
        <w:t>s indicate that a condition is trivial while a high score indicates that the condition is relevant for the outcome</w:t>
      </w:r>
      <w:r w:rsidR="00F32495" w:rsidRPr="00161533">
        <w:rPr>
          <w:lang w:val="en-US"/>
        </w:rPr>
        <w:t xml:space="preserve"> </w:t>
      </w:r>
      <w:r w:rsidR="00416D3F" w:rsidRPr="00161533">
        <w:rPr>
          <w:lang w:val="en-US"/>
        </w:rPr>
        <w:fldChar w:fldCharType="begin" w:fldLock="1"/>
      </w:r>
      <w:r w:rsidR="00E41F76" w:rsidRPr="00161533">
        <w:rPr>
          <w:lang w:val="en-US"/>
        </w:rPr>
        <w:instrText>ADDIN CSL_CITATION {"citationItems":[{"id":"ITEM-1","itemData":{"author":[{"dropping-particle":"","family":"Schneider","given":"Carsten Q.","non-dropping-particle":"","parse-names":false,"suffix":""},{"dropping-particle":"","family":"Wagemann","given":"Claudius","non-dropping-particle":"","parse-names":false,"suffix":""}],"id":"ITEM-1","issued":{"date-parts":[["2012"]]},"publisher":"Cambridge University Press","publisher-place":"Cambridge","title":"Set-Theoretic Methods for the Social Sciences: A Guide to Qualitative Comparative Analysis","type":"book"},"uris":["http://www.mendeley.com/documents/?uuid=8dd46045-f5d8-490b-8201-adb66c7c473e"]}],"mendeley":{"formattedCitation":"(Schneider &amp; Wagemann, 2012)","manualFormatting":"(Schneider and Wagemann, 2012)","plainTextFormattedCitation":"(Schneider &amp; Wagemann, 2012)","previouslyFormattedCitation":"(Schneider &amp; Wagemann, 2012)"},"properties":{"noteIndex":0},"schema":"https://github.com/citation-style-language/schema/raw/master/csl-citation.json"}</w:instrText>
      </w:r>
      <w:r w:rsidR="00416D3F" w:rsidRPr="00161533">
        <w:rPr>
          <w:lang w:val="en-US"/>
        </w:rPr>
        <w:fldChar w:fldCharType="separate"/>
      </w:r>
      <w:r w:rsidR="00416D3F" w:rsidRPr="00161533">
        <w:rPr>
          <w:noProof/>
          <w:lang w:val="en-US"/>
        </w:rPr>
        <w:t xml:space="preserve">(Schneider </w:t>
      </w:r>
      <w:r w:rsidR="00EF7082" w:rsidRPr="00161533">
        <w:rPr>
          <w:noProof/>
          <w:lang w:val="en-US"/>
        </w:rPr>
        <w:t xml:space="preserve">and </w:t>
      </w:r>
      <w:r w:rsidR="00416D3F" w:rsidRPr="00161533">
        <w:rPr>
          <w:noProof/>
          <w:lang w:val="en-US"/>
        </w:rPr>
        <w:t>Wagemann, 2012)</w:t>
      </w:r>
      <w:r w:rsidR="00416D3F" w:rsidRPr="00161533">
        <w:rPr>
          <w:lang w:val="en-US"/>
        </w:rPr>
        <w:fldChar w:fldCharType="end"/>
      </w:r>
      <w:r w:rsidR="00416D3F" w:rsidRPr="00161533">
        <w:rPr>
          <w:lang w:val="en-US"/>
        </w:rPr>
        <w:t>.</w:t>
      </w:r>
    </w:p>
    <w:p w14:paraId="704B3EBE" w14:textId="3D2149E9" w:rsidR="006D536B" w:rsidRPr="00161533" w:rsidRDefault="006A3768" w:rsidP="006D536B">
      <w:pPr>
        <w:spacing w:after="0"/>
        <w:ind w:firstLine="284"/>
        <w:jc w:val="both"/>
        <w:rPr>
          <w:rFonts w:eastAsiaTheme="minorEastAsia"/>
          <w:lang w:val="en-US"/>
        </w:rPr>
      </w:pPr>
      <w:r w:rsidRPr="007C12DD">
        <w:rPr>
          <w:lang w:val="en-US"/>
        </w:rPr>
        <w:t xml:space="preserve">The sufficiency analysis aims to find the minimal configurations of </w:t>
      </w:r>
      <w:r w:rsidR="00F32495" w:rsidRPr="007C12DD">
        <w:rPr>
          <w:lang w:val="en-US"/>
        </w:rPr>
        <w:t>conditions</w:t>
      </w:r>
      <w:r w:rsidRPr="007C12DD">
        <w:rPr>
          <w:lang w:val="en-US"/>
        </w:rPr>
        <w:t xml:space="preserve"> that are sufficient for a given outcome </w:t>
      </w:r>
      <w:r w:rsidR="007D03CA" w:rsidRPr="007C12DD">
        <w:rPr>
          <w:lang w:val="en-US"/>
        </w:rPr>
        <w:t>by applying</w:t>
      </w:r>
      <w:r w:rsidRPr="007C12DD">
        <w:rPr>
          <w:lang w:val="en-US"/>
        </w:rPr>
        <w:t xml:space="preserve"> Boolean logic. The configurational analysis starts with a truth table which lists all possible configurations and the frequency and consistency of each configuration.</w:t>
      </w:r>
      <w:r w:rsidR="00364DC5" w:rsidRPr="007C12DD">
        <w:rPr>
          <w:lang w:val="en-US"/>
        </w:rPr>
        <w:t xml:space="preserve"> </w:t>
      </w:r>
      <w:r w:rsidR="00E168FE" w:rsidRPr="00161533">
        <w:rPr>
          <w:rFonts w:eastAsiaTheme="minorEastAsia"/>
          <w:lang w:val="en-US"/>
        </w:rPr>
        <w:t xml:space="preserve">The recommended frequency threshold for samples up to 150 cases is </w:t>
      </w:r>
      <w:r w:rsidR="00643E02" w:rsidRPr="00161533">
        <w:rPr>
          <w:rFonts w:eastAsiaTheme="minorEastAsia"/>
          <w:lang w:val="en-US"/>
        </w:rPr>
        <w:t>2</w:t>
      </w:r>
      <w:r w:rsidR="00E168FE" w:rsidRPr="00161533">
        <w:rPr>
          <w:rFonts w:eastAsiaTheme="minorEastAsia"/>
          <w:lang w:val="en-US"/>
        </w:rPr>
        <w:t xml:space="preserve"> while the recommended consistency threshold is 0.75 </w:t>
      </w:r>
      <w:r w:rsidR="00E168FE" w:rsidRPr="00161533">
        <w:rPr>
          <w:rFonts w:eastAsiaTheme="minorEastAsia"/>
          <w:lang w:val="en-US"/>
        </w:rPr>
        <w:fldChar w:fldCharType="begin" w:fldLock="1"/>
      </w:r>
      <w:r w:rsidR="00CB23E3" w:rsidRPr="00161533">
        <w:rPr>
          <w:rFonts w:eastAsiaTheme="minorEastAsia"/>
          <w:lang w:val="en-US"/>
        </w:rPr>
        <w:instrText>ADDIN CSL_CITATION {"citationItems":[{"id":"ITEM-1","itemData":{"DOI":"10.1093/pan/mpj019","ISSN":"10471987","abstract":"Because of its inherently asymmetric nature, set-theoretic analysis offers many interesting contrasts with analysis based on correlations. Until recently, however, social scientists have been slow to embrace set-theoretic approaches. The perception was that this type of analysis is restricted to primitive, binary variables and that it has little or no tolerance for error. With the advent of \"fuzzy\" sets and the recognition that even rough set-theoretic relations are relevant to theory, these old barriers have crumbled. This paper advances the set-theoretic approach by presenting simple descriptive measures that can be used to evaluate set-theoretic relationships, especially relations between fuzzy sets. The first measure, \"consistency,\" ssesses the degree to which a subset relation has been approximated, whereas the second measure, \"coverage,\" assesses the empirical relevance of a consistent subset. This paper demonstrates further that set-theoretic coverage can be partitioned in a manner somewhat analogous to the partitioning of explained variation in multiple regression analysis. © 2006 Oxford University Press.","author":[{"dropping-particle":"","family":"Ragin","given":"Charles C.","non-dropping-particle":"","parse-names":false,"suffix":""}],"container-title":"Political Analysis","id":"ITEM-1","issue":"3","issued":{"date-parts":[["2006"]]},"page":"291-310","title":"Set relations in social research: Evaluating their consistency and coverage","type":"article-journal","volume":"14"},"uris":["http://www.mendeley.com/documents/?uuid=05047610-7a9b-4797-a8a6-a432b8e165bb"]}],"mendeley":{"formattedCitation":"(Charles C. Ragin, 2006)","manualFormatting":"(Ragin, 2006)","plainTextFormattedCitation":"(Charles C. Ragin, 2006)","previouslyFormattedCitation":"(Charles C. Ragin, 2006)"},"properties":{"noteIndex":0},"schema":"https://github.com/citation-style-language/schema/raw/master/csl-citation.json"}</w:instrText>
      </w:r>
      <w:r w:rsidR="00E168FE" w:rsidRPr="00161533">
        <w:rPr>
          <w:rFonts w:eastAsiaTheme="minorEastAsia"/>
          <w:lang w:val="en-US"/>
        </w:rPr>
        <w:fldChar w:fldCharType="separate"/>
      </w:r>
      <w:r w:rsidR="00E168FE" w:rsidRPr="00161533">
        <w:rPr>
          <w:rFonts w:eastAsiaTheme="minorEastAsia"/>
          <w:noProof/>
          <w:lang w:val="en-US"/>
        </w:rPr>
        <w:t>(Ragin, 2006)</w:t>
      </w:r>
      <w:r w:rsidR="00E168FE" w:rsidRPr="00161533">
        <w:rPr>
          <w:rFonts w:eastAsiaTheme="minorEastAsia"/>
          <w:lang w:val="en-US"/>
        </w:rPr>
        <w:fldChar w:fldCharType="end"/>
      </w:r>
      <w:r w:rsidR="00E168FE" w:rsidRPr="00161533">
        <w:rPr>
          <w:rFonts w:eastAsiaTheme="minorEastAsia"/>
          <w:lang w:val="en-US"/>
        </w:rPr>
        <w:t>.</w:t>
      </w:r>
      <w:r w:rsidR="00F32495" w:rsidRPr="00161533">
        <w:rPr>
          <w:rFonts w:eastAsiaTheme="minorEastAsia"/>
          <w:lang w:val="en-US"/>
        </w:rPr>
        <w:t xml:space="preserve"> For configurations with an inclusion score above 0.75, the </w:t>
      </w:r>
      <w:r w:rsidR="00F32495" w:rsidRPr="00161533">
        <w:rPr>
          <w:rFonts w:eastAsiaTheme="minorEastAsia"/>
          <w:lang w:val="en-US"/>
        </w:rPr>
        <w:lastRenderedPageBreak/>
        <w:t>outcome is set to 1 as they explain the outcome. The outcome for the other configurations is set to 0.</w:t>
      </w:r>
      <w:r w:rsidR="00E168FE" w:rsidRPr="00161533">
        <w:rPr>
          <w:rFonts w:eastAsiaTheme="minorEastAsia"/>
          <w:lang w:val="en-US"/>
        </w:rPr>
        <w:t xml:space="preserve"> In addition, </w:t>
      </w:r>
      <w:r w:rsidR="00F32495" w:rsidRPr="00161533">
        <w:rPr>
          <w:rFonts w:eastAsiaTheme="minorEastAsia"/>
          <w:lang w:val="en-US"/>
        </w:rPr>
        <w:t>we checked</w:t>
      </w:r>
      <w:r w:rsidR="006D536B" w:rsidRPr="00161533">
        <w:rPr>
          <w:rFonts w:eastAsiaTheme="minorEastAsia"/>
          <w:lang w:val="en-US"/>
        </w:rPr>
        <w:t xml:space="preserve"> and studied the</w:t>
      </w:r>
      <w:r w:rsidR="00E168FE" w:rsidRPr="00161533">
        <w:rPr>
          <w:rFonts w:eastAsiaTheme="minorEastAsia"/>
          <w:lang w:val="en-US"/>
        </w:rPr>
        <w:t xml:space="preserve"> deviant cases: i.e.</w:t>
      </w:r>
      <w:r w:rsidR="007C72DF">
        <w:rPr>
          <w:rFonts w:eastAsiaTheme="minorEastAsia"/>
          <w:lang w:val="en-US"/>
        </w:rPr>
        <w:t>,</w:t>
      </w:r>
      <w:r w:rsidR="00E168FE" w:rsidRPr="00161533">
        <w:rPr>
          <w:rFonts w:eastAsiaTheme="minorEastAsia"/>
          <w:lang w:val="en-US"/>
        </w:rPr>
        <w:t xml:space="preserve"> cases that have an inclusion in the configuration but </w:t>
      </w:r>
      <w:r w:rsidR="00711DD0" w:rsidRPr="00161533">
        <w:rPr>
          <w:rFonts w:eastAsiaTheme="minorEastAsia"/>
          <w:lang w:val="en-US"/>
        </w:rPr>
        <w:t>not in the outcome</w:t>
      </w:r>
      <w:r w:rsidR="00E168FE" w:rsidRPr="00161533">
        <w:rPr>
          <w:rFonts w:eastAsiaTheme="minorEastAsia"/>
          <w:lang w:val="en-US"/>
        </w:rPr>
        <w:t>.</w:t>
      </w:r>
      <w:r w:rsidR="009737A5" w:rsidRPr="00161533">
        <w:rPr>
          <w:rFonts w:eastAsiaTheme="minorEastAsia"/>
          <w:lang w:val="en-US"/>
        </w:rPr>
        <w:t xml:space="preserve"> </w:t>
      </w:r>
      <w:r w:rsidR="00F32495" w:rsidRPr="00161533">
        <w:rPr>
          <w:rFonts w:eastAsiaTheme="minorEastAsia"/>
          <w:lang w:val="en-US"/>
        </w:rPr>
        <w:t>We identified six deviant cases. We decided to</w:t>
      </w:r>
      <w:r w:rsidR="006D536B" w:rsidRPr="00161533">
        <w:rPr>
          <w:rFonts w:eastAsiaTheme="minorEastAsia"/>
          <w:lang w:val="en-US"/>
        </w:rPr>
        <w:t xml:space="preserve"> keep</w:t>
      </w:r>
      <w:r w:rsidR="00F32495" w:rsidRPr="00161533">
        <w:rPr>
          <w:rFonts w:eastAsiaTheme="minorEastAsia"/>
          <w:lang w:val="en-US"/>
        </w:rPr>
        <w:t xml:space="preserve"> the deviant cases in the minimization process </w:t>
      </w:r>
      <w:r w:rsidR="00CA38E1" w:rsidRPr="00161533">
        <w:rPr>
          <w:rFonts w:eastAsiaTheme="minorEastAsia"/>
          <w:lang w:val="en-US"/>
        </w:rPr>
        <w:t>because</w:t>
      </w:r>
      <w:r w:rsidR="00F32495" w:rsidRPr="00161533">
        <w:rPr>
          <w:rFonts w:eastAsiaTheme="minorEastAsia"/>
          <w:lang w:val="en-US"/>
        </w:rPr>
        <w:t xml:space="preserve"> </w:t>
      </w:r>
      <w:r w:rsidR="006D536B" w:rsidRPr="00161533">
        <w:rPr>
          <w:rFonts w:eastAsiaTheme="minorEastAsia"/>
          <w:lang w:val="en-US"/>
        </w:rPr>
        <w:t xml:space="preserve">a more in-depth analysis of the deviant cases did not reveal obvious reasons (such as mismanagement of the start-up and </w:t>
      </w:r>
      <w:r w:rsidR="00161533" w:rsidRPr="00161533">
        <w:rPr>
          <w:rFonts w:eastAsiaTheme="minorEastAsia"/>
          <w:lang w:val="en-US"/>
        </w:rPr>
        <w:t>unfavorable</w:t>
      </w:r>
      <w:r w:rsidR="006D536B" w:rsidRPr="00161533">
        <w:rPr>
          <w:rFonts w:eastAsiaTheme="minorEastAsia"/>
          <w:lang w:val="en-US"/>
        </w:rPr>
        <w:t xml:space="preserve"> events) which explain the deviating outcome</w:t>
      </w:r>
      <w:r w:rsidR="00C642F3" w:rsidRPr="00161533">
        <w:rPr>
          <w:rFonts w:eastAsiaTheme="minorEastAsia"/>
          <w:lang w:val="en-US"/>
        </w:rPr>
        <w:t>s</w:t>
      </w:r>
      <w:r w:rsidR="006D536B" w:rsidRPr="00161533">
        <w:rPr>
          <w:rFonts w:eastAsiaTheme="minorEastAsia"/>
          <w:lang w:val="en-US"/>
        </w:rPr>
        <w:t xml:space="preserve">. </w:t>
      </w:r>
      <w:r w:rsidR="009737A5" w:rsidRPr="00161533">
        <w:rPr>
          <w:rFonts w:eastAsiaTheme="minorEastAsia"/>
          <w:lang w:val="en-US"/>
        </w:rPr>
        <w:t>To minimize the configurations as presented in the truth table</w:t>
      </w:r>
      <w:r w:rsidR="005C42B5" w:rsidRPr="00161533">
        <w:rPr>
          <w:rFonts w:eastAsiaTheme="minorEastAsia"/>
          <w:lang w:val="en-US"/>
        </w:rPr>
        <w:t xml:space="preserve"> and to distil only the most important conditions needed for successful</w:t>
      </w:r>
      <w:r w:rsidR="00721571" w:rsidRPr="00161533">
        <w:rPr>
          <w:rFonts w:eastAsiaTheme="minorEastAsia"/>
          <w:lang w:val="en-US"/>
        </w:rPr>
        <w:t xml:space="preserve"> </w:t>
      </w:r>
      <w:r w:rsidR="00573B57" w:rsidRPr="00161533">
        <w:rPr>
          <w:rFonts w:eastAsiaTheme="minorEastAsia"/>
          <w:lang w:val="en-US"/>
        </w:rPr>
        <w:t>manufacturing configurations</w:t>
      </w:r>
      <w:r w:rsidR="005C42B5" w:rsidRPr="00161533">
        <w:rPr>
          <w:rFonts w:eastAsiaTheme="minorEastAsia"/>
          <w:lang w:val="en-US"/>
        </w:rPr>
        <w:t xml:space="preserve">, we </w:t>
      </w:r>
      <w:r w:rsidR="00F4614A" w:rsidRPr="00161533">
        <w:rPr>
          <w:rFonts w:eastAsiaTheme="minorEastAsia"/>
          <w:lang w:val="en-US"/>
        </w:rPr>
        <w:t xml:space="preserve">first </w:t>
      </w:r>
      <w:r w:rsidR="005C42B5" w:rsidRPr="00161533">
        <w:rPr>
          <w:rFonts w:eastAsiaTheme="minorEastAsia"/>
          <w:lang w:val="en-US"/>
        </w:rPr>
        <w:t xml:space="preserve">calculate the parsimonious </w:t>
      </w:r>
      <w:r w:rsidR="007D03CA" w:rsidRPr="00161533">
        <w:rPr>
          <w:rFonts w:eastAsiaTheme="minorEastAsia"/>
          <w:lang w:val="en-US"/>
        </w:rPr>
        <w:t xml:space="preserve">solution </w:t>
      </w:r>
      <w:r w:rsidR="005C42B5" w:rsidRPr="00161533">
        <w:rPr>
          <w:rFonts w:eastAsiaTheme="minorEastAsia"/>
          <w:lang w:val="en-US"/>
        </w:rPr>
        <w:fldChar w:fldCharType="begin" w:fldLock="1"/>
      </w:r>
      <w:r w:rsidR="00EC0C4D" w:rsidRPr="00161533">
        <w:rPr>
          <w:rFonts w:eastAsiaTheme="minorEastAsia"/>
          <w:lang w:val="en-US"/>
        </w:rPr>
        <w:instrText>ADDIN CSL_CITATION {"citationItems":[{"id":"ITEM-1","itemData":{"DOI":"10.1007/978-3-319-75668-4","abstract":"Study question: Could the presence of human somatostatin receptors in endometriotic tissues be considered a pathogenetic factor leading to the colonization of several female organs by ectopic endometrium ? Summary answer: Somatostatin receptors sst1 and sst5 are highly expressed in ovarian endometriomata, in peritoneal lesions, in cervical adenomyosis, in subcutaneous endometriotic nodules and in the forms of deeply infiltrating endometriosis as vaginal, intestinal or bladder nodules. What is known already: Somatostatin is a peptide hormone with affinity for a family of G protein-coupled receptors (sst1-sst5) that acts as inhibitory regulator of cellular functions including hormone secretion, motility, and proliferation. Moreover, sst agonists exert a direct cytostatic effect on normal (i.e., endothelial cells) and tumor cells expressing (ssts) or indirectly by inhibiting the release of growth factors. At the moment there is no data available regarding the status of sst in different forms of endometriosis. Study design, size, duration: This descriptive study encompass observations from tissues of 50 women that underwent surgery. These patients were among those referred to our Unit for possible endometriosis, chronic pelvic pain and infertility for the last 9 years. Participants/materials, setting, methods: Immunohistochemistry of sst1, sst2, and sst5 was performed with standard protocols; two pathologists evaluated and graded immunohistochemical staining by scoring separately the percentage of positive cells (endometrial glandular and stromal) using a proportion score (PS) and an intensity score (IS). Main results and the role of chance: A well-defined sst1, sst2, and sst5 immunoreactivity was demonstrated both in epithelial and stromal cells of endometriotic lesions in superficial layer of peritoneum, ovarian endometriomata, cervical cystic adenomyosis, subcutaneous endometriotic nodules and in all the forms of deeply infiltrating endometriosis as vaginal, intestinal or bladder nodules. All the analyzed lesions with immunohistochemistry were studied in vivo by nuclear magnetic resonance and photographed during surgery. Microscopic pictures show a significantly stronger sst1 and sst5 positive staining (PS + IS scores) in endometriotic lesions (sst1: 6.4; sst5: 4.2) compared with the healthy part of the tissues (sst1: 3.1; sst5: 0.8) (P &lt; 0.05). The sst2 immunoreactivity appears to be non specific being present ubiquitously and with comparable PS and IS …","author":[{"dropping-particle":"","family":"Duşa","given":"Adrian","non-dropping-particle":"","parse-names":false,"suffix":""}],"container-title":"QCA with R","id":"ITEM-1","issued":{"date-parts":[["2019"]]},"title":"QCA with R","type":"article-journal"},"uris":["http://www.mendeley.com/documents/?uuid=4a54645d-450a-460b-875c-95fc2ff9ff32"]}],"mendeley":{"formattedCitation":"(Duşa, 2019)","plainTextFormattedCitation":"(Duşa, 2019)","previouslyFormattedCitation":"(Duşa, 2019)"},"properties":{"noteIndex":0},"schema":"https://github.com/citation-style-language/schema/raw/master/csl-citation.json"}</w:instrText>
      </w:r>
      <w:r w:rsidR="005C42B5" w:rsidRPr="00161533">
        <w:rPr>
          <w:rFonts w:eastAsiaTheme="minorEastAsia"/>
          <w:lang w:val="en-US"/>
        </w:rPr>
        <w:fldChar w:fldCharType="separate"/>
      </w:r>
      <w:r w:rsidR="005C42B5" w:rsidRPr="00161533">
        <w:rPr>
          <w:rFonts w:eastAsiaTheme="minorEastAsia"/>
          <w:noProof/>
          <w:lang w:val="en-US"/>
        </w:rPr>
        <w:t>(Duşa, 2019)</w:t>
      </w:r>
      <w:r w:rsidR="005C42B5" w:rsidRPr="00161533">
        <w:rPr>
          <w:rFonts w:eastAsiaTheme="minorEastAsia"/>
          <w:lang w:val="en-US"/>
        </w:rPr>
        <w:fldChar w:fldCharType="end"/>
      </w:r>
      <w:r w:rsidR="005C42B5" w:rsidRPr="00161533">
        <w:rPr>
          <w:rFonts w:eastAsiaTheme="minorEastAsia"/>
          <w:lang w:val="en-US"/>
        </w:rPr>
        <w:t xml:space="preserve">. The parsimonious solution distils the core conditions by identifying </w:t>
      </w:r>
      <w:r w:rsidR="00721571" w:rsidRPr="00161533">
        <w:rPr>
          <w:rFonts w:eastAsiaTheme="minorEastAsia"/>
          <w:lang w:val="en-US"/>
        </w:rPr>
        <w:t>the</w:t>
      </w:r>
      <w:r w:rsidR="00563E3B" w:rsidRPr="00161533">
        <w:rPr>
          <w:rFonts w:eastAsiaTheme="minorEastAsia"/>
          <w:lang w:val="en-US"/>
        </w:rPr>
        <w:t xml:space="preserve"> conditions</w:t>
      </w:r>
      <w:r w:rsidR="00CA38E1" w:rsidRPr="00161533">
        <w:rPr>
          <w:rFonts w:eastAsiaTheme="minorEastAsia"/>
          <w:lang w:val="en-US"/>
        </w:rPr>
        <w:t>,</w:t>
      </w:r>
      <w:r w:rsidR="005C42B5" w:rsidRPr="00161533">
        <w:rPr>
          <w:rFonts w:eastAsiaTheme="minorEastAsia"/>
          <w:lang w:val="en-US"/>
        </w:rPr>
        <w:t xml:space="preserve"> or set of </w:t>
      </w:r>
      <w:r w:rsidR="00563E3B" w:rsidRPr="00161533">
        <w:rPr>
          <w:rFonts w:eastAsiaTheme="minorEastAsia"/>
          <w:lang w:val="en-US"/>
        </w:rPr>
        <w:t>conditions</w:t>
      </w:r>
      <w:r w:rsidR="00CA38E1" w:rsidRPr="00161533">
        <w:rPr>
          <w:rFonts w:eastAsiaTheme="minorEastAsia"/>
          <w:lang w:val="en-US"/>
        </w:rPr>
        <w:t>,</w:t>
      </w:r>
      <w:r w:rsidR="00563E3B" w:rsidRPr="00161533">
        <w:rPr>
          <w:rFonts w:eastAsiaTheme="minorEastAsia"/>
          <w:lang w:val="en-US"/>
        </w:rPr>
        <w:t xml:space="preserve"> </w:t>
      </w:r>
      <w:r w:rsidR="00721571" w:rsidRPr="00161533">
        <w:rPr>
          <w:rFonts w:eastAsiaTheme="minorEastAsia"/>
          <w:lang w:val="en-US"/>
        </w:rPr>
        <w:t>which have a</w:t>
      </w:r>
      <w:r w:rsidR="005C42B5" w:rsidRPr="00161533">
        <w:rPr>
          <w:rFonts w:eastAsiaTheme="minorEastAsia"/>
          <w:lang w:val="en-US"/>
        </w:rPr>
        <w:t xml:space="preserve"> strong correlation with the outcome. </w:t>
      </w:r>
      <w:r w:rsidR="00F4614A" w:rsidRPr="00161533">
        <w:rPr>
          <w:rFonts w:eastAsiaTheme="minorEastAsia"/>
          <w:lang w:val="en-US"/>
        </w:rPr>
        <w:t xml:space="preserve">Next, to </w:t>
      </w:r>
      <w:r w:rsidR="007D03CA" w:rsidRPr="00161533">
        <w:rPr>
          <w:rFonts w:eastAsiaTheme="minorEastAsia"/>
          <w:lang w:val="en-US"/>
        </w:rPr>
        <w:t>derive</w:t>
      </w:r>
      <w:r w:rsidR="00F4614A" w:rsidRPr="00161533">
        <w:rPr>
          <w:rFonts w:eastAsiaTheme="minorEastAsia"/>
          <w:lang w:val="en-US"/>
        </w:rPr>
        <w:t xml:space="preserve"> the peripheral conditions – i.e.</w:t>
      </w:r>
      <w:r w:rsidR="007C72DF">
        <w:rPr>
          <w:rFonts w:eastAsiaTheme="minorEastAsia"/>
          <w:lang w:val="en-US"/>
        </w:rPr>
        <w:t>,</w:t>
      </w:r>
      <w:r w:rsidR="00F4614A" w:rsidRPr="00161533">
        <w:rPr>
          <w:rFonts w:eastAsiaTheme="minorEastAsia"/>
          <w:lang w:val="en-US"/>
        </w:rPr>
        <w:t xml:space="preserve"> the </w:t>
      </w:r>
      <w:r w:rsidR="00563E3B" w:rsidRPr="00161533">
        <w:rPr>
          <w:rFonts w:eastAsiaTheme="minorEastAsia"/>
          <w:lang w:val="en-US"/>
        </w:rPr>
        <w:t>conditions</w:t>
      </w:r>
      <w:r w:rsidR="00CA38E1" w:rsidRPr="00161533">
        <w:rPr>
          <w:rFonts w:eastAsiaTheme="minorEastAsia"/>
          <w:lang w:val="en-US"/>
        </w:rPr>
        <w:t>,</w:t>
      </w:r>
      <w:r w:rsidR="00F4614A" w:rsidRPr="00161533">
        <w:rPr>
          <w:rFonts w:eastAsiaTheme="minorEastAsia"/>
          <w:lang w:val="en-US"/>
        </w:rPr>
        <w:t xml:space="preserve"> or set of </w:t>
      </w:r>
      <w:r w:rsidR="00563E3B" w:rsidRPr="00161533">
        <w:rPr>
          <w:rFonts w:eastAsiaTheme="minorEastAsia"/>
          <w:lang w:val="en-US"/>
        </w:rPr>
        <w:t>conditions</w:t>
      </w:r>
      <w:r w:rsidR="00CA38E1" w:rsidRPr="00161533">
        <w:rPr>
          <w:rFonts w:eastAsiaTheme="minorEastAsia"/>
          <w:lang w:val="en-US"/>
        </w:rPr>
        <w:t>,</w:t>
      </w:r>
      <w:r w:rsidR="00F4614A" w:rsidRPr="00161533">
        <w:rPr>
          <w:rFonts w:eastAsiaTheme="minorEastAsia"/>
          <w:lang w:val="en-US"/>
        </w:rPr>
        <w:t xml:space="preserve"> with a weak correlation with the outcome – we calculate t</w:t>
      </w:r>
      <w:r w:rsidR="005C42B5" w:rsidRPr="00161533">
        <w:rPr>
          <w:rFonts w:eastAsiaTheme="minorEastAsia"/>
          <w:lang w:val="en-US"/>
        </w:rPr>
        <w:t>he intermediate solution</w:t>
      </w:r>
      <w:r w:rsidR="00F4614A" w:rsidRPr="00161533">
        <w:rPr>
          <w:rFonts w:eastAsiaTheme="minorEastAsia"/>
          <w:lang w:val="en-US"/>
        </w:rPr>
        <w:t xml:space="preserve">. The intermediate solution compares the parsimonious solution with all possible configurations based on logical operations (also known as the complex solution). </w:t>
      </w:r>
      <w:r w:rsidR="00EC0C4D" w:rsidRPr="00161533">
        <w:rPr>
          <w:rFonts w:eastAsiaTheme="minorEastAsia"/>
          <w:lang w:val="en-US"/>
        </w:rPr>
        <w:t>For a detailed description o</w:t>
      </w:r>
      <w:r w:rsidR="00721571" w:rsidRPr="00161533">
        <w:rPr>
          <w:rFonts w:eastAsiaTheme="minorEastAsia"/>
          <w:lang w:val="en-US"/>
        </w:rPr>
        <w:t>f</w:t>
      </w:r>
      <w:r w:rsidR="00EC0C4D" w:rsidRPr="00161533">
        <w:rPr>
          <w:rFonts w:eastAsiaTheme="minorEastAsia"/>
          <w:lang w:val="en-US"/>
        </w:rPr>
        <w:t xml:space="preserve"> the steps involved in the </w:t>
      </w:r>
      <w:r w:rsidR="00721571" w:rsidRPr="00161533">
        <w:rPr>
          <w:rFonts w:eastAsiaTheme="minorEastAsia"/>
          <w:lang w:val="en-US"/>
        </w:rPr>
        <w:t>intermediate</w:t>
      </w:r>
      <w:r w:rsidR="00EC0C4D" w:rsidRPr="00161533">
        <w:rPr>
          <w:rFonts w:eastAsiaTheme="minorEastAsia"/>
          <w:lang w:val="en-US"/>
        </w:rPr>
        <w:t xml:space="preserve"> solution, see </w:t>
      </w:r>
      <w:r w:rsidR="00EC0C4D" w:rsidRPr="00161533">
        <w:rPr>
          <w:rFonts w:eastAsiaTheme="minorEastAsia"/>
          <w:lang w:val="en-US"/>
        </w:rPr>
        <w:fldChar w:fldCharType="begin" w:fldLock="1"/>
      </w:r>
      <w:r w:rsidR="00CB23E3" w:rsidRPr="00161533">
        <w:rPr>
          <w:rFonts w:eastAsiaTheme="minorEastAsia"/>
          <w:lang w:val="en-US"/>
        </w:rPr>
        <w:instrText>ADDIN CSL_CITATION {"citationItems":[{"id":"ITEM-1","itemData":{"author":[{"dropping-particle":"","family":"Ragin","given":"C.C.","non-dropping-particle":"","parse-names":false,"suffix":""},{"dropping-particle":"","family":"Sonnett","given":"J.","non-dropping-particle":"","parse-names":false,"suffix":""}],"container-title":"Vergleichen in der Politikwissenschaft","editor":[{"dropping-particle":"","family":"Kropp","given":"S","non-dropping-particle":"","parse-names":false,"suffix":""},{"dropping-particle":"","family":"Minkenberg","given":"M","non-dropping-particle":"","parse-names":false,"suffix":""}],"id":"ITEM-1","issued":{"date-parts":[["2005"]]},"page":"180–197","publisher":"Verlag für Sozialwissenschaften","publisher-place":"Wiesbaden","title":"Between Complexity and Parsimony: Limited Diversity, Counterfactual Cases, and Comparative Analysis","type":"chapter"},"uris":["http://www.mendeley.com/documents/?uuid=1fa28872-e442-4860-90a2-24ab752fb96b"]}],"mendeley":{"formattedCitation":"(C.C. Ragin &amp; Sonnett, 2005)","manualFormatting":"Ragin and Sonnett (2005)","plainTextFormattedCitation":"(C.C. Ragin &amp; Sonnett, 2005)","previouslyFormattedCitation":"(C.C. Ragin &amp; Sonnett, 2005)"},"properties":{"noteIndex":0},"schema":"https://github.com/citation-style-language/schema/raw/master/csl-citation.json"}</w:instrText>
      </w:r>
      <w:r w:rsidR="00EC0C4D" w:rsidRPr="00161533">
        <w:rPr>
          <w:rFonts w:eastAsiaTheme="minorEastAsia"/>
          <w:lang w:val="en-US"/>
        </w:rPr>
        <w:fldChar w:fldCharType="separate"/>
      </w:r>
      <w:r w:rsidR="00EC0C4D" w:rsidRPr="00161533">
        <w:rPr>
          <w:rFonts w:eastAsiaTheme="minorEastAsia"/>
          <w:noProof/>
          <w:lang w:val="en-US"/>
        </w:rPr>
        <w:t xml:space="preserve">Ragin </w:t>
      </w:r>
      <w:r w:rsidR="00BE11ED" w:rsidRPr="00161533">
        <w:rPr>
          <w:rFonts w:eastAsiaTheme="minorEastAsia"/>
          <w:noProof/>
          <w:lang w:val="en-US"/>
        </w:rPr>
        <w:t>and</w:t>
      </w:r>
      <w:r w:rsidR="00EC0C4D" w:rsidRPr="00161533">
        <w:rPr>
          <w:rFonts w:eastAsiaTheme="minorEastAsia"/>
          <w:noProof/>
          <w:lang w:val="en-US"/>
        </w:rPr>
        <w:t xml:space="preserve"> Sonnett </w:t>
      </w:r>
      <w:r w:rsidR="00BE11ED" w:rsidRPr="00161533">
        <w:rPr>
          <w:rFonts w:eastAsiaTheme="minorEastAsia"/>
          <w:noProof/>
          <w:lang w:val="en-US"/>
        </w:rPr>
        <w:t>(</w:t>
      </w:r>
      <w:r w:rsidR="00EC0C4D" w:rsidRPr="00161533">
        <w:rPr>
          <w:rFonts w:eastAsiaTheme="minorEastAsia"/>
          <w:noProof/>
          <w:lang w:val="en-US"/>
        </w:rPr>
        <w:t>2005)</w:t>
      </w:r>
      <w:r w:rsidR="00EC0C4D" w:rsidRPr="00161533">
        <w:rPr>
          <w:rFonts w:eastAsiaTheme="minorEastAsia"/>
          <w:lang w:val="en-US"/>
        </w:rPr>
        <w:fldChar w:fldCharType="end"/>
      </w:r>
      <w:r w:rsidR="00721571" w:rsidRPr="00161533">
        <w:rPr>
          <w:rFonts w:eastAsiaTheme="minorEastAsia"/>
          <w:lang w:val="en-US"/>
        </w:rPr>
        <w:t>. For the application of calculating the parsimonious and intermediate solution in R, see</w:t>
      </w:r>
      <w:r w:rsidR="00EC0C4D" w:rsidRPr="00161533">
        <w:rPr>
          <w:rFonts w:eastAsiaTheme="minorEastAsia"/>
          <w:lang w:val="en-US"/>
        </w:rPr>
        <w:t xml:space="preserve"> </w:t>
      </w:r>
      <w:r w:rsidR="00BE11ED" w:rsidRPr="00161533">
        <w:rPr>
          <w:rFonts w:eastAsiaTheme="minorEastAsia"/>
          <w:lang w:val="en-US"/>
        </w:rPr>
        <w:fldChar w:fldCharType="begin" w:fldLock="1"/>
      </w:r>
      <w:r w:rsidR="00CB23E3" w:rsidRPr="00161533">
        <w:rPr>
          <w:rFonts w:eastAsiaTheme="minorEastAsia"/>
          <w:lang w:val="en-US"/>
        </w:rPr>
        <w:instrText>ADDIN CSL_CITATION {"citationItems":[{"id":"ITEM-1","itemData":{"DOI":"10.1007/978-3-319-75668-4","abstract":"Study question: Could the presence of human somatostatin receptors in endometriotic tissues be considered a pathogenetic factor leading to the colonization of several female organs by ectopic endometrium ? Summary answer: Somatostatin receptors sst1 and sst5 are highly expressed in ovarian endometriomata, in peritoneal lesions, in cervical adenomyosis, in subcutaneous endometriotic nodules and in the forms of deeply infiltrating endometriosis as vaginal, intestinal or bladder nodules. What is known already: Somatostatin is a peptide hormone with affinity for a family of G protein-coupled receptors (sst1-sst5) that acts as inhibitory regulator of cellular functions including hormone secretion, motility, and proliferation. Moreover, sst agonists exert a direct cytostatic effect on normal (i.e., endothelial cells) and tumor cells expressing (ssts) or indirectly by inhibiting the release of growth factors. At the moment there is no data available regarding the status of sst in different forms of endometriosis. Study design, size, duration: This descriptive study encompass observations from tissues of 50 women that underwent surgery. These patients were among those referred to our Unit for possible endometriosis, chronic pelvic pain and infertility for the last 9 years. Participants/materials, setting, methods: Immunohistochemistry of sst1, sst2, and sst5 was performed with standard protocols; two pathologists evaluated and graded immunohistochemical staining by scoring separately the percentage of positive cells (endometrial glandular and stromal) using a proportion score (PS) and an intensity score (IS). Main results and the role of chance: A well-defined sst1, sst2, and sst5 immunoreactivity was demonstrated both in epithelial and stromal cells of endometriotic lesions in superficial layer of peritoneum, ovarian endometriomata, cervical cystic adenomyosis, subcutaneous endometriotic nodules and in all the forms of deeply infiltrating endometriosis as vaginal, intestinal or bladder nodules. All the analyzed lesions with immunohistochemistry were studied in vivo by nuclear magnetic resonance and photographed during surgery. Microscopic pictures show a significantly stronger sst1 and sst5 positive staining (PS + IS scores) in endometriotic lesions (sst1: 6.4; sst5: 4.2) compared with the healthy part of the tissues (sst1: 3.1; sst5: 0.8) (P &lt; 0.05). The sst2 immunoreactivity appears to be non specific being present ubiquitously and with comparable PS and IS …","author":[{"dropping-particle":"","family":"Duşa","given":"Adrian","non-dropping-particle":"","parse-names":false,"suffix":""}],"container-title":"QCA with R","id":"ITEM-1","issued":{"date-parts":[["2019"]]},"title":"QCA with R","type":"article-journal"},"uris":["http://www.mendeley.com/documents/?uuid=4a54645d-450a-460b-875c-95fc2ff9ff32"]}],"mendeley":{"formattedCitation":"(Duşa, 2019)","manualFormatting":"Duşa (2019)","plainTextFormattedCitation":"(Duşa, 2019)","previouslyFormattedCitation":"(Duşa, 2019)"},"properties":{"noteIndex":0},"schema":"https://github.com/citation-style-language/schema/raw/master/csl-citation.json"}</w:instrText>
      </w:r>
      <w:r w:rsidR="00BE11ED" w:rsidRPr="00161533">
        <w:rPr>
          <w:rFonts w:eastAsiaTheme="minorEastAsia"/>
          <w:lang w:val="en-US"/>
        </w:rPr>
        <w:fldChar w:fldCharType="separate"/>
      </w:r>
      <w:r w:rsidR="00BE11ED" w:rsidRPr="00161533">
        <w:rPr>
          <w:rFonts w:eastAsiaTheme="minorEastAsia"/>
          <w:noProof/>
          <w:lang w:val="en-US"/>
        </w:rPr>
        <w:t>Duşa (2019)</w:t>
      </w:r>
      <w:r w:rsidR="00BE11ED" w:rsidRPr="00161533">
        <w:rPr>
          <w:rFonts w:eastAsiaTheme="minorEastAsia"/>
          <w:lang w:val="en-US"/>
        </w:rPr>
        <w:fldChar w:fldCharType="end"/>
      </w:r>
      <w:r w:rsidR="00BE11ED" w:rsidRPr="00161533">
        <w:rPr>
          <w:rFonts w:eastAsiaTheme="minorEastAsia"/>
          <w:lang w:val="en-US"/>
        </w:rPr>
        <w:t xml:space="preserve">. </w:t>
      </w:r>
    </w:p>
    <w:p w14:paraId="49BB8D81" w14:textId="19CA52BB" w:rsidR="00BE11ED" w:rsidRPr="00161533" w:rsidRDefault="00BE11ED" w:rsidP="000F6D5B">
      <w:pPr>
        <w:spacing w:after="0"/>
        <w:ind w:firstLine="284"/>
        <w:jc w:val="both"/>
        <w:rPr>
          <w:rFonts w:eastAsiaTheme="minorEastAsia"/>
          <w:lang w:val="en-US"/>
        </w:rPr>
      </w:pPr>
      <w:r w:rsidRPr="00161533">
        <w:rPr>
          <w:rFonts w:eastAsiaTheme="minorEastAsia"/>
          <w:lang w:val="en-US"/>
        </w:rPr>
        <w:t>To interpret the parsimonious and intermediate solution</w:t>
      </w:r>
      <w:r w:rsidR="00861F97">
        <w:rPr>
          <w:rFonts w:eastAsiaTheme="minorEastAsia"/>
          <w:lang w:val="en-US"/>
        </w:rPr>
        <w:t>s</w:t>
      </w:r>
      <w:r w:rsidRPr="00161533">
        <w:rPr>
          <w:rFonts w:eastAsiaTheme="minorEastAsia"/>
          <w:lang w:val="en-US"/>
        </w:rPr>
        <w:t xml:space="preserve">, </w:t>
      </w:r>
      <w:r w:rsidR="006D536B" w:rsidRPr="00161533">
        <w:rPr>
          <w:rFonts w:eastAsiaTheme="minorEastAsia"/>
          <w:lang w:val="en-US"/>
        </w:rPr>
        <w:t xml:space="preserve">we followed the guidelines of </w:t>
      </w:r>
      <w:r w:rsidR="006D536B" w:rsidRPr="00161533">
        <w:rPr>
          <w:rFonts w:eastAsiaTheme="minorEastAsia"/>
          <w:lang w:val="en-US"/>
        </w:rPr>
        <w:fldChar w:fldCharType="begin" w:fldLock="1"/>
      </w:r>
      <w:r w:rsidR="00364DC5" w:rsidRPr="00161533">
        <w:rPr>
          <w:rFonts w:eastAsiaTheme="minorEastAsia"/>
          <w:lang w:val="en-US"/>
        </w:rPr>
        <w:instrText>ADDIN CSL_CITATION {"citationItems":[{"id":"ITEM-1","itemData":{"DOI":"10.1163/156913210X12493538729793","ISSN":"15691322","abstract":"As a relatively new methodological tool, QCA is still a work in progress. Standards of good practice are needed in order to enhance the quality of its applications. We present a list from A to Z of twenty-six proposals regarding what a \"good\" QCA-based research entails, both with regard to QCA as a research approach and as an analytical technique. Our suggestions are subdivided into three categories: criteria referring to the research stages before, during, and after the analytical moment of data analysis. This listing can be read as a guideline for authors, reviewers, and readers of QCA. © 2010 Koninklijke Brill NV, Leiden.","author":[{"dropping-particle":"","family":"Schneider","given":"Carsten Q.","non-dropping-particle":"","parse-names":false,"suffix":""},{"dropping-particle":"","family":"Wagemann","given":"Claudius","non-dropping-particle":"","parse-names":false,"suffix":""}],"container-title":"Comparative Sociology","id":"ITEM-1","issue":"3","issued":{"date-parts":[["2010"]]},"page":"397-418","title":"Standards of good practice in qualitative comparative analysis (QCA) and fuzzy-sets","type":"article-journal","volume":"9"},"uris":["http://www.mendeley.com/documents/?uuid=8c678488-f8d3-44ce-89e5-81f954f2ff5f"]}],"mendeley":{"formattedCitation":"(Schneider &amp; Wagemann, 2010)","manualFormatting":"Schneider and Wagemann (2010)","plainTextFormattedCitation":"(Schneider &amp; Wagemann, 2010)","previouslyFormattedCitation":"(Schneider &amp; Wagemann, 2010)"},"properties":{"noteIndex":0},"schema":"https://github.com/citation-style-language/schema/raw/master/csl-citation.json"}</w:instrText>
      </w:r>
      <w:r w:rsidR="006D536B" w:rsidRPr="00161533">
        <w:rPr>
          <w:rFonts w:eastAsiaTheme="minorEastAsia"/>
          <w:lang w:val="en-US"/>
        </w:rPr>
        <w:fldChar w:fldCharType="separate"/>
      </w:r>
      <w:r w:rsidR="006D536B" w:rsidRPr="00161533">
        <w:rPr>
          <w:rFonts w:eastAsiaTheme="minorEastAsia"/>
          <w:noProof/>
          <w:lang w:val="en-US"/>
        </w:rPr>
        <w:t xml:space="preserve">Schneider </w:t>
      </w:r>
      <w:r w:rsidR="00364DC5" w:rsidRPr="00161533">
        <w:rPr>
          <w:rFonts w:eastAsiaTheme="minorEastAsia"/>
          <w:noProof/>
          <w:lang w:val="en-US"/>
        </w:rPr>
        <w:t>and</w:t>
      </w:r>
      <w:r w:rsidR="006D536B" w:rsidRPr="00161533">
        <w:rPr>
          <w:rFonts w:eastAsiaTheme="minorEastAsia"/>
          <w:noProof/>
          <w:lang w:val="en-US"/>
        </w:rPr>
        <w:t xml:space="preserve"> Wagemann </w:t>
      </w:r>
      <w:r w:rsidR="00364DC5" w:rsidRPr="00161533">
        <w:rPr>
          <w:rFonts w:eastAsiaTheme="minorEastAsia"/>
          <w:noProof/>
          <w:lang w:val="en-US"/>
        </w:rPr>
        <w:t>(</w:t>
      </w:r>
      <w:r w:rsidR="006D536B" w:rsidRPr="00161533">
        <w:rPr>
          <w:rFonts w:eastAsiaTheme="minorEastAsia"/>
          <w:noProof/>
          <w:lang w:val="en-US"/>
        </w:rPr>
        <w:t>2010)</w:t>
      </w:r>
      <w:r w:rsidR="006D536B" w:rsidRPr="00161533">
        <w:rPr>
          <w:rFonts w:eastAsiaTheme="minorEastAsia"/>
          <w:lang w:val="en-US"/>
        </w:rPr>
        <w:fldChar w:fldCharType="end"/>
      </w:r>
      <w:r w:rsidR="006D536B" w:rsidRPr="00161533">
        <w:rPr>
          <w:rFonts w:eastAsiaTheme="minorEastAsia"/>
          <w:lang w:val="en-US"/>
        </w:rPr>
        <w:t xml:space="preserve">. We </w:t>
      </w:r>
      <w:r w:rsidRPr="00161533">
        <w:rPr>
          <w:rFonts w:eastAsiaTheme="minorEastAsia"/>
          <w:lang w:val="en-US"/>
        </w:rPr>
        <w:t>identified the conditions of the parsimonious solution in the intermediate solution to distinguish between core and peripheral conditions.</w:t>
      </w:r>
      <w:r w:rsidR="006D536B" w:rsidRPr="00161533">
        <w:rPr>
          <w:rFonts w:eastAsiaTheme="minorEastAsia"/>
          <w:lang w:val="en-US"/>
        </w:rPr>
        <w:t xml:space="preserve"> In addition, we related the </w:t>
      </w:r>
      <w:r w:rsidR="008B2A08" w:rsidRPr="00161533">
        <w:rPr>
          <w:rFonts w:eastAsiaTheme="minorEastAsia"/>
          <w:lang w:val="en-US"/>
        </w:rPr>
        <w:t>cs</w:t>
      </w:r>
      <w:r w:rsidR="006D536B" w:rsidRPr="00161533">
        <w:rPr>
          <w:rFonts w:eastAsiaTheme="minorEastAsia"/>
          <w:lang w:val="en-US"/>
        </w:rPr>
        <w:t xml:space="preserve">QCA outcomes to the cases to make sense of the outcomes rather than interpreting the outcomes in a mechanical way. </w:t>
      </w:r>
    </w:p>
    <w:p w14:paraId="710634CE" w14:textId="68AC9D5F" w:rsidR="00BE11ED" w:rsidRPr="00161533" w:rsidRDefault="00BE11ED" w:rsidP="00E168FE">
      <w:pPr>
        <w:spacing w:after="0"/>
        <w:jc w:val="both"/>
        <w:rPr>
          <w:rFonts w:eastAsiaTheme="minorEastAsia"/>
          <w:lang w:val="en-US"/>
        </w:rPr>
      </w:pPr>
    </w:p>
    <w:p w14:paraId="3B92FF29" w14:textId="5F37AE70" w:rsidR="000F7266" w:rsidRPr="007C12DD" w:rsidRDefault="00364246" w:rsidP="000F6D5B">
      <w:pPr>
        <w:spacing w:after="0"/>
        <w:jc w:val="both"/>
        <w:rPr>
          <w:i/>
          <w:iCs/>
          <w:lang w:val="en-US"/>
        </w:rPr>
      </w:pPr>
      <w:r w:rsidRPr="007C12DD">
        <w:rPr>
          <w:i/>
          <w:iCs/>
          <w:lang w:val="en-US"/>
        </w:rPr>
        <w:t xml:space="preserve">3.4 </w:t>
      </w:r>
      <w:r w:rsidR="000F7266" w:rsidRPr="007C12DD">
        <w:rPr>
          <w:i/>
          <w:iCs/>
          <w:lang w:val="en-US"/>
        </w:rPr>
        <w:t>Research quality</w:t>
      </w:r>
    </w:p>
    <w:p w14:paraId="5A42817E" w14:textId="02CC36F2" w:rsidR="00D058AF" w:rsidRPr="007C12DD" w:rsidRDefault="000F7266" w:rsidP="000F6D5B">
      <w:pPr>
        <w:spacing w:after="0"/>
        <w:jc w:val="both"/>
        <w:rPr>
          <w:lang w:val="en-US"/>
        </w:rPr>
      </w:pPr>
      <w:r w:rsidRPr="007C12DD">
        <w:rPr>
          <w:lang w:val="en-US"/>
        </w:rPr>
        <w:t xml:space="preserve">We applied several measures to ensure the </w:t>
      </w:r>
      <w:r w:rsidR="00E85B5F" w:rsidRPr="007C12DD">
        <w:rPr>
          <w:lang w:val="en-US"/>
        </w:rPr>
        <w:t>reliability and validity of this study</w:t>
      </w:r>
      <w:r w:rsidRPr="007C12DD">
        <w:rPr>
          <w:lang w:val="en-US"/>
        </w:rPr>
        <w:t>.</w:t>
      </w:r>
      <w:r w:rsidR="00573518" w:rsidRPr="007C12DD">
        <w:rPr>
          <w:lang w:val="en-US"/>
        </w:rPr>
        <w:t xml:space="preserve"> </w:t>
      </w:r>
      <w:r w:rsidR="00C642F3" w:rsidRPr="007C12DD">
        <w:rPr>
          <w:lang w:val="en-US"/>
        </w:rPr>
        <w:t>S</w:t>
      </w:r>
      <w:r w:rsidR="00117120" w:rsidRPr="007C12DD">
        <w:rPr>
          <w:lang w:val="en-US"/>
        </w:rPr>
        <w:t xml:space="preserve">econdary data may impose problems as the researcher </w:t>
      </w:r>
      <w:r w:rsidR="00C642F3" w:rsidRPr="007C12DD">
        <w:rPr>
          <w:lang w:val="en-US"/>
        </w:rPr>
        <w:t>is</w:t>
      </w:r>
      <w:r w:rsidR="00117120" w:rsidRPr="007C12DD">
        <w:rPr>
          <w:lang w:val="en-US"/>
        </w:rPr>
        <w:t xml:space="preserve"> not involved in the data collection </w:t>
      </w:r>
      <w:r w:rsidR="00117120" w:rsidRPr="007C12DD">
        <w:rPr>
          <w:lang w:val="en-US"/>
        </w:rPr>
        <w:fldChar w:fldCharType="begin" w:fldLock="1"/>
      </w:r>
      <w:r w:rsidR="00E41F76" w:rsidRPr="007C12DD">
        <w:rPr>
          <w:lang w:val="en-US"/>
        </w:rPr>
        <w:instrText>ADDIN CSL_CITATION {"citationItems":[{"id":"ITEM-1","itemData":{"DOI":"10.1159/000479695","ISSN":"14230208","PMID":"28810247","abstract":"Introduction: Gait speed is associated with multiple adverse outcomes of aging. We hypothesized that physical inactivity would be prospectively inversely associated with gait speed independently of white matter hyperintensity volume and silent brain infarcts on MRI. Methods: Participants in the Northern Manhattan Study MRI sub-study had physical activity assessed when they were enrolled into the study. A mean of 5 years after the MRI, participants had gait speed measured via a timed 5-meter walk test. Physical inactivity was defined as reporting no leisure-time physical activity. Multi-variable logistic and quantile regression was performed to examine the associations between physical inactivity and future gait speed adjusted for confounders. Results: Among 711 participants with MRI and gait speed measures (62% women, 71% Hispanic, mean age 74.1 ± 8.4), the mean gait speed was 1.02 ± 0.26 m/s. Physical inactivity was associated with a greater odds of gait speed in the lowest quartile (&lt;0.85 m/s, adjusted OR 1.90, 95% CI 1.17-3.08), and in quantile regression with 0.06 m/s slower gait speed at the lowest 20 percentile (p = 0.005). Conclusions: Physical inactivity is associated with slower gait speed independently of osteoarthritis, grip strength, and subclinical ischemic brain injury. Modifying sedentary behavior poses a target for interventions aimed at reducing decline in mobility.","author":[{"dropping-particle":"","family":"Johnston","given":"M.P.","non-dropping-particle":"","parse-names":false,"suffix":""}],"container-title":"Qualitative and Quantitative Methods in Libraries (QQML)","id":"ITEM-1","issued":{"date-parts":[["2014"]]},"page":"619-626","title":"Secondary data analysis: A method of which the time has come","type":"article-journal","volume":"3"},"uris":["http://www.mendeley.com/documents/?uuid=6f817305-dc28-40c5-9cd8-633a45e2b6c4"]}],"mendeley":{"formattedCitation":"(Johnston, 2014)","plainTextFormattedCitation":"(Johnston, 2014)","previouslyFormattedCitation":"(Johnston, 2014)"},"properties":{"noteIndex":0},"schema":"https://github.com/citation-style-language/schema/raw/master/csl-citation.json"}</w:instrText>
      </w:r>
      <w:r w:rsidR="00117120" w:rsidRPr="007C12DD">
        <w:rPr>
          <w:lang w:val="en-US"/>
        </w:rPr>
        <w:fldChar w:fldCharType="separate"/>
      </w:r>
      <w:r w:rsidR="00117120" w:rsidRPr="007C12DD">
        <w:rPr>
          <w:noProof/>
          <w:lang w:val="en-US"/>
        </w:rPr>
        <w:t>(Johnston, 2014)</w:t>
      </w:r>
      <w:r w:rsidR="00117120" w:rsidRPr="007C12DD">
        <w:rPr>
          <w:lang w:val="en-US"/>
        </w:rPr>
        <w:fldChar w:fldCharType="end"/>
      </w:r>
      <w:r w:rsidR="00117120" w:rsidRPr="007C12DD">
        <w:rPr>
          <w:lang w:val="en-US"/>
        </w:rPr>
        <w:t xml:space="preserve">. </w:t>
      </w:r>
      <w:r w:rsidRPr="007C12DD">
        <w:rPr>
          <w:lang w:val="en-US"/>
        </w:rPr>
        <w:t xml:space="preserve">To increase the </w:t>
      </w:r>
      <w:r w:rsidR="00BF076B" w:rsidRPr="007C12DD">
        <w:rPr>
          <w:lang w:val="en-US"/>
        </w:rPr>
        <w:t>descriptive validity</w:t>
      </w:r>
      <w:r w:rsidRPr="007C12DD">
        <w:rPr>
          <w:lang w:val="en-US"/>
        </w:rPr>
        <w:t xml:space="preserve">, we </w:t>
      </w:r>
      <w:r w:rsidR="00E85B5F" w:rsidRPr="007C12DD">
        <w:rPr>
          <w:lang w:val="en-US"/>
        </w:rPr>
        <w:t xml:space="preserve">therefore </w:t>
      </w:r>
      <w:r w:rsidRPr="007C12DD">
        <w:rPr>
          <w:lang w:val="en-US"/>
        </w:rPr>
        <w:t>consulted and compared different sources</w:t>
      </w:r>
      <w:r w:rsidR="00117120" w:rsidRPr="007C12DD">
        <w:rPr>
          <w:lang w:val="en-US"/>
        </w:rPr>
        <w:t xml:space="preserve"> such as the start-up</w:t>
      </w:r>
      <w:r w:rsidR="00E85B5F" w:rsidRPr="007C12DD">
        <w:rPr>
          <w:lang w:val="en-US"/>
        </w:rPr>
        <w:t>’</w:t>
      </w:r>
      <w:r w:rsidR="00117120" w:rsidRPr="007C12DD">
        <w:rPr>
          <w:lang w:val="en-US"/>
        </w:rPr>
        <w:t>s website and newspaper articles about the start-up</w:t>
      </w:r>
      <w:r w:rsidR="00BF076B" w:rsidRPr="007C12DD">
        <w:rPr>
          <w:lang w:val="en-US"/>
        </w:rPr>
        <w:t xml:space="preserve"> </w:t>
      </w:r>
      <w:r w:rsidR="00BF076B" w:rsidRPr="007C12DD">
        <w:rPr>
          <w:lang w:val="en-US"/>
        </w:rPr>
        <w:fldChar w:fldCharType="begin" w:fldLock="1"/>
      </w:r>
      <w:r w:rsidR="00E41F76" w:rsidRPr="007C12DD">
        <w:rPr>
          <w:lang w:val="en-US"/>
        </w:rPr>
        <w:instrText>ADDIN CSL_CITATION {"citationItems":[{"id":"ITEM-1","itemData":{"author":[{"dropping-particle":"","family":"Tashakkori","given":"A.","non-dropping-particle":"","parse-names":false,"suffix":""},{"dropping-particle":"","family":"Teddlie","given":"C","non-dropping-particle":"","parse-names":false,"suffix":""}],"id":"ITEM-1","issued":{"date-parts":[["2002"]]},"publisher":"Sage","publisher-place":"London","title":"Handbook of Mixed Methods","type":"book"},"uris":["http://www.mendeley.com/documents/?uuid=53ba5b63-25ab-4ef4-87b0-b8dd39e1d0ea"]}],"mendeley":{"formattedCitation":"(Tashakkori &amp; Teddlie, 2002)","manualFormatting":"(Tashakkori and Teddlie, 2002)","plainTextFormattedCitation":"(Tashakkori &amp; Teddlie, 2002)","previouslyFormattedCitation":"(Tashakkori &amp; Teddlie, 2002)"},"properties":{"noteIndex":0},"schema":"https://github.com/citation-style-language/schema/raw/master/csl-citation.json"}</w:instrText>
      </w:r>
      <w:r w:rsidR="00BF076B" w:rsidRPr="007C12DD">
        <w:rPr>
          <w:lang w:val="en-US"/>
        </w:rPr>
        <w:fldChar w:fldCharType="separate"/>
      </w:r>
      <w:r w:rsidR="00BF076B" w:rsidRPr="007C12DD">
        <w:rPr>
          <w:noProof/>
          <w:lang w:val="en-US"/>
        </w:rPr>
        <w:t xml:space="preserve">(Tashakkori </w:t>
      </w:r>
      <w:r w:rsidR="00EF7082" w:rsidRPr="007C12DD">
        <w:rPr>
          <w:noProof/>
          <w:lang w:val="en-US"/>
        </w:rPr>
        <w:t>and</w:t>
      </w:r>
      <w:r w:rsidR="00BF076B" w:rsidRPr="007C12DD">
        <w:rPr>
          <w:noProof/>
          <w:lang w:val="en-US"/>
        </w:rPr>
        <w:t xml:space="preserve"> Teddlie, 2002)</w:t>
      </w:r>
      <w:r w:rsidR="00BF076B" w:rsidRPr="007C12DD">
        <w:rPr>
          <w:lang w:val="en-US"/>
        </w:rPr>
        <w:fldChar w:fldCharType="end"/>
      </w:r>
      <w:r w:rsidRPr="007C12DD">
        <w:rPr>
          <w:lang w:val="en-US"/>
        </w:rPr>
        <w:t xml:space="preserve">. </w:t>
      </w:r>
      <w:r w:rsidR="00117120" w:rsidRPr="007C12DD">
        <w:rPr>
          <w:lang w:val="en-US"/>
        </w:rPr>
        <w:t xml:space="preserve">In </w:t>
      </w:r>
      <w:r w:rsidR="00117120" w:rsidRPr="007C12DD">
        <w:rPr>
          <w:lang w:val="en-US"/>
        </w:rPr>
        <w:lastRenderedPageBreak/>
        <w:t>addition, we left the coding categories deliberately general (e.g.</w:t>
      </w:r>
      <w:r w:rsidR="007C72DF">
        <w:rPr>
          <w:lang w:val="en-US"/>
        </w:rPr>
        <w:t>,</w:t>
      </w:r>
      <w:r w:rsidR="00117120" w:rsidRPr="007C12DD">
        <w:rPr>
          <w:lang w:val="en-US"/>
        </w:rPr>
        <w:t xml:space="preserve"> high, medium, low) to match the level of </w:t>
      </w:r>
      <w:r w:rsidR="00E85B5F" w:rsidRPr="007C12DD">
        <w:rPr>
          <w:lang w:val="en-US"/>
        </w:rPr>
        <w:t xml:space="preserve">detail with the </w:t>
      </w:r>
      <w:r w:rsidR="00117120" w:rsidRPr="007C12DD">
        <w:rPr>
          <w:lang w:val="en-US"/>
        </w:rPr>
        <w:t xml:space="preserve">accuracy </w:t>
      </w:r>
      <w:r w:rsidR="00573518" w:rsidRPr="007C12DD">
        <w:rPr>
          <w:lang w:val="en-US"/>
        </w:rPr>
        <w:t>provided by</w:t>
      </w:r>
      <w:r w:rsidR="00117120" w:rsidRPr="007C12DD">
        <w:rPr>
          <w:lang w:val="en-US"/>
        </w:rPr>
        <w:t xml:space="preserve"> the </w:t>
      </w:r>
      <w:r w:rsidR="00E85B5F" w:rsidRPr="007C12DD">
        <w:rPr>
          <w:lang w:val="en-US"/>
        </w:rPr>
        <w:t xml:space="preserve">secondary </w:t>
      </w:r>
      <w:r w:rsidR="00117120" w:rsidRPr="007C12DD">
        <w:rPr>
          <w:lang w:val="en-US"/>
        </w:rPr>
        <w:t xml:space="preserve">data. </w:t>
      </w:r>
      <w:r w:rsidR="00E85B5F" w:rsidRPr="007C12DD">
        <w:rPr>
          <w:lang w:val="en-US"/>
        </w:rPr>
        <w:t xml:space="preserve">For the same reason, we applied csQCA rather than </w:t>
      </w:r>
      <w:proofErr w:type="spellStart"/>
      <w:r w:rsidR="00E85B5F" w:rsidRPr="007C12DD">
        <w:rPr>
          <w:lang w:val="en-US"/>
        </w:rPr>
        <w:t>fsQCA</w:t>
      </w:r>
      <w:proofErr w:type="spellEnd"/>
      <w:r w:rsidR="00E85B5F" w:rsidRPr="007C12DD">
        <w:rPr>
          <w:lang w:val="en-US"/>
        </w:rPr>
        <w:t xml:space="preserve"> as we arguably lack the knowledge to calibrate fuzzy set data based on secondary data sources. </w:t>
      </w:r>
      <w:r w:rsidR="00BF076B" w:rsidRPr="007C12DD">
        <w:rPr>
          <w:lang w:val="en-US"/>
        </w:rPr>
        <w:t>To ensure the reliability of the coding, t</w:t>
      </w:r>
      <w:r w:rsidRPr="007C12DD">
        <w:rPr>
          <w:lang w:val="en-US"/>
        </w:rPr>
        <w:t xml:space="preserve">he data collection and coding was independently performed by two researchers. </w:t>
      </w:r>
      <w:r w:rsidR="00BF076B" w:rsidRPr="007C12DD">
        <w:rPr>
          <w:lang w:val="en-US"/>
        </w:rPr>
        <w:t>While</w:t>
      </w:r>
      <w:r w:rsidRPr="007C12DD">
        <w:rPr>
          <w:lang w:val="en-US"/>
        </w:rPr>
        <w:t xml:space="preserve"> researcher A is one of the authors of this paper, researcher B is not involved in this research and </w:t>
      </w:r>
      <w:r w:rsidR="00E85B5F" w:rsidRPr="007C12DD">
        <w:rPr>
          <w:lang w:val="en-US"/>
        </w:rPr>
        <w:t xml:space="preserve">is </w:t>
      </w:r>
      <w:r w:rsidRPr="007C12DD">
        <w:rPr>
          <w:lang w:val="en-US"/>
        </w:rPr>
        <w:t xml:space="preserve">not aware of the </w:t>
      </w:r>
      <w:r w:rsidR="00CB23E3" w:rsidRPr="007C12DD">
        <w:rPr>
          <w:lang w:val="en-US"/>
        </w:rPr>
        <w:t>research questions – as such limiting the possible risk of a confirmation bias in the coding process. After the coding, the codes of researcher</w:t>
      </w:r>
      <w:r w:rsidR="005661E0">
        <w:rPr>
          <w:lang w:val="en-US"/>
        </w:rPr>
        <w:t>s</w:t>
      </w:r>
      <w:r w:rsidR="00CB23E3" w:rsidRPr="007C12DD">
        <w:rPr>
          <w:lang w:val="en-US"/>
        </w:rPr>
        <w:t xml:space="preserve"> A and B were </w:t>
      </w:r>
      <w:proofErr w:type="gramStart"/>
      <w:r w:rsidR="00CB23E3" w:rsidRPr="007C12DD">
        <w:rPr>
          <w:lang w:val="en-US"/>
        </w:rPr>
        <w:t>compared</w:t>
      </w:r>
      <w:proofErr w:type="gramEnd"/>
      <w:r w:rsidR="00CB23E3" w:rsidRPr="007C12DD">
        <w:rPr>
          <w:lang w:val="en-US"/>
        </w:rPr>
        <w:t xml:space="preserve"> and disagreements were discussed. If needed, additional data was collected to resolve disagreement</w:t>
      </w:r>
      <w:r w:rsidR="00573518" w:rsidRPr="007C12DD">
        <w:rPr>
          <w:lang w:val="en-US"/>
        </w:rPr>
        <w:t>s</w:t>
      </w:r>
      <w:r w:rsidR="00CB23E3" w:rsidRPr="007C12DD">
        <w:rPr>
          <w:lang w:val="en-US"/>
        </w:rPr>
        <w:t xml:space="preserve">. No disagreements were left unsolved after the discussions, which confirms the reliability of the coding process. </w:t>
      </w:r>
      <w:r w:rsidRPr="007C12DD">
        <w:rPr>
          <w:lang w:val="en-US"/>
        </w:rPr>
        <w:t xml:space="preserve">Excel was used to manage the data and the coding process </w:t>
      </w:r>
      <w:r w:rsidR="00D058AF" w:rsidRPr="007C12DD">
        <w:rPr>
          <w:lang w:val="en-US"/>
        </w:rPr>
        <w:t>in a systematic way and</w:t>
      </w:r>
      <w:r w:rsidRPr="007C12DD">
        <w:rPr>
          <w:lang w:val="en-US"/>
        </w:rPr>
        <w:t xml:space="preserve"> R was used to perform the </w:t>
      </w:r>
      <w:r w:rsidR="008B2A08" w:rsidRPr="007C12DD">
        <w:rPr>
          <w:lang w:val="en-US"/>
        </w:rPr>
        <w:t>cs</w:t>
      </w:r>
      <w:r w:rsidRPr="007C12DD">
        <w:rPr>
          <w:lang w:val="en-US"/>
        </w:rPr>
        <w:t xml:space="preserve">QCA, thereby increasing the reliability and validity of our findings </w:t>
      </w:r>
      <w:r w:rsidR="00BF076B" w:rsidRPr="007C12DD">
        <w:rPr>
          <w:lang w:val="en-US"/>
        </w:rPr>
        <w:fldChar w:fldCharType="begin" w:fldLock="1"/>
      </w:r>
      <w:r w:rsidR="00117120" w:rsidRPr="007C12DD">
        <w:rPr>
          <w:lang w:val="en-US"/>
        </w:rPr>
        <w:instrText>ADDIN CSL_CITATION {"citationItems":[{"id":"ITEM-1","itemData":{"author":[{"dropping-particle":"","family":"Yin","given":"R.","non-dropping-particle":"","parse-names":false,"suffix":""}],"id":"ITEM-1","issued":{"date-parts":[["2009"]]},"publisher":"Sage","publisher-place":"London","title":"Case Study Research: Design and Methods","type":"book"},"uris":["http://www.mendeley.com/documents/?uuid=4f17a593-d7b2-4d1c-8212-33b11b54f50f"]}],"mendeley":{"formattedCitation":"(Yin, 2009)","plainTextFormattedCitation":"(Yin, 2009)","previouslyFormattedCitation":"(Yin, 2009)"},"properties":{"noteIndex":0},"schema":"https://github.com/citation-style-language/schema/raw/master/csl-citation.json"}</w:instrText>
      </w:r>
      <w:r w:rsidR="00BF076B" w:rsidRPr="007C12DD">
        <w:rPr>
          <w:lang w:val="en-US"/>
        </w:rPr>
        <w:fldChar w:fldCharType="separate"/>
      </w:r>
      <w:r w:rsidR="00BF076B" w:rsidRPr="007C12DD">
        <w:rPr>
          <w:noProof/>
          <w:lang w:val="en-US"/>
        </w:rPr>
        <w:t>(Yin, 2009)</w:t>
      </w:r>
      <w:r w:rsidR="00BF076B" w:rsidRPr="007C12DD">
        <w:rPr>
          <w:lang w:val="en-US"/>
        </w:rPr>
        <w:fldChar w:fldCharType="end"/>
      </w:r>
      <w:r w:rsidR="00BF076B" w:rsidRPr="007C12DD">
        <w:rPr>
          <w:lang w:val="en-US"/>
        </w:rPr>
        <w:t>.</w:t>
      </w:r>
    </w:p>
    <w:p w14:paraId="5C903BAC" w14:textId="01BA6057" w:rsidR="00D61FA3" w:rsidRPr="007C12DD" w:rsidRDefault="00D61FA3">
      <w:pPr>
        <w:spacing w:after="0"/>
        <w:jc w:val="both"/>
        <w:rPr>
          <w:lang w:val="en-US"/>
        </w:rPr>
      </w:pPr>
    </w:p>
    <w:p w14:paraId="48C39B5A" w14:textId="5B1D8054" w:rsidR="006B252C" w:rsidRPr="007C12DD" w:rsidRDefault="00E15B35" w:rsidP="00E15B35">
      <w:pPr>
        <w:spacing w:after="0"/>
        <w:jc w:val="both"/>
        <w:rPr>
          <w:b/>
          <w:bCs/>
          <w:lang w:val="en-US"/>
        </w:rPr>
      </w:pPr>
      <w:r w:rsidRPr="007C12DD">
        <w:rPr>
          <w:b/>
          <w:bCs/>
          <w:lang w:val="en-US"/>
        </w:rPr>
        <w:t xml:space="preserve">4. </w:t>
      </w:r>
      <w:r w:rsidR="00364246" w:rsidRPr="007C12DD">
        <w:rPr>
          <w:b/>
          <w:bCs/>
          <w:lang w:val="en-US"/>
        </w:rPr>
        <w:t>Results</w:t>
      </w:r>
    </w:p>
    <w:p w14:paraId="7D1AEC7A" w14:textId="0CD536E5" w:rsidR="00092682" w:rsidRPr="007C12DD" w:rsidRDefault="00092682">
      <w:pPr>
        <w:rPr>
          <w:i/>
          <w:iCs/>
          <w:lang w:val="en-US"/>
        </w:rPr>
      </w:pPr>
      <w:r w:rsidRPr="007C12DD">
        <w:rPr>
          <w:i/>
          <w:iCs/>
          <w:lang w:val="en-US"/>
        </w:rPr>
        <w:t xml:space="preserve">4.1 </w:t>
      </w:r>
      <w:r w:rsidR="00573B57" w:rsidRPr="007C12DD">
        <w:rPr>
          <w:i/>
          <w:iCs/>
          <w:lang w:val="en-US"/>
        </w:rPr>
        <w:t>Manufacturing</w:t>
      </w:r>
      <w:r w:rsidR="007079E2" w:rsidRPr="007C12DD">
        <w:rPr>
          <w:i/>
          <w:iCs/>
          <w:lang w:val="en-US"/>
        </w:rPr>
        <w:t xml:space="preserve"> configurations</w:t>
      </w:r>
      <w:r w:rsidRPr="007C12DD">
        <w:rPr>
          <w:i/>
          <w:iCs/>
          <w:lang w:val="en-US"/>
        </w:rPr>
        <w:t xml:space="preserve"> of successful start-ups</w:t>
      </w:r>
    </w:p>
    <w:p w14:paraId="1BDE187B" w14:textId="309A3835" w:rsidR="00843E6A" w:rsidRPr="00161533" w:rsidRDefault="00092682" w:rsidP="00843E6A">
      <w:pPr>
        <w:spacing w:after="0"/>
        <w:jc w:val="both"/>
        <w:rPr>
          <w:lang w:val="en-US"/>
        </w:rPr>
      </w:pPr>
      <w:r w:rsidRPr="007C12DD">
        <w:rPr>
          <w:lang w:val="en-US"/>
        </w:rPr>
        <w:t xml:space="preserve">Table </w:t>
      </w:r>
      <w:r w:rsidR="00386472" w:rsidRPr="007C12DD">
        <w:rPr>
          <w:lang w:val="en-US"/>
        </w:rPr>
        <w:t>3</w:t>
      </w:r>
      <w:r w:rsidRPr="007C12DD">
        <w:rPr>
          <w:lang w:val="en-US"/>
        </w:rPr>
        <w:t xml:space="preserve"> shows the results of the</w:t>
      </w:r>
      <w:r w:rsidR="00EB18B9" w:rsidRPr="007C12DD">
        <w:rPr>
          <w:lang w:val="en-US"/>
        </w:rPr>
        <w:t xml:space="preserve"> first step of the</w:t>
      </w:r>
      <w:r w:rsidRPr="007C12DD">
        <w:rPr>
          <w:lang w:val="en-US"/>
        </w:rPr>
        <w:t xml:space="preserve"> csQCA</w:t>
      </w:r>
      <w:r w:rsidR="00F75601" w:rsidRPr="007C12DD">
        <w:rPr>
          <w:lang w:val="en-US"/>
        </w:rPr>
        <w:t xml:space="preserve">. </w:t>
      </w:r>
      <w:r w:rsidR="00843E6A" w:rsidRPr="007C12DD">
        <w:rPr>
          <w:lang w:val="en-US"/>
        </w:rPr>
        <w:t>The column with the inclusion score shows the proportion of start-ups containing a given manufacturing element. For example, 5.1% of the start-ups have automated sorting and grading activities, 10.1% ha</w:t>
      </w:r>
      <w:r w:rsidR="005661E0">
        <w:rPr>
          <w:lang w:val="en-US"/>
        </w:rPr>
        <w:t>ve</w:t>
      </w:r>
      <w:r w:rsidR="00843E6A" w:rsidRPr="007C12DD">
        <w:rPr>
          <w:lang w:val="en-US"/>
        </w:rPr>
        <w:t xml:space="preserve"> manual sorting and grading activities and 84.8% ha</w:t>
      </w:r>
      <w:r w:rsidR="005661E0">
        <w:rPr>
          <w:lang w:val="en-US"/>
        </w:rPr>
        <w:t>ve</w:t>
      </w:r>
      <w:r w:rsidR="00843E6A" w:rsidRPr="007C12DD">
        <w:rPr>
          <w:lang w:val="en-US"/>
        </w:rPr>
        <w:t xml:space="preserve"> no sorting and grading activities. </w:t>
      </w:r>
      <w:r w:rsidR="00323FE0">
        <w:rPr>
          <w:lang w:val="en-US"/>
        </w:rPr>
        <w:t>So, t</w:t>
      </w:r>
      <w:r w:rsidR="00843E6A" w:rsidRPr="00161533">
        <w:rPr>
          <w:lang w:val="en-US"/>
        </w:rPr>
        <w:t>he inclusion scores</w:t>
      </w:r>
      <w:r w:rsidR="00323FE0">
        <w:rPr>
          <w:lang w:val="en-US"/>
        </w:rPr>
        <w:t xml:space="preserve"> in Table 3</w:t>
      </w:r>
      <w:r w:rsidR="00843E6A" w:rsidRPr="00161533">
        <w:rPr>
          <w:lang w:val="en-US"/>
        </w:rPr>
        <w:t xml:space="preserve"> indicate that </w:t>
      </w:r>
      <w:proofErr w:type="gramStart"/>
      <w:r w:rsidR="00843E6A" w:rsidRPr="00161533">
        <w:rPr>
          <w:lang w:val="en-US"/>
        </w:rPr>
        <w:t>the majority of</w:t>
      </w:r>
      <w:proofErr w:type="gramEnd"/>
      <w:r w:rsidR="00843E6A" w:rsidRPr="00161533">
        <w:rPr>
          <w:lang w:val="en-US"/>
        </w:rPr>
        <w:t xml:space="preserve"> the start-ups </w:t>
      </w:r>
      <w:proofErr w:type="gramStart"/>
      <w:r w:rsidR="00843E6A" w:rsidRPr="00161533">
        <w:rPr>
          <w:lang w:val="en-US"/>
        </w:rPr>
        <w:t>does</w:t>
      </w:r>
      <w:proofErr w:type="gramEnd"/>
      <w:r w:rsidR="00843E6A" w:rsidRPr="00161533">
        <w:rPr>
          <w:lang w:val="en-US"/>
        </w:rPr>
        <w:t xml:space="preserve"> not sort or grade the used products</w:t>
      </w:r>
      <w:r w:rsidR="00867BF7">
        <w:rPr>
          <w:lang w:val="en-US"/>
        </w:rPr>
        <w:t>, use process manufacturing</w:t>
      </w:r>
      <w:r w:rsidR="00843E6A" w:rsidRPr="00161533">
        <w:rPr>
          <w:lang w:val="en-US"/>
        </w:rPr>
        <w:t xml:space="preserve"> and upcycles the used product by changing its function. </w:t>
      </w:r>
      <w:r w:rsidR="00843E6A" w:rsidRPr="007C12DD">
        <w:rPr>
          <w:lang w:val="en-US"/>
        </w:rPr>
        <w:t>The</w:t>
      </w:r>
      <w:r w:rsidR="000A6205" w:rsidRPr="007C12DD">
        <w:rPr>
          <w:lang w:val="en-US"/>
        </w:rPr>
        <w:t xml:space="preserve"> high</w:t>
      </w:r>
      <w:r w:rsidR="00843E6A" w:rsidRPr="007C12DD">
        <w:rPr>
          <w:lang w:val="en-US"/>
        </w:rPr>
        <w:t xml:space="preserve"> </w:t>
      </w:r>
      <w:proofErr w:type="spellStart"/>
      <w:r w:rsidR="00843E6A" w:rsidRPr="007C12DD">
        <w:rPr>
          <w:lang w:val="en-US"/>
        </w:rPr>
        <w:t>RoN</w:t>
      </w:r>
      <w:proofErr w:type="spellEnd"/>
      <w:r w:rsidR="00843E6A" w:rsidRPr="007C12DD">
        <w:rPr>
          <w:lang w:val="en-US"/>
        </w:rPr>
        <w:t xml:space="preserve"> values in the next column of </w:t>
      </w:r>
      <w:r w:rsidR="00D4037A">
        <w:rPr>
          <w:lang w:val="en-US"/>
        </w:rPr>
        <w:t>T</w:t>
      </w:r>
      <w:r w:rsidR="00843E6A" w:rsidRPr="007C12DD">
        <w:rPr>
          <w:lang w:val="en-US"/>
        </w:rPr>
        <w:t xml:space="preserve">able 3 indicate that all the manufacturing elements are relevant for the success of the start-ups. The three columns at the right of </w:t>
      </w:r>
      <w:r w:rsidR="00D4037A">
        <w:rPr>
          <w:lang w:val="en-US"/>
        </w:rPr>
        <w:t>T</w:t>
      </w:r>
      <w:r w:rsidR="00843E6A" w:rsidRPr="007C12DD">
        <w:rPr>
          <w:lang w:val="en-US"/>
        </w:rPr>
        <w:t xml:space="preserve">able 3 present the three identified manufacturing configurations </w:t>
      </w:r>
      <w:r w:rsidR="00867BF7">
        <w:rPr>
          <w:lang w:val="en-US"/>
        </w:rPr>
        <w:t>found in</w:t>
      </w:r>
      <w:r w:rsidR="00843E6A" w:rsidRPr="007C12DD">
        <w:rPr>
          <w:lang w:val="en-US"/>
        </w:rPr>
        <w:t xml:space="preserve"> successful circular start-up</w:t>
      </w:r>
      <w:r w:rsidR="00867BF7">
        <w:rPr>
          <w:lang w:val="en-US"/>
        </w:rPr>
        <w:t>s</w:t>
      </w:r>
      <w:r w:rsidR="00843E6A" w:rsidRPr="007C12DD">
        <w:rPr>
          <w:lang w:val="en-US"/>
        </w:rPr>
        <w:t>.</w:t>
      </w:r>
      <w:r w:rsidR="000A6205" w:rsidRPr="007C12DD">
        <w:rPr>
          <w:lang w:val="en-US"/>
        </w:rPr>
        <w:t xml:space="preserve"> The configurations align with </w:t>
      </w:r>
      <w:proofErr w:type="spellStart"/>
      <w:r w:rsidR="000A6205" w:rsidRPr="007C12DD">
        <w:rPr>
          <w:lang w:val="en-US"/>
        </w:rPr>
        <w:t>Bocken</w:t>
      </w:r>
      <w:proofErr w:type="spellEnd"/>
      <w:r w:rsidR="000A6205" w:rsidRPr="007C12DD">
        <w:rPr>
          <w:lang w:val="en-US"/>
        </w:rPr>
        <w:t xml:space="preserve"> et al. (2016) and are therefore named similarly</w:t>
      </w:r>
      <w:r w:rsidR="00843E6A" w:rsidRPr="007C12DD">
        <w:rPr>
          <w:lang w:val="en-US"/>
        </w:rPr>
        <w:t xml:space="preserve">. The symbols indicate </w:t>
      </w:r>
      <w:r w:rsidR="005359EE" w:rsidRPr="007C12DD">
        <w:rPr>
          <w:lang w:val="en-US"/>
        </w:rPr>
        <w:t>whether</w:t>
      </w:r>
      <w:r w:rsidR="00843E6A" w:rsidRPr="007C12DD">
        <w:rPr>
          <w:lang w:val="en-US"/>
        </w:rPr>
        <w:t xml:space="preserve"> the presence or absence of manufacturing elements </w:t>
      </w:r>
      <w:r w:rsidR="006D7745">
        <w:rPr>
          <w:lang w:val="en-US"/>
        </w:rPr>
        <w:t>is a</w:t>
      </w:r>
      <w:r w:rsidR="006D7745" w:rsidRPr="007C12DD">
        <w:rPr>
          <w:lang w:val="en-US"/>
        </w:rPr>
        <w:t xml:space="preserve"> </w:t>
      </w:r>
      <w:r w:rsidR="00843E6A" w:rsidRPr="007C12DD">
        <w:rPr>
          <w:lang w:val="en-US"/>
        </w:rPr>
        <w:t xml:space="preserve">core or peripheral condition of the manufacturing configuration. For </w:t>
      </w:r>
      <w:r w:rsidR="00843E6A" w:rsidRPr="007C12DD">
        <w:rPr>
          <w:lang w:val="en-US"/>
        </w:rPr>
        <w:lastRenderedPageBreak/>
        <w:t>example, the absence of sorting and grading (i.e.</w:t>
      </w:r>
      <w:r w:rsidR="007C72DF">
        <w:rPr>
          <w:lang w:val="en-US"/>
        </w:rPr>
        <w:t>,</w:t>
      </w:r>
      <w:r w:rsidR="00843E6A" w:rsidRPr="007C12DD">
        <w:rPr>
          <w:lang w:val="en-US"/>
        </w:rPr>
        <w:t xml:space="preserve"> there is either automated or manual sorting and grading) and the presence of discrete customized manufacturing are core conditions for manufacturing configuration A: </w:t>
      </w:r>
      <w:r w:rsidR="000A6205" w:rsidRPr="007C12DD">
        <w:rPr>
          <w:lang w:val="en-US"/>
        </w:rPr>
        <w:t>‘</w:t>
      </w:r>
      <w:r w:rsidR="00843E6A" w:rsidRPr="007C12DD">
        <w:rPr>
          <w:lang w:val="en-US"/>
        </w:rPr>
        <w:t>Extend product value</w:t>
      </w:r>
      <w:r w:rsidR="000A6205" w:rsidRPr="007C12DD">
        <w:rPr>
          <w:lang w:val="en-US"/>
        </w:rPr>
        <w:t>’</w:t>
      </w:r>
      <w:r w:rsidR="00843E6A" w:rsidRPr="007C12DD">
        <w:rPr>
          <w:lang w:val="en-US"/>
        </w:rPr>
        <w:t xml:space="preserve">. As presented by the consistency scores at the bottom of </w:t>
      </w:r>
      <w:r w:rsidR="00D4037A">
        <w:rPr>
          <w:lang w:val="en-US"/>
        </w:rPr>
        <w:t>T</w:t>
      </w:r>
      <w:r w:rsidR="00843E6A" w:rsidRPr="007C12DD">
        <w:rPr>
          <w:lang w:val="en-US"/>
        </w:rPr>
        <w:t xml:space="preserve">able 3, the three configurations cover respectively 12.7%, 19% and 53.2% of the successful start-ups, </w:t>
      </w:r>
      <w:r w:rsidR="00323FE0">
        <w:rPr>
          <w:lang w:val="en-US"/>
        </w:rPr>
        <w:t>summing up to</w:t>
      </w:r>
      <w:r w:rsidR="00843E6A" w:rsidRPr="007C12DD">
        <w:rPr>
          <w:lang w:val="en-US"/>
        </w:rPr>
        <w:t xml:space="preserve"> 84.9% of the successful start-ups in our sample. Finally, the coverage scores in</w:t>
      </w:r>
      <w:r w:rsidR="00843E6A" w:rsidRPr="00161533">
        <w:rPr>
          <w:lang w:val="en-US"/>
        </w:rPr>
        <w:t xml:space="preserve"> </w:t>
      </w:r>
      <w:r w:rsidR="001D64DA">
        <w:rPr>
          <w:lang w:val="en-US"/>
        </w:rPr>
        <w:t>T</w:t>
      </w:r>
      <w:r w:rsidR="00843E6A" w:rsidRPr="00161533">
        <w:rPr>
          <w:lang w:val="en-US"/>
        </w:rPr>
        <w:t>able 3 illustrate different success rates among the three different configurations.</w:t>
      </w:r>
      <w:r w:rsidR="000A6205" w:rsidRPr="00161533">
        <w:rPr>
          <w:lang w:val="en-US"/>
        </w:rPr>
        <w:t xml:space="preserve"> The smaller configurations A and B include only successful start-ups while</w:t>
      </w:r>
      <w:r w:rsidR="00323FE0">
        <w:rPr>
          <w:lang w:val="en-US"/>
        </w:rPr>
        <w:t xml:space="preserve"> 87.5% of the start-ups</w:t>
      </w:r>
      <w:r w:rsidR="000A6205" w:rsidRPr="00161533">
        <w:rPr>
          <w:lang w:val="en-US"/>
        </w:rPr>
        <w:t xml:space="preserve"> in the larger configuration C are successful (compared to 80.2% in the entire sample).</w:t>
      </w:r>
    </w:p>
    <w:p w14:paraId="5E3364BE" w14:textId="325DDF08" w:rsidR="00C75BD9" w:rsidRPr="00161533" w:rsidRDefault="00C75BD9" w:rsidP="00B571DD">
      <w:pPr>
        <w:spacing w:after="0"/>
        <w:jc w:val="both"/>
        <w:rPr>
          <w:lang w:val="en-US"/>
        </w:rPr>
      </w:pPr>
    </w:p>
    <w:p w14:paraId="109AC377" w14:textId="77777777" w:rsidR="00E7082F" w:rsidRPr="007C12DD" w:rsidRDefault="00E7082F" w:rsidP="00B571DD">
      <w:pPr>
        <w:spacing w:after="0"/>
        <w:jc w:val="both"/>
        <w:rPr>
          <w:lang w:val="en-US"/>
        </w:rPr>
      </w:pPr>
    </w:p>
    <w:tbl>
      <w:tblPr>
        <w:tblStyle w:val="TableGrid"/>
        <w:tblW w:w="9067" w:type="dxa"/>
        <w:tblLayout w:type="fixed"/>
        <w:tblLook w:val="04A0" w:firstRow="1" w:lastRow="0" w:firstColumn="1" w:lastColumn="0" w:noHBand="0" w:noVBand="1"/>
      </w:tblPr>
      <w:tblGrid>
        <w:gridCol w:w="3261"/>
        <w:gridCol w:w="850"/>
        <w:gridCol w:w="851"/>
        <w:gridCol w:w="1417"/>
        <w:gridCol w:w="1418"/>
        <w:gridCol w:w="1270"/>
      </w:tblGrid>
      <w:tr w:rsidR="00A211AA" w:rsidRPr="00161533" w14:paraId="5DBFE38E" w14:textId="77777777" w:rsidTr="00861F97">
        <w:tc>
          <w:tcPr>
            <w:tcW w:w="3261" w:type="dxa"/>
            <w:tcBorders>
              <w:top w:val="nil"/>
              <w:left w:val="nil"/>
              <w:bottom w:val="nil"/>
              <w:right w:val="single" w:sz="4" w:space="0" w:color="auto"/>
            </w:tcBorders>
          </w:tcPr>
          <w:p w14:paraId="069909D1" w14:textId="77777777" w:rsidR="00A211AA" w:rsidRPr="00161533" w:rsidRDefault="00A211AA" w:rsidP="00861F97">
            <w:pPr>
              <w:rPr>
                <w:sz w:val="16"/>
                <w:szCs w:val="16"/>
                <w:lang w:val="en-US"/>
              </w:rPr>
            </w:pPr>
          </w:p>
        </w:tc>
        <w:tc>
          <w:tcPr>
            <w:tcW w:w="850" w:type="dxa"/>
            <w:vMerge w:val="restart"/>
            <w:tcBorders>
              <w:top w:val="nil"/>
              <w:left w:val="single" w:sz="4" w:space="0" w:color="auto"/>
              <w:bottom w:val="nil"/>
              <w:right w:val="nil"/>
            </w:tcBorders>
            <w:vAlign w:val="bottom"/>
          </w:tcPr>
          <w:p w14:paraId="381A48E7" w14:textId="77777777" w:rsidR="00A211AA" w:rsidRPr="00161533" w:rsidRDefault="00A211AA" w:rsidP="00861F97">
            <w:pPr>
              <w:jc w:val="center"/>
              <w:rPr>
                <w:sz w:val="16"/>
                <w:szCs w:val="16"/>
                <w:lang w:val="en-US"/>
              </w:rPr>
            </w:pPr>
            <w:r w:rsidRPr="00161533">
              <w:rPr>
                <w:sz w:val="16"/>
                <w:szCs w:val="16"/>
                <w:lang w:val="en-US"/>
              </w:rPr>
              <w:t>Inclusion</w:t>
            </w:r>
          </w:p>
        </w:tc>
        <w:tc>
          <w:tcPr>
            <w:tcW w:w="851" w:type="dxa"/>
            <w:vMerge w:val="restart"/>
            <w:tcBorders>
              <w:top w:val="nil"/>
              <w:left w:val="nil"/>
              <w:bottom w:val="nil"/>
              <w:right w:val="single" w:sz="4" w:space="0" w:color="auto"/>
            </w:tcBorders>
            <w:vAlign w:val="bottom"/>
          </w:tcPr>
          <w:p w14:paraId="636BA5AD" w14:textId="77777777" w:rsidR="00A211AA" w:rsidRPr="00161533" w:rsidRDefault="00A211AA" w:rsidP="00861F97">
            <w:pPr>
              <w:jc w:val="center"/>
              <w:rPr>
                <w:sz w:val="16"/>
                <w:szCs w:val="16"/>
                <w:lang w:val="en-US"/>
              </w:rPr>
            </w:pPr>
            <w:proofErr w:type="spellStart"/>
            <w:r w:rsidRPr="00161533">
              <w:rPr>
                <w:sz w:val="16"/>
                <w:szCs w:val="16"/>
                <w:lang w:val="en-US"/>
              </w:rPr>
              <w:t>RoN</w:t>
            </w:r>
            <w:proofErr w:type="spellEnd"/>
          </w:p>
        </w:tc>
        <w:tc>
          <w:tcPr>
            <w:tcW w:w="4105" w:type="dxa"/>
            <w:gridSpan w:val="3"/>
            <w:tcBorders>
              <w:top w:val="nil"/>
              <w:left w:val="single" w:sz="4" w:space="0" w:color="auto"/>
              <w:bottom w:val="nil"/>
              <w:right w:val="nil"/>
            </w:tcBorders>
            <w:vAlign w:val="bottom"/>
          </w:tcPr>
          <w:p w14:paraId="33BFBCEF" w14:textId="77777777" w:rsidR="00A211AA" w:rsidRPr="00161533" w:rsidRDefault="00A211AA" w:rsidP="00861F97">
            <w:pPr>
              <w:jc w:val="center"/>
              <w:rPr>
                <w:b/>
                <w:bCs/>
                <w:sz w:val="16"/>
                <w:szCs w:val="16"/>
                <w:lang w:val="en-US"/>
              </w:rPr>
            </w:pPr>
            <w:r w:rsidRPr="00161533">
              <w:rPr>
                <w:b/>
                <w:bCs/>
                <w:sz w:val="16"/>
                <w:szCs w:val="16"/>
                <w:lang w:val="en-US"/>
              </w:rPr>
              <w:t>Successful configurations</w:t>
            </w:r>
          </w:p>
        </w:tc>
      </w:tr>
      <w:tr w:rsidR="00A211AA" w:rsidRPr="00161533" w14:paraId="12309FF7" w14:textId="77777777" w:rsidTr="00861F97">
        <w:tc>
          <w:tcPr>
            <w:tcW w:w="3261" w:type="dxa"/>
            <w:tcBorders>
              <w:top w:val="nil"/>
              <w:left w:val="nil"/>
              <w:bottom w:val="single" w:sz="4" w:space="0" w:color="auto"/>
              <w:right w:val="single" w:sz="4" w:space="0" w:color="auto"/>
            </w:tcBorders>
          </w:tcPr>
          <w:p w14:paraId="2589AA69" w14:textId="77777777" w:rsidR="00A211AA" w:rsidRPr="00161533" w:rsidRDefault="00A211AA" w:rsidP="00861F97">
            <w:pPr>
              <w:rPr>
                <w:b/>
                <w:bCs/>
                <w:sz w:val="16"/>
                <w:szCs w:val="16"/>
                <w:lang w:val="en-US"/>
              </w:rPr>
            </w:pPr>
            <w:r w:rsidRPr="00161533">
              <w:rPr>
                <w:b/>
                <w:bCs/>
                <w:sz w:val="16"/>
                <w:szCs w:val="16"/>
                <w:lang w:val="en-US"/>
              </w:rPr>
              <w:t>Manufacturing elements</w:t>
            </w:r>
          </w:p>
        </w:tc>
        <w:tc>
          <w:tcPr>
            <w:tcW w:w="850" w:type="dxa"/>
            <w:vMerge/>
            <w:tcBorders>
              <w:top w:val="nil"/>
              <w:left w:val="single" w:sz="4" w:space="0" w:color="auto"/>
              <w:bottom w:val="single" w:sz="4" w:space="0" w:color="auto"/>
              <w:right w:val="nil"/>
            </w:tcBorders>
          </w:tcPr>
          <w:p w14:paraId="2D5B403C" w14:textId="77777777" w:rsidR="00A211AA" w:rsidRPr="00161533" w:rsidRDefault="00A211AA" w:rsidP="00861F97">
            <w:pPr>
              <w:jc w:val="center"/>
              <w:rPr>
                <w:sz w:val="16"/>
                <w:szCs w:val="16"/>
                <w:lang w:val="en-US"/>
              </w:rPr>
            </w:pPr>
          </w:p>
        </w:tc>
        <w:tc>
          <w:tcPr>
            <w:tcW w:w="851" w:type="dxa"/>
            <w:vMerge/>
            <w:tcBorders>
              <w:top w:val="nil"/>
              <w:left w:val="nil"/>
              <w:bottom w:val="single" w:sz="4" w:space="0" w:color="auto"/>
              <w:right w:val="single" w:sz="4" w:space="0" w:color="auto"/>
            </w:tcBorders>
          </w:tcPr>
          <w:p w14:paraId="20BBF938" w14:textId="77777777" w:rsidR="00A211AA" w:rsidRPr="00161533" w:rsidRDefault="00A211AA" w:rsidP="00861F97">
            <w:pPr>
              <w:jc w:val="center"/>
              <w:rPr>
                <w:sz w:val="16"/>
                <w:szCs w:val="16"/>
                <w:lang w:val="en-US"/>
              </w:rPr>
            </w:pPr>
          </w:p>
        </w:tc>
        <w:tc>
          <w:tcPr>
            <w:tcW w:w="1417" w:type="dxa"/>
            <w:tcBorders>
              <w:top w:val="nil"/>
              <w:left w:val="single" w:sz="4" w:space="0" w:color="auto"/>
              <w:bottom w:val="single" w:sz="4" w:space="0" w:color="auto"/>
              <w:right w:val="nil"/>
            </w:tcBorders>
          </w:tcPr>
          <w:p w14:paraId="66548E64" w14:textId="77777777" w:rsidR="00A211AA" w:rsidRPr="00161533" w:rsidRDefault="00A211AA" w:rsidP="00861F97">
            <w:pPr>
              <w:jc w:val="center"/>
              <w:rPr>
                <w:sz w:val="16"/>
                <w:szCs w:val="16"/>
                <w:lang w:val="en-US"/>
              </w:rPr>
            </w:pPr>
            <w:r w:rsidRPr="00161533">
              <w:rPr>
                <w:sz w:val="16"/>
                <w:szCs w:val="16"/>
                <w:lang w:val="en-US"/>
              </w:rPr>
              <w:t>A: Extend product value</w:t>
            </w:r>
          </w:p>
        </w:tc>
        <w:tc>
          <w:tcPr>
            <w:tcW w:w="1418" w:type="dxa"/>
            <w:tcBorders>
              <w:top w:val="nil"/>
              <w:left w:val="nil"/>
              <w:bottom w:val="single" w:sz="4" w:space="0" w:color="auto"/>
              <w:right w:val="nil"/>
            </w:tcBorders>
          </w:tcPr>
          <w:p w14:paraId="54E7833E" w14:textId="77777777" w:rsidR="00A211AA" w:rsidRPr="00161533" w:rsidRDefault="00A211AA" w:rsidP="00861F97">
            <w:pPr>
              <w:jc w:val="center"/>
              <w:rPr>
                <w:sz w:val="16"/>
                <w:szCs w:val="16"/>
                <w:lang w:val="en-US"/>
              </w:rPr>
            </w:pPr>
            <w:r w:rsidRPr="00161533">
              <w:rPr>
                <w:sz w:val="16"/>
                <w:szCs w:val="16"/>
                <w:lang w:val="en-US"/>
              </w:rPr>
              <w:t>B: Extend resource value</w:t>
            </w:r>
          </w:p>
        </w:tc>
        <w:tc>
          <w:tcPr>
            <w:tcW w:w="1270" w:type="dxa"/>
            <w:tcBorders>
              <w:top w:val="nil"/>
              <w:left w:val="nil"/>
              <w:bottom w:val="single" w:sz="4" w:space="0" w:color="auto"/>
              <w:right w:val="nil"/>
            </w:tcBorders>
          </w:tcPr>
          <w:p w14:paraId="50A2D776" w14:textId="77777777" w:rsidR="00A211AA" w:rsidRPr="00161533" w:rsidRDefault="00A211AA" w:rsidP="00861F97">
            <w:pPr>
              <w:jc w:val="center"/>
              <w:rPr>
                <w:sz w:val="16"/>
                <w:szCs w:val="16"/>
                <w:lang w:val="en-US"/>
              </w:rPr>
            </w:pPr>
            <w:r w:rsidRPr="00161533">
              <w:rPr>
                <w:sz w:val="16"/>
                <w:szCs w:val="16"/>
                <w:lang w:val="en-US"/>
              </w:rPr>
              <w:t>C: Processing</w:t>
            </w:r>
          </w:p>
        </w:tc>
      </w:tr>
      <w:tr w:rsidR="00A211AA" w:rsidRPr="00161533" w14:paraId="6C105B65" w14:textId="77777777" w:rsidTr="00861F97">
        <w:tc>
          <w:tcPr>
            <w:tcW w:w="3261" w:type="dxa"/>
            <w:tcBorders>
              <w:top w:val="single" w:sz="4" w:space="0" w:color="auto"/>
              <w:left w:val="nil"/>
              <w:bottom w:val="nil"/>
              <w:right w:val="single" w:sz="4" w:space="0" w:color="auto"/>
            </w:tcBorders>
          </w:tcPr>
          <w:p w14:paraId="6E756EE4" w14:textId="77777777" w:rsidR="00A211AA" w:rsidRPr="00161533" w:rsidRDefault="00A211AA" w:rsidP="00861F97">
            <w:pPr>
              <w:rPr>
                <w:i/>
                <w:iCs/>
                <w:sz w:val="16"/>
                <w:szCs w:val="16"/>
                <w:lang w:val="en-US"/>
              </w:rPr>
            </w:pPr>
            <w:r w:rsidRPr="00161533">
              <w:rPr>
                <w:i/>
                <w:iCs/>
                <w:sz w:val="16"/>
                <w:szCs w:val="16"/>
                <w:lang w:val="en-US"/>
              </w:rPr>
              <w:t>Pre-manufacturing activities</w:t>
            </w:r>
          </w:p>
        </w:tc>
        <w:tc>
          <w:tcPr>
            <w:tcW w:w="850" w:type="dxa"/>
            <w:tcBorders>
              <w:top w:val="single" w:sz="4" w:space="0" w:color="auto"/>
              <w:left w:val="single" w:sz="4" w:space="0" w:color="auto"/>
              <w:bottom w:val="nil"/>
              <w:right w:val="nil"/>
            </w:tcBorders>
          </w:tcPr>
          <w:p w14:paraId="2A2C0875" w14:textId="77777777" w:rsidR="00A211AA" w:rsidRPr="00161533" w:rsidRDefault="00A211AA" w:rsidP="00861F97">
            <w:pPr>
              <w:rPr>
                <w:sz w:val="16"/>
                <w:szCs w:val="16"/>
                <w:lang w:val="en-US"/>
              </w:rPr>
            </w:pPr>
          </w:p>
        </w:tc>
        <w:tc>
          <w:tcPr>
            <w:tcW w:w="851" w:type="dxa"/>
            <w:tcBorders>
              <w:top w:val="single" w:sz="4" w:space="0" w:color="auto"/>
              <w:left w:val="nil"/>
              <w:bottom w:val="nil"/>
              <w:right w:val="single" w:sz="4" w:space="0" w:color="auto"/>
            </w:tcBorders>
          </w:tcPr>
          <w:p w14:paraId="764D2C12" w14:textId="77777777" w:rsidR="00A211AA" w:rsidRPr="00161533" w:rsidRDefault="00A211AA" w:rsidP="00861F97">
            <w:pPr>
              <w:rPr>
                <w:sz w:val="16"/>
                <w:szCs w:val="16"/>
                <w:lang w:val="en-US"/>
              </w:rPr>
            </w:pPr>
          </w:p>
        </w:tc>
        <w:tc>
          <w:tcPr>
            <w:tcW w:w="1417" w:type="dxa"/>
            <w:tcBorders>
              <w:top w:val="single" w:sz="4" w:space="0" w:color="auto"/>
              <w:left w:val="single" w:sz="4" w:space="0" w:color="auto"/>
              <w:bottom w:val="nil"/>
              <w:right w:val="nil"/>
            </w:tcBorders>
            <w:vAlign w:val="center"/>
          </w:tcPr>
          <w:p w14:paraId="09A097E4" w14:textId="77777777" w:rsidR="00A211AA" w:rsidRPr="00161533" w:rsidRDefault="00A211AA" w:rsidP="00861F97">
            <w:pPr>
              <w:rPr>
                <w:sz w:val="16"/>
                <w:szCs w:val="16"/>
                <w:lang w:val="en-US"/>
              </w:rPr>
            </w:pPr>
          </w:p>
        </w:tc>
        <w:tc>
          <w:tcPr>
            <w:tcW w:w="1418" w:type="dxa"/>
            <w:tcBorders>
              <w:top w:val="single" w:sz="4" w:space="0" w:color="auto"/>
              <w:left w:val="nil"/>
              <w:bottom w:val="nil"/>
              <w:right w:val="nil"/>
            </w:tcBorders>
            <w:vAlign w:val="center"/>
          </w:tcPr>
          <w:p w14:paraId="70EFC849" w14:textId="77777777" w:rsidR="00A211AA" w:rsidRPr="00161533" w:rsidRDefault="00A211AA" w:rsidP="00861F97">
            <w:pPr>
              <w:rPr>
                <w:sz w:val="16"/>
                <w:szCs w:val="16"/>
                <w:lang w:val="en-US"/>
              </w:rPr>
            </w:pPr>
          </w:p>
        </w:tc>
        <w:tc>
          <w:tcPr>
            <w:tcW w:w="1270" w:type="dxa"/>
            <w:tcBorders>
              <w:top w:val="single" w:sz="4" w:space="0" w:color="auto"/>
              <w:left w:val="nil"/>
              <w:bottom w:val="nil"/>
              <w:right w:val="nil"/>
            </w:tcBorders>
          </w:tcPr>
          <w:p w14:paraId="39E39D25" w14:textId="77777777" w:rsidR="00A211AA" w:rsidRPr="00161533" w:rsidRDefault="00A211AA" w:rsidP="00861F97">
            <w:pPr>
              <w:rPr>
                <w:sz w:val="16"/>
                <w:szCs w:val="16"/>
                <w:lang w:val="en-US"/>
              </w:rPr>
            </w:pPr>
          </w:p>
        </w:tc>
      </w:tr>
      <w:tr w:rsidR="00A211AA" w:rsidRPr="00161533" w14:paraId="294E1EBA" w14:textId="77777777" w:rsidTr="00861F97">
        <w:tc>
          <w:tcPr>
            <w:tcW w:w="3261" w:type="dxa"/>
            <w:tcBorders>
              <w:top w:val="nil"/>
              <w:left w:val="nil"/>
              <w:bottom w:val="nil"/>
              <w:right w:val="single" w:sz="4" w:space="0" w:color="auto"/>
            </w:tcBorders>
            <w:shd w:val="clear" w:color="auto" w:fill="auto"/>
          </w:tcPr>
          <w:p w14:paraId="4A8F326B" w14:textId="77777777" w:rsidR="00A211AA" w:rsidRPr="00161533" w:rsidRDefault="00A211AA" w:rsidP="00861F97">
            <w:pPr>
              <w:ind w:left="164"/>
              <w:rPr>
                <w:sz w:val="16"/>
                <w:szCs w:val="16"/>
                <w:lang w:val="en-US"/>
              </w:rPr>
            </w:pPr>
            <w:r w:rsidRPr="00161533">
              <w:rPr>
                <w:sz w:val="16"/>
                <w:szCs w:val="16"/>
                <w:lang w:val="en-US"/>
              </w:rPr>
              <w:t>Automatic sorting and grading</w:t>
            </w:r>
          </w:p>
        </w:tc>
        <w:tc>
          <w:tcPr>
            <w:tcW w:w="850" w:type="dxa"/>
            <w:tcBorders>
              <w:top w:val="nil"/>
              <w:left w:val="single" w:sz="4" w:space="0" w:color="auto"/>
              <w:bottom w:val="nil"/>
              <w:right w:val="nil"/>
            </w:tcBorders>
            <w:shd w:val="clear" w:color="auto" w:fill="auto"/>
          </w:tcPr>
          <w:p w14:paraId="728E0F1B" w14:textId="77777777" w:rsidR="00A211AA" w:rsidRPr="00161533" w:rsidRDefault="00A211AA" w:rsidP="00861F97">
            <w:pPr>
              <w:jc w:val="center"/>
              <w:rPr>
                <w:sz w:val="16"/>
                <w:szCs w:val="16"/>
                <w:lang w:val="en-US"/>
              </w:rPr>
            </w:pPr>
            <w:r w:rsidRPr="00161533">
              <w:rPr>
                <w:sz w:val="16"/>
                <w:szCs w:val="16"/>
                <w:lang w:val="en-US"/>
              </w:rPr>
              <w:t>0.051</w:t>
            </w:r>
          </w:p>
        </w:tc>
        <w:tc>
          <w:tcPr>
            <w:tcW w:w="851" w:type="dxa"/>
            <w:tcBorders>
              <w:top w:val="nil"/>
              <w:left w:val="nil"/>
              <w:bottom w:val="nil"/>
              <w:right w:val="single" w:sz="4" w:space="0" w:color="auto"/>
            </w:tcBorders>
            <w:shd w:val="clear" w:color="auto" w:fill="auto"/>
          </w:tcPr>
          <w:p w14:paraId="4EE66FA6" w14:textId="77777777" w:rsidR="00A211AA" w:rsidRPr="00161533" w:rsidRDefault="00A211AA" w:rsidP="00861F97">
            <w:pPr>
              <w:jc w:val="center"/>
              <w:rPr>
                <w:sz w:val="16"/>
                <w:szCs w:val="16"/>
                <w:lang w:val="en-US"/>
              </w:rPr>
            </w:pPr>
            <w:r w:rsidRPr="00161533">
              <w:rPr>
                <w:sz w:val="16"/>
                <w:szCs w:val="16"/>
                <w:lang w:val="en-US"/>
              </w:rPr>
              <w:t>1.000</w:t>
            </w:r>
          </w:p>
        </w:tc>
        <w:tc>
          <w:tcPr>
            <w:tcW w:w="1417" w:type="dxa"/>
            <w:tcBorders>
              <w:top w:val="nil"/>
              <w:left w:val="single" w:sz="4" w:space="0" w:color="auto"/>
              <w:bottom w:val="nil"/>
              <w:right w:val="nil"/>
            </w:tcBorders>
            <w:shd w:val="clear" w:color="auto" w:fill="auto"/>
            <w:vAlign w:val="center"/>
          </w:tcPr>
          <w:p w14:paraId="7956226C" w14:textId="77777777" w:rsidR="00A211AA" w:rsidRPr="00161533" w:rsidRDefault="00A211AA" w:rsidP="00861F97">
            <w:pPr>
              <w:rPr>
                <w:sz w:val="16"/>
                <w:szCs w:val="16"/>
                <w:lang w:val="en-US"/>
              </w:rPr>
            </w:pPr>
          </w:p>
        </w:tc>
        <w:tc>
          <w:tcPr>
            <w:tcW w:w="1418" w:type="dxa"/>
            <w:tcBorders>
              <w:top w:val="nil"/>
              <w:left w:val="nil"/>
              <w:bottom w:val="nil"/>
              <w:right w:val="nil"/>
            </w:tcBorders>
            <w:shd w:val="clear" w:color="auto" w:fill="auto"/>
            <w:vAlign w:val="center"/>
          </w:tcPr>
          <w:p w14:paraId="78737162" w14:textId="77777777" w:rsidR="00A211AA" w:rsidRPr="00161533" w:rsidRDefault="00A211AA" w:rsidP="00861F97">
            <w:pPr>
              <w:rPr>
                <w:sz w:val="16"/>
                <w:szCs w:val="16"/>
                <w:lang w:val="en-US"/>
              </w:rPr>
            </w:pPr>
          </w:p>
        </w:tc>
        <w:tc>
          <w:tcPr>
            <w:tcW w:w="1270" w:type="dxa"/>
            <w:tcBorders>
              <w:top w:val="nil"/>
              <w:left w:val="nil"/>
              <w:bottom w:val="nil"/>
              <w:right w:val="nil"/>
            </w:tcBorders>
            <w:shd w:val="clear" w:color="auto" w:fill="auto"/>
          </w:tcPr>
          <w:p w14:paraId="7FD1A905" w14:textId="77777777" w:rsidR="00A211AA" w:rsidRPr="00161533" w:rsidRDefault="00A211AA" w:rsidP="00861F97">
            <w:pPr>
              <w:jc w:val="center"/>
              <w:rPr>
                <w:sz w:val="16"/>
                <w:szCs w:val="16"/>
                <w:lang w:val="en-US"/>
              </w:rPr>
            </w:pPr>
          </w:p>
        </w:tc>
      </w:tr>
      <w:tr w:rsidR="00A211AA" w:rsidRPr="00161533" w14:paraId="078214A3" w14:textId="77777777" w:rsidTr="00861F97">
        <w:tc>
          <w:tcPr>
            <w:tcW w:w="3261" w:type="dxa"/>
            <w:tcBorders>
              <w:top w:val="nil"/>
              <w:left w:val="nil"/>
              <w:bottom w:val="nil"/>
              <w:right w:val="single" w:sz="4" w:space="0" w:color="auto"/>
            </w:tcBorders>
          </w:tcPr>
          <w:p w14:paraId="34FD8D6D" w14:textId="77777777" w:rsidR="00A211AA" w:rsidRPr="00161533" w:rsidRDefault="00A211AA" w:rsidP="00861F97">
            <w:pPr>
              <w:ind w:left="164"/>
              <w:rPr>
                <w:sz w:val="16"/>
                <w:szCs w:val="16"/>
                <w:lang w:val="en-US"/>
              </w:rPr>
            </w:pPr>
            <w:r w:rsidRPr="00161533">
              <w:rPr>
                <w:sz w:val="16"/>
                <w:szCs w:val="16"/>
                <w:lang w:val="en-US"/>
              </w:rPr>
              <w:t>Manual sorting and grading</w:t>
            </w:r>
          </w:p>
        </w:tc>
        <w:tc>
          <w:tcPr>
            <w:tcW w:w="850" w:type="dxa"/>
            <w:tcBorders>
              <w:top w:val="nil"/>
              <w:left w:val="single" w:sz="4" w:space="0" w:color="auto"/>
              <w:bottom w:val="nil"/>
              <w:right w:val="nil"/>
            </w:tcBorders>
          </w:tcPr>
          <w:p w14:paraId="7E276FDA" w14:textId="77777777" w:rsidR="00A211AA" w:rsidRPr="00161533" w:rsidRDefault="00A211AA" w:rsidP="00861F97">
            <w:pPr>
              <w:jc w:val="center"/>
              <w:rPr>
                <w:sz w:val="16"/>
                <w:szCs w:val="16"/>
                <w:lang w:val="en-US"/>
              </w:rPr>
            </w:pPr>
            <w:r w:rsidRPr="00161533">
              <w:rPr>
                <w:sz w:val="16"/>
                <w:szCs w:val="16"/>
                <w:lang w:val="en-US"/>
              </w:rPr>
              <w:t>0.101</w:t>
            </w:r>
          </w:p>
        </w:tc>
        <w:tc>
          <w:tcPr>
            <w:tcW w:w="851" w:type="dxa"/>
            <w:tcBorders>
              <w:top w:val="nil"/>
              <w:left w:val="nil"/>
              <w:bottom w:val="nil"/>
              <w:right w:val="single" w:sz="4" w:space="0" w:color="auto"/>
            </w:tcBorders>
          </w:tcPr>
          <w:p w14:paraId="49FAF58E" w14:textId="77777777" w:rsidR="00A211AA" w:rsidRPr="00161533" w:rsidRDefault="00A211AA" w:rsidP="00861F97">
            <w:pPr>
              <w:jc w:val="center"/>
              <w:rPr>
                <w:sz w:val="16"/>
                <w:szCs w:val="16"/>
                <w:lang w:val="en-US"/>
              </w:rPr>
            </w:pPr>
            <w:r w:rsidRPr="00161533">
              <w:rPr>
                <w:sz w:val="16"/>
                <w:szCs w:val="16"/>
                <w:lang w:val="en-US"/>
              </w:rPr>
              <w:t>0.955</w:t>
            </w:r>
          </w:p>
        </w:tc>
        <w:tc>
          <w:tcPr>
            <w:tcW w:w="1417" w:type="dxa"/>
            <w:tcBorders>
              <w:top w:val="nil"/>
              <w:left w:val="single" w:sz="4" w:space="0" w:color="auto"/>
              <w:bottom w:val="nil"/>
              <w:right w:val="nil"/>
            </w:tcBorders>
            <w:vAlign w:val="center"/>
          </w:tcPr>
          <w:p w14:paraId="3BAB3010"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p>
        </w:tc>
        <w:tc>
          <w:tcPr>
            <w:tcW w:w="1418" w:type="dxa"/>
            <w:tcBorders>
              <w:top w:val="nil"/>
              <w:left w:val="nil"/>
              <w:bottom w:val="nil"/>
              <w:right w:val="nil"/>
            </w:tcBorders>
            <w:vAlign w:val="center"/>
          </w:tcPr>
          <w:p w14:paraId="315FA9BC"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p>
        </w:tc>
        <w:tc>
          <w:tcPr>
            <w:tcW w:w="1270" w:type="dxa"/>
            <w:tcBorders>
              <w:top w:val="nil"/>
              <w:left w:val="nil"/>
              <w:bottom w:val="nil"/>
              <w:right w:val="nil"/>
            </w:tcBorders>
            <w:vAlign w:val="center"/>
          </w:tcPr>
          <w:p w14:paraId="3DFF558F" w14:textId="77777777" w:rsidR="00A211AA" w:rsidRPr="00161533" w:rsidRDefault="00A211AA" w:rsidP="00861F97">
            <w:pPr>
              <w:jc w:val="center"/>
              <w:rPr>
                <w:sz w:val="16"/>
                <w:szCs w:val="16"/>
                <w:lang w:val="en-US"/>
              </w:rPr>
            </w:pPr>
          </w:p>
        </w:tc>
      </w:tr>
      <w:tr w:rsidR="00A211AA" w:rsidRPr="00161533" w14:paraId="01BB27AA" w14:textId="77777777" w:rsidTr="00861F97">
        <w:tc>
          <w:tcPr>
            <w:tcW w:w="3261" w:type="dxa"/>
            <w:tcBorders>
              <w:top w:val="nil"/>
              <w:left w:val="nil"/>
              <w:bottom w:val="nil"/>
              <w:right w:val="single" w:sz="4" w:space="0" w:color="auto"/>
            </w:tcBorders>
          </w:tcPr>
          <w:p w14:paraId="245E61D8" w14:textId="77777777" w:rsidR="00A211AA" w:rsidRPr="00161533" w:rsidRDefault="00A211AA" w:rsidP="00861F97">
            <w:pPr>
              <w:ind w:left="164"/>
              <w:rPr>
                <w:sz w:val="16"/>
                <w:szCs w:val="16"/>
                <w:lang w:val="en-US"/>
              </w:rPr>
            </w:pPr>
            <w:r w:rsidRPr="00161533">
              <w:rPr>
                <w:sz w:val="16"/>
                <w:szCs w:val="16"/>
                <w:lang w:val="en-US"/>
              </w:rPr>
              <w:t>No sorting and grading</w:t>
            </w:r>
          </w:p>
        </w:tc>
        <w:tc>
          <w:tcPr>
            <w:tcW w:w="850" w:type="dxa"/>
            <w:tcBorders>
              <w:top w:val="nil"/>
              <w:left w:val="single" w:sz="4" w:space="0" w:color="auto"/>
              <w:bottom w:val="nil"/>
              <w:right w:val="nil"/>
            </w:tcBorders>
          </w:tcPr>
          <w:p w14:paraId="53DC70E3" w14:textId="77777777" w:rsidR="00A211AA" w:rsidRPr="00161533" w:rsidRDefault="00A211AA" w:rsidP="00861F97">
            <w:pPr>
              <w:jc w:val="center"/>
              <w:rPr>
                <w:sz w:val="16"/>
                <w:szCs w:val="16"/>
                <w:lang w:val="en-US"/>
              </w:rPr>
            </w:pPr>
            <w:r w:rsidRPr="00161533">
              <w:rPr>
                <w:sz w:val="16"/>
                <w:szCs w:val="16"/>
                <w:lang w:val="en-US"/>
              </w:rPr>
              <w:t>0.848</w:t>
            </w:r>
          </w:p>
        </w:tc>
        <w:tc>
          <w:tcPr>
            <w:tcW w:w="851" w:type="dxa"/>
            <w:tcBorders>
              <w:top w:val="nil"/>
              <w:left w:val="nil"/>
              <w:bottom w:val="nil"/>
              <w:right w:val="single" w:sz="4" w:space="0" w:color="auto"/>
            </w:tcBorders>
          </w:tcPr>
          <w:p w14:paraId="4AE39100" w14:textId="77777777" w:rsidR="00A211AA" w:rsidRPr="00161533" w:rsidRDefault="00A211AA" w:rsidP="00861F97">
            <w:pPr>
              <w:jc w:val="center"/>
              <w:rPr>
                <w:sz w:val="16"/>
                <w:szCs w:val="16"/>
                <w:lang w:val="en-US"/>
              </w:rPr>
            </w:pPr>
            <w:r w:rsidRPr="00161533">
              <w:rPr>
                <w:sz w:val="16"/>
                <w:szCs w:val="16"/>
                <w:lang w:val="en-US"/>
              </w:rPr>
              <w:t>0.552</w:t>
            </w:r>
          </w:p>
        </w:tc>
        <w:tc>
          <w:tcPr>
            <w:tcW w:w="1417" w:type="dxa"/>
            <w:tcBorders>
              <w:top w:val="nil"/>
              <w:left w:val="single" w:sz="4" w:space="0" w:color="auto"/>
              <w:bottom w:val="nil"/>
              <w:right w:val="nil"/>
            </w:tcBorders>
            <w:vAlign w:val="center"/>
          </w:tcPr>
          <w:p w14:paraId="173E935B" w14:textId="77777777" w:rsidR="00A211AA" w:rsidRPr="00161533" w:rsidRDefault="00A211AA" w:rsidP="00861F97">
            <w:pPr>
              <w:jc w:val="center"/>
              <w:rPr>
                <w:rFonts w:ascii="Segoe UI Emoji" w:hAnsi="Segoe UI Emoji" w:cs="Segoe UI Emoji"/>
                <w:sz w:val="16"/>
                <w:szCs w:val="16"/>
                <w:lang w:val="en-US"/>
              </w:rPr>
            </w:pPr>
            <w:r w:rsidRPr="00161533">
              <w:rPr>
                <w:rFonts w:ascii="Cambria Math" w:hAnsi="Cambria Math" w:cs="Cambria Math"/>
                <w:color w:val="4D5156"/>
                <w:sz w:val="18"/>
                <w:szCs w:val="18"/>
                <w:shd w:val="clear" w:color="auto" w:fill="FFFFFF"/>
                <w:lang w:val="en-US"/>
              </w:rPr>
              <w:t>⊗</w:t>
            </w:r>
          </w:p>
        </w:tc>
        <w:tc>
          <w:tcPr>
            <w:tcW w:w="1418" w:type="dxa"/>
            <w:tcBorders>
              <w:top w:val="nil"/>
              <w:left w:val="nil"/>
              <w:bottom w:val="single" w:sz="4" w:space="0" w:color="auto"/>
              <w:right w:val="nil"/>
            </w:tcBorders>
            <w:vAlign w:val="center"/>
          </w:tcPr>
          <w:p w14:paraId="56A7C22E" w14:textId="77777777" w:rsidR="00A211AA" w:rsidRPr="00161533" w:rsidRDefault="00A211AA" w:rsidP="00861F97">
            <w:pPr>
              <w:jc w:val="center"/>
              <w:rPr>
                <w:rFonts w:ascii="Segoe UI Emoji" w:hAnsi="Segoe UI Emoji" w:cs="Segoe UI Emoji"/>
                <w:sz w:val="16"/>
                <w:szCs w:val="16"/>
                <w:lang w:val="en-US"/>
              </w:rPr>
            </w:pPr>
            <w:r w:rsidRPr="00161533">
              <w:rPr>
                <w:rFonts w:ascii="Segoe UI Emoji" w:hAnsi="Segoe UI Emoji" w:cs="Segoe UI Emoji"/>
                <w:sz w:val="8"/>
                <w:szCs w:val="8"/>
                <w:lang w:val="en-US"/>
              </w:rPr>
              <w:t>⚫</w:t>
            </w:r>
          </w:p>
        </w:tc>
        <w:tc>
          <w:tcPr>
            <w:tcW w:w="1270" w:type="dxa"/>
            <w:tcBorders>
              <w:top w:val="nil"/>
              <w:left w:val="nil"/>
              <w:bottom w:val="nil"/>
              <w:right w:val="nil"/>
            </w:tcBorders>
            <w:vAlign w:val="center"/>
          </w:tcPr>
          <w:p w14:paraId="7CD13A6B"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r w:rsidRPr="00161533">
              <w:rPr>
                <w:rFonts w:ascii="Segoe UI Emoji" w:hAnsi="Segoe UI Emoji" w:cs="Segoe UI Emoji"/>
                <w:sz w:val="8"/>
                <w:szCs w:val="8"/>
                <w:lang w:val="en-US"/>
              </w:rPr>
              <w:t>⚫</w:t>
            </w:r>
          </w:p>
        </w:tc>
      </w:tr>
      <w:tr w:rsidR="00A211AA" w:rsidRPr="00161533" w14:paraId="2E540B7C" w14:textId="77777777" w:rsidTr="00861F97">
        <w:tc>
          <w:tcPr>
            <w:tcW w:w="3261" w:type="dxa"/>
            <w:tcBorders>
              <w:top w:val="single" w:sz="4" w:space="0" w:color="auto"/>
              <w:left w:val="nil"/>
              <w:bottom w:val="nil"/>
              <w:right w:val="single" w:sz="4" w:space="0" w:color="auto"/>
            </w:tcBorders>
          </w:tcPr>
          <w:p w14:paraId="03ED63ED" w14:textId="77777777" w:rsidR="00A211AA" w:rsidRPr="00161533" w:rsidRDefault="00A211AA" w:rsidP="00861F97">
            <w:pPr>
              <w:rPr>
                <w:sz w:val="16"/>
                <w:szCs w:val="16"/>
                <w:lang w:val="en-US"/>
              </w:rPr>
            </w:pPr>
            <w:r w:rsidRPr="00161533">
              <w:rPr>
                <w:i/>
                <w:iCs/>
                <w:sz w:val="16"/>
                <w:szCs w:val="16"/>
                <w:lang w:val="en-US"/>
              </w:rPr>
              <w:t>Manufacturing type</w:t>
            </w:r>
          </w:p>
        </w:tc>
        <w:tc>
          <w:tcPr>
            <w:tcW w:w="850" w:type="dxa"/>
            <w:tcBorders>
              <w:top w:val="single" w:sz="4" w:space="0" w:color="auto"/>
              <w:left w:val="single" w:sz="4" w:space="0" w:color="auto"/>
              <w:bottom w:val="nil"/>
              <w:right w:val="nil"/>
            </w:tcBorders>
          </w:tcPr>
          <w:p w14:paraId="451F334C" w14:textId="77777777" w:rsidR="00A211AA" w:rsidRPr="00161533" w:rsidRDefault="00A211AA" w:rsidP="00861F97">
            <w:pPr>
              <w:jc w:val="center"/>
              <w:rPr>
                <w:sz w:val="16"/>
                <w:szCs w:val="16"/>
                <w:lang w:val="en-US"/>
              </w:rPr>
            </w:pPr>
          </w:p>
        </w:tc>
        <w:tc>
          <w:tcPr>
            <w:tcW w:w="851" w:type="dxa"/>
            <w:tcBorders>
              <w:top w:val="single" w:sz="4" w:space="0" w:color="auto"/>
              <w:left w:val="nil"/>
              <w:bottom w:val="nil"/>
              <w:right w:val="single" w:sz="4" w:space="0" w:color="auto"/>
            </w:tcBorders>
          </w:tcPr>
          <w:p w14:paraId="58FFBDEB" w14:textId="77777777" w:rsidR="00A211AA" w:rsidRPr="00161533" w:rsidRDefault="00A211AA" w:rsidP="00861F97">
            <w:pPr>
              <w:jc w:val="center"/>
              <w:rPr>
                <w:sz w:val="16"/>
                <w:szCs w:val="16"/>
                <w:lang w:val="en-US"/>
              </w:rPr>
            </w:pPr>
          </w:p>
        </w:tc>
        <w:tc>
          <w:tcPr>
            <w:tcW w:w="1417" w:type="dxa"/>
            <w:tcBorders>
              <w:top w:val="single" w:sz="4" w:space="0" w:color="auto"/>
              <w:left w:val="single" w:sz="4" w:space="0" w:color="auto"/>
              <w:bottom w:val="nil"/>
              <w:right w:val="nil"/>
            </w:tcBorders>
            <w:vAlign w:val="center"/>
          </w:tcPr>
          <w:p w14:paraId="6625D0B0" w14:textId="77777777" w:rsidR="00A211AA" w:rsidRPr="00161533" w:rsidRDefault="00A211AA" w:rsidP="00861F97">
            <w:pPr>
              <w:rPr>
                <w:sz w:val="16"/>
                <w:szCs w:val="16"/>
                <w:lang w:val="en-US"/>
              </w:rPr>
            </w:pPr>
          </w:p>
        </w:tc>
        <w:tc>
          <w:tcPr>
            <w:tcW w:w="1418" w:type="dxa"/>
            <w:tcBorders>
              <w:top w:val="single" w:sz="4" w:space="0" w:color="auto"/>
              <w:left w:val="nil"/>
              <w:bottom w:val="nil"/>
              <w:right w:val="nil"/>
            </w:tcBorders>
            <w:vAlign w:val="center"/>
          </w:tcPr>
          <w:p w14:paraId="53C3D47E" w14:textId="77777777" w:rsidR="00A211AA" w:rsidRPr="00161533" w:rsidRDefault="00A211AA" w:rsidP="00861F97">
            <w:pPr>
              <w:rPr>
                <w:sz w:val="16"/>
                <w:szCs w:val="16"/>
                <w:lang w:val="en-US"/>
              </w:rPr>
            </w:pPr>
          </w:p>
        </w:tc>
        <w:tc>
          <w:tcPr>
            <w:tcW w:w="1270" w:type="dxa"/>
            <w:tcBorders>
              <w:top w:val="single" w:sz="4" w:space="0" w:color="auto"/>
              <w:left w:val="nil"/>
              <w:bottom w:val="nil"/>
              <w:right w:val="nil"/>
            </w:tcBorders>
          </w:tcPr>
          <w:p w14:paraId="1ABBB679" w14:textId="77777777" w:rsidR="00A211AA" w:rsidRPr="00161533" w:rsidRDefault="00A211AA" w:rsidP="00861F97">
            <w:pPr>
              <w:rPr>
                <w:sz w:val="16"/>
                <w:szCs w:val="16"/>
                <w:lang w:val="en-US"/>
              </w:rPr>
            </w:pPr>
          </w:p>
        </w:tc>
      </w:tr>
      <w:tr w:rsidR="00A211AA" w:rsidRPr="00161533" w14:paraId="2C1A3AD4" w14:textId="77777777" w:rsidTr="00861F97">
        <w:tc>
          <w:tcPr>
            <w:tcW w:w="3261" w:type="dxa"/>
            <w:tcBorders>
              <w:top w:val="nil"/>
              <w:left w:val="nil"/>
              <w:bottom w:val="nil"/>
              <w:right w:val="single" w:sz="4" w:space="0" w:color="auto"/>
            </w:tcBorders>
            <w:shd w:val="clear" w:color="auto" w:fill="auto"/>
          </w:tcPr>
          <w:p w14:paraId="6949717B" w14:textId="77777777" w:rsidR="00A211AA" w:rsidRPr="00161533" w:rsidRDefault="00A211AA" w:rsidP="00861F97">
            <w:pPr>
              <w:ind w:left="164"/>
              <w:rPr>
                <w:sz w:val="16"/>
                <w:szCs w:val="16"/>
                <w:lang w:val="en-US"/>
              </w:rPr>
            </w:pPr>
            <w:r w:rsidRPr="00161533">
              <w:rPr>
                <w:sz w:val="16"/>
                <w:szCs w:val="16"/>
                <w:lang w:val="en-US"/>
              </w:rPr>
              <w:t>Discrete (standardized)</w:t>
            </w:r>
          </w:p>
        </w:tc>
        <w:tc>
          <w:tcPr>
            <w:tcW w:w="850" w:type="dxa"/>
            <w:tcBorders>
              <w:top w:val="nil"/>
              <w:left w:val="single" w:sz="4" w:space="0" w:color="auto"/>
              <w:bottom w:val="nil"/>
              <w:right w:val="nil"/>
            </w:tcBorders>
            <w:shd w:val="clear" w:color="auto" w:fill="auto"/>
          </w:tcPr>
          <w:p w14:paraId="419368EE" w14:textId="77777777" w:rsidR="00A211AA" w:rsidRPr="00161533" w:rsidRDefault="00A211AA" w:rsidP="00861F97">
            <w:pPr>
              <w:jc w:val="center"/>
              <w:rPr>
                <w:sz w:val="16"/>
                <w:szCs w:val="16"/>
                <w:lang w:val="en-US"/>
              </w:rPr>
            </w:pPr>
            <w:r w:rsidRPr="00161533">
              <w:rPr>
                <w:sz w:val="16"/>
                <w:szCs w:val="16"/>
                <w:lang w:val="en-US"/>
              </w:rPr>
              <w:t>0.203</w:t>
            </w:r>
          </w:p>
        </w:tc>
        <w:tc>
          <w:tcPr>
            <w:tcW w:w="851" w:type="dxa"/>
            <w:tcBorders>
              <w:top w:val="nil"/>
              <w:left w:val="nil"/>
              <w:bottom w:val="nil"/>
              <w:right w:val="single" w:sz="4" w:space="0" w:color="auto"/>
            </w:tcBorders>
            <w:shd w:val="clear" w:color="auto" w:fill="auto"/>
          </w:tcPr>
          <w:p w14:paraId="4F2D45DB" w14:textId="77777777" w:rsidR="00A211AA" w:rsidRPr="00161533" w:rsidRDefault="00A211AA" w:rsidP="00861F97">
            <w:pPr>
              <w:jc w:val="center"/>
              <w:rPr>
                <w:sz w:val="16"/>
                <w:szCs w:val="16"/>
                <w:lang w:val="en-US"/>
              </w:rPr>
            </w:pPr>
            <w:r w:rsidRPr="00161533">
              <w:rPr>
                <w:sz w:val="16"/>
                <w:szCs w:val="16"/>
                <w:lang w:val="en-US"/>
              </w:rPr>
              <w:t>1.000</w:t>
            </w:r>
          </w:p>
        </w:tc>
        <w:tc>
          <w:tcPr>
            <w:tcW w:w="1417" w:type="dxa"/>
            <w:tcBorders>
              <w:top w:val="nil"/>
              <w:left w:val="single" w:sz="4" w:space="0" w:color="auto"/>
              <w:bottom w:val="nil"/>
              <w:right w:val="nil"/>
            </w:tcBorders>
            <w:shd w:val="clear" w:color="auto" w:fill="auto"/>
            <w:vAlign w:val="center"/>
          </w:tcPr>
          <w:p w14:paraId="16DDC2C5" w14:textId="77777777" w:rsidR="00A211AA" w:rsidRPr="00161533" w:rsidRDefault="00A211AA" w:rsidP="00861F97">
            <w:pPr>
              <w:rPr>
                <w:sz w:val="16"/>
                <w:szCs w:val="16"/>
                <w:lang w:val="en-US"/>
              </w:rPr>
            </w:pPr>
          </w:p>
        </w:tc>
        <w:tc>
          <w:tcPr>
            <w:tcW w:w="1418" w:type="dxa"/>
            <w:tcBorders>
              <w:top w:val="nil"/>
              <w:left w:val="nil"/>
              <w:bottom w:val="nil"/>
              <w:right w:val="nil"/>
            </w:tcBorders>
            <w:vAlign w:val="center"/>
          </w:tcPr>
          <w:p w14:paraId="5485BBBC" w14:textId="77777777" w:rsidR="00A211AA" w:rsidRPr="00161533" w:rsidRDefault="00A211AA" w:rsidP="00861F97">
            <w:pPr>
              <w:jc w:val="center"/>
              <w:rPr>
                <w:sz w:val="16"/>
                <w:szCs w:val="16"/>
                <w:lang w:val="en-US"/>
              </w:rPr>
            </w:pPr>
            <w:r w:rsidRPr="00161533">
              <w:rPr>
                <w:rFonts w:ascii="Segoe UI Emoji" w:hAnsi="Segoe UI Emoji" w:cs="Segoe UI Emoji"/>
                <w:sz w:val="8"/>
                <w:szCs w:val="8"/>
                <w:lang w:val="en-US"/>
              </w:rPr>
              <w:t>⚫</w:t>
            </w:r>
          </w:p>
        </w:tc>
        <w:tc>
          <w:tcPr>
            <w:tcW w:w="1270" w:type="dxa"/>
            <w:tcBorders>
              <w:top w:val="nil"/>
              <w:left w:val="nil"/>
              <w:bottom w:val="nil"/>
              <w:right w:val="nil"/>
            </w:tcBorders>
            <w:shd w:val="clear" w:color="auto" w:fill="auto"/>
          </w:tcPr>
          <w:p w14:paraId="297FEFAB" w14:textId="77777777" w:rsidR="00A211AA" w:rsidRPr="00161533" w:rsidRDefault="00A211AA" w:rsidP="00861F97">
            <w:pPr>
              <w:rPr>
                <w:sz w:val="16"/>
                <w:szCs w:val="16"/>
                <w:lang w:val="en-US"/>
              </w:rPr>
            </w:pPr>
          </w:p>
        </w:tc>
      </w:tr>
      <w:tr w:rsidR="00A211AA" w:rsidRPr="00161533" w14:paraId="0206F033" w14:textId="77777777" w:rsidTr="00861F97">
        <w:tc>
          <w:tcPr>
            <w:tcW w:w="3261" w:type="dxa"/>
            <w:tcBorders>
              <w:top w:val="nil"/>
              <w:left w:val="nil"/>
              <w:bottom w:val="nil"/>
              <w:right w:val="single" w:sz="4" w:space="0" w:color="auto"/>
            </w:tcBorders>
          </w:tcPr>
          <w:p w14:paraId="054FAA57" w14:textId="77777777" w:rsidR="00A211AA" w:rsidRPr="00161533" w:rsidRDefault="00A211AA" w:rsidP="00861F97">
            <w:pPr>
              <w:ind w:left="164"/>
              <w:rPr>
                <w:sz w:val="16"/>
                <w:szCs w:val="16"/>
                <w:lang w:val="en-US"/>
              </w:rPr>
            </w:pPr>
            <w:r w:rsidRPr="00161533">
              <w:rPr>
                <w:sz w:val="16"/>
                <w:szCs w:val="16"/>
                <w:lang w:val="en-US"/>
              </w:rPr>
              <w:t>Discrete (customized)</w:t>
            </w:r>
          </w:p>
        </w:tc>
        <w:tc>
          <w:tcPr>
            <w:tcW w:w="850" w:type="dxa"/>
            <w:tcBorders>
              <w:top w:val="nil"/>
              <w:left w:val="single" w:sz="4" w:space="0" w:color="auto"/>
              <w:bottom w:val="nil"/>
              <w:right w:val="nil"/>
            </w:tcBorders>
          </w:tcPr>
          <w:p w14:paraId="5C467E7B" w14:textId="77777777" w:rsidR="00A211AA" w:rsidRPr="00161533" w:rsidRDefault="00A211AA" w:rsidP="00861F97">
            <w:pPr>
              <w:jc w:val="center"/>
              <w:rPr>
                <w:sz w:val="16"/>
                <w:szCs w:val="16"/>
                <w:lang w:val="en-US"/>
              </w:rPr>
            </w:pPr>
            <w:r w:rsidRPr="00161533">
              <w:rPr>
                <w:sz w:val="16"/>
                <w:szCs w:val="16"/>
                <w:lang w:val="en-US"/>
              </w:rPr>
              <w:t>0.152</w:t>
            </w:r>
          </w:p>
        </w:tc>
        <w:tc>
          <w:tcPr>
            <w:tcW w:w="851" w:type="dxa"/>
            <w:tcBorders>
              <w:top w:val="nil"/>
              <w:left w:val="nil"/>
              <w:bottom w:val="nil"/>
              <w:right w:val="single" w:sz="4" w:space="0" w:color="auto"/>
            </w:tcBorders>
          </w:tcPr>
          <w:p w14:paraId="176F1B57" w14:textId="77777777" w:rsidR="00A211AA" w:rsidRPr="00161533" w:rsidRDefault="00A211AA" w:rsidP="00861F97">
            <w:pPr>
              <w:jc w:val="center"/>
              <w:rPr>
                <w:sz w:val="16"/>
                <w:szCs w:val="16"/>
                <w:lang w:val="en-US"/>
              </w:rPr>
            </w:pPr>
            <w:r w:rsidRPr="00161533">
              <w:rPr>
                <w:sz w:val="16"/>
                <w:szCs w:val="16"/>
                <w:lang w:val="en-US"/>
              </w:rPr>
              <w:t>0.952</w:t>
            </w:r>
          </w:p>
        </w:tc>
        <w:tc>
          <w:tcPr>
            <w:tcW w:w="1417" w:type="dxa"/>
            <w:tcBorders>
              <w:top w:val="nil"/>
              <w:left w:val="single" w:sz="4" w:space="0" w:color="auto"/>
              <w:bottom w:val="nil"/>
              <w:right w:val="nil"/>
            </w:tcBorders>
            <w:vAlign w:val="center"/>
          </w:tcPr>
          <w:p w14:paraId="1C78863D"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r w:rsidRPr="00161533">
              <w:rPr>
                <w:rFonts w:ascii="Segoe UI Emoji" w:hAnsi="Segoe UI Emoji" w:cs="Segoe UI Emoji"/>
                <w:sz w:val="14"/>
                <w:szCs w:val="14"/>
                <w:lang w:val="en-US"/>
              </w:rPr>
              <w:t>⚫</w:t>
            </w:r>
          </w:p>
        </w:tc>
        <w:tc>
          <w:tcPr>
            <w:tcW w:w="1418" w:type="dxa"/>
            <w:tcBorders>
              <w:top w:val="nil"/>
              <w:left w:val="nil"/>
              <w:bottom w:val="nil"/>
              <w:right w:val="nil"/>
            </w:tcBorders>
            <w:vAlign w:val="center"/>
          </w:tcPr>
          <w:p w14:paraId="56C29D63"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r w:rsidRPr="00161533">
              <w:rPr>
                <w:rFonts w:ascii="Cambria Math" w:hAnsi="Cambria Math" w:cs="Cambria Math"/>
                <w:color w:val="4D5156"/>
                <w:sz w:val="18"/>
                <w:szCs w:val="18"/>
                <w:shd w:val="clear" w:color="auto" w:fill="FFFFFF"/>
                <w:lang w:val="en-US"/>
              </w:rPr>
              <w:t>⊗</w:t>
            </w:r>
          </w:p>
        </w:tc>
        <w:tc>
          <w:tcPr>
            <w:tcW w:w="1270" w:type="dxa"/>
            <w:tcBorders>
              <w:top w:val="nil"/>
              <w:left w:val="nil"/>
              <w:bottom w:val="nil"/>
              <w:right w:val="nil"/>
            </w:tcBorders>
            <w:vAlign w:val="center"/>
          </w:tcPr>
          <w:p w14:paraId="031CC6E5" w14:textId="77777777" w:rsidR="00A211AA" w:rsidRPr="00161533" w:rsidRDefault="00A211AA" w:rsidP="00861F97">
            <w:pPr>
              <w:jc w:val="center"/>
              <w:rPr>
                <w:sz w:val="16"/>
                <w:szCs w:val="16"/>
                <w:lang w:val="en-US"/>
              </w:rPr>
            </w:pPr>
            <w:r w:rsidRPr="00161533">
              <w:rPr>
                <w:rFonts w:ascii="Cambria Math" w:hAnsi="Cambria Math" w:cs="Cambria Math"/>
                <w:color w:val="4D5156"/>
                <w:sz w:val="18"/>
                <w:szCs w:val="18"/>
                <w:shd w:val="clear" w:color="auto" w:fill="FFFFFF"/>
                <w:lang w:val="en-US"/>
              </w:rPr>
              <w:t>⊗</w:t>
            </w:r>
          </w:p>
        </w:tc>
      </w:tr>
      <w:tr w:rsidR="00A211AA" w:rsidRPr="00161533" w14:paraId="1003A994" w14:textId="77777777" w:rsidTr="00861F97">
        <w:tc>
          <w:tcPr>
            <w:tcW w:w="3261" w:type="dxa"/>
            <w:tcBorders>
              <w:top w:val="nil"/>
              <w:left w:val="nil"/>
              <w:bottom w:val="nil"/>
              <w:right w:val="single" w:sz="4" w:space="0" w:color="auto"/>
            </w:tcBorders>
          </w:tcPr>
          <w:p w14:paraId="5F398010" w14:textId="77777777" w:rsidR="00A211AA" w:rsidRPr="00161533" w:rsidRDefault="00A211AA" w:rsidP="00861F97">
            <w:pPr>
              <w:ind w:left="164"/>
              <w:rPr>
                <w:sz w:val="16"/>
                <w:szCs w:val="16"/>
                <w:lang w:val="en-US"/>
              </w:rPr>
            </w:pPr>
            <w:r w:rsidRPr="00161533">
              <w:rPr>
                <w:sz w:val="16"/>
                <w:szCs w:val="16"/>
                <w:lang w:val="en-US"/>
              </w:rPr>
              <w:t>Process manufacturing</w:t>
            </w:r>
          </w:p>
        </w:tc>
        <w:tc>
          <w:tcPr>
            <w:tcW w:w="850" w:type="dxa"/>
            <w:tcBorders>
              <w:top w:val="nil"/>
              <w:left w:val="single" w:sz="4" w:space="0" w:color="auto"/>
              <w:bottom w:val="nil"/>
              <w:right w:val="nil"/>
            </w:tcBorders>
          </w:tcPr>
          <w:p w14:paraId="3BF2C4BE" w14:textId="77777777" w:rsidR="00A211AA" w:rsidRPr="00161533" w:rsidRDefault="00A211AA" w:rsidP="00861F97">
            <w:pPr>
              <w:jc w:val="center"/>
              <w:rPr>
                <w:sz w:val="16"/>
                <w:szCs w:val="16"/>
                <w:lang w:val="en-US"/>
              </w:rPr>
            </w:pPr>
            <w:r w:rsidRPr="00161533">
              <w:rPr>
                <w:sz w:val="16"/>
                <w:szCs w:val="16"/>
                <w:lang w:val="en-US"/>
              </w:rPr>
              <w:t>0.570</w:t>
            </w:r>
          </w:p>
        </w:tc>
        <w:tc>
          <w:tcPr>
            <w:tcW w:w="851" w:type="dxa"/>
            <w:tcBorders>
              <w:top w:val="nil"/>
              <w:left w:val="nil"/>
              <w:bottom w:val="nil"/>
              <w:right w:val="single" w:sz="4" w:space="0" w:color="auto"/>
            </w:tcBorders>
          </w:tcPr>
          <w:p w14:paraId="6B72848A" w14:textId="77777777" w:rsidR="00A211AA" w:rsidRPr="00161533" w:rsidRDefault="00A211AA" w:rsidP="00861F97">
            <w:pPr>
              <w:jc w:val="center"/>
              <w:rPr>
                <w:sz w:val="16"/>
                <w:szCs w:val="16"/>
                <w:lang w:val="en-US"/>
              </w:rPr>
            </w:pPr>
            <w:r w:rsidRPr="00161533">
              <w:rPr>
                <w:sz w:val="16"/>
                <w:szCs w:val="16"/>
                <w:lang w:val="en-US"/>
              </w:rPr>
              <w:t>0.863</w:t>
            </w:r>
          </w:p>
        </w:tc>
        <w:tc>
          <w:tcPr>
            <w:tcW w:w="1417" w:type="dxa"/>
            <w:tcBorders>
              <w:top w:val="nil"/>
              <w:left w:val="single" w:sz="4" w:space="0" w:color="auto"/>
              <w:bottom w:val="nil"/>
              <w:right w:val="nil"/>
            </w:tcBorders>
            <w:vAlign w:val="center"/>
          </w:tcPr>
          <w:p w14:paraId="235381F8"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p>
        </w:tc>
        <w:tc>
          <w:tcPr>
            <w:tcW w:w="1418" w:type="dxa"/>
            <w:tcBorders>
              <w:top w:val="nil"/>
              <w:left w:val="nil"/>
              <w:bottom w:val="nil"/>
              <w:right w:val="nil"/>
            </w:tcBorders>
            <w:vAlign w:val="center"/>
          </w:tcPr>
          <w:p w14:paraId="55ADC6DB"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p>
        </w:tc>
        <w:tc>
          <w:tcPr>
            <w:tcW w:w="1270" w:type="dxa"/>
            <w:tcBorders>
              <w:top w:val="nil"/>
              <w:left w:val="nil"/>
              <w:bottom w:val="nil"/>
              <w:right w:val="nil"/>
            </w:tcBorders>
            <w:vAlign w:val="center"/>
          </w:tcPr>
          <w:p w14:paraId="06B2AF81" w14:textId="77777777" w:rsidR="00A211AA" w:rsidRPr="00161533" w:rsidRDefault="00A211AA" w:rsidP="00861F97">
            <w:pPr>
              <w:jc w:val="center"/>
              <w:rPr>
                <w:rFonts w:ascii="Cambria Math" w:hAnsi="Cambria Math" w:cs="Cambria Math"/>
                <w:color w:val="4D5156"/>
                <w:sz w:val="16"/>
                <w:szCs w:val="16"/>
                <w:shd w:val="clear" w:color="auto" w:fill="FFFFFF"/>
                <w:lang w:val="en-US"/>
              </w:rPr>
            </w:pPr>
            <w:r w:rsidRPr="00161533">
              <w:rPr>
                <w:rFonts w:ascii="Segoe UI Emoji" w:hAnsi="Segoe UI Emoji" w:cs="Segoe UI Emoji"/>
                <w:sz w:val="8"/>
                <w:szCs w:val="8"/>
                <w:lang w:val="en-US"/>
              </w:rPr>
              <w:t>⚫</w:t>
            </w:r>
          </w:p>
        </w:tc>
      </w:tr>
      <w:tr w:rsidR="00A211AA" w:rsidRPr="00161533" w14:paraId="1DEEF34E" w14:textId="77777777" w:rsidTr="00861F97">
        <w:tc>
          <w:tcPr>
            <w:tcW w:w="3261" w:type="dxa"/>
            <w:tcBorders>
              <w:top w:val="nil"/>
              <w:left w:val="nil"/>
              <w:bottom w:val="nil"/>
              <w:right w:val="single" w:sz="4" w:space="0" w:color="auto"/>
            </w:tcBorders>
            <w:shd w:val="clear" w:color="auto" w:fill="auto"/>
          </w:tcPr>
          <w:p w14:paraId="778D51B4" w14:textId="77777777" w:rsidR="00A211AA" w:rsidRPr="00161533" w:rsidRDefault="00A211AA" w:rsidP="00861F97">
            <w:pPr>
              <w:ind w:left="164"/>
              <w:rPr>
                <w:sz w:val="16"/>
                <w:szCs w:val="16"/>
                <w:lang w:val="en-US"/>
              </w:rPr>
            </w:pPr>
            <w:r w:rsidRPr="00161533">
              <w:rPr>
                <w:sz w:val="16"/>
                <w:szCs w:val="16"/>
                <w:lang w:val="en-US"/>
              </w:rPr>
              <w:t>Process manufacturing + discrete (standard)</w:t>
            </w:r>
          </w:p>
        </w:tc>
        <w:tc>
          <w:tcPr>
            <w:tcW w:w="850" w:type="dxa"/>
            <w:tcBorders>
              <w:top w:val="nil"/>
              <w:left w:val="single" w:sz="4" w:space="0" w:color="auto"/>
              <w:bottom w:val="nil"/>
              <w:right w:val="nil"/>
            </w:tcBorders>
            <w:shd w:val="clear" w:color="auto" w:fill="auto"/>
          </w:tcPr>
          <w:p w14:paraId="0384566A" w14:textId="77777777" w:rsidR="00A211AA" w:rsidRPr="00161533" w:rsidRDefault="00A211AA" w:rsidP="00861F97">
            <w:pPr>
              <w:jc w:val="center"/>
              <w:rPr>
                <w:sz w:val="16"/>
                <w:szCs w:val="16"/>
                <w:lang w:val="en-US"/>
              </w:rPr>
            </w:pPr>
            <w:r w:rsidRPr="00161533">
              <w:rPr>
                <w:sz w:val="16"/>
                <w:szCs w:val="16"/>
                <w:lang w:val="en-US"/>
              </w:rPr>
              <w:t>0.076</w:t>
            </w:r>
          </w:p>
        </w:tc>
        <w:tc>
          <w:tcPr>
            <w:tcW w:w="851" w:type="dxa"/>
            <w:tcBorders>
              <w:top w:val="nil"/>
              <w:left w:val="nil"/>
              <w:bottom w:val="nil"/>
              <w:right w:val="single" w:sz="4" w:space="0" w:color="auto"/>
            </w:tcBorders>
            <w:shd w:val="clear" w:color="auto" w:fill="auto"/>
          </w:tcPr>
          <w:p w14:paraId="06F3C2E7" w14:textId="77777777" w:rsidR="00A211AA" w:rsidRPr="00161533" w:rsidRDefault="00A211AA" w:rsidP="00861F97">
            <w:pPr>
              <w:jc w:val="center"/>
              <w:rPr>
                <w:sz w:val="16"/>
                <w:szCs w:val="16"/>
                <w:lang w:val="en-US"/>
              </w:rPr>
            </w:pPr>
            <w:r w:rsidRPr="00161533">
              <w:rPr>
                <w:sz w:val="16"/>
                <w:szCs w:val="16"/>
                <w:lang w:val="en-US"/>
              </w:rPr>
              <w:t>0.933</w:t>
            </w:r>
          </w:p>
        </w:tc>
        <w:tc>
          <w:tcPr>
            <w:tcW w:w="1417" w:type="dxa"/>
            <w:tcBorders>
              <w:top w:val="nil"/>
              <w:left w:val="single" w:sz="4" w:space="0" w:color="auto"/>
              <w:bottom w:val="nil"/>
              <w:right w:val="nil"/>
            </w:tcBorders>
            <w:shd w:val="clear" w:color="auto" w:fill="auto"/>
            <w:vAlign w:val="center"/>
          </w:tcPr>
          <w:p w14:paraId="5088D9B4" w14:textId="77777777" w:rsidR="00A211AA" w:rsidRPr="00161533" w:rsidRDefault="00A211AA" w:rsidP="00861F97">
            <w:pPr>
              <w:jc w:val="center"/>
              <w:rPr>
                <w:sz w:val="16"/>
                <w:szCs w:val="16"/>
                <w:lang w:val="en-US"/>
              </w:rPr>
            </w:pPr>
          </w:p>
        </w:tc>
        <w:tc>
          <w:tcPr>
            <w:tcW w:w="1418" w:type="dxa"/>
            <w:tcBorders>
              <w:top w:val="nil"/>
              <w:left w:val="nil"/>
              <w:bottom w:val="nil"/>
              <w:right w:val="nil"/>
            </w:tcBorders>
            <w:vAlign w:val="center"/>
          </w:tcPr>
          <w:p w14:paraId="2D14BAAA" w14:textId="77777777" w:rsidR="00A211AA" w:rsidRPr="00161533" w:rsidRDefault="00A211AA" w:rsidP="00861F97">
            <w:pPr>
              <w:jc w:val="center"/>
              <w:rPr>
                <w:sz w:val="16"/>
                <w:szCs w:val="16"/>
                <w:lang w:val="en-US"/>
              </w:rPr>
            </w:pPr>
            <w:r w:rsidRPr="00161533">
              <w:rPr>
                <w:rFonts w:ascii="Cambria Math" w:hAnsi="Cambria Math" w:cs="Cambria Math"/>
                <w:color w:val="4D5156"/>
                <w:sz w:val="18"/>
                <w:szCs w:val="18"/>
                <w:shd w:val="clear" w:color="auto" w:fill="FFFFFF"/>
                <w:lang w:val="en-US"/>
              </w:rPr>
              <w:t>⊗</w:t>
            </w:r>
          </w:p>
        </w:tc>
        <w:tc>
          <w:tcPr>
            <w:tcW w:w="1270" w:type="dxa"/>
            <w:tcBorders>
              <w:top w:val="nil"/>
              <w:left w:val="nil"/>
              <w:bottom w:val="nil"/>
              <w:right w:val="nil"/>
            </w:tcBorders>
            <w:shd w:val="clear" w:color="auto" w:fill="auto"/>
          </w:tcPr>
          <w:p w14:paraId="0F49D14B" w14:textId="77777777" w:rsidR="00A211AA" w:rsidRPr="00161533" w:rsidRDefault="00A211AA" w:rsidP="00861F97">
            <w:pPr>
              <w:jc w:val="center"/>
              <w:rPr>
                <w:sz w:val="16"/>
                <w:szCs w:val="16"/>
                <w:lang w:val="en-US"/>
              </w:rPr>
            </w:pPr>
            <w:r w:rsidRPr="00161533">
              <w:rPr>
                <w:rFonts w:ascii="Cambria Math" w:hAnsi="Cambria Math" w:cs="Cambria Math"/>
                <w:color w:val="4D5156"/>
                <w:sz w:val="18"/>
                <w:szCs w:val="18"/>
                <w:shd w:val="clear" w:color="auto" w:fill="FFFFFF"/>
                <w:lang w:val="en-US"/>
              </w:rPr>
              <w:t>⊗</w:t>
            </w:r>
          </w:p>
        </w:tc>
      </w:tr>
      <w:tr w:rsidR="00A211AA" w:rsidRPr="005335AD" w14:paraId="7AB7D5CD" w14:textId="77777777" w:rsidTr="00861F97">
        <w:tc>
          <w:tcPr>
            <w:tcW w:w="3261" w:type="dxa"/>
            <w:tcBorders>
              <w:top w:val="nil"/>
              <w:left w:val="nil"/>
              <w:bottom w:val="single" w:sz="4" w:space="0" w:color="auto"/>
              <w:right w:val="single" w:sz="4" w:space="0" w:color="auto"/>
            </w:tcBorders>
            <w:shd w:val="clear" w:color="auto" w:fill="auto"/>
          </w:tcPr>
          <w:p w14:paraId="72F8AEA1" w14:textId="2D934B27" w:rsidR="00A211AA" w:rsidRPr="005335AD" w:rsidRDefault="00A211AA" w:rsidP="00861F97">
            <w:pPr>
              <w:ind w:left="164"/>
              <w:rPr>
                <w:sz w:val="16"/>
                <w:szCs w:val="16"/>
                <w:lang w:val="en-US"/>
              </w:rPr>
            </w:pPr>
            <w:r w:rsidRPr="00161533">
              <w:rPr>
                <w:sz w:val="16"/>
                <w:szCs w:val="16"/>
                <w:lang w:val="en-US"/>
              </w:rPr>
              <w:t>Process manufacturing</w:t>
            </w:r>
            <w:r w:rsidR="005335AD">
              <w:rPr>
                <w:sz w:val="16"/>
                <w:szCs w:val="16"/>
                <w:lang w:val="en-US"/>
              </w:rPr>
              <w:t xml:space="preserve"> </w:t>
            </w:r>
            <w:r w:rsidRPr="005335AD">
              <w:rPr>
                <w:sz w:val="16"/>
                <w:szCs w:val="16"/>
                <w:lang w:val="en-US"/>
              </w:rPr>
              <w:t>+ discrete (custom)</w:t>
            </w:r>
          </w:p>
        </w:tc>
        <w:tc>
          <w:tcPr>
            <w:tcW w:w="850" w:type="dxa"/>
            <w:tcBorders>
              <w:top w:val="nil"/>
              <w:left w:val="single" w:sz="4" w:space="0" w:color="auto"/>
              <w:bottom w:val="single" w:sz="4" w:space="0" w:color="auto"/>
              <w:right w:val="nil"/>
            </w:tcBorders>
            <w:shd w:val="clear" w:color="auto" w:fill="auto"/>
          </w:tcPr>
          <w:p w14:paraId="495058A3" w14:textId="77777777" w:rsidR="00A211AA" w:rsidRPr="005335AD" w:rsidRDefault="00A211AA" w:rsidP="00861F97">
            <w:pPr>
              <w:jc w:val="center"/>
              <w:rPr>
                <w:sz w:val="16"/>
                <w:szCs w:val="16"/>
                <w:lang w:val="en-US"/>
              </w:rPr>
            </w:pPr>
            <w:r w:rsidRPr="005335AD">
              <w:rPr>
                <w:sz w:val="16"/>
                <w:szCs w:val="16"/>
                <w:lang w:val="en-US"/>
              </w:rPr>
              <w:t>0.000</w:t>
            </w:r>
          </w:p>
        </w:tc>
        <w:tc>
          <w:tcPr>
            <w:tcW w:w="851" w:type="dxa"/>
            <w:tcBorders>
              <w:top w:val="nil"/>
              <w:left w:val="nil"/>
              <w:bottom w:val="single" w:sz="4" w:space="0" w:color="auto"/>
              <w:right w:val="single" w:sz="4" w:space="0" w:color="auto"/>
            </w:tcBorders>
            <w:shd w:val="clear" w:color="auto" w:fill="auto"/>
          </w:tcPr>
          <w:p w14:paraId="2A6552B0" w14:textId="77777777" w:rsidR="00A211AA" w:rsidRPr="005335AD" w:rsidRDefault="00A211AA" w:rsidP="00861F97">
            <w:pPr>
              <w:jc w:val="center"/>
              <w:rPr>
                <w:sz w:val="16"/>
                <w:szCs w:val="16"/>
                <w:lang w:val="en-US"/>
              </w:rPr>
            </w:pPr>
            <w:r w:rsidRPr="005335AD">
              <w:rPr>
                <w:sz w:val="16"/>
                <w:szCs w:val="16"/>
                <w:lang w:val="en-US"/>
              </w:rPr>
              <w:t>1.000</w:t>
            </w:r>
          </w:p>
        </w:tc>
        <w:tc>
          <w:tcPr>
            <w:tcW w:w="1417" w:type="dxa"/>
            <w:tcBorders>
              <w:top w:val="nil"/>
              <w:left w:val="single" w:sz="4" w:space="0" w:color="auto"/>
              <w:bottom w:val="single" w:sz="4" w:space="0" w:color="auto"/>
              <w:right w:val="nil"/>
            </w:tcBorders>
            <w:shd w:val="clear" w:color="auto" w:fill="auto"/>
            <w:vAlign w:val="center"/>
          </w:tcPr>
          <w:p w14:paraId="0C21EBE1" w14:textId="77777777" w:rsidR="00A211AA" w:rsidRPr="005335AD" w:rsidRDefault="00A211AA" w:rsidP="00861F97">
            <w:pPr>
              <w:rPr>
                <w:sz w:val="16"/>
                <w:szCs w:val="16"/>
                <w:lang w:val="en-US"/>
              </w:rPr>
            </w:pPr>
          </w:p>
        </w:tc>
        <w:tc>
          <w:tcPr>
            <w:tcW w:w="1418" w:type="dxa"/>
            <w:tcBorders>
              <w:top w:val="nil"/>
              <w:left w:val="nil"/>
              <w:bottom w:val="single" w:sz="4" w:space="0" w:color="auto"/>
              <w:right w:val="nil"/>
            </w:tcBorders>
            <w:vAlign w:val="center"/>
          </w:tcPr>
          <w:p w14:paraId="0C62C439" w14:textId="77777777" w:rsidR="00A211AA" w:rsidRPr="005335AD" w:rsidRDefault="00A211AA" w:rsidP="00861F97">
            <w:pPr>
              <w:rPr>
                <w:sz w:val="16"/>
                <w:szCs w:val="16"/>
                <w:lang w:val="en-US"/>
              </w:rPr>
            </w:pPr>
          </w:p>
        </w:tc>
        <w:tc>
          <w:tcPr>
            <w:tcW w:w="1270" w:type="dxa"/>
            <w:tcBorders>
              <w:top w:val="nil"/>
              <w:left w:val="nil"/>
              <w:bottom w:val="single" w:sz="4" w:space="0" w:color="auto"/>
              <w:right w:val="nil"/>
            </w:tcBorders>
            <w:shd w:val="clear" w:color="auto" w:fill="auto"/>
          </w:tcPr>
          <w:p w14:paraId="440E7C00" w14:textId="77777777" w:rsidR="00A211AA" w:rsidRPr="005335AD" w:rsidRDefault="00A211AA" w:rsidP="00861F97">
            <w:pPr>
              <w:rPr>
                <w:sz w:val="16"/>
                <w:szCs w:val="16"/>
                <w:lang w:val="en-US"/>
              </w:rPr>
            </w:pPr>
          </w:p>
        </w:tc>
      </w:tr>
      <w:tr w:rsidR="00A211AA" w:rsidRPr="005335AD" w14:paraId="5045FB12" w14:textId="77777777" w:rsidTr="00861F97">
        <w:tc>
          <w:tcPr>
            <w:tcW w:w="3261" w:type="dxa"/>
            <w:tcBorders>
              <w:top w:val="single" w:sz="4" w:space="0" w:color="auto"/>
              <w:left w:val="nil"/>
              <w:bottom w:val="nil"/>
              <w:right w:val="single" w:sz="4" w:space="0" w:color="auto"/>
            </w:tcBorders>
          </w:tcPr>
          <w:p w14:paraId="79921673" w14:textId="77777777" w:rsidR="00A211AA" w:rsidRPr="005335AD" w:rsidRDefault="00A211AA" w:rsidP="00861F97">
            <w:pPr>
              <w:rPr>
                <w:sz w:val="16"/>
                <w:szCs w:val="16"/>
                <w:lang w:val="en-US"/>
              </w:rPr>
            </w:pPr>
            <w:r w:rsidRPr="005335AD">
              <w:rPr>
                <w:i/>
                <w:iCs/>
                <w:sz w:val="16"/>
                <w:szCs w:val="16"/>
                <w:lang w:val="en-US"/>
              </w:rPr>
              <w:t>Product transformation</w:t>
            </w:r>
          </w:p>
        </w:tc>
        <w:tc>
          <w:tcPr>
            <w:tcW w:w="850" w:type="dxa"/>
            <w:tcBorders>
              <w:top w:val="single" w:sz="4" w:space="0" w:color="auto"/>
              <w:left w:val="single" w:sz="4" w:space="0" w:color="auto"/>
              <w:bottom w:val="nil"/>
              <w:right w:val="nil"/>
            </w:tcBorders>
          </w:tcPr>
          <w:p w14:paraId="74743914" w14:textId="77777777" w:rsidR="00A211AA" w:rsidRPr="005335AD" w:rsidRDefault="00A211AA" w:rsidP="00861F97">
            <w:pPr>
              <w:jc w:val="center"/>
              <w:rPr>
                <w:sz w:val="16"/>
                <w:szCs w:val="16"/>
                <w:lang w:val="en-US"/>
              </w:rPr>
            </w:pPr>
          </w:p>
        </w:tc>
        <w:tc>
          <w:tcPr>
            <w:tcW w:w="851" w:type="dxa"/>
            <w:tcBorders>
              <w:top w:val="single" w:sz="4" w:space="0" w:color="auto"/>
              <w:left w:val="nil"/>
              <w:bottom w:val="nil"/>
              <w:right w:val="single" w:sz="4" w:space="0" w:color="auto"/>
            </w:tcBorders>
          </w:tcPr>
          <w:p w14:paraId="29BEA57C" w14:textId="77777777" w:rsidR="00A211AA" w:rsidRPr="005335AD" w:rsidRDefault="00A211AA" w:rsidP="00861F97">
            <w:pPr>
              <w:jc w:val="center"/>
              <w:rPr>
                <w:sz w:val="16"/>
                <w:szCs w:val="16"/>
                <w:lang w:val="en-US"/>
              </w:rPr>
            </w:pPr>
          </w:p>
        </w:tc>
        <w:tc>
          <w:tcPr>
            <w:tcW w:w="1417" w:type="dxa"/>
            <w:tcBorders>
              <w:top w:val="single" w:sz="4" w:space="0" w:color="auto"/>
              <w:left w:val="single" w:sz="4" w:space="0" w:color="auto"/>
              <w:bottom w:val="nil"/>
              <w:right w:val="nil"/>
            </w:tcBorders>
            <w:vAlign w:val="center"/>
          </w:tcPr>
          <w:p w14:paraId="11DF4B35" w14:textId="77777777" w:rsidR="00A211AA" w:rsidRPr="005335AD" w:rsidRDefault="00A211AA" w:rsidP="00861F97">
            <w:pPr>
              <w:rPr>
                <w:sz w:val="16"/>
                <w:szCs w:val="16"/>
                <w:lang w:val="en-US"/>
              </w:rPr>
            </w:pPr>
          </w:p>
        </w:tc>
        <w:tc>
          <w:tcPr>
            <w:tcW w:w="1418" w:type="dxa"/>
            <w:tcBorders>
              <w:top w:val="single" w:sz="4" w:space="0" w:color="auto"/>
              <w:left w:val="nil"/>
              <w:bottom w:val="nil"/>
              <w:right w:val="nil"/>
            </w:tcBorders>
            <w:vAlign w:val="center"/>
          </w:tcPr>
          <w:p w14:paraId="3E54FCD5" w14:textId="77777777" w:rsidR="00A211AA" w:rsidRPr="005335AD" w:rsidRDefault="00A211AA" w:rsidP="00861F97">
            <w:pPr>
              <w:rPr>
                <w:sz w:val="16"/>
                <w:szCs w:val="16"/>
                <w:lang w:val="en-US"/>
              </w:rPr>
            </w:pPr>
          </w:p>
        </w:tc>
        <w:tc>
          <w:tcPr>
            <w:tcW w:w="1270" w:type="dxa"/>
            <w:tcBorders>
              <w:top w:val="single" w:sz="4" w:space="0" w:color="auto"/>
              <w:left w:val="nil"/>
              <w:bottom w:val="nil"/>
              <w:right w:val="nil"/>
            </w:tcBorders>
          </w:tcPr>
          <w:p w14:paraId="5D744348" w14:textId="77777777" w:rsidR="00A211AA" w:rsidRPr="005335AD" w:rsidRDefault="00A211AA" w:rsidP="00861F97">
            <w:pPr>
              <w:rPr>
                <w:sz w:val="16"/>
                <w:szCs w:val="16"/>
                <w:lang w:val="en-US"/>
              </w:rPr>
            </w:pPr>
          </w:p>
        </w:tc>
      </w:tr>
      <w:tr w:rsidR="00A211AA" w:rsidRPr="005335AD" w14:paraId="29B22240" w14:textId="77777777" w:rsidTr="00861F97">
        <w:tc>
          <w:tcPr>
            <w:tcW w:w="3261" w:type="dxa"/>
            <w:tcBorders>
              <w:top w:val="nil"/>
              <w:left w:val="nil"/>
              <w:bottom w:val="nil"/>
              <w:right w:val="single" w:sz="4" w:space="0" w:color="auto"/>
            </w:tcBorders>
            <w:shd w:val="clear" w:color="auto" w:fill="auto"/>
          </w:tcPr>
          <w:p w14:paraId="27BDBA2E" w14:textId="77777777" w:rsidR="00A211AA" w:rsidRPr="005335AD" w:rsidRDefault="00A211AA" w:rsidP="00861F97">
            <w:pPr>
              <w:ind w:left="164"/>
              <w:rPr>
                <w:sz w:val="16"/>
                <w:szCs w:val="16"/>
                <w:lang w:val="en-US"/>
              </w:rPr>
            </w:pPr>
            <w:r w:rsidRPr="005335AD">
              <w:rPr>
                <w:sz w:val="16"/>
                <w:szCs w:val="16"/>
                <w:lang w:val="en-US"/>
              </w:rPr>
              <w:t xml:space="preserve">Same function – upcycling </w:t>
            </w:r>
          </w:p>
        </w:tc>
        <w:tc>
          <w:tcPr>
            <w:tcW w:w="850" w:type="dxa"/>
            <w:tcBorders>
              <w:top w:val="nil"/>
              <w:left w:val="single" w:sz="4" w:space="0" w:color="auto"/>
              <w:bottom w:val="nil"/>
              <w:right w:val="nil"/>
            </w:tcBorders>
            <w:shd w:val="clear" w:color="auto" w:fill="auto"/>
          </w:tcPr>
          <w:p w14:paraId="349C4BFB" w14:textId="77777777" w:rsidR="00A211AA" w:rsidRPr="005335AD" w:rsidRDefault="00A211AA" w:rsidP="00861F97">
            <w:pPr>
              <w:jc w:val="center"/>
              <w:rPr>
                <w:sz w:val="16"/>
                <w:szCs w:val="16"/>
                <w:lang w:val="en-US"/>
              </w:rPr>
            </w:pPr>
            <w:r w:rsidRPr="005335AD">
              <w:rPr>
                <w:sz w:val="16"/>
                <w:szCs w:val="16"/>
                <w:lang w:val="en-US"/>
              </w:rPr>
              <w:t>0.152</w:t>
            </w:r>
          </w:p>
        </w:tc>
        <w:tc>
          <w:tcPr>
            <w:tcW w:w="851" w:type="dxa"/>
            <w:tcBorders>
              <w:top w:val="nil"/>
              <w:left w:val="nil"/>
              <w:bottom w:val="nil"/>
              <w:right w:val="single" w:sz="4" w:space="0" w:color="auto"/>
            </w:tcBorders>
            <w:shd w:val="clear" w:color="auto" w:fill="auto"/>
          </w:tcPr>
          <w:p w14:paraId="6B1BAAC8" w14:textId="77777777" w:rsidR="00A211AA" w:rsidRPr="005335AD" w:rsidRDefault="00A211AA" w:rsidP="00861F97">
            <w:pPr>
              <w:jc w:val="center"/>
              <w:rPr>
                <w:sz w:val="16"/>
                <w:szCs w:val="16"/>
                <w:lang w:val="en-US"/>
              </w:rPr>
            </w:pPr>
            <w:r w:rsidRPr="005335AD">
              <w:rPr>
                <w:sz w:val="16"/>
                <w:szCs w:val="16"/>
                <w:lang w:val="en-US"/>
              </w:rPr>
              <w:t>1.000</w:t>
            </w:r>
          </w:p>
        </w:tc>
        <w:tc>
          <w:tcPr>
            <w:tcW w:w="1417" w:type="dxa"/>
            <w:tcBorders>
              <w:top w:val="nil"/>
              <w:left w:val="single" w:sz="4" w:space="0" w:color="auto"/>
              <w:bottom w:val="nil"/>
              <w:right w:val="nil"/>
            </w:tcBorders>
            <w:shd w:val="clear" w:color="auto" w:fill="auto"/>
            <w:vAlign w:val="center"/>
          </w:tcPr>
          <w:p w14:paraId="1F73A941" w14:textId="77777777" w:rsidR="00A211AA" w:rsidRPr="005335AD" w:rsidRDefault="00A211AA" w:rsidP="00861F97">
            <w:pPr>
              <w:jc w:val="center"/>
              <w:rPr>
                <w:rFonts w:ascii="Segoe UI Emoji" w:hAnsi="Segoe UI Emoji" w:cs="Segoe UI Emoji"/>
                <w:sz w:val="16"/>
                <w:szCs w:val="16"/>
                <w:lang w:val="en-US"/>
              </w:rPr>
            </w:pPr>
            <w:r w:rsidRPr="005335AD">
              <w:rPr>
                <w:rFonts w:ascii="Segoe UI Emoji" w:hAnsi="Segoe UI Emoji" w:cs="Segoe UI Emoji"/>
                <w:sz w:val="14"/>
                <w:szCs w:val="14"/>
                <w:lang w:val="en-US"/>
              </w:rPr>
              <w:t>⚫</w:t>
            </w:r>
          </w:p>
        </w:tc>
        <w:tc>
          <w:tcPr>
            <w:tcW w:w="1418" w:type="dxa"/>
            <w:tcBorders>
              <w:top w:val="nil"/>
              <w:left w:val="nil"/>
              <w:bottom w:val="nil"/>
              <w:right w:val="nil"/>
            </w:tcBorders>
            <w:vAlign w:val="center"/>
          </w:tcPr>
          <w:p w14:paraId="3330D9FD" w14:textId="77777777" w:rsidR="00A211AA" w:rsidRPr="005335AD" w:rsidRDefault="00A211AA" w:rsidP="00861F97">
            <w:pPr>
              <w:jc w:val="center"/>
              <w:rPr>
                <w:rFonts w:ascii="Segoe UI Emoji" w:hAnsi="Segoe UI Emoji" w:cs="Segoe UI Emoji"/>
                <w:sz w:val="16"/>
                <w:szCs w:val="16"/>
                <w:lang w:val="en-US"/>
              </w:rPr>
            </w:pPr>
          </w:p>
        </w:tc>
        <w:tc>
          <w:tcPr>
            <w:tcW w:w="1270" w:type="dxa"/>
            <w:tcBorders>
              <w:top w:val="nil"/>
              <w:left w:val="nil"/>
              <w:bottom w:val="nil"/>
              <w:right w:val="nil"/>
            </w:tcBorders>
            <w:shd w:val="clear" w:color="auto" w:fill="auto"/>
          </w:tcPr>
          <w:p w14:paraId="74277B4D" w14:textId="77777777" w:rsidR="00A211AA" w:rsidRPr="005335AD" w:rsidRDefault="00A211AA" w:rsidP="00861F97">
            <w:pPr>
              <w:jc w:val="center"/>
              <w:rPr>
                <w:sz w:val="16"/>
                <w:szCs w:val="16"/>
                <w:lang w:val="en-US"/>
              </w:rPr>
            </w:pPr>
          </w:p>
        </w:tc>
      </w:tr>
      <w:tr w:rsidR="00A211AA" w:rsidRPr="005335AD" w14:paraId="530EAEA7" w14:textId="77777777" w:rsidTr="00861F97">
        <w:tc>
          <w:tcPr>
            <w:tcW w:w="3261" w:type="dxa"/>
            <w:tcBorders>
              <w:top w:val="nil"/>
              <w:left w:val="nil"/>
              <w:bottom w:val="nil"/>
              <w:right w:val="single" w:sz="4" w:space="0" w:color="auto"/>
            </w:tcBorders>
            <w:shd w:val="clear" w:color="auto" w:fill="auto"/>
          </w:tcPr>
          <w:p w14:paraId="31D8ACAB" w14:textId="77777777" w:rsidR="00A211AA" w:rsidRPr="005335AD" w:rsidRDefault="00A211AA" w:rsidP="00861F97">
            <w:pPr>
              <w:ind w:left="164"/>
              <w:rPr>
                <w:sz w:val="16"/>
                <w:szCs w:val="16"/>
                <w:lang w:val="en-US"/>
              </w:rPr>
            </w:pPr>
            <w:r w:rsidRPr="005335AD">
              <w:rPr>
                <w:sz w:val="16"/>
                <w:szCs w:val="16"/>
                <w:lang w:val="en-US"/>
              </w:rPr>
              <w:t xml:space="preserve">Same function – downcycling </w:t>
            </w:r>
          </w:p>
        </w:tc>
        <w:tc>
          <w:tcPr>
            <w:tcW w:w="850" w:type="dxa"/>
            <w:tcBorders>
              <w:top w:val="nil"/>
              <w:left w:val="single" w:sz="4" w:space="0" w:color="auto"/>
              <w:bottom w:val="nil"/>
              <w:right w:val="nil"/>
            </w:tcBorders>
            <w:shd w:val="clear" w:color="auto" w:fill="auto"/>
          </w:tcPr>
          <w:p w14:paraId="6064F788" w14:textId="77777777" w:rsidR="00A211AA" w:rsidRPr="005335AD" w:rsidRDefault="00A211AA" w:rsidP="00861F97">
            <w:pPr>
              <w:jc w:val="center"/>
              <w:rPr>
                <w:sz w:val="16"/>
                <w:szCs w:val="16"/>
                <w:lang w:val="en-US"/>
              </w:rPr>
            </w:pPr>
            <w:r w:rsidRPr="005335AD">
              <w:rPr>
                <w:sz w:val="16"/>
                <w:szCs w:val="16"/>
                <w:lang w:val="en-US"/>
              </w:rPr>
              <w:t>0.000</w:t>
            </w:r>
          </w:p>
        </w:tc>
        <w:tc>
          <w:tcPr>
            <w:tcW w:w="851" w:type="dxa"/>
            <w:tcBorders>
              <w:top w:val="nil"/>
              <w:left w:val="nil"/>
              <w:bottom w:val="nil"/>
              <w:right w:val="single" w:sz="4" w:space="0" w:color="auto"/>
            </w:tcBorders>
            <w:shd w:val="clear" w:color="auto" w:fill="auto"/>
          </w:tcPr>
          <w:p w14:paraId="1C790D53" w14:textId="77777777" w:rsidR="00A211AA" w:rsidRPr="005335AD" w:rsidRDefault="00A211AA" w:rsidP="00861F97">
            <w:pPr>
              <w:jc w:val="center"/>
              <w:rPr>
                <w:sz w:val="16"/>
                <w:szCs w:val="16"/>
                <w:lang w:val="en-US"/>
              </w:rPr>
            </w:pPr>
            <w:r w:rsidRPr="005335AD">
              <w:rPr>
                <w:sz w:val="16"/>
                <w:szCs w:val="16"/>
                <w:lang w:val="en-US"/>
              </w:rPr>
              <w:t>1.000</w:t>
            </w:r>
          </w:p>
        </w:tc>
        <w:tc>
          <w:tcPr>
            <w:tcW w:w="1417" w:type="dxa"/>
            <w:tcBorders>
              <w:top w:val="nil"/>
              <w:left w:val="single" w:sz="4" w:space="0" w:color="auto"/>
              <w:bottom w:val="nil"/>
              <w:right w:val="nil"/>
            </w:tcBorders>
            <w:shd w:val="clear" w:color="auto" w:fill="auto"/>
            <w:vAlign w:val="center"/>
          </w:tcPr>
          <w:p w14:paraId="6B00F8B9" w14:textId="77777777" w:rsidR="00A211AA" w:rsidRPr="005335AD" w:rsidRDefault="00A211AA" w:rsidP="00861F97">
            <w:pPr>
              <w:jc w:val="center"/>
              <w:rPr>
                <w:rFonts w:ascii="Segoe UI Emoji" w:hAnsi="Segoe UI Emoji" w:cs="Segoe UI Emoji"/>
                <w:sz w:val="16"/>
                <w:szCs w:val="16"/>
                <w:lang w:val="en-US"/>
              </w:rPr>
            </w:pPr>
          </w:p>
        </w:tc>
        <w:tc>
          <w:tcPr>
            <w:tcW w:w="1418" w:type="dxa"/>
            <w:tcBorders>
              <w:top w:val="nil"/>
              <w:left w:val="nil"/>
              <w:bottom w:val="nil"/>
              <w:right w:val="nil"/>
            </w:tcBorders>
            <w:vAlign w:val="center"/>
          </w:tcPr>
          <w:p w14:paraId="1F52CDAA" w14:textId="77777777" w:rsidR="00A211AA" w:rsidRPr="005335AD" w:rsidRDefault="00A211AA" w:rsidP="00861F97">
            <w:pPr>
              <w:jc w:val="center"/>
              <w:rPr>
                <w:rFonts w:ascii="Segoe UI Emoji" w:hAnsi="Segoe UI Emoji" w:cs="Segoe UI Emoji"/>
                <w:sz w:val="16"/>
                <w:szCs w:val="16"/>
                <w:lang w:val="en-US"/>
              </w:rPr>
            </w:pPr>
          </w:p>
        </w:tc>
        <w:tc>
          <w:tcPr>
            <w:tcW w:w="1270" w:type="dxa"/>
            <w:tcBorders>
              <w:top w:val="nil"/>
              <w:left w:val="nil"/>
              <w:bottom w:val="nil"/>
              <w:right w:val="nil"/>
            </w:tcBorders>
            <w:shd w:val="clear" w:color="auto" w:fill="auto"/>
          </w:tcPr>
          <w:p w14:paraId="46A8C15C" w14:textId="77777777" w:rsidR="00A211AA" w:rsidRPr="005335AD" w:rsidRDefault="00A211AA" w:rsidP="00861F97">
            <w:pPr>
              <w:jc w:val="center"/>
              <w:rPr>
                <w:sz w:val="16"/>
                <w:szCs w:val="16"/>
                <w:lang w:val="en-US"/>
              </w:rPr>
            </w:pPr>
          </w:p>
        </w:tc>
      </w:tr>
      <w:tr w:rsidR="00A211AA" w:rsidRPr="005335AD" w14:paraId="3D24E1EA" w14:textId="77777777" w:rsidTr="00861F97">
        <w:tc>
          <w:tcPr>
            <w:tcW w:w="3261" w:type="dxa"/>
            <w:tcBorders>
              <w:top w:val="nil"/>
              <w:left w:val="nil"/>
              <w:bottom w:val="nil"/>
              <w:right w:val="single" w:sz="4" w:space="0" w:color="auto"/>
            </w:tcBorders>
            <w:shd w:val="clear" w:color="auto" w:fill="auto"/>
          </w:tcPr>
          <w:p w14:paraId="754F1A66" w14:textId="77777777" w:rsidR="00A211AA" w:rsidRPr="005335AD" w:rsidRDefault="00A211AA" w:rsidP="00861F97">
            <w:pPr>
              <w:ind w:left="164"/>
              <w:rPr>
                <w:sz w:val="16"/>
                <w:szCs w:val="16"/>
                <w:lang w:val="en-US"/>
              </w:rPr>
            </w:pPr>
            <w:r w:rsidRPr="005335AD">
              <w:rPr>
                <w:sz w:val="16"/>
                <w:szCs w:val="16"/>
                <w:lang w:val="en-US"/>
              </w:rPr>
              <w:t xml:space="preserve">Different function – upcycling </w:t>
            </w:r>
          </w:p>
        </w:tc>
        <w:tc>
          <w:tcPr>
            <w:tcW w:w="850" w:type="dxa"/>
            <w:tcBorders>
              <w:top w:val="nil"/>
              <w:left w:val="single" w:sz="4" w:space="0" w:color="auto"/>
              <w:bottom w:val="nil"/>
              <w:right w:val="nil"/>
            </w:tcBorders>
            <w:shd w:val="clear" w:color="auto" w:fill="auto"/>
          </w:tcPr>
          <w:p w14:paraId="76B4C42C" w14:textId="77777777" w:rsidR="00A211AA" w:rsidRPr="005335AD" w:rsidRDefault="00A211AA" w:rsidP="00861F97">
            <w:pPr>
              <w:jc w:val="center"/>
              <w:rPr>
                <w:sz w:val="16"/>
                <w:szCs w:val="16"/>
                <w:lang w:val="en-US"/>
              </w:rPr>
            </w:pPr>
            <w:r w:rsidRPr="005335AD">
              <w:rPr>
                <w:sz w:val="16"/>
                <w:szCs w:val="16"/>
                <w:lang w:val="en-US"/>
              </w:rPr>
              <w:t>0.823</w:t>
            </w:r>
          </w:p>
        </w:tc>
        <w:tc>
          <w:tcPr>
            <w:tcW w:w="851" w:type="dxa"/>
            <w:tcBorders>
              <w:top w:val="nil"/>
              <w:left w:val="nil"/>
              <w:bottom w:val="nil"/>
              <w:right w:val="single" w:sz="4" w:space="0" w:color="auto"/>
            </w:tcBorders>
            <w:shd w:val="clear" w:color="auto" w:fill="auto"/>
          </w:tcPr>
          <w:p w14:paraId="0FD6B569" w14:textId="77777777" w:rsidR="00A211AA" w:rsidRPr="005335AD" w:rsidRDefault="00A211AA" w:rsidP="00861F97">
            <w:pPr>
              <w:jc w:val="center"/>
              <w:rPr>
                <w:sz w:val="16"/>
                <w:szCs w:val="16"/>
                <w:lang w:val="en-US"/>
              </w:rPr>
            </w:pPr>
            <w:r w:rsidRPr="005335AD">
              <w:rPr>
                <w:sz w:val="16"/>
                <w:szCs w:val="16"/>
                <w:lang w:val="en-US"/>
              </w:rPr>
              <w:t>0.484</w:t>
            </w:r>
          </w:p>
        </w:tc>
        <w:tc>
          <w:tcPr>
            <w:tcW w:w="1417" w:type="dxa"/>
            <w:tcBorders>
              <w:top w:val="nil"/>
              <w:left w:val="single" w:sz="4" w:space="0" w:color="auto"/>
              <w:bottom w:val="nil"/>
              <w:right w:val="nil"/>
            </w:tcBorders>
            <w:shd w:val="clear" w:color="auto" w:fill="auto"/>
            <w:vAlign w:val="center"/>
          </w:tcPr>
          <w:p w14:paraId="3AFA4680" w14:textId="77777777" w:rsidR="00A211AA" w:rsidRPr="005335AD" w:rsidRDefault="00A211AA" w:rsidP="00861F97">
            <w:pPr>
              <w:jc w:val="center"/>
              <w:rPr>
                <w:rFonts w:ascii="Segoe UI Emoji" w:hAnsi="Segoe UI Emoji" w:cs="Segoe UI Emoji"/>
                <w:sz w:val="16"/>
                <w:szCs w:val="16"/>
                <w:lang w:val="en-US"/>
              </w:rPr>
            </w:pPr>
            <w:r w:rsidRPr="005335AD">
              <w:rPr>
                <w:rFonts w:ascii="Cambria Math" w:hAnsi="Cambria Math" w:cs="Cambria Math"/>
                <w:color w:val="4D5156"/>
                <w:sz w:val="18"/>
                <w:szCs w:val="18"/>
                <w:shd w:val="clear" w:color="auto" w:fill="FFFFFF"/>
                <w:lang w:val="en-US"/>
              </w:rPr>
              <w:t>⊗</w:t>
            </w:r>
          </w:p>
        </w:tc>
        <w:tc>
          <w:tcPr>
            <w:tcW w:w="1418" w:type="dxa"/>
            <w:tcBorders>
              <w:top w:val="nil"/>
              <w:left w:val="nil"/>
              <w:bottom w:val="nil"/>
              <w:right w:val="nil"/>
            </w:tcBorders>
            <w:vAlign w:val="center"/>
          </w:tcPr>
          <w:p w14:paraId="2E6F6FAC" w14:textId="77777777" w:rsidR="00A211AA" w:rsidRPr="005335AD" w:rsidRDefault="00A211AA" w:rsidP="00861F97">
            <w:pPr>
              <w:jc w:val="center"/>
              <w:rPr>
                <w:rFonts w:ascii="Segoe UI Emoji" w:hAnsi="Segoe UI Emoji" w:cs="Segoe UI Emoji"/>
                <w:sz w:val="16"/>
                <w:szCs w:val="16"/>
                <w:lang w:val="en-US"/>
              </w:rPr>
            </w:pPr>
            <w:r w:rsidRPr="005335AD">
              <w:rPr>
                <w:rFonts w:ascii="Segoe UI Emoji" w:hAnsi="Segoe UI Emoji" w:cs="Segoe UI Emoji"/>
                <w:sz w:val="14"/>
                <w:szCs w:val="14"/>
                <w:lang w:val="en-US"/>
              </w:rPr>
              <w:t>⚫</w:t>
            </w:r>
          </w:p>
        </w:tc>
        <w:tc>
          <w:tcPr>
            <w:tcW w:w="1270" w:type="dxa"/>
            <w:tcBorders>
              <w:top w:val="nil"/>
              <w:left w:val="nil"/>
              <w:bottom w:val="nil"/>
              <w:right w:val="nil"/>
            </w:tcBorders>
            <w:shd w:val="clear" w:color="auto" w:fill="auto"/>
          </w:tcPr>
          <w:p w14:paraId="041BE4CB" w14:textId="77777777" w:rsidR="00A211AA" w:rsidRPr="005335AD" w:rsidRDefault="00A211AA" w:rsidP="00861F97">
            <w:pPr>
              <w:jc w:val="center"/>
              <w:rPr>
                <w:sz w:val="16"/>
                <w:szCs w:val="16"/>
                <w:lang w:val="en-US"/>
              </w:rPr>
            </w:pPr>
          </w:p>
        </w:tc>
      </w:tr>
      <w:tr w:rsidR="00A211AA" w:rsidRPr="005335AD" w14:paraId="4761AED8" w14:textId="77777777" w:rsidTr="00861F97">
        <w:tc>
          <w:tcPr>
            <w:tcW w:w="3261" w:type="dxa"/>
            <w:tcBorders>
              <w:top w:val="nil"/>
              <w:left w:val="nil"/>
              <w:bottom w:val="nil"/>
              <w:right w:val="single" w:sz="4" w:space="0" w:color="auto"/>
            </w:tcBorders>
            <w:shd w:val="clear" w:color="auto" w:fill="auto"/>
          </w:tcPr>
          <w:p w14:paraId="4AFBA141" w14:textId="77777777" w:rsidR="00A211AA" w:rsidRPr="005335AD" w:rsidRDefault="00A211AA" w:rsidP="00861F97">
            <w:pPr>
              <w:ind w:left="164"/>
              <w:rPr>
                <w:sz w:val="16"/>
                <w:szCs w:val="16"/>
                <w:lang w:val="en-US"/>
              </w:rPr>
            </w:pPr>
            <w:r w:rsidRPr="005335AD">
              <w:rPr>
                <w:sz w:val="16"/>
                <w:szCs w:val="16"/>
                <w:lang w:val="en-US"/>
              </w:rPr>
              <w:t>Different function – downcycling</w:t>
            </w:r>
          </w:p>
        </w:tc>
        <w:tc>
          <w:tcPr>
            <w:tcW w:w="850" w:type="dxa"/>
            <w:tcBorders>
              <w:top w:val="nil"/>
              <w:left w:val="single" w:sz="4" w:space="0" w:color="auto"/>
              <w:bottom w:val="nil"/>
              <w:right w:val="nil"/>
            </w:tcBorders>
            <w:shd w:val="clear" w:color="auto" w:fill="auto"/>
          </w:tcPr>
          <w:p w14:paraId="32660CE3" w14:textId="77777777" w:rsidR="00A211AA" w:rsidRPr="005335AD" w:rsidRDefault="00A211AA" w:rsidP="00861F97">
            <w:pPr>
              <w:jc w:val="center"/>
              <w:rPr>
                <w:sz w:val="16"/>
                <w:szCs w:val="16"/>
                <w:lang w:val="en-US"/>
              </w:rPr>
            </w:pPr>
            <w:r w:rsidRPr="005335AD">
              <w:rPr>
                <w:sz w:val="16"/>
                <w:szCs w:val="16"/>
                <w:lang w:val="en-US"/>
              </w:rPr>
              <w:t>0.025</w:t>
            </w:r>
          </w:p>
        </w:tc>
        <w:tc>
          <w:tcPr>
            <w:tcW w:w="851" w:type="dxa"/>
            <w:tcBorders>
              <w:top w:val="nil"/>
              <w:left w:val="nil"/>
              <w:bottom w:val="nil"/>
              <w:right w:val="single" w:sz="4" w:space="0" w:color="auto"/>
            </w:tcBorders>
            <w:shd w:val="clear" w:color="auto" w:fill="auto"/>
          </w:tcPr>
          <w:p w14:paraId="100924E1" w14:textId="77777777" w:rsidR="00A211AA" w:rsidRPr="005335AD" w:rsidRDefault="00A211AA" w:rsidP="00861F97">
            <w:pPr>
              <w:jc w:val="center"/>
              <w:rPr>
                <w:sz w:val="16"/>
                <w:szCs w:val="16"/>
                <w:lang w:val="en-US"/>
              </w:rPr>
            </w:pPr>
            <w:r w:rsidRPr="005335AD">
              <w:rPr>
                <w:sz w:val="16"/>
                <w:szCs w:val="16"/>
                <w:lang w:val="en-US"/>
              </w:rPr>
              <w:t>0.989</w:t>
            </w:r>
          </w:p>
        </w:tc>
        <w:tc>
          <w:tcPr>
            <w:tcW w:w="1417" w:type="dxa"/>
            <w:tcBorders>
              <w:top w:val="nil"/>
              <w:left w:val="single" w:sz="4" w:space="0" w:color="auto"/>
              <w:bottom w:val="nil"/>
              <w:right w:val="nil"/>
            </w:tcBorders>
            <w:shd w:val="clear" w:color="auto" w:fill="auto"/>
            <w:vAlign w:val="center"/>
          </w:tcPr>
          <w:p w14:paraId="49D878FF" w14:textId="77777777" w:rsidR="00A211AA" w:rsidRPr="005335AD" w:rsidRDefault="00A211AA" w:rsidP="00861F97">
            <w:pPr>
              <w:jc w:val="center"/>
              <w:rPr>
                <w:rFonts w:ascii="Segoe UI Emoji" w:hAnsi="Segoe UI Emoji" w:cs="Segoe UI Emoji"/>
                <w:sz w:val="16"/>
                <w:szCs w:val="16"/>
                <w:lang w:val="en-US"/>
              </w:rPr>
            </w:pPr>
            <w:r w:rsidRPr="005335AD">
              <w:rPr>
                <w:rFonts w:ascii="Cambria Math" w:hAnsi="Cambria Math" w:cs="Cambria Math"/>
                <w:color w:val="4D5156"/>
                <w:sz w:val="18"/>
                <w:szCs w:val="18"/>
                <w:shd w:val="clear" w:color="auto" w:fill="FFFFFF"/>
                <w:lang w:val="en-US"/>
              </w:rPr>
              <w:t>⊗</w:t>
            </w:r>
          </w:p>
        </w:tc>
        <w:tc>
          <w:tcPr>
            <w:tcW w:w="1418" w:type="dxa"/>
            <w:tcBorders>
              <w:top w:val="nil"/>
              <w:left w:val="nil"/>
              <w:bottom w:val="single" w:sz="4" w:space="0" w:color="auto"/>
              <w:right w:val="nil"/>
            </w:tcBorders>
            <w:vAlign w:val="center"/>
          </w:tcPr>
          <w:p w14:paraId="10A69D64" w14:textId="77777777" w:rsidR="00A211AA" w:rsidRPr="005335AD" w:rsidRDefault="00A211AA" w:rsidP="00861F97">
            <w:pPr>
              <w:jc w:val="center"/>
              <w:rPr>
                <w:rFonts w:ascii="Segoe UI Emoji" w:hAnsi="Segoe UI Emoji" w:cs="Segoe UI Emoji"/>
                <w:sz w:val="16"/>
                <w:szCs w:val="16"/>
                <w:lang w:val="en-US"/>
              </w:rPr>
            </w:pPr>
            <w:r w:rsidRPr="005335AD">
              <w:rPr>
                <w:rFonts w:ascii="Cambria Math" w:hAnsi="Cambria Math" w:cs="Cambria Math"/>
                <w:color w:val="4D5156"/>
                <w:sz w:val="12"/>
                <w:szCs w:val="12"/>
                <w:shd w:val="clear" w:color="auto" w:fill="FFFFFF"/>
                <w:lang w:val="en-US"/>
              </w:rPr>
              <w:t>⊗</w:t>
            </w:r>
          </w:p>
        </w:tc>
        <w:tc>
          <w:tcPr>
            <w:tcW w:w="1270" w:type="dxa"/>
            <w:tcBorders>
              <w:top w:val="nil"/>
              <w:left w:val="nil"/>
              <w:bottom w:val="nil"/>
              <w:right w:val="nil"/>
            </w:tcBorders>
            <w:shd w:val="clear" w:color="auto" w:fill="auto"/>
          </w:tcPr>
          <w:p w14:paraId="62F0B521" w14:textId="77777777" w:rsidR="00A211AA" w:rsidRPr="005335AD" w:rsidRDefault="00A211AA" w:rsidP="00861F97">
            <w:pPr>
              <w:jc w:val="center"/>
              <w:rPr>
                <w:sz w:val="16"/>
                <w:szCs w:val="16"/>
                <w:lang w:val="en-US"/>
              </w:rPr>
            </w:pPr>
            <w:r w:rsidRPr="005335AD">
              <w:rPr>
                <w:rFonts w:ascii="Cambria Math" w:hAnsi="Cambria Math" w:cs="Cambria Math"/>
                <w:color w:val="4D5156"/>
                <w:sz w:val="18"/>
                <w:szCs w:val="18"/>
                <w:shd w:val="clear" w:color="auto" w:fill="FFFFFF"/>
                <w:lang w:val="en-US"/>
              </w:rPr>
              <w:t>⊗</w:t>
            </w:r>
          </w:p>
        </w:tc>
      </w:tr>
      <w:tr w:rsidR="00A211AA" w:rsidRPr="005335AD" w14:paraId="4B32D1E3" w14:textId="77777777" w:rsidTr="00861F97">
        <w:tc>
          <w:tcPr>
            <w:tcW w:w="3261" w:type="dxa"/>
            <w:tcBorders>
              <w:top w:val="single" w:sz="4" w:space="0" w:color="auto"/>
              <w:left w:val="nil"/>
              <w:bottom w:val="nil"/>
              <w:right w:val="nil"/>
            </w:tcBorders>
          </w:tcPr>
          <w:p w14:paraId="097D77FA" w14:textId="77777777" w:rsidR="00A211AA" w:rsidRPr="005335AD" w:rsidRDefault="00A211AA" w:rsidP="00861F97">
            <w:pPr>
              <w:rPr>
                <w:sz w:val="16"/>
                <w:szCs w:val="16"/>
                <w:lang w:val="en-US"/>
              </w:rPr>
            </w:pPr>
            <w:r w:rsidRPr="005335AD">
              <w:rPr>
                <w:sz w:val="16"/>
                <w:szCs w:val="16"/>
                <w:lang w:val="en-US"/>
              </w:rPr>
              <w:t>Consistency*</w:t>
            </w:r>
          </w:p>
        </w:tc>
        <w:tc>
          <w:tcPr>
            <w:tcW w:w="850" w:type="dxa"/>
            <w:tcBorders>
              <w:top w:val="single" w:sz="4" w:space="0" w:color="auto"/>
              <w:left w:val="nil"/>
              <w:bottom w:val="nil"/>
              <w:right w:val="nil"/>
            </w:tcBorders>
          </w:tcPr>
          <w:p w14:paraId="2D706DB1" w14:textId="77777777" w:rsidR="00A211AA" w:rsidRPr="005335AD" w:rsidRDefault="00A211AA" w:rsidP="00861F97">
            <w:pPr>
              <w:jc w:val="center"/>
              <w:rPr>
                <w:sz w:val="16"/>
                <w:szCs w:val="16"/>
                <w:lang w:val="en-US"/>
              </w:rPr>
            </w:pPr>
          </w:p>
        </w:tc>
        <w:tc>
          <w:tcPr>
            <w:tcW w:w="851" w:type="dxa"/>
            <w:tcBorders>
              <w:top w:val="single" w:sz="4" w:space="0" w:color="auto"/>
              <w:left w:val="nil"/>
              <w:bottom w:val="nil"/>
              <w:right w:val="nil"/>
            </w:tcBorders>
          </w:tcPr>
          <w:p w14:paraId="4D2CD7CC" w14:textId="77777777" w:rsidR="00A211AA" w:rsidRPr="005335AD" w:rsidRDefault="00A211AA" w:rsidP="00861F97">
            <w:pPr>
              <w:jc w:val="center"/>
              <w:rPr>
                <w:sz w:val="16"/>
                <w:szCs w:val="16"/>
                <w:lang w:val="en-US"/>
              </w:rPr>
            </w:pPr>
          </w:p>
        </w:tc>
        <w:tc>
          <w:tcPr>
            <w:tcW w:w="1417" w:type="dxa"/>
            <w:tcBorders>
              <w:top w:val="single" w:sz="4" w:space="0" w:color="auto"/>
              <w:left w:val="nil"/>
              <w:bottom w:val="nil"/>
              <w:right w:val="nil"/>
            </w:tcBorders>
          </w:tcPr>
          <w:p w14:paraId="4C5F854D" w14:textId="77777777" w:rsidR="00A211AA" w:rsidRPr="005335AD" w:rsidRDefault="00A211AA" w:rsidP="00861F97">
            <w:pPr>
              <w:jc w:val="center"/>
              <w:rPr>
                <w:sz w:val="16"/>
                <w:szCs w:val="16"/>
                <w:lang w:val="en-US"/>
              </w:rPr>
            </w:pPr>
            <w:r w:rsidRPr="005335AD">
              <w:rPr>
                <w:sz w:val="16"/>
                <w:szCs w:val="16"/>
                <w:lang w:val="en-US"/>
              </w:rPr>
              <w:t>0.127</w:t>
            </w:r>
          </w:p>
        </w:tc>
        <w:tc>
          <w:tcPr>
            <w:tcW w:w="1418" w:type="dxa"/>
            <w:tcBorders>
              <w:top w:val="single" w:sz="4" w:space="0" w:color="auto"/>
              <w:left w:val="nil"/>
              <w:bottom w:val="nil"/>
              <w:right w:val="nil"/>
            </w:tcBorders>
          </w:tcPr>
          <w:p w14:paraId="0789ACCC" w14:textId="77777777" w:rsidR="00A211AA" w:rsidRPr="005335AD" w:rsidRDefault="00A211AA" w:rsidP="00861F97">
            <w:pPr>
              <w:jc w:val="center"/>
              <w:rPr>
                <w:sz w:val="16"/>
                <w:szCs w:val="16"/>
                <w:lang w:val="en-US"/>
              </w:rPr>
            </w:pPr>
            <w:r w:rsidRPr="005335AD">
              <w:rPr>
                <w:sz w:val="16"/>
                <w:szCs w:val="16"/>
                <w:lang w:val="en-US"/>
              </w:rPr>
              <w:t>0.190</w:t>
            </w:r>
          </w:p>
        </w:tc>
        <w:tc>
          <w:tcPr>
            <w:tcW w:w="1270" w:type="dxa"/>
            <w:tcBorders>
              <w:top w:val="single" w:sz="4" w:space="0" w:color="auto"/>
              <w:left w:val="nil"/>
              <w:bottom w:val="nil"/>
              <w:right w:val="nil"/>
            </w:tcBorders>
          </w:tcPr>
          <w:p w14:paraId="47B6CF12" w14:textId="77777777" w:rsidR="00A211AA" w:rsidRPr="005335AD" w:rsidRDefault="00A211AA" w:rsidP="00861F97">
            <w:pPr>
              <w:jc w:val="center"/>
              <w:rPr>
                <w:sz w:val="16"/>
                <w:szCs w:val="16"/>
                <w:lang w:val="en-US"/>
              </w:rPr>
            </w:pPr>
            <w:r w:rsidRPr="005335AD">
              <w:rPr>
                <w:sz w:val="16"/>
                <w:szCs w:val="16"/>
                <w:lang w:val="en-US"/>
              </w:rPr>
              <w:t>0.532</w:t>
            </w:r>
          </w:p>
        </w:tc>
      </w:tr>
      <w:tr w:rsidR="00A211AA" w:rsidRPr="005335AD" w14:paraId="4F7DCBA4" w14:textId="77777777" w:rsidTr="00861F97">
        <w:tc>
          <w:tcPr>
            <w:tcW w:w="4962" w:type="dxa"/>
            <w:gridSpan w:val="3"/>
            <w:tcBorders>
              <w:top w:val="nil"/>
              <w:left w:val="nil"/>
              <w:bottom w:val="nil"/>
              <w:right w:val="nil"/>
            </w:tcBorders>
          </w:tcPr>
          <w:p w14:paraId="77AABDF7" w14:textId="77777777" w:rsidR="00A211AA" w:rsidRPr="005335AD" w:rsidRDefault="00A211AA" w:rsidP="00861F97">
            <w:pPr>
              <w:rPr>
                <w:sz w:val="16"/>
                <w:szCs w:val="16"/>
                <w:lang w:val="en-US"/>
              </w:rPr>
            </w:pPr>
            <w:r w:rsidRPr="005335AD">
              <w:rPr>
                <w:sz w:val="16"/>
                <w:szCs w:val="16"/>
                <w:lang w:val="en-US"/>
              </w:rPr>
              <w:t>Coverage**</w:t>
            </w:r>
          </w:p>
        </w:tc>
        <w:tc>
          <w:tcPr>
            <w:tcW w:w="1417" w:type="dxa"/>
            <w:tcBorders>
              <w:top w:val="nil"/>
              <w:left w:val="nil"/>
              <w:bottom w:val="single" w:sz="4" w:space="0" w:color="auto"/>
              <w:right w:val="nil"/>
            </w:tcBorders>
          </w:tcPr>
          <w:p w14:paraId="6C469807" w14:textId="77777777" w:rsidR="00A211AA" w:rsidRPr="005335AD" w:rsidRDefault="00A211AA" w:rsidP="00861F97">
            <w:pPr>
              <w:jc w:val="center"/>
              <w:rPr>
                <w:sz w:val="16"/>
                <w:szCs w:val="16"/>
                <w:lang w:val="en-US"/>
              </w:rPr>
            </w:pPr>
            <w:r w:rsidRPr="005335AD">
              <w:rPr>
                <w:sz w:val="16"/>
                <w:szCs w:val="16"/>
                <w:lang w:val="en-US"/>
              </w:rPr>
              <w:t>1.000</w:t>
            </w:r>
          </w:p>
        </w:tc>
        <w:tc>
          <w:tcPr>
            <w:tcW w:w="1418" w:type="dxa"/>
            <w:tcBorders>
              <w:top w:val="nil"/>
              <w:left w:val="nil"/>
              <w:bottom w:val="single" w:sz="4" w:space="0" w:color="auto"/>
              <w:right w:val="nil"/>
            </w:tcBorders>
          </w:tcPr>
          <w:p w14:paraId="6B432293" w14:textId="77777777" w:rsidR="00A211AA" w:rsidRPr="005335AD" w:rsidRDefault="00A211AA" w:rsidP="00861F97">
            <w:pPr>
              <w:jc w:val="center"/>
              <w:rPr>
                <w:sz w:val="16"/>
                <w:szCs w:val="16"/>
                <w:lang w:val="en-US"/>
              </w:rPr>
            </w:pPr>
            <w:r w:rsidRPr="005335AD">
              <w:rPr>
                <w:sz w:val="16"/>
                <w:szCs w:val="16"/>
                <w:lang w:val="en-US"/>
              </w:rPr>
              <w:t>1.000</w:t>
            </w:r>
          </w:p>
        </w:tc>
        <w:tc>
          <w:tcPr>
            <w:tcW w:w="1270" w:type="dxa"/>
            <w:tcBorders>
              <w:top w:val="nil"/>
              <w:left w:val="nil"/>
              <w:bottom w:val="single" w:sz="4" w:space="0" w:color="auto"/>
              <w:right w:val="nil"/>
            </w:tcBorders>
          </w:tcPr>
          <w:p w14:paraId="0992601C" w14:textId="77777777" w:rsidR="00A211AA" w:rsidRPr="005335AD" w:rsidRDefault="00A211AA" w:rsidP="00861F97">
            <w:pPr>
              <w:jc w:val="center"/>
              <w:rPr>
                <w:sz w:val="16"/>
                <w:szCs w:val="16"/>
                <w:lang w:val="en-US"/>
              </w:rPr>
            </w:pPr>
            <w:r w:rsidRPr="005335AD">
              <w:rPr>
                <w:sz w:val="16"/>
                <w:szCs w:val="16"/>
                <w:lang w:val="en-US"/>
              </w:rPr>
              <w:t>0.875</w:t>
            </w:r>
          </w:p>
        </w:tc>
      </w:tr>
      <w:tr w:rsidR="00A211AA" w:rsidRPr="005335AD" w14:paraId="4A8BC2BE" w14:textId="77777777" w:rsidTr="00861F97">
        <w:tc>
          <w:tcPr>
            <w:tcW w:w="4111" w:type="dxa"/>
            <w:gridSpan w:val="2"/>
            <w:tcBorders>
              <w:top w:val="nil"/>
              <w:left w:val="nil"/>
              <w:bottom w:val="nil"/>
              <w:right w:val="nil"/>
            </w:tcBorders>
          </w:tcPr>
          <w:p w14:paraId="27FA38A2" w14:textId="77777777" w:rsidR="00A211AA" w:rsidRPr="005335AD" w:rsidRDefault="00A211AA" w:rsidP="00861F97">
            <w:pPr>
              <w:rPr>
                <w:sz w:val="16"/>
                <w:szCs w:val="16"/>
                <w:lang w:val="en-US"/>
              </w:rPr>
            </w:pPr>
            <w:r w:rsidRPr="005335AD">
              <w:rPr>
                <w:sz w:val="16"/>
                <w:szCs w:val="16"/>
                <w:lang w:val="en-US"/>
              </w:rPr>
              <w:t>Overall solution consistency</w:t>
            </w:r>
          </w:p>
        </w:tc>
        <w:tc>
          <w:tcPr>
            <w:tcW w:w="851" w:type="dxa"/>
            <w:tcBorders>
              <w:top w:val="nil"/>
              <w:left w:val="nil"/>
              <w:bottom w:val="nil"/>
              <w:right w:val="nil"/>
            </w:tcBorders>
          </w:tcPr>
          <w:p w14:paraId="455B6176" w14:textId="77777777" w:rsidR="00A211AA" w:rsidRPr="005335AD" w:rsidRDefault="00A211AA" w:rsidP="00861F97">
            <w:pPr>
              <w:jc w:val="center"/>
              <w:rPr>
                <w:sz w:val="16"/>
                <w:szCs w:val="16"/>
                <w:lang w:val="en-US"/>
              </w:rPr>
            </w:pPr>
          </w:p>
        </w:tc>
        <w:tc>
          <w:tcPr>
            <w:tcW w:w="4105" w:type="dxa"/>
            <w:gridSpan w:val="3"/>
            <w:tcBorders>
              <w:top w:val="nil"/>
              <w:left w:val="nil"/>
              <w:bottom w:val="nil"/>
              <w:right w:val="nil"/>
            </w:tcBorders>
          </w:tcPr>
          <w:p w14:paraId="5DB6D810" w14:textId="77777777" w:rsidR="00A211AA" w:rsidRPr="005335AD" w:rsidRDefault="00A211AA" w:rsidP="00861F97">
            <w:pPr>
              <w:jc w:val="center"/>
              <w:rPr>
                <w:sz w:val="16"/>
                <w:szCs w:val="16"/>
                <w:lang w:val="en-US"/>
              </w:rPr>
            </w:pPr>
            <w:r w:rsidRPr="005335AD">
              <w:rPr>
                <w:sz w:val="16"/>
                <w:szCs w:val="16"/>
                <w:lang w:val="en-US"/>
              </w:rPr>
              <w:t>0.848</w:t>
            </w:r>
          </w:p>
        </w:tc>
      </w:tr>
      <w:tr w:rsidR="00A211AA" w:rsidRPr="005335AD" w14:paraId="7F7AB6A7" w14:textId="77777777" w:rsidTr="00861F97">
        <w:tc>
          <w:tcPr>
            <w:tcW w:w="3261" w:type="dxa"/>
            <w:tcBorders>
              <w:top w:val="nil"/>
              <w:left w:val="nil"/>
              <w:bottom w:val="single" w:sz="4" w:space="0" w:color="auto"/>
              <w:right w:val="nil"/>
            </w:tcBorders>
          </w:tcPr>
          <w:p w14:paraId="6EBAC032" w14:textId="77777777" w:rsidR="00A211AA" w:rsidRPr="005335AD" w:rsidRDefault="00A211AA" w:rsidP="00861F97">
            <w:pPr>
              <w:rPr>
                <w:sz w:val="16"/>
                <w:szCs w:val="16"/>
                <w:lang w:val="en-US"/>
              </w:rPr>
            </w:pPr>
            <w:r w:rsidRPr="005335AD">
              <w:rPr>
                <w:sz w:val="16"/>
                <w:szCs w:val="16"/>
                <w:lang w:val="en-US"/>
              </w:rPr>
              <w:t>Overall solution coverage</w:t>
            </w:r>
          </w:p>
        </w:tc>
        <w:tc>
          <w:tcPr>
            <w:tcW w:w="850" w:type="dxa"/>
            <w:tcBorders>
              <w:top w:val="nil"/>
              <w:left w:val="nil"/>
              <w:bottom w:val="single" w:sz="4" w:space="0" w:color="auto"/>
              <w:right w:val="nil"/>
            </w:tcBorders>
          </w:tcPr>
          <w:p w14:paraId="0D6C41D1" w14:textId="77777777" w:rsidR="00A211AA" w:rsidRPr="005335AD" w:rsidRDefault="00A211AA" w:rsidP="00861F97">
            <w:pPr>
              <w:jc w:val="center"/>
              <w:rPr>
                <w:b/>
                <w:bCs/>
                <w:sz w:val="16"/>
                <w:szCs w:val="16"/>
                <w:lang w:val="en-US"/>
              </w:rPr>
            </w:pPr>
          </w:p>
        </w:tc>
        <w:tc>
          <w:tcPr>
            <w:tcW w:w="851" w:type="dxa"/>
            <w:tcBorders>
              <w:top w:val="nil"/>
              <w:left w:val="nil"/>
              <w:bottom w:val="nil"/>
              <w:right w:val="nil"/>
            </w:tcBorders>
          </w:tcPr>
          <w:p w14:paraId="0D25A7F3" w14:textId="77777777" w:rsidR="00A211AA" w:rsidRPr="005335AD" w:rsidRDefault="00A211AA" w:rsidP="00861F97">
            <w:pPr>
              <w:jc w:val="center"/>
              <w:rPr>
                <w:sz w:val="16"/>
                <w:szCs w:val="16"/>
                <w:lang w:val="en-US"/>
              </w:rPr>
            </w:pPr>
          </w:p>
        </w:tc>
        <w:tc>
          <w:tcPr>
            <w:tcW w:w="4105" w:type="dxa"/>
            <w:gridSpan w:val="3"/>
            <w:tcBorders>
              <w:top w:val="nil"/>
              <w:left w:val="nil"/>
              <w:bottom w:val="nil"/>
              <w:right w:val="nil"/>
            </w:tcBorders>
          </w:tcPr>
          <w:p w14:paraId="78A8D184" w14:textId="77777777" w:rsidR="00A211AA" w:rsidRPr="005335AD" w:rsidRDefault="00A211AA" w:rsidP="00861F97">
            <w:pPr>
              <w:jc w:val="center"/>
              <w:rPr>
                <w:sz w:val="16"/>
                <w:szCs w:val="16"/>
                <w:lang w:val="en-US"/>
              </w:rPr>
            </w:pPr>
            <w:r w:rsidRPr="005335AD">
              <w:rPr>
                <w:sz w:val="16"/>
                <w:szCs w:val="16"/>
                <w:lang w:val="en-US"/>
              </w:rPr>
              <w:t>0.793</w:t>
            </w:r>
          </w:p>
        </w:tc>
      </w:tr>
      <w:tr w:rsidR="00A211AA" w:rsidRPr="00AF682F" w14:paraId="0188D9D5" w14:textId="77777777" w:rsidTr="00861F97">
        <w:tc>
          <w:tcPr>
            <w:tcW w:w="9067" w:type="dxa"/>
            <w:gridSpan w:val="6"/>
            <w:tcBorders>
              <w:top w:val="single" w:sz="4" w:space="0" w:color="auto"/>
              <w:left w:val="nil"/>
              <w:bottom w:val="single" w:sz="4" w:space="0" w:color="auto"/>
              <w:right w:val="nil"/>
            </w:tcBorders>
          </w:tcPr>
          <w:p w14:paraId="21BE0EB2" w14:textId="77777777" w:rsidR="00A211AA" w:rsidRPr="005335AD" w:rsidRDefault="00A211AA" w:rsidP="00861F97">
            <w:pPr>
              <w:jc w:val="both"/>
              <w:rPr>
                <w:sz w:val="16"/>
                <w:szCs w:val="16"/>
                <w:lang w:val="en-US"/>
              </w:rPr>
            </w:pPr>
            <w:r w:rsidRPr="005335AD">
              <w:rPr>
                <w:sz w:val="16"/>
                <w:szCs w:val="16"/>
                <w:lang w:val="en-US"/>
              </w:rPr>
              <w:t>* The consistency score reflects the successful start-ups in the configuration in proportion to the total number of successful start-ups.</w:t>
            </w:r>
          </w:p>
          <w:p w14:paraId="1346770B" w14:textId="77777777" w:rsidR="00A211AA" w:rsidRPr="005335AD" w:rsidRDefault="00A211AA" w:rsidP="00861F97">
            <w:pPr>
              <w:jc w:val="both"/>
              <w:rPr>
                <w:sz w:val="16"/>
                <w:szCs w:val="16"/>
                <w:lang w:val="en-US"/>
              </w:rPr>
            </w:pPr>
            <w:r w:rsidRPr="005335AD">
              <w:rPr>
                <w:sz w:val="16"/>
                <w:szCs w:val="16"/>
                <w:lang w:val="en-US"/>
              </w:rPr>
              <w:t>** The coverage score indicates the proportion of successful start-ups in the configuration.</w:t>
            </w:r>
          </w:p>
          <w:p w14:paraId="11519334" w14:textId="77777777" w:rsidR="00A211AA" w:rsidRPr="005335AD" w:rsidRDefault="00A211AA" w:rsidP="00861F97">
            <w:pPr>
              <w:jc w:val="both"/>
              <w:rPr>
                <w:sz w:val="16"/>
                <w:szCs w:val="16"/>
                <w:lang w:val="en-US"/>
              </w:rPr>
            </w:pPr>
            <w:r w:rsidRPr="005335AD">
              <w:rPr>
                <w:b/>
                <w:bCs/>
                <w:sz w:val="16"/>
                <w:szCs w:val="16"/>
                <w:lang w:val="en-US"/>
              </w:rPr>
              <w:t>Legend</w:t>
            </w:r>
            <w:r w:rsidRPr="005335AD">
              <w:rPr>
                <w:sz w:val="16"/>
                <w:szCs w:val="16"/>
                <w:lang w:val="en-US"/>
              </w:rPr>
              <w:t xml:space="preserve">: </w:t>
            </w:r>
            <w:r w:rsidRPr="005335AD">
              <w:rPr>
                <w:rFonts w:ascii="Segoe UI Emoji" w:hAnsi="Segoe UI Emoji" w:cs="Segoe UI Emoji"/>
                <w:sz w:val="14"/>
                <w:szCs w:val="14"/>
                <w:lang w:val="en-US"/>
              </w:rPr>
              <w:t>⚫</w:t>
            </w:r>
            <w:r w:rsidRPr="005335AD">
              <w:rPr>
                <w:rFonts w:ascii="Segoe UI Emoji" w:hAnsi="Segoe UI Emoji" w:cs="Segoe UI Emoji"/>
                <w:sz w:val="16"/>
                <w:szCs w:val="16"/>
                <w:lang w:val="en-US"/>
              </w:rPr>
              <w:t xml:space="preserve"> = </w:t>
            </w:r>
            <w:r w:rsidRPr="005335AD">
              <w:rPr>
                <w:sz w:val="16"/>
                <w:szCs w:val="16"/>
                <w:lang w:val="en-US"/>
              </w:rPr>
              <w:t xml:space="preserve">presence of a core condition; </w:t>
            </w:r>
            <w:r w:rsidRPr="005335AD">
              <w:rPr>
                <w:rFonts w:ascii="Cambria Math" w:hAnsi="Cambria Math" w:cs="Cambria Math"/>
                <w:color w:val="4D5156"/>
                <w:sz w:val="18"/>
                <w:szCs w:val="18"/>
                <w:shd w:val="clear" w:color="auto" w:fill="FFFFFF"/>
                <w:lang w:val="en-US"/>
              </w:rPr>
              <w:t>⊗</w:t>
            </w:r>
            <w:r w:rsidRPr="005335AD">
              <w:rPr>
                <w:rFonts w:ascii="Cambria Math" w:hAnsi="Cambria Math" w:cs="Cambria Math"/>
                <w:color w:val="4D5156"/>
                <w:sz w:val="16"/>
                <w:szCs w:val="16"/>
                <w:shd w:val="clear" w:color="auto" w:fill="FFFFFF"/>
                <w:lang w:val="en-US"/>
              </w:rPr>
              <w:t xml:space="preserve"> </w:t>
            </w:r>
            <w:r w:rsidRPr="005335AD">
              <w:rPr>
                <w:sz w:val="16"/>
                <w:szCs w:val="16"/>
                <w:lang w:val="en-US"/>
              </w:rPr>
              <w:t xml:space="preserve">= absence of a core condition; </w:t>
            </w:r>
            <w:r w:rsidRPr="005335AD">
              <w:rPr>
                <w:rFonts w:ascii="Segoe UI Emoji" w:hAnsi="Segoe UI Emoji" w:cs="Segoe UI Emoji"/>
                <w:sz w:val="8"/>
                <w:szCs w:val="8"/>
                <w:lang w:val="en-US"/>
              </w:rPr>
              <w:t>⚫</w:t>
            </w:r>
            <w:r w:rsidRPr="005335AD">
              <w:rPr>
                <w:rFonts w:ascii="Segoe UI Emoji" w:hAnsi="Segoe UI Emoji" w:cs="Segoe UI Emoji"/>
                <w:sz w:val="16"/>
                <w:szCs w:val="16"/>
                <w:lang w:val="en-US"/>
              </w:rPr>
              <w:t xml:space="preserve"> = </w:t>
            </w:r>
            <w:r w:rsidRPr="005335AD">
              <w:rPr>
                <w:sz w:val="16"/>
                <w:szCs w:val="16"/>
                <w:lang w:val="en-US"/>
              </w:rPr>
              <w:t xml:space="preserve">presence of a peripheral condition; </w:t>
            </w:r>
            <w:r w:rsidRPr="005335AD">
              <w:rPr>
                <w:rFonts w:ascii="Cambria Math" w:hAnsi="Cambria Math" w:cs="Cambria Math"/>
                <w:color w:val="4D5156"/>
                <w:sz w:val="12"/>
                <w:szCs w:val="12"/>
                <w:shd w:val="clear" w:color="auto" w:fill="FFFFFF"/>
                <w:lang w:val="en-US"/>
              </w:rPr>
              <w:t>⊗</w:t>
            </w:r>
            <w:r w:rsidRPr="005335AD">
              <w:rPr>
                <w:rFonts w:ascii="Cambria Math" w:hAnsi="Cambria Math" w:cs="Cambria Math"/>
                <w:color w:val="4D5156"/>
                <w:sz w:val="16"/>
                <w:szCs w:val="16"/>
                <w:shd w:val="clear" w:color="auto" w:fill="FFFFFF"/>
                <w:lang w:val="en-US"/>
              </w:rPr>
              <w:t xml:space="preserve"> </w:t>
            </w:r>
            <w:r w:rsidRPr="005335AD">
              <w:rPr>
                <w:sz w:val="16"/>
                <w:szCs w:val="16"/>
                <w:lang w:val="en-US"/>
              </w:rPr>
              <w:t>= absence of a core condition; blank = ‘don’t care’.</w:t>
            </w:r>
          </w:p>
        </w:tc>
      </w:tr>
    </w:tbl>
    <w:p w14:paraId="7A196CBC" w14:textId="1A647B80" w:rsidR="00A211AA" w:rsidRPr="007C12DD" w:rsidRDefault="00A211AA" w:rsidP="00A211AA">
      <w:pPr>
        <w:spacing w:after="0"/>
        <w:jc w:val="center"/>
        <w:rPr>
          <w:i/>
          <w:iCs/>
          <w:lang w:val="en-US"/>
        </w:rPr>
      </w:pPr>
      <w:r w:rsidRPr="007C12DD">
        <w:rPr>
          <w:b/>
          <w:bCs/>
          <w:i/>
          <w:iCs/>
          <w:lang w:val="en-US"/>
        </w:rPr>
        <w:t>Table 3.</w:t>
      </w:r>
      <w:r w:rsidRPr="007C12DD">
        <w:rPr>
          <w:i/>
          <w:iCs/>
          <w:lang w:val="en-US"/>
        </w:rPr>
        <w:t xml:space="preserve"> Manufacturing configurations enabling </w:t>
      </w:r>
      <w:proofErr w:type="gramStart"/>
      <w:r w:rsidRPr="007C12DD">
        <w:rPr>
          <w:i/>
          <w:iCs/>
          <w:lang w:val="en-US"/>
        </w:rPr>
        <w:t>success</w:t>
      </w:r>
      <w:proofErr w:type="gramEnd"/>
    </w:p>
    <w:p w14:paraId="2E5610C8" w14:textId="77777777" w:rsidR="007079E2" w:rsidRPr="007C12DD" w:rsidRDefault="007079E2">
      <w:pPr>
        <w:rPr>
          <w:lang w:val="en-US"/>
        </w:rPr>
      </w:pPr>
    </w:p>
    <w:p w14:paraId="57A4D2D7" w14:textId="574AB887" w:rsidR="00C75BD9" w:rsidRPr="00161533" w:rsidRDefault="007079E2" w:rsidP="007079E2">
      <w:pPr>
        <w:jc w:val="both"/>
        <w:rPr>
          <w:lang w:val="en-US"/>
        </w:rPr>
      </w:pPr>
      <w:r w:rsidRPr="00161533">
        <w:rPr>
          <w:lang w:val="en-US"/>
        </w:rPr>
        <w:t xml:space="preserve">Table </w:t>
      </w:r>
      <w:r w:rsidR="00386472" w:rsidRPr="00161533">
        <w:rPr>
          <w:lang w:val="en-US"/>
        </w:rPr>
        <w:t>4</w:t>
      </w:r>
      <w:r w:rsidRPr="00161533">
        <w:rPr>
          <w:lang w:val="en-US"/>
        </w:rPr>
        <w:t xml:space="preserve"> provides </w:t>
      </w:r>
      <w:r w:rsidR="000A6205" w:rsidRPr="00161533">
        <w:rPr>
          <w:lang w:val="en-US"/>
        </w:rPr>
        <w:t xml:space="preserve">the </w:t>
      </w:r>
      <w:r w:rsidRPr="00161533">
        <w:rPr>
          <w:lang w:val="en-US"/>
        </w:rPr>
        <w:t xml:space="preserve">descriptive statistics of the </w:t>
      </w:r>
      <w:r w:rsidR="001D1CD9" w:rsidRPr="00161533">
        <w:rPr>
          <w:lang w:val="en-US"/>
        </w:rPr>
        <w:t>supply</w:t>
      </w:r>
      <w:r w:rsidRPr="00161533">
        <w:rPr>
          <w:lang w:val="en-US"/>
        </w:rPr>
        <w:t xml:space="preserve"> characteristics of each </w:t>
      </w:r>
      <w:r w:rsidR="00573B57" w:rsidRPr="00161533">
        <w:rPr>
          <w:lang w:val="en-US"/>
        </w:rPr>
        <w:t>manufacturing</w:t>
      </w:r>
      <w:r w:rsidRPr="00161533">
        <w:rPr>
          <w:lang w:val="en-US"/>
        </w:rPr>
        <w:t xml:space="preserve"> configuration. The following sections present the three configurations and the </w:t>
      </w:r>
      <w:r w:rsidR="001D1CD9" w:rsidRPr="00161533">
        <w:rPr>
          <w:lang w:val="en-US"/>
        </w:rPr>
        <w:t>supply</w:t>
      </w:r>
      <w:r w:rsidRPr="00161533">
        <w:rPr>
          <w:lang w:val="en-US"/>
        </w:rPr>
        <w:t xml:space="preserve"> characteristics in more detail.</w:t>
      </w:r>
    </w:p>
    <w:p w14:paraId="74530350" w14:textId="2FB31CA8" w:rsidR="00386472" w:rsidRPr="00161533" w:rsidRDefault="00386472">
      <w:pPr>
        <w:rPr>
          <w:lang w:val="en-US"/>
        </w:rPr>
      </w:pPr>
      <w:r w:rsidRPr="00161533">
        <w:rPr>
          <w:lang w:val="en-US"/>
        </w:rPr>
        <w:br w:type="page"/>
      </w:r>
    </w:p>
    <w:tbl>
      <w:tblPr>
        <w:tblStyle w:val="TableGrid"/>
        <w:tblW w:w="8647" w:type="dxa"/>
        <w:jc w:val="center"/>
        <w:tblLook w:val="04A0" w:firstRow="1" w:lastRow="0" w:firstColumn="1" w:lastColumn="0" w:noHBand="0" w:noVBand="1"/>
      </w:tblPr>
      <w:tblGrid>
        <w:gridCol w:w="1843"/>
        <w:gridCol w:w="2268"/>
        <w:gridCol w:w="2268"/>
        <w:gridCol w:w="2268"/>
      </w:tblGrid>
      <w:tr w:rsidR="00A529DB" w:rsidRPr="00161533" w14:paraId="6D135967" w14:textId="3D38DB20" w:rsidTr="005D1F4A">
        <w:trPr>
          <w:trHeight w:val="272"/>
          <w:jc w:val="center"/>
        </w:trPr>
        <w:tc>
          <w:tcPr>
            <w:tcW w:w="1843" w:type="dxa"/>
            <w:tcBorders>
              <w:top w:val="nil"/>
              <w:left w:val="nil"/>
              <w:right w:val="single" w:sz="4" w:space="0" w:color="auto"/>
            </w:tcBorders>
            <w:vAlign w:val="center"/>
          </w:tcPr>
          <w:p w14:paraId="21A8A7E1" w14:textId="7FF167F0" w:rsidR="00A529DB" w:rsidRPr="00161533" w:rsidRDefault="00386472" w:rsidP="005D1F4A">
            <w:pPr>
              <w:rPr>
                <w:b/>
                <w:bCs/>
                <w:sz w:val="16"/>
                <w:szCs w:val="16"/>
                <w:lang w:val="en-US"/>
              </w:rPr>
            </w:pPr>
            <w:r w:rsidRPr="00161533">
              <w:rPr>
                <w:b/>
                <w:bCs/>
                <w:sz w:val="16"/>
                <w:szCs w:val="16"/>
                <w:lang w:val="en-US"/>
              </w:rPr>
              <w:lastRenderedPageBreak/>
              <w:t>Supply characteristics</w:t>
            </w:r>
          </w:p>
        </w:tc>
        <w:tc>
          <w:tcPr>
            <w:tcW w:w="2268" w:type="dxa"/>
            <w:tcBorders>
              <w:top w:val="nil"/>
              <w:left w:val="single" w:sz="4" w:space="0" w:color="auto"/>
              <w:bottom w:val="nil"/>
              <w:right w:val="nil"/>
            </w:tcBorders>
          </w:tcPr>
          <w:p w14:paraId="5E3D347C" w14:textId="21B36515" w:rsidR="00A529DB" w:rsidRPr="00161533" w:rsidRDefault="00573B57" w:rsidP="00861F97">
            <w:pPr>
              <w:jc w:val="center"/>
              <w:rPr>
                <w:b/>
                <w:bCs/>
                <w:sz w:val="16"/>
                <w:szCs w:val="16"/>
                <w:lang w:val="en-US"/>
              </w:rPr>
            </w:pPr>
            <w:r w:rsidRPr="00161533">
              <w:rPr>
                <w:b/>
                <w:bCs/>
                <w:sz w:val="16"/>
                <w:szCs w:val="16"/>
                <w:lang w:val="en-US"/>
              </w:rPr>
              <w:t>Manufacturing</w:t>
            </w:r>
            <w:r w:rsidR="00A529DB" w:rsidRPr="00161533">
              <w:rPr>
                <w:b/>
                <w:bCs/>
                <w:sz w:val="16"/>
                <w:szCs w:val="16"/>
                <w:lang w:val="en-US"/>
              </w:rPr>
              <w:t xml:space="preserve"> configuration A</w:t>
            </w:r>
            <w:r w:rsidR="00386472" w:rsidRPr="00161533">
              <w:rPr>
                <w:b/>
                <w:bCs/>
                <w:sz w:val="16"/>
                <w:szCs w:val="16"/>
                <w:lang w:val="en-US"/>
              </w:rPr>
              <w:t>: Extend product value</w:t>
            </w:r>
          </w:p>
        </w:tc>
        <w:tc>
          <w:tcPr>
            <w:tcW w:w="2268" w:type="dxa"/>
            <w:tcBorders>
              <w:top w:val="nil"/>
              <w:left w:val="single" w:sz="4" w:space="0" w:color="auto"/>
              <w:bottom w:val="nil"/>
              <w:right w:val="single" w:sz="4" w:space="0" w:color="auto"/>
            </w:tcBorders>
          </w:tcPr>
          <w:p w14:paraId="7F318672" w14:textId="7A39A8D2" w:rsidR="00A529DB" w:rsidRPr="00161533" w:rsidRDefault="00573B57" w:rsidP="00861F97">
            <w:pPr>
              <w:jc w:val="center"/>
              <w:rPr>
                <w:b/>
                <w:bCs/>
                <w:sz w:val="16"/>
                <w:szCs w:val="16"/>
                <w:lang w:val="en-US"/>
              </w:rPr>
            </w:pPr>
            <w:r w:rsidRPr="00161533">
              <w:rPr>
                <w:b/>
                <w:bCs/>
                <w:sz w:val="16"/>
                <w:szCs w:val="16"/>
                <w:lang w:val="en-US"/>
              </w:rPr>
              <w:t>Manufacturing</w:t>
            </w:r>
            <w:r w:rsidR="00A529DB" w:rsidRPr="00161533">
              <w:rPr>
                <w:b/>
                <w:bCs/>
                <w:sz w:val="16"/>
                <w:szCs w:val="16"/>
                <w:lang w:val="en-US"/>
              </w:rPr>
              <w:t xml:space="preserve"> configuration B</w:t>
            </w:r>
            <w:r w:rsidR="00386472" w:rsidRPr="00161533">
              <w:rPr>
                <w:b/>
                <w:bCs/>
                <w:sz w:val="16"/>
                <w:szCs w:val="16"/>
                <w:lang w:val="en-US"/>
              </w:rPr>
              <w:t>: Extend resource value</w:t>
            </w:r>
          </w:p>
        </w:tc>
        <w:tc>
          <w:tcPr>
            <w:tcW w:w="2268" w:type="dxa"/>
            <w:tcBorders>
              <w:top w:val="nil"/>
              <w:left w:val="single" w:sz="4" w:space="0" w:color="auto"/>
              <w:bottom w:val="nil"/>
              <w:right w:val="nil"/>
            </w:tcBorders>
          </w:tcPr>
          <w:p w14:paraId="493B392F" w14:textId="110E8A76" w:rsidR="00A529DB" w:rsidRPr="00161533" w:rsidRDefault="00573B57" w:rsidP="00861F97">
            <w:pPr>
              <w:jc w:val="center"/>
              <w:rPr>
                <w:b/>
                <w:bCs/>
                <w:sz w:val="16"/>
                <w:szCs w:val="16"/>
                <w:lang w:val="en-US"/>
              </w:rPr>
            </w:pPr>
            <w:r w:rsidRPr="00161533">
              <w:rPr>
                <w:b/>
                <w:bCs/>
                <w:sz w:val="16"/>
                <w:szCs w:val="16"/>
                <w:lang w:val="en-US"/>
              </w:rPr>
              <w:t>Manufacturing</w:t>
            </w:r>
            <w:r w:rsidR="00A529DB" w:rsidRPr="00161533">
              <w:rPr>
                <w:b/>
                <w:bCs/>
                <w:sz w:val="16"/>
                <w:szCs w:val="16"/>
                <w:lang w:val="en-US"/>
              </w:rPr>
              <w:t xml:space="preserve"> configuration C</w:t>
            </w:r>
            <w:r w:rsidR="00386472" w:rsidRPr="00161533">
              <w:rPr>
                <w:b/>
                <w:bCs/>
                <w:sz w:val="16"/>
                <w:szCs w:val="16"/>
                <w:lang w:val="en-US"/>
              </w:rPr>
              <w:t>: Processing</w:t>
            </w:r>
          </w:p>
        </w:tc>
      </w:tr>
      <w:tr w:rsidR="00A529DB" w:rsidRPr="00161533" w14:paraId="245A538C" w14:textId="000DA2C2" w:rsidTr="00A529DB">
        <w:trPr>
          <w:jc w:val="center"/>
        </w:trPr>
        <w:tc>
          <w:tcPr>
            <w:tcW w:w="1843" w:type="dxa"/>
            <w:tcBorders>
              <w:top w:val="single" w:sz="4" w:space="0" w:color="auto"/>
              <w:left w:val="nil"/>
              <w:bottom w:val="nil"/>
              <w:right w:val="single" w:sz="4" w:space="0" w:color="auto"/>
            </w:tcBorders>
          </w:tcPr>
          <w:p w14:paraId="1A59B4E3" w14:textId="77777777" w:rsidR="00A529DB" w:rsidRPr="00161533" w:rsidRDefault="00A529DB" w:rsidP="00861F97">
            <w:pPr>
              <w:rPr>
                <w:sz w:val="16"/>
                <w:szCs w:val="16"/>
                <w:lang w:val="en-US"/>
              </w:rPr>
            </w:pPr>
            <w:r w:rsidRPr="00161533">
              <w:rPr>
                <w:i/>
                <w:iCs/>
                <w:sz w:val="16"/>
                <w:szCs w:val="16"/>
                <w:lang w:val="en-US"/>
              </w:rPr>
              <w:t>Heterogeneity</w:t>
            </w:r>
          </w:p>
        </w:tc>
        <w:tc>
          <w:tcPr>
            <w:tcW w:w="2268" w:type="dxa"/>
            <w:tcBorders>
              <w:top w:val="single" w:sz="4" w:space="0" w:color="auto"/>
              <w:left w:val="single" w:sz="4" w:space="0" w:color="auto"/>
              <w:bottom w:val="nil"/>
              <w:right w:val="nil"/>
            </w:tcBorders>
          </w:tcPr>
          <w:p w14:paraId="7E7D34AA" w14:textId="77777777" w:rsidR="00A529DB" w:rsidRPr="00161533" w:rsidRDefault="00A529DB" w:rsidP="00861F97">
            <w:pPr>
              <w:rPr>
                <w:sz w:val="16"/>
                <w:szCs w:val="16"/>
                <w:lang w:val="en-US"/>
              </w:rPr>
            </w:pPr>
          </w:p>
        </w:tc>
        <w:tc>
          <w:tcPr>
            <w:tcW w:w="2268" w:type="dxa"/>
            <w:tcBorders>
              <w:top w:val="single" w:sz="4" w:space="0" w:color="auto"/>
              <w:left w:val="single" w:sz="4" w:space="0" w:color="auto"/>
              <w:bottom w:val="nil"/>
              <w:right w:val="single" w:sz="4" w:space="0" w:color="auto"/>
            </w:tcBorders>
          </w:tcPr>
          <w:p w14:paraId="531780B2" w14:textId="77777777" w:rsidR="00A529DB" w:rsidRPr="00161533" w:rsidRDefault="00A529DB" w:rsidP="00861F97">
            <w:pPr>
              <w:rPr>
                <w:sz w:val="16"/>
                <w:szCs w:val="16"/>
                <w:lang w:val="en-US"/>
              </w:rPr>
            </w:pPr>
          </w:p>
        </w:tc>
        <w:tc>
          <w:tcPr>
            <w:tcW w:w="2268" w:type="dxa"/>
            <w:tcBorders>
              <w:top w:val="single" w:sz="4" w:space="0" w:color="auto"/>
              <w:left w:val="single" w:sz="4" w:space="0" w:color="auto"/>
              <w:bottom w:val="nil"/>
              <w:right w:val="nil"/>
            </w:tcBorders>
          </w:tcPr>
          <w:p w14:paraId="2629A86C" w14:textId="29FFBD8D" w:rsidR="00A529DB" w:rsidRPr="00161533" w:rsidRDefault="00A529DB" w:rsidP="00861F97">
            <w:pPr>
              <w:rPr>
                <w:sz w:val="16"/>
                <w:szCs w:val="16"/>
                <w:lang w:val="en-US"/>
              </w:rPr>
            </w:pPr>
          </w:p>
        </w:tc>
      </w:tr>
      <w:tr w:rsidR="00A529DB" w:rsidRPr="00161533" w14:paraId="54ABB538" w14:textId="272EF6B4" w:rsidTr="00A529DB">
        <w:trPr>
          <w:jc w:val="center"/>
        </w:trPr>
        <w:tc>
          <w:tcPr>
            <w:tcW w:w="1843" w:type="dxa"/>
            <w:tcBorders>
              <w:top w:val="nil"/>
              <w:left w:val="nil"/>
              <w:bottom w:val="nil"/>
              <w:right w:val="single" w:sz="4" w:space="0" w:color="auto"/>
            </w:tcBorders>
            <w:shd w:val="clear" w:color="auto" w:fill="auto"/>
          </w:tcPr>
          <w:p w14:paraId="3843EA04" w14:textId="77777777" w:rsidR="00A529DB" w:rsidRPr="00161533" w:rsidRDefault="00A529DB" w:rsidP="00861F97">
            <w:pPr>
              <w:ind w:left="164"/>
              <w:rPr>
                <w:sz w:val="16"/>
                <w:szCs w:val="16"/>
                <w:lang w:val="en-US"/>
              </w:rPr>
            </w:pPr>
            <w:r w:rsidRPr="00161533">
              <w:rPr>
                <w:sz w:val="16"/>
                <w:szCs w:val="16"/>
                <w:lang w:val="en-US"/>
              </w:rPr>
              <w:t>Low</w:t>
            </w:r>
          </w:p>
        </w:tc>
        <w:tc>
          <w:tcPr>
            <w:tcW w:w="2268" w:type="dxa"/>
            <w:tcBorders>
              <w:top w:val="nil"/>
              <w:left w:val="single" w:sz="4" w:space="0" w:color="auto"/>
              <w:bottom w:val="nil"/>
              <w:right w:val="nil"/>
            </w:tcBorders>
            <w:shd w:val="clear" w:color="auto" w:fill="auto"/>
          </w:tcPr>
          <w:p w14:paraId="20757239" w14:textId="24FBBAB2" w:rsidR="00A529DB" w:rsidRPr="00161533" w:rsidRDefault="00A529DB" w:rsidP="00861F97">
            <w:pPr>
              <w:jc w:val="center"/>
              <w:rPr>
                <w:sz w:val="16"/>
                <w:szCs w:val="16"/>
                <w:lang w:val="en-US"/>
              </w:rPr>
            </w:pPr>
          </w:p>
        </w:tc>
        <w:tc>
          <w:tcPr>
            <w:tcW w:w="2268" w:type="dxa"/>
            <w:tcBorders>
              <w:top w:val="nil"/>
              <w:left w:val="single" w:sz="4" w:space="0" w:color="auto"/>
              <w:bottom w:val="nil"/>
              <w:right w:val="single" w:sz="4" w:space="0" w:color="auto"/>
            </w:tcBorders>
          </w:tcPr>
          <w:p w14:paraId="6DA0F10A" w14:textId="75E2823E" w:rsidR="00A529DB" w:rsidRPr="00161533" w:rsidRDefault="00A529DB" w:rsidP="00861F97">
            <w:pPr>
              <w:jc w:val="center"/>
              <w:rPr>
                <w:sz w:val="16"/>
                <w:szCs w:val="16"/>
                <w:lang w:val="en-US"/>
              </w:rPr>
            </w:pPr>
            <w:r w:rsidRPr="00161533">
              <w:rPr>
                <w:sz w:val="16"/>
                <w:szCs w:val="16"/>
                <w:lang w:val="en-US"/>
              </w:rPr>
              <w:t>66</w:t>
            </w:r>
            <w:r w:rsidR="002B4BE1" w:rsidRPr="00161533">
              <w:rPr>
                <w:sz w:val="16"/>
                <w:szCs w:val="16"/>
                <w:lang w:val="en-US"/>
              </w:rPr>
              <w:t>.</w:t>
            </w:r>
            <w:r w:rsidRPr="00161533">
              <w:rPr>
                <w:sz w:val="16"/>
                <w:szCs w:val="16"/>
                <w:lang w:val="en-US"/>
              </w:rPr>
              <w:t>7</w:t>
            </w:r>
            <w:r w:rsidR="002B4BE1" w:rsidRPr="00161533">
              <w:rPr>
                <w:sz w:val="16"/>
                <w:szCs w:val="16"/>
                <w:lang w:val="en-US"/>
              </w:rPr>
              <w:t>%</w:t>
            </w:r>
          </w:p>
        </w:tc>
        <w:tc>
          <w:tcPr>
            <w:tcW w:w="2268" w:type="dxa"/>
            <w:tcBorders>
              <w:top w:val="nil"/>
              <w:left w:val="single" w:sz="4" w:space="0" w:color="auto"/>
              <w:bottom w:val="nil"/>
              <w:right w:val="nil"/>
            </w:tcBorders>
          </w:tcPr>
          <w:p w14:paraId="4FBB12BC" w14:textId="0DAB7944" w:rsidR="00A529DB" w:rsidRPr="00161533" w:rsidRDefault="00724EAD" w:rsidP="00861F97">
            <w:pPr>
              <w:jc w:val="center"/>
              <w:rPr>
                <w:sz w:val="16"/>
                <w:szCs w:val="16"/>
                <w:lang w:val="en-US"/>
              </w:rPr>
            </w:pPr>
            <w:r w:rsidRPr="00161533">
              <w:rPr>
                <w:sz w:val="16"/>
                <w:szCs w:val="16"/>
                <w:lang w:val="en-US"/>
              </w:rPr>
              <w:t>60</w:t>
            </w:r>
            <w:r w:rsidR="002B4BE1" w:rsidRPr="00161533">
              <w:rPr>
                <w:sz w:val="16"/>
                <w:szCs w:val="16"/>
                <w:lang w:val="en-US"/>
              </w:rPr>
              <w:t>.</w:t>
            </w:r>
            <w:r w:rsidRPr="00161533">
              <w:rPr>
                <w:sz w:val="16"/>
                <w:szCs w:val="16"/>
                <w:lang w:val="en-US"/>
              </w:rPr>
              <w:t>4</w:t>
            </w:r>
            <w:r w:rsidR="002B4BE1" w:rsidRPr="00161533">
              <w:rPr>
                <w:sz w:val="16"/>
                <w:szCs w:val="16"/>
                <w:lang w:val="en-US"/>
              </w:rPr>
              <w:t>%</w:t>
            </w:r>
          </w:p>
        </w:tc>
      </w:tr>
      <w:tr w:rsidR="00A529DB" w:rsidRPr="00161533" w14:paraId="2987BFCD" w14:textId="56CA8ABD" w:rsidTr="00A529DB">
        <w:trPr>
          <w:jc w:val="center"/>
        </w:trPr>
        <w:tc>
          <w:tcPr>
            <w:tcW w:w="1843" w:type="dxa"/>
            <w:tcBorders>
              <w:top w:val="nil"/>
              <w:left w:val="nil"/>
              <w:bottom w:val="nil"/>
              <w:right w:val="single" w:sz="4" w:space="0" w:color="auto"/>
            </w:tcBorders>
            <w:shd w:val="clear" w:color="auto" w:fill="auto"/>
          </w:tcPr>
          <w:p w14:paraId="5A540E3E" w14:textId="77777777" w:rsidR="00A529DB" w:rsidRPr="00161533" w:rsidRDefault="00A529DB" w:rsidP="00861F97">
            <w:pPr>
              <w:ind w:left="164"/>
              <w:rPr>
                <w:sz w:val="16"/>
                <w:szCs w:val="16"/>
                <w:lang w:val="en-US"/>
              </w:rPr>
            </w:pPr>
            <w:r w:rsidRPr="00161533">
              <w:rPr>
                <w:sz w:val="16"/>
                <w:szCs w:val="16"/>
                <w:lang w:val="en-US"/>
              </w:rPr>
              <w:t>Medium</w:t>
            </w:r>
          </w:p>
        </w:tc>
        <w:tc>
          <w:tcPr>
            <w:tcW w:w="2268" w:type="dxa"/>
            <w:tcBorders>
              <w:top w:val="nil"/>
              <w:left w:val="single" w:sz="4" w:space="0" w:color="auto"/>
              <w:bottom w:val="nil"/>
              <w:right w:val="nil"/>
            </w:tcBorders>
            <w:shd w:val="clear" w:color="auto" w:fill="auto"/>
          </w:tcPr>
          <w:p w14:paraId="65B345C0" w14:textId="1F4FABE8" w:rsidR="00A529DB" w:rsidRPr="00161533" w:rsidRDefault="002B4BE1" w:rsidP="00861F97">
            <w:pPr>
              <w:jc w:val="center"/>
              <w:rPr>
                <w:sz w:val="16"/>
                <w:szCs w:val="16"/>
                <w:lang w:val="en-US"/>
              </w:rPr>
            </w:pPr>
            <w:r w:rsidRPr="00161533">
              <w:rPr>
                <w:sz w:val="16"/>
                <w:szCs w:val="16"/>
                <w:lang w:val="en-US"/>
              </w:rPr>
              <w:t>100%</w:t>
            </w:r>
          </w:p>
        </w:tc>
        <w:tc>
          <w:tcPr>
            <w:tcW w:w="2268" w:type="dxa"/>
            <w:tcBorders>
              <w:top w:val="nil"/>
              <w:left w:val="single" w:sz="4" w:space="0" w:color="auto"/>
              <w:bottom w:val="nil"/>
              <w:right w:val="single" w:sz="4" w:space="0" w:color="auto"/>
            </w:tcBorders>
          </w:tcPr>
          <w:p w14:paraId="4B169998" w14:textId="0657D92F" w:rsidR="00A529DB" w:rsidRPr="00161533" w:rsidRDefault="00A529DB" w:rsidP="00861F97">
            <w:pPr>
              <w:jc w:val="center"/>
              <w:rPr>
                <w:sz w:val="16"/>
                <w:szCs w:val="16"/>
                <w:lang w:val="en-US"/>
              </w:rPr>
            </w:pPr>
            <w:r w:rsidRPr="00161533">
              <w:rPr>
                <w:sz w:val="16"/>
                <w:szCs w:val="16"/>
                <w:lang w:val="en-US"/>
              </w:rPr>
              <w:t>33</w:t>
            </w:r>
            <w:r w:rsidR="002B4BE1" w:rsidRPr="00161533">
              <w:rPr>
                <w:sz w:val="16"/>
                <w:szCs w:val="16"/>
                <w:lang w:val="en-US"/>
              </w:rPr>
              <w:t>.</w:t>
            </w:r>
            <w:r w:rsidRPr="00161533">
              <w:rPr>
                <w:sz w:val="16"/>
                <w:szCs w:val="16"/>
                <w:lang w:val="en-US"/>
              </w:rPr>
              <w:t>3</w:t>
            </w:r>
            <w:r w:rsidR="002B4BE1" w:rsidRPr="00161533">
              <w:rPr>
                <w:sz w:val="16"/>
                <w:szCs w:val="16"/>
                <w:lang w:val="en-US"/>
              </w:rPr>
              <w:t>%</w:t>
            </w:r>
          </w:p>
        </w:tc>
        <w:tc>
          <w:tcPr>
            <w:tcW w:w="2268" w:type="dxa"/>
            <w:tcBorders>
              <w:top w:val="nil"/>
              <w:left w:val="single" w:sz="4" w:space="0" w:color="auto"/>
              <w:bottom w:val="nil"/>
              <w:right w:val="nil"/>
            </w:tcBorders>
          </w:tcPr>
          <w:p w14:paraId="333969B3" w14:textId="73338B61" w:rsidR="00A529DB" w:rsidRPr="00161533" w:rsidRDefault="00724EAD" w:rsidP="00861F97">
            <w:pPr>
              <w:jc w:val="center"/>
              <w:rPr>
                <w:sz w:val="16"/>
                <w:szCs w:val="16"/>
                <w:lang w:val="en-US"/>
              </w:rPr>
            </w:pPr>
            <w:r w:rsidRPr="00161533">
              <w:rPr>
                <w:sz w:val="16"/>
                <w:szCs w:val="16"/>
                <w:lang w:val="en-US"/>
              </w:rPr>
              <w:t>39</w:t>
            </w:r>
            <w:r w:rsidR="002B4BE1" w:rsidRPr="00161533">
              <w:rPr>
                <w:sz w:val="16"/>
                <w:szCs w:val="16"/>
                <w:lang w:val="en-US"/>
              </w:rPr>
              <w:t>.</w:t>
            </w:r>
            <w:r w:rsidRPr="00161533">
              <w:rPr>
                <w:sz w:val="16"/>
                <w:szCs w:val="16"/>
                <w:lang w:val="en-US"/>
              </w:rPr>
              <w:t>6</w:t>
            </w:r>
            <w:r w:rsidR="002B4BE1" w:rsidRPr="00161533">
              <w:rPr>
                <w:sz w:val="16"/>
                <w:szCs w:val="16"/>
                <w:lang w:val="en-US"/>
              </w:rPr>
              <w:t>%</w:t>
            </w:r>
          </w:p>
        </w:tc>
      </w:tr>
      <w:tr w:rsidR="00A529DB" w:rsidRPr="00161533" w14:paraId="65C23FB5" w14:textId="3C98C73A" w:rsidTr="00A529DB">
        <w:trPr>
          <w:jc w:val="center"/>
        </w:trPr>
        <w:tc>
          <w:tcPr>
            <w:tcW w:w="1843" w:type="dxa"/>
            <w:tcBorders>
              <w:top w:val="nil"/>
              <w:left w:val="nil"/>
              <w:bottom w:val="single" w:sz="4" w:space="0" w:color="auto"/>
              <w:right w:val="single" w:sz="4" w:space="0" w:color="auto"/>
            </w:tcBorders>
            <w:shd w:val="clear" w:color="auto" w:fill="auto"/>
          </w:tcPr>
          <w:p w14:paraId="57D5E846" w14:textId="77777777" w:rsidR="00A529DB" w:rsidRPr="00161533" w:rsidRDefault="00A529DB" w:rsidP="00861F97">
            <w:pPr>
              <w:ind w:left="164"/>
              <w:rPr>
                <w:sz w:val="16"/>
                <w:szCs w:val="16"/>
                <w:lang w:val="en-US"/>
              </w:rPr>
            </w:pPr>
            <w:r w:rsidRPr="00161533">
              <w:rPr>
                <w:sz w:val="16"/>
                <w:szCs w:val="16"/>
                <w:lang w:val="en-US"/>
              </w:rPr>
              <w:t>High</w:t>
            </w:r>
          </w:p>
        </w:tc>
        <w:tc>
          <w:tcPr>
            <w:tcW w:w="2268" w:type="dxa"/>
            <w:tcBorders>
              <w:top w:val="nil"/>
              <w:left w:val="single" w:sz="4" w:space="0" w:color="auto"/>
              <w:bottom w:val="single" w:sz="4" w:space="0" w:color="auto"/>
              <w:right w:val="nil"/>
            </w:tcBorders>
            <w:shd w:val="clear" w:color="auto" w:fill="auto"/>
          </w:tcPr>
          <w:p w14:paraId="443CA63D" w14:textId="68361701" w:rsidR="00A529DB" w:rsidRPr="00161533" w:rsidRDefault="00A529DB" w:rsidP="00861F97">
            <w:pPr>
              <w:jc w:val="center"/>
              <w:rPr>
                <w:sz w:val="16"/>
                <w:szCs w:val="16"/>
                <w:lang w:val="en-US"/>
              </w:rPr>
            </w:pPr>
          </w:p>
        </w:tc>
        <w:tc>
          <w:tcPr>
            <w:tcW w:w="2268" w:type="dxa"/>
            <w:tcBorders>
              <w:top w:val="nil"/>
              <w:left w:val="single" w:sz="4" w:space="0" w:color="auto"/>
              <w:bottom w:val="single" w:sz="4" w:space="0" w:color="auto"/>
              <w:right w:val="single" w:sz="4" w:space="0" w:color="auto"/>
            </w:tcBorders>
          </w:tcPr>
          <w:p w14:paraId="0C7CC4E8" w14:textId="40669031" w:rsidR="00A529DB" w:rsidRPr="00161533" w:rsidRDefault="00A529DB" w:rsidP="00861F97">
            <w:pPr>
              <w:jc w:val="center"/>
              <w:rPr>
                <w:sz w:val="16"/>
                <w:szCs w:val="16"/>
                <w:lang w:val="en-US"/>
              </w:rPr>
            </w:pPr>
          </w:p>
        </w:tc>
        <w:tc>
          <w:tcPr>
            <w:tcW w:w="2268" w:type="dxa"/>
            <w:tcBorders>
              <w:top w:val="nil"/>
              <w:left w:val="single" w:sz="4" w:space="0" w:color="auto"/>
              <w:bottom w:val="single" w:sz="4" w:space="0" w:color="auto"/>
              <w:right w:val="nil"/>
            </w:tcBorders>
          </w:tcPr>
          <w:p w14:paraId="4C1FD5AF" w14:textId="3D0F3BFA" w:rsidR="00A529DB" w:rsidRPr="00161533" w:rsidRDefault="00A529DB" w:rsidP="00861F97">
            <w:pPr>
              <w:jc w:val="center"/>
              <w:rPr>
                <w:sz w:val="16"/>
                <w:szCs w:val="16"/>
                <w:lang w:val="en-US"/>
              </w:rPr>
            </w:pPr>
          </w:p>
        </w:tc>
      </w:tr>
      <w:tr w:rsidR="00A529DB" w:rsidRPr="00161533" w14:paraId="25755659" w14:textId="7C557DB3" w:rsidTr="00A529DB">
        <w:trPr>
          <w:jc w:val="center"/>
        </w:trPr>
        <w:tc>
          <w:tcPr>
            <w:tcW w:w="1843" w:type="dxa"/>
            <w:tcBorders>
              <w:top w:val="single" w:sz="4" w:space="0" w:color="auto"/>
              <w:left w:val="nil"/>
              <w:bottom w:val="nil"/>
              <w:right w:val="single" w:sz="4" w:space="0" w:color="auto"/>
            </w:tcBorders>
            <w:shd w:val="clear" w:color="auto" w:fill="auto"/>
          </w:tcPr>
          <w:p w14:paraId="681302E1" w14:textId="77777777" w:rsidR="00A529DB" w:rsidRPr="00161533" w:rsidRDefault="00A529DB" w:rsidP="00861F97">
            <w:pPr>
              <w:rPr>
                <w:sz w:val="16"/>
                <w:szCs w:val="16"/>
                <w:lang w:val="en-US"/>
              </w:rPr>
            </w:pPr>
            <w:r w:rsidRPr="00161533">
              <w:rPr>
                <w:i/>
                <w:iCs/>
                <w:sz w:val="16"/>
                <w:szCs w:val="16"/>
                <w:lang w:val="en-US"/>
              </w:rPr>
              <w:t>Uncertainty timing</w:t>
            </w:r>
          </w:p>
        </w:tc>
        <w:tc>
          <w:tcPr>
            <w:tcW w:w="2268" w:type="dxa"/>
            <w:tcBorders>
              <w:top w:val="single" w:sz="4" w:space="0" w:color="auto"/>
              <w:left w:val="single" w:sz="4" w:space="0" w:color="auto"/>
              <w:bottom w:val="nil"/>
              <w:right w:val="nil"/>
            </w:tcBorders>
            <w:shd w:val="clear" w:color="auto" w:fill="auto"/>
          </w:tcPr>
          <w:p w14:paraId="3C6262CE" w14:textId="77777777" w:rsidR="00A529DB" w:rsidRPr="00161533" w:rsidRDefault="00A529DB" w:rsidP="00861F97">
            <w:pPr>
              <w:jc w:val="center"/>
              <w:rPr>
                <w:sz w:val="16"/>
                <w:szCs w:val="16"/>
                <w:lang w:val="en-US"/>
              </w:rPr>
            </w:pPr>
          </w:p>
        </w:tc>
        <w:tc>
          <w:tcPr>
            <w:tcW w:w="2268" w:type="dxa"/>
            <w:tcBorders>
              <w:top w:val="single" w:sz="4" w:space="0" w:color="auto"/>
              <w:left w:val="single" w:sz="4" w:space="0" w:color="auto"/>
              <w:bottom w:val="nil"/>
              <w:right w:val="single" w:sz="4" w:space="0" w:color="auto"/>
            </w:tcBorders>
          </w:tcPr>
          <w:p w14:paraId="309EC1EA" w14:textId="77777777" w:rsidR="00A529DB" w:rsidRPr="00161533" w:rsidRDefault="00A529DB" w:rsidP="00861F97">
            <w:pPr>
              <w:jc w:val="center"/>
              <w:rPr>
                <w:sz w:val="16"/>
                <w:szCs w:val="16"/>
                <w:lang w:val="en-US"/>
              </w:rPr>
            </w:pPr>
          </w:p>
        </w:tc>
        <w:tc>
          <w:tcPr>
            <w:tcW w:w="2268" w:type="dxa"/>
            <w:tcBorders>
              <w:top w:val="single" w:sz="4" w:space="0" w:color="auto"/>
              <w:left w:val="single" w:sz="4" w:space="0" w:color="auto"/>
              <w:bottom w:val="nil"/>
              <w:right w:val="nil"/>
            </w:tcBorders>
          </w:tcPr>
          <w:p w14:paraId="76C44824" w14:textId="299ABF04" w:rsidR="00A529DB" w:rsidRPr="00161533" w:rsidRDefault="00A529DB" w:rsidP="00861F97">
            <w:pPr>
              <w:jc w:val="center"/>
              <w:rPr>
                <w:sz w:val="16"/>
                <w:szCs w:val="16"/>
                <w:lang w:val="en-US"/>
              </w:rPr>
            </w:pPr>
          </w:p>
        </w:tc>
      </w:tr>
      <w:tr w:rsidR="00A529DB" w:rsidRPr="00161533" w14:paraId="1C415AEB" w14:textId="631080B1" w:rsidTr="00A529DB">
        <w:trPr>
          <w:jc w:val="center"/>
        </w:trPr>
        <w:tc>
          <w:tcPr>
            <w:tcW w:w="1843" w:type="dxa"/>
            <w:tcBorders>
              <w:top w:val="nil"/>
              <w:left w:val="nil"/>
              <w:bottom w:val="nil"/>
              <w:right w:val="single" w:sz="4" w:space="0" w:color="auto"/>
            </w:tcBorders>
            <w:shd w:val="clear" w:color="auto" w:fill="auto"/>
          </w:tcPr>
          <w:p w14:paraId="217E622F" w14:textId="77777777" w:rsidR="00A529DB" w:rsidRPr="00161533" w:rsidRDefault="00A529DB" w:rsidP="00861F97">
            <w:pPr>
              <w:ind w:left="164"/>
              <w:rPr>
                <w:sz w:val="16"/>
                <w:szCs w:val="16"/>
                <w:lang w:val="en-US"/>
              </w:rPr>
            </w:pPr>
            <w:r w:rsidRPr="00161533">
              <w:rPr>
                <w:sz w:val="16"/>
                <w:szCs w:val="16"/>
                <w:lang w:val="en-US"/>
              </w:rPr>
              <w:t>Low</w:t>
            </w:r>
          </w:p>
        </w:tc>
        <w:tc>
          <w:tcPr>
            <w:tcW w:w="2268" w:type="dxa"/>
            <w:tcBorders>
              <w:top w:val="nil"/>
              <w:left w:val="single" w:sz="4" w:space="0" w:color="auto"/>
              <w:bottom w:val="nil"/>
              <w:right w:val="nil"/>
            </w:tcBorders>
            <w:shd w:val="clear" w:color="auto" w:fill="auto"/>
          </w:tcPr>
          <w:p w14:paraId="0889745A" w14:textId="1B7707FE" w:rsidR="00A529DB" w:rsidRPr="00161533" w:rsidRDefault="002B4BE1" w:rsidP="00861F97">
            <w:pPr>
              <w:jc w:val="center"/>
              <w:rPr>
                <w:sz w:val="16"/>
                <w:szCs w:val="16"/>
                <w:lang w:val="en-US"/>
              </w:rPr>
            </w:pPr>
            <w:r w:rsidRPr="00161533">
              <w:rPr>
                <w:sz w:val="16"/>
                <w:szCs w:val="16"/>
                <w:lang w:val="en-US"/>
              </w:rPr>
              <w:t>40%</w:t>
            </w:r>
          </w:p>
        </w:tc>
        <w:tc>
          <w:tcPr>
            <w:tcW w:w="2268" w:type="dxa"/>
            <w:tcBorders>
              <w:top w:val="nil"/>
              <w:left w:val="single" w:sz="4" w:space="0" w:color="auto"/>
              <w:bottom w:val="nil"/>
              <w:right w:val="single" w:sz="4" w:space="0" w:color="auto"/>
            </w:tcBorders>
          </w:tcPr>
          <w:p w14:paraId="74E4AA7F" w14:textId="407A6993" w:rsidR="00A529DB" w:rsidRPr="00161533" w:rsidRDefault="00A529DB" w:rsidP="00861F97">
            <w:pPr>
              <w:jc w:val="center"/>
              <w:rPr>
                <w:sz w:val="16"/>
                <w:szCs w:val="16"/>
                <w:lang w:val="en-US"/>
              </w:rPr>
            </w:pPr>
            <w:r w:rsidRPr="00161533">
              <w:rPr>
                <w:sz w:val="16"/>
                <w:szCs w:val="16"/>
                <w:lang w:val="en-US"/>
              </w:rPr>
              <w:t>86</w:t>
            </w:r>
            <w:r w:rsidR="002B4BE1" w:rsidRPr="00161533">
              <w:rPr>
                <w:sz w:val="16"/>
                <w:szCs w:val="16"/>
                <w:lang w:val="en-US"/>
              </w:rPr>
              <w:t>.</w:t>
            </w:r>
            <w:r w:rsidRPr="00161533">
              <w:rPr>
                <w:sz w:val="16"/>
                <w:szCs w:val="16"/>
                <w:lang w:val="en-US"/>
              </w:rPr>
              <w:t>7</w:t>
            </w:r>
            <w:r w:rsidR="002B4BE1" w:rsidRPr="00161533">
              <w:rPr>
                <w:sz w:val="16"/>
                <w:szCs w:val="16"/>
                <w:lang w:val="en-US"/>
              </w:rPr>
              <w:t>%</w:t>
            </w:r>
          </w:p>
        </w:tc>
        <w:tc>
          <w:tcPr>
            <w:tcW w:w="2268" w:type="dxa"/>
            <w:tcBorders>
              <w:top w:val="nil"/>
              <w:left w:val="single" w:sz="4" w:space="0" w:color="auto"/>
              <w:bottom w:val="nil"/>
              <w:right w:val="nil"/>
            </w:tcBorders>
          </w:tcPr>
          <w:p w14:paraId="0B25EAA2" w14:textId="3330FF20" w:rsidR="00A529DB" w:rsidRPr="00161533" w:rsidRDefault="00724EAD" w:rsidP="00861F97">
            <w:pPr>
              <w:jc w:val="center"/>
              <w:rPr>
                <w:sz w:val="16"/>
                <w:szCs w:val="16"/>
                <w:lang w:val="en-US"/>
              </w:rPr>
            </w:pPr>
            <w:r w:rsidRPr="00161533">
              <w:rPr>
                <w:sz w:val="16"/>
                <w:szCs w:val="16"/>
                <w:lang w:val="en-US"/>
              </w:rPr>
              <w:t>83</w:t>
            </w:r>
            <w:r w:rsidR="002B4BE1" w:rsidRPr="00161533">
              <w:rPr>
                <w:sz w:val="16"/>
                <w:szCs w:val="16"/>
                <w:lang w:val="en-US"/>
              </w:rPr>
              <w:t>.</w:t>
            </w:r>
            <w:r w:rsidRPr="00161533">
              <w:rPr>
                <w:sz w:val="16"/>
                <w:szCs w:val="16"/>
                <w:lang w:val="en-US"/>
              </w:rPr>
              <w:t>3</w:t>
            </w:r>
            <w:r w:rsidR="002B4BE1" w:rsidRPr="00161533">
              <w:rPr>
                <w:sz w:val="16"/>
                <w:szCs w:val="16"/>
                <w:lang w:val="en-US"/>
              </w:rPr>
              <w:t>%</w:t>
            </w:r>
          </w:p>
        </w:tc>
      </w:tr>
      <w:tr w:rsidR="00A529DB" w:rsidRPr="00161533" w14:paraId="064E72B6" w14:textId="48A704A5" w:rsidTr="00A529DB">
        <w:trPr>
          <w:jc w:val="center"/>
        </w:trPr>
        <w:tc>
          <w:tcPr>
            <w:tcW w:w="1843" w:type="dxa"/>
            <w:tcBorders>
              <w:top w:val="nil"/>
              <w:left w:val="nil"/>
              <w:bottom w:val="nil"/>
              <w:right w:val="single" w:sz="4" w:space="0" w:color="auto"/>
            </w:tcBorders>
            <w:shd w:val="clear" w:color="auto" w:fill="auto"/>
          </w:tcPr>
          <w:p w14:paraId="1249A205" w14:textId="77777777" w:rsidR="00A529DB" w:rsidRPr="00161533" w:rsidRDefault="00A529DB" w:rsidP="00861F97">
            <w:pPr>
              <w:ind w:left="164"/>
              <w:rPr>
                <w:sz w:val="16"/>
                <w:szCs w:val="16"/>
                <w:lang w:val="en-US"/>
              </w:rPr>
            </w:pPr>
            <w:r w:rsidRPr="00161533">
              <w:rPr>
                <w:sz w:val="16"/>
                <w:szCs w:val="16"/>
                <w:lang w:val="en-US"/>
              </w:rPr>
              <w:t>Medium</w:t>
            </w:r>
          </w:p>
        </w:tc>
        <w:tc>
          <w:tcPr>
            <w:tcW w:w="2268" w:type="dxa"/>
            <w:tcBorders>
              <w:top w:val="nil"/>
              <w:left w:val="single" w:sz="4" w:space="0" w:color="auto"/>
              <w:bottom w:val="nil"/>
              <w:right w:val="nil"/>
            </w:tcBorders>
            <w:shd w:val="clear" w:color="auto" w:fill="auto"/>
          </w:tcPr>
          <w:p w14:paraId="2DD95995" w14:textId="14CA03AD" w:rsidR="00A529DB" w:rsidRPr="00161533" w:rsidRDefault="00A529DB" w:rsidP="00861F97">
            <w:pPr>
              <w:jc w:val="center"/>
              <w:rPr>
                <w:sz w:val="16"/>
                <w:szCs w:val="16"/>
                <w:lang w:val="en-US"/>
              </w:rPr>
            </w:pPr>
          </w:p>
        </w:tc>
        <w:tc>
          <w:tcPr>
            <w:tcW w:w="2268" w:type="dxa"/>
            <w:tcBorders>
              <w:top w:val="nil"/>
              <w:left w:val="single" w:sz="4" w:space="0" w:color="auto"/>
              <w:bottom w:val="nil"/>
              <w:right w:val="single" w:sz="4" w:space="0" w:color="auto"/>
            </w:tcBorders>
          </w:tcPr>
          <w:p w14:paraId="26349A90" w14:textId="79B8367A" w:rsidR="00A529DB" w:rsidRPr="00161533" w:rsidRDefault="00A529DB" w:rsidP="00861F97">
            <w:pPr>
              <w:jc w:val="center"/>
              <w:rPr>
                <w:sz w:val="16"/>
                <w:szCs w:val="16"/>
                <w:lang w:val="en-US"/>
              </w:rPr>
            </w:pPr>
            <w:r w:rsidRPr="00161533">
              <w:rPr>
                <w:sz w:val="16"/>
                <w:szCs w:val="16"/>
                <w:lang w:val="en-US"/>
              </w:rPr>
              <w:t>6</w:t>
            </w:r>
            <w:r w:rsidR="002B4BE1" w:rsidRPr="00161533">
              <w:rPr>
                <w:sz w:val="16"/>
                <w:szCs w:val="16"/>
                <w:lang w:val="en-US"/>
              </w:rPr>
              <w:t>.</w:t>
            </w:r>
            <w:r w:rsidRPr="00161533">
              <w:rPr>
                <w:sz w:val="16"/>
                <w:szCs w:val="16"/>
                <w:lang w:val="en-US"/>
              </w:rPr>
              <w:t>7</w:t>
            </w:r>
            <w:r w:rsidR="002B4BE1" w:rsidRPr="00161533">
              <w:rPr>
                <w:sz w:val="16"/>
                <w:szCs w:val="16"/>
                <w:lang w:val="en-US"/>
              </w:rPr>
              <w:t>%</w:t>
            </w:r>
          </w:p>
        </w:tc>
        <w:tc>
          <w:tcPr>
            <w:tcW w:w="2268" w:type="dxa"/>
            <w:tcBorders>
              <w:top w:val="nil"/>
              <w:left w:val="single" w:sz="4" w:space="0" w:color="auto"/>
              <w:bottom w:val="nil"/>
              <w:right w:val="nil"/>
            </w:tcBorders>
          </w:tcPr>
          <w:p w14:paraId="4A6A05D5" w14:textId="2B0EEDF1" w:rsidR="00A529DB" w:rsidRPr="00161533" w:rsidRDefault="00724EAD" w:rsidP="00861F97">
            <w:pPr>
              <w:jc w:val="center"/>
              <w:rPr>
                <w:sz w:val="16"/>
                <w:szCs w:val="16"/>
                <w:lang w:val="en-US"/>
              </w:rPr>
            </w:pPr>
            <w:r w:rsidRPr="00161533">
              <w:rPr>
                <w:sz w:val="16"/>
                <w:szCs w:val="16"/>
                <w:lang w:val="en-US"/>
              </w:rPr>
              <w:t>12</w:t>
            </w:r>
            <w:r w:rsidR="002B4BE1" w:rsidRPr="00161533">
              <w:rPr>
                <w:sz w:val="16"/>
                <w:szCs w:val="16"/>
                <w:lang w:val="en-US"/>
              </w:rPr>
              <w:t>.</w:t>
            </w:r>
            <w:r w:rsidRPr="00161533">
              <w:rPr>
                <w:sz w:val="16"/>
                <w:szCs w:val="16"/>
                <w:lang w:val="en-US"/>
              </w:rPr>
              <w:t>5</w:t>
            </w:r>
            <w:r w:rsidR="002B4BE1" w:rsidRPr="00161533">
              <w:rPr>
                <w:sz w:val="16"/>
                <w:szCs w:val="16"/>
                <w:lang w:val="en-US"/>
              </w:rPr>
              <w:t>%</w:t>
            </w:r>
          </w:p>
        </w:tc>
      </w:tr>
      <w:tr w:rsidR="00A529DB" w:rsidRPr="00161533" w14:paraId="12BF8E72" w14:textId="606E98B0" w:rsidTr="00A529DB">
        <w:trPr>
          <w:jc w:val="center"/>
        </w:trPr>
        <w:tc>
          <w:tcPr>
            <w:tcW w:w="1843" w:type="dxa"/>
            <w:tcBorders>
              <w:top w:val="nil"/>
              <w:left w:val="nil"/>
              <w:bottom w:val="single" w:sz="4" w:space="0" w:color="auto"/>
              <w:right w:val="single" w:sz="4" w:space="0" w:color="auto"/>
            </w:tcBorders>
            <w:shd w:val="clear" w:color="auto" w:fill="auto"/>
          </w:tcPr>
          <w:p w14:paraId="0A9371D5" w14:textId="77777777" w:rsidR="00A529DB" w:rsidRPr="00161533" w:rsidRDefault="00A529DB" w:rsidP="00861F97">
            <w:pPr>
              <w:ind w:left="164"/>
              <w:rPr>
                <w:sz w:val="16"/>
                <w:szCs w:val="16"/>
                <w:lang w:val="en-US"/>
              </w:rPr>
            </w:pPr>
            <w:r w:rsidRPr="00161533">
              <w:rPr>
                <w:sz w:val="16"/>
                <w:szCs w:val="16"/>
                <w:lang w:val="en-US"/>
              </w:rPr>
              <w:t>High</w:t>
            </w:r>
          </w:p>
        </w:tc>
        <w:tc>
          <w:tcPr>
            <w:tcW w:w="2268" w:type="dxa"/>
            <w:tcBorders>
              <w:top w:val="nil"/>
              <w:left w:val="single" w:sz="4" w:space="0" w:color="auto"/>
              <w:bottom w:val="single" w:sz="4" w:space="0" w:color="auto"/>
              <w:right w:val="nil"/>
            </w:tcBorders>
            <w:shd w:val="clear" w:color="auto" w:fill="auto"/>
          </w:tcPr>
          <w:p w14:paraId="5582B751" w14:textId="76CB07B2" w:rsidR="00A529DB" w:rsidRPr="00161533" w:rsidRDefault="002B4BE1" w:rsidP="00861F97">
            <w:pPr>
              <w:jc w:val="center"/>
              <w:rPr>
                <w:sz w:val="16"/>
                <w:szCs w:val="16"/>
                <w:lang w:val="en-US"/>
              </w:rPr>
            </w:pPr>
            <w:r w:rsidRPr="00161533">
              <w:rPr>
                <w:sz w:val="16"/>
                <w:szCs w:val="16"/>
                <w:lang w:val="en-US"/>
              </w:rPr>
              <w:t>60%</w:t>
            </w:r>
          </w:p>
        </w:tc>
        <w:tc>
          <w:tcPr>
            <w:tcW w:w="2268" w:type="dxa"/>
            <w:tcBorders>
              <w:top w:val="nil"/>
              <w:left w:val="single" w:sz="4" w:space="0" w:color="auto"/>
              <w:bottom w:val="single" w:sz="4" w:space="0" w:color="auto"/>
              <w:right w:val="single" w:sz="4" w:space="0" w:color="auto"/>
            </w:tcBorders>
          </w:tcPr>
          <w:p w14:paraId="4C5DBB8F" w14:textId="65F32D00" w:rsidR="00A529DB" w:rsidRPr="00161533" w:rsidRDefault="00A529DB" w:rsidP="00861F97">
            <w:pPr>
              <w:jc w:val="center"/>
              <w:rPr>
                <w:sz w:val="16"/>
                <w:szCs w:val="16"/>
                <w:lang w:val="en-US"/>
              </w:rPr>
            </w:pPr>
            <w:r w:rsidRPr="00161533">
              <w:rPr>
                <w:sz w:val="16"/>
                <w:szCs w:val="16"/>
                <w:lang w:val="en-US"/>
              </w:rPr>
              <w:t>6</w:t>
            </w:r>
            <w:r w:rsidR="002B4BE1" w:rsidRPr="00161533">
              <w:rPr>
                <w:sz w:val="16"/>
                <w:szCs w:val="16"/>
                <w:lang w:val="en-US"/>
              </w:rPr>
              <w:t>.</w:t>
            </w:r>
            <w:r w:rsidRPr="00161533">
              <w:rPr>
                <w:sz w:val="16"/>
                <w:szCs w:val="16"/>
                <w:lang w:val="en-US"/>
              </w:rPr>
              <w:t>7</w:t>
            </w:r>
            <w:r w:rsidR="002B4BE1" w:rsidRPr="00161533">
              <w:rPr>
                <w:sz w:val="16"/>
                <w:szCs w:val="16"/>
                <w:lang w:val="en-US"/>
              </w:rPr>
              <w:t>%</w:t>
            </w:r>
          </w:p>
        </w:tc>
        <w:tc>
          <w:tcPr>
            <w:tcW w:w="2268" w:type="dxa"/>
            <w:tcBorders>
              <w:top w:val="nil"/>
              <w:left w:val="single" w:sz="4" w:space="0" w:color="auto"/>
              <w:bottom w:val="single" w:sz="4" w:space="0" w:color="auto"/>
              <w:right w:val="nil"/>
            </w:tcBorders>
          </w:tcPr>
          <w:p w14:paraId="0DE48FC0" w14:textId="3D124439" w:rsidR="00A529DB" w:rsidRPr="00161533" w:rsidRDefault="00724EAD" w:rsidP="00861F97">
            <w:pPr>
              <w:jc w:val="center"/>
              <w:rPr>
                <w:sz w:val="16"/>
                <w:szCs w:val="16"/>
                <w:lang w:val="en-US"/>
              </w:rPr>
            </w:pPr>
            <w:r w:rsidRPr="00161533">
              <w:rPr>
                <w:sz w:val="16"/>
                <w:szCs w:val="16"/>
                <w:lang w:val="en-US"/>
              </w:rPr>
              <w:t>4</w:t>
            </w:r>
            <w:r w:rsidR="002B4BE1" w:rsidRPr="00161533">
              <w:rPr>
                <w:sz w:val="16"/>
                <w:szCs w:val="16"/>
                <w:lang w:val="en-US"/>
              </w:rPr>
              <w:t>.</w:t>
            </w:r>
            <w:r w:rsidRPr="00161533">
              <w:rPr>
                <w:sz w:val="16"/>
                <w:szCs w:val="16"/>
                <w:lang w:val="en-US"/>
              </w:rPr>
              <w:t>2</w:t>
            </w:r>
            <w:r w:rsidR="002B4BE1" w:rsidRPr="00161533">
              <w:rPr>
                <w:sz w:val="16"/>
                <w:szCs w:val="16"/>
                <w:lang w:val="en-US"/>
              </w:rPr>
              <w:t>%</w:t>
            </w:r>
          </w:p>
        </w:tc>
      </w:tr>
      <w:tr w:rsidR="00A529DB" w:rsidRPr="00161533" w14:paraId="6A2870F2" w14:textId="146B7D3D" w:rsidTr="00A529DB">
        <w:trPr>
          <w:jc w:val="center"/>
        </w:trPr>
        <w:tc>
          <w:tcPr>
            <w:tcW w:w="1843" w:type="dxa"/>
            <w:tcBorders>
              <w:top w:val="single" w:sz="4" w:space="0" w:color="auto"/>
              <w:left w:val="nil"/>
              <w:bottom w:val="nil"/>
              <w:right w:val="single" w:sz="4" w:space="0" w:color="auto"/>
            </w:tcBorders>
            <w:shd w:val="clear" w:color="auto" w:fill="auto"/>
          </w:tcPr>
          <w:p w14:paraId="59C87418" w14:textId="77777777" w:rsidR="00A529DB" w:rsidRPr="00161533" w:rsidRDefault="00A529DB" w:rsidP="00861F97">
            <w:pPr>
              <w:rPr>
                <w:sz w:val="16"/>
                <w:szCs w:val="16"/>
                <w:lang w:val="en-US"/>
              </w:rPr>
            </w:pPr>
            <w:r w:rsidRPr="00161533">
              <w:rPr>
                <w:i/>
                <w:iCs/>
                <w:sz w:val="16"/>
                <w:szCs w:val="16"/>
                <w:lang w:val="en-US"/>
              </w:rPr>
              <w:t>Sufficiency quantity</w:t>
            </w:r>
          </w:p>
        </w:tc>
        <w:tc>
          <w:tcPr>
            <w:tcW w:w="2268" w:type="dxa"/>
            <w:tcBorders>
              <w:top w:val="single" w:sz="4" w:space="0" w:color="auto"/>
              <w:left w:val="single" w:sz="4" w:space="0" w:color="auto"/>
              <w:bottom w:val="nil"/>
              <w:right w:val="nil"/>
            </w:tcBorders>
            <w:shd w:val="clear" w:color="auto" w:fill="auto"/>
          </w:tcPr>
          <w:p w14:paraId="7A1A9DE6" w14:textId="77777777" w:rsidR="00A529DB" w:rsidRPr="00161533" w:rsidRDefault="00A529DB" w:rsidP="00861F97">
            <w:pPr>
              <w:jc w:val="center"/>
              <w:rPr>
                <w:sz w:val="16"/>
                <w:szCs w:val="16"/>
                <w:lang w:val="en-US"/>
              </w:rPr>
            </w:pPr>
          </w:p>
        </w:tc>
        <w:tc>
          <w:tcPr>
            <w:tcW w:w="2268" w:type="dxa"/>
            <w:tcBorders>
              <w:top w:val="single" w:sz="4" w:space="0" w:color="auto"/>
              <w:left w:val="single" w:sz="4" w:space="0" w:color="auto"/>
              <w:bottom w:val="nil"/>
              <w:right w:val="single" w:sz="4" w:space="0" w:color="auto"/>
            </w:tcBorders>
          </w:tcPr>
          <w:p w14:paraId="391DA895" w14:textId="77777777" w:rsidR="00A529DB" w:rsidRPr="00161533" w:rsidRDefault="00A529DB" w:rsidP="00861F97">
            <w:pPr>
              <w:jc w:val="center"/>
              <w:rPr>
                <w:sz w:val="16"/>
                <w:szCs w:val="16"/>
                <w:lang w:val="en-US"/>
              </w:rPr>
            </w:pPr>
          </w:p>
        </w:tc>
        <w:tc>
          <w:tcPr>
            <w:tcW w:w="2268" w:type="dxa"/>
            <w:tcBorders>
              <w:top w:val="single" w:sz="4" w:space="0" w:color="auto"/>
              <w:left w:val="single" w:sz="4" w:space="0" w:color="auto"/>
              <w:bottom w:val="nil"/>
              <w:right w:val="nil"/>
            </w:tcBorders>
          </w:tcPr>
          <w:p w14:paraId="7AB04162" w14:textId="42F12B79" w:rsidR="00A529DB" w:rsidRPr="00161533" w:rsidRDefault="00A529DB" w:rsidP="00861F97">
            <w:pPr>
              <w:jc w:val="center"/>
              <w:rPr>
                <w:sz w:val="16"/>
                <w:szCs w:val="16"/>
                <w:lang w:val="en-US"/>
              </w:rPr>
            </w:pPr>
          </w:p>
        </w:tc>
      </w:tr>
      <w:tr w:rsidR="00A529DB" w:rsidRPr="00161533" w14:paraId="0D8F349C" w14:textId="56C93D98" w:rsidTr="00724EAD">
        <w:trPr>
          <w:jc w:val="center"/>
        </w:trPr>
        <w:tc>
          <w:tcPr>
            <w:tcW w:w="1843" w:type="dxa"/>
            <w:tcBorders>
              <w:top w:val="nil"/>
              <w:left w:val="nil"/>
              <w:bottom w:val="nil"/>
              <w:right w:val="single" w:sz="4" w:space="0" w:color="auto"/>
            </w:tcBorders>
            <w:shd w:val="clear" w:color="auto" w:fill="auto"/>
          </w:tcPr>
          <w:p w14:paraId="2C81DF70" w14:textId="77777777" w:rsidR="00A529DB" w:rsidRPr="00161533" w:rsidRDefault="00A529DB" w:rsidP="00861F97">
            <w:pPr>
              <w:ind w:left="164"/>
              <w:rPr>
                <w:sz w:val="16"/>
                <w:szCs w:val="16"/>
                <w:lang w:val="en-US"/>
              </w:rPr>
            </w:pPr>
            <w:r w:rsidRPr="00161533">
              <w:rPr>
                <w:sz w:val="16"/>
                <w:szCs w:val="16"/>
                <w:lang w:val="en-US"/>
              </w:rPr>
              <w:t>Many sources</w:t>
            </w:r>
          </w:p>
        </w:tc>
        <w:tc>
          <w:tcPr>
            <w:tcW w:w="2268" w:type="dxa"/>
            <w:tcBorders>
              <w:top w:val="nil"/>
              <w:left w:val="single" w:sz="4" w:space="0" w:color="auto"/>
              <w:bottom w:val="nil"/>
              <w:right w:val="nil"/>
            </w:tcBorders>
            <w:shd w:val="clear" w:color="auto" w:fill="auto"/>
          </w:tcPr>
          <w:p w14:paraId="0D659845" w14:textId="00D015C7" w:rsidR="00A529DB" w:rsidRPr="00161533" w:rsidRDefault="002B4BE1" w:rsidP="00861F97">
            <w:pPr>
              <w:jc w:val="center"/>
              <w:rPr>
                <w:sz w:val="16"/>
                <w:szCs w:val="16"/>
                <w:lang w:val="en-US"/>
              </w:rPr>
            </w:pPr>
            <w:r w:rsidRPr="00161533">
              <w:rPr>
                <w:sz w:val="16"/>
                <w:szCs w:val="16"/>
                <w:lang w:val="en-US"/>
              </w:rPr>
              <w:t>60%</w:t>
            </w:r>
          </w:p>
        </w:tc>
        <w:tc>
          <w:tcPr>
            <w:tcW w:w="2268" w:type="dxa"/>
            <w:tcBorders>
              <w:top w:val="nil"/>
              <w:left w:val="single" w:sz="4" w:space="0" w:color="auto"/>
              <w:bottom w:val="nil"/>
              <w:right w:val="single" w:sz="4" w:space="0" w:color="auto"/>
            </w:tcBorders>
          </w:tcPr>
          <w:p w14:paraId="462BCEED" w14:textId="49E02951" w:rsidR="00A529DB" w:rsidRPr="00161533" w:rsidRDefault="00724EAD" w:rsidP="00861F97">
            <w:pPr>
              <w:jc w:val="center"/>
              <w:rPr>
                <w:sz w:val="16"/>
                <w:szCs w:val="16"/>
                <w:lang w:val="en-US"/>
              </w:rPr>
            </w:pPr>
            <w:r w:rsidRPr="00161533">
              <w:rPr>
                <w:sz w:val="16"/>
                <w:szCs w:val="16"/>
                <w:lang w:val="en-US"/>
              </w:rPr>
              <w:t>66</w:t>
            </w:r>
            <w:r w:rsidR="002B4BE1" w:rsidRPr="00161533">
              <w:rPr>
                <w:sz w:val="16"/>
                <w:szCs w:val="16"/>
                <w:lang w:val="en-US"/>
              </w:rPr>
              <w:t>.</w:t>
            </w:r>
            <w:r w:rsidRPr="00161533">
              <w:rPr>
                <w:sz w:val="16"/>
                <w:szCs w:val="16"/>
                <w:lang w:val="en-US"/>
              </w:rPr>
              <w:t>7</w:t>
            </w:r>
            <w:r w:rsidR="002B4BE1" w:rsidRPr="00161533">
              <w:rPr>
                <w:sz w:val="16"/>
                <w:szCs w:val="16"/>
                <w:lang w:val="en-US"/>
              </w:rPr>
              <w:t>%</w:t>
            </w:r>
          </w:p>
        </w:tc>
        <w:tc>
          <w:tcPr>
            <w:tcW w:w="2268" w:type="dxa"/>
            <w:tcBorders>
              <w:top w:val="nil"/>
              <w:left w:val="single" w:sz="4" w:space="0" w:color="auto"/>
              <w:bottom w:val="nil"/>
              <w:right w:val="nil"/>
            </w:tcBorders>
          </w:tcPr>
          <w:p w14:paraId="014CC6C4" w14:textId="379DE0D8" w:rsidR="00A529DB" w:rsidRPr="00161533" w:rsidRDefault="00724EAD" w:rsidP="00861F97">
            <w:pPr>
              <w:jc w:val="center"/>
              <w:rPr>
                <w:sz w:val="16"/>
                <w:szCs w:val="16"/>
                <w:lang w:val="en-US"/>
              </w:rPr>
            </w:pPr>
            <w:r w:rsidRPr="00161533">
              <w:rPr>
                <w:sz w:val="16"/>
                <w:szCs w:val="16"/>
                <w:lang w:val="en-US"/>
              </w:rPr>
              <w:t>77</w:t>
            </w:r>
            <w:r w:rsidR="002B4BE1" w:rsidRPr="00161533">
              <w:rPr>
                <w:sz w:val="16"/>
                <w:szCs w:val="16"/>
                <w:lang w:val="en-US"/>
              </w:rPr>
              <w:t>.</w:t>
            </w:r>
            <w:r w:rsidRPr="00161533">
              <w:rPr>
                <w:sz w:val="16"/>
                <w:szCs w:val="16"/>
                <w:lang w:val="en-US"/>
              </w:rPr>
              <w:t>1</w:t>
            </w:r>
            <w:r w:rsidR="002B4BE1" w:rsidRPr="00161533">
              <w:rPr>
                <w:sz w:val="16"/>
                <w:szCs w:val="16"/>
                <w:lang w:val="en-US"/>
              </w:rPr>
              <w:t>%</w:t>
            </w:r>
          </w:p>
        </w:tc>
      </w:tr>
      <w:tr w:rsidR="00A529DB" w:rsidRPr="00161533" w14:paraId="7D14DA99" w14:textId="7971F8CF" w:rsidTr="00724EAD">
        <w:trPr>
          <w:jc w:val="center"/>
        </w:trPr>
        <w:tc>
          <w:tcPr>
            <w:tcW w:w="1843" w:type="dxa"/>
            <w:tcBorders>
              <w:top w:val="nil"/>
              <w:left w:val="nil"/>
              <w:bottom w:val="nil"/>
              <w:right w:val="single" w:sz="4" w:space="0" w:color="auto"/>
            </w:tcBorders>
            <w:shd w:val="clear" w:color="auto" w:fill="auto"/>
          </w:tcPr>
          <w:p w14:paraId="49E1F839" w14:textId="77777777" w:rsidR="00A529DB" w:rsidRPr="00161533" w:rsidRDefault="00A529DB" w:rsidP="00861F97">
            <w:pPr>
              <w:ind w:left="164"/>
              <w:rPr>
                <w:sz w:val="16"/>
                <w:szCs w:val="16"/>
                <w:lang w:val="en-US"/>
              </w:rPr>
            </w:pPr>
            <w:r w:rsidRPr="00161533">
              <w:rPr>
                <w:sz w:val="16"/>
                <w:szCs w:val="16"/>
                <w:lang w:val="en-US"/>
              </w:rPr>
              <w:t>Few but large sources</w:t>
            </w:r>
          </w:p>
        </w:tc>
        <w:tc>
          <w:tcPr>
            <w:tcW w:w="2268" w:type="dxa"/>
            <w:tcBorders>
              <w:top w:val="nil"/>
              <w:left w:val="single" w:sz="4" w:space="0" w:color="auto"/>
              <w:bottom w:val="nil"/>
              <w:right w:val="single" w:sz="4" w:space="0" w:color="auto"/>
            </w:tcBorders>
            <w:shd w:val="clear" w:color="auto" w:fill="auto"/>
          </w:tcPr>
          <w:p w14:paraId="7CFC7B58" w14:textId="3EC78A4C" w:rsidR="00A529DB" w:rsidRPr="00161533" w:rsidRDefault="002B4BE1" w:rsidP="00861F97">
            <w:pPr>
              <w:jc w:val="center"/>
              <w:rPr>
                <w:sz w:val="16"/>
                <w:szCs w:val="16"/>
                <w:lang w:val="en-US"/>
              </w:rPr>
            </w:pPr>
            <w:r w:rsidRPr="00161533">
              <w:rPr>
                <w:sz w:val="16"/>
                <w:szCs w:val="16"/>
                <w:lang w:val="en-US"/>
              </w:rPr>
              <w:t>40%</w:t>
            </w:r>
          </w:p>
        </w:tc>
        <w:tc>
          <w:tcPr>
            <w:tcW w:w="2268" w:type="dxa"/>
            <w:tcBorders>
              <w:top w:val="nil"/>
              <w:left w:val="single" w:sz="4" w:space="0" w:color="auto"/>
              <w:bottom w:val="nil"/>
              <w:right w:val="single" w:sz="4" w:space="0" w:color="auto"/>
            </w:tcBorders>
          </w:tcPr>
          <w:p w14:paraId="4DE28F24" w14:textId="0811588F" w:rsidR="00A529DB" w:rsidRPr="00161533" w:rsidRDefault="00724EAD" w:rsidP="00861F97">
            <w:pPr>
              <w:jc w:val="center"/>
              <w:rPr>
                <w:sz w:val="16"/>
                <w:szCs w:val="16"/>
                <w:lang w:val="en-US"/>
              </w:rPr>
            </w:pPr>
            <w:r w:rsidRPr="00161533">
              <w:rPr>
                <w:sz w:val="16"/>
                <w:szCs w:val="16"/>
                <w:lang w:val="en-US"/>
              </w:rPr>
              <w:t>33</w:t>
            </w:r>
            <w:r w:rsidR="002B4BE1" w:rsidRPr="00161533">
              <w:rPr>
                <w:sz w:val="16"/>
                <w:szCs w:val="16"/>
                <w:lang w:val="en-US"/>
              </w:rPr>
              <w:t>.</w:t>
            </w:r>
            <w:r w:rsidRPr="00161533">
              <w:rPr>
                <w:sz w:val="16"/>
                <w:szCs w:val="16"/>
                <w:lang w:val="en-US"/>
              </w:rPr>
              <w:t>3</w:t>
            </w:r>
            <w:r w:rsidR="002B4BE1" w:rsidRPr="00161533">
              <w:rPr>
                <w:sz w:val="16"/>
                <w:szCs w:val="16"/>
                <w:lang w:val="en-US"/>
              </w:rPr>
              <w:t>%</w:t>
            </w:r>
          </w:p>
        </w:tc>
        <w:tc>
          <w:tcPr>
            <w:tcW w:w="2268" w:type="dxa"/>
            <w:tcBorders>
              <w:top w:val="nil"/>
              <w:left w:val="single" w:sz="4" w:space="0" w:color="auto"/>
              <w:bottom w:val="nil"/>
              <w:right w:val="nil"/>
            </w:tcBorders>
          </w:tcPr>
          <w:p w14:paraId="24631277" w14:textId="1C7F1C5A" w:rsidR="00A529DB" w:rsidRPr="00161533" w:rsidRDefault="00724EAD" w:rsidP="00861F97">
            <w:pPr>
              <w:jc w:val="center"/>
              <w:rPr>
                <w:sz w:val="16"/>
                <w:szCs w:val="16"/>
                <w:lang w:val="en-US"/>
              </w:rPr>
            </w:pPr>
            <w:r w:rsidRPr="00161533">
              <w:rPr>
                <w:sz w:val="16"/>
                <w:szCs w:val="16"/>
                <w:lang w:val="en-US"/>
              </w:rPr>
              <w:t>22</w:t>
            </w:r>
            <w:r w:rsidR="002B4BE1" w:rsidRPr="00161533">
              <w:rPr>
                <w:sz w:val="16"/>
                <w:szCs w:val="16"/>
                <w:lang w:val="en-US"/>
              </w:rPr>
              <w:t>.</w:t>
            </w:r>
            <w:r w:rsidRPr="00161533">
              <w:rPr>
                <w:sz w:val="16"/>
                <w:szCs w:val="16"/>
                <w:lang w:val="en-US"/>
              </w:rPr>
              <w:t>9</w:t>
            </w:r>
            <w:r w:rsidR="002B4BE1" w:rsidRPr="00161533">
              <w:rPr>
                <w:sz w:val="16"/>
                <w:szCs w:val="16"/>
                <w:lang w:val="en-US"/>
              </w:rPr>
              <w:t>%</w:t>
            </w:r>
          </w:p>
        </w:tc>
      </w:tr>
      <w:tr w:rsidR="00724EAD" w:rsidRPr="00161533" w14:paraId="38A32387" w14:textId="77777777" w:rsidTr="00724EAD">
        <w:trPr>
          <w:jc w:val="center"/>
        </w:trPr>
        <w:tc>
          <w:tcPr>
            <w:tcW w:w="1843" w:type="dxa"/>
            <w:tcBorders>
              <w:top w:val="nil"/>
              <w:left w:val="nil"/>
              <w:bottom w:val="single" w:sz="4" w:space="0" w:color="auto"/>
              <w:right w:val="single" w:sz="4" w:space="0" w:color="auto"/>
            </w:tcBorders>
            <w:shd w:val="clear" w:color="auto" w:fill="auto"/>
          </w:tcPr>
          <w:p w14:paraId="2BDFD307" w14:textId="1FD8B4CB" w:rsidR="00724EAD" w:rsidRPr="00161533" w:rsidRDefault="00724EAD" w:rsidP="00861F97">
            <w:pPr>
              <w:ind w:left="164"/>
              <w:rPr>
                <w:sz w:val="16"/>
                <w:szCs w:val="16"/>
                <w:lang w:val="en-US"/>
              </w:rPr>
            </w:pPr>
            <w:r w:rsidRPr="00161533">
              <w:rPr>
                <w:sz w:val="16"/>
                <w:szCs w:val="16"/>
                <w:lang w:val="en-US"/>
              </w:rPr>
              <w:t>Few and small sources</w:t>
            </w:r>
          </w:p>
        </w:tc>
        <w:tc>
          <w:tcPr>
            <w:tcW w:w="2268" w:type="dxa"/>
            <w:tcBorders>
              <w:top w:val="nil"/>
              <w:left w:val="single" w:sz="4" w:space="0" w:color="auto"/>
              <w:bottom w:val="single" w:sz="4" w:space="0" w:color="auto"/>
              <w:right w:val="nil"/>
            </w:tcBorders>
            <w:shd w:val="clear" w:color="auto" w:fill="auto"/>
          </w:tcPr>
          <w:p w14:paraId="44AF7D7F" w14:textId="77777777" w:rsidR="00724EAD" w:rsidRPr="00161533" w:rsidRDefault="00724EAD" w:rsidP="00861F97">
            <w:pPr>
              <w:jc w:val="center"/>
              <w:rPr>
                <w:sz w:val="16"/>
                <w:szCs w:val="16"/>
                <w:lang w:val="en-US"/>
              </w:rPr>
            </w:pPr>
          </w:p>
        </w:tc>
        <w:tc>
          <w:tcPr>
            <w:tcW w:w="2268" w:type="dxa"/>
            <w:tcBorders>
              <w:top w:val="nil"/>
              <w:left w:val="single" w:sz="4" w:space="0" w:color="auto"/>
              <w:bottom w:val="single" w:sz="4" w:space="0" w:color="auto"/>
              <w:right w:val="single" w:sz="4" w:space="0" w:color="auto"/>
            </w:tcBorders>
          </w:tcPr>
          <w:p w14:paraId="1B6E55B1" w14:textId="77777777" w:rsidR="00724EAD" w:rsidRPr="00161533" w:rsidRDefault="00724EAD" w:rsidP="00861F97">
            <w:pPr>
              <w:jc w:val="center"/>
              <w:rPr>
                <w:sz w:val="16"/>
                <w:szCs w:val="16"/>
                <w:lang w:val="en-US"/>
              </w:rPr>
            </w:pPr>
          </w:p>
        </w:tc>
        <w:tc>
          <w:tcPr>
            <w:tcW w:w="2268" w:type="dxa"/>
            <w:tcBorders>
              <w:top w:val="nil"/>
              <w:left w:val="single" w:sz="4" w:space="0" w:color="auto"/>
              <w:bottom w:val="single" w:sz="4" w:space="0" w:color="auto"/>
              <w:right w:val="nil"/>
            </w:tcBorders>
          </w:tcPr>
          <w:p w14:paraId="72DA37FF" w14:textId="77777777" w:rsidR="00724EAD" w:rsidRPr="00161533" w:rsidRDefault="00724EAD" w:rsidP="00861F97">
            <w:pPr>
              <w:jc w:val="center"/>
              <w:rPr>
                <w:sz w:val="16"/>
                <w:szCs w:val="16"/>
                <w:lang w:val="en-US"/>
              </w:rPr>
            </w:pPr>
          </w:p>
        </w:tc>
      </w:tr>
      <w:tr w:rsidR="00A529DB" w:rsidRPr="00161533" w14:paraId="2A948EBF" w14:textId="07C82897" w:rsidTr="00A529DB">
        <w:trPr>
          <w:jc w:val="center"/>
        </w:trPr>
        <w:tc>
          <w:tcPr>
            <w:tcW w:w="1843" w:type="dxa"/>
            <w:tcBorders>
              <w:top w:val="single" w:sz="4" w:space="0" w:color="auto"/>
              <w:left w:val="nil"/>
              <w:bottom w:val="nil"/>
              <w:right w:val="single" w:sz="4" w:space="0" w:color="auto"/>
            </w:tcBorders>
            <w:shd w:val="clear" w:color="auto" w:fill="auto"/>
          </w:tcPr>
          <w:p w14:paraId="241314B2" w14:textId="77777777" w:rsidR="00A529DB" w:rsidRPr="00161533" w:rsidRDefault="00A529DB" w:rsidP="00861F97">
            <w:pPr>
              <w:rPr>
                <w:i/>
                <w:iCs/>
                <w:sz w:val="16"/>
                <w:szCs w:val="16"/>
                <w:lang w:val="en-US"/>
              </w:rPr>
            </w:pPr>
            <w:r w:rsidRPr="00161533">
              <w:rPr>
                <w:i/>
                <w:iCs/>
                <w:sz w:val="16"/>
                <w:szCs w:val="16"/>
                <w:lang w:val="en-US"/>
              </w:rPr>
              <w:t>Value input</w:t>
            </w:r>
          </w:p>
        </w:tc>
        <w:tc>
          <w:tcPr>
            <w:tcW w:w="2268" w:type="dxa"/>
            <w:tcBorders>
              <w:top w:val="single" w:sz="4" w:space="0" w:color="auto"/>
              <w:left w:val="single" w:sz="4" w:space="0" w:color="auto"/>
              <w:bottom w:val="nil"/>
              <w:right w:val="nil"/>
            </w:tcBorders>
            <w:shd w:val="clear" w:color="auto" w:fill="auto"/>
          </w:tcPr>
          <w:p w14:paraId="0B0DC6E9" w14:textId="77777777" w:rsidR="00A529DB" w:rsidRPr="00161533" w:rsidRDefault="00A529DB" w:rsidP="00861F97">
            <w:pPr>
              <w:jc w:val="center"/>
              <w:rPr>
                <w:sz w:val="16"/>
                <w:szCs w:val="16"/>
                <w:lang w:val="en-US"/>
              </w:rPr>
            </w:pPr>
          </w:p>
        </w:tc>
        <w:tc>
          <w:tcPr>
            <w:tcW w:w="2268" w:type="dxa"/>
            <w:tcBorders>
              <w:top w:val="single" w:sz="4" w:space="0" w:color="auto"/>
              <w:left w:val="single" w:sz="4" w:space="0" w:color="auto"/>
              <w:bottom w:val="nil"/>
              <w:right w:val="single" w:sz="4" w:space="0" w:color="auto"/>
            </w:tcBorders>
          </w:tcPr>
          <w:p w14:paraId="40630296" w14:textId="77777777" w:rsidR="00A529DB" w:rsidRPr="00161533" w:rsidRDefault="00A529DB" w:rsidP="00861F97">
            <w:pPr>
              <w:jc w:val="center"/>
              <w:rPr>
                <w:sz w:val="16"/>
                <w:szCs w:val="16"/>
                <w:lang w:val="en-US"/>
              </w:rPr>
            </w:pPr>
          </w:p>
        </w:tc>
        <w:tc>
          <w:tcPr>
            <w:tcW w:w="2268" w:type="dxa"/>
            <w:tcBorders>
              <w:top w:val="single" w:sz="4" w:space="0" w:color="auto"/>
              <w:left w:val="single" w:sz="4" w:space="0" w:color="auto"/>
              <w:bottom w:val="nil"/>
              <w:right w:val="nil"/>
            </w:tcBorders>
          </w:tcPr>
          <w:p w14:paraId="24C9D5AA" w14:textId="079A2AA7" w:rsidR="00A529DB" w:rsidRPr="00161533" w:rsidRDefault="00A529DB" w:rsidP="00861F97">
            <w:pPr>
              <w:jc w:val="center"/>
              <w:rPr>
                <w:sz w:val="16"/>
                <w:szCs w:val="16"/>
                <w:lang w:val="en-US"/>
              </w:rPr>
            </w:pPr>
          </w:p>
        </w:tc>
      </w:tr>
      <w:tr w:rsidR="00A529DB" w:rsidRPr="00161533" w14:paraId="1D88274E" w14:textId="6E16A60F" w:rsidTr="00A529DB">
        <w:trPr>
          <w:jc w:val="center"/>
        </w:trPr>
        <w:tc>
          <w:tcPr>
            <w:tcW w:w="1843" w:type="dxa"/>
            <w:tcBorders>
              <w:top w:val="nil"/>
              <w:left w:val="nil"/>
              <w:bottom w:val="nil"/>
              <w:right w:val="single" w:sz="4" w:space="0" w:color="auto"/>
            </w:tcBorders>
            <w:shd w:val="clear" w:color="auto" w:fill="auto"/>
          </w:tcPr>
          <w:p w14:paraId="2034EE69" w14:textId="77777777" w:rsidR="00A529DB" w:rsidRPr="00161533" w:rsidRDefault="00A529DB" w:rsidP="00861F97">
            <w:pPr>
              <w:ind w:left="164"/>
              <w:rPr>
                <w:sz w:val="16"/>
                <w:szCs w:val="16"/>
                <w:lang w:val="en-US"/>
              </w:rPr>
            </w:pPr>
            <w:r w:rsidRPr="00161533">
              <w:rPr>
                <w:sz w:val="16"/>
                <w:szCs w:val="16"/>
                <w:lang w:val="en-US"/>
              </w:rPr>
              <w:t>Low</w:t>
            </w:r>
          </w:p>
        </w:tc>
        <w:tc>
          <w:tcPr>
            <w:tcW w:w="2268" w:type="dxa"/>
            <w:tcBorders>
              <w:top w:val="nil"/>
              <w:left w:val="single" w:sz="4" w:space="0" w:color="auto"/>
              <w:bottom w:val="nil"/>
              <w:right w:val="nil"/>
            </w:tcBorders>
            <w:shd w:val="clear" w:color="auto" w:fill="auto"/>
          </w:tcPr>
          <w:p w14:paraId="29AAEE63" w14:textId="4823C158" w:rsidR="00A529DB" w:rsidRPr="00161533" w:rsidRDefault="00A529DB" w:rsidP="00861F97">
            <w:pPr>
              <w:jc w:val="center"/>
              <w:rPr>
                <w:sz w:val="16"/>
                <w:szCs w:val="16"/>
                <w:lang w:val="en-US"/>
              </w:rPr>
            </w:pPr>
          </w:p>
        </w:tc>
        <w:tc>
          <w:tcPr>
            <w:tcW w:w="2268" w:type="dxa"/>
            <w:tcBorders>
              <w:top w:val="nil"/>
              <w:left w:val="single" w:sz="4" w:space="0" w:color="auto"/>
              <w:bottom w:val="nil"/>
              <w:right w:val="single" w:sz="4" w:space="0" w:color="auto"/>
            </w:tcBorders>
          </w:tcPr>
          <w:p w14:paraId="5BF66985" w14:textId="536F573A" w:rsidR="00A529DB" w:rsidRPr="00161533" w:rsidRDefault="00724EAD" w:rsidP="00861F97">
            <w:pPr>
              <w:jc w:val="center"/>
              <w:rPr>
                <w:sz w:val="16"/>
                <w:szCs w:val="16"/>
                <w:lang w:val="en-US"/>
              </w:rPr>
            </w:pPr>
            <w:r w:rsidRPr="00161533">
              <w:rPr>
                <w:sz w:val="16"/>
                <w:szCs w:val="16"/>
                <w:lang w:val="en-US"/>
              </w:rPr>
              <w:t>53</w:t>
            </w:r>
            <w:r w:rsidR="002B4BE1" w:rsidRPr="00161533">
              <w:rPr>
                <w:sz w:val="16"/>
                <w:szCs w:val="16"/>
                <w:lang w:val="en-US"/>
              </w:rPr>
              <w:t>.</w:t>
            </w:r>
            <w:r w:rsidRPr="00161533">
              <w:rPr>
                <w:sz w:val="16"/>
                <w:szCs w:val="16"/>
                <w:lang w:val="en-US"/>
              </w:rPr>
              <w:t>3</w:t>
            </w:r>
            <w:r w:rsidR="002B4BE1" w:rsidRPr="00161533">
              <w:rPr>
                <w:sz w:val="16"/>
                <w:szCs w:val="16"/>
                <w:lang w:val="en-US"/>
              </w:rPr>
              <w:t>%</w:t>
            </w:r>
          </w:p>
        </w:tc>
        <w:tc>
          <w:tcPr>
            <w:tcW w:w="2268" w:type="dxa"/>
            <w:tcBorders>
              <w:top w:val="nil"/>
              <w:left w:val="single" w:sz="4" w:space="0" w:color="auto"/>
              <w:bottom w:val="nil"/>
              <w:right w:val="nil"/>
            </w:tcBorders>
          </w:tcPr>
          <w:p w14:paraId="75ED7C57" w14:textId="71721E30" w:rsidR="00A529DB" w:rsidRPr="00161533" w:rsidRDefault="00724EAD" w:rsidP="00861F97">
            <w:pPr>
              <w:jc w:val="center"/>
              <w:rPr>
                <w:sz w:val="16"/>
                <w:szCs w:val="16"/>
                <w:lang w:val="en-US"/>
              </w:rPr>
            </w:pPr>
            <w:r w:rsidRPr="00161533">
              <w:rPr>
                <w:sz w:val="16"/>
                <w:szCs w:val="16"/>
                <w:lang w:val="en-US"/>
              </w:rPr>
              <w:t>95</w:t>
            </w:r>
            <w:r w:rsidR="002B4BE1" w:rsidRPr="00161533">
              <w:rPr>
                <w:sz w:val="16"/>
                <w:szCs w:val="16"/>
                <w:lang w:val="en-US"/>
              </w:rPr>
              <w:t>.</w:t>
            </w:r>
            <w:r w:rsidRPr="00161533">
              <w:rPr>
                <w:sz w:val="16"/>
                <w:szCs w:val="16"/>
                <w:lang w:val="en-US"/>
              </w:rPr>
              <w:t>8</w:t>
            </w:r>
            <w:r w:rsidR="002B4BE1" w:rsidRPr="00161533">
              <w:rPr>
                <w:sz w:val="16"/>
                <w:szCs w:val="16"/>
                <w:lang w:val="en-US"/>
              </w:rPr>
              <w:t>%</w:t>
            </w:r>
          </w:p>
        </w:tc>
      </w:tr>
      <w:tr w:rsidR="00A529DB" w:rsidRPr="00161533" w14:paraId="5A1F2CAD" w14:textId="32C80F37" w:rsidTr="00A529DB">
        <w:trPr>
          <w:jc w:val="center"/>
        </w:trPr>
        <w:tc>
          <w:tcPr>
            <w:tcW w:w="1843" w:type="dxa"/>
            <w:tcBorders>
              <w:top w:val="nil"/>
              <w:left w:val="nil"/>
              <w:bottom w:val="nil"/>
              <w:right w:val="single" w:sz="4" w:space="0" w:color="auto"/>
            </w:tcBorders>
            <w:shd w:val="clear" w:color="auto" w:fill="auto"/>
          </w:tcPr>
          <w:p w14:paraId="0B589EED" w14:textId="77777777" w:rsidR="00A529DB" w:rsidRPr="00161533" w:rsidRDefault="00A529DB" w:rsidP="00861F97">
            <w:pPr>
              <w:ind w:left="164"/>
              <w:rPr>
                <w:sz w:val="16"/>
                <w:szCs w:val="16"/>
                <w:lang w:val="en-US"/>
              </w:rPr>
            </w:pPr>
            <w:r w:rsidRPr="00161533">
              <w:rPr>
                <w:sz w:val="16"/>
                <w:szCs w:val="16"/>
                <w:lang w:val="en-US"/>
              </w:rPr>
              <w:t>Medium</w:t>
            </w:r>
          </w:p>
        </w:tc>
        <w:tc>
          <w:tcPr>
            <w:tcW w:w="2268" w:type="dxa"/>
            <w:tcBorders>
              <w:top w:val="nil"/>
              <w:left w:val="single" w:sz="4" w:space="0" w:color="auto"/>
              <w:bottom w:val="nil"/>
              <w:right w:val="nil"/>
            </w:tcBorders>
            <w:shd w:val="clear" w:color="auto" w:fill="auto"/>
          </w:tcPr>
          <w:p w14:paraId="61D5976D" w14:textId="41FD1AA3" w:rsidR="00A529DB" w:rsidRPr="00161533" w:rsidRDefault="002B4BE1" w:rsidP="00861F97">
            <w:pPr>
              <w:jc w:val="center"/>
              <w:rPr>
                <w:sz w:val="16"/>
                <w:szCs w:val="16"/>
                <w:lang w:val="en-US"/>
              </w:rPr>
            </w:pPr>
            <w:r w:rsidRPr="00161533">
              <w:rPr>
                <w:sz w:val="16"/>
                <w:szCs w:val="16"/>
                <w:lang w:val="en-US"/>
              </w:rPr>
              <w:t>10%</w:t>
            </w:r>
          </w:p>
        </w:tc>
        <w:tc>
          <w:tcPr>
            <w:tcW w:w="2268" w:type="dxa"/>
            <w:tcBorders>
              <w:top w:val="nil"/>
              <w:left w:val="single" w:sz="4" w:space="0" w:color="auto"/>
              <w:bottom w:val="nil"/>
              <w:right w:val="single" w:sz="4" w:space="0" w:color="auto"/>
            </w:tcBorders>
          </w:tcPr>
          <w:p w14:paraId="4DBF65A3" w14:textId="25F3BB27" w:rsidR="00A529DB" w:rsidRPr="00161533" w:rsidRDefault="00724EAD" w:rsidP="00861F97">
            <w:pPr>
              <w:jc w:val="center"/>
              <w:rPr>
                <w:sz w:val="16"/>
                <w:szCs w:val="16"/>
                <w:lang w:val="en-US"/>
              </w:rPr>
            </w:pPr>
            <w:r w:rsidRPr="00161533">
              <w:rPr>
                <w:sz w:val="16"/>
                <w:szCs w:val="16"/>
                <w:lang w:val="en-US"/>
              </w:rPr>
              <w:t>46</w:t>
            </w:r>
            <w:r w:rsidR="002B4BE1" w:rsidRPr="00161533">
              <w:rPr>
                <w:sz w:val="16"/>
                <w:szCs w:val="16"/>
                <w:lang w:val="en-US"/>
              </w:rPr>
              <w:t>.</w:t>
            </w:r>
            <w:r w:rsidRPr="00161533">
              <w:rPr>
                <w:sz w:val="16"/>
                <w:szCs w:val="16"/>
                <w:lang w:val="en-US"/>
              </w:rPr>
              <w:t>7</w:t>
            </w:r>
            <w:r w:rsidR="002B4BE1" w:rsidRPr="00161533">
              <w:rPr>
                <w:sz w:val="16"/>
                <w:szCs w:val="16"/>
                <w:lang w:val="en-US"/>
              </w:rPr>
              <w:t>%</w:t>
            </w:r>
          </w:p>
        </w:tc>
        <w:tc>
          <w:tcPr>
            <w:tcW w:w="2268" w:type="dxa"/>
            <w:tcBorders>
              <w:top w:val="nil"/>
              <w:left w:val="single" w:sz="4" w:space="0" w:color="auto"/>
              <w:bottom w:val="nil"/>
              <w:right w:val="nil"/>
            </w:tcBorders>
          </w:tcPr>
          <w:p w14:paraId="3FFC8354" w14:textId="125F9C24" w:rsidR="00A529DB" w:rsidRPr="00161533" w:rsidRDefault="00724EAD" w:rsidP="00861F97">
            <w:pPr>
              <w:jc w:val="center"/>
              <w:rPr>
                <w:sz w:val="16"/>
                <w:szCs w:val="16"/>
                <w:lang w:val="en-US"/>
              </w:rPr>
            </w:pPr>
            <w:r w:rsidRPr="00161533">
              <w:rPr>
                <w:sz w:val="16"/>
                <w:szCs w:val="16"/>
                <w:lang w:val="en-US"/>
              </w:rPr>
              <w:t>4</w:t>
            </w:r>
            <w:r w:rsidR="002B4BE1" w:rsidRPr="00161533">
              <w:rPr>
                <w:sz w:val="16"/>
                <w:szCs w:val="16"/>
                <w:lang w:val="en-US"/>
              </w:rPr>
              <w:t>.</w:t>
            </w:r>
            <w:r w:rsidRPr="00161533">
              <w:rPr>
                <w:sz w:val="16"/>
                <w:szCs w:val="16"/>
                <w:lang w:val="en-US"/>
              </w:rPr>
              <w:t>2</w:t>
            </w:r>
            <w:r w:rsidR="002B4BE1" w:rsidRPr="00161533">
              <w:rPr>
                <w:sz w:val="16"/>
                <w:szCs w:val="16"/>
                <w:lang w:val="en-US"/>
              </w:rPr>
              <w:t>%</w:t>
            </w:r>
          </w:p>
        </w:tc>
      </w:tr>
      <w:tr w:rsidR="00A529DB" w:rsidRPr="00161533" w14:paraId="167B1C9B" w14:textId="5546F8E4" w:rsidTr="00A529DB">
        <w:trPr>
          <w:jc w:val="center"/>
        </w:trPr>
        <w:tc>
          <w:tcPr>
            <w:tcW w:w="1843" w:type="dxa"/>
            <w:tcBorders>
              <w:top w:val="nil"/>
              <w:left w:val="nil"/>
              <w:bottom w:val="nil"/>
              <w:right w:val="single" w:sz="4" w:space="0" w:color="auto"/>
            </w:tcBorders>
            <w:shd w:val="clear" w:color="auto" w:fill="auto"/>
          </w:tcPr>
          <w:p w14:paraId="7901E141" w14:textId="77777777" w:rsidR="00A529DB" w:rsidRPr="00161533" w:rsidRDefault="00A529DB" w:rsidP="00861F97">
            <w:pPr>
              <w:ind w:left="164"/>
              <w:rPr>
                <w:sz w:val="16"/>
                <w:szCs w:val="16"/>
                <w:lang w:val="en-US"/>
              </w:rPr>
            </w:pPr>
            <w:r w:rsidRPr="00161533">
              <w:rPr>
                <w:sz w:val="16"/>
                <w:szCs w:val="16"/>
                <w:lang w:val="en-US"/>
              </w:rPr>
              <w:t>High</w:t>
            </w:r>
          </w:p>
        </w:tc>
        <w:tc>
          <w:tcPr>
            <w:tcW w:w="2268" w:type="dxa"/>
            <w:tcBorders>
              <w:top w:val="nil"/>
              <w:left w:val="single" w:sz="4" w:space="0" w:color="auto"/>
              <w:bottom w:val="nil"/>
              <w:right w:val="nil"/>
            </w:tcBorders>
            <w:shd w:val="clear" w:color="auto" w:fill="auto"/>
          </w:tcPr>
          <w:p w14:paraId="582B76D8" w14:textId="78F5C3CD" w:rsidR="00A529DB" w:rsidRPr="00161533" w:rsidRDefault="002B4BE1" w:rsidP="00861F97">
            <w:pPr>
              <w:jc w:val="center"/>
              <w:rPr>
                <w:sz w:val="16"/>
                <w:szCs w:val="16"/>
                <w:lang w:val="en-US"/>
              </w:rPr>
            </w:pPr>
            <w:r w:rsidRPr="00161533">
              <w:rPr>
                <w:sz w:val="16"/>
                <w:szCs w:val="16"/>
                <w:lang w:val="en-US"/>
              </w:rPr>
              <w:t>40%</w:t>
            </w:r>
          </w:p>
        </w:tc>
        <w:tc>
          <w:tcPr>
            <w:tcW w:w="2268" w:type="dxa"/>
            <w:tcBorders>
              <w:top w:val="nil"/>
              <w:left w:val="single" w:sz="4" w:space="0" w:color="auto"/>
              <w:bottom w:val="nil"/>
              <w:right w:val="single" w:sz="4" w:space="0" w:color="auto"/>
            </w:tcBorders>
          </w:tcPr>
          <w:p w14:paraId="368D4525" w14:textId="5C6C4381" w:rsidR="00A529DB" w:rsidRPr="00161533" w:rsidRDefault="00A529DB" w:rsidP="00861F97">
            <w:pPr>
              <w:jc w:val="center"/>
              <w:rPr>
                <w:sz w:val="16"/>
                <w:szCs w:val="16"/>
                <w:lang w:val="en-US"/>
              </w:rPr>
            </w:pPr>
          </w:p>
        </w:tc>
        <w:tc>
          <w:tcPr>
            <w:tcW w:w="2268" w:type="dxa"/>
            <w:tcBorders>
              <w:top w:val="nil"/>
              <w:left w:val="single" w:sz="4" w:space="0" w:color="auto"/>
              <w:bottom w:val="nil"/>
              <w:right w:val="nil"/>
            </w:tcBorders>
          </w:tcPr>
          <w:p w14:paraId="1EC738B1" w14:textId="42AB0936" w:rsidR="00A529DB" w:rsidRPr="00161533" w:rsidRDefault="00A529DB" w:rsidP="00861F97">
            <w:pPr>
              <w:jc w:val="center"/>
              <w:rPr>
                <w:sz w:val="16"/>
                <w:szCs w:val="16"/>
                <w:lang w:val="en-US"/>
              </w:rPr>
            </w:pPr>
          </w:p>
        </w:tc>
      </w:tr>
      <w:tr w:rsidR="00A529DB" w:rsidRPr="00161533" w14:paraId="1C29B42E" w14:textId="5BD6AD6C" w:rsidTr="00A529DB">
        <w:trPr>
          <w:jc w:val="center"/>
        </w:trPr>
        <w:tc>
          <w:tcPr>
            <w:tcW w:w="1843" w:type="dxa"/>
            <w:tcBorders>
              <w:top w:val="nil"/>
              <w:left w:val="nil"/>
              <w:bottom w:val="single" w:sz="4" w:space="0" w:color="auto"/>
              <w:right w:val="single" w:sz="4" w:space="0" w:color="auto"/>
            </w:tcBorders>
            <w:shd w:val="clear" w:color="auto" w:fill="auto"/>
          </w:tcPr>
          <w:p w14:paraId="0C051B83" w14:textId="77777777" w:rsidR="00A529DB" w:rsidRPr="00161533" w:rsidRDefault="00A529DB" w:rsidP="00861F97">
            <w:pPr>
              <w:ind w:left="164"/>
              <w:rPr>
                <w:sz w:val="16"/>
                <w:szCs w:val="16"/>
                <w:lang w:val="en-US"/>
              </w:rPr>
            </w:pPr>
            <w:r w:rsidRPr="00161533">
              <w:rPr>
                <w:sz w:val="16"/>
                <w:szCs w:val="16"/>
                <w:lang w:val="en-US"/>
              </w:rPr>
              <w:t>Very high</w:t>
            </w:r>
          </w:p>
        </w:tc>
        <w:tc>
          <w:tcPr>
            <w:tcW w:w="2268" w:type="dxa"/>
            <w:tcBorders>
              <w:top w:val="nil"/>
              <w:left w:val="single" w:sz="4" w:space="0" w:color="auto"/>
              <w:bottom w:val="single" w:sz="4" w:space="0" w:color="auto"/>
              <w:right w:val="nil"/>
            </w:tcBorders>
            <w:shd w:val="clear" w:color="auto" w:fill="auto"/>
          </w:tcPr>
          <w:p w14:paraId="3AFD22B8" w14:textId="5E1A9375" w:rsidR="002B4BE1" w:rsidRPr="00161533" w:rsidRDefault="002B4BE1">
            <w:pPr>
              <w:jc w:val="center"/>
              <w:rPr>
                <w:sz w:val="16"/>
                <w:szCs w:val="16"/>
                <w:lang w:val="en-US"/>
              </w:rPr>
            </w:pPr>
            <w:r w:rsidRPr="00161533">
              <w:rPr>
                <w:sz w:val="16"/>
                <w:szCs w:val="16"/>
                <w:lang w:val="en-US"/>
              </w:rPr>
              <w:t>50%</w:t>
            </w:r>
          </w:p>
        </w:tc>
        <w:tc>
          <w:tcPr>
            <w:tcW w:w="2268" w:type="dxa"/>
            <w:tcBorders>
              <w:top w:val="nil"/>
              <w:left w:val="single" w:sz="4" w:space="0" w:color="auto"/>
              <w:bottom w:val="single" w:sz="4" w:space="0" w:color="auto"/>
              <w:right w:val="single" w:sz="4" w:space="0" w:color="auto"/>
            </w:tcBorders>
          </w:tcPr>
          <w:p w14:paraId="441CC24F" w14:textId="1EBD3A24" w:rsidR="00A529DB" w:rsidRPr="00161533" w:rsidRDefault="00A529DB" w:rsidP="00861F97">
            <w:pPr>
              <w:jc w:val="center"/>
              <w:rPr>
                <w:sz w:val="16"/>
                <w:szCs w:val="16"/>
                <w:lang w:val="en-US"/>
              </w:rPr>
            </w:pPr>
          </w:p>
        </w:tc>
        <w:tc>
          <w:tcPr>
            <w:tcW w:w="2268" w:type="dxa"/>
            <w:tcBorders>
              <w:top w:val="nil"/>
              <w:left w:val="single" w:sz="4" w:space="0" w:color="auto"/>
              <w:bottom w:val="single" w:sz="4" w:space="0" w:color="auto"/>
              <w:right w:val="nil"/>
            </w:tcBorders>
          </w:tcPr>
          <w:p w14:paraId="55C8013E" w14:textId="64A25ED3" w:rsidR="00A529DB" w:rsidRPr="00161533" w:rsidRDefault="00A529DB" w:rsidP="00861F97">
            <w:pPr>
              <w:jc w:val="center"/>
              <w:rPr>
                <w:sz w:val="16"/>
                <w:szCs w:val="16"/>
                <w:lang w:val="en-US"/>
              </w:rPr>
            </w:pPr>
          </w:p>
        </w:tc>
      </w:tr>
    </w:tbl>
    <w:p w14:paraId="30F2DDE4" w14:textId="4D386010" w:rsidR="00386472" w:rsidRPr="007C12DD" w:rsidRDefault="00386472" w:rsidP="00386472">
      <w:pPr>
        <w:spacing w:after="0"/>
        <w:jc w:val="center"/>
        <w:rPr>
          <w:i/>
          <w:iCs/>
          <w:lang w:val="en-US"/>
        </w:rPr>
      </w:pPr>
      <w:r w:rsidRPr="007C12DD">
        <w:rPr>
          <w:b/>
          <w:bCs/>
          <w:i/>
          <w:iCs/>
          <w:lang w:val="en-US"/>
        </w:rPr>
        <w:t>Table 4.</w:t>
      </w:r>
      <w:r w:rsidRPr="007C12DD">
        <w:rPr>
          <w:i/>
          <w:iCs/>
          <w:lang w:val="en-US"/>
        </w:rPr>
        <w:t xml:space="preserve"> </w:t>
      </w:r>
      <w:r w:rsidR="002B4BE1" w:rsidRPr="007C12DD">
        <w:rPr>
          <w:i/>
          <w:iCs/>
          <w:lang w:val="en-US"/>
        </w:rPr>
        <w:t>S</w:t>
      </w:r>
      <w:r w:rsidRPr="007C12DD">
        <w:rPr>
          <w:i/>
          <w:iCs/>
          <w:lang w:val="en-US"/>
        </w:rPr>
        <w:t xml:space="preserve">upply characteristics </w:t>
      </w:r>
      <w:r w:rsidR="002B4BE1" w:rsidRPr="007C12DD">
        <w:rPr>
          <w:i/>
          <w:iCs/>
          <w:lang w:val="en-US"/>
        </w:rPr>
        <w:t xml:space="preserve">found for each </w:t>
      </w:r>
      <w:r w:rsidRPr="007C12DD">
        <w:rPr>
          <w:i/>
          <w:iCs/>
          <w:lang w:val="en-US"/>
        </w:rPr>
        <w:t xml:space="preserve">of the manufacturing </w:t>
      </w:r>
      <w:proofErr w:type="gramStart"/>
      <w:r w:rsidRPr="007C12DD">
        <w:rPr>
          <w:i/>
          <w:iCs/>
          <w:lang w:val="en-US"/>
        </w:rPr>
        <w:t>configurations</w:t>
      </w:r>
      <w:proofErr w:type="gramEnd"/>
    </w:p>
    <w:p w14:paraId="5921CE85" w14:textId="77777777" w:rsidR="00C75BD9" w:rsidRPr="007C12DD" w:rsidRDefault="00C75BD9" w:rsidP="00C75BD9">
      <w:pPr>
        <w:rPr>
          <w:i/>
          <w:iCs/>
          <w:lang w:val="en-US"/>
        </w:rPr>
      </w:pPr>
    </w:p>
    <w:p w14:paraId="08838B7C" w14:textId="3C97E059" w:rsidR="00C75BD9" w:rsidRPr="007C12DD" w:rsidRDefault="00C75BD9" w:rsidP="00C75BD9">
      <w:pPr>
        <w:rPr>
          <w:i/>
          <w:iCs/>
          <w:lang w:val="en-US"/>
        </w:rPr>
      </w:pPr>
      <w:r w:rsidRPr="007C12DD">
        <w:rPr>
          <w:i/>
          <w:iCs/>
          <w:lang w:val="en-US"/>
        </w:rPr>
        <w:t xml:space="preserve">4.1 </w:t>
      </w:r>
      <w:r w:rsidR="00573B57" w:rsidRPr="007C12DD">
        <w:rPr>
          <w:i/>
          <w:iCs/>
          <w:lang w:val="en-US"/>
        </w:rPr>
        <w:t>Manufacturing</w:t>
      </w:r>
      <w:r w:rsidRPr="007C12DD">
        <w:rPr>
          <w:i/>
          <w:iCs/>
          <w:lang w:val="en-US"/>
        </w:rPr>
        <w:t xml:space="preserve"> configuration A</w:t>
      </w:r>
      <w:r w:rsidR="002B4BE1" w:rsidRPr="007C12DD">
        <w:rPr>
          <w:i/>
          <w:iCs/>
          <w:lang w:val="en-US"/>
        </w:rPr>
        <w:t xml:space="preserve">: Extend product </w:t>
      </w:r>
      <w:proofErr w:type="gramStart"/>
      <w:r w:rsidR="002B4BE1" w:rsidRPr="007C12DD">
        <w:rPr>
          <w:i/>
          <w:iCs/>
          <w:lang w:val="en-US"/>
        </w:rPr>
        <w:t>value</w:t>
      </w:r>
      <w:proofErr w:type="gramEnd"/>
    </w:p>
    <w:p w14:paraId="165C6038" w14:textId="57041D09" w:rsidR="00A529DB" w:rsidRPr="00161533" w:rsidRDefault="00573B57" w:rsidP="00C75BD9">
      <w:pPr>
        <w:spacing w:after="0"/>
        <w:jc w:val="both"/>
        <w:rPr>
          <w:lang w:val="en-US"/>
        </w:rPr>
      </w:pPr>
      <w:r w:rsidRPr="00161533">
        <w:rPr>
          <w:lang w:val="en-US"/>
        </w:rPr>
        <w:t>Manufacturing</w:t>
      </w:r>
      <w:r w:rsidR="00C75BD9" w:rsidRPr="00161533">
        <w:rPr>
          <w:lang w:val="en-US"/>
        </w:rPr>
        <w:t xml:space="preserve"> configuration </w:t>
      </w:r>
      <w:r w:rsidR="00A529DB" w:rsidRPr="00161533">
        <w:rPr>
          <w:lang w:val="en-US"/>
        </w:rPr>
        <w:t>A</w:t>
      </w:r>
      <w:r w:rsidR="00C75BD9" w:rsidRPr="00161533">
        <w:rPr>
          <w:lang w:val="en-US"/>
        </w:rPr>
        <w:t xml:space="preserve"> </w:t>
      </w:r>
      <w:proofErr w:type="gramStart"/>
      <w:r w:rsidR="00C75BD9" w:rsidRPr="00161533">
        <w:rPr>
          <w:lang w:val="en-US"/>
        </w:rPr>
        <w:t>is</w:t>
      </w:r>
      <w:proofErr w:type="gramEnd"/>
      <w:r w:rsidR="00C75BD9" w:rsidRPr="00161533">
        <w:rPr>
          <w:lang w:val="en-US"/>
        </w:rPr>
        <w:t xml:space="preserve"> with </w:t>
      </w:r>
      <w:r w:rsidR="00A529DB" w:rsidRPr="00161533">
        <w:rPr>
          <w:lang w:val="en-US"/>
        </w:rPr>
        <w:t>12</w:t>
      </w:r>
      <w:r w:rsidR="00C75BD9" w:rsidRPr="00161533">
        <w:rPr>
          <w:lang w:val="en-US"/>
        </w:rPr>
        <w:t>.</w:t>
      </w:r>
      <w:r w:rsidR="00A529DB" w:rsidRPr="00161533">
        <w:rPr>
          <w:lang w:val="en-US"/>
        </w:rPr>
        <w:t>7</w:t>
      </w:r>
      <w:r w:rsidR="00C75BD9" w:rsidRPr="00161533">
        <w:rPr>
          <w:lang w:val="en-US"/>
        </w:rPr>
        <w:t>% of the</w:t>
      </w:r>
      <w:r w:rsidR="00A529DB" w:rsidRPr="00161533">
        <w:rPr>
          <w:lang w:val="en-US"/>
        </w:rPr>
        <w:t xml:space="preserve"> successful start-ups </w:t>
      </w:r>
      <w:r w:rsidR="00C75BD9" w:rsidRPr="00161533">
        <w:rPr>
          <w:lang w:val="en-US"/>
        </w:rPr>
        <w:t xml:space="preserve">the </w:t>
      </w:r>
      <w:r w:rsidR="00A529DB" w:rsidRPr="00161533">
        <w:rPr>
          <w:lang w:val="en-US"/>
        </w:rPr>
        <w:t>smallest</w:t>
      </w:r>
      <w:r w:rsidR="00C75BD9" w:rsidRPr="00161533">
        <w:rPr>
          <w:lang w:val="en-US"/>
        </w:rPr>
        <w:t xml:space="preserve"> configuration in our sample. To recover the </w:t>
      </w:r>
      <w:r w:rsidR="00A529DB" w:rsidRPr="00161533">
        <w:rPr>
          <w:lang w:val="en-US"/>
        </w:rPr>
        <w:t xml:space="preserve">used </w:t>
      </w:r>
      <w:r w:rsidR="00F10496">
        <w:rPr>
          <w:lang w:val="en-US"/>
        </w:rPr>
        <w:t>products</w:t>
      </w:r>
      <w:r w:rsidR="00C75BD9" w:rsidRPr="00161533">
        <w:rPr>
          <w:lang w:val="en-US"/>
        </w:rPr>
        <w:t>, these start-ups first sort</w:t>
      </w:r>
      <w:r w:rsidR="00323FE0">
        <w:rPr>
          <w:lang w:val="en-US"/>
        </w:rPr>
        <w:t xml:space="preserve"> and grade</w:t>
      </w:r>
      <w:r w:rsidR="00C75BD9" w:rsidRPr="00161533">
        <w:rPr>
          <w:lang w:val="en-US"/>
        </w:rPr>
        <w:t xml:space="preserve"> the </w:t>
      </w:r>
      <w:r w:rsidR="00A529DB" w:rsidRPr="00161533">
        <w:rPr>
          <w:lang w:val="en-US"/>
        </w:rPr>
        <w:t>inputs</w:t>
      </w:r>
      <w:r w:rsidR="00C75BD9" w:rsidRPr="00161533">
        <w:rPr>
          <w:lang w:val="en-US"/>
        </w:rPr>
        <w:t xml:space="preserve"> followed by a </w:t>
      </w:r>
      <w:r w:rsidR="00A529DB" w:rsidRPr="00161533">
        <w:rPr>
          <w:lang w:val="en-US"/>
        </w:rPr>
        <w:t xml:space="preserve">customized </w:t>
      </w:r>
      <w:r w:rsidR="00C75BD9" w:rsidRPr="00161533">
        <w:rPr>
          <w:lang w:val="en-US"/>
        </w:rPr>
        <w:t>discrete manufacturing process to upcycle the input</w:t>
      </w:r>
      <w:r w:rsidR="00A529DB" w:rsidRPr="00161533">
        <w:rPr>
          <w:lang w:val="en-US"/>
        </w:rPr>
        <w:t xml:space="preserve"> while keeping the original function</w:t>
      </w:r>
      <w:r w:rsidR="00C75BD9" w:rsidRPr="00161533">
        <w:rPr>
          <w:lang w:val="en-US"/>
        </w:rPr>
        <w:t xml:space="preserve">. </w:t>
      </w:r>
      <w:r w:rsidR="00A529DB" w:rsidRPr="00161533">
        <w:rPr>
          <w:lang w:val="en-US"/>
        </w:rPr>
        <w:t>T</w:t>
      </w:r>
      <w:r w:rsidR="00C75BD9" w:rsidRPr="00161533">
        <w:rPr>
          <w:lang w:val="en-US"/>
        </w:rPr>
        <w:t xml:space="preserve">he exact processing steps depend on the quality of the input. An example in this </w:t>
      </w:r>
      <w:r w:rsidR="001D1CD9" w:rsidRPr="00161533">
        <w:rPr>
          <w:lang w:val="en-US"/>
        </w:rPr>
        <w:t>manufacturing configuration</w:t>
      </w:r>
      <w:r w:rsidR="00C75BD9" w:rsidRPr="00161533">
        <w:rPr>
          <w:lang w:val="en-US"/>
        </w:rPr>
        <w:t xml:space="preserve"> is </w:t>
      </w:r>
      <w:proofErr w:type="spellStart"/>
      <w:r w:rsidR="00C75BD9" w:rsidRPr="00161533">
        <w:rPr>
          <w:i/>
          <w:iCs/>
          <w:lang w:val="en-US"/>
        </w:rPr>
        <w:t>Aerocircular</w:t>
      </w:r>
      <w:proofErr w:type="spellEnd"/>
      <w:r w:rsidR="00C75BD9" w:rsidRPr="00161533">
        <w:rPr>
          <w:lang w:val="en-US"/>
        </w:rPr>
        <w:t xml:space="preserve">. This start-up provides end-of-life aircraft upcycling services to fleet owners by dismantling parts of the </w:t>
      </w:r>
      <w:proofErr w:type="gramStart"/>
      <w:r w:rsidR="00C75BD9" w:rsidRPr="00161533">
        <w:rPr>
          <w:lang w:val="en-US"/>
        </w:rPr>
        <w:t>aircrafts</w:t>
      </w:r>
      <w:proofErr w:type="gramEnd"/>
      <w:r w:rsidR="00C75BD9" w:rsidRPr="00161533">
        <w:rPr>
          <w:lang w:val="en-US"/>
        </w:rPr>
        <w:t xml:space="preserve"> and bringing these parts back in good condition. The </w:t>
      </w:r>
      <w:r w:rsidR="0099771E" w:rsidRPr="00161533">
        <w:rPr>
          <w:lang w:val="en-US"/>
        </w:rPr>
        <w:t xml:space="preserve">recovered </w:t>
      </w:r>
      <w:r w:rsidR="00C75BD9" w:rsidRPr="00161533">
        <w:rPr>
          <w:lang w:val="en-US"/>
        </w:rPr>
        <w:t xml:space="preserve">parts serve as spare parts. Another example is </w:t>
      </w:r>
      <w:r w:rsidR="00C75BD9" w:rsidRPr="00161533">
        <w:rPr>
          <w:i/>
          <w:iCs/>
          <w:lang w:val="en-US"/>
        </w:rPr>
        <w:t>Gearbox Express</w:t>
      </w:r>
      <w:r w:rsidR="00C75BD9" w:rsidRPr="00161533">
        <w:rPr>
          <w:lang w:val="en-US"/>
        </w:rPr>
        <w:t xml:space="preserve"> who remanufactures wind </w:t>
      </w:r>
      <w:r w:rsidR="00F10496">
        <w:rPr>
          <w:lang w:val="en-US"/>
        </w:rPr>
        <w:t>turbine</w:t>
      </w:r>
      <w:r w:rsidR="00F10496" w:rsidRPr="00161533">
        <w:rPr>
          <w:lang w:val="en-US"/>
        </w:rPr>
        <w:t xml:space="preserve"> </w:t>
      </w:r>
      <w:r w:rsidR="00C75BD9" w:rsidRPr="00161533">
        <w:rPr>
          <w:lang w:val="en-US"/>
        </w:rPr>
        <w:t xml:space="preserve">gearboxes. Depending on the condition of the gearbox, the gearbox </w:t>
      </w:r>
      <w:r w:rsidR="0099771E" w:rsidRPr="00161533">
        <w:rPr>
          <w:lang w:val="en-US"/>
        </w:rPr>
        <w:t>is</w:t>
      </w:r>
      <w:r w:rsidR="00C75BD9" w:rsidRPr="00161533">
        <w:rPr>
          <w:lang w:val="en-US"/>
        </w:rPr>
        <w:t xml:space="preserve"> remanufactured and tested. At the heart of the operation is a 3.1</w:t>
      </w:r>
      <w:r w:rsidR="005335AD">
        <w:rPr>
          <w:lang w:val="en-US"/>
        </w:rPr>
        <w:t>-</w:t>
      </w:r>
      <w:r w:rsidR="00C75BD9" w:rsidRPr="00161533">
        <w:rPr>
          <w:lang w:val="en-US"/>
        </w:rPr>
        <w:t xml:space="preserve">Megawatt test stand that mimics real-life wind conditions to </w:t>
      </w:r>
      <w:r w:rsidR="00A529DB" w:rsidRPr="00161533">
        <w:rPr>
          <w:lang w:val="en-US"/>
        </w:rPr>
        <w:t xml:space="preserve">ensure </w:t>
      </w:r>
      <w:r w:rsidR="00323FE0">
        <w:rPr>
          <w:lang w:val="en-US"/>
        </w:rPr>
        <w:t xml:space="preserve">that </w:t>
      </w:r>
      <w:r w:rsidR="00A529DB" w:rsidRPr="00161533">
        <w:rPr>
          <w:lang w:val="en-US"/>
        </w:rPr>
        <w:t xml:space="preserve">the </w:t>
      </w:r>
      <w:r w:rsidR="0099771E" w:rsidRPr="00161533">
        <w:rPr>
          <w:lang w:val="en-US"/>
        </w:rPr>
        <w:t xml:space="preserve">appropriate </w:t>
      </w:r>
      <w:r w:rsidR="00A529DB" w:rsidRPr="00161533">
        <w:rPr>
          <w:lang w:val="en-US"/>
        </w:rPr>
        <w:t>remanufacturing activities are performed.</w:t>
      </w:r>
    </w:p>
    <w:p w14:paraId="7A237E5A" w14:textId="77777777" w:rsidR="00C75BD9" w:rsidRPr="00161533" w:rsidRDefault="00C75BD9" w:rsidP="00C75BD9">
      <w:pPr>
        <w:spacing w:after="0"/>
        <w:jc w:val="both"/>
        <w:rPr>
          <w:lang w:val="en-US"/>
        </w:rPr>
      </w:pPr>
    </w:p>
    <w:p w14:paraId="3EB33988" w14:textId="276B298A" w:rsidR="00C75BD9" w:rsidRPr="00161533" w:rsidRDefault="00C75BD9" w:rsidP="00C75BD9">
      <w:pPr>
        <w:spacing w:after="0"/>
        <w:jc w:val="both"/>
        <w:rPr>
          <w:lang w:val="en-US"/>
        </w:rPr>
      </w:pPr>
      <w:r w:rsidRPr="00161533">
        <w:rPr>
          <w:lang w:val="en-US"/>
        </w:rPr>
        <w:t xml:space="preserve">As evident from </w:t>
      </w:r>
      <w:r w:rsidR="001327C3">
        <w:rPr>
          <w:lang w:val="en-US"/>
        </w:rPr>
        <w:t>T</w:t>
      </w:r>
      <w:r w:rsidRPr="00161533">
        <w:rPr>
          <w:lang w:val="en-US"/>
        </w:rPr>
        <w:t xml:space="preserve">able </w:t>
      </w:r>
      <w:r w:rsidR="00CD661E" w:rsidRPr="00161533">
        <w:rPr>
          <w:lang w:val="en-US"/>
        </w:rPr>
        <w:t>3</w:t>
      </w:r>
      <w:r w:rsidRPr="00161533">
        <w:rPr>
          <w:lang w:val="en-US"/>
        </w:rPr>
        <w:t xml:space="preserve">, all start-ups in our sample with </w:t>
      </w:r>
      <w:r w:rsidR="00A529DB" w:rsidRPr="00161533">
        <w:rPr>
          <w:lang w:val="en-US"/>
        </w:rPr>
        <w:t>configuration</w:t>
      </w:r>
      <w:r w:rsidRPr="00161533">
        <w:rPr>
          <w:lang w:val="en-US"/>
        </w:rPr>
        <w:t xml:space="preserve"> </w:t>
      </w:r>
      <w:r w:rsidR="00A529DB" w:rsidRPr="00161533">
        <w:rPr>
          <w:lang w:val="en-US"/>
        </w:rPr>
        <w:t>A</w:t>
      </w:r>
      <w:r w:rsidRPr="00161533">
        <w:rPr>
          <w:lang w:val="en-US"/>
        </w:rPr>
        <w:t xml:space="preserve"> are successful</w:t>
      </w:r>
      <w:r w:rsidR="00A529DB" w:rsidRPr="00161533">
        <w:rPr>
          <w:lang w:val="en-US"/>
        </w:rPr>
        <w:t xml:space="preserve">. The second step of the csQCA to </w:t>
      </w:r>
      <w:r w:rsidR="00D55703">
        <w:rPr>
          <w:lang w:val="en-US"/>
        </w:rPr>
        <w:t>explore</w:t>
      </w:r>
      <w:r w:rsidR="00A529DB" w:rsidRPr="00161533">
        <w:rPr>
          <w:lang w:val="en-US"/>
        </w:rPr>
        <w:t xml:space="preserve"> which </w:t>
      </w:r>
      <w:r w:rsidR="001D1CD9" w:rsidRPr="00161533">
        <w:rPr>
          <w:lang w:val="en-US"/>
        </w:rPr>
        <w:t xml:space="preserve">supply </w:t>
      </w:r>
      <w:r w:rsidR="00A529DB" w:rsidRPr="00161533">
        <w:rPr>
          <w:lang w:val="en-US"/>
        </w:rPr>
        <w:t>characteristics lead to success is therefore impossible.</w:t>
      </w:r>
      <w:r w:rsidRPr="00161533">
        <w:rPr>
          <w:lang w:val="en-US"/>
        </w:rPr>
        <w:t xml:space="preserve"> </w:t>
      </w:r>
      <w:r w:rsidR="00B23E92">
        <w:rPr>
          <w:lang w:val="en-US"/>
        </w:rPr>
        <w:t>Instead, t</w:t>
      </w:r>
      <w:r w:rsidRPr="00161533">
        <w:rPr>
          <w:lang w:val="en-US"/>
        </w:rPr>
        <w:t xml:space="preserve">he descriptive statistics in </w:t>
      </w:r>
      <w:r w:rsidR="001327C3">
        <w:rPr>
          <w:lang w:val="en-US"/>
        </w:rPr>
        <w:t>T</w:t>
      </w:r>
      <w:r w:rsidRPr="00161533">
        <w:rPr>
          <w:lang w:val="en-US"/>
        </w:rPr>
        <w:t>able</w:t>
      </w:r>
      <w:r w:rsidR="00CD661E" w:rsidRPr="00161533">
        <w:rPr>
          <w:lang w:val="en-US"/>
        </w:rPr>
        <w:t xml:space="preserve"> 4</w:t>
      </w:r>
      <w:r w:rsidRPr="00161533">
        <w:rPr>
          <w:lang w:val="en-US"/>
        </w:rPr>
        <w:t xml:space="preserve"> provide insights in the </w:t>
      </w:r>
      <w:r w:rsidR="002B4BE1" w:rsidRPr="00161533">
        <w:rPr>
          <w:lang w:val="en-US"/>
        </w:rPr>
        <w:t>supply characteristics</w:t>
      </w:r>
      <w:r w:rsidRPr="00161533">
        <w:rPr>
          <w:lang w:val="en-US"/>
        </w:rPr>
        <w:t xml:space="preserve"> of </w:t>
      </w:r>
      <w:r w:rsidR="00A529DB" w:rsidRPr="00161533">
        <w:rPr>
          <w:lang w:val="en-US"/>
        </w:rPr>
        <w:t>configuration A</w:t>
      </w:r>
      <w:r w:rsidRPr="00161533">
        <w:rPr>
          <w:lang w:val="en-US"/>
        </w:rPr>
        <w:t>. Most of the start-ups with</w:t>
      </w:r>
      <w:r w:rsidR="00D55703">
        <w:rPr>
          <w:lang w:val="en-US"/>
        </w:rPr>
        <w:t>in</w:t>
      </w:r>
      <w:r w:rsidRPr="00161533">
        <w:rPr>
          <w:lang w:val="en-US"/>
        </w:rPr>
        <w:t xml:space="preserve"> this </w:t>
      </w:r>
      <w:r w:rsidR="00573B57" w:rsidRPr="00161533">
        <w:rPr>
          <w:lang w:val="en-US"/>
        </w:rPr>
        <w:t>manufacturing configuration</w:t>
      </w:r>
      <w:r w:rsidRPr="00161533">
        <w:rPr>
          <w:lang w:val="en-US"/>
        </w:rPr>
        <w:t xml:space="preserve"> operate in seemingly </w:t>
      </w:r>
      <w:r w:rsidR="00161533" w:rsidRPr="00161533">
        <w:rPr>
          <w:lang w:val="en-US"/>
        </w:rPr>
        <w:lastRenderedPageBreak/>
        <w:t>unfavorable</w:t>
      </w:r>
      <w:r w:rsidRPr="00161533">
        <w:rPr>
          <w:lang w:val="en-US"/>
        </w:rPr>
        <w:t xml:space="preserve"> </w:t>
      </w:r>
      <w:r w:rsidR="00B603D8" w:rsidRPr="00161533">
        <w:rPr>
          <w:lang w:val="en-US"/>
        </w:rPr>
        <w:t>conditions</w:t>
      </w:r>
      <w:r w:rsidRPr="00161533">
        <w:rPr>
          <w:lang w:val="en-US"/>
        </w:rPr>
        <w:t xml:space="preserve"> such as medium heterogeneity of the input</w:t>
      </w:r>
      <w:r w:rsidR="00724EAD" w:rsidRPr="00161533">
        <w:rPr>
          <w:lang w:val="en-US"/>
        </w:rPr>
        <w:t xml:space="preserve"> and</w:t>
      </w:r>
      <w:r w:rsidRPr="00161533">
        <w:rPr>
          <w:lang w:val="en-US"/>
        </w:rPr>
        <w:t xml:space="preserve"> high uncertainty of the timing. </w:t>
      </w:r>
      <w:r w:rsidR="003409E6" w:rsidRPr="00161533">
        <w:rPr>
          <w:lang w:val="en-US"/>
        </w:rPr>
        <w:t>T</w:t>
      </w:r>
      <w:r w:rsidRPr="00161533">
        <w:rPr>
          <w:lang w:val="en-US"/>
        </w:rPr>
        <w:t xml:space="preserve">he </w:t>
      </w:r>
      <w:r w:rsidR="00724EAD" w:rsidRPr="00161533">
        <w:rPr>
          <w:lang w:val="en-US"/>
        </w:rPr>
        <w:t>(</w:t>
      </w:r>
      <w:r w:rsidRPr="00161533">
        <w:rPr>
          <w:lang w:val="en-US"/>
        </w:rPr>
        <w:t>very</w:t>
      </w:r>
      <w:r w:rsidR="00724EAD" w:rsidRPr="00161533">
        <w:rPr>
          <w:lang w:val="en-US"/>
        </w:rPr>
        <w:t>)</w:t>
      </w:r>
      <w:r w:rsidRPr="00161533">
        <w:rPr>
          <w:lang w:val="en-US"/>
        </w:rPr>
        <w:t xml:space="preserve"> high value of the</w:t>
      </w:r>
      <w:r w:rsidR="00B603D8" w:rsidRPr="00161533">
        <w:rPr>
          <w:lang w:val="en-US"/>
        </w:rPr>
        <w:t xml:space="preserve"> input,</w:t>
      </w:r>
      <w:r w:rsidRPr="00161533">
        <w:rPr>
          <w:lang w:val="en-US"/>
        </w:rPr>
        <w:t xml:space="preserve"> for example the </w:t>
      </w:r>
      <w:proofErr w:type="gramStart"/>
      <w:r w:rsidRPr="00161533">
        <w:rPr>
          <w:lang w:val="en-US"/>
        </w:rPr>
        <w:t>aforementioned airplane</w:t>
      </w:r>
      <w:proofErr w:type="gramEnd"/>
      <w:r w:rsidRPr="00161533">
        <w:rPr>
          <w:lang w:val="en-US"/>
        </w:rPr>
        <w:t xml:space="preserve"> components and wind turbine gearboxes</w:t>
      </w:r>
      <w:r w:rsidR="00F10496">
        <w:rPr>
          <w:lang w:val="en-US"/>
        </w:rPr>
        <w:t>,</w:t>
      </w:r>
      <w:r w:rsidRPr="00161533">
        <w:rPr>
          <w:lang w:val="en-US"/>
        </w:rPr>
        <w:t xml:space="preserve"> but also car batteries and </w:t>
      </w:r>
      <w:r w:rsidR="00161533" w:rsidRPr="00161533">
        <w:rPr>
          <w:lang w:val="en-US"/>
        </w:rPr>
        <w:t>datacenter</w:t>
      </w:r>
      <w:r w:rsidRPr="00161533">
        <w:rPr>
          <w:lang w:val="en-US"/>
        </w:rPr>
        <w:t xml:space="preserve"> equipment, seem</w:t>
      </w:r>
      <w:r w:rsidR="00F10496">
        <w:rPr>
          <w:lang w:val="en-US"/>
        </w:rPr>
        <w:t>s</w:t>
      </w:r>
      <w:r w:rsidRPr="00161533">
        <w:rPr>
          <w:lang w:val="en-US"/>
        </w:rPr>
        <w:t xml:space="preserve"> to provide sufficient margins to compensate for the </w:t>
      </w:r>
      <w:r w:rsidR="00161533" w:rsidRPr="00161533">
        <w:rPr>
          <w:lang w:val="en-US"/>
        </w:rPr>
        <w:t>unfavorable</w:t>
      </w:r>
      <w:r w:rsidRPr="00161533">
        <w:rPr>
          <w:lang w:val="en-US"/>
        </w:rPr>
        <w:t xml:space="preserve"> conditions as well as for the costs related to sorting</w:t>
      </w:r>
      <w:r w:rsidR="001327C3">
        <w:rPr>
          <w:lang w:val="en-US"/>
        </w:rPr>
        <w:t>,</w:t>
      </w:r>
      <w:r w:rsidRPr="00161533">
        <w:rPr>
          <w:lang w:val="en-US"/>
        </w:rPr>
        <w:t xml:space="preserve"> </w:t>
      </w:r>
      <w:r w:rsidR="00724EAD" w:rsidRPr="00161533">
        <w:rPr>
          <w:lang w:val="en-US"/>
        </w:rPr>
        <w:t>grading</w:t>
      </w:r>
      <w:r w:rsidRPr="00161533">
        <w:rPr>
          <w:lang w:val="en-US"/>
        </w:rPr>
        <w:t xml:space="preserve"> </w:t>
      </w:r>
      <w:r w:rsidR="00724EAD" w:rsidRPr="00161533">
        <w:rPr>
          <w:lang w:val="en-US"/>
        </w:rPr>
        <w:t xml:space="preserve">and </w:t>
      </w:r>
      <w:r w:rsidR="00D55703">
        <w:rPr>
          <w:lang w:val="en-US"/>
        </w:rPr>
        <w:t xml:space="preserve">the </w:t>
      </w:r>
      <w:r w:rsidR="00724EAD" w:rsidRPr="00161533">
        <w:rPr>
          <w:lang w:val="en-US"/>
        </w:rPr>
        <w:t>customized discrete manufacturing</w:t>
      </w:r>
      <w:r w:rsidRPr="00161533">
        <w:rPr>
          <w:lang w:val="en-US"/>
        </w:rPr>
        <w:t xml:space="preserve">. The only start-up who does not rely on </w:t>
      </w:r>
      <w:r w:rsidR="00B603D8" w:rsidRPr="00161533">
        <w:rPr>
          <w:lang w:val="en-US"/>
        </w:rPr>
        <w:t>(</w:t>
      </w:r>
      <w:r w:rsidRPr="00161533">
        <w:rPr>
          <w:lang w:val="en-US"/>
        </w:rPr>
        <w:t>very</w:t>
      </w:r>
      <w:r w:rsidR="00B603D8" w:rsidRPr="00161533">
        <w:rPr>
          <w:lang w:val="en-US"/>
        </w:rPr>
        <w:t>)</w:t>
      </w:r>
      <w:r w:rsidRPr="00161533">
        <w:rPr>
          <w:lang w:val="en-US"/>
        </w:rPr>
        <w:t xml:space="preserve"> high value products is </w:t>
      </w:r>
      <w:r w:rsidRPr="00161533">
        <w:rPr>
          <w:i/>
          <w:iCs/>
          <w:lang w:val="en-US"/>
        </w:rPr>
        <w:t>Better World Fashion</w:t>
      </w:r>
      <w:r w:rsidRPr="00161533">
        <w:rPr>
          <w:lang w:val="en-US"/>
        </w:rPr>
        <w:t xml:space="preserve">. Better World Fashion creates new leather jackets from old leather jackets by cutting out the bad pieces and replacing them with good pieces. However, as </w:t>
      </w:r>
      <w:r w:rsidRPr="00161533">
        <w:rPr>
          <w:i/>
          <w:iCs/>
          <w:lang w:val="en-US"/>
        </w:rPr>
        <w:t xml:space="preserve">Better World Fashion </w:t>
      </w:r>
      <w:r w:rsidRPr="00161533">
        <w:rPr>
          <w:lang w:val="en-US"/>
        </w:rPr>
        <w:t xml:space="preserve">collects old leather jackets through </w:t>
      </w:r>
      <w:r w:rsidR="006D7745" w:rsidRPr="00161533">
        <w:rPr>
          <w:lang w:val="en-US"/>
        </w:rPr>
        <w:t>a</w:t>
      </w:r>
      <w:r w:rsidRPr="00161533">
        <w:rPr>
          <w:lang w:val="en-US"/>
        </w:rPr>
        <w:t xml:space="preserve"> </w:t>
      </w:r>
      <w:r w:rsidR="00D55703">
        <w:rPr>
          <w:lang w:val="en-US"/>
        </w:rPr>
        <w:t>non-governmental organization</w:t>
      </w:r>
      <w:r w:rsidRPr="00161533">
        <w:rPr>
          <w:lang w:val="en-US"/>
        </w:rPr>
        <w:t xml:space="preserve"> in Denmark, they </w:t>
      </w:r>
      <w:r w:rsidR="00D55703">
        <w:rPr>
          <w:lang w:val="en-US"/>
        </w:rPr>
        <w:t xml:space="preserve">arguably </w:t>
      </w:r>
      <w:r w:rsidRPr="00161533">
        <w:rPr>
          <w:lang w:val="en-US"/>
        </w:rPr>
        <w:t xml:space="preserve">have a certain </w:t>
      </w:r>
      <w:r w:rsidR="00724EAD" w:rsidRPr="00161533">
        <w:rPr>
          <w:lang w:val="en-US"/>
        </w:rPr>
        <w:t xml:space="preserve">and sufficiently large </w:t>
      </w:r>
      <w:r w:rsidRPr="00161533">
        <w:rPr>
          <w:lang w:val="en-US"/>
        </w:rPr>
        <w:t>source.</w:t>
      </w:r>
    </w:p>
    <w:p w14:paraId="6F408F86" w14:textId="1ACEF261" w:rsidR="00724EAD" w:rsidRPr="00161533" w:rsidRDefault="00724EAD" w:rsidP="00C75BD9">
      <w:pPr>
        <w:spacing w:after="0"/>
        <w:jc w:val="both"/>
        <w:rPr>
          <w:lang w:val="en-US"/>
        </w:rPr>
      </w:pPr>
    </w:p>
    <w:p w14:paraId="32983379" w14:textId="71523904" w:rsidR="00724EAD" w:rsidRPr="007C12DD" w:rsidRDefault="00724EAD" w:rsidP="00724EAD">
      <w:pPr>
        <w:rPr>
          <w:i/>
          <w:iCs/>
          <w:lang w:val="en-US"/>
        </w:rPr>
      </w:pPr>
      <w:r w:rsidRPr="007C12DD">
        <w:rPr>
          <w:i/>
          <w:iCs/>
          <w:lang w:val="en-US"/>
        </w:rPr>
        <w:t xml:space="preserve">4.2 </w:t>
      </w:r>
      <w:r w:rsidR="00573B57" w:rsidRPr="007C12DD">
        <w:rPr>
          <w:i/>
          <w:iCs/>
          <w:lang w:val="en-US"/>
        </w:rPr>
        <w:t>Manufacturing</w:t>
      </w:r>
      <w:r w:rsidRPr="007C12DD">
        <w:rPr>
          <w:i/>
          <w:iCs/>
          <w:lang w:val="en-US"/>
        </w:rPr>
        <w:t xml:space="preserve"> configuration B</w:t>
      </w:r>
      <w:r w:rsidR="00CD661E" w:rsidRPr="007C12DD">
        <w:rPr>
          <w:i/>
          <w:iCs/>
          <w:lang w:val="en-US"/>
        </w:rPr>
        <w:t xml:space="preserve">: Extend resource </w:t>
      </w:r>
      <w:proofErr w:type="gramStart"/>
      <w:r w:rsidR="00CD661E" w:rsidRPr="007C12DD">
        <w:rPr>
          <w:i/>
          <w:iCs/>
          <w:lang w:val="en-US"/>
        </w:rPr>
        <w:t>value</w:t>
      </w:r>
      <w:proofErr w:type="gramEnd"/>
    </w:p>
    <w:p w14:paraId="7F1908D1" w14:textId="6D9DB5D3" w:rsidR="00724EAD" w:rsidRPr="00F10496" w:rsidRDefault="00573B57" w:rsidP="00724EAD">
      <w:pPr>
        <w:spacing w:after="0"/>
        <w:jc w:val="both"/>
        <w:rPr>
          <w:lang w:val="en-US"/>
        </w:rPr>
      </w:pPr>
      <w:r w:rsidRPr="00F10496">
        <w:rPr>
          <w:lang w:val="en-US"/>
        </w:rPr>
        <w:t>Manufacturing</w:t>
      </w:r>
      <w:r w:rsidR="00724EAD" w:rsidRPr="00F10496">
        <w:rPr>
          <w:lang w:val="en-US"/>
        </w:rPr>
        <w:t xml:space="preserve"> </w:t>
      </w:r>
      <w:r w:rsidR="00B603D8" w:rsidRPr="00F10496">
        <w:rPr>
          <w:lang w:val="en-US"/>
        </w:rPr>
        <w:t>configuration</w:t>
      </w:r>
      <w:r w:rsidR="00724EAD" w:rsidRPr="00F10496">
        <w:rPr>
          <w:lang w:val="en-US"/>
        </w:rPr>
        <w:t xml:space="preserve"> B </w:t>
      </w:r>
      <w:proofErr w:type="gramStart"/>
      <w:r w:rsidR="00724EAD" w:rsidRPr="00F10496">
        <w:rPr>
          <w:lang w:val="en-US"/>
        </w:rPr>
        <w:t>is</w:t>
      </w:r>
      <w:proofErr w:type="gramEnd"/>
      <w:r w:rsidR="00724EAD" w:rsidRPr="00F10496">
        <w:rPr>
          <w:lang w:val="en-US"/>
        </w:rPr>
        <w:t xml:space="preserve"> with 19.0% of the cases the second most common </w:t>
      </w:r>
      <w:r w:rsidR="001D1CD9" w:rsidRPr="00F10496">
        <w:rPr>
          <w:lang w:val="en-US"/>
        </w:rPr>
        <w:t>manufacturing configuration</w:t>
      </w:r>
      <w:r w:rsidR="00724EAD" w:rsidRPr="00F10496">
        <w:rPr>
          <w:lang w:val="en-US"/>
        </w:rPr>
        <w:t xml:space="preserve"> in our sample. The start-ups with</w:t>
      </w:r>
      <w:r w:rsidR="00D55703">
        <w:rPr>
          <w:lang w:val="en-US"/>
        </w:rPr>
        <w:t>in</w:t>
      </w:r>
      <w:r w:rsidR="00724EAD" w:rsidRPr="00F10496">
        <w:rPr>
          <w:lang w:val="en-US"/>
        </w:rPr>
        <w:t xml:space="preserve"> </w:t>
      </w:r>
      <w:r w:rsidR="001D1CD9" w:rsidRPr="00F10496">
        <w:rPr>
          <w:lang w:val="en-US"/>
        </w:rPr>
        <w:t>manufacturing configuration</w:t>
      </w:r>
      <w:r w:rsidR="00724EAD" w:rsidRPr="00F10496">
        <w:rPr>
          <w:lang w:val="en-US"/>
        </w:rPr>
        <w:t xml:space="preserve"> B do not sort </w:t>
      </w:r>
      <w:r w:rsidR="00B603D8" w:rsidRPr="00F10496">
        <w:rPr>
          <w:lang w:val="en-US"/>
        </w:rPr>
        <w:t>and</w:t>
      </w:r>
      <w:r w:rsidR="00724EAD" w:rsidRPr="00F10496">
        <w:rPr>
          <w:lang w:val="en-US"/>
        </w:rPr>
        <w:t xml:space="preserve"> grade the </w:t>
      </w:r>
      <w:r w:rsidR="001D1CD9" w:rsidRPr="00F10496">
        <w:rPr>
          <w:lang w:val="en-US"/>
        </w:rPr>
        <w:t>used products</w:t>
      </w:r>
      <w:r w:rsidR="00724EAD" w:rsidRPr="00F10496">
        <w:rPr>
          <w:lang w:val="en-US"/>
        </w:rPr>
        <w:t xml:space="preserve">. Instead, they upcycle the inputs into new products through a discrete and standardized manufacturing process. Examples of </w:t>
      </w:r>
      <w:r w:rsidRPr="00F10496">
        <w:rPr>
          <w:lang w:val="en-US"/>
        </w:rPr>
        <w:t>manufacturing</w:t>
      </w:r>
      <w:r w:rsidR="00724EAD" w:rsidRPr="00F10496">
        <w:rPr>
          <w:lang w:val="en-US"/>
        </w:rPr>
        <w:t xml:space="preserve"> </w:t>
      </w:r>
      <w:r w:rsidR="001D1CD9" w:rsidRPr="00F10496">
        <w:rPr>
          <w:lang w:val="en-US"/>
        </w:rPr>
        <w:t>configuration</w:t>
      </w:r>
      <w:r w:rsidR="00724EAD" w:rsidRPr="00F10496">
        <w:rPr>
          <w:lang w:val="en-US"/>
        </w:rPr>
        <w:t xml:space="preserve"> B include </w:t>
      </w:r>
      <w:r w:rsidR="00724EAD" w:rsidRPr="00F10496">
        <w:rPr>
          <w:i/>
          <w:iCs/>
          <w:lang w:val="en-US"/>
        </w:rPr>
        <w:t>Rebottled</w:t>
      </w:r>
      <w:r w:rsidR="00724EAD" w:rsidRPr="00F10496">
        <w:rPr>
          <w:lang w:val="en-US"/>
        </w:rPr>
        <w:t xml:space="preserve"> and </w:t>
      </w:r>
      <w:proofErr w:type="spellStart"/>
      <w:r w:rsidR="00724EAD" w:rsidRPr="00F10496">
        <w:rPr>
          <w:i/>
          <w:iCs/>
          <w:lang w:val="en-US"/>
        </w:rPr>
        <w:t>Chopvalue</w:t>
      </w:r>
      <w:proofErr w:type="spellEnd"/>
      <w:r w:rsidR="00724EAD" w:rsidRPr="00F10496">
        <w:rPr>
          <w:lang w:val="en-US"/>
        </w:rPr>
        <w:t xml:space="preserve">. </w:t>
      </w:r>
      <w:r w:rsidR="00724EAD" w:rsidRPr="00F10496">
        <w:rPr>
          <w:i/>
          <w:iCs/>
          <w:lang w:val="en-US"/>
        </w:rPr>
        <w:t>Rebottled</w:t>
      </w:r>
      <w:r w:rsidR="00724EAD" w:rsidRPr="00F10496">
        <w:rPr>
          <w:lang w:val="en-US"/>
        </w:rPr>
        <w:t xml:space="preserve"> collects empty wine bottles from restaurants. The wine bottles are cleaned and cut in two. After polishing the edges, the bottom half of the wine bottle becomes a drinking </w:t>
      </w:r>
      <w:proofErr w:type="gramStart"/>
      <w:r w:rsidR="00724EAD" w:rsidRPr="00F10496">
        <w:rPr>
          <w:lang w:val="en-US"/>
        </w:rPr>
        <w:t>glass</w:t>
      </w:r>
      <w:proofErr w:type="gramEnd"/>
      <w:r w:rsidR="00724EAD" w:rsidRPr="00F10496">
        <w:rPr>
          <w:lang w:val="en-US"/>
        </w:rPr>
        <w:t xml:space="preserve"> and the top half of the wine bottle becomes a lamp shade. </w:t>
      </w:r>
      <w:proofErr w:type="spellStart"/>
      <w:r w:rsidR="00724EAD" w:rsidRPr="00F10496">
        <w:rPr>
          <w:i/>
          <w:iCs/>
          <w:lang w:val="en-US"/>
        </w:rPr>
        <w:t>Chopvalue</w:t>
      </w:r>
      <w:proofErr w:type="spellEnd"/>
      <w:r w:rsidR="00724EAD" w:rsidRPr="00F10496">
        <w:rPr>
          <w:lang w:val="en-US"/>
        </w:rPr>
        <w:t xml:space="preserve"> adopts a similar approach where they collect used disposable bamboo chopsticks from restaurants. The collected chopsticks </w:t>
      </w:r>
      <w:r w:rsidR="00964910" w:rsidRPr="00F10496">
        <w:rPr>
          <w:lang w:val="en-US"/>
        </w:rPr>
        <w:t>are</w:t>
      </w:r>
      <w:r w:rsidR="00724EAD" w:rsidRPr="00F10496">
        <w:rPr>
          <w:lang w:val="en-US"/>
        </w:rPr>
        <w:t xml:space="preserve"> compressed using a hydraulic press </w:t>
      </w:r>
      <w:r w:rsidR="00964910" w:rsidRPr="00F10496">
        <w:rPr>
          <w:lang w:val="en-US"/>
        </w:rPr>
        <w:t xml:space="preserve">to make wooden shapes which are used to make furniture. </w:t>
      </w:r>
    </w:p>
    <w:p w14:paraId="7E74394D" w14:textId="77777777" w:rsidR="00724EAD" w:rsidRPr="00F10496" w:rsidRDefault="00724EAD" w:rsidP="00724EAD">
      <w:pPr>
        <w:spacing w:after="0"/>
        <w:jc w:val="both"/>
        <w:rPr>
          <w:lang w:val="en-US"/>
        </w:rPr>
      </w:pPr>
    </w:p>
    <w:p w14:paraId="4BC73715" w14:textId="2096284D" w:rsidR="00724EAD" w:rsidRPr="00F10496" w:rsidRDefault="00724EAD" w:rsidP="00724EAD">
      <w:pPr>
        <w:spacing w:after="0"/>
        <w:jc w:val="both"/>
        <w:rPr>
          <w:lang w:val="en-US"/>
        </w:rPr>
      </w:pPr>
      <w:r w:rsidRPr="00F10496">
        <w:rPr>
          <w:lang w:val="en-US"/>
        </w:rPr>
        <w:t xml:space="preserve">As evident from </w:t>
      </w:r>
      <w:r w:rsidR="001327C3">
        <w:rPr>
          <w:lang w:val="en-US"/>
        </w:rPr>
        <w:t>T</w:t>
      </w:r>
      <w:r w:rsidRPr="00F10496">
        <w:rPr>
          <w:lang w:val="en-US"/>
        </w:rPr>
        <w:t xml:space="preserve">able </w:t>
      </w:r>
      <w:r w:rsidR="00CD661E" w:rsidRPr="00F10496">
        <w:rPr>
          <w:lang w:val="en-US"/>
        </w:rPr>
        <w:t>3</w:t>
      </w:r>
      <w:r w:rsidRPr="00F10496">
        <w:rPr>
          <w:lang w:val="en-US"/>
        </w:rPr>
        <w:t xml:space="preserve">, all the start-ups in our sample with </w:t>
      </w:r>
      <w:r w:rsidR="00B603D8" w:rsidRPr="00F10496">
        <w:rPr>
          <w:lang w:val="en-US"/>
        </w:rPr>
        <w:t>configuration</w:t>
      </w:r>
      <w:r w:rsidRPr="00F10496">
        <w:rPr>
          <w:lang w:val="en-US"/>
        </w:rPr>
        <w:t xml:space="preserve"> B are successful</w:t>
      </w:r>
      <w:r w:rsidR="00B603D8" w:rsidRPr="00F10496">
        <w:rPr>
          <w:lang w:val="en-US"/>
        </w:rPr>
        <w:t>, rend</w:t>
      </w:r>
      <w:r w:rsidR="00CD661E" w:rsidRPr="00F10496">
        <w:rPr>
          <w:lang w:val="en-US"/>
        </w:rPr>
        <w:t>er</w:t>
      </w:r>
      <w:r w:rsidR="00B603D8" w:rsidRPr="00F10496">
        <w:rPr>
          <w:lang w:val="en-US"/>
        </w:rPr>
        <w:t>ing</w:t>
      </w:r>
      <w:r w:rsidRPr="00F10496">
        <w:rPr>
          <w:lang w:val="en-US"/>
        </w:rPr>
        <w:t xml:space="preserve"> </w:t>
      </w:r>
      <w:r w:rsidR="00F10496">
        <w:rPr>
          <w:lang w:val="en-US"/>
        </w:rPr>
        <w:t xml:space="preserve">the second step of the </w:t>
      </w:r>
      <w:r w:rsidR="008B2A08" w:rsidRPr="00F10496">
        <w:rPr>
          <w:lang w:val="en-US"/>
        </w:rPr>
        <w:t>cs</w:t>
      </w:r>
      <w:r w:rsidRPr="00F10496">
        <w:rPr>
          <w:lang w:val="en-US"/>
        </w:rPr>
        <w:t xml:space="preserve">QCA impossible. </w:t>
      </w:r>
      <w:r w:rsidR="00B603D8" w:rsidRPr="00F10496">
        <w:rPr>
          <w:lang w:val="en-US"/>
        </w:rPr>
        <w:t>The</w:t>
      </w:r>
      <w:r w:rsidRPr="00F10496">
        <w:rPr>
          <w:lang w:val="en-US"/>
        </w:rPr>
        <w:t xml:space="preserve"> descriptive</w:t>
      </w:r>
      <w:r w:rsidR="00B67C98" w:rsidRPr="00F10496">
        <w:rPr>
          <w:lang w:val="en-US"/>
        </w:rPr>
        <w:t xml:space="preserve"> statistics</w:t>
      </w:r>
      <w:r w:rsidRPr="00F10496">
        <w:rPr>
          <w:lang w:val="en-US"/>
        </w:rPr>
        <w:t xml:space="preserve"> </w:t>
      </w:r>
      <w:r w:rsidR="00B603D8" w:rsidRPr="00F10496">
        <w:rPr>
          <w:lang w:val="en-US"/>
        </w:rPr>
        <w:t>in</w:t>
      </w:r>
      <w:r w:rsidRPr="00F10496">
        <w:rPr>
          <w:lang w:val="en-US"/>
        </w:rPr>
        <w:t xml:space="preserve"> </w:t>
      </w:r>
      <w:r w:rsidR="00534F98">
        <w:rPr>
          <w:lang w:val="en-US"/>
        </w:rPr>
        <w:t>T</w:t>
      </w:r>
      <w:r w:rsidRPr="00F10496">
        <w:rPr>
          <w:lang w:val="en-US"/>
        </w:rPr>
        <w:t xml:space="preserve">able </w:t>
      </w:r>
      <w:r w:rsidR="00CD661E" w:rsidRPr="00F10496">
        <w:rPr>
          <w:lang w:val="en-US"/>
        </w:rPr>
        <w:t>4</w:t>
      </w:r>
      <w:r w:rsidR="00B603D8" w:rsidRPr="00F10496">
        <w:rPr>
          <w:lang w:val="en-US"/>
        </w:rPr>
        <w:t xml:space="preserve"> show that</w:t>
      </w:r>
      <w:r w:rsidRPr="00F10496">
        <w:rPr>
          <w:lang w:val="en-US"/>
        </w:rPr>
        <w:t xml:space="preserve"> most start-ups</w:t>
      </w:r>
      <w:r w:rsidR="00964910" w:rsidRPr="00F10496">
        <w:rPr>
          <w:lang w:val="en-US"/>
        </w:rPr>
        <w:t xml:space="preserve"> </w:t>
      </w:r>
      <w:r w:rsidRPr="00F10496">
        <w:rPr>
          <w:lang w:val="en-US"/>
        </w:rPr>
        <w:t xml:space="preserve">source from </w:t>
      </w:r>
      <w:r w:rsidR="00964910" w:rsidRPr="00F10496">
        <w:rPr>
          <w:lang w:val="en-US"/>
        </w:rPr>
        <w:t>stable</w:t>
      </w:r>
      <w:r w:rsidRPr="00F10496">
        <w:rPr>
          <w:lang w:val="en-US"/>
        </w:rPr>
        <w:t xml:space="preserve"> </w:t>
      </w:r>
      <w:r w:rsidR="00B603D8" w:rsidRPr="00F10496">
        <w:rPr>
          <w:lang w:val="en-US"/>
        </w:rPr>
        <w:t xml:space="preserve">and widely available </w:t>
      </w:r>
      <w:r w:rsidRPr="00F10496">
        <w:rPr>
          <w:lang w:val="en-US"/>
        </w:rPr>
        <w:t>sources</w:t>
      </w:r>
      <w:r w:rsidR="00964910" w:rsidRPr="00F10496">
        <w:rPr>
          <w:lang w:val="en-US"/>
        </w:rPr>
        <w:t xml:space="preserve"> </w:t>
      </w:r>
      <w:r w:rsidRPr="00F10496">
        <w:rPr>
          <w:lang w:val="en-US"/>
        </w:rPr>
        <w:t>such as restaurants and recycling companies</w:t>
      </w:r>
      <w:r w:rsidR="00964910" w:rsidRPr="00F10496">
        <w:rPr>
          <w:lang w:val="en-US"/>
        </w:rPr>
        <w:t>. Furthermore, the start-ups in our sample use homogenous input</w:t>
      </w:r>
      <w:r w:rsidR="00534F98">
        <w:rPr>
          <w:lang w:val="en-US"/>
        </w:rPr>
        <w:t>s</w:t>
      </w:r>
      <w:r w:rsidR="00964910" w:rsidRPr="00F10496">
        <w:rPr>
          <w:lang w:val="en-US"/>
        </w:rPr>
        <w:t xml:space="preserve"> like the </w:t>
      </w:r>
      <w:proofErr w:type="gramStart"/>
      <w:r w:rsidR="00964910" w:rsidRPr="00F10496">
        <w:rPr>
          <w:lang w:val="en-US"/>
        </w:rPr>
        <w:t>aforementioned chopsticks</w:t>
      </w:r>
      <w:proofErr w:type="gramEnd"/>
      <w:r w:rsidR="00964910" w:rsidRPr="00F10496">
        <w:rPr>
          <w:lang w:val="en-US"/>
        </w:rPr>
        <w:t xml:space="preserve"> but also medium </w:t>
      </w:r>
      <w:r w:rsidR="00964910" w:rsidRPr="006D7745">
        <w:rPr>
          <w:lang w:val="en-US"/>
        </w:rPr>
        <w:t>heterogen</w:t>
      </w:r>
      <w:r w:rsidR="006D7745">
        <w:rPr>
          <w:lang w:val="en-US"/>
        </w:rPr>
        <w:t>e</w:t>
      </w:r>
      <w:r w:rsidR="00964910" w:rsidRPr="006D7745">
        <w:rPr>
          <w:lang w:val="en-US"/>
        </w:rPr>
        <w:t>ous</w:t>
      </w:r>
      <w:r w:rsidR="00964910" w:rsidRPr="00F10496">
        <w:rPr>
          <w:lang w:val="en-US"/>
        </w:rPr>
        <w:t xml:space="preserve"> input</w:t>
      </w:r>
      <w:r w:rsidR="00534F98">
        <w:rPr>
          <w:lang w:val="en-US"/>
        </w:rPr>
        <w:t>s</w:t>
      </w:r>
      <w:r w:rsidR="00964910" w:rsidRPr="00F10496">
        <w:rPr>
          <w:lang w:val="en-US"/>
        </w:rPr>
        <w:t xml:space="preserve"> such as wine bottles, used bullets and t-shirts</w:t>
      </w:r>
      <w:r w:rsidR="00B603D8" w:rsidRPr="00F10496">
        <w:rPr>
          <w:lang w:val="en-US"/>
        </w:rPr>
        <w:t>. As the start-</w:t>
      </w:r>
      <w:r w:rsidR="00B603D8" w:rsidRPr="00F10496">
        <w:rPr>
          <w:lang w:val="en-US"/>
        </w:rPr>
        <w:lastRenderedPageBreak/>
        <w:t xml:space="preserve">ups </w:t>
      </w:r>
      <w:r w:rsidR="00FB38B3" w:rsidRPr="00F10496">
        <w:rPr>
          <w:lang w:val="en-US"/>
        </w:rPr>
        <w:t xml:space="preserve">upcycle the </w:t>
      </w:r>
      <w:r w:rsidR="00B603D8" w:rsidRPr="00F10496">
        <w:rPr>
          <w:lang w:val="en-US"/>
        </w:rPr>
        <w:t xml:space="preserve">low to medium value </w:t>
      </w:r>
      <w:r w:rsidR="00FB38B3" w:rsidRPr="00F10496">
        <w:rPr>
          <w:lang w:val="en-US"/>
        </w:rPr>
        <w:t>used products in</w:t>
      </w:r>
      <w:r w:rsidR="00F10496">
        <w:rPr>
          <w:lang w:val="en-US"/>
        </w:rPr>
        <w:t>to</w:t>
      </w:r>
      <w:r w:rsidR="00FB38B3" w:rsidRPr="00F10496">
        <w:rPr>
          <w:lang w:val="en-US"/>
        </w:rPr>
        <w:t xml:space="preserve"> higher value products, </w:t>
      </w:r>
      <w:r w:rsidR="00B603D8" w:rsidRPr="00F10496">
        <w:rPr>
          <w:lang w:val="en-US"/>
        </w:rPr>
        <w:t>the</w:t>
      </w:r>
      <w:r w:rsidR="00CD661E" w:rsidRPr="00F10496">
        <w:rPr>
          <w:lang w:val="en-US"/>
        </w:rPr>
        <w:t xml:space="preserve"> created margin</w:t>
      </w:r>
      <w:r w:rsidR="00B603D8" w:rsidRPr="00F10496">
        <w:rPr>
          <w:lang w:val="en-US"/>
        </w:rPr>
        <w:t xml:space="preserve"> </w:t>
      </w:r>
      <w:r w:rsidR="00FB38B3" w:rsidRPr="00F10496">
        <w:rPr>
          <w:lang w:val="en-US"/>
        </w:rPr>
        <w:t>cover</w:t>
      </w:r>
      <w:r w:rsidR="00CD661E" w:rsidRPr="00F10496">
        <w:rPr>
          <w:lang w:val="en-US"/>
        </w:rPr>
        <w:t>s the</w:t>
      </w:r>
      <w:r w:rsidR="00B67C98" w:rsidRPr="00F10496">
        <w:rPr>
          <w:lang w:val="en-US"/>
        </w:rPr>
        <w:t xml:space="preserve"> costs of the</w:t>
      </w:r>
      <w:r w:rsidR="00B603D8" w:rsidRPr="00F10496">
        <w:rPr>
          <w:lang w:val="en-US"/>
        </w:rPr>
        <w:t xml:space="preserve"> standard discrete </w:t>
      </w:r>
      <w:r w:rsidR="00FB38B3" w:rsidRPr="00F10496">
        <w:rPr>
          <w:lang w:val="en-US"/>
        </w:rPr>
        <w:t>manufacturing.</w:t>
      </w:r>
    </w:p>
    <w:p w14:paraId="514463F2" w14:textId="47BB1E6B" w:rsidR="00724EAD" w:rsidRPr="00F10496" w:rsidRDefault="00724EAD" w:rsidP="00724EAD">
      <w:pPr>
        <w:spacing w:after="0"/>
        <w:jc w:val="both"/>
        <w:rPr>
          <w:lang w:val="en-US"/>
        </w:rPr>
      </w:pPr>
    </w:p>
    <w:p w14:paraId="1884B14F" w14:textId="4EB859AA" w:rsidR="00724EAD" w:rsidRPr="00F10496" w:rsidRDefault="00724EAD" w:rsidP="00724EAD">
      <w:pPr>
        <w:spacing w:after="0"/>
        <w:rPr>
          <w:i/>
          <w:iCs/>
          <w:lang w:val="en-US"/>
        </w:rPr>
      </w:pPr>
      <w:r w:rsidRPr="00F10496">
        <w:rPr>
          <w:i/>
          <w:iCs/>
          <w:lang w:val="en-US"/>
        </w:rPr>
        <w:t xml:space="preserve">4.3 </w:t>
      </w:r>
      <w:r w:rsidR="00573B57" w:rsidRPr="00F10496">
        <w:rPr>
          <w:i/>
          <w:iCs/>
          <w:lang w:val="en-US"/>
        </w:rPr>
        <w:t>Manufacturing</w:t>
      </w:r>
      <w:r w:rsidRPr="00F10496">
        <w:rPr>
          <w:i/>
          <w:iCs/>
          <w:lang w:val="en-US"/>
        </w:rPr>
        <w:t xml:space="preserve"> </w:t>
      </w:r>
      <w:r w:rsidR="00B603D8" w:rsidRPr="00F10496">
        <w:rPr>
          <w:i/>
          <w:iCs/>
          <w:lang w:val="en-US"/>
        </w:rPr>
        <w:t>configuration</w:t>
      </w:r>
      <w:r w:rsidRPr="00F10496">
        <w:rPr>
          <w:i/>
          <w:iCs/>
          <w:lang w:val="en-US"/>
        </w:rPr>
        <w:t xml:space="preserve"> C</w:t>
      </w:r>
      <w:r w:rsidR="00CD661E" w:rsidRPr="00F10496">
        <w:rPr>
          <w:i/>
          <w:iCs/>
          <w:lang w:val="en-US"/>
        </w:rPr>
        <w:t>: Processing</w:t>
      </w:r>
    </w:p>
    <w:p w14:paraId="3592D5AD" w14:textId="6B7F7BE6" w:rsidR="00724EAD" w:rsidRPr="00F10496" w:rsidRDefault="00573B57" w:rsidP="00724EAD">
      <w:pPr>
        <w:spacing w:after="0"/>
        <w:jc w:val="both"/>
        <w:rPr>
          <w:lang w:val="en-US"/>
        </w:rPr>
      </w:pPr>
      <w:r w:rsidRPr="00F10496">
        <w:rPr>
          <w:lang w:val="en-US"/>
        </w:rPr>
        <w:t>Manufacturing</w:t>
      </w:r>
      <w:r w:rsidR="00724EAD" w:rsidRPr="00F10496">
        <w:rPr>
          <w:lang w:val="en-US"/>
        </w:rPr>
        <w:t xml:space="preserve"> </w:t>
      </w:r>
      <w:r w:rsidR="00B603D8" w:rsidRPr="00F10496">
        <w:rPr>
          <w:lang w:val="en-US"/>
        </w:rPr>
        <w:t>configuration</w:t>
      </w:r>
      <w:r w:rsidR="00724EAD" w:rsidRPr="00F10496">
        <w:rPr>
          <w:lang w:val="en-US"/>
        </w:rPr>
        <w:t xml:space="preserve"> </w:t>
      </w:r>
      <w:r w:rsidR="00FB38B3" w:rsidRPr="00F10496">
        <w:rPr>
          <w:lang w:val="en-US"/>
        </w:rPr>
        <w:t>C</w:t>
      </w:r>
      <w:r w:rsidR="00724EAD" w:rsidRPr="00F10496">
        <w:rPr>
          <w:lang w:val="en-US"/>
        </w:rPr>
        <w:t xml:space="preserve"> </w:t>
      </w:r>
      <w:proofErr w:type="gramStart"/>
      <w:r w:rsidR="00724EAD" w:rsidRPr="00F10496">
        <w:rPr>
          <w:lang w:val="en-US"/>
        </w:rPr>
        <w:t>is</w:t>
      </w:r>
      <w:proofErr w:type="gramEnd"/>
      <w:r w:rsidR="00724EAD" w:rsidRPr="00F10496">
        <w:rPr>
          <w:lang w:val="en-US"/>
        </w:rPr>
        <w:t xml:space="preserve"> with 5</w:t>
      </w:r>
      <w:r w:rsidR="00FB38B3" w:rsidRPr="00F10496">
        <w:rPr>
          <w:lang w:val="en-US"/>
        </w:rPr>
        <w:t>3</w:t>
      </w:r>
      <w:r w:rsidR="00724EAD" w:rsidRPr="00F10496">
        <w:rPr>
          <w:lang w:val="en-US"/>
        </w:rPr>
        <w:t>.</w:t>
      </w:r>
      <w:r w:rsidR="00FB38B3" w:rsidRPr="00F10496">
        <w:rPr>
          <w:lang w:val="en-US"/>
        </w:rPr>
        <w:t>2</w:t>
      </w:r>
      <w:r w:rsidR="00724EAD" w:rsidRPr="00F10496">
        <w:rPr>
          <w:lang w:val="en-US"/>
        </w:rPr>
        <w:t xml:space="preserve">% of the cases the most common </w:t>
      </w:r>
      <w:r w:rsidR="00B603D8" w:rsidRPr="00F10496">
        <w:rPr>
          <w:lang w:val="en-US"/>
        </w:rPr>
        <w:t>configuration</w:t>
      </w:r>
      <w:r w:rsidR="00724EAD" w:rsidRPr="00F10496">
        <w:rPr>
          <w:lang w:val="en-US"/>
        </w:rPr>
        <w:t xml:space="preserve"> in our sample. In this </w:t>
      </w:r>
      <w:r w:rsidR="00B603D8" w:rsidRPr="00F10496">
        <w:rPr>
          <w:lang w:val="en-US"/>
        </w:rPr>
        <w:t>configuration</w:t>
      </w:r>
      <w:r w:rsidR="00724EAD" w:rsidRPr="00F10496">
        <w:rPr>
          <w:lang w:val="en-US"/>
        </w:rPr>
        <w:t xml:space="preserve">, the start-ups do not sort and grade the </w:t>
      </w:r>
      <w:r w:rsidR="00B603D8" w:rsidRPr="00F10496">
        <w:rPr>
          <w:lang w:val="en-US"/>
        </w:rPr>
        <w:t>input</w:t>
      </w:r>
      <w:r w:rsidR="00724EAD" w:rsidRPr="00F10496">
        <w:rPr>
          <w:lang w:val="en-US"/>
        </w:rPr>
        <w:t xml:space="preserve">. Through process manufacturing, the unsorted </w:t>
      </w:r>
      <w:r w:rsidR="001D1CD9" w:rsidRPr="00F10496">
        <w:rPr>
          <w:lang w:val="en-US"/>
        </w:rPr>
        <w:t>used</w:t>
      </w:r>
      <w:r w:rsidR="00724EAD" w:rsidRPr="00F10496">
        <w:rPr>
          <w:lang w:val="en-US"/>
        </w:rPr>
        <w:t xml:space="preserve"> products are upcycled by melting, </w:t>
      </w:r>
      <w:proofErr w:type="gramStart"/>
      <w:r w:rsidR="00724EAD" w:rsidRPr="00F10496">
        <w:rPr>
          <w:lang w:val="en-US"/>
        </w:rPr>
        <w:t>blending</w:t>
      </w:r>
      <w:proofErr w:type="gramEnd"/>
      <w:r w:rsidR="00724EAD" w:rsidRPr="00F10496">
        <w:rPr>
          <w:lang w:val="en-US"/>
        </w:rPr>
        <w:t xml:space="preserve"> and mixing the input into new products with a different function. </w:t>
      </w:r>
      <w:r w:rsidR="00D55703">
        <w:rPr>
          <w:lang w:val="en-US"/>
        </w:rPr>
        <w:t>For example,</w:t>
      </w:r>
      <w:r w:rsidR="00724EAD" w:rsidRPr="00F10496">
        <w:rPr>
          <w:lang w:val="en-US"/>
        </w:rPr>
        <w:t xml:space="preserve"> </w:t>
      </w:r>
      <w:r w:rsidR="00724EAD" w:rsidRPr="00F10496">
        <w:rPr>
          <w:i/>
          <w:iCs/>
          <w:lang w:val="en-US"/>
        </w:rPr>
        <w:t>Planetarians</w:t>
      </w:r>
      <w:r w:rsidR="00724EAD" w:rsidRPr="00F10496">
        <w:rPr>
          <w:lang w:val="en-US"/>
        </w:rPr>
        <w:t xml:space="preserve"> collect</w:t>
      </w:r>
      <w:r w:rsidR="00B67C98" w:rsidRPr="00F10496">
        <w:rPr>
          <w:lang w:val="en-US"/>
        </w:rPr>
        <w:t>s</w:t>
      </w:r>
      <w:r w:rsidR="00724EAD" w:rsidRPr="00F10496">
        <w:rPr>
          <w:lang w:val="en-US"/>
        </w:rPr>
        <w:t xml:space="preserve"> defatted sunflower seeds from sunflower oil processing factories. The defatted seeds are usually used as animal feed. By processing the seeds with steam, </w:t>
      </w:r>
      <w:proofErr w:type="gramStart"/>
      <w:r w:rsidR="00724EAD" w:rsidRPr="00F10496">
        <w:rPr>
          <w:lang w:val="en-US"/>
        </w:rPr>
        <w:t>heat</w:t>
      </w:r>
      <w:proofErr w:type="gramEnd"/>
      <w:r w:rsidR="00724EAD" w:rsidRPr="00F10496">
        <w:rPr>
          <w:lang w:val="en-US"/>
        </w:rPr>
        <w:t xml:space="preserve"> and pressure, </w:t>
      </w:r>
      <w:r w:rsidR="00F10496" w:rsidRPr="00F10496">
        <w:rPr>
          <w:i/>
          <w:iCs/>
          <w:lang w:val="en-US"/>
        </w:rPr>
        <w:t>Planetarians</w:t>
      </w:r>
      <w:r w:rsidR="00F10496">
        <w:rPr>
          <w:lang w:val="en-US"/>
        </w:rPr>
        <w:t xml:space="preserve"> </w:t>
      </w:r>
      <w:proofErr w:type="gramStart"/>
      <w:r w:rsidR="00F10496">
        <w:rPr>
          <w:lang w:val="en-US"/>
        </w:rPr>
        <w:t>turns</w:t>
      </w:r>
      <w:proofErr w:type="gramEnd"/>
      <w:r w:rsidR="00F10496">
        <w:rPr>
          <w:lang w:val="en-US"/>
        </w:rPr>
        <w:t xml:space="preserve"> </w:t>
      </w:r>
      <w:r w:rsidR="00534F98">
        <w:rPr>
          <w:lang w:val="en-US"/>
        </w:rPr>
        <w:t xml:space="preserve">them </w:t>
      </w:r>
      <w:r w:rsidR="00724EAD" w:rsidRPr="00F10496">
        <w:rPr>
          <w:lang w:val="en-US"/>
        </w:rPr>
        <w:t xml:space="preserve">into chips for human consumption. Another example is </w:t>
      </w:r>
      <w:proofErr w:type="spellStart"/>
      <w:r w:rsidR="00724EAD" w:rsidRPr="00F10496">
        <w:rPr>
          <w:i/>
          <w:iCs/>
          <w:lang w:val="en-US"/>
        </w:rPr>
        <w:t>PeelPioneers</w:t>
      </w:r>
      <w:proofErr w:type="spellEnd"/>
      <w:r w:rsidR="00724EAD" w:rsidRPr="00F10496">
        <w:rPr>
          <w:i/>
          <w:iCs/>
          <w:lang w:val="en-US"/>
        </w:rPr>
        <w:t xml:space="preserve"> </w:t>
      </w:r>
      <w:r w:rsidR="00724EAD" w:rsidRPr="00F10496">
        <w:rPr>
          <w:lang w:val="en-US"/>
        </w:rPr>
        <w:t xml:space="preserve">who </w:t>
      </w:r>
      <w:proofErr w:type="gramStart"/>
      <w:r w:rsidR="00724EAD" w:rsidRPr="00F10496">
        <w:rPr>
          <w:lang w:val="en-US"/>
        </w:rPr>
        <w:t>extracts</w:t>
      </w:r>
      <w:proofErr w:type="gramEnd"/>
      <w:r w:rsidR="00724EAD" w:rsidRPr="00F10496">
        <w:rPr>
          <w:lang w:val="en-US"/>
        </w:rPr>
        <w:t xml:space="preserve"> valuable raw materials from orange peels which are otherwise burned or turned into biomass. </w:t>
      </w:r>
      <w:proofErr w:type="spellStart"/>
      <w:r w:rsidR="00724EAD" w:rsidRPr="00F10496">
        <w:rPr>
          <w:i/>
          <w:iCs/>
          <w:lang w:val="en-US"/>
        </w:rPr>
        <w:t>PeelPioneers</w:t>
      </w:r>
      <w:proofErr w:type="spellEnd"/>
      <w:r w:rsidR="00724EAD" w:rsidRPr="00F10496">
        <w:rPr>
          <w:lang w:val="en-US"/>
        </w:rPr>
        <w:t xml:space="preserve"> receives large amounts of orange peels from a large supermarket chain. Once the peels arrive at the production location, they press the orange peels to extract oils and </w:t>
      </w:r>
      <w:r w:rsidR="001D4D06" w:rsidRPr="001D4D06">
        <w:rPr>
          <w:lang w:val="en-US"/>
        </w:rPr>
        <w:t>fibers</w:t>
      </w:r>
      <w:r w:rsidR="00724EAD" w:rsidRPr="00F10496">
        <w:rPr>
          <w:lang w:val="en-US"/>
        </w:rPr>
        <w:t xml:space="preserve">. The factory processes more than ten million kilograms of orange peels per year.  </w:t>
      </w:r>
    </w:p>
    <w:p w14:paraId="5D1C2D9B" w14:textId="77777777" w:rsidR="00724EAD" w:rsidRPr="00F10496" w:rsidRDefault="00724EAD" w:rsidP="00724EAD">
      <w:pPr>
        <w:spacing w:after="0"/>
        <w:jc w:val="both"/>
        <w:rPr>
          <w:i/>
          <w:iCs/>
          <w:lang w:val="en-US"/>
        </w:rPr>
      </w:pPr>
    </w:p>
    <w:p w14:paraId="1D0E7265" w14:textId="4556229F" w:rsidR="00724EAD" w:rsidRPr="00F10496" w:rsidRDefault="00724EAD" w:rsidP="00724EAD">
      <w:pPr>
        <w:spacing w:after="0"/>
        <w:jc w:val="both"/>
        <w:rPr>
          <w:lang w:val="en-US"/>
        </w:rPr>
      </w:pPr>
      <w:r w:rsidRPr="00F10496">
        <w:rPr>
          <w:lang w:val="en-US"/>
        </w:rPr>
        <w:t xml:space="preserve">As evident from </w:t>
      </w:r>
      <w:r w:rsidR="00534F98">
        <w:rPr>
          <w:lang w:val="en-US"/>
        </w:rPr>
        <w:t>T</w:t>
      </w:r>
      <w:r w:rsidRPr="00F10496">
        <w:rPr>
          <w:lang w:val="en-US"/>
        </w:rPr>
        <w:t xml:space="preserve">able </w:t>
      </w:r>
      <w:r w:rsidR="00CD661E" w:rsidRPr="00F10496">
        <w:rPr>
          <w:lang w:val="en-US"/>
        </w:rPr>
        <w:t>3</w:t>
      </w:r>
      <w:r w:rsidRPr="00F10496">
        <w:rPr>
          <w:lang w:val="en-US"/>
        </w:rPr>
        <w:t xml:space="preserve">, 87.5% of the start-ups with </w:t>
      </w:r>
      <w:r w:rsidR="001D1CD9" w:rsidRPr="00F10496">
        <w:rPr>
          <w:lang w:val="en-US"/>
        </w:rPr>
        <w:t>manufacturing configuration C</w:t>
      </w:r>
      <w:r w:rsidRPr="00F10496">
        <w:rPr>
          <w:lang w:val="en-US"/>
        </w:rPr>
        <w:t xml:space="preserve"> are successful. Table </w:t>
      </w:r>
      <w:r w:rsidR="00CD661E" w:rsidRPr="00F10496">
        <w:rPr>
          <w:lang w:val="en-US"/>
        </w:rPr>
        <w:t>5</w:t>
      </w:r>
      <w:r w:rsidRPr="00F10496">
        <w:rPr>
          <w:lang w:val="en-US"/>
        </w:rPr>
        <w:t xml:space="preserve"> presents the results of the csQCA to investigate which </w:t>
      </w:r>
      <w:r w:rsidR="001D1CD9" w:rsidRPr="00F10496">
        <w:rPr>
          <w:lang w:val="en-US"/>
        </w:rPr>
        <w:t>supply</w:t>
      </w:r>
      <w:r w:rsidR="001B52AA" w:rsidRPr="00F10496">
        <w:rPr>
          <w:lang w:val="en-US"/>
        </w:rPr>
        <w:t xml:space="preserve"> characteristics</w:t>
      </w:r>
      <w:r w:rsidRPr="00F10496">
        <w:rPr>
          <w:lang w:val="en-US"/>
        </w:rPr>
        <w:t xml:space="preserve"> lead to</w:t>
      </w:r>
      <w:r w:rsidR="001B52AA" w:rsidRPr="00F10496">
        <w:rPr>
          <w:lang w:val="en-US"/>
        </w:rPr>
        <w:t xml:space="preserve"> </w:t>
      </w:r>
      <w:r w:rsidRPr="00F10496">
        <w:rPr>
          <w:lang w:val="en-US"/>
        </w:rPr>
        <w:t xml:space="preserve">success. </w:t>
      </w:r>
      <w:r w:rsidR="001B52AA" w:rsidRPr="00F10496">
        <w:rPr>
          <w:lang w:val="en-US"/>
        </w:rPr>
        <w:t>T</w:t>
      </w:r>
      <w:r w:rsidRPr="00F10496">
        <w:rPr>
          <w:lang w:val="en-US"/>
        </w:rPr>
        <w:t xml:space="preserve">he high </w:t>
      </w:r>
      <w:r w:rsidR="001B52AA" w:rsidRPr="00F10496">
        <w:rPr>
          <w:lang w:val="en-US"/>
        </w:rPr>
        <w:t>inclusion</w:t>
      </w:r>
      <w:r w:rsidRPr="00F10496">
        <w:rPr>
          <w:lang w:val="en-US"/>
        </w:rPr>
        <w:t xml:space="preserve"> scores in </w:t>
      </w:r>
      <w:r w:rsidR="00534F98">
        <w:rPr>
          <w:lang w:val="en-US"/>
        </w:rPr>
        <w:t>T</w:t>
      </w:r>
      <w:r w:rsidRPr="00F10496">
        <w:rPr>
          <w:lang w:val="en-US"/>
        </w:rPr>
        <w:t xml:space="preserve">able </w:t>
      </w:r>
      <w:r w:rsidR="00CD661E" w:rsidRPr="00F10496">
        <w:rPr>
          <w:lang w:val="en-US"/>
        </w:rPr>
        <w:t>5</w:t>
      </w:r>
      <w:r w:rsidRPr="00F10496">
        <w:rPr>
          <w:lang w:val="en-US"/>
        </w:rPr>
        <w:t xml:space="preserve"> indicate that a large share of the start-ups use</w:t>
      </w:r>
      <w:r w:rsidR="001B52AA" w:rsidRPr="00F10496">
        <w:rPr>
          <w:lang w:val="en-US"/>
        </w:rPr>
        <w:t xml:space="preserve"> </w:t>
      </w:r>
      <w:r w:rsidR="00B67C98" w:rsidRPr="00F10496">
        <w:rPr>
          <w:lang w:val="en-US"/>
        </w:rPr>
        <w:t>stable</w:t>
      </w:r>
      <w:r w:rsidR="001B52AA" w:rsidRPr="00F10496">
        <w:rPr>
          <w:lang w:val="en-US"/>
        </w:rPr>
        <w:t xml:space="preserve"> sources of</w:t>
      </w:r>
      <w:r w:rsidRPr="00F10496">
        <w:rPr>
          <w:lang w:val="en-US"/>
        </w:rPr>
        <w:t xml:space="preserve"> low value </w:t>
      </w:r>
      <w:r w:rsidR="001B52AA" w:rsidRPr="00F10496">
        <w:rPr>
          <w:lang w:val="en-US"/>
        </w:rPr>
        <w:t>input</w:t>
      </w:r>
      <w:r w:rsidRPr="00F10496">
        <w:rPr>
          <w:lang w:val="en-US"/>
        </w:rPr>
        <w:t xml:space="preserve"> such as food waste from restaurants and supermarkets, shredded textile waste sourced from recycling firms and common production wastes such as fishing nets and construction debris. Furthermore, </w:t>
      </w:r>
      <w:r w:rsidR="002B4BE1" w:rsidRPr="00F10496">
        <w:rPr>
          <w:lang w:val="en-US"/>
        </w:rPr>
        <w:t>cases</w:t>
      </w:r>
      <w:r w:rsidRPr="00F10496">
        <w:rPr>
          <w:lang w:val="en-US"/>
        </w:rPr>
        <w:t xml:space="preserve"> with highly heterogen</w:t>
      </w:r>
      <w:r w:rsidR="006D7745">
        <w:rPr>
          <w:lang w:val="en-US"/>
        </w:rPr>
        <w:t>e</w:t>
      </w:r>
      <w:r w:rsidRPr="00F10496">
        <w:rPr>
          <w:lang w:val="en-US"/>
        </w:rPr>
        <w:t>ous input</w:t>
      </w:r>
      <w:r w:rsidR="006D7745">
        <w:rPr>
          <w:lang w:val="en-US"/>
        </w:rPr>
        <w:t>s</w:t>
      </w:r>
      <w:r w:rsidRPr="00F10496">
        <w:rPr>
          <w:lang w:val="en-US"/>
        </w:rPr>
        <w:t xml:space="preserve"> and high or very high value input</w:t>
      </w:r>
      <w:r w:rsidR="006D7745">
        <w:rPr>
          <w:lang w:val="en-US"/>
        </w:rPr>
        <w:t>s</w:t>
      </w:r>
      <w:r w:rsidRPr="00F10496">
        <w:rPr>
          <w:lang w:val="en-US"/>
        </w:rPr>
        <w:t xml:space="preserve"> are not present within our sample, as such suggesting that these </w:t>
      </w:r>
      <w:r w:rsidR="00792C09" w:rsidRPr="00F10496">
        <w:rPr>
          <w:lang w:val="en-US"/>
        </w:rPr>
        <w:t xml:space="preserve">supply </w:t>
      </w:r>
      <w:r w:rsidR="002B4BE1" w:rsidRPr="00F10496">
        <w:rPr>
          <w:lang w:val="en-US"/>
        </w:rPr>
        <w:t>characteristics</w:t>
      </w:r>
      <w:r w:rsidRPr="00F10496">
        <w:rPr>
          <w:lang w:val="en-US"/>
        </w:rPr>
        <w:t xml:space="preserve"> do not fit </w:t>
      </w:r>
      <w:r w:rsidR="001B52AA" w:rsidRPr="00F10496">
        <w:rPr>
          <w:lang w:val="en-US"/>
        </w:rPr>
        <w:t>configuration</w:t>
      </w:r>
      <w:r w:rsidRPr="00F10496">
        <w:rPr>
          <w:lang w:val="en-US"/>
        </w:rPr>
        <w:t xml:space="preserve"> </w:t>
      </w:r>
      <w:r w:rsidR="001B52AA" w:rsidRPr="00F10496">
        <w:rPr>
          <w:lang w:val="en-US"/>
        </w:rPr>
        <w:t>C</w:t>
      </w:r>
      <w:r w:rsidRPr="00F10496">
        <w:rPr>
          <w:lang w:val="en-US"/>
        </w:rPr>
        <w:t xml:space="preserve">. Second, the low relevance scores (below 0.75) indicate that homogenous waste, low </w:t>
      </w:r>
      <w:proofErr w:type="gramStart"/>
      <w:r w:rsidRPr="00F10496">
        <w:rPr>
          <w:lang w:val="en-US"/>
        </w:rPr>
        <w:t>uncertainty</w:t>
      </w:r>
      <w:proofErr w:type="gramEnd"/>
      <w:r w:rsidRPr="00F10496">
        <w:rPr>
          <w:lang w:val="en-US"/>
        </w:rPr>
        <w:t xml:space="preserve"> and the availability of sufficient sources are trivial to the success of </w:t>
      </w:r>
      <w:r w:rsidR="001B52AA" w:rsidRPr="00F10496">
        <w:rPr>
          <w:lang w:val="en-US"/>
        </w:rPr>
        <w:t>configuration C</w:t>
      </w:r>
      <w:r w:rsidRPr="00F10496">
        <w:rPr>
          <w:lang w:val="en-US"/>
        </w:rPr>
        <w:t xml:space="preserve"> as </w:t>
      </w:r>
      <w:r w:rsidRPr="00F10496">
        <w:rPr>
          <w:lang w:val="en-US"/>
        </w:rPr>
        <w:lastRenderedPageBreak/>
        <w:t xml:space="preserve">these </w:t>
      </w:r>
      <w:r w:rsidR="001D1CD9" w:rsidRPr="00F10496">
        <w:rPr>
          <w:lang w:val="en-US"/>
        </w:rPr>
        <w:t>supply</w:t>
      </w:r>
      <w:r w:rsidR="001B52AA" w:rsidRPr="00F10496">
        <w:rPr>
          <w:lang w:val="en-US"/>
        </w:rPr>
        <w:t xml:space="preserve"> characteristics</w:t>
      </w:r>
      <w:r w:rsidRPr="00F10496">
        <w:rPr>
          <w:lang w:val="en-US"/>
        </w:rPr>
        <w:t xml:space="preserve"> are both widely present in successful and moderately successful start-ups.</w:t>
      </w:r>
    </w:p>
    <w:p w14:paraId="7A9037A0" w14:textId="55255645" w:rsidR="00F84645" w:rsidRPr="005359EE" w:rsidRDefault="00E738F3" w:rsidP="00A211AA">
      <w:pPr>
        <w:jc w:val="both"/>
        <w:rPr>
          <w:lang w:val="en-US"/>
        </w:rPr>
      </w:pPr>
      <w:r>
        <w:rPr>
          <w:lang w:val="en-US"/>
        </w:rPr>
        <w:t>Based on the csQCA, w</w:t>
      </w:r>
      <w:r w:rsidR="00724EAD" w:rsidRPr="00F10496">
        <w:rPr>
          <w:lang w:val="en-US"/>
        </w:rPr>
        <w:t xml:space="preserve">e identified two </w:t>
      </w:r>
      <w:r w:rsidR="00CD661E" w:rsidRPr="00F10496">
        <w:rPr>
          <w:lang w:val="en-US"/>
        </w:rPr>
        <w:t>supply</w:t>
      </w:r>
      <w:r w:rsidR="00724EAD" w:rsidRPr="00F10496">
        <w:rPr>
          <w:lang w:val="en-US"/>
        </w:rPr>
        <w:t xml:space="preserve"> configurations in which </w:t>
      </w:r>
      <w:r w:rsidR="001D1CD9" w:rsidRPr="00F10496">
        <w:rPr>
          <w:lang w:val="en-US"/>
        </w:rPr>
        <w:t>manufacturing configuration</w:t>
      </w:r>
      <w:r w:rsidR="00724EAD" w:rsidRPr="00F10496">
        <w:rPr>
          <w:lang w:val="en-US"/>
        </w:rPr>
        <w:t xml:space="preserve"> </w:t>
      </w:r>
      <w:r w:rsidR="00D725AD" w:rsidRPr="00F10496">
        <w:rPr>
          <w:lang w:val="en-US"/>
        </w:rPr>
        <w:t>C</w:t>
      </w:r>
      <w:r w:rsidR="00724EAD" w:rsidRPr="00F10496">
        <w:rPr>
          <w:lang w:val="en-US"/>
        </w:rPr>
        <w:t xml:space="preserve"> has a high probability of success</w:t>
      </w:r>
      <w:r w:rsidR="001D1CD9" w:rsidRPr="00F10496">
        <w:rPr>
          <w:lang w:val="en-US"/>
        </w:rPr>
        <w:t>.</w:t>
      </w:r>
      <w:r w:rsidR="00724EAD" w:rsidRPr="00F10496">
        <w:rPr>
          <w:lang w:val="en-US"/>
        </w:rPr>
        <w:t xml:space="preserve"> The coverage shows that these two </w:t>
      </w:r>
      <w:r w:rsidR="00CD661E" w:rsidRPr="00F10496">
        <w:rPr>
          <w:lang w:val="en-US"/>
        </w:rPr>
        <w:t>supply</w:t>
      </w:r>
      <w:r w:rsidR="00724EAD" w:rsidRPr="00F10496">
        <w:rPr>
          <w:lang w:val="en-US"/>
        </w:rPr>
        <w:t xml:space="preserve"> configurations cover respectively 2</w:t>
      </w:r>
      <w:r w:rsidR="001B52AA" w:rsidRPr="00F10496">
        <w:rPr>
          <w:lang w:val="en-US"/>
        </w:rPr>
        <w:t>6</w:t>
      </w:r>
      <w:r w:rsidR="00724EAD" w:rsidRPr="00F10496">
        <w:rPr>
          <w:lang w:val="en-US"/>
        </w:rPr>
        <w:t>.</w:t>
      </w:r>
      <w:r w:rsidR="001B52AA" w:rsidRPr="00F10496">
        <w:rPr>
          <w:lang w:val="en-US"/>
        </w:rPr>
        <w:t>2</w:t>
      </w:r>
      <w:r w:rsidR="00724EAD" w:rsidRPr="00F10496">
        <w:rPr>
          <w:lang w:val="en-US"/>
        </w:rPr>
        <w:t xml:space="preserve">% and </w:t>
      </w:r>
      <w:r w:rsidR="001B52AA" w:rsidRPr="00F10496">
        <w:rPr>
          <w:lang w:val="en-US"/>
        </w:rPr>
        <w:t>35</w:t>
      </w:r>
      <w:r w:rsidR="00724EAD" w:rsidRPr="00F10496">
        <w:rPr>
          <w:lang w:val="en-US"/>
        </w:rPr>
        <w:t>.9% of the successful start-ups with</w:t>
      </w:r>
      <w:r>
        <w:rPr>
          <w:lang w:val="en-US"/>
        </w:rPr>
        <w:t>in</w:t>
      </w:r>
      <w:r w:rsidR="00724EAD" w:rsidRPr="00F10496">
        <w:rPr>
          <w:lang w:val="en-US"/>
        </w:rPr>
        <w:t xml:space="preserve"> </w:t>
      </w:r>
      <w:r w:rsidR="001B52AA" w:rsidRPr="00F10496">
        <w:rPr>
          <w:lang w:val="en-US"/>
        </w:rPr>
        <w:t>configuration</w:t>
      </w:r>
      <w:r w:rsidR="00724EAD" w:rsidRPr="00F10496">
        <w:rPr>
          <w:lang w:val="en-US"/>
        </w:rPr>
        <w:t xml:space="preserve"> </w:t>
      </w:r>
      <w:r w:rsidR="00B67C98" w:rsidRPr="00F10496">
        <w:rPr>
          <w:lang w:val="en-US"/>
        </w:rPr>
        <w:t>C</w:t>
      </w:r>
      <w:r w:rsidR="00724EAD" w:rsidRPr="00F10496">
        <w:rPr>
          <w:lang w:val="en-US"/>
        </w:rPr>
        <w:t xml:space="preserve">. In the first </w:t>
      </w:r>
      <w:r w:rsidR="00CD661E" w:rsidRPr="00F10496">
        <w:rPr>
          <w:lang w:val="en-US"/>
        </w:rPr>
        <w:t>supply</w:t>
      </w:r>
      <w:r w:rsidR="00724EAD" w:rsidRPr="00F10496">
        <w:rPr>
          <w:lang w:val="en-US"/>
        </w:rPr>
        <w:t xml:space="preserve"> configuration, the start-ups rely on </w:t>
      </w:r>
      <w:proofErr w:type="gramStart"/>
      <w:r w:rsidR="00724EAD" w:rsidRPr="00F10496">
        <w:rPr>
          <w:lang w:val="en-US"/>
        </w:rPr>
        <w:t>few</w:t>
      </w:r>
      <w:proofErr w:type="gramEnd"/>
      <w:r w:rsidR="00724EAD" w:rsidRPr="00F10496">
        <w:rPr>
          <w:lang w:val="en-US"/>
        </w:rPr>
        <w:t xml:space="preserve"> but large and homogenous sources. The reliance on homogenous sources, arguable possible by relying on a few large</w:t>
      </w:r>
      <w:r w:rsidR="00B67C98" w:rsidRPr="00F10496">
        <w:rPr>
          <w:lang w:val="en-US"/>
        </w:rPr>
        <w:t xml:space="preserve"> industrial</w:t>
      </w:r>
      <w:r w:rsidR="00724EAD" w:rsidRPr="00F10496">
        <w:rPr>
          <w:lang w:val="en-US"/>
        </w:rPr>
        <w:t xml:space="preserve"> suppliers, removes the need to sort and grade the input prior to the processing. For example, </w:t>
      </w:r>
      <w:r w:rsidR="00724EAD" w:rsidRPr="00F10496">
        <w:rPr>
          <w:i/>
          <w:iCs/>
          <w:lang w:val="en-US"/>
        </w:rPr>
        <w:t>RISE products</w:t>
      </w:r>
      <w:r w:rsidR="00724EAD" w:rsidRPr="00F10496">
        <w:rPr>
          <w:lang w:val="en-US"/>
        </w:rPr>
        <w:t xml:space="preserve"> </w:t>
      </w:r>
      <w:proofErr w:type="gramStart"/>
      <w:r w:rsidR="00724EAD" w:rsidRPr="00F10496">
        <w:rPr>
          <w:lang w:val="en-US"/>
        </w:rPr>
        <w:t>collects</w:t>
      </w:r>
      <w:proofErr w:type="gramEnd"/>
      <w:r w:rsidR="00724EAD" w:rsidRPr="00F10496">
        <w:rPr>
          <w:lang w:val="en-US"/>
        </w:rPr>
        <w:t xml:space="preserve"> spent barley from microbreweries and </w:t>
      </w:r>
      <w:proofErr w:type="spellStart"/>
      <w:r w:rsidR="00724EAD" w:rsidRPr="00F10496">
        <w:rPr>
          <w:i/>
          <w:iCs/>
          <w:lang w:val="en-US"/>
        </w:rPr>
        <w:t>Gelatex</w:t>
      </w:r>
      <w:proofErr w:type="spellEnd"/>
      <w:r w:rsidR="00724EAD" w:rsidRPr="00F10496">
        <w:rPr>
          <w:lang w:val="en-US"/>
        </w:rPr>
        <w:t xml:space="preserve"> recovers </w:t>
      </w:r>
      <w:r w:rsidR="001D4D06" w:rsidRPr="001D4D06">
        <w:rPr>
          <w:lang w:val="en-US"/>
        </w:rPr>
        <w:t>gelatin</w:t>
      </w:r>
      <w:r w:rsidR="00724EAD" w:rsidRPr="005359EE">
        <w:rPr>
          <w:lang w:val="en-US"/>
        </w:rPr>
        <w:t xml:space="preserve"> from the meat processing industry. In the second </w:t>
      </w:r>
      <w:r w:rsidR="00CD661E" w:rsidRPr="005359EE">
        <w:rPr>
          <w:lang w:val="en-US"/>
        </w:rPr>
        <w:t>supply</w:t>
      </w:r>
      <w:r w:rsidR="00724EAD" w:rsidRPr="005359EE">
        <w:rPr>
          <w:lang w:val="en-US"/>
        </w:rPr>
        <w:t xml:space="preserve"> configuration, the start-ups rely on</w:t>
      </w:r>
      <w:r w:rsidR="00FB38B3" w:rsidRPr="005359EE">
        <w:rPr>
          <w:lang w:val="en-US"/>
        </w:rPr>
        <w:t xml:space="preserve"> widely available </w:t>
      </w:r>
      <w:r w:rsidR="005F1302">
        <w:rPr>
          <w:lang w:val="en-US"/>
        </w:rPr>
        <w:t xml:space="preserve">and </w:t>
      </w:r>
      <w:r w:rsidR="00724EAD" w:rsidRPr="005359EE">
        <w:rPr>
          <w:lang w:val="en-US"/>
        </w:rPr>
        <w:t>medium heterogeneous input</w:t>
      </w:r>
      <w:r w:rsidR="00BB60D6">
        <w:rPr>
          <w:lang w:val="en-US"/>
        </w:rPr>
        <w:t>s</w:t>
      </w:r>
      <w:r w:rsidR="00724EAD" w:rsidRPr="005359EE">
        <w:rPr>
          <w:lang w:val="en-US"/>
        </w:rPr>
        <w:t xml:space="preserve"> such as food waste and used garments. A deeper look into the manufacturing conditions of the start-ups in</w:t>
      </w:r>
      <w:r w:rsidR="00F84645" w:rsidRPr="005359EE">
        <w:rPr>
          <w:lang w:val="en-US"/>
        </w:rPr>
        <w:t xml:space="preserve"> the second</w:t>
      </w:r>
      <w:r w:rsidR="00724EAD" w:rsidRPr="005359EE">
        <w:rPr>
          <w:lang w:val="en-US"/>
        </w:rPr>
        <w:t xml:space="preserve"> </w:t>
      </w:r>
      <w:r w:rsidR="00CD661E" w:rsidRPr="005359EE">
        <w:rPr>
          <w:lang w:val="en-US"/>
        </w:rPr>
        <w:t>supply</w:t>
      </w:r>
      <w:r w:rsidR="00724EAD" w:rsidRPr="005359EE">
        <w:rPr>
          <w:lang w:val="en-US"/>
        </w:rPr>
        <w:t xml:space="preserve"> configuration suggests that the processing stages are unaffected by the medium heterogeneity of the inputs and therefore do not need prior sorting and grading activities. For example, </w:t>
      </w:r>
      <w:proofErr w:type="spellStart"/>
      <w:r w:rsidR="00724EAD" w:rsidRPr="005359EE">
        <w:rPr>
          <w:i/>
          <w:iCs/>
          <w:lang w:val="en-US"/>
        </w:rPr>
        <w:t>MacRebur</w:t>
      </w:r>
      <w:proofErr w:type="spellEnd"/>
      <w:r w:rsidR="00724EAD" w:rsidRPr="005359EE">
        <w:rPr>
          <w:lang w:val="en-US"/>
        </w:rPr>
        <w:t xml:space="preserve"> melts mixed plastics into pallets which are used for road surfaces, </w:t>
      </w:r>
      <w:proofErr w:type="spellStart"/>
      <w:proofErr w:type="gramStart"/>
      <w:r w:rsidR="00724EAD" w:rsidRPr="005359EE">
        <w:rPr>
          <w:i/>
          <w:iCs/>
          <w:lang w:val="en-US"/>
        </w:rPr>
        <w:t>Re:newcell</w:t>
      </w:r>
      <w:proofErr w:type="spellEnd"/>
      <w:proofErr w:type="gramEnd"/>
      <w:r w:rsidR="00724EAD" w:rsidRPr="005359EE">
        <w:rPr>
          <w:lang w:val="en-US"/>
        </w:rPr>
        <w:t xml:space="preserve"> shreds and de-</w:t>
      </w:r>
      <w:r w:rsidR="001D4D06" w:rsidRPr="001D4D06">
        <w:rPr>
          <w:lang w:val="en-US"/>
        </w:rPr>
        <w:t>colors</w:t>
      </w:r>
      <w:r w:rsidR="00724EAD" w:rsidRPr="005359EE">
        <w:rPr>
          <w:lang w:val="en-US"/>
        </w:rPr>
        <w:t xml:space="preserve"> used garments to make new textile</w:t>
      </w:r>
      <w:r w:rsidR="00BB60D6">
        <w:rPr>
          <w:lang w:val="en-US"/>
        </w:rPr>
        <w:t>s</w:t>
      </w:r>
      <w:r w:rsidR="00861F97">
        <w:rPr>
          <w:lang w:val="en-US"/>
        </w:rPr>
        <w:t>,</w:t>
      </w:r>
      <w:r w:rsidR="00724EAD" w:rsidRPr="005359EE">
        <w:rPr>
          <w:lang w:val="en-US"/>
        </w:rPr>
        <w:t xml:space="preserve"> and the black soldier flies from </w:t>
      </w:r>
      <w:proofErr w:type="spellStart"/>
      <w:r w:rsidR="00724EAD" w:rsidRPr="005359EE">
        <w:rPr>
          <w:i/>
          <w:iCs/>
          <w:lang w:val="en-US"/>
        </w:rPr>
        <w:t>Entocycle</w:t>
      </w:r>
      <w:proofErr w:type="spellEnd"/>
      <w:r w:rsidR="00724EAD" w:rsidRPr="005359EE">
        <w:rPr>
          <w:lang w:val="en-US"/>
        </w:rPr>
        <w:t xml:space="preserve"> break down diverse food wastes and turn </w:t>
      </w:r>
      <w:r w:rsidR="00861F97">
        <w:rPr>
          <w:lang w:val="en-US"/>
        </w:rPr>
        <w:t>them</w:t>
      </w:r>
      <w:r w:rsidR="00861F97" w:rsidRPr="005359EE">
        <w:rPr>
          <w:lang w:val="en-US"/>
        </w:rPr>
        <w:t xml:space="preserve"> </w:t>
      </w:r>
      <w:r w:rsidR="00724EAD" w:rsidRPr="005359EE">
        <w:rPr>
          <w:lang w:val="en-US"/>
        </w:rPr>
        <w:t>into protein. As such, our findings suggest that processing can provide a degree of flexibility to deal with medium heterogen</w:t>
      </w:r>
      <w:r w:rsidR="006D7745">
        <w:rPr>
          <w:lang w:val="en-US"/>
        </w:rPr>
        <w:t>e</w:t>
      </w:r>
      <w:r w:rsidR="00724EAD" w:rsidRPr="005359EE">
        <w:rPr>
          <w:lang w:val="en-US"/>
        </w:rPr>
        <w:t>ous input</w:t>
      </w:r>
      <w:r w:rsidR="006D7745">
        <w:rPr>
          <w:lang w:val="en-US"/>
        </w:rPr>
        <w:t>s</w:t>
      </w:r>
      <w:r w:rsidR="00724EAD" w:rsidRPr="005359EE">
        <w:rPr>
          <w:lang w:val="en-US"/>
        </w:rPr>
        <w:t>.</w:t>
      </w:r>
    </w:p>
    <w:p w14:paraId="2E137060" w14:textId="77777777" w:rsidR="00F84645" w:rsidRPr="005359EE" w:rsidRDefault="00F84645">
      <w:pPr>
        <w:rPr>
          <w:lang w:val="en-US"/>
        </w:rPr>
      </w:pPr>
      <w:r w:rsidRPr="005359EE">
        <w:rPr>
          <w:lang w:val="en-US"/>
        </w:rPr>
        <w:br w:type="page"/>
      </w:r>
    </w:p>
    <w:p w14:paraId="23A02247" w14:textId="4BE551EF" w:rsidR="00C75BD9" w:rsidRPr="007C12DD" w:rsidRDefault="00C75BD9">
      <w:pPr>
        <w:rPr>
          <w:b/>
          <w:bCs/>
          <w:lang w:val="en-US"/>
        </w:rPr>
      </w:pPr>
    </w:p>
    <w:tbl>
      <w:tblPr>
        <w:tblStyle w:val="TableGrid"/>
        <w:tblW w:w="9067" w:type="dxa"/>
        <w:tblLayout w:type="fixed"/>
        <w:tblLook w:val="04A0" w:firstRow="1" w:lastRow="0" w:firstColumn="1" w:lastColumn="0" w:noHBand="0" w:noVBand="1"/>
      </w:tblPr>
      <w:tblGrid>
        <w:gridCol w:w="2814"/>
        <w:gridCol w:w="872"/>
        <w:gridCol w:w="1134"/>
        <w:gridCol w:w="1868"/>
        <w:gridCol w:w="2379"/>
      </w:tblGrid>
      <w:tr w:rsidR="00295B22" w:rsidRPr="005359EE" w14:paraId="5E7D1767" w14:textId="77777777" w:rsidTr="00861F97">
        <w:tc>
          <w:tcPr>
            <w:tcW w:w="2814" w:type="dxa"/>
            <w:tcBorders>
              <w:top w:val="nil"/>
              <w:left w:val="nil"/>
              <w:bottom w:val="nil"/>
              <w:right w:val="single" w:sz="4" w:space="0" w:color="auto"/>
            </w:tcBorders>
          </w:tcPr>
          <w:p w14:paraId="706F6122" w14:textId="77777777" w:rsidR="00295B22" w:rsidRPr="005359EE" w:rsidRDefault="00295B22" w:rsidP="00861F97">
            <w:pPr>
              <w:rPr>
                <w:sz w:val="16"/>
                <w:szCs w:val="16"/>
                <w:lang w:val="en-US"/>
              </w:rPr>
            </w:pPr>
          </w:p>
        </w:tc>
        <w:tc>
          <w:tcPr>
            <w:tcW w:w="872" w:type="dxa"/>
            <w:vMerge w:val="restart"/>
            <w:tcBorders>
              <w:top w:val="nil"/>
              <w:left w:val="single" w:sz="4" w:space="0" w:color="auto"/>
              <w:bottom w:val="nil"/>
              <w:right w:val="nil"/>
            </w:tcBorders>
            <w:vAlign w:val="bottom"/>
          </w:tcPr>
          <w:p w14:paraId="7BEE3A47" w14:textId="77777777" w:rsidR="00295B22" w:rsidRPr="005359EE" w:rsidRDefault="00295B22" w:rsidP="00861F97">
            <w:pPr>
              <w:jc w:val="center"/>
              <w:rPr>
                <w:sz w:val="16"/>
                <w:szCs w:val="16"/>
                <w:lang w:val="en-US"/>
              </w:rPr>
            </w:pPr>
            <w:r w:rsidRPr="005359EE">
              <w:rPr>
                <w:sz w:val="16"/>
                <w:szCs w:val="16"/>
                <w:lang w:val="en-US"/>
              </w:rPr>
              <w:t>Inclusion</w:t>
            </w:r>
          </w:p>
        </w:tc>
        <w:tc>
          <w:tcPr>
            <w:tcW w:w="1134" w:type="dxa"/>
            <w:vMerge w:val="restart"/>
            <w:tcBorders>
              <w:top w:val="nil"/>
              <w:left w:val="nil"/>
              <w:bottom w:val="nil"/>
              <w:right w:val="single" w:sz="4" w:space="0" w:color="auto"/>
            </w:tcBorders>
            <w:vAlign w:val="bottom"/>
          </w:tcPr>
          <w:p w14:paraId="7D3EA967" w14:textId="77777777" w:rsidR="00295B22" w:rsidRPr="005359EE" w:rsidRDefault="00295B22" w:rsidP="00861F97">
            <w:pPr>
              <w:jc w:val="center"/>
              <w:rPr>
                <w:sz w:val="16"/>
                <w:szCs w:val="16"/>
                <w:lang w:val="en-US"/>
              </w:rPr>
            </w:pPr>
            <w:proofErr w:type="spellStart"/>
            <w:r w:rsidRPr="005359EE">
              <w:rPr>
                <w:sz w:val="16"/>
                <w:szCs w:val="16"/>
                <w:lang w:val="en-US"/>
              </w:rPr>
              <w:t>RoN</w:t>
            </w:r>
            <w:proofErr w:type="spellEnd"/>
          </w:p>
        </w:tc>
        <w:tc>
          <w:tcPr>
            <w:tcW w:w="4247" w:type="dxa"/>
            <w:gridSpan w:val="2"/>
            <w:tcBorders>
              <w:top w:val="nil"/>
              <w:left w:val="single" w:sz="4" w:space="0" w:color="auto"/>
              <w:bottom w:val="nil"/>
              <w:right w:val="nil"/>
            </w:tcBorders>
            <w:vAlign w:val="bottom"/>
          </w:tcPr>
          <w:p w14:paraId="67F5DF1C" w14:textId="37851378" w:rsidR="00295B22" w:rsidRPr="005359EE" w:rsidRDefault="00295B22" w:rsidP="00861F97">
            <w:pPr>
              <w:jc w:val="center"/>
              <w:rPr>
                <w:b/>
                <w:bCs/>
                <w:sz w:val="16"/>
                <w:szCs w:val="16"/>
                <w:lang w:val="en-US"/>
              </w:rPr>
            </w:pPr>
            <w:r w:rsidRPr="005359EE">
              <w:rPr>
                <w:b/>
                <w:bCs/>
                <w:sz w:val="16"/>
                <w:szCs w:val="16"/>
                <w:lang w:val="en-US"/>
              </w:rPr>
              <w:t xml:space="preserve">Successful </w:t>
            </w:r>
            <w:r w:rsidR="001D1CD9" w:rsidRPr="005359EE">
              <w:rPr>
                <w:b/>
                <w:bCs/>
                <w:sz w:val="16"/>
                <w:szCs w:val="16"/>
                <w:lang w:val="en-US"/>
              </w:rPr>
              <w:t xml:space="preserve">supply </w:t>
            </w:r>
            <w:r w:rsidR="00022553" w:rsidRPr="005359EE">
              <w:rPr>
                <w:b/>
                <w:bCs/>
                <w:sz w:val="16"/>
                <w:szCs w:val="16"/>
                <w:lang w:val="en-US"/>
              </w:rPr>
              <w:t>characteristics</w:t>
            </w:r>
          </w:p>
        </w:tc>
      </w:tr>
      <w:tr w:rsidR="00295B22" w:rsidRPr="005359EE" w14:paraId="65718993" w14:textId="77777777" w:rsidTr="00861F97">
        <w:tc>
          <w:tcPr>
            <w:tcW w:w="2814" w:type="dxa"/>
            <w:tcBorders>
              <w:top w:val="nil"/>
              <w:left w:val="nil"/>
              <w:bottom w:val="single" w:sz="4" w:space="0" w:color="auto"/>
              <w:right w:val="single" w:sz="4" w:space="0" w:color="auto"/>
            </w:tcBorders>
          </w:tcPr>
          <w:p w14:paraId="7FF7A946" w14:textId="59CCC748" w:rsidR="00295B22" w:rsidRPr="005359EE" w:rsidRDefault="001D1CD9" w:rsidP="00861F97">
            <w:pPr>
              <w:rPr>
                <w:b/>
                <w:bCs/>
                <w:sz w:val="16"/>
                <w:szCs w:val="16"/>
                <w:lang w:val="en-US"/>
              </w:rPr>
            </w:pPr>
            <w:r w:rsidRPr="005359EE">
              <w:rPr>
                <w:b/>
                <w:bCs/>
                <w:sz w:val="16"/>
                <w:szCs w:val="16"/>
                <w:lang w:val="en-US"/>
              </w:rPr>
              <w:t>Supply</w:t>
            </w:r>
            <w:r w:rsidR="00295B22" w:rsidRPr="005359EE">
              <w:rPr>
                <w:b/>
                <w:bCs/>
                <w:sz w:val="16"/>
                <w:szCs w:val="16"/>
                <w:lang w:val="en-US"/>
              </w:rPr>
              <w:t xml:space="preserve"> characteristics conditions</w:t>
            </w:r>
          </w:p>
        </w:tc>
        <w:tc>
          <w:tcPr>
            <w:tcW w:w="872" w:type="dxa"/>
            <w:vMerge/>
            <w:tcBorders>
              <w:top w:val="nil"/>
              <w:left w:val="single" w:sz="4" w:space="0" w:color="auto"/>
              <w:bottom w:val="single" w:sz="4" w:space="0" w:color="auto"/>
              <w:right w:val="nil"/>
            </w:tcBorders>
          </w:tcPr>
          <w:p w14:paraId="5B25E0FB" w14:textId="77777777" w:rsidR="00295B22" w:rsidRPr="005359EE" w:rsidRDefault="00295B22" w:rsidP="00861F97">
            <w:pPr>
              <w:jc w:val="center"/>
              <w:rPr>
                <w:sz w:val="16"/>
                <w:szCs w:val="16"/>
                <w:lang w:val="en-US"/>
              </w:rPr>
            </w:pPr>
          </w:p>
        </w:tc>
        <w:tc>
          <w:tcPr>
            <w:tcW w:w="1134" w:type="dxa"/>
            <w:vMerge/>
            <w:tcBorders>
              <w:top w:val="nil"/>
              <w:left w:val="nil"/>
              <w:bottom w:val="single" w:sz="4" w:space="0" w:color="auto"/>
              <w:right w:val="single" w:sz="4" w:space="0" w:color="auto"/>
            </w:tcBorders>
          </w:tcPr>
          <w:p w14:paraId="5734F571" w14:textId="77777777" w:rsidR="00295B22" w:rsidRPr="005359EE" w:rsidRDefault="00295B22" w:rsidP="00861F97">
            <w:pPr>
              <w:jc w:val="center"/>
              <w:rPr>
                <w:sz w:val="16"/>
                <w:szCs w:val="16"/>
                <w:lang w:val="en-US"/>
              </w:rPr>
            </w:pPr>
          </w:p>
        </w:tc>
        <w:tc>
          <w:tcPr>
            <w:tcW w:w="1868" w:type="dxa"/>
            <w:tcBorders>
              <w:top w:val="nil"/>
              <w:left w:val="single" w:sz="4" w:space="0" w:color="auto"/>
              <w:bottom w:val="single" w:sz="4" w:space="0" w:color="auto"/>
              <w:right w:val="nil"/>
            </w:tcBorders>
          </w:tcPr>
          <w:p w14:paraId="4036BE32" w14:textId="6B6EBBD1" w:rsidR="00295B22" w:rsidRPr="005359EE" w:rsidRDefault="00F84645" w:rsidP="00861F97">
            <w:pPr>
              <w:jc w:val="center"/>
              <w:rPr>
                <w:sz w:val="16"/>
                <w:szCs w:val="16"/>
                <w:lang w:val="en-US"/>
              </w:rPr>
            </w:pPr>
            <w:r w:rsidRPr="005359EE">
              <w:rPr>
                <w:sz w:val="16"/>
                <w:szCs w:val="16"/>
                <w:lang w:val="en-US"/>
              </w:rPr>
              <w:t>1: Industrial waste</w:t>
            </w:r>
          </w:p>
        </w:tc>
        <w:tc>
          <w:tcPr>
            <w:tcW w:w="2379" w:type="dxa"/>
            <w:tcBorders>
              <w:top w:val="nil"/>
              <w:left w:val="nil"/>
              <w:bottom w:val="single" w:sz="4" w:space="0" w:color="auto"/>
              <w:right w:val="nil"/>
            </w:tcBorders>
          </w:tcPr>
          <w:p w14:paraId="0BD0D469" w14:textId="0748ADAD" w:rsidR="00295B22" w:rsidRPr="005359EE" w:rsidRDefault="00F84645" w:rsidP="00861F97">
            <w:pPr>
              <w:jc w:val="center"/>
              <w:rPr>
                <w:sz w:val="16"/>
                <w:szCs w:val="16"/>
                <w:lang w:val="en-US"/>
              </w:rPr>
            </w:pPr>
            <w:r w:rsidRPr="005359EE">
              <w:rPr>
                <w:sz w:val="16"/>
                <w:szCs w:val="16"/>
                <w:lang w:val="en-US"/>
              </w:rPr>
              <w:t>2: General waste</w:t>
            </w:r>
          </w:p>
        </w:tc>
      </w:tr>
      <w:tr w:rsidR="00295B22" w:rsidRPr="005359EE" w14:paraId="498CA62F" w14:textId="77777777" w:rsidTr="00861F97">
        <w:tc>
          <w:tcPr>
            <w:tcW w:w="2814" w:type="dxa"/>
            <w:tcBorders>
              <w:top w:val="single" w:sz="4" w:space="0" w:color="auto"/>
              <w:left w:val="nil"/>
              <w:bottom w:val="nil"/>
              <w:right w:val="single" w:sz="4" w:space="0" w:color="auto"/>
            </w:tcBorders>
          </w:tcPr>
          <w:p w14:paraId="4FB7A68A" w14:textId="43A2B1E9" w:rsidR="00295B22" w:rsidRPr="005359EE" w:rsidRDefault="00295B22" w:rsidP="00861F97">
            <w:pPr>
              <w:rPr>
                <w:i/>
                <w:iCs/>
                <w:sz w:val="16"/>
                <w:szCs w:val="16"/>
                <w:lang w:val="en-US"/>
              </w:rPr>
            </w:pPr>
            <w:r w:rsidRPr="005359EE">
              <w:rPr>
                <w:i/>
                <w:iCs/>
                <w:sz w:val="16"/>
                <w:szCs w:val="16"/>
                <w:lang w:val="en-US"/>
              </w:rPr>
              <w:t>Heterogeneous quality</w:t>
            </w:r>
          </w:p>
        </w:tc>
        <w:tc>
          <w:tcPr>
            <w:tcW w:w="872" w:type="dxa"/>
            <w:tcBorders>
              <w:top w:val="single" w:sz="4" w:space="0" w:color="auto"/>
              <w:left w:val="single" w:sz="4" w:space="0" w:color="auto"/>
              <w:bottom w:val="nil"/>
              <w:right w:val="nil"/>
            </w:tcBorders>
          </w:tcPr>
          <w:p w14:paraId="537CE9AD" w14:textId="77777777" w:rsidR="00295B22" w:rsidRPr="005359EE" w:rsidRDefault="00295B22" w:rsidP="00861F97">
            <w:pPr>
              <w:rPr>
                <w:sz w:val="16"/>
                <w:szCs w:val="16"/>
                <w:lang w:val="en-US"/>
              </w:rPr>
            </w:pPr>
          </w:p>
        </w:tc>
        <w:tc>
          <w:tcPr>
            <w:tcW w:w="1134" w:type="dxa"/>
            <w:tcBorders>
              <w:top w:val="single" w:sz="4" w:space="0" w:color="auto"/>
              <w:left w:val="nil"/>
              <w:bottom w:val="nil"/>
              <w:right w:val="single" w:sz="4" w:space="0" w:color="auto"/>
            </w:tcBorders>
          </w:tcPr>
          <w:p w14:paraId="7A1D811D" w14:textId="77777777" w:rsidR="00295B22" w:rsidRPr="005359EE" w:rsidRDefault="00295B22" w:rsidP="00861F97">
            <w:pPr>
              <w:rPr>
                <w:sz w:val="16"/>
                <w:szCs w:val="16"/>
                <w:lang w:val="en-US"/>
              </w:rPr>
            </w:pPr>
          </w:p>
        </w:tc>
        <w:tc>
          <w:tcPr>
            <w:tcW w:w="1868" w:type="dxa"/>
            <w:tcBorders>
              <w:top w:val="single" w:sz="4" w:space="0" w:color="auto"/>
              <w:left w:val="single" w:sz="4" w:space="0" w:color="auto"/>
              <w:bottom w:val="nil"/>
              <w:right w:val="nil"/>
            </w:tcBorders>
            <w:vAlign w:val="center"/>
          </w:tcPr>
          <w:p w14:paraId="6A6956CA" w14:textId="77777777" w:rsidR="00295B22" w:rsidRPr="005359EE" w:rsidRDefault="00295B22" w:rsidP="00861F97">
            <w:pPr>
              <w:rPr>
                <w:sz w:val="16"/>
                <w:szCs w:val="16"/>
                <w:lang w:val="en-US"/>
              </w:rPr>
            </w:pPr>
          </w:p>
        </w:tc>
        <w:tc>
          <w:tcPr>
            <w:tcW w:w="2379" w:type="dxa"/>
            <w:tcBorders>
              <w:top w:val="single" w:sz="4" w:space="0" w:color="auto"/>
              <w:left w:val="nil"/>
              <w:bottom w:val="nil"/>
              <w:right w:val="nil"/>
            </w:tcBorders>
            <w:vAlign w:val="center"/>
          </w:tcPr>
          <w:p w14:paraId="5E5DA4EB" w14:textId="4AA7158F" w:rsidR="00295B22" w:rsidRPr="005359EE" w:rsidRDefault="00295B22" w:rsidP="00861F97">
            <w:pPr>
              <w:rPr>
                <w:sz w:val="16"/>
                <w:szCs w:val="16"/>
                <w:lang w:val="en-US"/>
              </w:rPr>
            </w:pPr>
          </w:p>
        </w:tc>
      </w:tr>
      <w:tr w:rsidR="00295B22" w:rsidRPr="005359EE" w14:paraId="1167A680" w14:textId="77777777" w:rsidTr="00861F97">
        <w:tc>
          <w:tcPr>
            <w:tcW w:w="2814" w:type="dxa"/>
            <w:tcBorders>
              <w:top w:val="nil"/>
              <w:left w:val="nil"/>
              <w:bottom w:val="nil"/>
              <w:right w:val="single" w:sz="4" w:space="0" w:color="auto"/>
            </w:tcBorders>
            <w:shd w:val="clear" w:color="auto" w:fill="auto"/>
          </w:tcPr>
          <w:p w14:paraId="33D0389C" w14:textId="11B8CA47" w:rsidR="00295B22" w:rsidRPr="005359EE" w:rsidRDefault="00295B22" w:rsidP="00861F97">
            <w:pPr>
              <w:ind w:left="164"/>
              <w:rPr>
                <w:sz w:val="16"/>
                <w:szCs w:val="16"/>
                <w:lang w:val="en-US"/>
              </w:rPr>
            </w:pPr>
            <w:r w:rsidRPr="005359EE">
              <w:rPr>
                <w:sz w:val="16"/>
                <w:szCs w:val="16"/>
                <w:lang w:val="en-US"/>
              </w:rPr>
              <w:t>Low</w:t>
            </w:r>
          </w:p>
        </w:tc>
        <w:tc>
          <w:tcPr>
            <w:tcW w:w="872" w:type="dxa"/>
            <w:tcBorders>
              <w:top w:val="nil"/>
              <w:left w:val="single" w:sz="4" w:space="0" w:color="auto"/>
              <w:bottom w:val="nil"/>
              <w:right w:val="nil"/>
            </w:tcBorders>
            <w:shd w:val="clear" w:color="auto" w:fill="auto"/>
          </w:tcPr>
          <w:p w14:paraId="561882DA" w14:textId="61F1D33D" w:rsidR="00295B22" w:rsidRPr="005359EE" w:rsidRDefault="00295B22" w:rsidP="00861F97">
            <w:pPr>
              <w:jc w:val="center"/>
              <w:rPr>
                <w:sz w:val="16"/>
                <w:szCs w:val="16"/>
                <w:lang w:val="en-US"/>
              </w:rPr>
            </w:pPr>
            <w:r w:rsidRPr="005359EE">
              <w:rPr>
                <w:sz w:val="16"/>
                <w:szCs w:val="16"/>
                <w:lang w:val="en-US"/>
              </w:rPr>
              <w:t>0.571</w:t>
            </w:r>
          </w:p>
        </w:tc>
        <w:tc>
          <w:tcPr>
            <w:tcW w:w="1134" w:type="dxa"/>
            <w:tcBorders>
              <w:top w:val="nil"/>
              <w:left w:val="nil"/>
              <w:bottom w:val="nil"/>
              <w:right w:val="single" w:sz="4" w:space="0" w:color="auto"/>
            </w:tcBorders>
            <w:shd w:val="clear" w:color="auto" w:fill="auto"/>
          </w:tcPr>
          <w:p w14:paraId="0560B84B" w14:textId="452DD4EB" w:rsidR="00295B22" w:rsidRPr="005359EE" w:rsidRDefault="00295B22" w:rsidP="00861F97">
            <w:pPr>
              <w:jc w:val="center"/>
              <w:rPr>
                <w:sz w:val="16"/>
                <w:szCs w:val="16"/>
                <w:lang w:val="en-US"/>
              </w:rPr>
            </w:pPr>
            <w:r w:rsidRPr="005359EE">
              <w:rPr>
                <w:sz w:val="16"/>
                <w:szCs w:val="16"/>
                <w:lang w:val="en-US"/>
              </w:rPr>
              <w:t>0.729</w:t>
            </w:r>
          </w:p>
        </w:tc>
        <w:tc>
          <w:tcPr>
            <w:tcW w:w="1868" w:type="dxa"/>
            <w:tcBorders>
              <w:top w:val="nil"/>
              <w:left w:val="single" w:sz="4" w:space="0" w:color="auto"/>
              <w:bottom w:val="nil"/>
              <w:right w:val="nil"/>
            </w:tcBorders>
            <w:shd w:val="clear" w:color="auto" w:fill="auto"/>
            <w:vAlign w:val="center"/>
          </w:tcPr>
          <w:p w14:paraId="6BC9F5C7" w14:textId="46C1C2C4" w:rsidR="00295B22" w:rsidRPr="005359EE" w:rsidRDefault="00022553" w:rsidP="00022553">
            <w:pPr>
              <w:jc w:val="center"/>
              <w:rPr>
                <w:sz w:val="16"/>
                <w:szCs w:val="16"/>
                <w:lang w:val="en-US"/>
              </w:rPr>
            </w:pPr>
            <w:r w:rsidRPr="005359EE">
              <w:rPr>
                <w:rFonts w:ascii="Segoe UI Emoji" w:hAnsi="Segoe UI Emoji" w:cs="Segoe UI Emoji"/>
                <w:sz w:val="8"/>
                <w:szCs w:val="8"/>
                <w:lang w:val="en-US"/>
              </w:rPr>
              <w:t>⚫</w:t>
            </w:r>
          </w:p>
        </w:tc>
        <w:tc>
          <w:tcPr>
            <w:tcW w:w="2379" w:type="dxa"/>
            <w:tcBorders>
              <w:top w:val="nil"/>
              <w:left w:val="nil"/>
              <w:bottom w:val="nil"/>
              <w:right w:val="nil"/>
            </w:tcBorders>
            <w:shd w:val="clear" w:color="auto" w:fill="auto"/>
            <w:vAlign w:val="center"/>
          </w:tcPr>
          <w:p w14:paraId="5A412CFC" w14:textId="06F2EE30" w:rsidR="00295B22" w:rsidRPr="005359EE" w:rsidRDefault="00022553" w:rsidP="00861F97">
            <w:pPr>
              <w:jc w:val="center"/>
              <w:rPr>
                <w:sz w:val="16"/>
                <w:szCs w:val="16"/>
                <w:lang w:val="en-US"/>
              </w:rPr>
            </w:pPr>
            <w:r w:rsidRPr="005359EE">
              <w:rPr>
                <w:rFonts w:ascii="Cambria Math" w:hAnsi="Cambria Math" w:cs="Cambria Math"/>
                <w:color w:val="4D5156"/>
                <w:sz w:val="18"/>
                <w:szCs w:val="18"/>
                <w:shd w:val="clear" w:color="auto" w:fill="FFFFFF"/>
                <w:lang w:val="en-US"/>
              </w:rPr>
              <w:t>⊗</w:t>
            </w:r>
          </w:p>
        </w:tc>
      </w:tr>
      <w:tr w:rsidR="00295B22" w:rsidRPr="005359EE" w14:paraId="48283A74" w14:textId="77777777" w:rsidTr="00861F97">
        <w:tc>
          <w:tcPr>
            <w:tcW w:w="2814" w:type="dxa"/>
            <w:tcBorders>
              <w:top w:val="nil"/>
              <w:left w:val="nil"/>
              <w:bottom w:val="nil"/>
              <w:right w:val="single" w:sz="4" w:space="0" w:color="auto"/>
            </w:tcBorders>
          </w:tcPr>
          <w:p w14:paraId="506B4601" w14:textId="550087A9" w:rsidR="00295B22" w:rsidRPr="005359EE" w:rsidRDefault="00295B22" w:rsidP="00861F97">
            <w:pPr>
              <w:ind w:left="164"/>
              <w:rPr>
                <w:sz w:val="16"/>
                <w:szCs w:val="16"/>
                <w:lang w:val="en-US"/>
              </w:rPr>
            </w:pPr>
            <w:r w:rsidRPr="005359EE">
              <w:rPr>
                <w:sz w:val="16"/>
                <w:szCs w:val="16"/>
                <w:lang w:val="en-US"/>
              </w:rPr>
              <w:t>Medium</w:t>
            </w:r>
          </w:p>
        </w:tc>
        <w:tc>
          <w:tcPr>
            <w:tcW w:w="872" w:type="dxa"/>
            <w:tcBorders>
              <w:top w:val="nil"/>
              <w:left w:val="single" w:sz="4" w:space="0" w:color="auto"/>
              <w:bottom w:val="nil"/>
              <w:right w:val="nil"/>
            </w:tcBorders>
          </w:tcPr>
          <w:p w14:paraId="3E697579" w14:textId="4443F30D" w:rsidR="00295B22" w:rsidRPr="005359EE" w:rsidRDefault="00295B22" w:rsidP="00861F97">
            <w:pPr>
              <w:jc w:val="center"/>
              <w:rPr>
                <w:sz w:val="16"/>
                <w:szCs w:val="16"/>
                <w:lang w:val="en-US"/>
              </w:rPr>
            </w:pPr>
            <w:r w:rsidRPr="005359EE">
              <w:rPr>
                <w:sz w:val="16"/>
                <w:szCs w:val="16"/>
                <w:lang w:val="en-US"/>
              </w:rPr>
              <w:t>0.429</w:t>
            </w:r>
          </w:p>
        </w:tc>
        <w:tc>
          <w:tcPr>
            <w:tcW w:w="1134" w:type="dxa"/>
            <w:tcBorders>
              <w:top w:val="nil"/>
              <w:left w:val="nil"/>
              <w:bottom w:val="nil"/>
              <w:right w:val="single" w:sz="4" w:space="0" w:color="auto"/>
            </w:tcBorders>
          </w:tcPr>
          <w:p w14:paraId="6ECC6604" w14:textId="3E1F29B3" w:rsidR="00295B22" w:rsidRPr="005359EE" w:rsidRDefault="00295B22" w:rsidP="00861F97">
            <w:pPr>
              <w:jc w:val="center"/>
              <w:rPr>
                <w:sz w:val="16"/>
                <w:szCs w:val="16"/>
                <w:lang w:val="en-US"/>
              </w:rPr>
            </w:pPr>
            <w:r w:rsidRPr="005359EE">
              <w:rPr>
                <w:sz w:val="16"/>
                <w:szCs w:val="16"/>
                <w:lang w:val="en-US"/>
              </w:rPr>
              <w:t>0.967</w:t>
            </w:r>
          </w:p>
        </w:tc>
        <w:tc>
          <w:tcPr>
            <w:tcW w:w="1868" w:type="dxa"/>
            <w:tcBorders>
              <w:top w:val="nil"/>
              <w:left w:val="single" w:sz="4" w:space="0" w:color="auto"/>
              <w:bottom w:val="nil"/>
              <w:right w:val="nil"/>
            </w:tcBorders>
            <w:vAlign w:val="center"/>
          </w:tcPr>
          <w:p w14:paraId="711B666E" w14:textId="3E9E9C81" w:rsidR="00295B22" w:rsidRPr="005359EE" w:rsidRDefault="00295B22" w:rsidP="00861F97">
            <w:pPr>
              <w:jc w:val="center"/>
              <w:rPr>
                <w:rFonts w:ascii="Cambria Math" w:hAnsi="Cambria Math" w:cs="Cambria Math"/>
                <w:color w:val="4D5156"/>
                <w:sz w:val="16"/>
                <w:szCs w:val="16"/>
                <w:shd w:val="clear" w:color="auto" w:fill="FFFFFF"/>
                <w:lang w:val="en-US"/>
              </w:rPr>
            </w:pPr>
          </w:p>
        </w:tc>
        <w:tc>
          <w:tcPr>
            <w:tcW w:w="2379" w:type="dxa"/>
            <w:tcBorders>
              <w:top w:val="nil"/>
              <w:left w:val="nil"/>
              <w:bottom w:val="nil"/>
              <w:right w:val="nil"/>
            </w:tcBorders>
            <w:vAlign w:val="center"/>
          </w:tcPr>
          <w:p w14:paraId="78895900" w14:textId="02BE2626" w:rsidR="00295B22" w:rsidRPr="005359EE" w:rsidRDefault="00022553" w:rsidP="00861F97">
            <w:pPr>
              <w:jc w:val="center"/>
              <w:rPr>
                <w:sz w:val="16"/>
                <w:szCs w:val="16"/>
                <w:lang w:val="en-US"/>
              </w:rPr>
            </w:pPr>
            <w:r w:rsidRPr="005359EE">
              <w:rPr>
                <w:rFonts w:ascii="Segoe UI Emoji" w:hAnsi="Segoe UI Emoji" w:cs="Segoe UI Emoji"/>
                <w:sz w:val="14"/>
                <w:szCs w:val="14"/>
                <w:lang w:val="en-US"/>
              </w:rPr>
              <w:t>⚫</w:t>
            </w:r>
          </w:p>
        </w:tc>
      </w:tr>
      <w:tr w:rsidR="00295B22" w:rsidRPr="005359EE" w14:paraId="5EF8DDE3" w14:textId="77777777" w:rsidTr="00861F97">
        <w:tc>
          <w:tcPr>
            <w:tcW w:w="2814" w:type="dxa"/>
            <w:tcBorders>
              <w:top w:val="nil"/>
              <w:left w:val="nil"/>
              <w:bottom w:val="nil"/>
              <w:right w:val="single" w:sz="4" w:space="0" w:color="auto"/>
            </w:tcBorders>
          </w:tcPr>
          <w:p w14:paraId="4A574BE2" w14:textId="4B558E22" w:rsidR="00295B22" w:rsidRPr="005359EE" w:rsidRDefault="00295B22" w:rsidP="00861F97">
            <w:pPr>
              <w:ind w:left="164"/>
              <w:rPr>
                <w:sz w:val="16"/>
                <w:szCs w:val="16"/>
                <w:lang w:val="en-US"/>
              </w:rPr>
            </w:pPr>
            <w:r w:rsidRPr="005359EE">
              <w:rPr>
                <w:sz w:val="16"/>
                <w:szCs w:val="16"/>
                <w:lang w:val="en-US"/>
              </w:rPr>
              <w:t>High</w:t>
            </w:r>
          </w:p>
        </w:tc>
        <w:tc>
          <w:tcPr>
            <w:tcW w:w="872" w:type="dxa"/>
            <w:tcBorders>
              <w:top w:val="nil"/>
              <w:left w:val="single" w:sz="4" w:space="0" w:color="auto"/>
              <w:bottom w:val="nil"/>
              <w:right w:val="nil"/>
            </w:tcBorders>
          </w:tcPr>
          <w:p w14:paraId="1206EB7B" w14:textId="45B84F4A" w:rsidR="00295B22" w:rsidRPr="005359EE" w:rsidRDefault="00295B22" w:rsidP="00861F97">
            <w:pPr>
              <w:jc w:val="center"/>
              <w:rPr>
                <w:sz w:val="16"/>
                <w:szCs w:val="16"/>
                <w:lang w:val="en-US"/>
              </w:rPr>
            </w:pPr>
            <w:r w:rsidRPr="005359EE">
              <w:rPr>
                <w:sz w:val="16"/>
                <w:szCs w:val="16"/>
                <w:lang w:val="en-US"/>
              </w:rPr>
              <w:t>0.000</w:t>
            </w:r>
          </w:p>
        </w:tc>
        <w:tc>
          <w:tcPr>
            <w:tcW w:w="1134" w:type="dxa"/>
            <w:tcBorders>
              <w:top w:val="nil"/>
              <w:left w:val="nil"/>
              <w:bottom w:val="nil"/>
              <w:right w:val="single" w:sz="4" w:space="0" w:color="auto"/>
            </w:tcBorders>
          </w:tcPr>
          <w:p w14:paraId="2E848103" w14:textId="0AFE3455" w:rsidR="00295B22" w:rsidRPr="005359EE" w:rsidRDefault="00295B22" w:rsidP="00861F97">
            <w:pPr>
              <w:jc w:val="center"/>
              <w:rPr>
                <w:sz w:val="16"/>
                <w:szCs w:val="16"/>
                <w:lang w:val="en-US"/>
              </w:rPr>
            </w:pPr>
            <w:r w:rsidRPr="005359EE">
              <w:rPr>
                <w:sz w:val="16"/>
                <w:szCs w:val="16"/>
                <w:lang w:val="en-US"/>
              </w:rPr>
              <w:t>1.000</w:t>
            </w:r>
          </w:p>
        </w:tc>
        <w:tc>
          <w:tcPr>
            <w:tcW w:w="1868" w:type="dxa"/>
            <w:tcBorders>
              <w:top w:val="nil"/>
              <w:left w:val="single" w:sz="4" w:space="0" w:color="auto"/>
              <w:bottom w:val="nil"/>
              <w:right w:val="nil"/>
            </w:tcBorders>
            <w:vAlign w:val="center"/>
          </w:tcPr>
          <w:p w14:paraId="7D436748" w14:textId="77777777" w:rsidR="00295B22" w:rsidRPr="005359EE" w:rsidRDefault="00295B22" w:rsidP="00861F97">
            <w:pPr>
              <w:jc w:val="center"/>
              <w:rPr>
                <w:rFonts w:ascii="Segoe UI Emoji" w:hAnsi="Segoe UI Emoji" w:cs="Segoe UI Emoji"/>
                <w:sz w:val="16"/>
                <w:szCs w:val="16"/>
                <w:lang w:val="en-US"/>
              </w:rPr>
            </w:pPr>
          </w:p>
        </w:tc>
        <w:tc>
          <w:tcPr>
            <w:tcW w:w="2379" w:type="dxa"/>
            <w:tcBorders>
              <w:top w:val="nil"/>
              <w:left w:val="nil"/>
              <w:bottom w:val="single" w:sz="4" w:space="0" w:color="auto"/>
              <w:right w:val="nil"/>
            </w:tcBorders>
            <w:vAlign w:val="center"/>
          </w:tcPr>
          <w:p w14:paraId="6ED79194" w14:textId="6144CC59" w:rsidR="00295B22" w:rsidRPr="005359EE" w:rsidRDefault="00295B22" w:rsidP="00861F97">
            <w:pPr>
              <w:jc w:val="center"/>
              <w:rPr>
                <w:rFonts w:ascii="Cambria Math" w:hAnsi="Cambria Math" w:cs="Cambria Math"/>
                <w:color w:val="4D5156"/>
                <w:sz w:val="16"/>
                <w:szCs w:val="16"/>
                <w:shd w:val="clear" w:color="auto" w:fill="FFFFFF"/>
                <w:lang w:val="en-US"/>
              </w:rPr>
            </w:pPr>
          </w:p>
        </w:tc>
      </w:tr>
      <w:tr w:rsidR="00295B22" w:rsidRPr="005359EE" w14:paraId="0415601F" w14:textId="77777777" w:rsidTr="00861F97">
        <w:tc>
          <w:tcPr>
            <w:tcW w:w="2814" w:type="dxa"/>
            <w:tcBorders>
              <w:top w:val="single" w:sz="4" w:space="0" w:color="auto"/>
              <w:left w:val="nil"/>
              <w:bottom w:val="nil"/>
              <w:right w:val="single" w:sz="4" w:space="0" w:color="auto"/>
            </w:tcBorders>
          </w:tcPr>
          <w:p w14:paraId="0C6548E0" w14:textId="32AA3D96" w:rsidR="00295B22" w:rsidRPr="005359EE" w:rsidRDefault="00295B22" w:rsidP="00861F97">
            <w:pPr>
              <w:rPr>
                <w:sz w:val="16"/>
                <w:szCs w:val="16"/>
                <w:lang w:val="en-US"/>
              </w:rPr>
            </w:pPr>
            <w:r w:rsidRPr="005359EE">
              <w:rPr>
                <w:i/>
                <w:iCs/>
                <w:sz w:val="16"/>
                <w:szCs w:val="16"/>
                <w:lang w:val="en-US"/>
              </w:rPr>
              <w:t>Uncertain timing</w:t>
            </w:r>
          </w:p>
        </w:tc>
        <w:tc>
          <w:tcPr>
            <w:tcW w:w="872" w:type="dxa"/>
            <w:tcBorders>
              <w:top w:val="single" w:sz="4" w:space="0" w:color="auto"/>
              <w:left w:val="single" w:sz="4" w:space="0" w:color="auto"/>
              <w:bottom w:val="nil"/>
              <w:right w:val="nil"/>
            </w:tcBorders>
          </w:tcPr>
          <w:p w14:paraId="24A97312" w14:textId="77777777" w:rsidR="00295B22" w:rsidRPr="005359EE" w:rsidRDefault="00295B22" w:rsidP="00861F97">
            <w:pPr>
              <w:jc w:val="center"/>
              <w:rPr>
                <w:sz w:val="16"/>
                <w:szCs w:val="16"/>
                <w:lang w:val="en-US"/>
              </w:rPr>
            </w:pPr>
          </w:p>
        </w:tc>
        <w:tc>
          <w:tcPr>
            <w:tcW w:w="1134" w:type="dxa"/>
            <w:tcBorders>
              <w:top w:val="single" w:sz="4" w:space="0" w:color="auto"/>
              <w:left w:val="nil"/>
              <w:bottom w:val="nil"/>
              <w:right w:val="single" w:sz="4" w:space="0" w:color="auto"/>
            </w:tcBorders>
          </w:tcPr>
          <w:p w14:paraId="13B04E23" w14:textId="77777777" w:rsidR="00295B22" w:rsidRPr="005359EE" w:rsidRDefault="00295B22" w:rsidP="00861F97">
            <w:pPr>
              <w:jc w:val="center"/>
              <w:rPr>
                <w:sz w:val="16"/>
                <w:szCs w:val="16"/>
                <w:lang w:val="en-US"/>
              </w:rPr>
            </w:pPr>
          </w:p>
        </w:tc>
        <w:tc>
          <w:tcPr>
            <w:tcW w:w="1868" w:type="dxa"/>
            <w:tcBorders>
              <w:top w:val="single" w:sz="4" w:space="0" w:color="auto"/>
              <w:left w:val="single" w:sz="4" w:space="0" w:color="auto"/>
              <w:bottom w:val="nil"/>
              <w:right w:val="nil"/>
            </w:tcBorders>
            <w:vAlign w:val="center"/>
          </w:tcPr>
          <w:p w14:paraId="6BF2ACAF" w14:textId="77777777" w:rsidR="00295B22" w:rsidRPr="005359EE" w:rsidRDefault="00295B22" w:rsidP="00861F97">
            <w:pPr>
              <w:rPr>
                <w:sz w:val="16"/>
                <w:szCs w:val="16"/>
                <w:lang w:val="en-US"/>
              </w:rPr>
            </w:pPr>
          </w:p>
        </w:tc>
        <w:tc>
          <w:tcPr>
            <w:tcW w:w="2379" w:type="dxa"/>
            <w:tcBorders>
              <w:top w:val="single" w:sz="4" w:space="0" w:color="auto"/>
              <w:left w:val="nil"/>
              <w:bottom w:val="nil"/>
              <w:right w:val="nil"/>
            </w:tcBorders>
            <w:vAlign w:val="center"/>
          </w:tcPr>
          <w:p w14:paraId="097C6402" w14:textId="77777777" w:rsidR="00295B22" w:rsidRPr="005359EE" w:rsidRDefault="00295B22" w:rsidP="00861F97">
            <w:pPr>
              <w:rPr>
                <w:sz w:val="16"/>
                <w:szCs w:val="16"/>
                <w:lang w:val="en-US"/>
              </w:rPr>
            </w:pPr>
          </w:p>
        </w:tc>
      </w:tr>
      <w:tr w:rsidR="00295B22" w:rsidRPr="005359EE" w14:paraId="38DFF363" w14:textId="77777777" w:rsidTr="00861F97">
        <w:tc>
          <w:tcPr>
            <w:tcW w:w="2814" w:type="dxa"/>
            <w:tcBorders>
              <w:top w:val="nil"/>
              <w:left w:val="nil"/>
              <w:bottom w:val="nil"/>
              <w:right w:val="single" w:sz="4" w:space="0" w:color="auto"/>
            </w:tcBorders>
            <w:shd w:val="clear" w:color="auto" w:fill="auto"/>
          </w:tcPr>
          <w:p w14:paraId="43152C00" w14:textId="0B613792" w:rsidR="00295B22" w:rsidRPr="005359EE" w:rsidRDefault="00295B22" w:rsidP="00861F97">
            <w:pPr>
              <w:ind w:left="164"/>
              <w:rPr>
                <w:sz w:val="16"/>
                <w:szCs w:val="16"/>
                <w:lang w:val="en-US"/>
              </w:rPr>
            </w:pPr>
            <w:r w:rsidRPr="005359EE">
              <w:rPr>
                <w:sz w:val="16"/>
                <w:szCs w:val="16"/>
                <w:lang w:val="en-US"/>
              </w:rPr>
              <w:t>Low</w:t>
            </w:r>
          </w:p>
        </w:tc>
        <w:tc>
          <w:tcPr>
            <w:tcW w:w="872" w:type="dxa"/>
            <w:tcBorders>
              <w:top w:val="nil"/>
              <w:left w:val="single" w:sz="4" w:space="0" w:color="auto"/>
              <w:bottom w:val="nil"/>
              <w:right w:val="nil"/>
            </w:tcBorders>
            <w:shd w:val="clear" w:color="auto" w:fill="auto"/>
          </w:tcPr>
          <w:p w14:paraId="1E45D252" w14:textId="2CCC27B7" w:rsidR="00295B22" w:rsidRPr="005359EE" w:rsidRDefault="00295B22" w:rsidP="00861F97">
            <w:pPr>
              <w:jc w:val="center"/>
              <w:rPr>
                <w:sz w:val="16"/>
                <w:szCs w:val="16"/>
                <w:lang w:val="en-US"/>
              </w:rPr>
            </w:pPr>
            <w:r w:rsidRPr="005359EE">
              <w:rPr>
                <w:sz w:val="16"/>
                <w:szCs w:val="16"/>
                <w:lang w:val="en-US"/>
              </w:rPr>
              <w:t>0.833</w:t>
            </w:r>
          </w:p>
        </w:tc>
        <w:tc>
          <w:tcPr>
            <w:tcW w:w="1134" w:type="dxa"/>
            <w:tcBorders>
              <w:top w:val="nil"/>
              <w:left w:val="nil"/>
              <w:bottom w:val="nil"/>
              <w:right w:val="single" w:sz="4" w:space="0" w:color="auto"/>
            </w:tcBorders>
            <w:shd w:val="clear" w:color="auto" w:fill="auto"/>
          </w:tcPr>
          <w:p w14:paraId="77A250DA" w14:textId="3DC5BC26" w:rsidR="00295B22" w:rsidRPr="005359EE" w:rsidRDefault="00295B22" w:rsidP="00861F97">
            <w:pPr>
              <w:jc w:val="center"/>
              <w:rPr>
                <w:sz w:val="16"/>
                <w:szCs w:val="16"/>
                <w:lang w:val="en-US"/>
              </w:rPr>
            </w:pPr>
            <w:r w:rsidRPr="005359EE">
              <w:rPr>
                <w:sz w:val="16"/>
                <w:szCs w:val="16"/>
                <w:lang w:val="en-US"/>
              </w:rPr>
              <w:t>0.615</w:t>
            </w:r>
          </w:p>
        </w:tc>
        <w:tc>
          <w:tcPr>
            <w:tcW w:w="1868" w:type="dxa"/>
            <w:tcBorders>
              <w:top w:val="nil"/>
              <w:left w:val="single" w:sz="4" w:space="0" w:color="auto"/>
              <w:bottom w:val="nil"/>
              <w:right w:val="nil"/>
            </w:tcBorders>
            <w:shd w:val="clear" w:color="auto" w:fill="auto"/>
            <w:vAlign w:val="center"/>
          </w:tcPr>
          <w:p w14:paraId="35CCA76C" w14:textId="1259BD89" w:rsidR="00295B22" w:rsidRPr="005359EE" w:rsidRDefault="00022553" w:rsidP="00022553">
            <w:pPr>
              <w:jc w:val="center"/>
              <w:rPr>
                <w:sz w:val="16"/>
                <w:szCs w:val="16"/>
                <w:lang w:val="en-US"/>
              </w:rPr>
            </w:pPr>
            <w:r w:rsidRPr="005359EE">
              <w:rPr>
                <w:rFonts w:ascii="Segoe UI Emoji" w:hAnsi="Segoe UI Emoji" w:cs="Segoe UI Emoji"/>
                <w:sz w:val="8"/>
                <w:szCs w:val="8"/>
                <w:lang w:val="en-US"/>
              </w:rPr>
              <w:t>⚫</w:t>
            </w:r>
          </w:p>
        </w:tc>
        <w:tc>
          <w:tcPr>
            <w:tcW w:w="2379" w:type="dxa"/>
            <w:tcBorders>
              <w:top w:val="nil"/>
              <w:left w:val="nil"/>
              <w:bottom w:val="nil"/>
              <w:right w:val="nil"/>
            </w:tcBorders>
            <w:vAlign w:val="center"/>
          </w:tcPr>
          <w:p w14:paraId="2DF55C3A" w14:textId="3D780619" w:rsidR="00295B22" w:rsidRPr="005359EE" w:rsidRDefault="00022553" w:rsidP="00022553">
            <w:pPr>
              <w:jc w:val="center"/>
              <w:rPr>
                <w:sz w:val="16"/>
                <w:szCs w:val="16"/>
                <w:lang w:val="en-US"/>
              </w:rPr>
            </w:pPr>
            <w:r w:rsidRPr="005359EE">
              <w:rPr>
                <w:rFonts w:ascii="Segoe UI Emoji" w:hAnsi="Segoe UI Emoji" w:cs="Segoe UI Emoji"/>
                <w:sz w:val="8"/>
                <w:szCs w:val="8"/>
                <w:lang w:val="en-US"/>
              </w:rPr>
              <w:t>⚫</w:t>
            </w:r>
          </w:p>
        </w:tc>
      </w:tr>
      <w:tr w:rsidR="00295B22" w:rsidRPr="005359EE" w14:paraId="330EBABF" w14:textId="77777777" w:rsidTr="00861F97">
        <w:tc>
          <w:tcPr>
            <w:tcW w:w="2814" w:type="dxa"/>
            <w:tcBorders>
              <w:top w:val="nil"/>
              <w:left w:val="nil"/>
              <w:bottom w:val="nil"/>
              <w:right w:val="single" w:sz="4" w:space="0" w:color="auto"/>
            </w:tcBorders>
          </w:tcPr>
          <w:p w14:paraId="02890066" w14:textId="56222F0A" w:rsidR="00295B22" w:rsidRPr="005359EE" w:rsidRDefault="00295B22" w:rsidP="00861F97">
            <w:pPr>
              <w:ind w:left="164"/>
              <w:rPr>
                <w:sz w:val="16"/>
                <w:szCs w:val="16"/>
                <w:lang w:val="en-US"/>
              </w:rPr>
            </w:pPr>
            <w:r w:rsidRPr="005359EE">
              <w:rPr>
                <w:sz w:val="16"/>
                <w:szCs w:val="16"/>
                <w:lang w:val="en-US"/>
              </w:rPr>
              <w:t>Medium</w:t>
            </w:r>
          </w:p>
        </w:tc>
        <w:tc>
          <w:tcPr>
            <w:tcW w:w="872" w:type="dxa"/>
            <w:tcBorders>
              <w:top w:val="nil"/>
              <w:left w:val="single" w:sz="4" w:space="0" w:color="auto"/>
              <w:bottom w:val="nil"/>
              <w:right w:val="nil"/>
            </w:tcBorders>
          </w:tcPr>
          <w:p w14:paraId="5CE0FDF4" w14:textId="6F91F0D4" w:rsidR="00295B22" w:rsidRPr="005359EE" w:rsidRDefault="00295B22" w:rsidP="00861F97">
            <w:pPr>
              <w:jc w:val="center"/>
              <w:rPr>
                <w:sz w:val="16"/>
                <w:szCs w:val="16"/>
                <w:lang w:val="en-US"/>
              </w:rPr>
            </w:pPr>
            <w:r w:rsidRPr="005359EE">
              <w:rPr>
                <w:sz w:val="16"/>
                <w:szCs w:val="16"/>
                <w:lang w:val="en-US"/>
              </w:rPr>
              <w:t>0.143</w:t>
            </w:r>
          </w:p>
        </w:tc>
        <w:tc>
          <w:tcPr>
            <w:tcW w:w="1134" w:type="dxa"/>
            <w:tcBorders>
              <w:top w:val="nil"/>
              <w:left w:val="nil"/>
              <w:bottom w:val="nil"/>
              <w:right w:val="single" w:sz="4" w:space="0" w:color="auto"/>
            </w:tcBorders>
          </w:tcPr>
          <w:p w14:paraId="3E7B5CA0" w14:textId="5421A748" w:rsidR="00295B22" w:rsidRPr="005359EE" w:rsidRDefault="00295B22" w:rsidP="00861F97">
            <w:pPr>
              <w:jc w:val="center"/>
              <w:rPr>
                <w:sz w:val="16"/>
                <w:szCs w:val="16"/>
                <w:lang w:val="en-US"/>
              </w:rPr>
            </w:pPr>
            <w:r w:rsidRPr="005359EE">
              <w:rPr>
                <w:sz w:val="16"/>
                <w:szCs w:val="16"/>
                <w:lang w:val="en-US"/>
              </w:rPr>
              <w:t>1.000</w:t>
            </w:r>
          </w:p>
        </w:tc>
        <w:tc>
          <w:tcPr>
            <w:tcW w:w="1868" w:type="dxa"/>
            <w:tcBorders>
              <w:top w:val="nil"/>
              <w:left w:val="single" w:sz="4" w:space="0" w:color="auto"/>
              <w:bottom w:val="nil"/>
              <w:right w:val="nil"/>
            </w:tcBorders>
            <w:vAlign w:val="center"/>
          </w:tcPr>
          <w:p w14:paraId="3210D668" w14:textId="78CE661A" w:rsidR="00295B22" w:rsidRPr="005359EE" w:rsidRDefault="00295B22" w:rsidP="00861F97">
            <w:pPr>
              <w:jc w:val="center"/>
              <w:rPr>
                <w:rFonts w:ascii="Cambria Math" w:hAnsi="Cambria Math" w:cs="Cambria Math"/>
                <w:color w:val="4D5156"/>
                <w:sz w:val="16"/>
                <w:szCs w:val="16"/>
                <w:shd w:val="clear" w:color="auto" w:fill="FFFFFF"/>
                <w:lang w:val="en-US"/>
              </w:rPr>
            </w:pPr>
          </w:p>
        </w:tc>
        <w:tc>
          <w:tcPr>
            <w:tcW w:w="2379" w:type="dxa"/>
            <w:tcBorders>
              <w:top w:val="nil"/>
              <w:left w:val="nil"/>
              <w:bottom w:val="nil"/>
              <w:right w:val="nil"/>
            </w:tcBorders>
            <w:vAlign w:val="center"/>
          </w:tcPr>
          <w:p w14:paraId="13A4C463" w14:textId="276060B4" w:rsidR="00295B22" w:rsidRPr="005359EE" w:rsidRDefault="00295B22" w:rsidP="00861F97">
            <w:pPr>
              <w:jc w:val="center"/>
              <w:rPr>
                <w:sz w:val="16"/>
                <w:szCs w:val="16"/>
                <w:lang w:val="en-US"/>
              </w:rPr>
            </w:pPr>
          </w:p>
        </w:tc>
      </w:tr>
      <w:tr w:rsidR="00295B22" w:rsidRPr="005359EE" w14:paraId="486549C8" w14:textId="77777777" w:rsidTr="00861F97">
        <w:tc>
          <w:tcPr>
            <w:tcW w:w="2814" w:type="dxa"/>
            <w:tcBorders>
              <w:top w:val="nil"/>
              <w:left w:val="nil"/>
              <w:bottom w:val="nil"/>
              <w:right w:val="single" w:sz="4" w:space="0" w:color="auto"/>
            </w:tcBorders>
            <w:shd w:val="clear" w:color="auto" w:fill="auto"/>
          </w:tcPr>
          <w:p w14:paraId="337E2BBD" w14:textId="5465FAFE" w:rsidR="00295B22" w:rsidRPr="005359EE" w:rsidRDefault="00295B22" w:rsidP="00861F97">
            <w:pPr>
              <w:ind w:left="164"/>
              <w:rPr>
                <w:sz w:val="16"/>
                <w:szCs w:val="16"/>
                <w:lang w:val="en-US"/>
              </w:rPr>
            </w:pPr>
            <w:r w:rsidRPr="005359EE">
              <w:rPr>
                <w:sz w:val="16"/>
                <w:szCs w:val="16"/>
                <w:lang w:val="en-US"/>
              </w:rPr>
              <w:t>High</w:t>
            </w:r>
          </w:p>
        </w:tc>
        <w:tc>
          <w:tcPr>
            <w:tcW w:w="872" w:type="dxa"/>
            <w:tcBorders>
              <w:top w:val="nil"/>
              <w:left w:val="single" w:sz="4" w:space="0" w:color="auto"/>
              <w:bottom w:val="nil"/>
              <w:right w:val="nil"/>
            </w:tcBorders>
            <w:shd w:val="clear" w:color="auto" w:fill="auto"/>
          </w:tcPr>
          <w:p w14:paraId="0A60BCF7" w14:textId="4D1EEC43" w:rsidR="00295B22" w:rsidRPr="005359EE" w:rsidRDefault="00295B22" w:rsidP="00861F97">
            <w:pPr>
              <w:jc w:val="center"/>
              <w:rPr>
                <w:sz w:val="16"/>
                <w:szCs w:val="16"/>
                <w:lang w:val="en-US"/>
              </w:rPr>
            </w:pPr>
            <w:r w:rsidRPr="005359EE">
              <w:rPr>
                <w:sz w:val="16"/>
                <w:szCs w:val="16"/>
                <w:lang w:val="en-US"/>
              </w:rPr>
              <w:t>0.024</w:t>
            </w:r>
          </w:p>
        </w:tc>
        <w:tc>
          <w:tcPr>
            <w:tcW w:w="1134" w:type="dxa"/>
            <w:tcBorders>
              <w:top w:val="nil"/>
              <w:left w:val="nil"/>
              <w:bottom w:val="nil"/>
              <w:right w:val="single" w:sz="4" w:space="0" w:color="auto"/>
            </w:tcBorders>
            <w:shd w:val="clear" w:color="auto" w:fill="auto"/>
          </w:tcPr>
          <w:p w14:paraId="3C3E1843" w14:textId="359D880C" w:rsidR="00295B22" w:rsidRPr="005359EE" w:rsidRDefault="00295B22" w:rsidP="00861F97">
            <w:pPr>
              <w:jc w:val="center"/>
              <w:rPr>
                <w:sz w:val="16"/>
                <w:szCs w:val="16"/>
                <w:lang w:val="en-US"/>
              </w:rPr>
            </w:pPr>
            <w:r w:rsidRPr="005359EE">
              <w:rPr>
                <w:sz w:val="16"/>
                <w:szCs w:val="16"/>
                <w:lang w:val="en-US"/>
              </w:rPr>
              <w:t>0.979</w:t>
            </w:r>
          </w:p>
        </w:tc>
        <w:tc>
          <w:tcPr>
            <w:tcW w:w="1868" w:type="dxa"/>
            <w:tcBorders>
              <w:top w:val="nil"/>
              <w:left w:val="single" w:sz="4" w:space="0" w:color="auto"/>
              <w:bottom w:val="nil"/>
              <w:right w:val="nil"/>
            </w:tcBorders>
            <w:shd w:val="clear" w:color="auto" w:fill="auto"/>
            <w:vAlign w:val="center"/>
          </w:tcPr>
          <w:p w14:paraId="63B86DC3" w14:textId="77777777" w:rsidR="00295B22" w:rsidRPr="005359EE" w:rsidRDefault="00295B22" w:rsidP="00861F97">
            <w:pPr>
              <w:jc w:val="center"/>
              <w:rPr>
                <w:sz w:val="16"/>
                <w:szCs w:val="16"/>
                <w:lang w:val="en-US"/>
              </w:rPr>
            </w:pPr>
          </w:p>
        </w:tc>
        <w:tc>
          <w:tcPr>
            <w:tcW w:w="2379" w:type="dxa"/>
            <w:tcBorders>
              <w:top w:val="nil"/>
              <w:left w:val="nil"/>
              <w:bottom w:val="nil"/>
              <w:right w:val="nil"/>
            </w:tcBorders>
            <w:vAlign w:val="center"/>
          </w:tcPr>
          <w:p w14:paraId="01EBA6A9" w14:textId="376AA239" w:rsidR="00295B22" w:rsidRPr="005359EE" w:rsidRDefault="00295B22" w:rsidP="00861F97">
            <w:pPr>
              <w:jc w:val="center"/>
              <w:rPr>
                <w:sz w:val="16"/>
                <w:szCs w:val="16"/>
                <w:lang w:val="en-US"/>
              </w:rPr>
            </w:pPr>
          </w:p>
        </w:tc>
      </w:tr>
      <w:tr w:rsidR="00295B22" w:rsidRPr="005359EE" w14:paraId="26B2DA8D" w14:textId="77777777" w:rsidTr="00861F97">
        <w:tc>
          <w:tcPr>
            <w:tcW w:w="2814" w:type="dxa"/>
            <w:tcBorders>
              <w:top w:val="single" w:sz="4" w:space="0" w:color="auto"/>
              <w:left w:val="nil"/>
              <w:bottom w:val="nil"/>
              <w:right w:val="single" w:sz="4" w:space="0" w:color="auto"/>
            </w:tcBorders>
          </w:tcPr>
          <w:p w14:paraId="7BCE0555" w14:textId="0238066A" w:rsidR="00295B22" w:rsidRPr="005359EE" w:rsidRDefault="00295B22" w:rsidP="00861F97">
            <w:pPr>
              <w:rPr>
                <w:sz w:val="16"/>
                <w:szCs w:val="16"/>
                <w:lang w:val="en-US"/>
              </w:rPr>
            </w:pPr>
            <w:r w:rsidRPr="005359EE">
              <w:rPr>
                <w:i/>
                <w:iCs/>
                <w:sz w:val="16"/>
                <w:szCs w:val="16"/>
                <w:lang w:val="en-US"/>
              </w:rPr>
              <w:t>Insufficient quantities</w:t>
            </w:r>
          </w:p>
        </w:tc>
        <w:tc>
          <w:tcPr>
            <w:tcW w:w="872" w:type="dxa"/>
            <w:tcBorders>
              <w:top w:val="single" w:sz="4" w:space="0" w:color="auto"/>
              <w:left w:val="single" w:sz="4" w:space="0" w:color="auto"/>
              <w:bottom w:val="nil"/>
              <w:right w:val="nil"/>
            </w:tcBorders>
          </w:tcPr>
          <w:p w14:paraId="29AF79CC" w14:textId="77777777" w:rsidR="00295B22" w:rsidRPr="005359EE" w:rsidRDefault="00295B22" w:rsidP="00861F97">
            <w:pPr>
              <w:jc w:val="center"/>
              <w:rPr>
                <w:sz w:val="16"/>
                <w:szCs w:val="16"/>
                <w:lang w:val="en-US"/>
              </w:rPr>
            </w:pPr>
          </w:p>
        </w:tc>
        <w:tc>
          <w:tcPr>
            <w:tcW w:w="1134" w:type="dxa"/>
            <w:tcBorders>
              <w:top w:val="single" w:sz="4" w:space="0" w:color="auto"/>
              <w:left w:val="nil"/>
              <w:bottom w:val="nil"/>
              <w:right w:val="single" w:sz="4" w:space="0" w:color="auto"/>
            </w:tcBorders>
          </w:tcPr>
          <w:p w14:paraId="4BE0485F" w14:textId="77777777" w:rsidR="00295B22" w:rsidRPr="005359EE" w:rsidRDefault="00295B22" w:rsidP="00861F97">
            <w:pPr>
              <w:jc w:val="center"/>
              <w:rPr>
                <w:sz w:val="16"/>
                <w:szCs w:val="16"/>
                <w:lang w:val="en-US"/>
              </w:rPr>
            </w:pPr>
          </w:p>
        </w:tc>
        <w:tc>
          <w:tcPr>
            <w:tcW w:w="1868" w:type="dxa"/>
            <w:tcBorders>
              <w:top w:val="single" w:sz="4" w:space="0" w:color="auto"/>
              <w:left w:val="single" w:sz="4" w:space="0" w:color="auto"/>
              <w:bottom w:val="nil"/>
              <w:right w:val="nil"/>
            </w:tcBorders>
            <w:vAlign w:val="center"/>
          </w:tcPr>
          <w:p w14:paraId="5AA96687" w14:textId="77777777" w:rsidR="00295B22" w:rsidRPr="005359EE" w:rsidRDefault="00295B22" w:rsidP="00861F97">
            <w:pPr>
              <w:rPr>
                <w:sz w:val="16"/>
                <w:szCs w:val="16"/>
                <w:lang w:val="en-US"/>
              </w:rPr>
            </w:pPr>
          </w:p>
        </w:tc>
        <w:tc>
          <w:tcPr>
            <w:tcW w:w="2379" w:type="dxa"/>
            <w:tcBorders>
              <w:top w:val="single" w:sz="4" w:space="0" w:color="auto"/>
              <w:left w:val="nil"/>
              <w:bottom w:val="nil"/>
              <w:right w:val="nil"/>
            </w:tcBorders>
            <w:vAlign w:val="center"/>
          </w:tcPr>
          <w:p w14:paraId="3B5428ED" w14:textId="77777777" w:rsidR="00295B22" w:rsidRPr="005359EE" w:rsidRDefault="00295B22" w:rsidP="00861F97">
            <w:pPr>
              <w:rPr>
                <w:sz w:val="16"/>
                <w:szCs w:val="16"/>
                <w:lang w:val="en-US"/>
              </w:rPr>
            </w:pPr>
          </w:p>
        </w:tc>
      </w:tr>
      <w:tr w:rsidR="00295B22" w:rsidRPr="005359EE" w14:paraId="1C644307" w14:textId="77777777" w:rsidTr="00861F97">
        <w:tc>
          <w:tcPr>
            <w:tcW w:w="2814" w:type="dxa"/>
            <w:tcBorders>
              <w:top w:val="nil"/>
              <w:left w:val="nil"/>
              <w:bottom w:val="nil"/>
              <w:right w:val="single" w:sz="4" w:space="0" w:color="auto"/>
            </w:tcBorders>
            <w:shd w:val="clear" w:color="auto" w:fill="auto"/>
          </w:tcPr>
          <w:p w14:paraId="36770D85" w14:textId="049A96B3" w:rsidR="00295B22" w:rsidRPr="005359EE" w:rsidRDefault="00295B22" w:rsidP="00861F97">
            <w:pPr>
              <w:ind w:left="164"/>
              <w:rPr>
                <w:sz w:val="16"/>
                <w:szCs w:val="16"/>
                <w:lang w:val="en-US"/>
              </w:rPr>
            </w:pPr>
            <w:r w:rsidRPr="005359EE">
              <w:rPr>
                <w:sz w:val="16"/>
                <w:szCs w:val="16"/>
                <w:lang w:val="en-US"/>
              </w:rPr>
              <w:t xml:space="preserve">Few and small sources </w:t>
            </w:r>
          </w:p>
        </w:tc>
        <w:tc>
          <w:tcPr>
            <w:tcW w:w="872" w:type="dxa"/>
            <w:tcBorders>
              <w:top w:val="nil"/>
              <w:left w:val="single" w:sz="4" w:space="0" w:color="auto"/>
              <w:bottom w:val="nil"/>
              <w:right w:val="nil"/>
            </w:tcBorders>
            <w:shd w:val="clear" w:color="auto" w:fill="auto"/>
          </w:tcPr>
          <w:p w14:paraId="104E66EF" w14:textId="3B8D1EDF" w:rsidR="00295B22" w:rsidRPr="005359EE" w:rsidRDefault="00295B22" w:rsidP="00861F97">
            <w:pPr>
              <w:jc w:val="center"/>
              <w:rPr>
                <w:sz w:val="16"/>
                <w:szCs w:val="16"/>
                <w:lang w:val="en-US"/>
              </w:rPr>
            </w:pPr>
            <w:r w:rsidRPr="005359EE">
              <w:rPr>
                <w:sz w:val="16"/>
                <w:szCs w:val="16"/>
                <w:lang w:val="en-US"/>
              </w:rPr>
              <w:t>0.000</w:t>
            </w:r>
          </w:p>
        </w:tc>
        <w:tc>
          <w:tcPr>
            <w:tcW w:w="1134" w:type="dxa"/>
            <w:tcBorders>
              <w:top w:val="nil"/>
              <w:left w:val="nil"/>
              <w:bottom w:val="nil"/>
              <w:right w:val="single" w:sz="4" w:space="0" w:color="auto"/>
            </w:tcBorders>
            <w:shd w:val="clear" w:color="auto" w:fill="auto"/>
          </w:tcPr>
          <w:p w14:paraId="2ACF9A78" w14:textId="0413A636" w:rsidR="00295B22" w:rsidRPr="005359EE" w:rsidRDefault="00295B22" w:rsidP="00861F97">
            <w:pPr>
              <w:jc w:val="center"/>
              <w:rPr>
                <w:sz w:val="16"/>
                <w:szCs w:val="16"/>
                <w:lang w:val="en-US"/>
              </w:rPr>
            </w:pPr>
            <w:r w:rsidRPr="005359EE">
              <w:rPr>
                <w:sz w:val="16"/>
                <w:szCs w:val="16"/>
                <w:lang w:val="en-US"/>
              </w:rPr>
              <w:t>1.000</w:t>
            </w:r>
          </w:p>
        </w:tc>
        <w:tc>
          <w:tcPr>
            <w:tcW w:w="1868" w:type="dxa"/>
            <w:tcBorders>
              <w:top w:val="nil"/>
              <w:left w:val="single" w:sz="4" w:space="0" w:color="auto"/>
              <w:bottom w:val="nil"/>
              <w:right w:val="nil"/>
            </w:tcBorders>
            <w:shd w:val="clear" w:color="auto" w:fill="auto"/>
            <w:vAlign w:val="center"/>
          </w:tcPr>
          <w:p w14:paraId="4E3F5A6A" w14:textId="549CA092" w:rsidR="00295B22" w:rsidRPr="005359EE" w:rsidRDefault="00295B22" w:rsidP="00861F97">
            <w:pPr>
              <w:jc w:val="center"/>
              <w:rPr>
                <w:rFonts w:ascii="Segoe UI Emoji" w:hAnsi="Segoe UI Emoji" w:cs="Segoe UI Emoji"/>
                <w:sz w:val="16"/>
                <w:szCs w:val="16"/>
                <w:lang w:val="en-US"/>
              </w:rPr>
            </w:pPr>
          </w:p>
        </w:tc>
        <w:tc>
          <w:tcPr>
            <w:tcW w:w="2379" w:type="dxa"/>
            <w:tcBorders>
              <w:top w:val="nil"/>
              <w:left w:val="nil"/>
              <w:bottom w:val="nil"/>
              <w:right w:val="nil"/>
            </w:tcBorders>
            <w:vAlign w:val="center"/>
          </w:tcPr>
          <w:p w14:paraId="12492D87" w14:textId="05BEF9B4" w:rsidR="00295B22" w:rsidRPr="005359EE" w:rsidRDefault="00295B22" w:rsidP="00861F97">
            <w:pPr>
              <w:jc w:val="center"/>
              <w:rPr>
                <w:sz w:val="16"/>
                <w:szCs w:val="16"/>
                <w:lang w:val="en-US"/>
              </w:rPr>
            </w:pPr>
          </w:p>
        </w:tc>
      </w:tr>
      <w:tr w:rsidR="00295B22" w:rsidRPr="005359EE" w14:paraId="27EB1B33" w14:textId="77777777" w:rsidTr="00861F97">
        <w:tc>
          <w:tcPr>
            <w:tcW w:w="2814" w:type="dxa"/>
            <w:tcBorders>
              <w:top w:val="nil"/>
              <w:left w:val="nil"/>
              <w:bottom w:val="nil"/>
              <w:right w:val="single" w:sz="4" w:space="0" w:color="auto"/>
            </w:tcBorders>
            <w:shd w:val="clear" w:color="auto" w:fill="auto"/>
          </w:tcPr>
          <w:p w14:paraId="4D6C12BF" w14:textId="27FB024B" w:rsidR="00295B22" w:rsidRPr="005359EE" w:rsidRDefault="00295B22" w:rsidP="00861F97">
            <w:pPr>
              <w:ind w:left="164"/>
              <w:rPr>
                <w:sz w:val="16"/>
                <w:szCs w:val="16"/>
                <w:lang w:val="en-US"/>
              </w:rPr>
            </w:pPr>
            <w:r w:rsidRPr="005359EE">
              <w:rPr>
                <w:sz w:val="16"/>
                <w:szCs w:val="16"/>
                <w:lang w:val="en-US"/>
              </w:rPr>
              <w:t xml:space="preserve">Few but large sources </w:t>
            </w:r>
          </w:p>
        </w:tc>
        <w:tc>
          <w:tcPr>
            <w:tcW w:w="872" w:type="dxa"/>
            <w:tcBorders>
              <w:top w:val="nil"/>
              <w:left w:val="single" w:sz="4" w:space="0" w:color="auto"/>
              <w:bottom w:val="nil"/>
              <w:right w:val="nil"/>
            </w:tcBorders>
            <w:shd w:val="clear" w:color="auto" w:fill="auto"/>
          </w:tcPr>
          <w:p w14:paraId="461813DC" w14:textId="19FB1C08" w:rsidR="00295B22" w:rsidRPr="005359EE" w:rsidRDefault="00295B22" w:rsidP="00861F97">
            <w:pPr>
              <w:jc w:val="center"/>
              <w:rPr>
                <w:sz w:val="16"/>
                <w:szCs w:val="16"/>
                <w:lang w:val="en-US"/>
              </w:rPr>
            </w:pPr>
            <w:r w:rsidRPr="005359EE">
              <w:rPr>
                <w:sz w:val="16"/>
                <w:szCs w:val="16"/>
                <w:lang w:val="en-US"/>
              </w:rPr>
              <w:t>0.262</w:t>
            </w:r>
          </w:p>
        </w:tc>
        <w:tc>
          <w:tcPr>
            <w:tcW w:w="1134" w:type="dxa"/>
            <w:tcBorders>
              <w:top w:val="nil"/>
              <w:left w:val="nil"/>
              <w:bottom w:val="nil"/>
              <w:right w:val="single" w:sz="4" w:space="0" w:color="auto"/>
            </w:tcBorders>
            <w:shd w:val="clear" w:color="auto" w:fill="auto"/>
          </w:tcPr>
          <w:p w14:paraId="24BEBD09" w14:textId="30DDDAA9" w:rsidR="00295B22" w:rsidRPr="005359EE" w:rsidRDefault="00295B22" w:rsidP="00861F97">
            <w:pPr>
              <w:jc w:val="center"/>
              <w:rPr>
                <w:sz w:val="16"/>
                <w:szCs w:val="16"/>
                <w:lang w:val="en-US"/>
              </w:rPr>
            </w:pPr>
            <w:r w:rsidRPr="005359EE">
              <w:rPr>
                <w:sz w:val="16"/>
                <w:szCs w:val="16"/>
                <w:lang w:val="en-US"/>
              </w:rPr>
              <w:t>1.000</w:t>
            </w:r>
          </w:p>
        </w:tc>
        <w:tc>
          <w:tcPr>
            <w:tcW w:w="1868" w:type="dxa"/>
            <w:tcBorders>
              <w:top w:val="nil"/>
              <w:left w:val="single" w:sz="4" w:space="0" w:color="auto"/>
              <w:bottom w:val="nil"/>
              <w:right w:val="nil"/>
            </w:tcBorders>
            <w:shd w:val="clear" w:color="auto" w:fill="auto"/>
            <w:vAlign w:val="center"/>
          </w:tcPr>
          <w:p w14:paraId="342628C0" w14:textId="4E496117" w:rsidR="00295B22" w:rsidRPr="005359EE" w:rsidRDefault="00022553" w:rsidP="00861F97">
            <w:pPr>
              <w:jc w:val="center"/>
              <w:rPr>
                <w:rFonts w:ascii="Segoe UI Emoji" w:hAnsi="Segoe UI Emoji" w:cs="Segoe UI Emoji"/>
                <w:sz w:val="16"/>
                <w:szCs w:val="16"/>
                <w:lang w:val="en-US"/>
              </w:rPr>
            </w:pPr>
            <w:r w:rsidRPr="005359EE">
              <w:rPr>
                <w:rFonts w:ascii="Segoe UI Emoji" w:hAnsi="Segoe UI Emoji" w:cs="Segoe UI Emoji"/>
                <w:sz w:val="14"/>
                <w:szCs w:val="14"/>
                <w:lang w:val="en-US"/>
              </w:rPr>
              <w:t>⚫</w:t>
            </w:r>
          </w:p>
        </w:tc>
        <w:tc>
          <w:tcPr>
            <w:tcW w:w="2379" w:type="dxa"/>
            <w:tcBorders>
              <w:top w:val="nil"/>
              <w:left w:val="nil"/>
              <w:bottom w:val="nil"/>
              <w:right w:val="nil"/>
            </w:tcBorders>
            <w:vAlign w:val="center"/>
          </w:tcPr>
          <w:p w14:paraId="180F8EEF" w14:textId="77777777" w:rsidR="00295B22" w:rsidRPr="005359EE" w:rsidRDefault="00295B22" w:rsidP="00861F97">
            <w:pPr>
              <w:jc w:val="center"/>
              <w:rPr>
                <w:sz w:val="16"/>
                <w:szCs w:val="16"/>
                <w:lang w:val="en-US"/>
              </w:rPr>
            </w:pPr>
          </w:p>
        </w:tc>
      </w:tr>
      <w:tr w:rsidR="00295B22" w:rsidRPr="005359EE" w14:paraId="3E4E57AB" w14:textId="77777777" w:rsidTr="00861F97">
        <w:tc>
          <w:tcPr>
            <w:tcW w:w="2814" w:type="dxa"/>
            <w:tcBorders>
              <w:top w:val="nil"/>
              <w:left w:val="nil"/>
              <w:bottom w:val="single" w:sz="4" w:space="0" w:color="auto"/>
              <w:right w:val="single" w:sz="4" w:space="0" w:color="auto"/>
            </w:tcBorders>
            <w:shd w:val="clear" w:color="auto" w:fill="auto"/>
          </w:tcPr>
          <w:p w14:paraId="017F4C19" w14:textId="492997A1" w:rsidR="00295B22" w:rsidRPr="005359EE" w:rsidRDefault="00295B22" w:rsidP="00861F97">
            <w:pPr>
              <w:ind w:left="164"/>
              <w:rPr>
                <w:sz w:val="16"/>
                <w:szCs w:val="16"/>
                <w:lang w:val="en-US"/>
              </w:rPr>
            </w:pPr>
            <w:r w:rsidRPr="005359EE">
              <w:rPr>
                <w:sz w:val="16"/>
                <w:szCs w:val="16"/>
                <w:lang w:val="en-US"/>
              </w:rPr>
              <w:t xml:space="preserve">Many sources </w:t>
            </w:r>
          </w:p>
        </w:tc>
        <w:tc>
          <w:tcPr>
            <w:tcW w:w="872" w:type="dxa"/>
            <w:tcBorders>
              <w:top w:val="nil"/>
              <w:left w:val="single" w:sz="4" w:space="0" w:color="auto"/>
              <w:bottom w:val="single" w:sz="4" w:space="0" w:color="auto"/>
              <w:right w:val="nil"/>
            </w:tcBorders>
            <w:shd w:val="clear" w:color="auto" w:fill="auto"/>
          </w:tcPr>
          <w:p w14:paraId="0B970306" w14:textId="6E11D137" w:rsidR="00295B22" w:rsidRPr="005359EE" w:rsidRDefault="00295B22" w:rsidP="00861F97">
            <w:pPr>
              <w:jc w:val="center"/>
              <w:rPr>
                <w:sz w:val="16"/>
                <w:szCs w:val="16"/>
                <w:lang w:val="en-US"/>
              </w:rPr>
            </w:pPr>
            <w:r w:rsidRPr="005359EE">
              <w:rPr>
                <w:sz w:val="16"/>
                <w:szCs w:val="16"/>
                <w:lang w:val="en-US"/>
              </w:rPr>
              <w:t>0.738</w:t>
            </w:r>
          </w:p>
        </w:tc>
        <w:tc>
          <w:tcPr>
            <w:tcW w:w="1134" w:type="dxa"/>
            <w:tcBorders>
              <w:top w:val="nil"/>
              <w:left w:val="nil"/>
              <w:bottom w:val="single" w:sz="4" w:space="0" w:color="auto"/>
              <w:right w:val="single" w:sz="4" w:space="0" w:color="auto"/>
            </w:tcBorders>
            <w:shd w:val="clear" w:color="auto" w:fill="auto"/>
          </w:tcPr>
          <w:p w14:paraId="3B5BA98A" w14:textId="3417F924" w:rsidR="00295B22" w:rsidRPr="005359EE" w:rsidRDefault="00295B22" w:rsidP="00861F97">
            <w:pPr>
              <w:jc w:val="center"/>
              <w:rPr>
                <w:sz w:val="16"/>
                <w:szCs w:val="16"/>
                <w:lang w:val="en-US"/>
              </w:rPr>
            </w:pPr>
            <w:r w:rsidRPr="005359EE">
              <w:rPr>
                <w:sz w:val="16"/>
                <w:szCs w:val="16"/>
                <w:lang w:val="en-US"/>
              </w:rPr>
              <w:t>0.647</w:t>
            </w:r>
          </w:p>
        </w:tc>
        <w:tc>
          <w:tcPr>
            <w:tcW w:w="1868" w:type="dxa"/>
            <w:tcBorders>
              <w:top w:val="nil"/>
              <w:left w:val="single" w:sz="4" w:space="0" w:color="auto"/>
              <w:bottom w:val="single" w:sz="4" w:space="0" w:color="auto"/>
              <w:right w:val="nil"/>
            </w:tcBorders>
            <w:shd w:val="clear" w:color="auto" w:fill="auto"/>
            <w:vAlign w:val="center"/>
          </w:tcPr>
          <w:p w14:paraId="4D2E395A" w14:textId="17C8EA51" w:rsidR="00295B22" w:rsidRPr="005359EE" w:rsidRDefault="00295B22" w:rsidP="00861F97">
            <w:pPr>
              <w:jc w:val="center"/>
              <w:rPr>
                <w:rFonts w:ascii="Segoe UI Emoji" w:hAnsi="Segoe UI Emoji" w:cs="Segoe UI Emoji"/>
                <w:sz w:val="16"/>
                <w:szCs w:val="16"/>
                <w:lang w:val="en-US"/>
              </w:rPr>
            </w:pPr>
          </w:p>
        </w:tc>
        <w:tc>
          <w:tcPr>
            <w:tcW w:w="2379" w:type="dxa"/>
            <w:tcBorders>
              <w:top w:val="nil"/>
              <w:left w:val="nil"/>
              <w:bottom w:val="single" w:sz="4" w:space="0" w:color="auto"/>
              <w:right w:val="nil"/>
            </w:tcBorders>
            <w:vAlign w:val="center"/>
          </w:tcPr>
          <w:p w14:paraId="1EF87FDF" w14:textId="0A7E13EF" w:rsidR="00295B22" w:rsidRPr="005359EE" w:rsidRDefault="00022553" w:rsidP="00861F97">
            <w:pPr>
              <w:jc w:val="center"/>
              <w:rPr>
                <w:sz w:val="16"/>
                <w:szCs w:val="16"/>
                <w:lang w:val="en-US"/>
              </w:rPr>
            </w:pPr>
            <w:r w:rsidRPr="005359EE">
              <w:rPr>
                <w:rFonts w:ascii="Segoe UI Emoji" w:hAnsi="Segoe UI Emoji" w:cs="Segoe UI Emoji"/>
                <w:sz w:val="14"/>
                <w:szCs w:val="14"/>
                <w:lang w:val="en-US"/>
              </w:rPr>
              <w:t>⚫</w:t>
            </w:r>
          </w:p>
        </w:tc>
      </w:tr>
      <w:tr w:rsidR="00295B22" w:rsidRPr="00AF682F" w14:paraId="67FC134E" w14:textId="77777777" w:rsidTr="00861F97">
        <w:tc>
          <w:tcPr>
            <w:tcW w:w="2814" w:type="dxa"/>
            <w:tcBorders>
              <w:top w:val="single" w:sz="4" w:space="0" w:color="auto"/>
              <w:left w:val="nil"/>
              <w:bottom w:val="nil"/>
              <w:right w:val="single" w:sz="4" w:space="0" w:color="auto"/>
            </w:tcBorders>
            <w:shd w:val="clear" w:color="auto" w:fill="auto"/>
          </w:tcPr>
          <w:p w14:paraId="1FAB1AF1" w14:textId="746DC5DD" w:rsidR="00295B22" w:rsidRPr="005359EE" w:rsidRDefault="00295B22" w:rsidP="00A211AA">
            <w:pPr>
              <w:rPr>
                <w:sz w:val="16"/>
                <w:szCs w:val="16"/>
                <w:lang w:val="en-US"/>
              </w:rPr>
            </w:pPr>
            <w:r w:rsidRPr="005359EE">
              <w:rPr>
                <w:i/>
                <w:iCs/>
                <w:sz w:val="16"/>
                <w:szCs w:val="16"/>
                <w:lang w:val="en-US"/>
              </w:rPr>
              <w:t>Value of the used products</w:t>
            </w:r>
          </w:p>
        </w:tc>
        <w:tc>
          <w:tcPr>
            <w:tcW w:w="872" w:type="dxa"/>
            <w:tcBorders>
              <w:top w:val="single" w:sz="4" w:space="0" w:color="auto"/>
              <w:left w:val="single" w:sz="4" w:space="0" w:color="auto"/>
              <w:bottom w:val="nil"/>
              <w:right w:val="nil"/>
            </w:tcBorders>
            <w:shd w:val="clear" w:color="auto" w:fill="auto"/>
          </w:tcPr>
          <w:p w14:paraId="02355311" w14:textId="77777777" w:rsidR="00295B22" w:rsidRPr="005359EE" w:rsidRDefault="00295B22" w:rsidP="00861F97">
            <w:pPr>
              <w:jc w:val="center"/>
              <w:rPr>
                <w:sz w:val="16"/>
                <w:szCs w:val="16"/>
                <w:lang w:val="en-US"/>
              </w:rPr>
            </w:pPr>
          </w:p>
        </w:tc>
        <w:tc>
          <w:tcPr>
            <w:tcW w:w="1134" w:type="dxa"/>
            <w:tcBorders>
              <w:top w:val="single" w:sz="4" w:space="0" w:color="auto"/>
              <w:left w:val="nil"/>
              <w:bottom w:val="nil"/>
              <w:right w:val="single" w:sz="4" w:space="0" w:color="auto"/>
            </w:tcBorders>
            <w:shd w:val="clear" w:color="auto" w:fill="auto"/>
          </w:tcPr>
          <w:p w14:paraId="52C0598A" w14:textId="63EA2F5E" w:rsidR="00295B22" w:rsidRPr="005359EE" w:rsidRDefault="00295B22" w:rsidP="00861F97">
            <w:pPr>
              <w:jc w:val="center"/>
              <w:rPr>
                <w:sz w:val="16"/>
                <w:szCs w:val="16"/>
                <w:lang w:val="en-US"/>
              </w:rPr>
            </w:pPr>
          </w:p>
        </w:tc>
        <w:tc>
          <w:tcPr>
            <w:tcW w:w="1868" w:type="dxa"/>
            <w:tcBorders>
              <w:top w:val="single" w:sz="4" w:space="0" w:color="auto"/>
              <w:left w:val="single" w:sz="4" w:space="0" w:color="auto"/>
              <w:bottom w:val="nil"/>
              <w:right w:val="nil"/>
            </w:tcBorders>
            <w:shd w:val="clear" w:color="auto" w:fill="auto"/>
            <w:vAlign w:val="center"/>
          </w:tcPr>
          <w:p w14:paraId="52252522" w14:textId="77777777" w:rsidR="00295B22" w:rsidRPr="005359EE" w:rsidRDefault="00295B22" w:rsidP="00861F97">
            <w:pPr>
              <w:jc w:val="center"/>
              <w:rPr>
                <w:rFonts w:ascii="Cambria Math" w:hAnsi="Cambria Math" w:cs="Cambria Math"/>
                <w:color w:val="4D5156"/>
                <w:sz w:val="18"/>
                <w:szCs w:val="18"/>
                <w:shd w:val="clear" w:color="auto" w:fill="FFFFFF"/>
                <w:lang w:val="en-US"/>
              </w:rPr>
            </w:pPr>
          </w:p>
        </w:tc>
        <w:tc>
          <w:tcPr>
            <w:tcW w:w="2379" w:type="dxa"/>
            <w:tcBorders>
              <w:top w:val="single" w:sz="4" w:space="0" w:color="auto"/>
              <w:left w:val="nil"/>
              <w:bottom w:val="nil"/>
              <w:right w:val="nil"/>
            </w:tcBorders>
            <w:vAlign w:val="center"/>
          </w:tcPr>
          <w:p w14:paraId="1F9310E6" w14:textId="77777777" w:rsidR="00295B22" w:rsidRPr="005359EE" w:rsidRDefault="00295B22" w:rsidP="00861F97">
            <w:pPr>
              <w:jc w:val="center"/>
              <w:rPr>
                <w:sz w:val="16"/>
                <w:szCs w:val="16"/>
                <w:lang w:val="en-US"/>
              </w:rPr>
            </w:pPr>
          </w:p>
        </w:tc>
      </w:tr>
      <w:tr w:rsidR="00295B22" w:rsidRPr="005359EE" w14:paraId="489F703A" w14:textId="77777777" w:rsidTr="00861F97">
        <w:tc>
          <w:tcPr>
            <w:tcW w:w="2814" w:type="dxa"/>
            <w:tcBorders>
              <w:top w:val="nil"/>
              <w:left w:val="nil"/>
              <w:bottom w:val="nil"/>
              <w:right w:val="single" w:sz="4" w:space="0" w:color="auto"/>
            </w:tcBorders>
            <w:shd w:val="clear" w:color="auto" w:fill="auto"/>
          </w:tcPr>
          <w:p w14:paraId="6484283A" w14:textId="5D194FB7" w:rsidR="00295B22" w:rsidRPr="005359EE" w:rsidRDefault="00295B22" w:rsidP="00861F97">
            <w:pPr>
              <w:ind w:left="164"/>
              <w:rPr>
                <w:sz w:val="16"/>
                <w:szCs w:val="16"/>
                <w:lang w:val="en-US"/>
              </w:rPr>
            </w:pPr>
            <w:r w:rsidRPr="005359EE">
              <w:rPr>
                <w:sz w:val="16"/>
                <w:szCs w:val="16"/>
                <w:lang w:val="en-US"/>
              </w:rPr>
              <w:t>Low</w:t>
            </w:r>
          </w:p>
        </w:tc>
        <w:tc>
          <w:tcPr>
            <w:tcW w:w="872" w:type="dxa"/>
            <w:tcBorders>
              <w:top w:val="nil"/>
              <w:left w:val="single" w:sz="4" w:space="0" w:color="auto"/>
              <w:bottom w:val="nil"/>
              <w:right w:val="nil"/>
            </w:tcBorders>
            <w:shd w:val="clear" w:color="auto" w:fill="auto"/>
          </w:tcPr>
          <w:p w14:paraId="3D081289" w14:textId="048E5233" w:rsidR="00295B22" w:rsidRPr="005359EE" w:rsidRDefault="00295B22" w:rsidP="00861F97">
            <w:pPr>
              <w:jc w:val="center"/>
              <w:rPr>
                <w:sz w:val="16"/>
                <w:szCs w:val="16"/>
                <w:lang w:val="en-US"/>
              </w:rPr>
            </w:pPr>
            <w:r w:rsidRPr="005359EE">
              <w:rPr>
                <w:sz w:val="16"/>
                <w:szCs w:val="16"/>
                <w:lang w:val="en-US"/>
              </w:rPr>
              <w:t>0.952</w:t>
            </w:r>
          </w:p>
        </w:tc>
        <w:tc>
          <w:tcPr>
            <w:tcW w:w="1134" w:type="dxa"/>
            <w:tcBorders>
              <w:top w:val="nil"/>
              <w:left w:val="nil"/>
              <w:bottom w:val="nil"/>
              <w:right w:val="single" w:sz="4" w:space="0" w:color="auto"/>
            </w:tcBorders>
            <w:shd w:val="clear" w:color="auto" w:fill="auto"/>
          </w:tcPr>
          <w:p w14:paraId="79BBE6F6" w14:textId="5DAAB81A" w:rsidR="00295B22" w:rsidRPr="005359EE" w:rsidRDefault="00295B22" w:rsidP="00861F97">
            <w:pPr>
              <w:jc w:val="center"/>
              <w:rPr>
                <w:sz w:val="16"/>
                <w:szCs w:val="16"/>
                <w:lang w:val="en-US"/>
              </w:rPr>
            </w:pPr>
            <w:r w:rsidRPr="005359EE">
              <w:rPr>
                <w:sz w:val="16"/>
                <w:szCs w:val="16"/>
                <w:lang w:val="en-US"/>
              </w:rPr>
              <w:t>0.250</w:t>
            </w:r>
          </w:p>
        </w:tc>
        <w:tc>
          <w:tcPr>
            <w:tcW w:w="1868" w:type="dxa"/>
            <w:tcBorders>
              <w:top w:val="nil"/>
              <w:left w:val="single" w:sz="4" w:space="0" w:color="auto"/>
              <w:bottom w:val="nil"/>
              <w:right w:val="nil"/>
            </w:tcBorders>
            <w:shd w:val="clear" w:color="auto" w:fill="auto"/>
            <w:vAlign w:val="center"/>
          </w:tcPr>
          <w:p w14:paraId="47A91123" w14:textId="5C136F8B" w:rsidR="00295B22" w:rsidRPr="005359EE" w:rsidRDefault="00022553" w:rsidP="00861F97">
            <w:pPr>
              <w:jc w:val="center"/>
              <w:rPr>
                <w:rFonts w:ascii="Cambria Math" w:hAnsi="Cambria Math" w:cs="Cambria Math"/>
                <w:color w:val="4D5156"/>
                <w:sz w:val="18"/>
                <w:szCs w:val="18"/>
                <w:shd w:val="clear" w:color="auto" w:fill="FFFFFF"/>
                <w:lang w:val="en-US"/>
              </w:rPr>
            </w:pPr>
            <w:r w:rsidRPr="005359EE">
              <w:rPr>
                <w:rFonts w:ascii="Segoe UI Emoji" w:hAnsi="Segoe UI Emoji" w:cs="Segoe UI Emoji"/>
                <w:sz w:val="14"/>
                <w:szCs w:val="14"/>
                <w:lang w:val="en-US"/>
              </w:rPr>
              <w:t>⚫</w:t>
            </w:r>
          </w:p>
        </w:tc>
        <w:tc>
          <w:tcPr>
            <w:tcW w:w="2379" w:type="dxa"/>
            <w:tcBorders>
              <w:top w:val="nil"/>
              <w:left w:val="nil"/>
              <w:bottom w:val="nil"/>
              <w:right w:val="nil"/>
            </w:tcBorders>
            <w:vAlign w:val="center"/>
          </w:tcPr>
          <w:p w14:paraId="6517442D" w14:textId="70AB07A0" w:rsidR="00295B22" w:rsidRPr="005359EE" w:rsidRDefault="00022553" w:rsidP="00861F97">
            <w:pPr>
              <w:jc w:val="center"/>
              <w:rPr>
                <w:sz w:val="16"/>
                <w:szCs w:val="16"/>
                <w:lang w:val="en-US"/>
              </w:rPr>
            </w:pPr>
            <w:r w:rsidRPr="005359EE">
              <w:rPr>
                <w:rFonts w:ascii="Segoe UI Emoji" w:hAnsi="Segoe UI Emoji" w:cs="Segoe UI Emoji"/>
                <w:sz w:val="14"/>
                <w:szCs w:val="14"/>
                <w:lang w:val="en-US"/>
              </w:rPr>
              <w:t>⚫</w:t>
            </w:r>
          </w:p>
        </w:tc>
      </w:tr>
      <w:tr w:rsidR="00295B22" w:rsidRPr="005359EE" w14:paraId="3B3B9E84" w14:textId="77777777" w:rsidTr="00861F97">
        <w:tc>
          <w:tcPr>
            <w:tcW w:w="2814" w:type="dxa"/>
            <w:tcBorders>
              <w:top w:val="nil"/>
              <w:left w:val="nil"/>
              <w:bottom w:val="nil"/>
              <w:right w:val="single" w:sz="4" w:space="0" w:color="auto"/>
            </w:tcBorders>
            <w:shd w:val="clear" w:color="auto" w:fill="auto"/>
          </w:tcPr>
          <w:p w14:paraId="762108D6" w14:textId="5CEF8976" w:rsidR="00295B22" w:rsidRPr="005359EE" w:rsidRDefault="00295B22" w:rsidP="00861F97">
            <w:pPr>
              <w:ind w:left="164"/>
              <w:rPr>
                <w:sz w:val="16"/>
                <w:szCs w:val="16"/>
                <w:lang w:val="en-US"/>
              </w:rPr>
            </w:pPr>
            <w:r w:rsidRPr="005359EE">
              <w:rPr>
                <w:sz w:val="16"/>
                <w:szCs w:val="16"/>
                <w:lang w:val="en-US"/>
              </w:rPr>
              <w:t>Medium</w:t>
            </w:r>
          </w:p>
        </w:tc>
        <w:tc>
          <w:tcPr>
            <w:tcW w:w="872" w:type="dxa"/>
            <w:tcBorders>
              <w:top w:val="nil"/>
              <w:left w:val="single" w:sz="4" w:space="0" w:color="auto"/>
              <w:bottom w:val="nil"/>
              <w:right w:val="nil"/>
            </w:tcBorders>
            <w:shd w:val="clear" w:color="auto" w:fill="auto"/>
          </w:tcPr>
          <w:p w14:paraId="6C5CF539" w14:textId="5E30A9DD" w:rsidR="00295B22" w:rsidRPr="005359EE" w:rsidRDefault="00295B22" w:rsidP="00861F97">
            <w:pPr>
              <w:jc w:val="center"/>
              <w:rPr>
                <w:sz w:val="16"/>
                <w:szCs w:val="16"/>
                <w:lang w:val="en-US"/>
              </w:rPr>
            </w:pPr>
            <w:r w:rsidRPr="005359EE">
              <w:rPr>
                <w:sz w:val="16"/>
                <w:szCs w:val="16"/>
                <w:lang w:val="en-US"/>
              </w:rPr>
              <w:t>0.048</w:t>
            </w:r>
          </w:p>
        </w:tc>
        <w:tc>
          <w:tcPr>
            <w:tcW w:w="1134" w:type="dxa"/>
            <w:tcBorders>
              <w:top w:val="nil"/>
              <w:left w:val="nil"/>
              <w:bottom w:val="nil"/>
              <w:right w:val="single" w:sz="4" w:space="0" w:color="auto"/>
            </w:tcBorders>
            <w:shd w:val="clear" w:color="auto" w:fill="auto"/>
          </w:tcPr>
          <w:p w14:paraId="453872BC" w14:textId="0B55A276" w:rsidR="00295B22" w:rsidRPr="005359EE" w:rsidRDefault="00295B22" w:rsidP="00861F97">
            <w:pPr>
              <w:jc w:val="center"/>
              <w:rPr>
                <w:sz w:val="16"/>
                <w:szCs w:val="16"/>
                <w:lang w:val="en-US"/>
              </w:rPr>
            </w:pPr>
            <w:r w:rsidRPr="005359EE">
              <w:rPr>
                <w:sz w:val="16"/>
                <w:szCs w:val="16"/>
                <w:lang w:val="en-US"/>
              </w:rPr>
              <w:t>1.000</w:t>
            </w:r>
          </w:p>
        </w:tc>
        <w:tc>
          <w:tcPr>
            <w:tcW w:w="1868" w:type="dxa"/>
            <w:tcBorders>
              <w:top w:val="nil"/>
              <w:left w:val="single" w:sz="4" w:space="0" w:color="auto"/>
              <w:bottom w:val="nil"/>
              <w:right w:val="nil"/>
            </w:tcBorders>
            <w:shd w:val="clear" w:color="auto" w:fill="auto"/>
            <w:vAlign w:val="center"/>
          </w:tcPr>
          <w:p w14:paraId="21F4506D" w14:textId="77777777" w:rsidR="00295B22" w:rsidRPr="005359EE" w:rsidRDefault="00295B22" w:rsidP="00861F97">
            <w:pPr>
              <w:jc w:val="center"/>
              <w:rPr>
                <w:rFonts w:ascii="Cambria Math" w:hAnsi="Cambria Math" w:cs="Cambria Math"/>
                <w:color w:val="4D5156"/>
                <w:sz w:val="18"/>
                <w:szCs w:val="18"/>
                <w:shd w:val="clear" w:color="auto" w:fill="FFFFFF"/>
                <w:lang w:val="en-US"/>
              </w:rPr>
            </w:pPr>
          </w:p>
        </w:tc>
        <w:tc>
          <w:tcPr>
            <w:tcW w:w="2379" w:type="dxa"/>
            <w:tcBorders>
              <w:top w:val="nil"/>
              <w:left w:val="nil"/>
              <w:bottom w:val="nil"/>
              <w:right w:val="nil"/>
            </w:tcBorders>
            <w:vAlign w:val="center"/>
          </w:tcPr>
          <w:p w14:paraId="7D9AEB23" w14:textId="77777777" w:rsidR="00295B22" w:rsidRPr="005359EE" w:rsidRDefault="00295B22" w:rsidP="00861F97">
            <w:pPr>
              <w:jc w:val="center"/>
              <w:rPr>
                <w:sz w:val="16"/>
                <w:szCs w:val="16"/>
                <w:lang w:val="en-US"/>
              </w:rPr>
            </w:pPr>
          </w:p>
        </w:tc>
      </w:tr>
      <w:tr w:rsidR="00295B22" w:rsidRPr="005359EE" w14:paraId="7A8E185E" w14:textId="77777777" w:rsidTr="00861F97">
        <w:tc>
          <w:tcPr>
            <w:tcW w:w="2814" w:type="dxa"/>
            <w:tcBorders>
              <w:top w:val="nil"/>
              <w:left w:val="nil"/>
              <w:bottom w:val="nil"/>
              <w:right w:val="single" w:sz="4" w:space="0" w:color="auto"/>
            </w:tcBorders>
            <w:shd w:val="clear" w:color="auto" w:fill="auto"/>
          </w:tcPr>
          <w:p w14:paraId="7A87A7AC" w14:textId="6E60E426" w:rsidR="00295B22" w:rsidRPr="005359EE" w:rsidRDefault="00295B22" w:rsidP="00861F97">
            <w:pPr>
              <w:ind w:left="164"/>
              <w:rPr>
                <w:sz w:val="16"/>
                <w:szCs w:val="16"/>
                <w:lang w:val="en-US"/>
              </w:rPr>
            </w:pPr>
            <w:r w:rsidRPr="005359EE">
              <w:rPr>
                <w:sz w:val="16"/>
                <w:szCs w:val="16"/>
                <w:lang w:val="en-US"/>
              </w:rPr>
              <w:t>High</w:t>
            </w:r>
          </w:p>
        </w:tc>
        <w:tc>
          <w:tcPr>
            <w:tcW w:w="872" w:type="dxa"/>
            <w:tcBorders>
              <w:top w:val="nil"/>
              <w:left w:val="single" w:sz="4" w:space="0" w:color="auto"/>
              <w:bottom w:val="nil"/>
              <w:right w:val="nil"/>
            </w:tcBorders>
            <w:shd w:val="clear" w:color="auto" w:fill="auto"/>
          </w:tcPr>
          <w:p w14:paraId="41386CF8" w14:textId="1EB445A7" w:rsidR="00295B22" w:rsidRPr="005359EE" w:rsidRDefault="00295B22" w:rsidP="00861F97">
            <w:pPr>
              <w:jc w:val="center"/>
              <w:rPr>
                <w:sz w:val="16"/>
                <w:szCs w:val="16"/>
                <w:lang w:val="en-US"/>
              </w:rPr>
            </w:pPr>
            <w:r w:rsidRPr="005359EE">
              <w:rPr>
                <w:sz w:val="16"/>
                <w:szCs w:val="16"/>
                <w:lang w:val="en-US"/>
              </w:rPr>
              <w:t>0.000</w:t>
            </w:r>
          </w:p>
        </w:tc>
        <w:tc>
          <w:tcPr>
            <w:tcW w:w="1134" w:type="dxa"/>
            <w:tcBorders>
              <w:top w:val="nil"/>
              <w:left w:val="nil"/>
              <w:bottom w:val="nil"/>
              <w:right w:val="single" w:sz="4" w:space="0" w:color="auto"/>
            </w:tcBorders>
            <w:shd w:val="clear" w:color="auto" w:fill="auto"/>
          </w:tcPr>
          <w:p w14:paraId="2CB9324C" w14:textId="3F378927" w:rsidR="00295B22" w:rsidRPr="005359EE" w:rsidRDefault="00295B22" w:rsidP="00861F97">
            <w:pPr>
              <w:jc w:val="center"/>
              <w:rPr>
                <w:sz w:val="16"/>
                <w:szCs w:val="16"/>
                <w:lang w:val="en-US"/>
              </w:rPr>
            </w:pPr>
            <w:r w:rsidRPr="005359EE">
              <w:rPr>
                <w:sz w:val="16"/>
                <w:szCs w:val="16"/>
                <w:lang w:val="en-US"/>
              </w:rPr>
              <w:t>1.000</w:t>
            </w:r>
          </w:p>
        </w:tc>
        <w:tc>
          <w:tcPr>
            <w:tcW w:w="1868" w:type="dxa"/>
            <w:tcBorders>
              <w:top w:val="nil"/>
              <w:left w:val="single" w:sz="4" w:space="0" w:color="auto"/>
              <w:bottom w:val="nil"/>
              <w:right w:val="nil"/>
            </w:tcBorders>
            <w:shd w:val="clear" w:color="auto" w:fill="auto"/>
            <w:vAlign w:val="center"/>
          </w:tcPr>
          <w:p w14:paraId="2FBCEA6D" w14:textId="77777777" w:rsidR="00295B22" w:rsidRPr="005359EE" w:rsidRDefault="00295B22" w:rsidP="00861F97">
            <w:pPr>
              <w:jc w:val="center"/>
              <w:rPr>
                <w:rFonts w:ascii="Cambria Math" w:hAnsi="Cambria Math" w:cs="Cambria Math"/>
                <w:color w:val="4D5156"/>
                <w:sz w:val="18"/>
                <w:szCs w:val="18"/>
                <w:shd w:val="clear" w:color="auto" w:fill="FFFFFF"/>
                <w:lang w:val="en-US"/>
              </w:rPr>
            </w:pPr>
          </w:p>
        </w:tc>
        <w:tc>
          <w:tcPr>
            <w:tcW w:w="2379" w:type="dxa"/>
            <w:tcBorders>
              <w:top w:val="nil"/>
              <w:left w:val="nil"/>
              <w:bottom w:val="nil"/>
              <w:right w:val="nil"/>
            </w:tcBorders>
            <w:vAlign w:val="center"/>
          </w:tcPr>
          <w:p w14:paraId="53518CA9" w14:textId="77777777" w:rsidR="00295B22" w:rsidRPr="005359EE" w:rsidRDefault="00295B22" w:rsidP="00861F97">
            <w:pPr>
              <w:jc w:val="center"/>
              <w:rPr>
                <w:sz w:val="16"/>
                <w:szCs w:val="16"/>
                <w:lang w:val="en-US"/>
              </w:rPr>
            </w:pPr>
          </w:p>
        </w:tc>
      </w:tr>
      <w:tr w:rsidR="00295B22" w:rsidRPr="005359EE" w14:paraId="2A63BB3A" w14:textId="77777777" w:rsidTr="00861F97">
        <w:tc>
          <w:tcPr>
            <w:tcW w:w="2814" w:type="dxa"/>
            <w:tcBorders>
              <w:top w:val="nil"/>
              <w:left w:val="nil"/>
              <w:bottom w:val="nil"/>
              <w:right w:val="single" w:sz="4" w:space="0" w:color="auto"/>
            </w:tcBorders>
            <w:shd w:val="clear" w:color="auto" w:fill="auto"/>
          </w:tcPr>
          <w:p w14:paraId="5E760C61" w14:textId="2D92D122" w:rsidR="00295B22" w:rsidRPr="005359EE" w:rsidRDefault="00295B22" w:rsidP="00861F97">
            <w:pPr>
              <w:ind w:left="164"/>
              <w:rPr>
                <w:sz w:val="16"/>
                <w:szCs w:val="16"/>
                <w:lang w:val="en-US"/>
              </w:rPr>
            </w:pPr>
            <w:r w:rsidRPr="005359EE">
              <w:rPr>
                <w:sz w:val="16"/>
                <w:szCs w:val="16"/>
                <w:lang w:val="en-US"/>
              </w:rPr>
              <w:t>Very high</w:t>
            </w:r>
          </w:p>
        </w:tc>
        <w:tc>
          <w:tcPr>
            <w:tcW w:w="872" w:type="dxa"/>
            <w:tcBorders>
              <w:top w:val="nil"/>
              <w:left w:val="single" w:sz="4" w:space="0" w:color="auto"/>
              <w:bottom w:val="nil"/>
              <w:right w:val="nil"/>
            </w:tcBorders>
            <w:shd w:val="clear" w:color="auto" w:fill="auto"/>
          </w:tcPr>
          <w:p w14:paraId="71C5DC4C" w14:textId="19BA37D9" w:rsidR="00295B22" w:rsidRPr="005359EE" w:rsidRDefault="00295B22" w:rsidP="00861F97">
            <w:pPr>
              <w:jc w:val="center"/>
              <w:rPr>
                <w:sz w:val="16"/>
                <w:szCs w:val="16"/>
                <w:lang w:val="en-US"/>
              </w:rPr>
            </w:pPr>
            <w:r w:rsidRPr="005359EE">
              <w:rPr>
                <w:sz w:val="16"/>
                <w:szCs w:val="16"/>
                <w:lang w:val="en-US"/>
              </w:rPr>
              <w:t>0.000</w:t>
            </w:r>
          </w:p>
        </w:tc>
        <w:tc>
          <w:tcPr>
            <w:tcW w:w="1134" w:type="dxa"/>
            <w:tcBorders>
              <w:top w:val="nil"/>
              <w:left w:val="nil"/>
              <w:bottom w:val="nil"/>
              <w:right w:val="single" w:sz="4" w:space="0" w:color="auto"/>
            </w:tcBorders>
            <w:shd w:val="clear" w:color="auto" w:fill="auto"/>
          </w:tcPr>
          <w:p w14:paraId="4EA14180" w14:textId="6BD264BF" w:rsidR="00295B22" w:rsidRPr="005359EE" w:rsidRDefault="00295B22" w:rsidP="00861F97">
            <w:pPr>
              <w:jc w:val="center"/>
              <w:rPr>
                <w:sz w:val="16"/>
                <w:szCs w:val="16"/>
                <w:lang w:val="en-US"/>
              </w:rPr>
            </w:pPr>
            <w:r w:rsidRPr="005359EE">
              <w:rPr>
                <w:sz w:val="16"/>
                <w:szCs w:val="16"/>
                <w:lang w:val="en-US"/>
              </w:rPr>
              <w:t>1.000</w:t>
            </w:r>
          </w:p>
        </w:tc>
        <w:tc>
          <w:tcPr>
            <w:tcW w:w="1868" w:type="dxa"/>
            <w:tcBorders>
              <w:top w:val="nil"/>
              <w:left w:val="single" w:sz="4" w:space="0" w:color="auto"/>
              <w:bottom w:val="nil"/>
              <w:right w:val="nil"/>
            </w:tcBorders>
            <w:shd w:val="clear" w:color="auto" w:fill="auto"/>
            <w:vAlign w:val="center"/>
          </w:tcPr>
          <w:p w14:paraId="000FC613" w14:textId="77777777" w:rsidR="00295B22" w:rsidRPr="005359EE" w:rsidRDefault="00295B22" w:rsidP="00861F97">
            <w:pPr>
              <w:jc w:val="center"/>
              <w:rPr>
                <w:rFonts w:ascii="Cambria Math" w:hAnsi="Cambria Math" w:cs="Cambria Math"/>
                <w:color w:val="4D5156"/>
                <w:sz w:val="18"/>
                <w:szCs w:val="18"/>
                <w:shd w:val="clear" w:color="auto" w:fill="FFFFFF"/>
                <w:lang w:val="en-US"/>
              </w:rPr>
            </w:pPr>
          </w:p>
        </w:tc>
        <w:tc>
          <w:tcPr>
            <w:tcW w:w="2379" w:type="dxa"/>
            <w:tcBorders>
              <w:top w:val="nil"/>
              <w:left w:val="nil"/>
              <w:bottom w:val="nil"/>
              <w:right w:val="nil"/>
            </w:tcBorders>
            <w:vAlign w:val="center"/>
          </w:tcPr>
          <w:p w14:paraId="29227809" w14:textId="77777777" w:rsidR="00295B22" w:rsidRPr="005359EE" w:rsidRDefault="00295B22" w:rsidP="00861F97">
            <w:pPr>
              <w:jc w:val="center"/>
              <w:rPr>
                <w:sz w:val="16"/>
                <w:szCs w:val="16"/>
                <w:lang w:val="en-US"/>
              </w:rPr>
            </w:pPr>
          </w:p>
        </w:tc>
      </w:tr>
      <w:tr w:rsidR="00022553" w:rsidRPr="005359EE" w14:paraId="636EF012" w14:textId="77777777" w:rsidTr="00861F97">
        <w:tc>
          <w:tcPr>
            <w:tcW w:w="2814" w:type="dxa"/>
            <w:tcBorders>
              <w:top w:val="single" w:sz="4" w:space="0" w:color="auto"/>
              <w:left w:val="nil"/>
              <w:bottom w:val="nil"/>
              <w:right w:val="nil"/>
            </w:tcBorders>
          </w:tcPr>
          <w:p w14:paraId="0DE795AE" w14:textId="77777777" w:rsidR="00022553" w:rsidRPr="005359EE" w:rsidRDefault="00022553" w:rsidP="00861F97">
            <w:pPr>
              <w:rPr>
                <w:sz w:val="16"/>
                <w:szCs w:val="16"/>
                <w:lang w:val="en-US"/>
              </w:rPr>
            </w:pPr>
            <w:r w:rsidRPr="005359EE">
              <w:rPr>
                <w:sz w:val="16"/>
                <w:szCs w:val="16"/>
                <w:lang w:val="en-US"/>
              </w:rPr>
              <w:t>Consistency*</w:t>
            </w:r>
          </w:p>
        </w:tc>
        <w:tc>
          <w:tcPr>
            <w:tcW w:w="872" w:type="dxa"/>
            <w:tcBorders>
              <w:top w:val="single" w:sz="4" w:space="0" w:color="auto"/>
              <w:left w:val="nil"/>
              <w:bottom w:val="nil"/>
              <w:right w:val="nil"/>
            </w:tcBorders>
          </w:tcPr>
          <w:p w14:paraId="0865E5D1" w14:textId="77777777" w:rsidR="00022553" w:rsidRPr="005359EE" w:rsidRDefault="00022553" w:rsidP="00861F97">
            <w:pPr>
              <w:jc w:val="center"/>
              <w:rPr>
                <w:sz w:val="16"/>
                <w:szCs w:val="16"/>
                <w:lang w:val="en-US"/>
              </w:rPr>
            </w:pPr>
          </w:p>
        </w:tc>
        <w:tc>
          <w:tcPr>
            <w:tcW w:w="1134" w:type="dxa"/>
            <w:tcBorders>
              <w:top w:val="single" w:sz="4" w:space="0" w:color="auto"/>
              <w:left w:val="nil"/>
              <w:bottom w:val="nil"/>
              <w:right w:val="nil"/>
            </w:tcBorders>
          </w:tcPr>
          <w:p w14:paraId="482E3FD8" w14:textId="77777777" w:rsidR="00022553" w:rsidRPr="005359EE" w:rsidRDefault="00022553" w:rsidP="00861F97">
            <w:pPr>
              <w:jc w:val="center"/>
              <w:rPr>
                <w:sz w:val="16"/>
                <w:szCs w:val="16"/>
                <w:lang w:val="en-US"/>
              </w:rPr>
            </w:pPr>
          </w:p>
        </w:tc>
        <w:tc>
          <w:tcPr>
            <w:tcW w:w="1868" w:type="dxa"/>
            <w:tcBorders>
              <w:top w:val="single" w:sz="4" w:space="0" w:color="auto"/>
              <w:left w:val="nil"/>
              <w:bottom w:val="nil"/>
              <w:right w:val="nil"/>
            </w:tcBorders>
          </w:tcPr>
          <w:p w14:paraId="00C86CF9" w14:textId="6808D599" w:rsidR="00022553" w:rsidRPr="005359EE" w:rsidRDefault="00022553" w:rsidP="00861F97">
            <w:pPr>
              <w:jc w:val="center"/>
              <w:rPr>
                <w:sz w:val="16"/>
                <w:szCs w:val="16"/>
                <w:lang w:val="en-US"/>
              </w:rPr>
            </w:pPr>
            <w:r w:rsidRPr="005359EE">
              <w:rPr>
                <w:sz w:val="16"/>
                <w:szCs w:val="16"/>
                <w:lang w:val="en-US"/>
              </w:rPr>
              <w:t>0.262</w:t>
            </w:r>
          </w:p>
        </w:tc>
        <w:tc>
          <w:tcPr>
            <w:tcW w:w="2379" w:type="dxa"/>
            <w:tcBorders>
              <w:top w:val="single" w:sz="4" w:space="0" w:color="auto"/>
              <w:left w:val="nil"/>
              <w:bottom w:val="nil"/>
              <w:right w:val="nil"/>
            </w:tcBorders>
          </w:tcPr>
          <w:p w14:paraId="117C2A49" w14:textId="7F02192E" w:rsidR="00022553" w:rsidRPr="005359EE" w:rsidRDefault="00022553" w:rsidP="00861F97">
            <w:pPr>
              <w:jc w:val="center"/>
              <w:rPr>
                <w:sz w:val="16"/>
                <w:szCs w:val="16"/>
                <w:lang w:val="en-US"/>
              </w:rPr>
            </w:pPr>
            <w:r w:rsidRPr="005359EE">
              <w:rPr>
                <w:sz w:val="16"/>
                <w:szCs w:val="16"/>
                <w:lang w:val="en-US"/>
              </w:rPr>
              <w:t>0.357</w:t>
            </w:r>
          </w:p>
        </w:tc>
      </w:tr>
      <w:tr w:rsidR="00022553" w:rsidRPr="005359EE" w14:paraId="5BBECE59" w14:textId="77777777" w:rsidTr="00861F97">
        <w:tc>
          <w:tcPr>
            <w:tcW w:w="4820" w:type="dxa"/>
            <w:gridSpan w:val="3"/>
            <w:tcBorders>
              <w:top w:val="nil"/>
              <w:left w:val="nil"/>
              <w:bottom w:val="nil"/>
              <w:right w:val="nil"/>
            </w:tcBorders>
          </w:tcPr>
          <w:p w14:paraId="31FCD7EA" w14:textId="77777777" w:rsidR="00022553" w:rsidRPr="005359EE" w:rsidRDefault="00022553" w:rsidP="00861F97">
            <w:pPr>
              <w:rPr>
                <w:sz w:val="16"/>
                <w:szCs w:val="16"/>
                <w:lang w:val="en-US"/>
              </w:rPr>
            </w:pPr>
            <w:r w:rsidRPr="005359EE">
              <w:rPr>
                <w:sz w:val="16"/>
                <w:szCs w:val="16"/>
                <w:lang w:val="en-US"/>
              </w:rPr>
              <w:t>Coverage**</w:t>
            </w:r>
          </w:p>
        </w:tc>
        <w:tc>
          <w:tcPr>
            <w:tcW w:w="1868" w:type="dxa"/>
            <w:tcBorders>
              <w:top w:val="nil"/>
              <w:left w:val="nil"/>
              <w:bottom w:val="single" w:sz="4" w:space="0" w:color="auto"/>
              <w:right w:val="nil"/>
            </w:tcBorders>
          </w:tcPr>
          <w:p w14:paraId="6BCD84C9" w14:textId="0BC5968C" w:rsidR="00022553" w:rsidRPr="005359EE" w:rsidRDefault="00022553" w:rsidP="00861F97">
            <w:pPr>
              <w:jc w:val="center"/>
              <w:rPr>
                <w:sz w:val="16"/>
                <w:szCs w:val="16"/>
                <w:lang w:val="en-US"/>
              </w:rPr>
            </w:pPr>
            <w:r w:rsidRPr="005359EE">
              <w:rPr>
                <w:sz w:val="16"/>
                <w:szCs w:val="16"/>
                <w:lang w:val="en-US"/>
              </w:rPr>
              <w:t>1.000</w:t>
            </w:r>
          </w:p>
        </w:tc>
        <w:tc>
          <w:tcPr>
            <w:tcW w:w="2379" w:type="dxa"/>
            <w:tcBorders>
              <w:top w:val="nil"/>
              <w:left w:val="nil"/>
              <w:bottom w:val="single" w:sz="4" w:space="0" w:color="auto"/>
              <w:right w:val="nil"/>
            </w:tcBorders>
          </w:tcPr>
          <w:p w14:paraId="39A0753F" w14:textId="62DFEE12" w:rsidR="00022553" w:rsidRPr="005359EE" w:rsidRDefault="00022553" w:rsidP="00861F97">
            <w:pPr>
              <w:jc w:val="center"/>
              <w:rPr>
                <w:sz w:val="16"/>
                <w:szCs w:val="16"/>
                <w:lang w:val="en-US"/>
              </w:rPr>
            </w:pPr>
            <w:r w:rsidRPr="005359EE">
              <w:rPr>
                <w:sz w:val="16"/>
                <w:szCs w:val="16"/>
                <w:lang w:val="en-US"/>
              </w:rPr>
              <w:t>0.970</w:t>
            </w:r>
          </w:p>
        </w:tc>
      </w:tr>
      <w:tr w:rsidR="00295B22" w:rsidRPr="005359EE" w14:paraId="774DE989" w14:textId="77777777" w:rsidTr="00861F97">
        <w:tc>
          <w:tcPr>
            <w:tcW w:w="3686" w:type="dxa"/>
            <w:gridSpan w:val="2"/>
            <w:tcBorders>
              <w:top w:val="nil"/>
              <w:left w:val="nil"/>
              <w:bottom w:val="nil"/>
              <w:right w:val="nil"/>
            </w:tcBorders>
          </w:tcPr>
          <w:p w14:paraId="41FF0BB7" w14:textId="77777777" w:rsidR="00295B22" w:rsidRPr="005359EE" w:rsidRDefault="00295B22" w:rsidP="00861F97">
            <w:pPr>
              <w:rPr>
                <w:sz w:val="16"/>
                <w:szCs w:val="16"/>
                <w:lang w:val="en-US"/>
              </w:rPr>
            </w:pPr>
            <w:r w:rsidRPr="005359EE">
              <w:rPr>
                <w:sz w:val="16"/>
                <w:szCs w:val="16"/>
                <w:lang w:val="en-US"/>
              </w:rPr>
              <w:t>Overall solution consistency</w:t>
            </w:r>
          </w:p>
        </w:tc>
        <w:tc>
          <w:tcPr>
            <w:tcW w:w="1134" w:type="dxa"/>
            <w:tcBorders>
              <w:top w:val="nil"/>
              <w:left w:val="nil"/>
              <w:bottom w:val="nil"/>
              <w:right w:val="nil"/>
            </w:tcBorders>
          </w:tcPr>
          <w:p w14:paraId="70714E15" w14:textId="77777777" w:rsidR="00295B22" w:rsidRPr="005359EE" w:rsidRDefault="00295B22" w:rsidP="00861F97">
            <w:pPr>
              <w:jc w:val="center"/>
              <w:rPr>
                <w:sz w:val="16"/>
                <w:szCs w:val="16"/>
                <w:lang w:val="en-US"/>
              </w:rPr>
            </w:pPr>
          </w:p>
        </w:tc>
        <w:tc>
          <w:tcPr>
            <w:tcW w:w="4247" w:type="dxa"/>
            <w:gridSpan w:val="2"/>
            <w:tcBorders>
              <w:top w:val="nil"/>
              <w:left w:val="nil"/>
              <w:bottom w:val="nil"/>
              <w:right w:val="nil"/>
            </w:tcBorders>
          </w:tcPr>
          <w:p w14:paraId="45CD7D54" w14:textId="40715C12" w:rsidR="00295B22" w:rsidRPr="005359EE" w:rsidRDefault="00022553" w:rsidP="00861F97">
            <w:pPr>
              <w:jc w:val="center"/>
              <w:rPr>
                <w:sz w:val="16"/>
                <w:szCs w:val="16"/>
                <w:lang w:val="en-US"/>
              </w:rPr>
            </w:pPr>
            <w:r w:rsidRPr="005359EE">
              <w:rPr>
                <w:sz w:val="16"/>
                <w:szCs w:val="16"/>
                <w:lang w:val="en-US"/>
              </w:rPr>
              <w:t>0.619</w:t>
            </w:r>
          </w:p>
        </w:tc>
      </w:tr>
      <w:tr w:rsidR="00295B22" w:rsidRPr="005359EE" w14:paraId="733D6E9D" w14:textId="77777777" w:rsidTr="00861F97">
        <w:tc>
          <w:tcPr>
            <w:tcW w:w="2814" w:type="dxa"/>
            <w:tcBorders>
              <w:top w:val="nil"/>
              <w:left w:val="nil"/>
              <w:bottom w:val="single" w:sz="4" w:space="0" w:color="auto"/>
              <w:right w:val="nil"/>
            </w:tcBorders>
          </w:tcPr>
          <w:p w14:paraId="03052DCD" w14:textId="77777777" w:rsidR="00295B22" w:rsidRPr="005359EE" w:rsidRDefault="00295B22" w:rsidP="00861F97">
            <w:pPr>
              <w:rPr>
                <w:sz w:val="16"/>
                <w:szCs w:val="16"/>
                <w:lang w:val="en-US"/>
              </w:rPr>
            </w:pPr>
            <w:r w:rsidRPr="005359EE">
              <w:rPr>
                <w:sz w:val="16"/>
                <w:szCs w:val="16"/>
                <w:lang w:val="en-US"/>
              </w:rPr>
              <w:t>Overall solution coverage</w:t>
            </w:r>
          </w:p>
        </w:tc>
        <w:tc>
          <w:tcPr>
            <w:tcW w:w="872" w:type="dxa"/>
            <w:tcBorders>
              <w:top w:val="nil"/>
              <w:left w:val="nil"/>
              <w:bottom w:val="single" w:sz="4" w:space="0" w:color="auto"/>
              <w:right w:val="nil"/>
            </w:tcBorders>
          </w:tcPr>
          <w:p w14:paraId="78BABCDA" w14:textId="77777777" w:rsidR="00295B22" w:rsidRPr="005359EE" w:rsidRDefault="00295B22" w:rsidP="00861F97">
            <w:pPr>
              <w:jc w:val="center"/>
              <w:rPr>
                <w:b/>
                <w:bCs/>
                <w:sz w:val="16"/>
                <w:szCs w:val="16"/>
                <w:lang w:val="en-US"/>
              </w:rPr>
            </w:pPr>
          </w:p>
        </w:tc>
        <w:tc>
          <w:tcPr>
            <w:tcW w:w="1134" w:type="dxa"/>
            <w:tcBorders>
              <w:top w:val="nil"/>
              <w:left w:val="nil"/>
              <w:bottom w:val="nil"/>
              <w:right w:val="nil"/>
            </w:tcBorders>
          </w:tcPr>
          <w:p w14:paraId="2EEBFDEC" w14:textId="77777777" w:rsidR="00295B22" w:rsidRPr="005359EE" w:rsidRDefault="00295B22" w:rsidP="00861F97">
            <w:pPr>
              <w:jc w:val="center"/>
              <w:rPr>
                <w:sz w:val="16"/>
                <w:szCs w:val="16"/>
                <w:lang w:val="en-US"/>
              </w:rPr>
            </w:pPr>
          </w:p>
        </w:tc>
        <w:tc>
          <w:tcPr>
            <w:tcW w:w="4247" w:type="dxa"/>
            <w:gridSpan w:val="2"/>
            <w:tcBorders>
              <w:top w:val="nil"/>
              <w:left w:val="nil"/>
              <w:bottom w:val="nil"/>
              <w:right w:val="nil"/>
            </w:tcBorders>
          </w:tcPr>
          <w:p w14:paraId="2E79018E" w14:textId="30A969F1" w:rsidR="00295B22" w:rsidRPr="005359EE" w:rsidRDefault="00295B22" w:rsidP="00861F97">
            <w:pPr>
              <w:jc w:val="center"/>
              <w:rPr>
                <w:sz w:val="16"/>
                <w:szCs w:val="16"/>
                <w:lang w:val="en-US"/>
              </w:rPr>
            </w:pPr>
          </w:p>
        </w:tc>
      </w:tr>
      <w:tr w:rsidR="00295B22" w:rsidRPr="00AF682F" w14:paraId="273B47B8" w14:textId="77777777" w:rsidTr="00861F97">
        <w:tc>
          <w:tcPr>
            <w:tcW w:w="9067" w:type="dxa"/>
            <w:gridSpan w:val="5"/>
            <w:tcBorders>
              <w:top w:val="single" w:sz="4" w:space="0" w:color="auto"/>
              <w:left w:val="nil"/>
              <w:bottom w:val="single" w:sz="4" w:space="0" w:color="auto"/>
              <w:right w:val="nil"/>
            </w:tcBorders>
          </w:tcPr>
          <w:p w14:paraId="16C9688F" w14:textId="2A6082E1" w:rsidR="00295B22" w:rsidRPr="005359EE" w:rsidRDefault="00295B22" w:rsidP="00861F97">
            <w:pPr>
              <w:jc w:val="both"/>
              <w:rPr>
                <w:sz w:val="16"/>
                <w:szCs w:val="16"/>
                <w:lang w:val="en-US"/>
              </w:rPr>
            </w:pPr>
            <w:r w:rsidRPr="005359EE">
              <w:rPr>
                <w:sz w:val="16"/>
                <w:szCs w:val="16"/>
                <w:lang w:val="en-US"/>
              </w:rPr>
              <w:t xml:space="preserve">* The consistency score reflects the successful start-ups in the </w:t>
            </w:r>
            <w:r w:rsidR="001D1CD9" w:rsidRPr="005359EE">
              <w:rPr>
                <w:sz w:val="16"/>
                <w:szCs w:val="16"/>
                <w:lang w:val="en-US"/>
              </w:rPr>
              <w:t>supply</w:t>
            </w:r>
            <w:r w:rsidR="008A1591" w:rsidRPr="005359EE">
              <w:rPr>
                <w:sz w:val="16"/>
                <w:szCs w:val="16"/>
                <w:lang w:val="en-US"/>
              </w:rPr>
              <w:t xml:space="preserve"> </w:t>
            </w:r>
            <w:r w:rsidRPr="005359EE">
              <w:rPr>
                <w:sz w:val="16"/>
                <w:szCs w:val="16"/>
                <w:lang w:val="en-US"/>
              </w:rPr>
              <w:t>configuration in proportion to the total number of successful start-ups.</w:t>
            </w:r>
          </w:p>
          <w:p w14:paraId="47BD029A" w14:textId="77777777" w:rsidR="00295B22" w:rsidRPr="005359EE" w:rsidRDefault="00295B22" w:rsidP="00861F97">
            <w:pPr>
              <w:jc w:val="both"/>
              <w:rPr>
                <w:sz w:val="16"/>
                <w:szCs w:val="16"/>
                <w:lang w:val="en-US"/>
              </w:rPr>
            </w:pPr>
            <w:r w:rsidRPr="005359EE">
              <w:rPr>
                <w:sz w:val="16"/>
                <w:szCs w:val="16"/>
                <w:lang w:val="en-US"/>
              </w:rPr>
              <w:t>** The coverage score indicates the proportion of successful start-ups in the configuration.</w:t>
            </w:r>
          </w:p>
          <w:p w14:paraId="3919A0D1" w14:textId="19B9A3A1" w:rsidR="00295B22" w:rsidRPr="005359EE" w:rsidRDefault="00295B22" w:rsidP="00861F97">
            <w:pPr>
              <w:jc w:val="both"/>
              <w:rPr>
                <w:sz w:val="16"/>
                <w:szCs w:val="16"/>
                <w:lang w:val="en-US"/>
              </w:rPr>
            </w:pPr>
            <w:r w:rsidRPr="005359EE">
              <w:rPr>
                <w:b/>
                <w:bCs/>
                <w:sz w:val="16"/>
                <w:szCs w:val="16"/>
                <w:lang w:val="en-US"/>
              </w:rPr>
              <w:t>Legend</w:t>
            </w:r>
            <w:r w:rsidRPr="005359EE">
              <w:rPr>
                <w:sz w:val="16"/>
                <w:szCs w:val="16"/>
                <w:lang w:val="en-US"/>
              </w:rPr>
              <w:t xml:space="preserve">: </w:t>
            </w:r>
            <w:r w:rsidRPr="005359EE">
              <w:rPr>
                <w:rFonts w:ascii="Segoe UI Emoji" w:hAnsi="Segoe UI Emoji" w:cs="Segoe UI Emoji"/>
                <w:sz w:val="14"/>
                <w:szCs w:val="14"/>
                <w:lang w:val="en-US"/>
              </w:rPr>
              <w:t>⚫</w:t>
            </w:r>
            <w:r w:rsidRPr="005359EE">
              <w:rPr>
                <w:rFonts w:ascii="Segoe UI Emoji" w:hAnsi="Segoe UI Emoji" w:cs="Segoe UI Emoji"/>
                <w:sz w:val="16"/>
                <w:szCs w:val="16"/>
                <w:lang w:val="en-US"/>
              </w:rPr>
              <w:t xml:space="preserve"> = </w:t>
            </w:r>
            <w:r w:rsidRPr="005359EE">
              <w:rPr>
                <w:sz w:val="16"/>
                <w:szCs w:val="16"/>
                <w:lang w:val="en-US"/>
              </w:rPr>
              <w:t xml:space="preserve">presence of a core condition; </w:t>
            </w:r>
            <w:r w:rsidRPr="005359EE">
              <w:rPr>
                <w:rFonts w:ascii="Cambria Math" w:hAnsi="Cambria Math" w:cs="Cambria Math"/>
                <w:color w:val="4D5156"/>
                <w:sz w:val="18"/>
                <w:szCs w:val="18"/>
                <w:shd w:val="clear" w:color="auto" w:fill="FFFFFF"/>
                <w:lang w:val="en-US"/>
              </w:rPr>
              <w:t>⊗</w:t>
            </w:r>
            <w:r w:rsidRPr="005359EE">
              <w:rPr>
                <w:rFonts w:ascii="Cambria Math" w:hAnsi="Cambria Math" w:cs="Cambria Math"/>
                <w:color w:val="4D5156"/>
                <w:sz w:val="16"/>
                <w:szCs w:val="16"/>
                <w:shd w:val="clear" w:color="auto" w:fill="FFFFFF"/>
                <w:lang w:val="en-US"/>
              </w:rPr>
              <w:t xml:space="preserve"> </w:t>
            </w:r>
            <w:r w:rsidRPr="005359EE">
              <w:rPr>
                <w:sz w:val="16"/>
                <w:szCs w:val="16"/>
                <w:lang w:val="en-US"/>
              </w:rPr>
              <w:t xml:space="preserve">= absence of a core condition; </w:t>
            </w:r>
            <w:r w:rsidRPr="005359EE">
              <w:rPr>
                <w:rFonts w:ascii="Segoe UI Emoji" w:hAnsi="Segoe UI Emoji" w:cs="Segoe UI Emoji"/>
                <w:sz w:val="8"/>
                <w:szCs w:val="8"/>
                <w:lang w:val="en-US"/>
              </w:rPr>
              <w:t>⚫</w:t>
            </w:r>
            <w:r w:rsidRPr="005359EE">
              <w:rPr>
                <w:rFonts w:ascii="Segoe UI Emoji" w:hAnsi="Segoe UI Emoji" w:cs="Segoe UI Emoji"/>
                <w:sz w:val="16"/>
                <w:szCs w:val="16"/>
                <w:lang w:val="en-US"/>
              </w:rPr>
              <w:t xml:space="preserve"> = </w:t>
            </w:r>
            <w:r w:rsidRPr="005359EE">
              <w:rPr>
                <w:sz w:val="16"/>
                <w:szCs w:val="16"/>
                <w:lang w:val="en-US"/>
              </w:rPr>
              <w:t xml:space="preserve">presence of a peripheral condition; </w:t>
            </w:r>
            <w:r w:rsidRPr="005359EE">
              <w:rPr>
                <w:rFonts w:ascii="Cambria Math" w:hAnsi="Cambria Math" w:cs="Cambria Math"/>
                <w:color w:val="4D5156"/>
                <w:sz w:val="12"/>
                <w:szCs w:val="12"/>
                <w:shd w:val="clear" w:color="auto" w:fill="FFFFFF"/>
                <w:lang w:val="en-US"/>
              </w:rPr>
              <w:t>⊗</w:t>
            </w:r>
            <w:r w:rsidRPr="005359EE">
              <w:rPr>
                <w:rFonts w:ascii="Cambria Math" w:hAnsi="Cambria Math" w:cs="Cambria Math"/>
                <w:color w:val="4D5156"/>
                <w:sz w:val="16"/>
                <w:szCs w:val="16"/>
                <w:shd w:val="clear" w:color="auto" w:fill="FFFFFF"/>
                <w:lang w:val="en-US"/>
              </w:rPr>
              <w:t xml:space="preserve"> </w:t>
            </w:r>
            <w:r w:rsidRPr="005359EE">
              <w:rPr>
                <w:sz w:val="16"/>
                <w:szCs w:val="16"/>
                <w:lang w:val="en-US"/>
              </w:rPr>
              <w:t>= absence of a core condition</w:t>
            </w:r>
            <w:r w:rsidR="002D1A8E" w:rsidRPr="005359EE">
              <w:rPr>
                <w:sz w:val="16"/>
                <w:szCs w:val="16"/>
                <w:lang w:val="en-US"/>
              </w:rPr>
              <w:t>;</w:t>
            </w:r>
            <w:r w:rsidR="00022553" w:rsidRPr="005359EE">
              <w:rPr>
                <w:sz w:val="16"/>
                <w:szCs w:val="16"/>
                <w:lang w:val="en-US"/>
              </w:rPr>
              <w:t xml:space="preserve"> blank = ‘don’t care’</w:t>
            </w:r>
            <w:r w:rsidRPr="005359EE">
              <w:rPr>
                <w:sz w:val="16"/>
                <w:szCs w:val="16"/>
                <w:lang w:val="en-US"/>
              </w:rPr>
              <w:t>.</w:t>
            </w:r>
          </w:p>
        </w:tc>
      </w:tr>
    </w:tbl>
    <w:p w14:paraId="444E4ADA" w14:textId="659EFD9A" w:rsidR="00CD661E" w:rsidRPr="007C12DD" w:rsidRDefault="00CD661E" w:rsidP="00CD661E">
      <w:pPr>
        <w:spacing w:after="0"/>
        <w:jc w:val="center"/>
        <w:rPr>
          <w:i/>
          <w:iCs/>
          <w:lang w:val="en-US"/>
        </w:rPr>
      </w:pPr>
      <w:r w:rsidRPr="007C12DD">
        <w:rPr>
          <w:b/>
          <w:bCs/>
          <w:i/>
          <w:iCs/>
          <w:lang w:val="en-US"/>
        </w:rPr>
        <w:t>Table 5.</w:t>
      </w:r>
      <w:r w:rsidRPr="007C12DD">
        <w:rPr>
          <w:i/>
          <w:iCs/>
          <w:lang w:val="en-US"/>
        </w:rPr>
        <w:t xml:space="preserve"> Supply configurations which enable success of manufacturing configuration C: </w:t>
      </w:r>
      <w:r w:rsidR="00F84645" w:rsidRPr="007C12DD">
        <w:rPr>
          <w:i/>
          <w:iCs/>
          <w:lang w:val="en-US"/>
        </w:rPr>
        <w:t>P</w:t>
      </w:r>
      <w:r w:rsidRPr="007C12DD">
        <w:rPr>
          <w:i/>
          <w:iCs/>
          <w:lang w:val="en-US"/>
        </w:rPr>
        <w:t>rocessing</w:t>
      </w:r>
    </w:p>
    <w:p w14:paraId="084C0C28" w14:textId="77777777" w:rsidR="0013028C" w:rsidRPr="007C12DD" w:rsidRDefault="0013028C">
      <w:pPr>
        <w:rPr>
          <w:b/>
          <w:bCs/>
          <w:lang w:val="en-US"/>
        </w:rPr>
      </w:pPr>
    </w:p>
    <w:p w14:paraId="510118C5" w14:textId="556277DD" w:rsidR="00681383" w:rsidRPr="007C12DD" w:rsidRDefault="006D7A2B" w:rsidP="006D7A2B">
      <w:pPr>
        <w:spacing w:after="0"/>
        <w:rPr>
          <w:b/>
          <w:bCs/>
          <w:lang w:val="en-US"/>
        </w:rPr>
      </w:pPr>
      <w:r w:rsidRPr="007C12DD">
        <w:rPr>
          <w:b/>
          <w:bCs/>
          <w:lang w:val="en-US"/>
        </w:rPr>
        <w:t>5. D</w:t>
      </w:r>
      <w:r w:rsidR="00A211AA" w:rsidRPr="007C12DD">
        <w:rPr>
          <w:b/>
          <w:bCs/>
          <w:lang w:val="en-US"/>
        </w:rPr>
        <w:t>iscussion</w:t>
      </w:r>
    </w:p>
    <w:p w14:paraId="206D5906" w14:textId="40389D35" w:rsidR="00EE76FA" w:rsidRPr="007C12DD" w:rsidRDefault="007A6531" w:rsidP="006D7A2B">
      <w:pPr>
        <w:spacing w:after="0"/>
        <w:jc w:val="both"/>
        <w:rPr>
          <w:lang w:val="en-US"/>
        </w:rPr>
      </w:pPr>
      <w:r w:rsidRPr="007C12DD">
        <w:rPr>
          <w:lang w:val="en-US"/>
        </w:rPr>
        <w:t xml:space="preserve">The aim of this paper is to derive insights on </w:t>
      </w:r>
      <w:r w:rsidR="00573B57" w:rsidRPr="007C12DD">
        <w:rPr>
          <w:lang w:val="en-US"/>
        </w:rPr>
        <w:t>manufacturing</w:t>
      </w:r>
      <w:r w:rsidR="007B6FCB" w:rsidRPr="007C12DD">
        <w:rPr>
          <w:lang w:val="en-US"/>
        </w:rPr>
        <w:t xml:space="preserve"> </w:t>
      </w:r>
      <w:r w:rsidRPr="007C12DD">
        <w:rPr>
          <w:lang w:val="en-US"/>
        </w:rPr>
        <w:t>configuration</w:t>
      </w:r>
      <w:r w:rsidR="00221938" w:rsidRPr="007C12DD">
        <w:rPr>
          <w:lang w:val="en-US"/>
        </w:rPr>
        <w:t>s</w:t>
      </w:r>
      <w:r w:rsidRPr="007C12DD">
        <w:rPr>
          <w:lang w:val="en-US"/>
        </w:rPr>
        <w:t xml:space="preserve"> </w:t>
      </w:r>
      <w:r w:rsidR="00877518" w:rsidRPr="007C12DD">
        <w:rPr>
          <w:lang w:val="en-US"/>
        </w:rPr>
        <w:t>of successful circular start</w:t>
      </w:r>
      <w:r w:rsidR="0087600B" w:rsidRPr="007C12DD">
        <w:rPr>
          <w:lang w:val="en-US"/>
        </w:rPr>
        <w:t>-</w:t>
      </w:r>
      <w:r w:rsidR="00877518" w:rsidRPr="007C12DD">
        <w:rPr>
          <w:lang w:val="en-US"/>
        </w:rPr>
        <w:t>ups</w:t>
      </w:r>
      <w:r w:rsidRPr="007C12DD">
        <w:rPr>
          <w:lang w:val="en-US"/>
        </w:rPr>
        <w:t xml:space="preserve">. </w:t>
      </w:r>
      <w:r w:rsidR="00221938" w:rsidRPr="007C12DD">
        <w:rPr>
          <w:lang w:val="en-US"/>
        </w:rPr>
        <w:t xml:space="preserve">Identifying common </w:t>
      </w:r>
      <w:r w:rsidR="00573B57" w:rsidRPr="007C12DD">
        <w:rPr>
          <w:lang w:val="en-US"/>
        </w:rPr>
        <w:t>manufacturing</w:t>
      </w:r>
      <w:r w:rsidR="00221938" w:rsidRPr="007C12DD">
        <w:rPr>
          <w:lang w:val="en-US"/>
        </w:rPr>
        <w:t xml:space="preserve"> </w:t>
      </w:r>
      <w:r w:rsidR="00A36566" w:rsidRPr="007C12DD">
        <w:rPr>
          <w:lang w:val="en-US"/>
        </w:rPr>
        <w:t>configurations</w:t>
      </w:r>
      <w:r w:rsidR="00221938" w:rsidRPr="007C12DD">
        <w:rPr>
          <w:lang w:val="en-US"/>
        </w:rPr>
        <w:t xml:space="preserve"> and investigating how they </w:t>
      </w:r>
      <w:r w:rsidR="00577EAC">
        <w:rPr>
          <w:lang w:val="en-US"/>
        </w:rPr>
        <w:t xml:space="preserve">align </w:t>
      </w:r>
      <w:r w:rsidR="00221938" w:rsidRPr="007C12DD">
        <w:rPr>
          <w:lang w:val="en-US"/>
        </w:rPr>
        <w:t xml:space="preserve">with the </w:t>
      </w:r>
      <w:r w:rsidR="001D1CD9" w:rsidRPr="007C12DD">
        <w:rPr>
          <w:lang w:val="en-US"/>
        </w:rPr>
        <w:t>supply</w:t>
      </w:r>
      <w:r w:rsidR="00A36566" w:rsidRPr="007C12DD">
        <w:rPr>
          <w:lang w:val="en-US"/>
        </w:rPr>
        <w:t xml:space="preserve"> characteristics </w:t>
      </w:r>
      <w:r w:rsidR="00EE76FA" w:rsidRPr="007C12DD">
        <w:rPr>
          <w:lang w:val="en-US"/>
        </w:rPr>
        <w:t xml:space="preserve">yielded </w:t>
      </w:r>
      <w:proofErr w:type="gramStart"/>
      <w:r w:rsidR="00EE76FA" w:rsidRPr="007C12DD">
        <w:rPr>
          <w:lang w:val="en-US"/>
        </w:rPr>
        <w:t>a number of</w:t>
      </w:r>
      <w:proofErr w:type="gramEnd"/>
      <w:r w:rsidR="00EE76FA" w:rsidRPr="007C12DD">
        <w:rPr>
          <w:lang w:val="en-US"/>
        </w:rPr>
        <w:t xml:space="preserve"> contribut</w:t>
      </w:r>
      <w:r w:rsidR="00E9546B" w:rsidRPr="007C12DD">
        <w:rPr>
          <w:lang w:val="en-US"/>
        </w:rPr>
        <w:t>ions</w:t>
      </w:r>
      <w:r w:rsidR="00EE76FA" w:rsidRPr="007C12DD">
        <w:rPr>
          <w:lang w:val="en-US"/>
        </w:rPr>
        <w:t xml:space="preserve"> to </w:t>
      </w:r>
      <w:r w:rsidR="00D725AD" w:rsidRPr="007C12DD">
        <w:rPr>
          <w:lang w:val="en-US"/>
        </w:rPr>
        <w:t xml:space="preserve">the academic </w:t>
      </w:r>
      <w:r w:rsidR="00EE76FA" w:rsidRPr="007C12DD">
        <w:rPr>
          <w:lang w:val="en-US"/>
        </w:rPr>
        <w:t>debate. The next sections outline and discuss these contributions</w:t>
      </w:r>
      <w:r w:rsidR="00F84645" w:rsidRPr="007C12DD">
        <w:rPr>
          <w:lang w:val="en-US"/>
        </w:rPr>
        <w:t>.</w:t>
      </w:r>
    </w:p>
    <w:p w14:paraId="024692EF" w14:textId="687F9F02" w:rsidR="00E9546B" w:rsidRPr="007C12DD" w:rsidRDefault="00E9546B" w:rsidP="006D7A2B">
      <w:pPr>
        <w:spacing w:after="0"/>
        <w:jc w:val="both"/>
        <w:rPr>
          <w:lang w:val="en-US"/>
        </w:rPr>
      </w:pPr>
    </w:p>
    <w:p w14:paraId="0303F4D0" w14:textId="3F2C1251" w:rsidR="00E9546B" w:rsidRPr="007C12DD" w:rsidRDefault="00E9546B" w:rsidP="006D7A2B">
      <w:pPr>
        <w:spacing w:after="0"/>
        <w:jc w:val="both"/>
        <w:rPr>
          <w:i/>
          <w:iCs/>
          <w:lang w:val="en-US"/>
        </w:rPr>
      </w:pPr>
      <w:r w:rsidRPr="007C12DD">
        <w:rPr>
          <w:i/>
          <w:iCs/>
          <w:lang w:val="en-US"/>
        </w:rPr>
        <w:t xml:space="preserve">5.1. </w:t>
      </w:r>
      <w:r w:rsidR="00704EAE" w:rsidRPr="007C12DD">
        <w:rPr>
          <w:i/>
          <w:iCs/>
          <w:lang w:val="en-US"/>
        </w:rPr>
        <w:t>Ma</w:t>
      </w:r>
      <w:r w:rsidR="007B6FCB" w:rsidRPr="007C12DD">
        <w:rPr>
          <w:i/>
          <w:iCs/>
          <w:lang w:val="en-US"/>
        </w:rPr>
        <w:t xml:space="preserve">nufacturing </w:t>
      </w:r>
      <w:r w:rsidRPr="007C12DD">
        <w:rPr>
          <w:i/>
          <w:iCs/>
          <w:lang w:val="en-US"/>
        </w:rPr>
        <w:t xml:space="preserve">configurations </w:t>
      </w:r>
      <w:r w:rsidR="00704EAE" w:rsidRPr="007C12DD">
        <w:rPr>
          <w:i/>
          <w:iCs/>
          <w:lang w:val="en-US"/>
        </w:rPr>
        <w:t>of CBMs</w:t>
      </w:r>
    </w:p>
    <w:p w14:paraId="6827242D" w14:textId="1B89161F" w:rsidR="00412818" w:rsidRPr="00013CB9" w:rsidRDefault="001C72A7" w:rsidP="00A211AA">
      <w:pPr>
        <w:spacing w:after="0"/>
        <w:jc w:val="both"/>
        <w:rPr>
          <w:lang w:val="en-US"/>
        </w:rPr>
      </w:pPr>
      <w:r w:rsidRPr="007C12DD">
        <w:rPr>
          <w:lang w:val="en-US"/>
        </w:rPr>
        <w:t xml:space="preserve">By answering the first research question </w:t>
      </w:r>
      <w:r w:rsidR="004121DD" w:rsidRPr="007C12DD">
        <w:rPr>
          <w:lang w:val="en-US"/>
        </w:rPr>
        <w:t>we</w:t>
      </w:r>
      <w:r w:rsidR="00E9546B" w:rsidRPr="007C12DD">
        <w:rPr>
          <w:lang w:val="en-US"/>
        </w:rPr>
        <w:t xml:space="preserve"> </w:t>
      </w:r>
      <w:r w:rsidR="00690BED" w:rsidRPr="007C12DD">
        <w:rPr>
          <w:lang w:val="en-US"/>
        </w:rPr>
        <w:t xml:space="preserve">provide </w:t>
      </w:r>
      <w:r w:rsidR="00F651EB" w:rsidRPr="007C12DD">
        <w:rPr>
          <w:lang w:val="en-US"/>
        </w:rPr>
        <w:t xml:space="preserve">insights and </w:t>
      </w:r>
      <w:r w:rsidR="00690BED" w:rsidRPr="007C12DD">
        <w:rPr>
          <w:lang w:val="en-US"/>
        </w:rPr>
        <w:t>directions</w:t>
      </w:r>
      <w:r w:rsidR="00E9546B" w:rsidRPr="007C12DD">
        <w:rPr>
          <w:lang w:val="en-US"/>
        </w:rPr>
        <w:t xml:space="preserve"> to the core of the current debate </w:t>
      </w:r>
      <w:r w:rsidR="00A36566" w:rsidRPr="007C12DD">
        <w:rPr>
          <w:lang w:val="en-US"/>
        </w:rPr>
        <w:t xml:space="preserve">in </w:t>
      </w:r>
      <w:r w:rsidR="00E9546B" w:rsidRPr="007C12DD">
        <w:rPr>
          <w:lang w:val="en-US"/>
        </w:rPr>
        <w:t xml:space="preserve">manufacturing literature on how to </w:t>
      </w:r>
      <w:r w:rsidR="001F0265" w:rsidRPr="007C12DD">
        <w:rPr>
          <w:lang w:val="en-US"/>
        </w:rPr>
        <w:t>make circular</w:t>
      </w:r>
      <w:r w:rsidR="0099771E" w:rsidRPr="007C12DD">
        <w:rPr>
          <w:lang w:val="en-US"/>
        </w:rPr>
        <w:t xml:space="preserve"> </w:t>
      </w:r>
      <w:r w:rsidR="00E9546B" w:rsidRPr="007C12DD">
        <w:rPr>
          <w:lang w:val="en-US"/>
        </w:rPr>
        <w:t xml:space="preserve">manufacturing activities </w:t>
      </w:r>
      <w:r w:rsidR="004121DD" w:rsidRPr="007C12DD">
        <w:rPr>
          <w:lang w:val="en-US"/>
        </w:rPr>
        <w:t>economically viable</w:t>
      </w:r>
      <w:r w:rsidR="00690BED" w:rsidRPr="007C12DD">
        <w:rPr>
          <w:lang w:val="en-US"/>
        </w:rPr>
        <w:t>.</w:t>
      </w:r>
      <w:r w:rsidR="001F0265" w:rsidRPr="007C12DD">
        <w:rPr>
          <w:lang w:val="en-US"/>
        </w:rPr>
        <w:t xml:space="preserve"> </w:t>
      </w:r>
      <w:r w:rsidR="0035112C" w:rsidRPr="007C12DD">
        <w:rPr>
          <w:lang w:val="en-US"/>
        </w:rPr>
        <w:t xml:space="preserve">A first interesting result is that the </w:t>
      </w:r>
      <w:r w:rsidR="009627DB" w:rsidRPr="007C12DD">
        <w:rPr>
          <w:lang w:val="en-US"/>
        </w:rPr>
        <w:t xml:space="preserve">three </w:t>
      </w:r>
      <w:r w:rsidR="0035112C" w:rsidRPr="007C12DD">
        <w:rPr>
          <w:lang w:val="en-US"/>
        </w:rPr>
        <w:t xml:space="preserve">identified </w:t>
      </w:r>
      <w:r w:rsidR="009627DB" w:rsidRPr="007C12DD">
        <w:rPr>
          <w:lang w:val="en-US"/>
        </w:rPr>
        <w:t xml:space="preserve">manufacturing </w:t>
      </w:r>
      <w:r w:rsidR="0035112C" w:rsidRPr="007C12DD">
        <w:rPr>
          <w:lang w:val="en-US"/>
        </w:rPr>
        <w:t>configurations correspond with the three CBM archetypes of</w:t>
      </w:r>
      <w:r w:rsidR="009627DB" w:rsidRPr="007C12DD">
        <w:rPr>
          <w:lang w:val="en-US"/>
        </w:rPr>
        <w:t xml:space="preserve"> </w:t>
      </w:r>
      <w:r w:rsidR="009627DB" w:rsidRPr="007C12DD">
        <w:rPr>
          <w:lang w:val="en-US"/>
        </w:rPr>
        <w:fldChar w:fldCharType="begin" w:fldLock="1"/>
      </w:r>
      <w:r w:rsidR="009627DB" w:rsidRPr="007C12DD">
        <w:rPr>
          <w:lang w:val="en-US"/>
        </w:rPr>
        <w:instrText>ADDIN CSL_CITATION {"citationItems":[{"id":"ITEM-1","itemData":{"DOI":"10.1080/21681015.2016.1172124","ISSN":"21681023","abstract":"The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non-dropping-particle":"","parse-names":false,"suffix":""},{"dropping-particle":"","family":"Grinten","given":"Bram","non-dropping-particle":"van der","parse-names":false,"suffix":""}],"container-title":"Journal of Industrial and Production Engineering","id":"ITEM-1","issue":"5","issued":{"date-parts":[["2016"]]},"page":"308-320","publisher":"Taylor &amp; Francis","title":"Product design and business model strategies for a circular economy","type":"article-journal","volume":"33"},"uris":["http://www.mendeley.com/documents/?uuid=40ae2407-f2f8-4ffd-9222-dc87b44277d9"]}],"mendeley":{"formattedCitation":"(Nancy M.P. Bocken et al., 2016)","manualFormatting":"Bocken et al. (2016)","plainTextFormattedCitation":"(Nancy M.P. Bocken et al., 2016)","previouslyFormattedCitation":"(Nancy M.P. Bocken et al., 2016)"},"properties":{"noteIndex":0},"schema":"https://github.com/citation-style-language/schema/raw/master/csl-citation.json"}</w:instrText>
      </w:r>
      <w:r w:rsidR="009627DB" w:rsidRPr="007C12DD">
        <w:rPr>
          <w:lang w:val="en-US"/>
        </w:rPr>
        <w:fldChar w:fldCharType="separate"/>
      </w:r>
      <w:r w:rsidR="009627DB" w:rsidRPr="007C12DD">
        <w:rPr>
          <w:noProof/>
          <w:lang w:val="en-US"/>
        </w:rPr>
        <w:t>Bocken et al. (2016)</w:t>
      </w:r>
      <w:r w:rsidR="009627DB" w:rsidRPr="007C12DD">
        <w:rPr>
          <w:lang w:val="en-US"/>
        </w:rPr>
        <w:fldChar w:fldCharType="end"/>
      </w:r>
      <w:r w:rsidR="009627DB" w:rsidRPr="007C12DD">
        <w:rPr>
          <w:lang w:val="en-US"/>
        </w:rPr>
        <w:t xml:space="preserve">. Besides validating the CBM archetypes of </w:t>
      </w:r>
      <w:proofErr w:type="spellStart"/>
      <w:r w:rsidR="009627DB" w:rsidRPr="007C12DD">
        <w:rPr>
          <w:lang w:val="en-US"/>
        </w:rPr>
        <w:t>Bocken</w:t>
      </w:r>
      <w:proofErr w:type="spellEnd"/>
      <w:r w:rsidR="009627DB" w:rsidRPr="007C12DD">
        <w:rPr>
          <w:lang w:val="en-US"/>
        </w:rPr>
        <w:t xml:space="preserve"> et al. (2016), our results further refine the archetypes</w:t>
      </w:r>
      <w:r w:rsidR="003409E6" w:rsidRPr="007C12DD">
        <w:rPr>
          <w:lang w:val="en-US"/>
        </w:rPr>
        <w:t xml:space="preserve"> by providing more detailed insights </w:t>
      </w:r>
      <w:r w:rsidR="003409E6" w:rsidRPr="007C12DD">
        <w:rPr>
          <w:lang w:val="en-US"/>
        </w:rPr>
        <w:lastRenderedPageBreak/>
        <w:t xml:space="preserve">into </w:t>
      </w:r>
      <w:r w:rsidR="0049647D">
        <w:rPr>
          <w:lang w:val="en-US"/>
        </w:rPr>
        <w:t>which manufacturing configurations enable economic viability.</w:t>
      </w:r>
      <w:r w:rsidR="009F1A02" w:rsidRPr="007C12DD">
        <w:rPr>
          <w:lang w:val="en-US"/>
        </w:rPr>
        <w:t xml:space="preserve"> A second interesting result is that </w:t>
      </w:r>
      <w:proofErr w:type="gramStart"/>
      <w:r w:rsidR="00A36566" w:rsidRPr="007C12DD">
        <w:rPr>
          <w:lang w:val="en-US"/>
        </w:rPr>
        <w:t xml:space="preserve">the majority </w:t>
      </w:r>
      <w:r w:rsidR="00E409F1" w:rsidRPr="007C12DD">
        <w:rPr>
          <w:lang w:val="en-US"/>
        </w:rPr>
        <w:t>of</w:t>
      </w:r>
      <w:proofErr w:type="gramEnd"/>
      <w:r w:rsidR="00E409F1" w:rsidRPr="007C12DD">
        <w:rPr>
          <w:lang w:val="en-US"/>
        </w:rPr>
        <w:t xml:space="preserve"> </w:t>
      </w:r>
      <w:proofErr w:type="gramStart"/>
      <w:r w:rsidR="00E409F1" w:rsidRPr="007C12DD">
        <w:rPr>
          <w:lang w:val="en-US"/>
        </w:rPr>
        <w:t>the start</w:t>
      </w:r>
      <w:proofErr w:type="gramEnd"/>
      <w:r w:rsidR="009F1A02" w:rsidRPr="007C12DD">
        <w:rPr>
          <w:lang w:val="en-US"/>
        </w:rPr>
        <w:t>-</w:t>
      </w:r>
      <w:r w:rsidR="00E409F1" w:rsidRPr="007C12DD">
        <w:rPr>
          <w:lang w:val="en-US"/>
        </w:rPr>
        <w:t xml:space="preserve">ups use </w:t>
      </w:r>
      <w:r w:rsidR="00A36566" w:rsidRPr="007C12DD">
        <w:rPr>
          <w:lang w:val="en-US"/>
        </w:rPr>
        <w:t>process manufacturing</w:t>
      </w:r>
      <w:r w:rsidR="00E409F1" w:rsidRPr="007C12DD">
        <w:rPr>
          <w:lang w:val="en-US"/>
        </w:rPr>
        <w:t xml:space="preserve">. </w:t>
      </w:r>
      <w:r w:rsidR="00412818" w:rsidRPr="007C12DD">
        <w:rPr>
          <w:lang w:val="en-US"/>
        </w:rPr>
        <w:t xml:space="preserve">Yet, the body of manufacturing </w:t>
      </w:r>
      <w:r w:rsidR="00F651EB" w:rsidRPr="007C12DD">
        <w:rPr>
          <w:lang w:val="en-US"/>
        </w:rPr>
        <w:t>literature</w:t>
      </w:r>
      <w:r w:rsidR="00A36566" w:rsidRPr="007C12DD">
        <w:rPr>
          <w:lang w:val="en-US"/>
        </w:rPr>
        <w:t xml:space="preserve"> on CBMs seems </w:t>
      </w:r>
      <w:r w:rsidR="0049647D">
        <w:rPr>
          <w:lang w:val="en-US"/>
        </w:rPr>
        <w:t xml:space="preserve">to be </w:t>
      </w:r>
      <w:r w:rsidR="003409E6" w:rsidRPr="007C12DD">
        <w:rPr>
          <w:lang w:val="en-US"/>
        </w:rPr>
        <w:t>focused on</w:t>
      </w:r>
      <w:r w:rsidR="00A36566" w:rsidRPr="007C12DD">
        <w:rPr>
          <w:lang w:val="en-US"/>
        </w:rPr>
        <w:t xml:space="preserve"> discrete remanufacturing</w:t>
      </w:r>
      <w:r w:rsidR="003409E6" w:rsidRPr="007C12DD">
        <w:rPr>
          <w:lang w:val="en-US"/>
        </w:rPr>
        <w:t xml:space="preserve"> </w:t>
      </w:r>
      <w:r w:rsidR="00A36566" w:rsidRPr="007C12DD">
        <w:rPr>
          <w:lang w:val="en-US"/>
        </w:rPr>
        <w:t>(</w:t>
      </w:r>
      <w:proofErr w:type="spellStart"/>
      <w:r w:rsidR="00E409F1" w:rsidRPr="007C12DD">
        <w:rPr>
          <w:lang w:val="en-US"/>
        </w:rPr>
        <w:fldChar w:fldCharType="begin" w:fldLock="1"/>
      </w:r>
      <w:r w:rsidR="00A61121" w:rsidRPr="007C12DD">
        <w:rPr>
          <w:lang w:val="en-US"/>
        </w:rPr>
        <w:instrText>ADDIN CSL_CITATION {"citationItems":[{"id":"ITEM-1","itemData":{"DOI":"10.1080/09537287.2011.561815","ISSN":"09537287","abstract":"This article reviews the literature on production planning and control (PPC) for remanufacturing. The objectives are threefold: to determine whether the gaps identified by Guide (Guide Jr, V.D.R., 2000. Production planning and control for remanufacturing: industry practice and research needs. Journal of Operations Management, 18, 467-483) on the subject with respect to the main complicating characteristics of remanufacturing have been fulfilled; to classify the literature based on an appropriate structure to obtain a better understanding of the subject identifying sources of future research and to provide a useful source for scholars and practitioners. Seventy-six papers were examined and classified. It was found that none of the studies deals simultaneously with all of the complicating characteristics, and that more practical research is needed. In addition it was found that we lack studies regarding forecasting and aggregate planning considering disassembly of returned products, material matching restrictions or stochastic routings, master production scheduling considering material matching restrictions or stochastic routings, ordering system and capacity planning considering material matching restrictions and inventory control and management considering stochastic routings. © 2012 Taylor &amp; Francis.","author":[{"dropping-particle":"","family":"Lage","given":"Muris","non-dropping-particle":"","parse-names":false,"suffix":""},{"dropping-particle":"","family":"Filho","given":"Moacir Godinho","non-dropping-particle":"","parse-names":false,"suffix":""}],"container-title":"Production Planning and Control","id":"ITEM-1","issue":"6","issued":{"date-parts":[["2012"]]},"page":"419-435","title":"Production planning and control for remanufacturing: Literature review and analysis","type":"article-journal","volume":"23"},"uris":["http://www.mendeley.com/documents/?uuid=499aebd9-a243-4ae9-a809-74c2dc7318da"]},{"id":"ITEM-2","itemData":{"DOI":"10.1016/j.jclepro.2019.117805","ISSN":"09596526","abstract":"This paper reviews the literature on the emerging digital technologies of Industry 4.0 (I4.0) focussed on the applicability of the Internet of Things (IoT), Virtual Reality (VR) and Augmented Reality (AR) in remanufacturing. Inspired by the frameworks developed to support exploration and realisation of I4.0 technologies for disassembly, the paper discusses the same emerging technologies in the wider context of remanufacturing. Trends and gaps have been identified from a value-creation perspective that encompasses the product to be remanufactured, the remanufacturing equipment and processes adopted and related organisation issues. Findings suggest there is a need to explore the connection of cyber-physical systems to the IoT to support smart remanufacturing, whilst aligning with evolving information and communication infrastructures and circular economy business models. The review highlights twenty-nine research topics that require attention to support this field.","author":[{"dropping-particle":"","family":"Kerin","given":"Mairi","non-dropping-particle":"","parse-names":false,"suffix":""},{"dropping-particle":"","family":"Pham","given":"Duc Truong","non-dropping-particle":"","parse-names":false,"suffix":""}],"container-title":"Journal of Cleaner Production","id":"ITEM-2","issued":{"date-parts":[["2019"]]},"page":"117805","publisher":"Elsevier Ltd","title":"A review of emerging industry 4.0 technologies in remanufacturing","type":"article-journal","volume":"237"},"uris":["http://www.mendeley.com/documents/?uuid=11fb8434-137c-4d51-87b9-f5d18a36a225"]},{"id":"ITEM-3","itemData":{"DOI":"10.1016/j.jclepro.2019.05.204","ISSN":"09596526","abstract":"The importance of remanufacturing has been increasing since stricter regulations on protecting the environment were enforced. Remanufacturing is considered as the main means of retaining value from used products and components in order to drive a circular economy. However, it is more complex than traditional manufacturing due to the uncertainties associated with the quality, quantities and return timing of used products and components. Over the past few years, various methods of optimising remanufacturing outcomes have been developed to make decisions such as identifying the best End-Of-Life (EOL) options, acquiring the right amounts of cores, deciding the most suitable disassembly level, applying suitable cleaning techniques, and considering product commonality across different product families. A decision being made at one remanufacturing activity will greatly affect the decisions at subsequent activities, which will affect remanufacturing outcomes, i.e. productivity, economic performance effectiveness, and the proportion of core that can be salvaged. Therefore, a holistic way of integrating different decisions over multiple remanufacturing activities is needed to improve remanufacturing outcomes, which is a major knowledge gap. This paper reviews current remanufacturing practice in order to highlight both the challenges and opportunities, and more importantly, offers useful insights on how such a knowledge gap can be bridged.","author":[{"dropping-particle":"","family":"Sitcharangsie","given":"Sakraan","non-dropping-particle":"","parse-names":false,"suffix":""},{"dropping-particle":"","family":"Ijomah","given":"Winifred","non-dropping-particle":"","parse-names":false,"suffix":""},{"dropping-particle":"","family":"Wong","given":"T. C.","non-dropping-particle":"","parse-names":false,"suffix":""}],"container-title":"Journal of Cleaner Production","id":"ITEM-3","issued":{"date-parts":[["2019"]]},"page":"1465-1481","publisher":"Elsevier Ltd","title":"Decision makings in key remanufacturing activities to optimise remanufacturing outcomes: A review","type":"article-journal","volume":"232"},"uris":["http://www.mendeley.com/documents/?uuid=f4c397d9-d612-4093-a945-a1441702b986"]},{"id":"ITEM-4","itemData":{"DOI":"10.1016/j.jclepro.2009.03.004","ISSN":"09596526","abstract":"While the concepts of remanufacturing and reverse logistics are gaining popularity in practice, the available literature and theory on strategic decision making in these areas are limited. This paper is designed to address this gap, in particular, for the automotive industry aftermarket. In doing so, the authors reviewed literature pertaining to: customer demand(s), product design and development, cost-benefit analysis of reman, core (i.e., used product) supply management, reman competencies and skills, product life cycle strategies, reman and reverse logistics network design, relationships among key stakeholders, environmental considerations, regulations, and impact of emerging economies. The literature findings along with our experience in working with automotive reman products were used as inputs to guide the formulation of seven major propositions for the strategic factors in decision making within reman. The propositions were then tested through a case study. The case study reconfirmed many of the factors like product life cycle, regulations, etc. from the literature review and also identified new factors like OE customer requirements. Our results provide a foundation for further research for companies that deal with Original Equipment (OE) Sales, Original Equipment Service (OES), as well as Independent Aftermarket (IAM) business in the automotive industry. © 2009 Elsevier Ltd. All rights reserved.","author":[{"dropping-particle":"","family":"Subramoniam","given":"Ramesh","non-dropping-particle":"","parse-names":false,"suffix":""},{"dropping-particle":"","family":"Huisingh","given":"Donald","non-dropping-particle":"","parse-names":false,"suffix":""},{"dropping-particle":"","family":"Chinnam","given":"Ratna Babu","non-dropping-particle":"","parse-names":false,"suffix":""}],"container-title":"Journal of Cleaner Production","id":"ITEM-4","issue":"13","issued":{"date-parts":[["2009"]]},"page":"1163-1174","publisher":"Elsevier Ltd","title":"Remanufacturing for the automotive aftermarket-strategic factors: literature review and future research needs","type":"article-journal","volume":"17"},"uris":["http://www.mendeley.com/documents/?uuid=4c99fba9-1877-4cee-bae3-543bfd91ed5b"]}],"mendeley":{"formattedCitation":"(Kerin &amp; Pham, 2019; Lage &amp; Filho, 2012; Sitcharangsie et al., 2019; Subramoniam et al., 2009)","manualFormatting":"Kerin and Pham, 2019; Sitcharangsie et al., 2019)","plainTextFormattedCitation":"(Kerin &amp; Pham, 2019; Lage &amp; Filho, 2012; Sitcharangsie et al., 2019; Subramoniam et al., 2009)","previouslyFormattedCitation":"(Kerin &amp; Pham, 2019; Lage &amp; Filho, 2012; Sitcharangsie et al., 2019; Subramoniam et al., 2009)"},"properties":{"noteIndex":0},"schema":"https://github.com/citation-style-language/schema/raw/master/csl-citation.json"}</w:instrText>
      </w:r>
      <w:r w:rsidR="00E409F1" w:rsidRPr="007C12DD">
        <w:rPr>
          <w:lang w:val="en-US"/>
        </w:rPr>
        <w:fldChar w:fldCharType="separate"/>
      </w:r>
      <w:r w:rsidR="00E409F1" w:rsidRPr="007C12DD">
        <w:rPr>
          <w:noProof/>
          <w:lang w:val="en-US"/>
        </w:rPr>
        <w:t>Kerin</w:t>
      </w:r>
      <w:proofErr w:type="spellEnd"/>
      <w:r w:rsidR="00E409F1" w:rsidRPr="007C12DD">
        <w:rPr>
          <w:noProof/>
          <w:lang w:val="en-US"/>
        </w:rPr>
        <w:t xml:space="preserve"> and Pham</w:t>
      </w:r>
      <w:r w:rsidR="00A36566" w:rsidRPr="007C12DD">
        <w:rPr>
          <w:noProof/>
          <w:lang w:val="en-US"/>
        </w:rPr>
        <w:t>,</w:t>
      </w:r>
      <w:r w:rsidR="00E409F1" w:rsidRPr="007C12DD">
        <w:rPr>
          <w:noProof/>
          <w:lang w:val="en-US"/>
        </w:rPr>
        <w:t xml:space="preserve"> 2019</w:t>
      </w:r>
      <w:r w:rsidR="00A36566" w:rsidRPr="007C12DD">
        <w:rPr>
          <w:noProof/>
          <w:lang w:val="en-US"/>
        </w:rPr>
        <w:t>;</w:t>
      </w:r>
      <w:r w:rsidR="00E409F1" w:rsidRPr="007C12DD">
        <w:rPr>
          <w:noProof/>
          <w:lang w:val="en-US"/>
        </w:rPr>
        <w:t xml:space="preserve"> Sitcharangsie et al.</w:t>
      </w:r>
      <w:r w:rsidR="00A36566" w:rsidRPr="007C12DD">
        <w:rPr>
          <w:noProof/>
          <w:lang w:val="en-US"/>
        </w:rPr>
        <w:t>,</w:t>
      </w:r>
      <w:r w:rsidR="00E409F1" w:rsidRPr="007C12DD">
        <w:rPr>
          <w:noProof/>
          <w:lang w:val="en-US"/>
        </w:rPr>
        <w:t xml:space="preserve"> 2019)</w:t>
      </w:r>
      <w:r w:rsidR="00E409F1" w:rsidRPr="007C12DD">
        <w:rPr>
          <w:lang w:val="en-US"/>
        </w:rPr>
        <w:fldChar w:fldCharType="end"/>
      </w:r>
      <w:r w:rsidR="00E409F1" w:rsidRPr="007C12DD">
        <w:rPr>
          <w:lang w:val="en-US"/>
        </w:rPr>
        <w:t>.</w:t>
      </w:r>
      <w:r w:rsidR="00A36566" w:rsidRPr="007C12DD">
        <w:rPr>
          <w:lang w:val="en-US"/>
        </w:rPr>
        <w:t xml:space="preserve"> </w:t>
      </w:r>
      <w:r w:rsidR="0099771E" w:rsidRPr="007C12DD">
        <w:rPr>
          <w:lang w:val="en-US"/>
        </w:rPr>
        <w:t xml:space="preserve">A possible explanation of the </w:t>
      </w:r>
      <w:r w:rsidR="00704EAE" w:rsidRPr="007C12DD">
        <w:rPr>
          <w:lang w:val="en-US"/>
        </w:rPr>
        <w:t>seemingly low number</w:t>
      </w:r>
      <w:r w:rsidR="0099771E" w:rsidRPr="007C12DD">
        <w:rPr>
          <w:lang w:val="en-US"/>
        </w:rPr>
        <w:t xml:space="preserve"> of discrete </w:t>
      </w:r>
      <w:r w:rsidR="0035112C" w:rsidRPr="007C12DD">
        <w:rPr>
          <w:lang w:val="en-US"/>
        </w:rPr>
        <w:t>re</w:t>
      </w:r>
      <w:r w:rsidR="0099771E" w:rsidRPr="007C12DD">
        <w:rPr>
          <w:lang w:val="en-US"/>
        </w:rPr>
        <w:t xml:space="preserve">manufacturing in our sample is that the original manufacturer knows the product best and can therefore optimize remanufacturing activities </w:t>
      </w:r>
      <w:r w:rsidR="0099771E" w:rsidRPr="007C12DD">
        <w:rPr>
          <w:lang w:val="en-US"/>
        </w:rPr>
        <w:fldChar w:fldCharType="begin" w:fldLock="1"/>
      </w:r>
      <w:r w:rsidR="0099771E" w:rsidRPr="007C12DD">
        <w:rPr>
          <w:lang w:val="en-US"/>
        </w:rPr>
        <w:instrText>ADDIN CSL_CITATION {"citationItems":[{"id":"ITEM-1","itemData":{"author":[{"dropping-particle":"","family":"Ellen MacArthur Foundation","given":"","non-dropping-particle":"","parse-names":false,"suffix":""}],"id":"ITEM-1","issued":{"date-parts":[["2015"]]},"title":"Towards a Circular Economy: Business Rationale for an Accelerated Transition","type":"report"},"uris":["http://www.mendeley.com/documents/?uuid=c1e3c13b-5fb9-4f0c-ad13-d5c354aea6c1"]}],"mendeley":{"formattedCitation":"(Ellen MacArthur Foundation, 2015)","plainTextFormattedCitation":"(Ellen MacArthur Foundation, 2015)","previouslyFormattedCitation":"(Ellen MacArthur Foundation, 2015)"},"properties":{"noteIndex":0},"schema":"https://github.com/citation-style-language/schema/raw/master/csl-citation.json"}</w:instrText>
      </w:r>
      <w:r w:rsidR="0099771E" w:rsidRPr="007C12DD">
        <w:rPr>
          <w:lang w:val="en-US"/>
        </w:rPr>
        <w:fldChar w:fldCharType="separate"/>
      </w:r>
      <w:r w:rsidR="0099771E" w:rsidRPr="007C12DD">
        <w:rPr>
          <w:noProof/>
          <w:lang w:val="en-US"/>
        </w:rPr>
        <w:t>(Ellen MacArthur Foundation, 2015)</w:t>
      </w:r>
      <w:r w:rsidR="0099771E" w:rsidRPr="007C12DD">
        <w:rPr>
          <w:lang w:val="en-US"/>
        </w:rPr>
        <w:fldChar w:fldCharType="end"/>
      </w:r>
      <w:r w:rsidR="0099771E" w:rsidRPr="007C12DD">
        <w:rPr>
          <w:lang w:val="en-US"/>
        </w:rPr>
        <w:t xml:space="preserve">. Support for this explanation is provided by </w:t>
      </w:r>
      <w:r w:rsidR="0099771E" w:rsidRPr="007C12DD">
        <w:rPr>
          <w:lang w:val="en-US"/>
        </w:rPr>
        <w:fldChar w:fldCharType="begin" w:fldLock="1"/>
      </w:r>
      <w:r w:rsidR="0099771E" w:rsidRPr="007C12DD">
        <w:rPr>
          <w:lang w:val="en-US"/>
        </w:rPr>
        <w:instrText>ADDIN CSL_CITATION {"citationItems":[{"id":"ITEM-1","itemData":{"DOI":"10.1016/j.ijpe.2020.107807","ISSN":"09255273","abstract":"Remanufacturing is one of the most examined topics in the closed-loop supply chain (CLSC) literature. However, we still have limited knowledge on the characteristics of the market for remanufactured products. This study addresses this gap by using a big data analytics framework. We employ off-the-shelf, pre-trained vectors created with the Global Vectors for Word Representation (GloVe) word embedding method from a data set crawled from the Internet. The Louvain method subsequently provides us with clusters based on remanufacturing and related terms, without requiring human interactions. Our findings provide the following main insights. First, remanufacturing and related terms are associated with specific industries and products, among which printing equipment, automobiles and car parts, treadmills, consumer electronics, and household appliances. Among the terms capturing remanufacturing activity, remanufactured, reconditioned, and rebuilt are strongly associated with business-to-business and slow clockspeed products, while refurbished is mostly associated with business-to-consumer and fast clockspeed products. Second, original equipment manufacturers (OEMs) are much more salient than independent remanufacturers, and Japanese OEMs are especially well represented as players in the market for remanufacturing. Third, environmental concerns only appear weakly in the discourse surrounding product recovery, while consumers do seem to place emphasis on quality and price. In a final part of the study, we contrast the CLSC academic literature with the clusters obtained through our big data analysis, thereby identifying industries, products, and brands that are understudied. We also outline the practical implications of our work for managers involved in setting up a remanufacturing strategy, as well as regulators.","author":[{"dropping-particle":"","family":"Quariguasi Frota Neto","given":"João","non-dropping-particle":"","parse-names":false,"suffix":""},{"dropping-particle":"","family":"Dutordoir","given":"Marie","non-dropping-particle":"","parse-names":false,"suffix":""}],"container-title":"International Journal of Production Economics","id":"ITEM-1","issue":"April","issued":{"date-parts":[["2020"]]},"page":"107807","publisher":"Elsevier B.V.","title":"Mapping the market for remanufacturing: An application of “Big Data” analytics","type":"article-journal","volume":"230"},"uris":["http://www.mendeley.com/documents/?uuid=7d21c057-410a-489b-b144-3378331c8793"]}],"mendeley":{"formattedCitation":"(Quariguasi Frota Neto &amp; Dutordoir, 2020)","manualFormatting":"Quariguasi Frota Neto and Dutordoir (2020)","plainTextFormattedCitation":"(Quariguasi Frota Neto &amp; Dutordoir, 2020)","previouslyFormattedCitation":"(Quariguasi Frota Neto &amp; Dutordoir, 2020)"},"properties":{"noteIndex":0},"schema":"https://github.com/citation-style-language/schema/raw/master/csl-citation.json"}</w:instrText>
      </w:r>
      <w:r w:rsidR="0099771E" w:rsidRPr="007C12DD">
        <w:rPr>
          <w:lang w:val="en-US"/>
        </w:rPr>
        <w:fldChar w:fldCharType="separate"/>
      </w:r>
      <w:r w:rsidR="0099771E" w:rsidRPr="007C12DD">
        <w:rPr>
          <w:noProof/>
          <w:lang w:val="en-US"/>
        </w:rPr>
        <w:t>Quariguasi Frota Neto and Dutordoir (2020)</w:t>
      </w:r>
      <w:r w:rsidR="0099771E" w:rsidRPr="007C12DD">
        <w:rPr>
          <w:lang w:val="en-US"/>
        </w:rPr>
        <w:fldChar w:fldCharType="end"/>
      </w:r>
      <w:r w:rsidR="0099771E" w:rsidRPr="007C12DD">
        <w:rPr>
          <w:lang w:val="en-US"/>
        </w:rPr>
        <w:t xml:space="preserve"> who found that remanufacturing is typically done by the original manufacturer and rarely occurs in an open-loop CBM. </w:t>
      </w:r>
      <w:r w:rsidR="00224650">
        <w:rPr>
          <w:lang w:val="en-US"/>
        </w:rPr>
        <w:t>However, a</w:t>
      </w:r>
      <w:r w:rsidR="0099771E" w:rsidRPr="007C12DD">
        <w:rPr>
          <w:lang w:val="en-US"/>
        </w:rPr>
        <w:t xml:space="preserve">n alternative explanation might be that remanufacturing often lacks an economically viable business case as suggested by amongst others </w:t>
      </w:r>
      <w:r w:rsidR="0099771E" w:rsidRPr="007C12DD">
        <w:rPr>
          <w:lang w:val="en-US"/>
        </w:rPr>
        <w:fldChar w:fldCharType="begin" w:fldLock="1"/>
      </w:r>
      <w:r w:rsidR="0099771E" w:rsidRPr="007C12DD">
        <w:rPr>
          <w:lang w:val="en-US"/>
        </w:rPr>
        <w:instrText>ADDIN CSL_CITATION {"citationItems":[{"id":"ITEM-1","itemData":{"DOI":"10.1016/j.jclepro.2020.120916","ISSN":"09596526","abstract":"Studies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Production","id":"ITEM-1","issued":{"date-parts":[["2020"]]},"page":"120916","publisher":"Elsevier Ltd","title":"Exploring factors affecting the financial performance of end-of-life take-back program in a discrete manufacturing context","type":"article-journal","volume":"258"},"uris":["http://www.mendeley.com/documents/?uuid=75795c4f-48ec-4fa7-9c67-1b24d7388aba"]}],"mendeley":{"formattedCitation":"(Markus Thomas Bockholt et al., 2020)","manualFormatting":"Bockholt et al. (2020)","plainTextFormattedCitation":"(Markus Thomas Bockholt et al., 2020)","previouslyFormattedCitation":"(Markus Thomas Bockholt et al., 2020)"},"properties":{"noteIndex":0},"schema":"https://github.com/citation-style-language/schema/raw/master/csl-citation.json"}</w:instrText>
      </w:r>
      <w:r w:rsidR="0099771E" w:rsidRPr="007C12DD">
        <w:rPr>
          <w:lang w:val="en-US"/>
        </w:rPr>
        <w:fldChar w:fldCharType="separate"/>
      </w:r>
      <w:r w:rsidR="0099771E" w:rsidRPr="007C12DD">
        <w:rPr>
          <w:noProof/>
          <w:lang w:val="en-US"/>
        </w:rPr>
        <w:t>Bockholt et al. (2020)</w:t>
      </w:r>
      <w:r w:rsidR="0099771E" w:rsidRPr="007C12DD">
        <w:rPr>
          <w:lang w:val="en-US"/>
        </w:rPr>
        <w:fldChar w:fldCharType="end"/>
      </w:r>
      <w:r w:rsidR="0099771E" w:rsidRPr="007C12DD">
        <w:rPr>
          <w:lang w:val="en-US"/>
        </w:rPr>
        <w:t xml:space="preserve"> and </w:t>
      </w:r>
      <w:r w:rsidR="0099771E" w:rsidRPr="007C12DD">
        <w:rPr>
          <w:lang w:val="en-US"/>
        </w:rPr>
        <w:fldChar w:fldCharType="begin" w:fldLock="1"/>
      </w:r>
      <w:r w:rsidR="0099771E" w:rsidRPr="007C12DD">
        <w:rPr>
          <w:lang w:val="en-US"/>
        </w:rPr>
        <w:instrText>ADDIN CSL_CITATION {"citationItems":[{"id":"ITEM-1","itemData":{"DOI":"10.1016/j.omega.2015.05.015","ISSN":"03050483","abstract":"In the last decades, green and sustainable supply chain management practices have been developed, trying to integrate environmental concerns into organisations by reducing unintended negative consequences on the environment of production and consumption processes. In parallel to this, the circular economy discourse has been propagated in the industrial ecology literature and practice. Circular economy pushes the frontiers of environmental sustainability by emphasising the idea of transforming products in such a way that there are workable relationships between ecological systems and economic growth. Therefore, circular economy is not just concerned with the reduction of the use of the environment as a sink for residuals but rather with the creation of self-sustaining production systems in which materials are used over and over again. Through two case studies from different process industries (chemical and food), this paper compares the performances of traditional and circular production systems across a range of indicators. Direct, indirect and total lifecycle emissions, waste recovered, virgin resources use, as well as carbon maps (which provide a holistic visibility of the entire supply chain) are presented. The paper asserts that an integration of circular economy principles within sustainable supply chain management can provide clear advantages from an environmental point view. Emerging supply chain management challenges and market dynamics are also highlighted and discussed.","author":[{"dropping-particle":"","family":"Genovese","given":"Andrea","non-dropping-particle":"","parse-names":false,"suffix":""},{"dropping-particle":"","family":"Acquaye","given":"Adolf A.","non-dropping-particle":"","parse-names":false,"suffix":""},{"dropping-particle":"","family":"Figueroa","given":"Alejandro","non-dropping-particle":"","parse-names":false,"suffix":""},{"dropping-particle":"","family":"Koh","given":"S. C.Lenny","non-dropping-particle":"","parse-names":false,"suffix":""}],"container-title":"Omega (United Kingdom)","id":"ITEM-1","issued":{"date-parts":[["2017"]]},"page":"344-357","publisher":"Elsevier","title":"Sustainable supply chain management and the transition towards a circular economy: Evidence and some applications","type":"article-journal","volume":"66"},"uris":["http://www.mendeley.com/documents/?uuid=d4ea3662-5f44-4480-8114-1b98aef29888"]}],"mendeley":{"formattedCitation":"(Genovese et al., 2017)","manualFormatting":"Genovese et al. (2017)","plainTextFormattedCitation":"(Genovese et al., 2017)","previouslyFormattedCitation":"(Genovese et al., 2017)"},"properties":{"noteIndex":0},"schema":"https://github.com/citation-style-language/schema/raw/master/csl-citation.json"}</w:instrText>
      </w:r>
      <w:r w:rsidR="0099771E" w:rsidRPr="007C12DD">
        <w:rPr>
          <w:lang w:val="en-US"/>
        </w:rPr>
        <w:fldChar w:fldCharType="separate"/>
      </w:r>
      <w:r w:rsidR="0099771E" w:rsidRPr="007C12DD">
        <w:rPr>
          <w:noProof/>
          <w:lang w:val="en-US"/>
        </w:rPr>
        <w:t>Genovese et al. (2017)</w:t>
      </w:r>
      <w:r w:rsidR="0099771E" w:rsidRPr="007C12DD">
        <w:rPr>
          <w:lang w:val="en-US"/>
        </w:rPr>
        <w:fldChar w:fldCharType="end"/>
      </w:r>
      <w:r w:rsidR="0099771E" w:rsidRPr="007C12DD">
        <w:rPr>
          <w:lang w:val="en-US"/>
        </w:rPr>
        <w:t>. Since circular start-ups have no alternative revenue streams to cover loss</w:t>
      </w:r>
      <w:r w:rsidR="001F0265" w:rsidRPr="007C12DD">
        <w:rPr>
          <w:lang w:val="en-US"/>
        </w:rPr>
        <w:t>-</w:t>
      </w:r>
      <w:r w:rsidR="0099771E" w:rsidRPr="007C12DD">
        <w:rPr>
          <w:lang w:val="en-US"/>
        </w:rPr>
        <w:t xml:space="preserve">making remanufacturing activities, our results suggest that such CBMs might only be profitable for </w:t>
      </w:r>
      <w:r w:rsidR="003409E6" w:rsidRPr="007C12DD">
        <w:rPr>
          <w:lang w:val="en-US"/>
        </w:rPr>
        <w:t xml:space="preserve">(very) </w:t>
      </w:r>
      <w:r w:rsidR="0099771E" w:rsidRPr="007C12DD">
        <w:rPr>
          <w:lang w:val="en-US"/>
        </w:rPr>
        <w:t>high value items</w:t>
      </w:r>
      <w:r w:rsidR="00B67C98" w:rsidRPr="007C12DD">
        <w:rPr>
          <w:lang w:val="en-US"/>
        </w:rPr>
        <w:t xml:space="preserve"> (configuration A)</w:t>
      </w:r>
      <w:r w:rsidR="0099771E" w:rsidRPr="007C12DD">
        <w:rPr>
          <w:lang w:val="en-US"/>
        </w:rPr>
        <w:t>. Therefore, remanufacturing might not be the single direction for the transition towards a circular economy and attention should be paid to</w:t>
      </w:r>
      <w:r w:rsidR="001F0265" w:rsidRPr="007C12DD">
        <w:rPr>
          <w:lang w:val="en-US"/>
        </w:rPr>
        <w:t xml:space="preserve"> the role of</w:t>
      </w:r>
      <w:r w:rsidR="0099771E" w:rsidRPr="007C12DD">
        <w:rPr>
          <w:lang w:val="en-US"/>
        </w:rPr>
        <w:t xml:space="preserve"> </w:t>
      </w:r>
      <w:r w:rsidR="001F0265" w:rsidRPr="007C12DD">
        <w:rPr>
          <w:lang w:val="en-US"/>
        </w:rPr>
        <w:t>process manufacturing</w:t>
      </w:r>
      <w:r w:rsidR="003409E6" w:rsidRPr="007C12DD">
        <w:rPr>
          <w:lang w:val="en-US"/>
        </w:rPr>
        <w:t xml:space="preserve"> and extending resource value.</w:t>
      </w:r>
    </w:p>
    <w:p w14:paraId="6AA7C11B" w14:textId="0E775288" w:rsidR="00E409F1" w:rsidRPr="007C12DD" w:rsidRDefault="00E409F1" w:rsidP="001C72A7">
      <w:pPr>
        <w:spacing w:after="0"/>
        <w:jc w:val="both"/>
        <w:rPr>
          <w:lang w:val="en-US"/>
        </w:rPr>
      </w:pPr>
    </w:p>
    <w:p w14:paraId="12A5DD03" w14:textId="79BAE6CD" w:rsidR="001C72A7" w:rsidRPr="007C12DD" w:rsidRDefault="001C72A7" w:rsidP="001C72A7">
      <w:pPr>
        <w:spacing w:after="0"/>
        <w:jc w:val="both"/>
        <w:rPr>
          <w:i/>
          <w:iCs/>
          <w:lang w:val="en-US"/>
        </w:rPr>
      </w:pPr>
      <w:r w:rsidRPr="007C12DD">
        <w:rPr>
          <w:i/>
          <w:iCs/>
          <w:lang w:val="en-US"/>
        </w:rPr>
        <w:t xml:space="preserve">5.2. </w:t>
      </w:r>
      <w:r w:rsidR="00577EAC">
        <w:rPr>
          <w:i/>
          <w:iCs/>
          <w:lang w:val="en-US"/>
        </w:rPr>
        <w:t xml:space="preserve">Aligning </w:t>
      </w:r>
      <w:r w:rsidR="00C14C57" w:rsidRPr="007C12DD">
        <w:rPr>
          <w:i/>
          <w:iCs/>
          <w:lang w:val="en-US"/>
        </w:rPr>
        <w:t xml:space="preserve">the </w:t>
      </w:r>
      <w:r w:rsidR="00573B57" w:rsidRPr="007C12DD">
        <w:rPr>
          <w:i/>
          <w:iCs/>
          <w:lang w:val="en-US"/>
        </w:rPr>
        <w:t>manufacturing</w:t>
      </w:r>
      <w:r w:rsidR="00C14C57" w:rsidRPr="007C12DD">
        <w:rPr>
          <w:i/>
          <w:iCs/>
          <w:lang w:val="en-US"/>
        </w:rPr>
        <w:t xml:space="preserve"> </w:t>
      </w:r>
      <w:r w:rsidR="00704EAE" w:rsidRPr="007C12DD">
        <w:rPr>
          <w:i/>
          <w:iCs/>
          <w:lang w:val="en-US"/>
        </w:rPr>
        <w:t xml:space="preserve">configuration with </w:t>
      </w:r>
      <w:r w:rsidR="001D1CD9" w:rsidRPr="007C12DD">
        <w:rPr>
          <w:i/>
          <w:iCs/>
          <w:lang w:val="en-US"/>
        </w:rPr>
        <w:t>supply</w:t>
      </w:r>
      <w:r w:rsidR="00704EAE" w:rsidRPr="007C12DD">
        <w:rPr>
          <w:i/>
          <w:iCs/>
          <w:lang w:val="en-US"/>
        </w:rPr>
        <w:t xml:space="preserve"> characteristics</w:t>
      </w:r>
      <w:r w:rsidR="0075208B" w:rsidRPr="007B2648">
        <w:rPr>
          <w:i/>
          <w:iCs/>
          <w:lang w:val="en-GB"/>
        </w:rPr>
        <w:t>:</w:t>
      </w:r>
      <w:r w:rsidR="0075208B">
        <w:rPr>
          <w:i/>
          <w:iCs/>
          <w:lang w:val="en-US"/>
        </w:rPr>
        <w:t xml:space="preserve"> a contingency theory perspective</w:t>
      </w:r>
    </w:p>
    <w:p w14:paraId="7DC0DABB" w14:textId="3F9D3EEE" w:rsidR="007F76D9" w:rsidRPr="007C12DD" w:rsidRDefault="00C14C57" w:rsidP="00C14C57">
      <w:pPr>
        <w:spacing w:after="0"/>
        <w:jc w:val="both"/>
        <w:rPr>
          <w:lang w:val="en-US"/>
        </w:rPr>
      </w:pPr>
      <w:r w:rsidRPr="007C12DD">
        <w:rPr>
          <w:lang w:val="en-US"/>
        </w:rPr>
        <w:t>By answering the second research question</w:t>
      </w:r>
      <w:r w:rsidR="00B67C98" w:rsidRPr="007C12DD">
        <w:rPr>
          <w:lang w:val="en-US"/>
        </w:rPr>
        <w:t>,</w:t>
      </w:r>
      <w:r w:rsidRPr="007C12DD">
        <w:rPr>
          <w:lang w:val="en-US"/>
        </w:rPr>
        <w:t xml:space="preserve"> </w:t>
      </w:r>
      <w:r w:rsidR="00B17FB5" w:rsidRPr="007C12DD">
        <w:rPr>
          <w:lang w:val="en-US"/>
        </w:rPr>
        <w:t xml:space="preserve">the results suggest that </w:t>
      </w:r>
      <w:r w:rsidR="0075208B">
        <w:rPr>
          <w:lang w:val="en-US"/>
        </w:rPr>
        <w:t xml:space="preserve">the manufacturing configuration is contingent upon the </w:t>
      </w:r>
      <w:r w:rsidR="0049647D">
        <w:rPr>
          <w:lang w:val="en-US"/>
        </w:rPr>
        <w:t>supply characteristics</w:t>
      </w:r>
      <w:r w:rsidR="0075208B">
        <w:rPr>
          <w:lang w:val="en-US"/>
        </w:rPr>
        <w:t xml:space="preserve"> </w:t>
      </w:r>
      <w:r w:rsidR="00FB446B">
        <w:rPr>
          <w:lang w:val="en-US"/>
        </w:rPr>
        <w:t>of heterogen</w:t>
      </w:r>
      <w:r w:rsidR="006D7745">
        <w:rPr>
          <w:lang w:val="en-US"/>
        </w:rPr>
        <w:t>e</w:t>
      </w:r>
      <w:r w:rsidR="00FB446B">
        <w:rPr>
          <w:lang w:val="en-US"/>
        </w:rPr>
        <w:t xml:space="preserve">ous quality, uncertain timing, insufficient </w:t>
      </w:r>
      <w:proofErr w:type="gramStart"/>
      <w:r w:rsidR="00FB446B">
        <w:rPr>
          <w:lang w:val="en-US"/>
        </w:rPr>
        <w:t>quantities</w:t>
      </w:r>
      <w:proofErr w:type="gramEnd"/>
      <w:r w:rsidR="00FB446B">
        <w:rPr>
          <w:lang w:val="en-US"/>
        </w:rPr>
        <w:t xml:space="preserve"> and the value of the used product.</w:t>
      </w:r>
      <w:r w:rsidR="00B17FB5" w:rsidRPr="007C12DD">
        <w:rPr>
          <w:lang w:val="en-US"/>
        </w:rPr>
        <w:t xml:space="preserve"> </w:t>
      </w:r>
    </w:p>
    <w:p w14:paraId="701A92CC" w14:textId="0E84050F" w:rsidR="00C002E9" w:rsidRDefault="00D73A83" w:rsidP="00C002E9">
      <w:pPr>
        <w:spacing w:after="0"/>
        <w:ind w:firstLine="284"/>
        <w:jc w:val="both"/>
        <w:rPr>
          <w:lang w:val="en-US"/>
        </w:rPr>
      </w:pPr>
      <w:r w:rsidRPr="007C12DD">
        <w:rPr>
          <w:lang w:val="en-US"/>
        </w:rPr>
        <w:t>First,</w:t>
      </w:r>
      <w:r w:rsidR="00714EAF" w:rsidRPr="007C12DD">
        <w:rPr>
          <w:lang w:val="en-US"/>
        </w:rPr>
        <w:t xml:space="preserve"> the</w:t>
      </w:r>
      <w:r w:rsidRPr="007C12DD">
        <w:rPr>
          <w:lang w:val="en-US"/>
        </w:rPr>
        <w:t xml:space="preserve"> </w:t>
      </w:r>
      <w:r w:rsidR="00714EAF" w:rsidRPr="007C12DD">
        <w:rPr>
          <w:lang w:val="en-US"/>
        </w:rPr>
        <w:t>results confirm that heterogeneous quality</w:t>
      </w:r>
      <w:r w:rsidR="007F76D9" w:rsidRPr="007C12DD">
        <w:rPr>
          <w:lang w:val="en-US"/>
        </w:rPr>
        <w:t>, uncertain timing</w:t>
      </w:r>
      <w:r w:rsidR="00714EAF" w:rsidRPr="007C12DD">
        <w:rPr>
          <w:lang w:val="en-US"/>
        </w:rPr>
        <w:t xml:space="preserve"> and insufficient quantit</w:t>
      </w:r>
      <w:r w:rsidR="00E738F3">
        <w:rPr>
          <w:lang w:val="en-US"/>
        </w:rPr>
        <w:t>ies</w:t>
      </w:r>
      <w:r w:rsidR="00714EAF" w:rsidRPr="007C12DD">
        <w:rPr>
          <w:lang w:val="en-US"/>
        </w:rPr>
        <w:t xml:space="preserve"> are </w:t>
      </w:r>
      <w:r w:rsidR="007C3975">
        <w:rPr>
          <w:lang w:val="en-US"/>
        </w:rPr>
        <w:t>contingent factors which</w:t>
      </w:r>
      <w:r w:rsidR="001B6602">
        <w:rPr>
          <w:lang w:val="en-US"/>
        </w:rPr>
        <w:t xml:space="preserve"> constrain</w:t>
      </w:r>
      <w:r w:rsidR="00C96979">
        <w:rPr>
          <w:lang w:val="en-US"/>
        </w:rPr>
        <w:t xml:space="preserve"> the adoption of certain manufacturing configurations</w:t>
      </w:r>
      <w:r w:rsidR="00B67C98" w:rsidRPr="007C12DD">
        <w:rPr>
          <w:lang w:val="en-US"/>
        </w:rPr>
        <w:t xml:space="preserve"> (</w:t>
      </w:r>
      <w:proofErr w:type="spellStart"/>
      <w:r w:rsidR="00714EAF" w:rsidRPr="007C12DD">
        <w:rPr>
          <w:lang w:val="en-US"/>
        </w:rPr>
        <w:fldChar w:fldCharType="begin" w:fldLock="1"/>
      </w:r>
      <w:r w:rsidR="005A3405">
        <w:rPr>
          <w:lang w:val="en-US"/>
        </w:rPr>
        <w:instrText>ADDIN CSL_CITATION {"citationItems":[{"id":"ITEM-1","itemData":{"DOI":"10.1016/j.jclepro.2020.120916","ISSN":"09596526","abstract":"Studies on circular economy traditionally focus on the sustainability aspect, however, the main issue regarding industrial adoption of these initiatives is the financial viability. This paper seeks to address this gap, by identifying factors that affect the financial performance of circular economy initiatives. The research uses a multiple embedded case study approach within a large Danish OEM, who has established four forms of take-back projects, in three different countries. The paper identifies seven factors which across the four cases affect the financial performance, through either affecting the efficiency of the take-back (i.e. the cost spent) or affecting the effectiveness of the take-back (i.e. the cost saved/turnover created) or even affecting both. In addition to the factors, the research identifies and discusses critical interdependencies between them, meaning that one factor might affect another factor positively or negatively. The paper provides novel insights towards the factors that from a financial standpoint should be considered when designing a take-back program, the research here seeks to improve the financial viability of circular economy, thus making it a viable option even for SMEs and companies faced with stark competition.","author":[{"dropping-particle":"","family":"Bockholt","given":"Markus Thomas","non-dropping-particle":"","parse-names":false,"suffix":""},{"dropping-particle":"","family":"Hemdrup Kristensen","given":"Jesper","non-dropping-particle":"","parse-names":false,"suffix":""},{"dropping-particle":"","family":"Colli","given":"Michele","non-dropping-particle":"","parse-names":false,"suffix":""},{"dropping-particle":"","family":"Meulengracht Jensen","given":"Peter","non-dropping-particle":"","parse-names":false,"suffix":""},{"dropping-particle":"","family":"Vejrum Wæhrens","given":"Brian","non-dropping-particle":"","parse-names":false,"suffix":""}],"container-title":"Journal of Cleaner Production","id":"ITEM-1","issued":{"date-parts":[["2020"]]},"page":"120916","publisher":"Elsevier Ltd","title":"Exploring factors affecting the financial performance of end-of-life take-back program in a discrete manufacturing context","type":"article-journal","volume":"258"},"uris":["http://www.mendeley.com/documents/?uuid=75795c4f-48ec-4fa7-9c67-1b24d7388aba"]},{"id":"ITEM-2","itemData":{"DOI":"10.1111/j.1937-5956.2001.tb00075.x","abstract":"Firms are often encouraged to offer environmentally friendly products as a demonstration of corporate citizenship. However, this may prove to be an unrealistic expectation since a rational firm will only engage in profitable ventures; those that increase shareholder wealth. We develop a framework for analyzing the profitability of reuse activities and show how the management of product returns influences operational requirements. We show that the acquisition of used products may be used as the control lever for the management and profitability of reuse activities. These activities, termed product acquisition management, affect several important business decisions. First, if a firm is to pursue reuse activities, these reuse activities must be value-creating. Second, if a firm is to compete by offering remanufactured products, then we show how product returns management influences the overall profitability of such activities via a trial and error EVA approach. Third, we show how operational issues are strongly affected by the approach used to manage product returns. There is a need for future research specifying the mathematical relationship between acquisition price and the nominal quality of the returned product.","author":[{"dropping-particle":"","family":"Guide","given":"V. Daniel R.","non-dropping-particle":"","parse-names":false,"suffix":""},{"dropping-particle":"","family":"Wassenhove","given":"Luk N.","non-dropping-particle":"Van","parse-names":false,"suffix":""}],"container-title":"Production and Operations Management","id":"ITEM-2","issue":"2","issued":{"date-parts":[["2009"]]},"page":"142-155","title":"Managing Product Returns for Remanufacturing","type":"article-journal","volume":"10"},"uris":["http://www.mendeley.com/documents/?uuid=e53441d5-ce2f-4999-af69-62b89096260f"]},{"id":"ITEM-3","itemData":{"DOI":"10.1111/j.1937-5956.2006.tb00252.x","ISSN":"1059-1478","abstract":"The condition of the used items acquired by remanufacturers is often highly variable, and sorting is an important aspect of remanufacturing operations. Sorting policies-the rules specifying which used products should be remanufactured and which should be scrapped-have received limited attention in the literature. In this paper, we examine the case of a remanufacturer who acquires unsorted used products as needed from third party brokers. As more used items are acquired for a given demand, the remanufacturer can be more selective when sorting. Thus, two related decisions are made: how many used items to acquire, and how selective to be during the sorting process. We derive optimal acquisition and sorting policies in the presence of used product condition variability for a remanufacturer facing both deterministic and uncertain demand. We show the existence of a single optimal acquisition and sorting policy with a simple structure and show that this policy is independent of production amount when acquisition costs are linear.","author":[{"dropping-particle":"","family":"Galbreth","given":"Michael R.","non-dropping-particle":"","parse-names":false,"suffix":""},{"dropping-particle":"","family":"Blackburn","given":"Joseph D.","non-dropping-particle":"","parse-names":false,"suffix":""}],"container-title":"Production and Operations Management","id":"ITEM-3","issue":"3","issued":{"date-parts":[["2009"]]},"page":"384-392","title":"Optimal Acquisition and Sorting Policies for Remanufacturing","type":"article-journal","volume":"15"},"uris":["http://www.mendeley.com/documents/?uuid=6125ff2d-5f86-4216-996f-d5ae405b52dc"]},{"id":"ITEM-4","itemData":{"DOI":"10.1016/j.ejor.2006.10.025","ISSN":"03772217","abstract":"This paper investigates how the profitability of reuse activities is affected by uncertainty regarding the quality of returned products. Specifically, we examine a reverse supply chain consisting of two collection sites and a refurbishing site, which faces stochastic demand for refurbished products in a single-period setting. The quality of returns (refurbishing yield) becomes known only after the transportation of the products to the refurbishing site. We prove that the expected profit function has a unique optimal solution (procurement and production quantities) and we derive the conditions under which it is optimal to use only one of the collection sites. The analysis is supported by numerical results which provide insights regarding the effect of the uncertain yields at the two collection sites and their correlation on optimal decisions and system profitability. © 2006 Elsevier B.V. All rights reserved.","author":[{"dropping-particle":"","family":"Zikopoulos","given":"Christos","non-dropping-particle":"","parse-names":false,"suffix":""},{"dropping-particle":"","family":"Tagaras","given":"George","non-dropping-particle":"","parse-names":false,"suffix":""}],"container-title":"European Journal of Operational Research","id":"ITEM-4","issue":"1","issued":{"date-parts":[["2007"]]},"page":"205-225","title":"Impact of uncertainty in the quality of returns on the profitability of a single-period refurbishing operation","type":"article-journal","volume":"182"},"uris":["http://www.mendeley.com/documents/?uuid=83094d05-122e-48d3-8aca-5008840c0fae"]},{"id":"ITEM-5","itemData":{"DOI":"10.1016/j.jclepro.2019.06.169","ISSN":"09596526","abstract":"Reusing waste materials of other industries, a practice known as industrial symbiosis, attracts growing attention by industry. However, the waste materials are often of lower quality than the virgin materials they substitute. When production processes are intolerant for lower quality materials, production issues may occur. This paper sets out to explore how firms can manage the waste quality through supplier integration with the waste supplier. As suppliers have to learn new knowledge, the construct of absorptive capacity is used as an interpretive lens. An in-depth longitudinal exploratory case study approach is used to examine the involvement of different individuals and departments in the supplier integration activities in the context of the waste-based fuel supply chain of a global cement producer. Qualitative and quantitative data was gathered at both the buyer and the supplier. The data show that buyers can increase the absorptive capacity of the suppliers by aligning their own knowledge bases with the scope of the supplier integration. The increased absorptive capacity enables the suppliers to align waste quality with production requirements. Managing waste quality is an important capability of industrial symbiosis, especially when firms want to go beyond the low-hanging fruits and increase the effectiveness of their industrial symbiosis activities. The research concludes with theoretical and managerial insights into how firms can organize the supplier integration to manage waste quality in the context of industrial symbiosis.","author":[{"dropping-particle":"","family":"Prosman","given":"Ernst Johannes","non-dropping-particle":"","parse-names":false,"suffix":""},{"dropping-particle":"","family":"Wæhrens","given":"Brian Vejrum","non-dropping-particle":"","parse-names":false,"suffix":""}],"container-title":"Journal of Cleaner Production","id":"ITEM-5","issued":{"date-parts":[["2019"]]},"page":"113-123","publisher":"Elsevier Ltd","title":"Managing waste quality in industrial symbiosis: Insights on how to organize supplier integration","type":"article-journal","volume":"234"},"uris":["http://www.mendeley.com/documents/?uuid=2053dc3e-ebe1-4659-b383-3a84833720c9"]},{"id":"ITEM-6","itemData":{"DOI":"10.1080/00207543.2018.1542176","ISSN":"1366588X","abstract":"Despite companies face several challenges when redesigning their supply chain for the Circular Economy, the literature lacks a systematisation of such challenges and of the ways to overcome them. Through a systematic literature review, this paper identifies and systematises 24 challenges that may hamper a supply chain redesign for the Circular Economy. Sixteen among these challenges are well known from research in related topics. On the contrary, the remaining eight are relatively new or take a different relevance within the Circular Economy context. A multiple case study in the household appliance supply chain is carried out, to explore how these challenges appear in practice and how companies may tackle them. The cases analysed involve actors at different supply chain levels, and findings suggest that a great degree of vertical integration by one actor in the supply chain is not a necessary condition for Circular Economy implementation. The empirical study, in conjunction with the literature analysis, leads to the development of a framework linking the challenges to specific levers that companies may pursue to overcome them. The framework can be seen as a reference for managers undertaking the path towards Circular Economy.","author":[{"dropping-particle":"","family":"Bressanelli","given":"Gianmarco","non-dropping-particle":"","parse-names":false,"suffix":""},{"dropping-particle":"","family":"Perona","given":"Marco","non-dropping-particle":"","parse-names":false,"suffix":""},{"dropping-particle":"","family":"Saccani","given":"Nicola","non-dropping-particle":"","parse-names":false,"suffix":""}],"container-title":"International Journal of Production Research","id":"ITEM-6","issue":"23","issued":{"date-parts":[["2019"]]},"page":"7395-7422","publisher":"Taylor &amp; Francis","title":"Challenges in supply chain redesign for the Circular Economy: a literature review and a multiple case study","type":"article-journal","volume":"57"},"uris":["http://www.mendeley.com/documents/?uuid=70dc2b0f-3931-447f-b022-110e0032d74a"]}],"mendeley":{"formattedCitation":"(Markus Thomas Bockholt et al., 2020; Bressanelli et al., 2019; Galbreth &amp; Blackburn, 2009; Guide &amp; Van Wassenhove, 2009; Prosman &amp; Wæhrens, 2019; Zikopoulos &amp; Tagaras, 2007)","manualFormatting":"Bockholt et al., 2020; Bressanelli et al., 2019; Galbreth and Blackburn, 2009; Guide and Van Wassenhove, 2009; Prosman and Wæhrens, 2019)","plainTextFormattedCitation":"(Markus Thomas Bockholt et al., 2020; Bressanelli et al., 2019; Galbreth &amp; Blackburn, 2009; Guide &amp; Van Wassenhove, 2009; Prosman &amp; Wæhrens, 2019; Zikopoulos &amp; Tagaras, 2007)","previouslyFormattedCitation":"(Markus Thomas Bockholt et al., 2020; Bressanelli et al., 2019; Galbreth &amp; Blackburn, 2009; Guide &amp; Van Wassenhove, 2009; Prosman &amp; Wæhrens, 2019; Zikopoulos &amp; Tagaras, 2007)"},"properties":{"noteIndex":0},"schema":"https://github.com/citation-style-language/schema/raw/master/csl-citation.json"}</w:instrText>
      </w:r>
      <w:r w:rsidR="00714EAF" w:rsidRPr="007C12DD">
        <w:rPr>
          <w:lang w:val="en-US"/>
        </w:rPr>
        <w:fldChar w:fldCharType="separate"/>
      </w:r>
      <w:r w:rsidR="00714EAF" w:rsidRPr="007C12DD">
        <w:rPr>
          <w:noProof/>
          <w:lang w:val="en-US"/>
        </w:rPr>
        <w:t>Bockholt</w:t>
      </w:r>
      <w:proofErr w:type="spellEnd"/>
      <w:r w:rsidR="00714EAF" w:rsidRPr="007C12DD">
        <w:rPr>
          <w:noProof/>
          <w:lang w:val="en-US"/>
        </w:rPr>
        <w:t xml:space="preserve"> et al., 2020; Bressanelli et al., 2019; Galbreth and Blackburn, 2009; Guide and Van Wassenhove, 2009; Prosman and Wæhrens, 2019)</w:t>
      </w:r>
      <w:r w:rsidR="00714EAF" w:rsidRPr="007C12DD">
        <w:rPr>
          <w:lang w:val="en-US"/>
        </w:rPr>
        <w:fldChar w:fldCharType="end"/>
      </w:r>
      <w:r w:rsidR="00714EAF" w:rsidRPr="007C12DD">
        <w:rPr>
          <w:lang w:val="en-US"/>
        </w:rPr>
        <w:t xml:space="preserve">. </w:t>
      </w:r>
      <w:r w:rsidR="00F942EC">
        <w:rPr>
          <w:lang w:val="en-US"/>
        </w:rPr>
        <w:t>Indeed, t</w:t>
      </w:r>
      <w:r w:rsidR="007F76D9" w:rsidRPr="007C12DD">
        <w:rPr>
          <w:lang w:val="en-US"/>
        </w:rPr>
        <w:t>he</w:t>
      </w:r>
      <w:r w:rsidR="0049647D">
        <w:rPr>
          <w:lang w:val="en-US"/>
        </w:rPr>
        <w:t xml:space="preserve"> limited number </w:t>
      </w:r>
      <w:r w:rsidR="007F76D9" w:rsidRPr="007C12DD">
        <w:rPr>
          <w:lang w:val="en-US"/>
        </w:rPr>
        <w:t>of start-ups</w:t>
      </w:r>
      <w:r w:rsidR="00F942EC">
        <w:rPr>
          <w:lang w:val="en-US"/>
        </w:rPr>
        <w:t xml:space="preserve"> in our sample</w:t>
      </w:r>
      <w:r w:rsidR="007F76D9" w:rsidRPr="007C12DD">
        <w:rPr>
          <w:lang w:val="en-US"/>
        </w:rPr>
        <w:t xml:space="preserve"> in </w:t>
      </w:r>
      <w:r w:rsidR="00F050F7" w:rsidRPr="007C12DD">
        <w:rPr>
          <w:lang w:val="en-US"/>
        </w:rPr>
        <w:t>contexts</w:t>
      </w:r>
      <w:r w:rsidR="00224650">
        <w:rPr>
          <w:lang w:val="en-US"/>
        </w:rPr>
        <w:t xml:space="preserve"> characterized by</w:t>
      </w:r>
      <w:r w:rsidR="007F76D9" w:rsidRPr="007C12DD">
        <w:rPr>
          <w:lang w:val="en-US"/>
        </w:rPr>
        <w:t xml:space="preserve"> heterogen</w:t>
      </w:r>
      <w:r w:rsidR="006D7745">
        <w:rPr>
          <w:lang w:val="en-US"/>
        </w:rPr>
        <w:t>e</w:t>
      </w:r>
      <w:r w:rsidR="007F76D9" w:rsidRPr="007C12DD">
        <w:rPr>
          <w:lang w:val="en-US"/>
        </w:rPr>
        <w:t xml:space="preserve">ous input, uncertain timing and insufficient </w:t>
      </w:r>
      <w:r w:rsidR="007F76D9" w:rsidRPr="007C12DD">
        <w:rPr>
          <w:lang w:val="en-US"/>
        </w:rPr>
        <w:lastRenderedPageBreak/>
        <w:t>quantities suggest</w:t>
      </w:r>
      <w:r w:rsidR="00224650">
        <w:rPr>
          <w:lang w:val="en-US"/>
        </w:rPr>
        <w:t>s</w:t>
      </w:r>
      <w:r w:rsidR="007F76D9" w:rsidRPr="007C12DD">
        <w:rPr>
          <w:lang w:val="en-US"/>
        </w:rPr>
        <w:t xml:space="preserve"> that it is challenging to use CBMs in such contexts. Hence, </w:t>
      </w:r>
      <w:r w:rsidR="003409E6" w:rsidRPr="007C12DD">
        <w:rPr>
          <w:lang w:val="en-US"/>
        </w:rPr>
        <w:t xml:space="preserve">our results suggest that </w:t>
      </w:r>
      <w:r w:rsidR="00C96979">
        <w:rPr>
          <w:lang w:val="en-US"/>
        </w:rPr>
        <w:t xml:space="preserve">other sustainable strategies than the ones </w:t>
      </w:r>
      <w:proofErr w:type="gramStart"/>
      <w:r w:rsidR="00C96979">
        <w:rPr>
          <w:lang w:val="en-US"/>
        </w:rPr>
        <w:t>studies</w:t>
      </w:r>
      <w:proofErr w:type="gramEnd"/>
      <w:r w:rsidR="00C96979">
        <w:rPr>
          <w:lang w:val="en-US"/>
        </w:rPr>
        <w:t xml:space="preserve"> in this research </w:t>
      </w:r>
      <w:r w:rsidR="003409E6" w:rsidRPr="007C12DD">
        <w:rPr>
          <w:lang w:val="en-US"/>
        </w:rPr>
        <w:t xml:space="preserve">might be </w:t>
      </w:r>
      <w:r w:rsidR="00224650" w:rsidRPr="007C12DD">
        <w:rPr>
          <w:lang w:val="en-US"/>
        </w:rPr>
        <w:t>preferable</w:t>
      </w:r>
      <w:r w:rsidR="003409E6" w:rsidRPr="007C12DD">
        <w:rPr>
          <w:lang w:val="en-US"/>
        </w:rPr>
        <w:t xml:space="preserve"> </w:t>
      </w:r>
      <w:r w:rsidR="00F050F7" w:rsidRPr="007C12DD">
        <w:rPr>
          <w:lang w:val="en-US"/>
        </w:rPr>
        <w:t>under such circumstances</w:t>
      </w:r>
      <w:r w:rsidR="007F76D9" w:rsidRPr="007C12DD">
        <w:rPr>
          <w:lang w:val="en-US"/>
        </w:rPr>
        <w:t xml:space="preserve">. </w:t>
      </w:r>
    </w:p>
    <w:p w14:paraId="533CBD26" w14:textId="146B6551" w:rsidR="007F76D9" w:rsidRDefault="00C002E9" w:rsidP="008B59A5">
      <w:pPr>
        <w:spacing w:after="0"/>
        <w:ind w:firstLine="284"/>
        <w:jc w:val="both"/>
        <w:rPr>
          <w:lang w:val="en-US"/>
        </w:rPr>
      </w:pPr>
      <w:r>
        <w:rPr>
          <w:lang w:val="en-US"/>
        </w:rPr>
        <w:t xml:space="preserve">Second, the </w:t>
      </w:r>
      <w:r w:rsidR="007F3D4C">
        <w:rPr>
          <w:lang w:val="en-US"/>
        </w:rPr>
        <w:t xml:space="preserve">value of the </w:t>
      </w:r>
      <w:r>
        <w:rPr>
          <w:lang w:val="en-US"/>
        </w:rPr>
        <w:t xml:space="preserve">used product is a contingent factor which </w:t>
      </w:r>
      <w:r w:rsidR="007F3D4C">
        <w:rPr>
          <w:lang w:val="en-US"/>
        </w:rPr>
        <w:t>mediates</w:t>
      </w:r>
      <w:r>
        <w:rPr>
          <w:lang w:val="en-US"/>
        </w:rPr>
        <w:t xml:space="preserve"> </w:t>
      </w:r>
      <w:r w:rsidR="007F3D4C">
        <w:rPr>
          <w:lang w:val="en-US"/>
        </w:rPr>
        <w:t xml:space="preserve">the impact of </w:t>
      </w:r>
      <w:r w:rsidR="007F3D4C" w:rsidRPr="007C12DD">
        <w:rPr>
          <w:lang w:val="en-US"/>
        </w:rPr>
        <w:t>heterogeneous quality, uncertain timing and insufficient quantit</w:t>
      </w:r>
      <w:r w:rsidR="007F3D4C">
        <w:rPr>
          <w:lang w:val="en-US"/>
        </w:rPr>
        <w:t>ies and the adoption of CBM manufacturing configurations. Our results suggest that the</w:t>
      </w:r>
      <w:r w:rsidR="007F76D9" w:rsidRPr="00224650">
        <w:rPr>
          <w:lang w:val="en-US"/>
        </w:rPr>
        <w:t xml:space="preserve"> </w:t>
      </w:r>
      <w:r w:rsidR="00F050F7" w:rsidRPr="00224650">
        <w:rPr>
          <w:lang w:val="en-US"/>
        </w:rPr>
        <w:t>‘</w:t>
      </w:r>
      <w:r w:rsidR="007F76D9" w:rsidRPr="00224650">
        <w:rPr>
          <w:lang w:val="en-US"/>
        </w:rPr>
        <w:t>recover product value</w:t>
      </w:r>
      <w:r w:rsidR="00F050F7" w:rsidRPr="00224650">
        <w:rPr>
          <w:lang w:val="en-US"/>
        </w:rPr>
        <w:t>’</w:t>
      </w:r>
      <w:r w:rsidR="007F76D9" w:rsidRPr="00224650">
        <w:rPr>
          <w:lang w:val="en-US"/>
        </w:rPr>
        <w:t xml:space="preserve"> manufacturing configuration </w:t>
      </w:r>
      <w:r w:rsidR="00224650">
        <w:rPr>
          <w:lang w:val="en-US"/>
        </w:rPr>
        <w:t xml:space="preserve">in a context with (very) high value input </w:t>
      </w:r>
      <w:r w:rsidR="00F050F7" w:rsidRPr="00224650">
        <w:rPr>
          <w:lang w:val="en-US"/>
        </w:rPr>
        <w:t>can provide</w:t>
      </w:r>
      <w:r w:rsidR="007F76D9" w:rsidRPr="00224650">
        <w:rPr>
          <w:lang w:val="en-US"/>
        </w:rPr>
        <w:t xml:space="preserve"> </w:t>
      </w:r>
      <w:r w:rsidR="003409E6" w:rsidRPr="00224650">
        <w:rPr>
          <w:lang w:val="en-US"/>
        </w:rPr>
        <w:t xml:space="preserve">firms </w:t>
      </w:r>
      <w:r w:rsidR="00F050F7" w:rsidRPr="00224650">
        <w:rPr>
          <w:lang w:val="en-US"/>
        </w:rPr>
        <w:t xml:space="preserve">with </w:t>
      </w:r>
      <w:r w:rsidR="007F76D9" w:rsidRPr="00224650">
        <w:rPr>
          <w:lang w:val="en-US"/>
        </w:rPr>
        <w:t xml:space="preserve">sufficient margins to compensate </w:t>
      </w:r>
      <w:r w:rsidR="00F050F7" w:rsidRPr="00224650">
        <w:rPr>
          <w:lang w:val="en-US"/>
        </w:rPr>
        <w:t xml:space="preserve">for </w:t>
      </w:r>
      <w:r w:rsidR="007F76D9" w:rsidRPr="00224650">
        <w:rPr>
          <w:lang w:val="en-US"/>
        </w:rPr>
        <w:t xml:space="preserve">the </w:t>
      </w:r>
      <w:r w:rsidR="00F050F7" w:rsidRPr="00224650">
        <w:rPr>
          <w:lang w:val="en-US"/>
        </w:rPr>
        <w:t>disadvantages</w:t>
      </w:r>
      <w:r w:rsidR="007F76D9" w:rsidRPr="00224650">
        <w:rPr>
          <w:lang w:val="en-US"/>
        </w:rPr>
        <w:t xml:space="preserve"> </w:t>
      </w:r>
      <w:r w:rsidR="00F050F7" w:rsidRPr="00224650">
        <w:rPr>
          <w:lang w:val="en-US"/>
        </w:rPr>
        <w:t>of heterogen</w:t>
      </w:r>
      <w:r w:rsidR="006D7745">
        <w:rPr>
          <w:lang w:val="en-US"/>
        </w:rPr>
        <w:t>e</w:t>
      </w:r>
      <w:r w:rsidR="00F050F7" w:rsidRPr="00224650">
        <w:rPr>
          <w:lang w:val="en-US"/>
        </w:rPr>
        <w:t xml:space="preserve">ous input, uncertain </w:t>
      </w:r>
      <w:proofErr w:type="gramStart"/>
      <w:r w:rsidR="00F050F7" w:rsidRPr="00224650">
        <w:rPr>
          <w:lang w:val="en-US"/>
        </w:rPr>
        <w:t>timing</w:t>
      </w:r>
      <w:proofErr w:type="gramEnd"/>
      <w:r w:rsidR="00F050F7" w:rsidRPr="00224650">
        <w:rPr>
          <w:lang w:val="en-US"/>
        </w:rPr>
        <w:t xml:space="preserve"> and insufficient quantities.</w:t>
      </w:r>
      <w:r w:rsidR="007F3D4C">
        <w:rPr>
          <w:lang w:val="en-US"/>
        </w:rPr>
        <w:t xml:space="preserve"> This is in line with the </w:t>
      </w:r>
      <w:r w:rsidR="007F3D4C">
        <w:rPr>
          <w:lang w:val="en-US"/>
        </w:rPr>
        <w:fldChar w:fldCharType="begin" w:fldLock="1"/>
      </w:r>
      <w:r w:rsidR="008B59A5">
        <w:rPr>
          <w:lang w:val="en-US"/>
        </w:rPr>
        <w:instrText>ADDIN CSL_CITATION {"citationItems":[{"id":"ITEM-1","itemData":{"DOI":"10.1109/IEEM44572.2019.8978540","ISBN":"9781728138046","ISSN":"2157362X","abstract":"The natural biosphere operates according to a system of nutrients and metabolisms, in which there is no such thing as waste. Forming an eternal cycle, which iteratively recycles its major nutrients. This objective is what many industrial organizations aim for by closing industrial material and product loops in the Technosphere. In doing so industrial organisations aim to drive sustainability, ensure supply resilience and explore new financial revenue streams. Unlike the biosphere, the technosphere is immature, often failing to prove financial vitality and hence scalability. This paper utilizes biomimicry to cross fertilize natural intelligence, which evolved over millions of years. Biological organism ensures vitality (surplus of calories) by foraging for food, a process, which contains continuous search and digestion processes, optimized to environmental conditions through evolution. This paper explores how biological search and digestion strategies can be exploited in industrial product takeback systems to make informed decisions for maximizing industrial vitality (surplus of financial income).","author":[{"dropping-particle":"","family":"Bockholt","given":"M. T.","non-dropping-particle":"","parse-names":false,"suffix":""},{"dropping-particle":"","family":"Kristensen","given":"J. H.","non-dropping-particle":"","parse-names":false,"suffix":""},{"dropping-particle":"V.","family":"Wahrens","given":"B.","non-dropping-particle":"","parse-names":false,"suffix":""},{"dropping-particle":"","family":"Evans","given":"S.","non-dropping-particle":"","parse-names":false,"suffix":""}],"container-title":"IEEE International Conference on Industrial Engineering and Engineering Management","id":"ITEM-1","issued":{"date-parts":[["2019"]]},"page":"870-875","title":"Learning from the Nature: Enabling the Transition Towards Circular Economy Through Biomimicry","type":"article-journal"},"uris":["http://www.mendeley.com/documents/?uuid=f92a7067-c1f0-4a45-9709-dec2a0f7b4e4"]},{"id":"ITEM-2","itemData":{"DOI":"10.1016/j.jclepro.2016.07.102","ISSN":"09596526","abstract":"Sustainability has become one of the key factors for long-term business success. Recent research and practice show that business model innovation is a promising approach for improving sustainability in manufacturing firms. To date business models have been examined mostly from the perspectives of value proposition, value capture, value creation and delivery. There is a need for a more comprehensive understanding of value in order to promote sustainability. This paper proposes value uncaptured as a new perspective for sustainable business model innovation, and develops four forms of value uncaptured: value surplus, value absence, value missed and value destroyed. This paper also proposes a framework of using value uncaptured for sustainable business model innovation. This framework has been validated in case studies in six product-service systems firms with advanced manufacturing technologies. The empirical studies identify 26 main sources of value uncaptured throughout the product life cycle. The findings show that (a) the new perspective of value uncaptured can help manufacturing firms understand the negative aspects of their business models; (b) the four forms and 26 sources can assist firms in identifying value uncaptured in a structured way; and (c) the identified value uncaptured can trigger the discovery of new value opportunities which lead to new business models with higher sustainable value. This paper extends the existing studies on business models from the perspectives of value proposition, capture, creation and delivery, to value uncaptured. The proposed framework has helped firms identify value opportunities that trigger the innovation of sustainable business models. Therefore, this paper contributes to both theory and practice in the field of sustainable business models innovation.","author":[{"dropping-particle":"","family":"Yang","given":"M.","non-dropping-particle":"","parse-names":false,"suffix":""},{"dropping-particle":"","family":"Evans","given":"S.","non-dropping-particle":"","parse-names":false,"suffix":""},{"dropping-particle":"","family":"Vladimirova","given":"D.","non-dropping-particle":"","parse-names":false,"suffix":""},{"dropping-particle":"","family":"Rana","given":"P.","non-dropping-particle":"","parse-names":false,"suffix":""}],"container-title":"Journal of Cleaner Production","id":"ITEM-2","issued":{"date-parts":[["2017"]]},"page":"1794-1804","publisher":"Elsevier Ltd","title":"Value uncaptured perspective for sustainable business model innovation","type":"article-journal","volume":"140"},"uris":["http://www.mendeley.com/documents/?uuid=5d5f5de4-640f-4684-a5b7-b26094b64446"]}],"mendeley":{"formattedCitation":"(M. T. Bockholt et al., 2019; Yang et al., 2017)","manualFormatting":"Bockholt et al. (2019) and Yang et al. (2017)","plainTextFormattedCitation":"(M. T. Bockholt et al., 2019; Yang et al., 2017)","previouslyFormattedCitation":"(M. T. Bockholt et al., 2019; Yang et al., 2017)"},"properties":{"noteIndex":0},"schema":"https://github.com/citation-style-language/schema/raw/master/csl-citation.json"}</w:instrText>
      </w:r>
      <w:r w:rsidR="007F3D4C">
        <w:rPr>
          <w:lang w:val="en-US"/>
        </w:rPr>
        <w:fldChar w:fldCharType="separate"/>
      </w:r>
      <w:r w:rsidR="007F3D4C" w:rsidRPr="00C002E9">
        <w:rPr>
          <w:noProof/>
          <w:lang w:val="en-US"/>
        </w:rPr>
        <w:t xml:space="preserve">Bockholt et al. </w:t>
      </w:r>
      <w:r w:rsidR="007F3D4C">
        <w:rPr>
          <w:noProof/>
          <w:lang w:val="en-US"/>
        </w:rPr>
        <w:t>(</w:t>
      </w:r>
      <w:r w:rsidR="007F3D4C" w:rsidRPr="00C002E9">
        <w:rPr>
          <w:noProof/>
          <w:lang w:val="en-US"/>
        </w:rPr>
        <w:t>2019</w:t>
      </w:r>
      <w:r w:rsidR="007F3D4C">
        <w:rPr>
          <w:noProof/>
          <w:lang w:val="en-US"/>
        </w:rPr>
        <w:t>) and</w:t>
      </w:r>
      <w:r w:rsidR="007F3D4C" w:rsidRPr="00C002E9">
        <w:rPr>
          <w:noProof/>
          <w:lang w:val="en-US"/>
        </w:rPr>
        <w:t xml:space="preserve"> Yang et al. </w:t>
      </w:r>
      <w:r w:rsidR="007F3D4C">
        <w:rPr>
          <w:noProof/>
          <w:lang w:val="en-US"/>
        </w:rPr>
        <w:t>(</w:t>
      </w:r>
      <w:r w:rsidR="007F3D4C" w:rsidRPr="00C002E9">
        <w:rPr>
          <w:noProof/>
          <w:lang w:val="en-US"/>
        </w:rPr>
        <w:t>2017)</w:t>
      </w:r>
      <w:r w:rsidR="007F3D4C">
        <w:rPr>
          <w:lang w:val="en-US"/>
        </w:rPr>
        <w:fldChar w:fldCharType="end"/>
      </w:r>
      <w:r w:rsidR="007F3D4C">
        <w:rPr>
          <w:lang w:val="en-US"/>
        </w:rPr>
        <w:t xml:space="preserve"> who stress the importance of the value of the used product.</w:t>
      </w:r>
    </w:p>
    <w:p w14:paraId="4DFCE2E3" w14:textId="771A9C81" w:rsidR="00F613CB" w:rsidRPr="007C12DD" w:rsidRDefault="007F3D4C" w:rsidP="00F613CB">
      <w:pPr>
        <w:spacing w:after="0"/>
        <w:ind w:firstLine="284"/>
        <w:jc w:val="both"/>
        <w:rPr>
          <w:lang w:val="en-US"/>
        </w:rPr>
      </w:pPr>
      <w:r>
        <w:rPr>
          <w:lang w:val="en-US"/>
        </w:rPr>
        <w:t>Third</w:t>
      </w:r>
      <w:r w:rsidR="00F613CB" w:rsidRPr="007C12DD">
        <w:rPr>
          <w:lang w:val="en-US"/>
        </w:rPr>
        <w:t xml:space="preserve">, the start-ups focus on </w:t>
      </w:r>
      <w:r w:rsidR="00F613CB">
        <w:rPr>
          <w:lang w:val="en-US"/>
        </w:rPr>
        <w:t xml:space="preserve">highly </w:t>
      </w:r>
      <w:r w:rsidR="00F613CB" w:rsidRPr="007C12DD">
        <w:rPr>
          <w:lang w:val="en-US"/>
        </w:rPr>
        <w:t>homogeneous waste streams or medium homogenous waste streams. The first case, i.e.</w:t>
      </w:r>
      <w:r w:rsidR="007C72DF">
        <w:rPr>
          <w:lang w:val="en-US"/>
        </w:rPr>
        <w:t>,</w:t>
      </w:r>
      <w:r w:rsidR="00F613CB" w:rsidRPr="007C12DD">
        <w:rPr>
          <w:lang w:val="en-US"/>
        </w:rPr>
        <w:t xml:space="preserve"> highly homogenous input, enables start-ups to match the manufacturing process with the waste characteristics (configuration </w:t>
      </w:r>
      <w:r w:rsidR="00F613CB">
        <w:rPr>
          <w:lang w:val="en-US"/>
        </w:rPr>
        <w:t xml:space="preserve">C </w:t>
      </w:r>
      <w:r w:rsidR="00F613CB" w:rsidRPr="007C12DD">
        <w:rPr>
          <w:lang w:val="en-US"/>
        </w:rPr>
        <w:t>‘processing’). In the latter case, i.e.</w:t>
      </w:r>
      <w:r w:rsidR="007C72DF">
        <w:rPr>
          <w:lang w:val="en-US"/>
        </w:rPr>
        <w:t>,</w:t>
      </w:r>
      <w:r w:rsidR="00F613CB" w:rsidRPr="007C12DD">
        <w:rPr>
          <w:lang w:val="en-US"/>
        </w:rPr>
        <w:t xml:space="preserve"> medium homogeneous waste, the start-ups need to incorporate a certain degree of flexibility in the manufacturing process (configuration </w:t>
      </w:r>
      <w:r w:rsidR="00F613CB">
        <w:rPr>
          <w:lang w:val="en-US"/>
        </w:rPr>
        <w:t>B: ‘extending resource value’ and configuration C: ‘processing’</w:t>
      </w:r>
      <w:r w:rsidR="00F613CB" w:rsidRPr="007C12DD">
        <w:rPr>
          <w:lang w:val="en-US"/>
        </w:rPr>
        <w:t xml:space="preserve">). This suggests that setting the right flexibility boundaries for the manufacturing process or increasing the homogeneity of the input is of utmost importance. Too much flexibility might reduce efficiency while too little flexibility might lead to the need to sort and grade the input </w:t>
      </w:r>
      <w:r w:rsidR="00F613CB" w:rsidRPr="007C12DD">
        <w:rPr>
          <w:lang w:val="en-US"/>
        </w:rPr>
        <w:fldChar w:fldCharType="begin" w:fldLock="1"/>
      </w:r>
      <w:r w:rsidR="00F613CB" w:rsidRPr="007C12DD">
        <w:rPr>
          <w:lang w:val="en-US"/>
        </w:rPr>
        <w:instrText>ADDIN CSL_CITATION {"citationItems":[{"id":"ITEM-1","itemData":{"ISSN":"0017-8012","abstract":"Companies should make design and manufacturing decisions with eventual recycling and reconditioning of their products in mind. Here are the five key activities for establishing a reverse supply chain. [ABSTRACT FROM AUTHOR]","author":[{"dropping-particle":"","family":"Guide Jr.","given":"V.","non-dropping-particle":"","parse-names":false,"suffix":""},{"dropping-particle":"","family":"Wassenhove","given":"Luk","non-dropping-particle":"Van","parse-names":false,"suffix":""}],"container-title":"Harvard business review","id":"ITEM-1","issue":"2","issued":{"date-parts":[["2002"]]},"page":"25-26","title":"The Reverse Supply Chain","type":"article-journal","volume":"80"},"uris":["http://www.mendeley.com/documents/?uuid=d1e9f3c4-3e89-47ea-84e2-8b47bcb99837"]},{"id":"ITEM-2","itemData":{"DOI":"10.1016/j.cie.2007.12.009","ISSN":"03608352","abstract":"This study analyses a production-management model that considers the possibility of implementing a reverse-logistics system for remanufacturing end-of-life products in a lean production environment (as opposed to models that use EOQ approaches). Decision variables are identified (including manufacturing and remanufacturing capacities and return rates and use rates for end-of-life products) and optimal policies are determined. Moreover, the structure of these optimal policies is analysed. The conclusion drawn is that, in many realistic scenarios, mixed policies (that is, with return rates and use rates strictly between 0 and 1) can be optimal. This conclusion is contrary to results published in earlier studies, which are based on more restrictive assumptions. © 2007 Elsevier Ltd. All rights reserved.","author":[{"dropping-particle":"","family":"Rubio","given":"Sergio","non-dropping-particle":"","parse-names":false,"suffix":""},{"dropping-particle":"","family":"Corominas","given":"Albert","non-dropping-particle":"","parse-names":false,"suffix":""}],"container-title":"Computers and Industrial Engineering","id":"ITEM-2","issue":"1","issued":{"date-parts":[["2008"]]},"page":"234-242","title":"Optimal manufacturing-remanufacturing policies in a lean production environment","type":"article-journal","volume":"55"},"uris":["http://www.mendeley.com/documents/?uuid=46dc9001-d120-4a21-bdd3-fba13de9e468"]},{"id":"ITEM-3","itemData":{"DOI":"10.1108/13598540210447719","ISBN":"1359854021044","ISSN":"13598546","abstract":"This paper compares and contrasts forward and reverse logistics in a retail environment, with the focus on the reverse flow of product. Many differences between forward and reverse flows of logistics systems are presented. The impact of these factors depends to some extent on the supply chain position of a firm. Unlike much reverse logistics research, which is written from the perspective of the firm which will remanufacture or refurbish the product in the reverse flow, we consider the issues from the perspective of the firm generating the reverse flow. © 2002, MCB UP Limited","author":[{"dropping-particle":"","family":"Tibben-Lembke","given":"Ronald S.","non-dropping-particle":"","parse-names":false,"suffix":""},{"dropping-particle":"","family":"Rogers","given":"Dale S.","non-dropping-particle":"","parse-names":false,"suffix":""}],"container-title":"Supply Chain Management: An International Journal","id":"ITEM-3","issue":"5","issued":{"date-parts":[["2002"]]},"page":"271-282","title":"Differences between forward and reverse logistics in a retail environment","type":"article-journal","volume":"7"},"uris":["http://www.mendeley.com/documents/?uuid=0aa86a21-32d0-425f-a138-ef8e90a3e713"]},{"id":"ITEM-4","itemData":{"author":[{"dropping-particle":"","family":"Carter","given":"Craig R","non-dropping-particle":"","parse-names":false,"suffix":""},{"dropping-particle":"","family":"Ellram","given":"Lisa M","non-dropping-particle":"","parse-names":false,"suffix":""}],"container-title":"Journal of Business Logistics","id":"ITEM-4","issue":"1","issued":{"date-parts":[["1998"]]},"page":"85-102","title":"Reverse Logistics: A review of the literature and framework for future investigation","type":"article-journal","volume":"19"},"uris":["http://www.mendeley.com/documents/?uuid=e414708b-4cf5-49ab-a150-69d338d0ffd8"]}],"mendeley":{"formattedCitation":"(Carter &amp; Ellram, 1998; V. Guide Jr. &amp; Van Wassenhove, 2002; Rubio &amp; Corominas, 2008; Tibben-Lembke &amp; Rogers, 2002)","manualFormatting":"(Rubio and Corominas, 2008)","plainTextFormattedCitation":"(Carter &amp; Ellram, 1998; V. Guide Jr. &amp; Van Wassenhove, 2002; Rubio &amp; Corominas, 2008; Tibben-Lembke &amp; Rogers, 2002)","previouslyFormattedCitation":"(Carter &amp; Ellram, 1998; V. Guide Jr. &amp; Van Wassenhove, 2002; Rubio &amp; Corominas, 2008; Tibben-Lembke &amp; Rogers, 2002)"},"properties":{"noteIndex":0},"schema":"https://github.com/citation-style-language/schema/raw/master/csl-citation.json"}</w:instrText>
      </w:r>
      <w:r w:rsidR="00F613CB" w:rsidRPr="007C12DD">
        <w:rPr>
          <w:lang w:val="en-US"/>
        </w:rPr>
        <w:fldChar w:fldCharType="separate"/>
      </w:r>
      <w:r w:rsidR="00F613CB" w:rsidRPr="007C12DD">
        <w:rPr>
          <w:noProof/>
          <w:lang w:val="en-US"/>
        </w:rPr>
        <w:t>(Rubio and Corominas, 2008)</w:t>
      </w:r>
      <w:r w:rsidR="00F613CB" w:rsidRPr="007C12DD">
        <w:rPr>
          <w:lang w:val="en-US"/>
        </w:rPr>
        <w:fldChar w:fldCharType="end"/>
      </w:r>
      <w:r w:rsidR="00F613CB" w:rsidRPr="007C12DD">
        <w:rPr>
          <w:lang w:val="en-US"/>
        </w:rPr>
        <w:t xml:space="preserve">. However, little is known about how firms can achieve </w:t>
      </w:r>
      <w:proofErr w:type="gramStart"/>
      <w:r w:rsidR="00F613CB" w:rsidRPr="007C12DD">
        <w:rPr>
          <w:lang w:val="en-US"/>
        </w:rPr>
        <w:t>this</w:t>
      </w:r>
      <w:proofErr w:type="gramEnd"/>
      <w:r w:rsidR="00F613CB" w:rsidRPr="007C12DD">
        <w:rPr>
          <w:lang w:val="en-US"/>
        </w:rPr>
        <w:t xml:space="preserve"> and more in-depth research is needed to understand the feasibility and economic trade-offs of balancing flexibility with improving the homogeneity of the inputs.</w:t>
      </w:r>
    </w:p>
    <w:p w14:paraId="518CAA9A" w14:textId="404D87FC" w:rsidR="00F050F7" w:rsidRPr="007B2648" w:rsidRDefault="00652752" w:rsidP="00714EAF">
      <w:pPr>
        <w:spacing w:after="0"/>
        <w:ind w:firstLine="284"/>
        <w:jc w:val="both"/>
        <w:rPr>
          <w:lang w:val="en-GB"/>
        </w:rPr>
      </w:pPr>
      <w:r>
        <w:rPr>
          <w:lang w:val="en-US"/>
        </w:rPr>
        <w:t>In sum</w:t>
      </w:r>
      <w:r w:rsidR="003409E6" w:rsidRPr="00224650">
        <w:rPr>
          <w:lang w:val="en-US"/>
        </w:rPr>
        <w:t xml:space="preserve">, our findings suggest that it is important to </w:t>
      </w:r>
      <w:r w:rsidR="00577EAC">
        <w:rPr>
          <w:lang w:val="en-US"/>
        </w:rPr>
        <w:t>align</w:t>
      </w:r>
      <w:r w:rsidR="00224650" w:rsidRPr="00224650">
        <w:rPr>
          <w:lang w:val="en-US"/>
        </w:rPr>
        <w:t xml:space="preserve"> </w:t>
      </w:r>
      <w:r w:rsidR="003409E6" w:rsidRPr="00224650">
        <w:rPr>
          <w:lang w:val="en-US"/>
        </w:rPr>
        <w:t xml:space="preserve">the manufacturing </w:t>
      </w:r>
      <w:r w:rsidR="001049C8">
        <w:rPr>
          <w:lang w:val="en-US"/>
        </w:rPr>
        <w:t>configuration</w:t>
      </w:r>
      <w:r w:rsidR="001049C8" w:rsidRPr="00224650">
        <w:rPr>
          <w:lang w:val="en-US"/>
        </w:rPr>
        <w:t xml:space="preserve"> </w:t>
      </w:r>
      <w:r w:rsidR="003409E6" w:rsidRPr="00224650">
        <w:rPr>
          <w:lang w:val="en-US"/>
        </w:rPr>
        <w:t>with the</w:t>
      </w:r>
      <w:r>
        <w:rPr>
          <w:lang w:val="en-US"/>
        </w:rPr>
        <w:t xml:space="preserve"> contingencies </w:t>
      </w:r>
      <w:r w:rsidR="007F3D4C">
        <w:rPr>
          <w:lang w:val="en-US"/>
        </w:rPr>
        <w:t>embedded in the</w:t>
      </w:r>
      <w:r w:rsidR="003409E6" w:rsidRPr="00224650">
        <w:rPr>
          <w:lang w:val="en-US"/>
        </w:rPr>
        <w:t xml:space="preserve"> </w:t>
      </w:r>
      <w:r w:rsidR="00792C09" w:rsidRPr="00224650">
        <w:rPr>
          <w:lang w:val="en-US"/>
        </w:rPr>
        <w:t xml:space="preserve">supply </w:t>
      </w:r>
      <w:r w:rsidR="003409E6" w:rsidRPr="00224650">
        <w:rPr>
          <w:lang w:val="en-US"/>
        </w:rPr>
        <w:t>characteristics</w:t>
      </w:r>
      <w:r w:rsidR="00F050F7" w:rsidRPr="00224650">
        <w:rPr>
          <w:lang w:val="en-US"/>
        </w:rPr>
        <w:t xml:space="preserve">. This is in line with contingency theory </w:t>
      </w:r>
      <w:r w:rsidR="00F050F7" w:rsidRPr="00224650">
        <w:rPr>
          <w:lang w:val="en-US"/>
        </w:rPr>
        <w:fldChar w:fldCharType="begin" w:fldLock="1"/>
      </w:r>
      <w:r w:rsidR="00275B73">
        <w:rPr>
          <w:lang w:val="en-US"/>
        </w:rPr>
        <w:instrText>ADDIN CSL_CITATION {"citationItems":[{"id":"ITEM-1","itemData":{"author":[{"dropping-particle":"","family":"Galbraith","given":"J.R.","non-dropping-particle":"","parse-names":false,"suffix":""}],"id":"ITEM-1","issued":{"date-parts":[["1973"]]},"publisher":"Addison-Wesley Longman Publishing","title":"Designing Complex Organizations","type":"book"},"uris":["http://www.mendeley.com/documents/?uuid=8bbcddc6-09ea-4200-94b9-00d4631ed6d8"]},{"id":"ITEM-2","itemData":{"DOI":"10.2307/2391211","ISSN":"00018392","abstract":"This is a comparative study of six organizations operating in the same industrial environment. The subsystems (sales, research, and production) in each organization were differentiated from each other in terms of subsystem formal structures, the member's goal orientation, member's time orientations and member's interpersonal orientations. This differentiation was related to the requirements of the particular subenvironment with which each subsystem dealt. A relationship was found between the extent to which the states of differentiation and integration in each organization met the requirements of the environment and the relative economic performance of the organizations. Within each organization the degree of differentiation of behavior and orientation between the various subsystems was found to be inversely related to the degree of integration obtained between these subsystems. Since this environment required that economically high performing organizations be both highly differentiated and well integrated, an investigation was also made into how effective organizations attained both of these antagonistic states. All six organizations had similar integrative devices (integrating teams and departments), but in the high performing organizations the integrative devices more fully met six determinants of effectiveness, which included such factors as the pattern of influence in the organization and the typical mode of behavior used to resolve conflict.","author":[{"dropping-particle":"","family":"Lawrence","given":"Paul R.","non-dropping-particle":"","parse-names":false,"suffix":""},{"dropping-particle":"","family":"Lorsch","given":"Jay W.","non-dropping-particle":"","parse-names":false,"suffix":""}],"container-title":"Administrative Science Quarterly","id":"ITEM-2","issue":"1","issued":{"date-parts":[["1967"]]},"page":"1","title":"Differentiation and Integration in Complex Organizations","type":"article-journal","volume":"12"},"uris":["http://www.mendeley.com/documents/?uuid=8a524175-d5a2-43f0-b914-3a4ba51a7f02"]},{"id":"ITEM-3","itemData":{"author":[{"dropping-particle":"","family":"Sousa","given":"R.","non-dropping-particle":"","parse-names":false,"suffix":""},{"dropping-particle":"","family":"Voss","given":"C.A.","non-dropping-particle":"","parse-names":false,"suffix":""}],"container-title":"Journal of Operations Management2","id":"ITEM-3","issue":"6","issued":{"date-parts":[["2008"]]},"page":"697-713","title":"Contingency research in operations management practices","type":"article-journal","volume":"26"},"uris":["http://www.mendeley.com/documents/?uuid=f7529957-a48b-4f24-b019-75f7d1ceff18"]}],"mendeley":{"formattedCitation":"(Galbraith, 1973; Paul R. Lawrence &amp; Lorsch, 1967; Sousa &amp; Voss, 2008)","manualFormatting":"(Galbraith, 1973; Lawrence and Lorsch, 1967; Sousa and Voss, 2008)","plainTextFormattedCitation":"(Galbraith, 1973; Paul R. Lawrence &amp; Lorsch, 1967; Sousa &amp; Voss, 2008)","previouslyFormattedCitation":"(Galbraith, 1973; Paul R. Lawrence &amp; Lorsch, 1967; Sousa &amp; Voss, 2008)"},"properties":{"noteIndex":0},"schema":"https://github.com/citation-style-language/schema/raw/master/csl-citation.json"}</w:instrText>
      </w:r>
      <w:r w:rsidR="00F050F7" w:rsidRPr="00224650">
        <w:rPr>
          <w:lang w:val="en-US"/>
        </w:rPr>
        <w:fldChar w:fldCharType="separate"/>
      </w:r>
      <w:r w:rsidR="00F050F7" w:rsidRPr="00224650">
        <w:rPr>
          <w:noProof/>
          <w:lang w:val="en-US"/>
        </w:rPr>
        <w:t>(Galbraith, 1973; Lawrence and Lorsch, 1967; Sousa and Voss, 2008)</w:t>
      </w:r>
      <w:r w:rsidR="00F050F7" w:rsidRPr="00224650">
        <w:rPr>
          <w:lang w:val="en-US"/>
        </w:rPr>
        <w:fldChar w:fldCharType="end"/>
      </w:r>
      <w:r w:rsidR="00F050F7" w:rsidRPr="00224650">
        <w:rPr>
          <w:lang w:val="en-US"/>
        </w:rPr>
        <w:t>, where the contingent factors for manufacturing CBMs are heterogen</w:t>
      </w:r>
      <w:r w:rsidR="006D7745">
        <w:rPr>
          <w:lang w:val="en-US"/>
        </w:rPr>
        <w:t>e</w:t>
      </w:r>
      <w:r w:rsidR="00F050F7" w:rsidRPr="00224650">
        <w:rPr>
          <w:lang w:val="en-US"/>
        </w:rPr>
        <w:t>ous quality, uncertain timing, insufficient quantities and the value of the used product.</w:t>
      </w:r>
      <w:r w:rsidR="0020544B">
        <w:rPr>
          <w:lang w:val="en-US"/>
        </w:rPr>
        <w:t xml:space="preserve"> </w:t>
      </w:r>
      <w:r w:rsidR="00D61851">
        <w:rPr>
          <w:lang w:val="en-US"/>
        </w:rPr>
        <w:t xml:space="preserve">The impact of contingencies </w:t>
      </w:r>
      <w:r w:rsidR="00C002E9">
        <w:rPr>
          <w:lang w:val="en-US"/>
        </w:rPr>
        <w:t xml:space="preserve">on sustainable practices </w:t>
      </w:r>
      <w:r w:rsidR="00D61851">
        <w:rPr>
          <w:lang w:val="en-US"/>
        </w:rPr>
        <w:t xml:space="preserve">is congruent with </w:t>
      </w:r>
      <w:r w:rsidR="00D82F83">
        <w:rPr>
          <w:lang w:val="en-US"/>
        </w:rPr>
        <w:t xml:space="preserve">the </w:t>
      </w:r>
      <w:r w:rsidR="00D82F83">
        <w:rPr>
          <w:lang w:val="en-US"/>
        </w:rPr>
        <w:lastRenderedPageBreak/>
        <w:t>growing body of</w:t>
      </w:r>
      <w:r w:rsidR="00D61851">
        <w:rPr>
          <w:lang w:val="en-US"/>
        </w:rPr>
        <w:t xml:space="preserve"> contingency research in sustainable </w:t>
      </w:r>
      <w:r w:rsidR="00D82F83">
        <w:rPr>
          <w:lang w:val="en-US"/>
        </w:rPr>
        <w:t>operations and s</w:t>
      </w:r>
      <w:r w:rsidR="00D61851">
        <w:rPr>
          <w:lang w:val="en-US"/>
        </w:rPr>
        <w:t>upply chain management such as</w:t>
      </w:r>
      <w:r w:rsidR="00D82F83">
        <w:rPr>
          <w:lang w:val="en-US"/>
        </w:rPr>
        <w:t xml:space="preserve"> </w:t>
      </w:r>
      <w:r w:rsidR="00D82F83">
        <w:rPr>
          <w:lang w:val="en-US"/>
        </w:rPr>
        <w:fldChar w:fldCharType="begin" w:fldLock="1"/>
      </w:r>
      <w:r w:rsidR="00C002E9">
        <w:rPr>
          <w:lang w:val="en-US"/>
        </w:rPr>
        <w:instrText>ADDIN CSL_CITATION {"citationItems":[{"id":"ITEM-1","itemData":{"DOI":"10.1016/j.ijpe.2022.108414","ISSN":"09255273","abstract":"Additive manufacturing (AM) is one of the technologies driving the shift to Industry 4.0. This transition reconfigures the supply chain to achieve the circular economy (CE) ideal along with improved resource efficiency. This study aims to explore how AM can be implemented in the CE context and to conceptualise the integration of AM and CE. The conceptual elements are identified through a systematic review and content analysis of the related literature, which consist of 51 journal articles. The content analysis was further enhanced by a contingency analysis and a causal loop diagram (CLD). The study highlights the role of the customer and the maturity of the technology as cornerstones when adopting AM in the CE context. Further, understanding the impact of manufacture location, the rapid prototyping legacy and workforce skill is crucial for achieving sustainability in the long run through AM implementation. Further, the contingency analysis reveals key constructs, which are grouped into five key clusters that need to be considered when implementing AM: (1) supply chain actors, (2) drivers, (3) key AM decisions, (4) CE implementation strategies and (5) operational practices. The CLD illustrates the interconnections between these five clusters, thereby revealing how key AM decisions and drivers mediate the influence exerted by CE implementation strategies and supply chain actors of AM on the operational practices. From a practical viewpoint, this study strives to realise the CE by proposing an elaborated guideline for practitioners to implement state-of-the-art AM technology.","author":[{"dropping-particle":"","family":"Hettiarachchi","given":"Biman Darshana","non-dropping-particle":"","parse-names":false,"suffix":""},{"dropping-particle":"","family":"Brandenburg","given":"Marcus","non-dropping-particle":"","parse-names":false,"suffix":""},{"dropping-particle":"","family":"Seuring","given":"Stefan","non-dropping-particle":"","parse-names":false,"suffix":""}],"container-title":"International Journal of Production Economics","id":"ITEM-1","issue":"January","issued":{"date-parts":[["2022"]]},"page":"108414","publisher":"Elsevier B.V.","title":"Connecting additive manufacturing to circular economy implementation strategies: Links, contingencies and causal loops","type":"article-journal","volume":"246"},"uris":["http://www.mendeley.com/documents/?uuid=46b7cf44-e45e-40d8-b74a-2d62f558424c"]},{"id":"ITEM-2","itemData":{"DOI":"10.1108/IJOPM-01-2020-0043","ISSN":"17586593","abstract":"Purpose: This paper explores how organizational capabilities and path dependence affect the implementation of supply chain (SC) sustainability initiatives. Through the lenses of contingency and evolutionary theory, the paper addresses the underexplored supply chain dynamics that enhance or inhibit sustainability trajectories. Design/methodology/approach: Using in-depth multi-case studies for theory elaboration, five supply chains were studied through open-ended interviews with SC members, secondary data collection and site visit observation. The design consists of a combination of deductive and inductive approaches to elaborate theory on supply chain dynamics and enhanced sustainability trajectories. Findings: The empirical study shows that learning is a fundamental condition for supply chains as they implement sustainability initiatives, and that exploitation capabilities are more frequently used than exploration capabilities. Path dependence plays a role in the outcomes of supply chain sustainability initiatives, which are influenced by both path dependence and contingencies of the contexts in which these systems operate. Research limitations/implications: This paper puts forward five propositions that emerge from the literature and from the field study results. Although this is an exploratory research bounded by geographical limitations and the limited number of SC cases, the goal of elaborating theory may open up several promising avenues for future large-scale and longitudinal research studies. Practical implications: By enhancing our understanding of the dynamics of supply chain sustainability trajectories, decision-makers, scholars and policy-makers can better understand how supply chains learn, how they employ SC member capabilities and how they deal with stakeholder resistance. Originality/value: This paper extends supply chain sustainability theory by addressing the knowledge gap that exists with regard to understanding the dynamics of evolving supply chain sustainability trajectories. This paper sheds additional light on this important topic and contributes in multiple ways to the sustainable supply chain management literature.","author":[{"dropping-particle":"","family":"Silvestre","given":"Bruno S.","non-dropping-particle":"","parse-names":false,"suffix":""},{"dropping-particle":"","family":"Silva","given":"Minelle E.","non-dropping-particle":"","parse-names":false,"suffix":""},{"dropping-particle":"","family":"Cormack","given":"Allan","non-dropping-particle":"","parse-names":false,"suffix":""},{"dropping-particle":"","family":"Thome","given":"Antônio Márcio Tavares","non-dropping-particle":"","parse-names":false,"suffix":""}],"container-title":"International Journal of Operations and Production Management","id":"ITEM-2","issue":"9","issued":{"date-parts":[["2020"]]},"page":"1301-1337","title":"Supply chain sustainability trajectories: learning through sustainability initiatives","type":"article-journal","volume":"40"},"uris":["http://www.mendeley.com/documents/?uuid=479b4c42-9157-483f-b4c2-ad3d7dc48de4"]},{"id":"ITEM-3","itemData":{"DOI":"10.1016/j.jom.2013.04.002","ISSN":"02726963","abstract":"This study investigates the importance of contextual factors on the efficacy of ISO 9000 adoption. We explore the role of various contextual factors at the firm-level (i.e., technology intensity, labor productivity, and labor intensity) and industry-level (i.e., industry efficiency level, industry competitiveness, industry sales growth, and industry ISO 9000 adoption level) that potentially impact the efficacy of ISO 9000 adoption. We carry out a hierarchical linear modeling (HLM) analysis based on objective financial data from 438 U.S. manufacturing firms. The results show that firms with low technology intensity, low labor productivity and high labor intensity reap more benefit from ISO 9000 adoption. Firms in industries with low efficiency levels, high competition, high sales growth and low ISO 9000 adoption levels also obtain more benefit from the adoption. Our research provides supporting evidence for the context-dependent proposition of ISO 9000 adoption. Given the significant costs and resources involved, it is crucial for operations managers to assess to what extent ISO 9000 might benefit their performance before embarking on the implementation process. © 2013 Elsevier B.V.","aut</w:instrText>
      </w:r>
      <w:r w:rsidR="00C002E9" w:rsidRPr="00CE453D">
        <w:rPr>
          <w:lang w:val="it-IT"/>
        </w:rPr>
        <w:instrText>h</w:instrText>
      </w:r>
      <w:r w:rsidR="00C002E9" w:rsidRPr="007B2648">
        <w:rPr>
          <w:lang w:val="it-IT"/>
        </w:rPr>
        <w:instrText>or":[{"dropping-particle":"","family":"Lo","given":"Chris K.Y.","non-dropping-particle":"","parse-names":false,"suffix":""},{"dropping-particle":"","family":"Wiengarten","given":"Frank","non-dropping-particle":"","parse-names":false,"suffix":""},{"dropping-particle":"","family":"Humphreys","given":"Paul","non-dropping-particle":"","parse-names":false,"suffix":""},{"dropping-particle":"","family":"Yeung","given":"Andy C.L.","non-dropping-particle":"","parse-names":false,"suffix":""},{"dropping-particle":"","family":"Cheng","given":"T. C.E.","non-dropping-particle":"","parse-names":false,"suffix":""}],"container-title":"Journal of Operations Management","id":"ITEM-3","issue":"5","issued":{"date-parts":[["2013"]]},"page":"229-235","publisher":"Elsevier B.V.","title":"The impact of contextual factors on the efficacy of ISO 9000 adoption","type":"article-journal","volume":"31"},"uris":["http://www.mendeley.com/documents/?uuid=a2e7c8ce-7a60-46e0-9e9c-ec27b3a4def5"]}],"mendeley":{"formattedCitation":"(Hettiarachchi et al., 2022; Lo et al., 2013; Silvestre et al., 2020)","manualFormatting":"Hettiarachchi et al. (2022), Lo et al. (2013) and Silvestre et al. (2020)","plainTextFormattedCitation":"(Hettiarachchi et al., 2022; Lo et al., 2013; Silvestre et al., 2020)","previouslyFormattedCitation":"(Hettiarachchi et al., 2022; Lo et al., 2013; Silvestre et al., 2020)"},"properties":{"noteIndex":0},"schema":"https://github.com/citation-style-language/schema/raw/master/csl-citation.json"}</w:instrText>
      </w:r>
      <w:r w:rsidR="00D82F83">
        <w:rPr>
          <w:lang w:val="en-US"/>
        </w:rPr>
        <w:fldChar w:fldCharType="separate"/>
      </w:r>
      <w:r w:rsidR="00D82F83" w:rsidRPr="007B2648">
        <w:rPr>
          <w:noProof/>
          <w:lang w:val="it-IT"/>
        </w:rPr>
        <w:t>Hettiarachchi et al. (2022), Lo et al. (2013) an</w:t>
      </w:r>
      <w:r w:rsidR="00D82F83">
        <w:rPr>
          <w:noProof/>
          <w:lang w:val="it-IT"/>
        </w:rPr>
        <w:t>d</w:t>
      </w:r>
      <w:r w:rsidR="00D82F83" w:rsidRPr="007B2648">
        <w:rPr>
          <w:noProof/>
          <w:lang w:val="it-IT"/>
        </w:rPr>
        <w:t xml:space="preserve"> Silvestre et al. </w:t>
      </w:r>
      <w:r w:rsidR="00D82F83" w:rsidRPr="007B2648">
        <w:rPr>
          <w:noProof/>
          <w:lang w:val="en-GB"/>
        </w:rPr>
        <w:t>(2020)</w:t>
      </w:r>
      <w:r w:rsidR="00D82F83">
        <w:rPr>
          <w:lang w:val="en-US"/>
        </w:rPr>
        <w:fldChar w:fldCharType="end"/>
      </w:r>
      <w:r w:rsidR="00D82F83" w:rsidRPr="007B2648">
        <w:rPr>
          <w:lang w:val="en-GB"/>
        </w:rPr>
        <w:t>.</w:t>
      </w:r>
    </w:p>
    <w:p w14:paraId="657A5B69" w14:textId="77777777" w:rsidR="00090E40" w:rsidRPr="007B2648" w:rsidRDefault="00090E40" w:rsidP="001C72A7">
      <w:pPr>
        <w:spacing w:after="0"/>
        <w:jc w:val="both"/>
        <w:rPr>
          <w:lang w:val="en-GB"/>
        </w:rPr>
      </w:pPr>
    </w:p>
    <w:p w14:paraId="44B7232A" w14:textId="02DACD33" w:rsidR="00603F66" w:rsidRPr="007C12DD" w:rsidRDefault="00603F66" w:rsidP="00603F66">
      <w:pPr>
        <w:spacing w:after="0"/>
        <w:jc w:val="both"/>
        <w:rPr>
          <w:b/>
          <w:bCs/>
          <w:lang w:val="en-US"/>
        </w:rPr>
      </w:pPr>
      <w:r w:rsidRPr="007C12DD">
        <w:rPr>
          <w:b/>
          <w:bCs/>
          <w:lang w:val="en-US"/>
        </w:rPr>
        <w:t>6. C</w:t>
      </w:r>
      <w:r w:rsidR="00A211AA" w:rsidRPr="007C12DD">
        <w:rPr>
          <w:b/>
          <w:bCs/>
          <w:lang w:val="en-US"/>
        </w:rPr>
        <w:t>onclusion</w:t>
      </w:r>
    </w:p>
    <w:p w14:paraId="6ACF9F81" w14:textId="7E7C6941" w:rsidR="00E77D3F" w:rsidRDefault="00CE6F3F" w:rsidP="00603F66">
      <w:pPr>
        <w:spacing w:after="0"/>
        <w:jc w:val="both"/>
        <w:rPr>
          <w:lang w:val="en-US"/>
        </w:rPr>
      </w:pPr>
      <w:r w:rsidRPr="007C12DD">
        <w:rPr>
          <w:lang w:val="en-US"/>
        </w:rPr>
        <w:t>This study sheds</w:t>
      </w:r>
      <w:r w:rsidR="008F6855" w:rsidRPr="007C12DD">
        <w:rPr>
          <w:lang w:val="en-US"/>
        </w:rPr>
        <w:t xml:space="preserve"> new</w:t>
      </w:r>
      <w:r w:rsidRPr="007C12DD">
        <w:rPr>
          <w:lang w:val="en-US"/>
        </w:rPr>
        <w:t xml:space="preserve"> light upon the </w:t>
      </w:r>
      <w:r w:rsidR="00521234">
        <w:rPr>
          <w:lang w:val="en-US"/>
        </w:rPr>
        <w:t>manufacturing</w:t>
      </w:r>
      <w:r w:rsidRPr="007C12DD">
        <w:rPr>
          <w:lang w:val="en-US"/>
        </w:rPr>
        <w:t xml:space="preserve"> configurations for CBMs. </w:t>
      </w:r>
      <w:r w:rsidR="008F6855" w:rsidRPr="007C12DD">
        <w:rPr>
          <w:lang w:val="en-US"/>
        </w:rPr>
        <w:t xml:space="preserve">To transition to a circular economy, profitable CBMs are needed. Still, extant research has mainly focused on </w:t>
      </w:r>
      <w:r w:rsidR="00E77D3F" w:rsidRPr="007C12DD">
        <w:rPr>
          <w:lang w:val="en-US"/>
        </w:rPr>
        <w:t xml:space="preserve">developing specific solutions </w:t>
      </w:r>
      <w:r w:rsidR="00DD3E09" w:rsidRPr="007C12DD">
        <w:rPr>
          <w:lang w:val="en-US"/>
        </w:rPr>
        <w:t>for discrete</w:t>
      </w:r>
      <w:r w:rsidR="00E77D3F" w:rsidRPr="007C12DD">
        <w:rPr>
          <w:lang w:val="en-US"/>
        </w:rPr>
        <w:t xml:space="preserve"> </w:t>
      </w:r>
      <w:r w:rsidR="00DD3E09" w:rsidRPr="007C12DD">
        <w:rPr>
          <w:lang w:val="en-US"/>
        </w:rPr>
        <w:t>re</w:t>
      </w:r>
      <w:r w:rsidR="007B6FCB" w:rsidRPr="007C12DD">
        <w:rPr>
          <w:lang w:val="en-US"/>
        </w:rPr>
        <w:t>manufacturing</w:t>
      </w:r>
      <w:r w:rsidR="00E77D3F" w:rsidRPr="007C12DD">
        <w:rPr>
          <w:lang w:val="en-US"/>
        </w:rPr>
        <w:t xml:space="preserve"> </w:t>
      </w:r>
      <w:r w:rsidR="00DD3E09" w:rsidRPr="007C12DD">
        <w:rPr>
          <w:lang w:val="en-US"/>
        </w:rPr>
        <w:t xml:space="preserve">CBMs </w:t>
      </w:r>
      <w:r w:rsidR="00E77D3F" w:rsidRPr="007C12DD">
        <w:rPr>
          <w:lang w:val="en-US"/>
        </w:rPr>
        <w:t xml:space="preserve">while </w:t>
      </w:r>
      <w:r w:rsidR="007A730C" w:rsidRPr="007C12DD">
        <w:rPr>
          <w:lang w:val="en-US"/>
        </w:rPr>
        <w:t>overlooking</w:t>
      </w:r>
      <w:r w:rsidR="00E77D3F" w:rsidRPr="007C12DD">
        <w:rPr>
          <w:lang w:val="en-US"/>
        </w:rPr>
        <w:t xml:space="preserve"> which manufacturing configurations enable an economically attractive circular transition. </w:t>
      </w:r>
      <w:r w:rsidRPr="007C12DD">
        <w:rPr>
          <w:lang w:val="en-US"/>
        </w:rPr>
        <w:t xml:space="preserve">By analyzing the manufacturing configurations of </w:t>
      </w:r>
      <w:r w:rsidR="00DD3E09" w:rsidRPr="007C12DD">
        <w:rPr>
          <w:lang w:val="en-US"/>
        </w:rPr>
        <w:t xml:space="preserve">96 </w:t>
      </w:r>
      <w:r w:rsidRPr="007C12DD">
        <w:rPr>
          <w:lang w:val="en-US"/>
        </w:rPr>
        <w:t>successful circular start</w:t>
      </w:r>
      <w:r w:rsidR="0087600B" w:rsidRPr="007C12DD">
        <w:rPr>
          <w:lang w:val="en-US"/>
        </w:rPr>
        <w:t>-</w:t>
      </w:r>
      <w:r w:rsidRPr="007C12DD">
        <w:rPr>
          <w:lang w:val="en-US"/>
        </w:rPr>
        <w:t xml:space="preserve">ups, we suggest </w:t>
      </w:r>
      <w:r w:rsidR="00DD3E09" w:rsidRPr="007C12DD">
        <w:rPr>
          <w:lang w:val="en-US"/>
        </w:rPr>
        <w:t xml:space="preserve">three </w:t>
      </w:r>
      <w:r w:rsidR="008F6855" w:rsidRPr="007C12DD">
        <w:rPr>
          <w:lang w:val="en-US"/>
        </w:rPr>
        <w:t xml:space="preserve">successful </w:t>
      </w:r>
      <w:r w:rsidR="00717BC5" w:rsidRPr="007C12DD">
        <w:rPr>
          <w:lang w:val="en-US"/>
        </w:rPr>
        <w:t>configuration</w:t>
      </w:r>
      <w:r w:rsidR="00775AE7" w:rsidRPr="007C12DD">
        <w:rPr>
          <w:lang w:val="en-US"/>
        </w:rPr>
        <w:t>s</w:t>
      </w:r>
      <w:r w:rsidR="008F6855" w:rsidRPr="007C12DD">
        <w:rPr>
          <w:lang w:val="en-US"/>
        </w:rPr>
        <w:t xml:space="preserve">. </w:t>
      </w:r>
      <w:r w:rsidR="00E77D3F" w:rsidRPr="007C12DD">
        <w:rPr>
          <w:lang w:val="en-US"/>
        </w:rPr>
        <w:t xml:space="preserve">The </w:t>
      </w:r>
      <w:r w:rsidR="00DD3E09" w:rsidRPr="007C12DD">
        <w:rPr>
          <w:lang w:val="en-US"/>
        </w:rPr>
        <w:t xml:space="preserve">three </w:t>
      </w:r>
      <w:r w:rsidR="00717BC5" w:rsidRPr="007C12DD">
        <w:rPr>
          <w:lang w:val="en-US"/>
        </w:rPr>
        <w:t>configuration</w:t>
      </w:r>
      <w:r w:rsidR="00775AE7" w:rsidRPr="007C12DD">
        <w:rPr>
          <w:lang w:val="en-US"/>
        </w:rPr>
        <w:t xml:space="preserve">s </w:t>
      </w:r>
      <w:r w:rsidR="00E77D3F" w:rsidRPr="007C12DD">
        <w:rPr>
          <w:lang w:val="en-US"/>
        </w:rPr>
        <w:t xml:space="preserve">provide insight into the </w:t>
      </w:r>
      <w:r w:rsidR="00DD3E09" w:rsidRPr="007C12DD">
        <w:rPr>
          <w:lang w:val="en-US"/>
        </w:rPr>
        <w:t>pre-manufacturing activities</w:t>
      </w:r>
      <w:r w:rsidR="00E77D3F" w:rsidRPr="007C12DD">
        <w:rPr>
          <w:lang w:val="en-US"/>
        </w:rPr>
        <w:t xml:space="preserve"> (</w:t>
      </w:r>
      <w:r w:rsidR="00DD3E09" w:rsidRPr="007C12DD">
        <w:rPr>
          <w:lang w:val="en-US"/>
        </w:rPr>
        <w:t>i.e.</w:t>
      </w:r>
      <w:r w:rsidR="007C72DF">
        <w:rPr>
          <w:lang w:val="en-US"/>
        </w:rPr>
        <w:t>,</w:t>
      </w:r>
      <w:r w:rsidR="00DD3E09" w:rsidRPr="007C12DD">
        <w:rPr>
          <w:lang w:val="en-US"/>
        </w:rPr>
        <w:t xml:space="preserve"> sorting and grading</w:t>
      </w:r>
      <w:r w:rsidR="00E77D3F" w:rsidRPr="007C12DD">
        <w:rPr>
          <w:lang w:val="en-US"/>
        </w:rPr>
        <w:t xml:space="preserve">), </w:t>
      </w:r>
      <w:r w:rsidR="00DD3E09" w:rsidRPr="007C12DD">
        <w:rPr>
          <w:lang w:val="en-US"/>
        </w:rPr>
        <w:t>the manufacturing type (e.g.</w:t>
      </w:r>
      <w:r w:rsidR="007C72DF">
        <w:rPr>
          <w:lang w:val="en-US"/>
        </w:rPr>
        <w:t>,</w:t>
      </w:r>
      <w:r w:rsidR="00DD3E09" w:rsidRPr="007C12DD">
        <w:rPr>
          <w:lang w:val="en-US"/>
        </w:rPr>
        <w:t xml:space="preserve"> discrete and process manufacturing) and the product transformation (e.g.</w:t>
      </w:r>
      <w:r w:rsidR="007C72DF">
        <w:rPr>
          <w:lang w:val="en-US"/>
        </w:rPr>
        <w:t>,</w:t>
      </w:r>
      <w:r w:rsidR="00DD3E09" w:rsidRPr="007C12DD">
        <w:rPr>
          <w:lang w:val="en-US"/>
        </w:rPr>
        <w:t xml:space="preserve"> upcycling and downcycling)</w:t>
      </w:r>
      <w:r w:rsidR="00657E9E" w:rsidRPr="007C12DD">
        <w:rPr>
          <w:lang w:val="en-US"/>
        </w:rPr>
        <w:t>. We identified how the manufacturing configuration</w:t>
      </w:r>
      <w:r w:rsidR="007A730C" w:rsidRPr="007C12DD">
        <w:rPr>
          <w:lang w:val="en-US"/>
        </w:rPr>
        <w:t>s</w:t>
      </w:r>
      <w:r w:rsidR="00657E9E" w:rsidRPr="007C12DD">
        <w:rPr>
          <w:lang w:val="en-US"/>
        </w:rPr>
        <w:t xml:space="preserve"> </w:t>
      </w:r>
      <w:r w:rsidR="003E7567">
        <w:rPr>
          <w:lang w:val="en-US"/>
        </w:rPr>
        <w:t>are contingent upon</w:t>
      </w:r>
      <w:r w:rsidR="00657E9E" w:rsidRPr="007C12DD">
        <w:rPr>
          <w:lang w:val="en-US"/>
        </w:rPr>
        <w:t xml:space="preserve"> supply characteristics, thereby highlighting that a given manufacturing configuration does not work in every given context</w:t>
      </w:r>
      <w:r w:rsidR="00DD3E09" w:rsidRPr="007C12DD">
        <w:rPr>
          <w:lang w:val="en-US"/>
        </w:rPr>
        <w:t xml:space="preserve">. </w:t>
      </w:r>
      <w:r w:rsidR="00542696" w:rsidRPr="007C12DD">
        <w:rPr>
          <w:lang w:val="en-US"/>
        </w:rPr>
        <w:t>Fig</w:t>
      </w:r>
      <w:r w:rsidR="00D4037A">
        <w:rPr>
          <w:lang w:val="en-US"/>
        </w:rPr>
        <w:t>.</w:t>
      </w:r>
      <w:r w:rsidR="00542696" w:rsidRPr="007C12DD">
        <w:rPr>
          <w:lang w:val="en-US"/>
        </w:rPr>
        <w:t xml:space="preserve"> 3</w:t>
      </w:r>
      <w:r w:rsidR="00DD3E09" w:rsidRPr="007C12DD">
        <w:rPr>
          <w:lang w:val="en-US"/>
        </w:rPr>
        <w:t xml:space="preserve"> summarizes </w:t>
      </w:r>
      <w:r w:rsidR="007A730C" w:rsidRPr="007C12DD">
        <w:rPr>
          <w:lang w:val="en-US"/>
        </w:rPr>
        <w:t xml:space="preserve">the main findings by </w:t>
      </w:r>
      <w:r w:rsidR="006B3294">
        <w:rPr>
          <w:lang w:val="en-US"/>
        </w:rPr>
        <w:t>adding</w:t>
      </w:r>
      <w:r w:rsidR="006B3294" w:rsidRPr="007C12DD">
        <w:rPr>
          <w:lang w:val="en-US"/>
        </w:rPr>
        <w:t xml:space="preserve"> </w:t>
      </w:r>
      <w:r w:rsidR="00542696" w:rsidRPr="007C12DD">
        <w:rPr>
          <w:lang w:val="en-US"/>
        </w:rPr>
        <w:t>the results</w:t>
      </w:r>
      <w:r w:rsidR="001C70F4" w:rsidRPr="007C12DD">
        <w:rPr>
          <w:lang w:val="en-US"/>
        </w:rPr>
        <w:t xml:space="preserve"> of our study</w:t>
      </w:r>
      <w:r w:rsidR="00542696" w:rsidRPr="007C12DD">
        <w:rPr>
          <w:lang w:val="en-US"/>
        </w:rPr>
        <w:t xml:space="preserve"> </w:t>
      </w:r>
      <w:r w:rsidR="006B3294">
        <w:rPr>
          <w:lang w:val="en-US"/>
        </w:rPr>
        <w:t>to</w:t>
      </w:r>
      <w:r w:rsidR="006B3294" w:rsidRPr="007C12DD">
        <w:rPr>
          <w:lang w:val="en-US"/>
        </w:rPr>
        <w:t xml:space="preserve"> </w:t>
      </w:r>
      <w:r w:rsidR="00971D74">
        <w:rPr>
          <w:lang w:val="en-US"/>
        </w:rPr>
        <w:t>F</w:t>
      </w:r>
      <w:r w:rsidR="00542696" w:rsidRPr="007C12DD">
        <w:rPr>
          <w:lang w:val="en-US"/>
        </w:rPr>
        <w:t>ig</w:t>
      </w:r>
      <w:r w:rsidR="00D4037A">
        <w:rPr>
          <w:lang w:val="en-US"/>
        </w:rPr>
        <w:t>.</w:t>
      </w:r>
      <w:r w:rsidR="00542696" w:rsidRPr="007C12DD">
        <w:rPr>
          <w:lang w:val="en-US"/>
        </w:rPr>
        <w:t xml:space="preserve"> 2 of the </w:t>
      </w:r>
      <w:r w:rsidR="006B3294">
        <w:rPr>
          <w:lang w:val="en-US"/>
        </w:rPr>
        <w:t>literature review</w:t>
      </w:r>
      <w:r w:rsidR="00542696" w:rsidRPr="007C12DD">
        <w:rPr>
          <w:lang w:val="en-US"/>
        </w:rPr>
        <w:t>.</w:t>
      </w:r>
      <w:r w:rsidR="00E77D3F" w:rsidRPr="007C12DD">
        <w:rPr>
          <w:lang w:val="en-US"/>
        </w:rPr>
        <w:t xml:space="preserve"> </w:t>
      </w:r>
    </w:p>
    <w:p w14:paraId="018C65FB" w14:textId="77777777" w:rsidR="00F942EC" w:rsidRPr="007C12DD" w:rsidRDefault="00F942EC" w:rsidP="00603F66">
      <w:pPr>
        <w:spacing w:after="0"/>
        <w:jc w:val="both"/>
        <w:rPr>
          <w:lang w:val="en-US"/>
        </w:rPr>
      </w:pPr>
    </w:p>
    <w:p w14:paraId="15D41B0B" w14:textId="4337883C" w:rsidR="00E77D3F" w:rsidRPr="007C12DD" w:rsidRDefault="00883141" w:rsidP="00603F66">
      <w:pPr>
        <w:spacing w:after="0"/>
        <w:jc w:val="both"/>
        <w:rPr>
          <w:lang w:val="en-US"/>
        </w:rPr>
      </w:pPr>
      <w:r>
        <w:rPr>
          <w:noProof/>
          <w:lang w:val="it-IT" w:eastAsia="it-IT"/>
        </w:rPr>
        <w:drawing>
          <wp:inline distT="0" distB="0" distL="0" distR="0" wp14:anchorId="44724974" wp14:editId="79610E06">
            <wp:extent cx="5759450" cy="2174240"/>
            <wp:effectExtent l="0" t="0" r="0" b="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10"/>
                    <a:stretch>
                      <a:fillRect/>
                    </a:stretch>
                  </pic:blipFill>
                  <pic:spPr>
                    <a:xfrm>
                      <a:off x="0" y="0"/>
                      <a:ext cx="5759450" cy="2174240"/>
                    </a:xfrm>
                    <a:prstGeom prst="rect">
                      <a:avLst/>
                    </a:prstGeom>
                  </pic:spPr>
                </pic:pic>
              </a:graphicData>
            </a:graphic>
          </wp:inline>
        </w:drawing>
      </w:r>
    </w:p>
    <w:p w14:paraId="1248920B" w14:textId="28E58A45" w:rsidR="00542696" w:rsidRPr="007C12DD" w:rsidRDefault="00542696" w:rsidP="00542696">
      <w:pPr>
        <w:spacing w:after="0"/>
        <w:jc w:val="center"/>
        <w:rPr>
          <w:i/>
          <w:iCs/>
          <w:lang w:val="en-US"/>
        </w:rPr>
      </w:pPr>
      <w:r w:rsidRPr="007C12DD">
        <w:rPr>
          <w:b/>
          <w:bCs/>
          <w:i/>
          <w:iCs/>
          <w:lang w:val="en-US"/>
        </w:rPr>
        <w:t>Fig</w:t>
      </w:r>
      <w:r w:rsidR="00D4037A">
        <w:rPr>
          <w:b/>
          <w:bCs/>
          <w:i/>
          <w:iCs/>
          <w:lang w:val="en-US"/>
        </w:rPr>
        <w:t>.</w:t>
      </w:r>
      <w:r w:rsidRPr="007C12DD">
        <w:rPr>
          <w:b/>
          <w:bCs/>
          <w:i/>
          <w:iCs/>
          <w:lang w:val="en-US"/>
        </w:rPr>
        <w:t xml:space="preserve"> 3</w:t>
      </w:r>
      <w:r w:rsidRPr="007C12DD">
        <w:rPr>
          <w:i/>
          <w:iCs/>
          <w:lang w:val="en-US"/>
        </w:rPr>
        <w:t xml:space="preserve">. The </w:t>
      </w:r>
      <w:r w:rsidR="001049C8">
        <w:rPr>
          <w:i/>
          <w:iCs/>
          <w:lang w:val="en-US"/>
        </w:rPr>
        <w:t>alignment</w:t>
      </w:r>
      <w:r w:rsidR="001049C8" w:rsidRPr="007C12DD">
        <w:rPr>
          <w:i/>
          <w:iCs/>
          <w:lang w:val="en-US"/>
        </w:rPr>
        <w:t xml:space="preserve"> </w:t>
      </w:r>
      <w:r w:rsidRPr="007C12DD">
        <w:rPr>
          <w:i/>
          <w:iCs/>
          <w:lang w:val="en-US"/>
        </w:rPr>
        <w:t xml:space="preserve">of the manufacturing configuration and supply characteristics. </w:t>
      </w:r>
    </w:p>
    <w:p w14:paraId="078852A5" w14:textId="13D73A58" w:rsidR="00572046" w:rsidRPr="007C12DD" w:rsidRDefault="00572046" w:rsidP="00572046">
      <w:pPr>
        <w:spacing w:after="0"/>
        <w:rPr>
          <w:lang w:val="en-US"/>
        </w:rPr>
      </w:pPr>
    </w:p>
    <w:p w14:paraId="0A4830A0" w14:textId="08F649C5" w:rsidR="00572046" w:rsidRPr="007C12DD" w:rsidRDefault="00572046" w:rsidP="00572046">
      <w:pPr>
        <w:spacing w:after="0"/>
        <w:jc w:val="both"/>
        <w:rPr>
          <w:i/>
          <w:iCs/>
          <w:lang w:val="en-US"/>
        </w:rPr>
      </w:pPr>
      <w:r w:rsidRPr="007C12DD">
        <w:rPr>
          <w:i/>
          <w:iCs/>
          <w:lang w:val="en-US"/>
        </w:rPr>
        <w:t xml:space="preserve">6.1. </w:t>
      </w:r>
      <w:r w:rsidR="00971D74">
        <w:rPr>
          <w:i/>
          <w:iCs/>
          <w:lang w:val="en-US"/>
        </w:rPr>
        <w:t>Future r</w:t>
      </w:r>
      <w:r w:rsidRPr="007C12DD">
        <w:rPr>
          <w:i/>
          <w:iCs/>
          <w:lang w:val="en-US"/>
        </w:rPr>
        <w:t>esearch directions</w:t>
      </w:r>
    </w:p>
    <w:p w14:paraId="17B56972" w14:textId="3D013ADB" w:rsidR="00572046" w:rsidRPr="007C12DD" w:rsidRDefault="00572046" w:rsidP="008E0C0A">
      <w:pPr>
        <w:spacing w:after="0"/>
        <w:jc w:val="both"/>
        <w:rPr>
          <w:lang w:val="en-US"/>
        </w:rPr>
      </w:pPr>
      <w:r w:rsidRPr="007C12DD">
        <w:rPr>
          <w:lang w:val="en-US"/>
        </w:rPr>
        <w:lastRenderedPageBreak/>
        <w:t xml:space="preserve">Our research </w:t>
      </w:r>
      <w:proofErr w:type="gramStart"/>
      <w:r w:rsidRPr="007C12DD">
        <w:rPr>
          <w:lang w:val="en-US"/>
        </w:rPr>
        <w:t>opens</w:t>
      </w:r>
      <w:r w:rsidR="006B3294">
        <w:rPr>
          <w:lang w:val="en-US"/>
        </w:rPr>
        <w:t xml:space="preserve"> up</w:t>
      </w:r>
      <w:proofErr w:type="gramEnd"/>
      <w:r w:rsidRPr="007C12DD">
        <w:rPr>
          <w:lang w:val="en-US"/>
        </w:rPr>
        <w:t xml:space="preserve"> several avenues for future research. </w:t>
      </w:r>
      <w:r w:rsidR="00B17FB5" w:rsidRPr="007C12DD">
        <w:rPr>
          <w:lang w:val="en-US"/>
        </w:rPr>
        <w:t>C</w:t>
      </w:r>
      <w:r w:rsidRPr="007C12DD">
        <w:rPr>
          <w:lang w:val="en-US"/>
        </w:rPr>
        <w:t xml:space="preserve">onfigurations form the basis for theory building and can be subjected to rigorous empirical testing </w:t>
      </w:r>
      <w:r w:rsidRPr="007C12DD">
        <w:rPr>
          <w:lang w:val="en-US"/>
        </w:rPr>
        <w:fldChar w:fldCharType="begin" w:fldLock="1"/>
      </w:r>
      <w:r w:rsidRPr="007C12DD">
        <w:rPr>
          <w:lang w:val="en-US"/>
        </w:rPr>
        <w:instrText>ADDIN CSL_CITATION {"citationItems":[{"id":"ITEM-1","itemData":{"DOI":"10.1177/0891243204273076","abstract":"Organizational typologies have proved to be a popular approach for thinking about organizational structures and strategies. Authors de- veloping typologies, however, have been criticized for developing simplistic classification systems instead of theories. Contrary to these criticisms, we argue that typologies meet the criteria of a theory. When typologies are properly developed and fully specified, they are complex theories that can be subjected to rigorous empirical testing using the quantitative models we develop. We conclude by discuss- ing the advantages of typological theories and presenting guidelines to improve the development of typologies. Typologies","author":[{"dropping-particle":"","family":"Doty","given":"D Harold","non-dropping-particle":"","parse-names":false,"suffix":""},{"dropping-particle":"","family":"Glick","given":"H.W.","non-dropping-particle":"","parse-names":false,"suffix":""}],"container-title":"Academy of Management Review","id":"ITEM-1","issue":"2","issued":{"date-parts":[["1994"]]},"page":"230-251","title":"Typologies as a Unique Form of Theory Building : Toward Improved Understanding and Modeling","type":"article-journal","volume":"19"},"uris":["http://www.mendeley.com/documents/?uuid=c9720aaa-5af2-4cd9-9395-2c563ad34225"]},{"id":"ITEM-2","itemData":{"author":[{"dropping-particle":"","family":"Rich","given":"Philip","non-dropping-particle":"","parse-names":false,"suffix":""}],"container-title":"Academy of Management Review","id":"ITEM-2","issue":"4","issued":{"date-parts":[["1992"]]},"page":"758-781","title":"The Organizational Taxonomy : Definition and Design Author ( s ): Philip Rich Source : The Academy of Management Review , Vol . 17 , No . 4 ( Oct ., 1992 ), pp . 758-781 Published by : Academy of Management Stable URL : http://www.jstor.org/stable/258807","type":"article-journal","volume":"17"},"uris":["http://www.mendeley.com/documents/?uuid=1216bb2f-bac7-4e6d-8465-d197675b7d8a"]}],"mendeley":{"formattedCitation":"(Doty &amp; Glick, 1994; Rich, 1992)","manualFormatting":"(Doty and Glick, 1994; Rich, 1992)","plainTextFormattedCitation":"(Doty &amp; Glick, 1994; Rich, 1992)","previouslyFormattedCitation":"(Doty &amp; Glick, 1994; Rich, 1992)"},"properties":{"noteIndex":0},"schema":"https://github.com/citation-style-language/schema/raw/master/csl-citation.json"}</w:instrText>
      </w:r>
      <w:r w:rsidRPr="007C12DD">
        <w:rPr>
          <w:lang w:val="en-US"/>
        </w:rPr>
        <w:fldChar w:fldCharType="separate"/>
      </w:r>
      <w:r w:rsidRPr="007C12DD">
        <w:rPr>
          <w:noProof/>
          <w:lang w:val="en-US"/>
        </w:rPr>
        <w:t>(Doty and Glick, 1994; Rich, 1992)</w:t>
      </w:r>
      <w:r w:rsidRPr="007C12DD">
        <w:rPr>
          <w:lang w:val="en-US"/>
        </w:rPr>
        <w:fldChar w:fldCharType="end"/>
      </w:r>
      <w:r w:rsidRPr="007C12DD">
        <w:rPr>
          <w:lang w:val="en-US"/>
        </w:rPr>
        <w:t xml:space="preserve">. </w:t>
      </w:r>
      <w:r w:rsidR="004D02EC" w:rsidRPr="007C12DD">
        <w:rPr>
          <w:lang w:val="en-US"/>
        </w:rPr>
        <w:t xml:space="preserve">By building upon the configurations of </w:t>
      </w:r>
      <w:proofErr w:type="spellStart"/>
      <w:r w:rsidR="004D02EC" w:rsidRPr="007C12DD">
        <w:rPr>
          <w:lang w:val="en-US"/>
        </w:rPr>
        <w:t>Bocken</w:t>
      </w:r>
      <w:proofErr w:type="spellEnd"/>
      <w:r w:rsidR="004D02EC" w:rsidRPr="007C12DD">
        <w:rPr>
          <w:lang w:val="en-US"/>
        </w:rPr>
        <w:t xml:space="preserve"> et al. (2016), </w:t>
      </w:r>
      <w:r w:rsidRPr="007C12DD">
        <w:rPr>
          <w:lang w:val="en-US"/>
        </w:rPr>
        <w:t xml:space="preserve">the configurations identified in this study form an appropriate basis for </w:t>
      </w:r>
      <w:r w:rsidR="007A730C" w:rsidRPr="007C12DD">
        <w:rPr>
          <w:lang w:val="en-US"/>
        </w:rPr>
        <w:t>future</w:t>
      </w:r>
      <w:r w:rsidRPr="007C12DD">
        <w:rPr>
          <w:lang w:val="en-US"/>
        </w:rPr>
        <w:t xml:space="preserve"> research. </w:t>
      </w:r>
      <w:r w:rsidR="00B17FB5" w:rsidRPr="007C12DD">
        <w:rPr>
          <w:lang w:val="en-US"/>
        </w:rPr>
        <w:t>Q</w:t>
      </w:r>
      <w:r w:rsidRPr="007C12DD">
        <w:rPr>
          <w:lang w:val="en-US"/>
        </w:rPr>
        <w:t>ualitative and quantitative research could further refine the configurations, for example by incorporating other aspects of the manufacturing strategy such as market-, product-</w:t>
      </w:r>
      <w:r w:rsidR="004D02EC" w:rsidRPr="007C12DD">
        <w:rPr>
          <w:lang w:val="en-US"/>
        </w:rPr>
        <w:t>,</w:t>
      </w:r>
      <w:r w:rsidRPr="007C12DD">
        <w:rPr>
          <w:lang w:val="en-US"/>
        </w:rPr>
        <w:t xml:space="preserve"> capability- and price-based strategies </w:t>
      </w:r>
      <w:r w:rsidRPr="007C12DD">
        <w:rPr>
          <w:lang w:val="en-US"/>
        </w:rPr>
        <w:fldChar w:fldCharType="begin" w:fldLock="1"/>
      </w:r>
      <w:r w:rsidRPr="007C12DD">
        <w:rPr>
          <w:lang w:val="en-US"/>
        </w:rPr>
        <w:instrText>ADDIN CSL_CITATION {"citationItems":[{"id":"ITEM-1","itemData":{"DOI":"10.1108/01443570510605108","ISBN":"0144357051060","ISSN":"01443577","abstract":"Purpose - The paper aims to address the question of how and how often companies change their manufacturing strategy in the medium and long run, thus addressing a lack of evidence in the literature. Design/methodology/approach - This paper explores the movements made by companies among four manufacturing strategy configurations drawn from the literature (market-based, product-based, capability-based and price-based configuration). Analyses are based on three longitudinal samples from the International Manufacturing Strategy Survey (IMSS) database. Findings - Results show that while strategic configurations are rather stable, many companies do indeed change strategy and identifies which patterns of change prevail. Product-based strategy is the most-widely spread and most stable strategy. Capability-based competition is the rising star. The market-based strategy is struggling and price-based competition is on its way out. Research limitations/implications - The main limitation is the small size of longitudinal samples, leading to tentative propositions for further testing. Practical implications - No strategic configuration appears to be the final \"maturity\" target for manufacturers. Companies select their configurations according to life cycle of the organization and market competition. Originality/value - The paper contributes to fill a lack of longitudinal evidence of strategic change and flexibility of manufacturing companies. © Emerald Group Publishing Limited.","author":[{"dropping-particle":"","family":"Cagliano","given":"Raffaella","non-dropping-particle":"","parse-names":false,"suffix":""},{"dropping-particle":"","family":"Acur","given":"Nuran","non-dropping-particle":"","parse-names":false,"suffix":""},{"dropping-particle":"","family":"Boer","given":"Harry","non-dropping-particle":"","parse-names":false,"suffix":""}],"container-title":"International Journal of Operations and Production Management","id":"ITEM-1","issue":"7","issued":{"date-parts":[["2005"]]},"page":"701-718","title":"Patterns of change in manufacturing strategy configurations","type":"article-journal","volume":"25"},"uris":["http://www.mendeley.com/documents/?uuid=7912425a-fcf2-4ddf-a8c2-dcd70bd0ced7"]}],"mendeley":{"formattedCitation":"(Cagliano et al., 2005)","plainTextFormattedCitation":"(Cagliano et al., 2005)","previouslyFormattedCitation":"(Cagliano et al., 2005)"},"properties":{"noteIndex":0},"schema":"https://github.com/citation-style-language/schema/raw/master/csl-citation.json"}</w:instrText>
      </w:r>
      <w:r w:rsidRPr="007C12DD">
        <w:rPr>
          <w:lang w:val="en-US"/>
        </w:rPr>
        <w:fldChar w:fldCharType="separate"/>
      </w:r>
      <w:r w:rsidRPr="007C12DD">
        <w:rPr>
          <w:noProof/>
          <w:lang w:val="en-US"/>
        </w:rPr>
        <w:t>(Cagliano et al., 2005)</w:t>
      </w:r>
      <w:r w:rsidRPr="007C12DD">
        <w:rPr>
          <w:lang w:val="en-US"/>
        </w:rPr>
        <w:fldChar w:fldCharType="end"/>
      </w:r>
      <w:r w:rsidR="006D7745">
        <w:rPr>
          <w:lang w:val="en-US"/>
        </w:rPr>
        <w:t>,</w:t>
      </w:r>
      <w:r w:rsidRPr="007C12DD">
        <w:rPr>
          <w:lang w:val="en-US"/>
        </w:rPr>
        <w:t xml:space="preserve"> and the level of globalization of </w:t>
      </w:r>
      <w:r w:rsidR="007A730C" w:rsidRPr="007C12DD">
        <w:rPr>
          <w:lang w:val="en-US"/>
        </w:rPr>
        <w:t xml:space="preserve">the </w:t>
      </w:r>
      <w:r w:rsidRPr="007C12DD">
        <w:rPr>
          <w:lang w:val="en-US"/>
        </w:rPr>
        <w:t xml:space="preserve">manufacturing processes </w:t>
      </w:r>
      <w:r w:rsidRPr="007C12DD">
        <w:rPr>
          <w:lang w:val="en-US"/>
        </w:rPr>
        <w:fldChar w:fldCharType="begin" w:fldLock="1"/>
      </w:r>
      <w:r w:rsidRPr="007C12DD">
        <w:rPr>
          <w:lang w:val="en-US"/>
        </w:rPr>
        <w:instrText>ADDIN CSL_CITATION {"citationItems":[{"id":"ITEM-1","itemData":{"DOI":"10.1007/s12063-008-0012-0","ISSN":"19369743","abstract":"In the last few years, companies have paid growing attention to the management of their supply chain at a global level. The need for better suppliers, international competition and research of specific competences have forced companies to improve their ability to cope with suppliers and customers located in different countries around the world. This paper aims to provide an overview of how manufacturing companies use global supply chains and how their behaviour changes over time. Longitudinal data from a sample of companies from the last two editions of the International Manufacturing Strategy Survey (IMSS) are used. A contingent analysis of manufacturing localization and globalization is also considered in order to identify factors influencing supply chain globalization strategies. © Springer Science + Business Media, LLC 2008.","author":[{"dropping-particle":"","family":"Cagliano","given":"Raffaella","non-dropping-particle":"","parse-names":false,"suffix":""},{"dropping-particle":"","family":"Caniato","given":"Federico","non-dropping-particle":"","parse-names":false,"suffix":""},{"dropping-particle":"","family":"Golini","given":"Ruggero","non-dropping-particle":"","parse-names":false,"suffix":""},{"dropping-particle":"","family":"Kalchschmidt","given":"Matteo","non-dropping-particle":"","parse-names":false,"suffix":""},{"dropping-particle":"","family":"Spina","given":"Gianluca","non-dropping-particle":"","parse-names":false,"suffix":""}],"container-title":"Operations Management Research","id":"ITEM-1","issue":"2","issued":{"date-parts":[["2008"]]},"page":"86-94","title":"Supply chain configurations in a global environment: A longitudinal perspective","type":"article-journal","volume":"1"},"uris":["http://www.mendeley.com/documents/?uuid=1a902204-f475-4ef5-933d-6e6e581aa40b"]}],"mendeley":{"formattedCitation":"(Cagliano et al., 2008)","plainTextFormattedCitation":"(Cagliano et al., 2008)","previouslyFormattedCitation":"(Cagliano et al., 2008)"},"properties":{"noteIndex":0},"schema":"https://github.com/citation-style-language/schema/raw/master/csl-citation.json"}</w:instrText>
      </w:r>
      <w:r w:rsidRPr="007C12DD">
        <w:rPr>
          <w:lang w:val="en-US"/>
        </w:rPr>
        <w:fldChar w:fldCharType="separate"/>
      </w:r>
      <w:r w:rsidRPr="007C12DD">
        <w:rPr>
          <w:noProof/>
          <w:lang w:val="en-US"/>
        </w:rPr>
        <w:t>(Cagliano et al., 2008)</w:t>
      </w:r>
      <w:r w:rsidRPr="007C12DD">
        <w:rPr>
          <w:lang w:val="en-US"/>
        </w:rPr>
        <w:fldChar w:fldCharType="end"/>
      </w:r>
      <w:r w:rsidRPr="007C12DD">
        <w:rPr>
          <w:lang w:val="en-US"/>
        </w:rPr>
        <w:t xml:space="preserve">. Moreover, future research could investigate how </w:t>
      </w:r>
      <w:r w:rsidR="00330147">
        <w:rPr>
          <w:lang w:val="en-US"/>
        </w:rPr>
        <w:t>incumbent</w:t>
      </w:r>
      <w:r w:rsidR="00330147" w:rsidRPr="007C12DD">
        <w:rPr>
          <w:lang w:val="en-US"/>
        </w:rPr>
        <w:t xml:space="preserve"> </w:t>
      </w:r>
      <w:r w:rsidRPr="007C12DD">
        <w:rPr>
          <w:lang w:val="en-US"/>
        </w:rPr>
        <w:t>firms can implement the configurations of the start-ups</w:t>
      </w:r>
      <w:r w:rsidR="00B17FB5" w:rsidRPr="007C12DD">
        <w:rPr>
          <w:lang w:val="en-US"/>
        </w:rPr>
        <w:t xml:space="preserve">. </w:t>
      </w:r>
      <w:r w:rsidR="00330147">
        <w:rPr>
          <w:lang w:val="en-US"/>
        </w:rPr>
        <w:t>Incumbent</w:t>
      </w:r>
      <w:r w:rsidR="00330147" w:rsidRPr="007C12DD">
        <w:rPr>
          <w:lang w:val="en-US"/>
        </w:rPr>
        <w:t xml:space="preserve"> </w:t>
      </w:r>
      <w:r w:rsidR="00B17FB5" w:rsidRPr="007C12DD">
        <w:rPr>
          <w:lang w:val="en-US"/>
        </w:rPr>
        <w:t xml:space="preserve">firms may have to combine the configurations with their linear value chains which, in </w:t>
      </w:r>
      <w:proofErr w:type="gramStart"/>
      <w:r w:rsidR="00B17FB5" w:rsidRPr="007C12DD">
        <w:rPr>
          <w:lang w:val="en-US"/>
        </w:rPr>
        <w:t>case</w:t>
      </w:r>
      <w:proofErr w:type="gramEnd"/>
      <w:r w:rsidR="00B17FB5" w:rsidRPr="007C12DD">
        <w:rPr>
          <w:lang w:val="en-US"/>
        </w:rPr>
        <w:t xml:space="preserve"> of the most common </w:t>
      </w:r>
      <w:r w:rsidR="003E7567">
        <w:rPr>
          <w:lang w:val="en-US"/>
        </w:rPr>
        <w:t>configurations</w:t>
      </w:r>
      <w:r w:rsidR="003E7567" w:rsidRPr="007C12DD">
        <w:rPr>
          <w:lang w:val="en-US"/>
        </w:rPr>
        <w:t xml:space="preserve"> </w:t>
      </w:r>
      <w:r w:rsidR="00B17FB5" w:rsidRPr="007C12DD">
        <w:rPr>
          <w:lang w:val="en-US"/>
        </w:rPr>
        <w:t>B and C, will result in a new product line due to transforming the function of the original product. Furthermore, another interesting direction could be to explore how firms can modify the input characteristics, for example through supplier integration</w:t>
      </w:r>
      <w:r w:rsidR="008E0C0A" w:rsidRPr="007C12DD">
        <w:rPr>
          <w:lang w:val="en-US"/>
        </w:rPr>
        <w:t xml:space="preserve"> (see also Prosman and Wæhrens, 2019) or through new partnerships. Next, i</w:t>
      </w:r>
      <w:r w:rsidRPr="007C12DD">
        <w:rPr>
          <w:lang w:val="en-US"/>
        </w:rPr>
        <w:t xml:space="preserve">n terms of theory, contingency research could identify in which contexts, besides the ones studied in this research, the CBMs are successful. Research could, for instance, investigate the configurations in different industries and different geographical locations (with different laws with regards to waste treatment). Such research would deepen the knowledge needed to accelerate the transition towards a circular economy. </w:t>
      </w:r>
      <w:r w:rsidR="008E0C0A" w:rsidRPr="007C12DD">
        <w:rPr>
          <w:lang w:val="en-US"/>
        </w:rPr>
        <w:t>Finally</w:t>
      </w:r>
      <w:r w:rsidR="00B17FB5" w:rsidRPr="007C12DD">
        <w:rPr>
          <w:lang w:val="en-US"/>
        </w:rPr>
        <w:t>, t</w:t>
      </w:r>
      <w:r w:rsidRPr="007C12DD">
        <w:rPr>
          <w:lang w:val="en-US"/>
        </w:rPr>
        <w:t>his research provides insights into the empirical context in which the circular economy unfold</w:t>
      </w:r>
      <w:r w:rsidR="007A730C" w:rsidRPr="007C12DD">
        <w:rPr>
          <w:lang w:val="en-US"/>
        </w:rPr>
        <w:t>s</w:t>
      </w:r>
      <w:r w:rsidRPr="007C12DD">
        <w:rPr>
          <w:lang w:val="en-US"/>
        </w:rPr>
        <w:t xml:space="preserve">. Previous research has mainly focused on discrete remanufacturing while our research suggests that process manufacturing CBMs are more </w:t>
      </w:r>
      <w:r w:rsidR="003E7567">
        <w:rPr>
          <w:lang w:val="en-US"/>
        </w:rPr>
        <w:t>widespread</w:t>
      </w:r>
      <w:r w:rsidR="003E7567" w:rsidRPr="007C12DD">
        <w:rPr>
          <w:lang w:val="en-US"/>
        </w:rPr>
        <w:t xml:space="preserve"> </w:t>
      </w:r>
      <w:r w:rsidRPr="007C12DD">
        <w:rPr>
          <w:lang w:val="en-US"/>
        </w:rPr>
        <w:t xml:space="preserve">in the real-world. Hence, our research suggests </w:t>
      </w:r>
      <w:proofErr w:type="gramStart"/>
      <w:r w:rsidR="003E7567">
        <w:rPr>
          <w:lang w:val="en-US"/>
        </w:rPr>
        <w:t xml:space="preserve">to </w:t>
      </w:r>
      <w:r w:rsidR="00054951" w:rsidRPr="007C12DD">
        <w:rPr>
          <w:lang w:val="en-US"/>
        </w:rPr>
        <w:t>broaden</w:t>
      </w:r>
      <w:proofErr w:type="gramEnd"/>
      <w:r w:rsidRPr="007C12DD">
        <w:rPr>
          <w:lang w:val="en-US"/>
        </w:rPr>
        <w:t xml:space="preserve"> the empirical focus to avoid overlooking promising directions in transitioning towards a circular economy.</w:t>
      </w:r>
    </w:p>
    <w:p w14:paraId="259B086B" w14:textId="77777777" w:rsidR="00572046" w:rsidRPr="007C12DD" w:rsidRDefault="00572046" w:rsidP="00572046">
      <w:pPr>
        <w:spacing w:after="0"/>
        <w:ind w:firstLine="284"/>
        <w:jc w:val="both"/>
        <w:rPr>
          <w:lang w:val="en-US"/>
        </w:rPr>
      </w:pPr>
    </w:p>
    <w:p w14:paraId="479EA7B8" w14:textId="464B86D6" w:rsidR="00572046" w:rsidRPr="007C12DD" w:rsidRDefault="00572046" w:rsidP="00572046">
      <w:pPr>
        <w:spacing w:after="0"/>
        <w:jc w:val="both"/>
        <w:rPr>
          <w:i/>
          <w:iCs/>
          <w:lang w:val="en-US"/>
        </w:rPr>
      </w:pPr>
      <w:r w:rsidRPr="007C12DD">
        <w:rPr>
          <w:i/>
          <w:iCs/>
          <w:lang w:val="en-US"/>
        </w:rPr>
        <w:t>6.2. Managerial implications</w:t>
      </w:r>
    </w:p>
    <w:p w14:paraId="2C951630" w14:textId="1C2EC905" w:rsidR="00572046" w:rsidRPr="007C12DD" w:rsidRDefault="00572046" w:rsidP="00572046">
      <w:pPr>
        <w:spacing w:after="0"/>
        <w:jc w:val="both"/>
        <w:rPr>
          <w:lang w:val="en-US"/>
        </w:rPr>
      </w:pPr>
      <w:r w:rsidRPr="007C12DD">
        <w:rPr>
          <w:lang w:val="en-US"/>
        </w:rPr>
        <w:t xml:space="preserve">As environmental sustainability is increasingly gaining traction, an increasing number of firms </w:t>
      </w:r>
      <w:r w:rsidR="00013CB9" w:rsidRPr="007C12DD">
        <w:rPr>
          <w:lang w:val="en-US"/>
        </w:rPr>
        <w:t>must</w:t>
      </w:r>
      <w:r w:rsidRPr="007C12DD">
        <w:rPr>
          <w:lang w:val="en-US"/>
        </w:rPr>
        <w:t xml:space="preserve"> decide if and how to make their processes more environmentally benign. This research provides </w:t>
      </w:r>
      <w:r w:rsidRPr="007C12DD">
        <w:rPr>
          <w:lang w:val="en-US"/>
        </w:rPr>
        <w:lastRenderedPageBreak/>
        <w:t xml:space="preserve">three manufacturing configurations for </w:t>
      </w:r>
      <w:proofErr w:type="gramStart"/>
      <w:r w:rsidRPr="007C12DD">
        <w:rPr>
          <w:lang w:val="en-US"/>
        </w:rPr>
        <w:t>CBMs</w:t>
      </w:r>
      <w:proofErr w:type="gramEnd"/>
      <w:r w:rsidRPr="007C12DD">
        <w:rPr>
          <w:lang w:val="en-US"/>
        </w:rPr>
        <w:t xml:space="preserve"> and we </w:t>
      </w:r>
      <w:r w:rsidR="007A730C" w:rsidRPr="007C12DD">
        <w:rPr>
          <w:lang w:val="en-US"/>
        </w:rPr>
        <w:t xml:space="preserve">provided insights </w:t>
      </w:r>
      <w:r w:rsidR="009605AF">
        <w:rPr>
          <w:lang w:val="en-US"/>
        </w:rPr>
        <w:t>in</w:t>
      </w:r>
      <w:r w:rsidR="007A730C" w:rsidRPr="007C12DD">
        <w:rPr>
          <w:lang w:val="en-US"/>
        </w:rPr>
        <w:t>to h</w:t>
      </w:r>
      <w:r w:rsidRPr="007C12DD">
        <w:rPr>
          <w:lang w:val="en-US"/>
        </w:rPr>
        <w:t>ow managers</w:t>
      </w:r>
      <w:r w:rsidR="006554D6">
        <w:rPr>
          <w:lang w:val="en-US"/>
        </w:rPr>
        <w:t xml:space="preserve"> can</w:t>
      </w:r>
      <w:r w:rsidRPr="007C12DD">
        <w:rPr>
          <w:lang w:val="en-US"/>
        </w:rPr>
        <w:t xml:space="preserve"> </w:t>
      </w:r>
      <w:r w:rsidR="007A730C" w:rsidRPr="007C12DD">
        <w:rPr>
          <w:lang w:val="en-US"/>
        </w:rPr>
        <w:t xml:space="preserve">adopt successful manufacturing configurations in line </w:t>
      </w:r>
      <w:r w:rsidRPr="007C12DD">
        <w:rPr>
          <w:lang w:val="en-US"/>
        </w:rPr>
        <w:t>with supply characteristics. However, we are not claiming that these three CBM configurations are always the most preferred option</w:t>
      </w:r>
      <w:r w:rsidR="00CD240B">
        <w:rPr>
          <w:lang w:val="en-US"/>
        </w:rPr>
        <w:t>s</w:t>
      </w:r>
      <w:r w:rsidRPr="007C12DD">
        <w:rPr>
          <w:lang w:val="en-US"/>
        </w:rPr>
        <w:t>. Managers should evaluate the firm’s wider context and align their decisions with the corporate strategy and the firm’s competitive landscape.</w:t>
      </w:r>
    </w:p>
    <w:p w14:paraId="665BF928" w14:textId="77777777" w:rsidR="005D1F4A" w:rsidRPr="007C12DD" w:rsidRDefault="005D1F4A" w:rsidP="00A211AA">
      <w:pPr>
        <w:spacing w:after="0"/>
        <w:rPr>
          <w:lang w:val="en-US"/>
        </w:rPr>
      </w:pPr>
    </w:p>
    <w:p w14:paraId="249BC2D5" w14:textId="21FD2E68" w:rsidR="00E77D3F" w:rsidRPr="007C12DD" w:rsidRDefault="00552ABC" w:rsidP="00E77D3F">
      <w:pPr>
        <w:spacing w:after="0"/>
        <w:jc w:val="both"/>
        <w:rPr>
          <w:i/>
          <w:iCs/>
          <w:lang w:val="en-US"/>
        </w:rPr>
      </w:pPr>
      <w:r w:rsidRPr="007C12DD">
        <w:rPr>
          <w:i/>
          <w:iCs/>
          <w:lang w:val="en-US"/>
        </w:rPr>
        <w:t>6</w:t>
      </w:r>
      <w:r w:rsidR="00E77D3F" w:rsidRPr="007C12DD">
        <w:rPr>
          <w:i/>
          <w:iCs/>
          <w:lang w:val="en-US"/>
        </w:rPr>
        <w:t>.</w:t>
      </w:r>
      <w:r w:rsidR="00572046" w:rsidRPr="007C12DD">
        <w:rPr>
          <w:i/>
          <w:iCs/>
          <w:lang w:val="en-US"/>
        </w:rPr>
        <w:t>3</w:t>
      </w:r>
      <w:r w:rsidR="00E77D3F" w:rsidRPr="007C12DD">
        <w:rPr>
          <w:i/>
          <w:iCs/>
          <w:lang w:val="en-US"/>
        </w:rPr>
        <w:t>. Limitations</w:t>
      </w:r>
    </w:p>
    <w:p w14:paraId="4DB04239" w14:textId="45D3428C" w:rsidR="0068466F" w:rsidRPr="007C12DD" w:rsidRDefault="00E77D3F" w:rsidP="0068466F">
      <w:pPr>
        <w:spacing w:after="0"/>
        <w:jc w:val="both"/>
        <w:rPr>
          <w:lang w:val="en-US"/>
        </w:rPr>
      </w:pPr>
      <w:r w:rsidRPr="007C12DD">
        <w:rPr>
          <w:lang w:val="en-US"/>
        </w:rPr>
        <w:t>Our study is not without limitations.</w:t>
      </w:r>
      <w:r w:rsidR="00127B90" w:rsidRPr="007C12DD">
        <w:rPr>
          <w:lang w:val="en-US"/>
        </w:rPr>
        <w:t xml:space="preserve"> First, </w:t>
      </w:r>
      <w:r w:rsidR="0059552A" w:rsidRPr="007C12DD">
        <w:rPr>
          <w:lang w:val="en-US"/>
        </w:rPr>
        <w:t>although comparable to other studies on start</w:t>
      </w:r>
      <w:r w:rsidR="0087600B" w:rsidRPr="007C12DD">
        <w:rPr>
          <w:lang w:val="en-US"/>
        </w:rPr>
        <w:t>-</w:t>
      </w:r>
      <w:r w:rsidR="0059552A" w:rsidRPr="007C12DD">
        <w:rPr>
          <w:lang w:val="en-US"/>
        </w:rPr>
        <w:t xml:space="preserve">up performance and </w:t>
      </w:r>
      <w:r w:rsidR="00BA184D" w:rsidRPr="007C12DD">
        <w:rPr>
          <w:lang w:val="en-US"/>
        </w:rPr>
        <w:t>despite covering</w:t>
      </w:r>
      <w:r w:rsidR="0059552A" w:rsidRPr="007C12DD">
        <w:rPr>
          <w:lang w:val="en-US"/>
        </w:rPr>
        <w:t xml:space="preserve"> a large proportion of the circular start</w:t>
      </w:r>
      <w:r w:rsidR="0087600B" w:rsidRPr="007C12DD">
        <w:rPr>
          <w:lang w:val="en-US"/>
        </w:rPr>
        <w:t>-</w:t>
      </w:r>
      <w:r w:rsidR="0059552A" w:rsidRPr="007C12DD">
        <w:rPr>
          <w:lang w:val="en-US"/>
        </w:rPr>
        <w:t xml:space="preserve">ups, our sample size is modest. The limited sample size constraints the conclusions we draw, </w:t>
      </w:r>
      <w:proofErr w:type="gramStart"/>
      <w:r w:rsidR="0059552A" w:rsidRPr="007C12DD">
        <w:rPr>
          <w:lang w:val="en-US"/>
        </w:rPr>
        <w:t>in particular on</w:t>
      </w:r>
      <w:proofErr w:type="gramEnd"/>
      <w:r w:rsidR="0059552A" w:rsidRPr="007C12DD">
        <w:rPr>
          <w:lang w:val="en-US"/>
        </w:rPr>
        <w:t xml:space="preserve"> </w:t>
      </w:r>
      <w:r w:rsidR="000F3FC4" w:rsidRPr="007C12DD">
        <w:rPr>
          <w:lang w:val="en-US"/>
        </w:rPr>
        <w:t>configurations with a lower number of cases</w:t>
      </w:r>
      <w:r w:rsidR="0059552A" w:rsidRPr="007C12DD">
        <w:rPr>
          <w:lang w:val="en-US"/>
        </w:rPr>
        <w:t xml:space="preserve"> (</w:t>
      </w:r>
      <w:r w:rsidR="00717BC5" w:rsidRPr="007C12DD">
        <w:rPr>
          <w:lang w:val="en-US"/>
        </w:rPr>
        <w:t>configuration</w:t>
      </w:r>
      <w:r w:rsidR="0059552A" w:rsidRPr="007C12DD">
        <w:rPr>
          <w:lang w:val="en-US"/>
        </w:rPr>
        <w:t xml:space="preserve">s </w:t>
      </w:r>
      <w:r w:rsidR="00DD3E09" w:rsidRPr="007C12DD">
        <w:rPr>
          <w:lang w:val="en-US"/>
        </w:rPr>
        <w:t xml:space="preserve">A </w:t>
      </w:r>
      <w:r w:rsidR="0059552A" w:rsidRPr="007C12DD">
        <w:rPr>
          <w:lang w:val="en-US"/>
        </w:rPr>
        <w:t xml:space="preserve">and </w:t>
      </w:r>
      <w:r w:rsidR="00DD3E09" w:rsidRPr="007C12DD">
        <w:rPr>
          <w:lang w:val="en-US"/>
        </w:rPr>
        <w:t>B</w:t>
      </w:r>
      <w:r w:rsidR="0059552A" w:rsidRPr="007C12DD">
        <w:rPr>
          <w:lang w:val="en-US"/>
        </w:rPr>
        <w:t>).</w:t>
      </w:r>
      <w:r w:rsidR="0068466F" w:rsidRPr="007C12DD">
        <w:rPr>
          <w:lang w:val="en-US"/>
        </w:rPr>
        <w:t xml:space="preserve"> Second</w:t>
      </w:r>
      <w:r w:rsidR="0059552A" w:rsidRPr="007C12DD">
        <w:rPr>
          <w:lang w:val="en-US"/>
        </w:rPr>
        <w:t>, the reliance on secondary data limited the level of detail of our research</w:t>
      </w:r>
      <w:r w:rsidR="005938F5" w:rsidRPr="007C12DD">
        <w:rPr>
          <w:lang w:val="en-US"/>
        </w:rPr>
        <w:t>, restricting us from covering other essential aspects of the manufacturing configuration</w:t>
      </w:r>
      <w:r w:rsidR="0059552A" w:rsidRPr="007C12DD">
        <w:rPr>
          <w:lang w:val="en-US"/>
        </w:rPr>
        <w:t xml:space="preserve">. </w:t>
      </w:r>
      <w:r w:rsidR="0068466F" w:rsidRPr="007C12DD">
        <w:rPr>
          <w:lang w:val="en-US"/>
        </w:rPr>
        <w:t>Moreover,</w:t>
      </w:r>
      <w:r w:rsidR="0059552A" w:rsidRPr="007C12DD">
        <w:rPr>
          <w:lang w:val="en-US"/>
        </w:rPr>
        <w:t xml:space="preserve"> </w:t>
      </w:r>
      <w:r w:rsidR="0068466F" w:rsidRPr="007C12DD">
        <w:rPr>
          <w:lang w:val="en-US"/>
        </w:rPr>
        <w:t xml:space="preserve">using secondary data </w:t>
      </w:r>
      <w:r w:rsidR="000F3FC4" w:rsidRPr="007C12DD">
        <w:rPr>
          <w:lang w:val="en-US"/>
        </w:rPr>
        <w:t xml:space="preserve">potentially </w:t>
      </w:r>
      <w:r w:rsidR="0068466F" w:rsidRPr="007C12DD">
        <w:rPr>
          <w:lang w:val="en-US"/>
        </w:rPr>
        <w:t>exposed us to inaccurate and out</w:t>
      </w:r>
      <w:r w:rsidR="005938F5" w:rsidRPr="007C12DD">
        <w:rPr>
          <w:lang w:val="en-US"/>
        </w:rPr>
        <w:t>dated</w:t>
      </w:r>
      <w:r w:rsidR="0068466F" w:rsidRPr="007C12DD">
        <w:rPr>
          <w:lang w:val="en-US"/>
        </w:rPr>
        <w:t xml:space="preserve"> data. We tried to minimize this risk by triangulating the data by using multiple data sources and, when clear data was lacking, discard</w:t>
      </w:r>
      <w:r w:rsidR="003E7567">
        <w:rPr>
          <w:lang w:val="en-US"/>
        </w:rPr>
        <w:t>ing</w:t>
      </w:r>
      <w:r w:rsidR="0068466F" w:rsidRPr="007C12DD">
        <w:rPr>
          <w:lang w:val="en-US"/>
        </w:rPr>
        <w:t xml:space="preserve"> the start</w:t>
      </w:r>
      <w:r w:rsidR="0087600B" w:rsidRPr="007C12DD">
        <w:rPr>
          <w:lang w:val="en-US"/>
        </w:rPr>
        <w:t>-</w:t>
      </w:r>
      <w:r w:rsidR="0068466F" w:rsidRPr="007C12DD">
        <w:rPr>
          <w:lang w:val="en-US"/>
        </w:rPr>
        <w:t xml:space="preserve">up from the </w:t>
      </w:r>
      <w:r w:rsidR="00B868F6" w:rsidRPr="007C12DD">
        <w:rPr>
          <w:lang w:val="en-US"/>
        </w:rPr>
        <w:t>study</w:t>
      </w:r>
      <w:r w:rsidR="0068466F" w:rsidRPr="007C12DD">
        <w:rPr>
          <w:lang w:val="en-US"/>
        </w:rPr>
        <w:t>. Third, basing our findings on successful start</w:t>
      </w:r>
      <w:r w:rsidR="0087600B" w:rsidRPr="007C12DD">
        <w:rPr>
          <w:lang w:val="en-US"/>
        </w:rPr>
        <w:t>-</w:t>
      </w:r>
      <w:r w:rsidR="0068466F" w:rsidRPr="007C12DD">
        <w:rPr>
          <w:lang w:val="en-US"/>
        </w:rPr>
        <w:t>ups exposes us to the surviv</w:t>
      </w:r>
      <w:r w:rsidR="00307745" w:rsidRPr="007C12DD">
        <w:rPr>
          <w:lang w:val="en-US"/>
        </w:rPr>
        <w:t xml:space="preserve">al </w:t>
      </w:r>
      <w:r w:rsidR="0068466F" w:rsidRPr="007C12DD">
        <w:rPr>
          <w:lang w:val="en-US"/>
        </w:rPr>
        <w:t>bias. Unfortunately, collecting data from unsuccessful start</w:t>
      </w:r>
      <w:r w:rsidR="0087600B" w:rsidRPr="007C12DD">
        <w:rPr>
          <w:lang w:val="en-US"/>
        </w:rPr>
        <w:t>-</w:t>
      </w:r>
      <w:r w:rsidR="0068466F" w:rsidRPr="007C12DD">
        <w:rPr>
          <w:lang w:val="en-US"/>
        </w:rPr>
        <w:t xml:space="preserve">ups proved </w:t>
      </w:r>
      <w:r w:rsidR="003E7567">
        <w:rPr>
          <w:lang w:val="en-US"/>
        </w:rPr>
        <w:t xml:space="preserve">to be </w:t>
      </w:r>
      <w:r w:rsidR="0068466F" w:rsidRPr="007C12DD">
        <w:rPr>
          <w:lang w:val="en-US"/>
        </w:rPr>
        <w:t>difficult as such data is often unavailable, lacks detail and is outdated. Fourth, as our research solely focuse</w:t>
      </w:r>
      <w:r w:rsidR="009605AF">
        <w:rPr>
          <w:lang w:val="en-US"/>
        </w:rPr>
        <w:t>s</w:t>
      </w:r>
      <w:r w:rsidR="0068466F" w:rsidRPr="007C12DD">
        <w:rPr>
          <w:lang w:val="en-US"/>
        </w:rPr>
        <w:t xml:space="preserve"> on start</w:t>
      </w:r>
      <w:r w:rsidR="0087600B" w:rsidRPr="007C12DD">
        <w:rPr>
          <w:lang w:val="en-US"/>
        </w:rPr>
        <w:t>-</w:t>
      </w:r>
      <w:r w:rsidR="0068466F" w:rsidRPr="007C12DD">
        <w:rPr>
          <w:lang w:val="en-US"/>
        </w:rPr>
        <w:t xml:space="preserve">ups, the findings might not apply to </w:t>
      </w:r>
      <w:r w:rsidR="006554D6">
        <w:rPr>
          <w:lang w:val="en-US"/>
        </w:rPr>
        <w:t>incumbent</w:t>
      </w:r>
      <w:r w:rsidR="006554D6" w:rsidRPr="007C12DD">
        <w:rPr>
          <w:lang w:val="en-US"/>
        </w:rPr>
        <w:t xml:space="preserve"> </w:t>
      </w:r>
      <w:r w:rsidR="0068466F" w:rsidRPr="007C12DD">
        <w:rPr>
          <w:lang w:val="en-US"/>
        </w:rPr>
        <w:t xml:space="preserve">firms as they </w:t>
      </w:r>
      <w:r w:rsidR="00013CB9" w:rsidRPr="007C12DD">
        <w:rPr>
          <w:lang w:val="en-US"/>
        </w:rPr>
        <w:t>must</w:t>
      </w:r>
      <w:r w:rsidR="0068466F" w:rsidRPr="007C12DD">
        <w:rPr>
          <w:lang w:val="en-US"/>
        </w:rPr>
        <w:t xml:space="preserve"> combine </w:t>
      </w:r>
      <w:r w:rsidR="00986B44" w:rsidRPr="007C12DD">
        <w:rPr>
          <w:lang w:val="en-US"/>
        </w:rPr>
        <w:t>the CBM</w:t>
      </w:r>
      <w:r w:rsidR="0068466F" w:rsidRPr="007C12DD">
        <w:rPr>
          <w:lang w:val="en-US"/>
        </w:rPr>
        <w:t xml:space="preserve"> with existing operations</w:t>
      </w:r>
      <w:r w:rsidR="00781A4A" w:rsidRPr="007C12DD">
        <w:rPr>
          <w:lang w:val="en-US"/>
        </w:rPr>
        <w:t xml:space="preserve">. </w:t>
      </w:r>
      <w:r w:rsidR="008B59A5">
        <w:rPr>
          <w:lang w:val="en-US"/>
        </w:rPr>
        <w:t xml:space="preserve">In addition, operations management practices which are relevant for small firms are not necessarily the most relevant levers for larger firms </w:t>
      </w:r>
      <w:r w:rsidR="008B59A5">
        <w:rPr>
          <w:lang w:val="en-US"/>
        </w:rPr>
        <w:fldChar w:fldCharType="begin" w:fldLock="1"/>
      </w:r>
      <w:r w:rsidR="008B59A5">
        <w:rPr>
          <w:lang w:val="en-US"/>
        </w:rPr>
        <w:instrText>ADDIN CSL_CITATION {"citationItems":[{"id":"ITEM-1","itemData":{"DOI":"10.1080/00207543.2013.842023","ISSN":"00207543","abstract":"This article investigates the influence of organisation size on the effective implementation of performance measurement systems (PMSs). Contingency theory suggests that size effects are relevant for many operations management practices and extant studies confirm this to be true for practices such as total quality management, Lean and business process re-engineering. However, robust empirical evidence of size effects on PMS implementation has not yet been produced. We draw upon fundamental differences between small and medium-sized enterprises (SMEs) and large firms to develop eight hypotheses about size effects for PMS implementation. Using empirical data from 349 UK manufacturing firms we find support for seven out of the eight hypotheses which confirms the presence of size effects in PMS contexts. Our findings help managers to recognise that practices which enable PMS implementation in large firms are not necessarily the most relevant levers in SMEs and vice versa. The results provide guidance on where to focus attention and resources during PMS implementation and on the most likely sources of any missing knowledge and expertise. Our findings also provide a mandate for further investigation of size effects on PMS implementation in a wider range of contexts. © 2013 Taylor and Francis.","author":[{"dropping-particle":"","family":"Taylor","given":"Andrew","non-dropping-particle":"","parse-names":false,"suffix":""},{"dropping-particle":"","family":"Taylor","given":"Margaret","non-dropping-particle":"","parse-names":false,"suffix":""}],"container-title":"International Journal of Production Research","id":"ITEM-1","issue":"3","issued":{"date-parts":[["2014"]]},"page":"847-866","title":"Factors influencing effective implementation of performance measurement systems in small and medium-sized enterprises and large firms: A perspective from Contingency Theory","type":"article-journal","volume":"52"},"uris":["http://www.mendeley.com/documents/?uuid=dd59327c-3f07-43fe-bd13-0ebdcf407f8b"]}],"mendeley":{"formattedCitation":"(Taylor &amp; Taylor, 2014)","manualFormatting":"(Taylor and Taylor, 2014)","plainTextFormattedCitation":"(Taylor &amp; Taylor, 2014)"},"properties":{"noteIndex":0},"schema":"https://github.com/citation-style-language/schema/raw/master/csl-citation.json"}</w:instrText>
      </w:r>
      <w:r w:rsidR="008B59A5">
        <w:rPr>
          <w:lang w:val="en-US"/>
        </w:rPr>
        <w:fldChar w:fldCharType="separate"/>
      </w:r>
      <w:r w:rsidR="008B59A5" w:rsidRPr="008B59A5">
        <w:rPr>
          <w:noProof/>
          <w:lang w:val="en-US"/>
        </w:rPr>
        <w:t xml:space="preserve">(Taylor </w:t>
      </w:r>
      <w:r w:rsidR="008B59A5">
        <w:rPr>
          <w:noProof/>
          <w:lang w:val="en-US"/>
        </w:rPr>
        <w:t>and</w:t>
      </w:r>
      <w:r w:rsidR="008B59A5" w:rsidRPr="008B59A5">
        <w:rPr>
          <w:noProof/>
          <w:lang w:val="en-US"/>
        </w:rPr>
        <w:t xml:space="preserve"> Taylor, 2014)</w:t>
      </w:r>
      <w:r w:rsidR="008B59A5">
        <w:rPr>
          <w:lang w:val="en-US"/>
        </w:rPr>
        <w:fldChar w:fldCharType="end"/>
      </w:r>
      <w:r w:rsidR="008B59A5">
        <w:rPr>
          <w:lang w:val="en-US"/>
        </w:rPr>
        <w:t xml:space="preserve">. </w:t>
      </w:r>
      <w:r w:rsidR="00781A4A" w:rsidRPr="007C12DD">
        <w:rPr>
          <w:lang w:val="en-US"/>
        </w:rPr>
        <w:t>However, as the start</w:t>
      </w:r>
      <w:r w:rsidR="0087600B" w:rsidRPr="007C12DD">
        <w:rPr>
          <w:lang w:val="en-US"/>
        </w:rPr>
        <w:t>-</w:t>
      </w:r>
      <w:r w:rsidR="00781A4A" w:rsidRPr="007C12DD">
        <w:rPr>
          <w:lang w:val="en-US"/>
        </w:rPr>
        <w:t xml:space="preserve">ups did not rely on other business activities, the </w:t>
      </w:r>
      <w:r w:rsidR="00DD3E09" w:rsidRPr="007C12DD">
        <w:rPr>
          <w:lang w:val="en-US"/>
        </w:rPr>
        <w:t xml:space="preserve">CBMs </w:t>
      </w:r>
      <w:r w:rsidR="00781A4A" w:rsidRPr="007C12DD">
        <w:rPr>
          <w:lang w:val="en-US"/>
        </w:rPr>
        <w:t xml:space="preserve">proved profitable by </w:t>
      </w:r>
      <w:r w:rsidR="00013CB9">
        <w:rPr>
          <w:lang w:val="en-US"/>
        </w:rPr>
        <w:t>themselves</w:t>
      </w:r>
      <w:r w:rsidR="00781A4A" w:rsidRPr="007C12DD">
        <w:rPr>
          <w:lang w:val="en-US"/>
        </w:rPr>
        <w:t xml:space="preserve">. Hence, </w:t>
      </w:r>
      <w:r w:rsidR="00DD3E09" w:rsidRPr="007C12DD">
        <w:rPr>
          <w:lang w:val="en-US"/>
        </w:rPr>
        <w:t>we expect that the results are valid for</w:t>
      </w:r>
      <w:r w:rsidR="00781A4A" w:rsidRPr="007C12DD">
        <w:rPr>
          <w:lang w:val="en-US"/>
        </w:rPr>
        <w:t xml:space="preserve"> </w:t>
      </w:r>
      <w:r w:rsidR="006554D6">
        <w:rPr>
          <w:lang w:val="en-US"/>
        </w:rPr>
        <w:t>incumbent</w:t>
      </w:r>
      <w:r w:rsidR="006554D6" w:rsidRPr="007C12DD">
        <w:rPr>
          <w:lang w:val="en-US"/>
        </w:rPr>
        <w:t xml:space="preserve"> </w:t>
      </w:r>
      <w:r w:rsidR="00781A4A" w:rsidRPr="007C12DD">
        <w:rPr>
          <w:lang w:val="en-US"/>
        </w:rPr>
        <w:t>firms too</w:t>
      </w:r>
      <w:r w:rsidR="0068466F" w:rsidRPr="007C12DD">
        <w:rPr>
          <w:lang w:val="en-US"/>
        </w:rPr>
        <w:t xml:space="preserve">. </w:t>
      </w:r>
      <w:r w:rsidR="00DD3E09" w:rsidRPr="007C12DD">
        <w:rPr>
          <w:lang w:val="en-US"/>
        </w:rPr>
        <w:t>Fifth</w:t>
      </w:r>
      <w:r w:rsidR="0068466F" w:rsidRPr="007C12DD">
        <w:rPr>
          <w:lang w:val="en-US"/>
        </w:rPr>
        <w:t xml:space="preserve">, </w:t>
      </w:r>
      <w:r w:rsidR="00127B90" w:rsidRPr="007C12DD">
        <w:rPr>
          <w:lang w:val="en-US"/>
        </w:rPr>
        <w:t>the start</w:t>
      </w:r>
      <w:r w:rsidR="0087600B" w:rsidRPr="007C12DD">
        <w:rPr>
          <w:lang w:val="en-US"/>
        </w:rPr>
        <w:t>-</w:t>
      </w:r>
      <w:r w:rsidR="00127B90" w:rsidRPr="007C12DD">
        <w:rPr>
          <w:lang w:val="en-US"/>
        </w:rPr>
        <w:t xml:space="preserve">ups in our database come from Europe, Northern </w:t>
      </w:r>
      <w:proofErr w:type="gramStart"/>
      <w:r w:rsidR="00127B90" w:rsidRPr="007C12DD">
        <w:rPr>
          <w:lang w:val="en-US"/>
        </w:rPr>
        <w:t>America</w:t>
      </w:r>
      <w:proofErr w:type="gramEnd"/>
      <w:r w:rsidR="00127B90" w:rsidRPr="007C12DD">
        <w:rPr>
          <w:lang w:val="en-US"/>
        </w:rPr>
        <w:t xml:space="preserve"> </w:t>
      </w:r>
      <w:r w:rsidR="00013CB9">
        <w:rPr>
          <w:lang w:val="en-US"/>
        </w:rPr>
        <w:t>and</w:t>
      </w:r>
      <w:r w:rsidR="00127B90" w:rsidRPr="007C12DD">
        <w:rPr>
          <w:lang w:val="en-US"/>
        </w:rPr>
        <w:t xml:space="preserve"> Australia. As business conditions </w:t>
      </w:r>
      <w:r w:rsidR="000F3FC4" w:rsidRPr="007C12DD">
        <w:rPr>
          <w:lang w:val="en-US"/>
        </w:rPr>
        <w:t xml:space="preserve">in </w:t>
      </w:r>
      <w:r w:rsidR="00127B90" w:rsidRPr="007C12DD">
        <w:rPr>
          <w:lang w:val="en-US"/>
        </w:rPr>
        <w:t>the Asian</w:t>
      </w:r>
      <w:r w:rsidR="00013CB9">
        <w:rPr>
          <w:lang w:val="en-US"/>
        </w:rPr>
        <w:t>,</w:t>
      </w:r>
      <w:r w:rsidR="00127B90" w:rsidRPr="007C12DD">
        <w:rPr>
          <w:lang w:val="en-US"/>
        </w:rPr>
        <w:t xml:space="preserve"> </w:t>
      </w:r>
      <w:proofErr w:type="gramStart"/>
      <w:r w:rsidR="00127B90" w:rsidRPr="007C12DD">
        <w:rPr>
          <w:lang w:val="en-US"/>
        </w:rPr>
        <w:t>African</w:t>
      </w:r>
      <w:proofErr w:type="gramEnd"/>
      <w:r w:rsidR="000F3FC4" w:rsidRPr="007C12DD">
        <w:rPr>
          <w:lang w:val="en-US"/>
        </w:rPr>
        <w:t xml:space="preserve"> and Latin American</w:t>
      </w:r>
      <w:r w:rsidR="00127B90" w:rsidRPr="007C12DD">
        <w:rPr>
          <w:lang w:val="en-US"/>
        </w:rPr>
        <w:t xml:space="preserve"> econom</w:t>
      </w:r>
      <w:r w:rsidR="000F3FC4" w:rsidRPr="007C12DD">
        <w:rPr>
          <w:lang w:val="en-US"/>
        </w:rPr>
        <w:t>ies</w:t>
      </w:r>
      <w:r w:rsidR="0059552A" w:rsidRPr="007C12DD">
        <w:rPr>
          <w:lang w:val="en-US"/>
        </w:rPr>
        <w:t xml:space="preserve"> can differ </w:t>
      </w:r>
      <w:r w:rsidR="00775AE7" w:rsidRPr="007C12DD">
        <w:rPr>
          <w:lang w:val="en-US"/>
        </w:rPr>
        <w:t xml:space="preserve">significantly </w:t>
      </w:r>
      <w:r w:rsidR="0059552A" w:rsidRPr="007C12DD">
        <w:rPr>
          <w:lang w:val="en-US"/>
        </w:rPr>
        <w:t xml:space="preserve">from our research context, our findings might not be valid outside the researched context. </w:t>
      </w:r>
      <w:r w:rsidR="00DD3E09" w:rsidRPr="007C12DD">
        <w:rPr>
          <w:lang w:val="en-US"/>
        </w:rPr>
        <w:t>Sixth</w:t>
      </w:r>
      <w:r w:rsidR="0068466F" w:rsidRPr="007C12DD">
        <w:rPr>
          <w:lang w:val="en-US"/>
        </w:rPr>
        <w:t xml:space="preserve">, from a managerial perspective, the identified </w:t>
      </w:r>
      <w:r w:rsidR="00717BC5" w:rsidRPr="007C12DD">
        <w:rPr>
          <w:lang w:val="en-US"/>
        </w:rPr>
        <w:t>configuration</w:t>
      </w:r>
      <w:r w:rsidR="0068466F" w:rsidRPr="007C12DD">
        <w:rPr>
          <w:lang w:val="en-US"/>
        </w:rPr>
        <w:t xml:space="preserve">s lack depth. Managers </w:t>
      </w:r>
      <w:r w:rsidR="0068466F" w:rsidRPr="007C12DD">
        <w:rPr>
          <w:lang w:val="en-US"/>
        </w:rPr>
        <w:lastRenderedPageBreak/>
        <w:t xml:space="preserve">should not rely on shallow analogies </w:t>
      </w:r>
      <w:r w:rsidR="0068466F" w:rsidRPr="007C12DD">
        <w:rPr>
          <w:lang w:val="en-US"/>
        </w:rPr>
        <w:fldChar w:fldCharType="begin" w:fldLock="1"/>
      </w:r>
      <w:r w:rsidR="00AB0BA5" w:rsidRPr="007C12DD">
        <w:rPr>
          <w:lang w:val="en-US"/>
        </w:rPr>
        <w:instrText>ADDIN CSL_CITATION {"citationItems":[{"id":"ITEM-1","itemData":{"ISSN":"00178012","PMID":"15807039","author":[{"dropping-particle":"","family":"Gavetti","given":"Giovanni","non-dropping-particle":"","parse-names":false,"suffix":""},{"dropping-particle":"","family":"Rivkin","given":"Jan W.","non-dropping-particle":"","parse-names":false,"suffix":""}],"container-title":"Harvard Business Review","id":"ITEM-1","issue":"4","issued":{"date-parts":[["2005"]]},"page":"54-63","title":"How strategists really think: Tapping the power of analogy","type":"article-journal","volume":"83"},"uris":["http://www.mendeley.com/documents/?uuid=39928dd0-a3cc-4afc-8b67-ae761380b515"]}],"mendeley":{"formattedCitation":"(Gavetti &amp; Rivkin, 2005)","manualFormatting":"(Gavetti and Rivkin, 2005)","plainTextFormattedCitation":"(Gavetti &amp; Rivkin, 2005)","previouslyFormattedCitation":"(Gavetti &amp; Rivkin, 2005)"},"properties":{"noteIndex":0},"schema":"https://github.com/citation-style-language/schema/raw/master/csl-citation.json"}</w:instrText>
      </w:r>
      <w:r w:rsidR="0068466F" w:rsidRPr="007C12DD">
        <w:rPr>
          <w:lang w:val="en-US"/>
        </w:rPr>
        <w:fldChar w:fldCharType="separate"/>
      </w:r>
      <w:r w:rsidR="0068466F" w:rsidRPr="007C12DD">
        <w:rPr>
          <w:noProof/>
          <w:lang w:val="en-US"/>
        </w:rPr>
        <w:t xml:space="preserve">(Gavetti </w:t>
      </w:r>
      <w:r w:rsidR="00AB0BA5" w:rsidRPr="007C12DD">
        <w:rPr>
          <w:noProof/>
          <w:lang w:val="en-US"/>
        </w:rPr>
        <w:t>and</w:t>
      </w:r>
      <w:r w:rsidR="0068466F" w:rsidRPr="007C12DD">
        <w:rPr>
          <w:noProof/>
          <w:lang w:val="en-US"/>
        </w:rPr>
        <w:t xml:space="preserve"> Rivkin, 2005)</w:t>
      </w:r>
      <w:r w:rsidR="0068466F" w:rsidRPr="007C12DD">
        <w:rPr>
          <w:lang w:val="en-US"/>
        </w:rPr>
        <w:fldChar w:fldCharType="end"/>
      </w:r>
      <w:r w:rsidR="0068466F" w:rsidRPr="007C12DD">
        <w:rPr>
          <w:lang w:val="en-US"/>
        </w:rPr>
        <w:t xml:space="preserve">. Therefore, our findings only provide a starting point and </w:t>
      </w:r>
      <w:r w:rsidR="005938F5" w:rsidRPr="007C12DD">
        <w:rPr>
          <w:lang w:val="en-US"/>
        </w:rPr>
        <w:t xml:space="preserve">should be considered along with other manufacturing </w:t>
      </w:r>
      <w:r w:rsidR="00013CB9">
        <w:rPr>
          <w:lang w:val="en-US"/>
        </w:rPr>
        <w:t>aspects</w:t>
      </w:r>
      <w:r w:rsidR="00013CB9" w:rsidRPr="007C12DD">
        <w:rPr>
          <w:lang w:val="en-US"/>
        </w:rPr>
        <w:t xml:space="preserve"> </w:t>
      </w:r>
      <w:r w:rsidR="00B868F6" w:rsidRPr="007C12DD">
        <w:rPr>
          <w:lang w:val="en-US"/>
        </w:rPr>
        <w:t>as well as with the competitive context of the firm</w:t>
      </w:r>
      <w:r w:rsidR="0068466F" w:rsidRPr="007C12DD">
        <w:rPr>
          <w:lang w:val="en-US"/>
        </w:rPr>
        <w:t>.</w:t>
      </w:r>
    </w:p>
    <w:p w14:paraId="421E6F9E" w14:textId="074059D6" w:rsidR="00534A60" w:rsidRPr="007C12DD" w:rsidRDefault="00DD3E09" w:rsidP="00E76E04">
      <w:pPr>
        <w:spacing w:after="0"/>
        <w:ind w:firstLine="284"/>
        <w:jc w:val="both"/>
        <w:rPr>
          <w:b/>
          <w:bCs/>
          <w:lang w:val="en-US"/>
        </w:rPr>
      </w:pPr>
      <w:r w:rsidRPr="007C12DD">
        <w:rPr>
          <w:lang w:val="en-US"/>
        </w:rPr>
        <w:t>To conclude</w:t>
      </w:r>
      <w:r w:rsidR="000F73B5" w:rsidRPr="007C12DD">
        <w:rPr>
          <w:lang w:val="en-US"/>
        </w:rPr>
        <w:t xml:space="preserve">, this research </w:t>
      </w:r>
      <w:r w:rsidRPr="007C12DD">
        <w:rPr>
          <w:lang w:val="en-US"/>
        </w:rPr>
        <w:t xml:space="preserve">puts us </w:t>
      </w:r>
      <w:r w:rsidR="00B868F6" w:rsidRPr="007C12DD">
        <w:rPr>
          <w:lang w:val="en-US"/>
        </w:rPr>
        <w:t>at the Kitty Hawk stage: we have demonstrated</w:t>
      </w:r>
      <w:r w:rsidR="000F3FC4" w:rsidRPr="007C12DD">
        <w:rPr>
          <w:lang w:val="en-US"/>
        </w:rPr>
        <w:t xml:space="preserve"> the basic </w:t>
      </w:r>
      <w:r w:rsidR="00B868F6" w:rsidRPr="007C12DD">
        <w:rPr>
          <w:lang w:val="en-US"/>
        </w:rPr>
        <w:t xml:space="preserve">principles of drag and lift, but we do not yet know how to fly people across the Atlantic in an Airbus A380. </w:t>
      </w:r>
      <w:r w:rsidR="000F73B5" w:rsidRPr="007C12DD">
        <w:rPr>
          <w:lang w:val="en-US"/>
        </w:rPr>
        <w:t>Indeed</w:t>
      </w:r>
      <w:r w:rsidR="00B868F6" w:rsidRPr="007C12DD">
        <w:rPr>
          <w:lang w:val="en-US"/>
        </w:rPr>
        <w:t>, we have demonstrated which</w:t>
      </w:r>
      <w:r w:rsidR="000F73B5" w:rsidRPr="007C12DD">
        <w:rPr>
          <w:lang w:val="en-US"/>
        </w:rPr>
        <w:t xml:space="preserve"> basic</w:t>
      </w:r>
      <w:r w:rsidR="00B868F6" w:rsidRPr="007C12DD">
        <w:rPr>
          <w:lang w:val="en-US"/>
        </w:rPr>
        <w:t xml:space="preserve"> manufacturing configurations work</w:t>
      </w:r>
      <w:r w:rsidRPr="007C12DD">
        <w:rPr>
          <w:lang w:val="en-US"/>
        </w:rPr>
        <w:t xml:space="preserve"> </w:t>
      </w:r>
      <w:r w:rsidR="008B59A5">
        <w:rPr>
          <w:lang w:val="en-US"/>
        </w:rPr>
        <w:t>and the contingencies which affect them</w:t>
      </w:r>
      <w:r w:rsidR="00054951" w:rsidRPr="007C12DD">
        <w:rPr>
          <w:lang w:val="en-US"/>
        </w:rPr>
        <w:t>,</w:t>
      </w:r>
      <w:r w:rsidR="000F73B5" w:rsidRPr="007C12DD">
        <w:rPr>
          <w:lang w:val="en-US"/>
        </w:rPr>
        <w:t xml:space="preserve"> </w:t>
      </w:r>
      <w:r w:rsidR="00B868F6" w:rsidRPr="007C12DD">
        <w:rPr>
          <w:lang w:val="en-US"/>
        </w:rPr>
        <w:t xml:space="preserve">but we </w:t>
      </w:r>
      <w:r w:rsidR="000F73B5" w:rsidRPr="007C12DD">
        <w:rPr>
          <w:lang w:val="en-US"/>
        </w:rPr>
        <w:t xml:space="preserve">need more in-depth research to make the circular economy fly. </w:t>
      </w:r>
      <w:r w:rsidR="00534A60" w:rsidRPr="007C12DD">
        <w:rPr>
          <w:b/>
          <w:bCs/>
          <w:lang w:val="en-US"/>
        </w:rPr>
        <w:br w:type="page"/>
      </w:r>
    </w:p>
    <w:p w14:paraId="2E0099AE" w14:textId="66E9E54C" w:rsidR="00A91BDA" w:rsidRPr="007C12DD" w:rsidRDefault="005D1F4A" w:rsidP="00681383">
      <w:pPr>
        <w:spacing w:after="0"/>
        <w:rPr>
          <w:b/>
          <w:bCs/>
          <w:lang w:val="en-US"/>
        </w:rPr>
      </w:pPr>
      <w:r w:rsidRPr="007C12DD">
        <w:rPr>
          <w:b/>
          <w:bCs/>
          <w:lang w:val="en-US"/>
        </w:rPr>
        <w:lastRenderedPageBreak/>
        <w:t>References</w:t>
      </w:r>
    </w:p>
    <w:bookmarkStart w:id="4" w:name="_Hlk72789887"/>
    <w:p w14:paraId="06D6F71D"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7C12DD">
        <w:rPr>
          <w:b/>
          <w:bCs/>
          <w:sz w:val="16"/>
          <w:szCs w:val="16"/>
          <w:lang w:val="en-US"/>
        </w:rPr>
        <w:fldChar w:fldCharType="begin" w:fldLock="1"/>
      </w:r>
      <w:r w:rsidRPr="007C12DD">
        <w:rPr>
          <w:b/>
          <w:bCs/>
          <w:sz w:val="16"/>
          <w:szCs w:val="16"/>
          <w:lang w:val="en-US"/>
        </w:rPr>
        <w:instrText xml:space="preserve">ADDIN Mendeley Bibliography CSL_BIBLIOGRAPHY </w:instrText>
      </w:r>
      <w:r w:rsidRPr="007C12DD">
        <w:rPr>
          <w:b/>
          <w:bCs/>
          <w:sz w:val="16"/>
          <w:szCs w:val="16"/>
          <w:lang w:val="en-US"/>
        </w:rPr>
        <w:fldChar w:fldCharType="separate"/>
      </w:r>
      <w:r w:rsidRPr="00E01890">
        <w:rPr>
          <w:rFonts w:ascii="Calibri" w:hAnsi="Calibri" w:cs="Calibri"/>
          <w:noProof/>
          <w:sz w:val="16"/>
          <w:szCs w:val="24"/>
          <w:lang w:val="en-US"/>
        </w:rPr>
        <w:t xml:space="preserve">Amit, R., Zott, C., 2015. Crafting business architecture: the antecedents of business model design. </w:t>
      </w:r>
      <w:r w:rsidRPr="00E01890">
        <w:rPr>
          <w:rFonts w:ascii="Calibri" w:hAnsi="Calibri" w:cs="Calibri"/>
          <w:i/>
          <w:iCs/>
          <w:noProof/>
          <w:sz w:val="16"/>
          <w:szCs w:val="24"/>
          <w:lang w:val="en-US"/>
        </w:rPr>
        <w:t>Strateg. Entrepreneurship J.</w:t>
      </w:r>
      <w:r w:rsidRPr="00E01890">
        <w:rPr>
          <w:rFonts w:ascii="Calibri" w:hAnsi="Calibri" w:cs="Calibri"/>
          <w:noProof/>
          <w:sz w:val="16"/>
          <w:szCs w:val="24"/>
          <w:lang w:val="en-US"/>
        </w:rPr>
        <w:t xml:space="preserve"> 9 (4), 331–350.</w:t>
      </w:r>
    </w:p>
    <w:p w14:paraId="7FD2CAD4"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Baum, J.A.C., Calabrese, T., Silverman, B.S., 2000. Don’t go it alone: Alliance network composition and startups’ performance in Canadian biotechnology. </w:t>
      </w:r>
      <w:r w:rsidRPr="00E01890">
        <w:rPr>
          <w:rFonts w:ascii="Calibri" w:hAnsi="Calibri" w:cs="Calibri"/>
          <w:i/>
          <w:iCs/>
          <w:noProof/>
          <w:sz w:val="16"/>
          <w:szCs w:val="24"/>
          <w:lang w:val="en-US"/>
        </w:rPr>
        <w:t>Strateg. Manag. J.</w:t>
      </w:r>
      <w:r w:rsidRPr="00E01890">
        <w:rPr>
          <w:rFonts w:ascii="Calibri" w:hAnsi="Calibri" w:cs="Calibri"/>
          <w:noProof/>
          <w:sz w:val="16"/>
          <w:szCs w:val="24"/>
          <w:lang w:val="en-US"/>
        </w:rPr>
        <w:t xml:space="preserve"> 21</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(3), 267–294.</w:t>
      </w:r>
    </w:p>
    <w:p w14:paraId="54BC292A"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Beh, L.S., Ghobadian, A., He, Q., Gallear, D., O’Regan, N., 2016. Second-life retailing: a reverse supply chain perspective. </w:t>
      </w:r>
      <w:r w:rsidRPr="00E01890">
        <w:rPr>
          <w:rFonts w:ascii="Calibri" w:hAnsi="Calibri" w:cs="Calibri"/>
          <w:i/>
          <w:iCs/>
          <w:noProof/>
          <w:sz w:val="16"/>
          <w:szCs w:val="24"/>
          <w:lang w:val="en-US"/>
        </w:rPr>
        <w:t>Int. J. Supply Chain Manag.</w:t>
      </w:r>
      <w:r w:rsidRPr="00E01890">
        <w:rPr>
          <w:rFonts w:ascii="Calibri" w:hAnsi="Calibri" w:cs="Calibri"/>
          <w:noProof/>
          <w:sz w:val="16"/>
          <w:szCs w:val="24"/>
          <w:lang w:val="en-US"/>
        </w:rPr>
        <w:t xml:space="preserve"> 21 (2), 259–272. </w:t>
      </w:r>
    </w:p>
    <w:p w14:paraId="51841DBA"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rPr>
      </w:pPr>
      <w:r w:rsidRPr="00E01890">
        <w:rPr>
          <w:rFonts w:ascii="Calibri" w:hAnsi="Calibri" w:cs="Calibri"/>
          <w:noProof/>
          <w:sz w:val="16"/>
          <w:szCs w:val="24"/>
          <w:lang w:val="en-US"/>
        </w:rPr>
        <w:t xml:space="preserve">Bocken, N.M.P., Short, S.W., Rana, P., Evans, S., 2014. A literature and practice review to develop sustainable business model archetypes. </w:t>
      </w:r>
      <w:r w:rsidRPr="001240E6">
        <w:rPr>
          <w:rFonts w:ascii="Calibri" w:hAnsi="Calibri" w:cs="Calibri"/>
          <w:i/>
          <w:iCs/>
          <w:noProof/>
          <w:sz w:val="16"/>
          <w:szCs w:val="24"/>
        </w:rPr>
        <w:t>J. Clean. Prod.</w:t>
      </w:r>
      <w:r w:rsidRPr="001240E6">
        <w:rPr>
          <w:rFonts w:ascii="Calibri" w:hAnsi="Calibri" w:cs="Calibri"/>
          <w:noProof/>
          <w:sz w:val="16"/>
          <w:szCs w:val="24"/>
        </w:rPr>
        <w:t xml:space="preserve"> 65, 42–56. </w:t>
      </w:r>
    </w:p>
    <w:p w14:paraId="547550DF"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rPr>
      </w:pPr>
      <w:r w:rsidRPr="001240E6">
        <w:rPr>
          <w:rFonts w:ascii="Calibri" w:hAnsi="Calibri" w:cs="Calibri"/>
          <w:noProof/>
          <w:sz w:val="16"/>
          <w:szCs w:val="24"/>
        </w:rPr>
        <w:t xml:space="preserve">Bocken, N.M.P., de Pauw, I., Bakker, C., van der Grinten, B., 2016. </w:t>
      </w:r>
      <w:r w:rsidRPr="00E01890">
        <w:rPr>
          <w:rFonts w:ascii="Calibri" w:hAnsi="Calibri" w:cs="Calibri"/>
          <w:noProof/>
          <w:sz w:val="16"/>
          <w:szCs w:val="24"/>
          <w:lang w:val="en-US"/>
        </w:rPr>
        <w:t xml:space="preserve">Product design and business model strategies for a circular economy. </w:t>
      </w:r>
      <w:r w:rsidRPr="001240E6">
        <w:rPr>
          <w:rFonts w:ascii="Calibri" w:hAnsi="Calibri" w:cs="Calibri"/>
          <w:i/>
          <w:iCs/>
          <w:noProof/>
          <w:sz w:val="16"/>
          <w:szCs w:val="24"/>
        </w:rPr>
        <w:t>J Ind. Prod. Eng.</w:t>
      </w:r>
      <w:r w:rsidRPr="001240E6">
        <w:rPr>
          <w:rFonts w:ascii="Calibri" w:hAnsi="Calibri" w:cs="Calibri"/>
          <w:noProof/>
          <w:sz w:val="16"/>
          <w:szCs w:val="24"/>
        </w:rPr>
        <w:t xml:space="preserve"> 33</w:t>
      </w:r>
      <w:r w:rsidRPr="001240E6">
        <w:rPr>
          <w:rFonts w:ascii="Calibri" w:hAnsi="Calibri" w:cs="Calibri"/>
          <w:i/>
          <w:iCs/>
          <w:noProof/>
          <w:sz w:val="16"/>
          <w:szCs w:val="24"/>
        </w:rPr>
        <w:t xml:space="preserve"> </w:t>
      </w:r>
      <w:r w:rsidRPr="001240E6">
        <w:rPr>
          <w:rFonts w:ascii="Calibri" w:hAnsi="Calibri" w:cs="Calibri"/>
          <w:noProof/>
          <w:sz w:val="16"/>
          <w:szCs w:val="24"/>
        </w:rPr>
        <w:t xml:space="preserve">(5), 308–320. </w:t>
      </w:r>
    </w:p>
    <w:p w14:paraId="33AC4EDC"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rPr>
      </w:pPr>
      <w:r w:rsidRPr="001240E6">
        <w:rPr>
          <w:rFonts w:ascii="Calibri" w:hAnsi="Calibri" w:cs="Calibri"/>
          <w:noProof/>
          <w:sz w:val="16"/>
          <w:szCs w:val="24"/>
        </w:rPr>
        <w:t xml:space="preserve">Bockholt, M.T., Kristensen, J.H., Wahrens, B.V., Evans, S., 2019. </w:t>
      </w:r>
      <w:r w:rsidRPr="00E01890">
        <w:rPr>
          <w:rFonts w:ascii="Calibri" w:hAnsi="Calibri" w:cs="Calibri"/>
          <w:noProof/>
          <w:sz w:val="16"/>
          <w:szCs w:val="24"/>
          <w:lang w:val="en-US"/>
        </w:rPr>
        <w:t xml:space="preserve">Learning from the nature: Enabling the transition towards circular economy through biomimicry. </w:t>
      </w:r>
      <w:r w:rsidRPr="001240E6">
        <w:rPr>
          <w:rFonts w:ascii="Calibri" w:hAnsi="Calibri" w:cs="Calibri"/>
          <w:i/>
          <w:iCs/>
          <w:noProof/>
          <w:sz w:val="16"/>
          <w:szCs w:val="24"/>
        </w:rPr>
        <w:t>IEEE Int. Conf. Ind. Eng Manag.</w:t>
      </w:r>
      <w:r w:rsidRPr="001240E6">
        <w:rPr>
          <w:rFonts w:ascii="Calibri" w:hAnsi="Calibri" w:cs="Calibri"/>
          <w:noProof/>
          <w:sz w:val="16"/>
          <w:szCs w:val="24"/>
        </w:rPr>
        <w:t xml:space="preserve"> 870–875. </w:t>
      </w:r>
    </w:p>
    <w:p w14:paraId="745A0B36"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1240E6">
        <w:rPr>
          <w:rFonts w:ascii="Calibri" w:hAnsi="Calibri" w:cs="Calibri"/>
          <w:noProof/>
          <w:sz w:val="16"/>
          <w:szCs w:val="24"/>
        </w:rPr>
        <w:t xml:space="preserve">Bockholt, M.T., Kristensen, J.H., Colli, M., Meulengracht, P.J., Wæhrens, B.V., 2020. </w:t>
      </w:r>
      <w:r w:rsidRPr="00E01890">
        <w:rPr>
          <w:rFonts w:ascii="Calibri" w:hAnsi="Calibri" w:cs="Calibri"/>
          <w:noProof/>
          <w:sz w:val="16"/>
          <w:szCs w:val="24"/>
          <w:lang w:val="en-US"/>
        </w:rPr>
        <w:t xml:space="preserve">Exploring factors affecting the financial performance of end-of-life take-back program in a discrete manufacturing context.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258, 120916. </w:t>
      </w:r>
    </w:p>
    <w:p w14:paraId="3D6D06C9"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Brandenburger, A.M., Stuart Jr., H.W., 1996. Value-based business strategy. </w:t>
      </w:r>
      <w:r w:rsidRPr="00E01890">
        <w:rPr>
          <w:rFonts w:ascii="Calibri" w:hAnsi="Calibri" w:cs="Calibri"/>
          <w:i/>
          <w:iCs/>
          <w:noProof/>
          <w:sz w:val="16"/>
          <w:szCs w:val="24"/>
          <w:lang w:val="en-US"/>
        </w:rPr>
        <w:t>J. Econ. Manag. Strategy.</w:t>
      </w:r>
      <w:r w:rsidRPr="00E01890">
        <w:rPr>
          <w:rFonts w:ascii="Calibri" w:hAnsi="Calibri" w:cs="Calibri"/>
          <w:noProof/>
          <w:sz w:val="16"/>
          <w:szCs w:val="24"/>
          <w:lang w:val="en-US"/>
        </w:rPr>
        <w:t xml:space="preserve"> 5</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(1), 5–24. </w:t>
      </w:r>
    </w:p>
    <w:p w14:paraId="1AAA23B7"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Bressanelli, G., Perona, M., Saccani, N., 2019. Challenges in supply chain redesign for the circular economy: A literature review and a multiple case study. </w:t>
      </w:r>
      <w:r w:rsidRPr="00E01890">
        <w:rPr>
          <w:rFonts w:ascii="Calibri" w:hAnsi="Calibri" w:cs="Calibri"/>
          <w:i/>
          <w:iCs/>
          <w:noProof/>
          <w:sz w:val="16"/>
          <w:szCs w:val="24"/>
          <w:lang w:val="en-US"/>
        </w:rPr>
        <w:t>Int. J. Prod. Res.</w:t>
      </w:r>
      <w:r w:rsidRPr="00E01890">
        <w:rPr>
          <w:rFonts w:ascii="Calibri" w:hAnsi="Calibri" w:cs="Calibri"/>
          <w:noProof/>
          <w:sz w:val="16"/>
          <w:szCs w:val="24"/>
          <w:lang w:val="en-US"/>
        </w:rPr>
        <w:t xml:space="preserve"> 57</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(23), 7395–7422. </w:t>
      </w:r>
    </w:p>
    <w:p w14:paraId="0C28DD07"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it-IT"/>
        </w:rPr>
      </w:pPr>
      <w:r w:rsidRPr="00E01890">
        <w:rPr>
          <w:rFonts w:ascii="Calibri" w:hAnsi="Calibri" w:cs="Calibri"/>
          <w:noProof/>
          <w:sz w:val="16"/>
          <w:szCs w:val="24"/>
          <w:lang w:val="en-US"/>
        </w:rPr>
        <w:t xml:space="preserve">Cagliano, R., Acur, N., Boer, H., 2005. Patterns of change in manufacturing strategy configurations. </w:t>
      </w:r>
      <w:r w:rsidRPr="001240E6">
        <w:rPr>
          <w:rFonts w:ascii="Calibri" w:hAnsi="Calibri" w:cs="Calibri"/>
          <w:i/>
          <w:iCs/>
          <w:noProof/>
          <w:sz w:val="16"/>
          <w:szCs w:val="24"/>
          <w:lang w:val="it-IT"/>
        </w:rPr>
        <w:t>Int. J. Oper. Prod. Manag.</w:t>
      </w:r>
      <w:r w:rsidRPr="001240E6">
        <w:rPr>
          <w:rFonts w:ascii="Calibri" w:hAnsi="Calibri" w:cs="Calibri"/>
          <w:noProof/>
          <w:sz w:val="16"/>
          <w:szCs w:val="24"/>
          <w:lang w:val="it-IT"/>
        </w:rPr>
        <w:t xml:space="preserve"> 25 (7), 701–718.</w:t>
      </w:r>
    </w:p>
    <w:p w14:paraId="16B41C34"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1240E6">
        <w:rPr>
          <w:rFonts w:ascii="Calibri" w:hAnsi="Calibri" w:cs="Calibri"/>
          <w:noProof/>
          <w:sz w:val="16"/>
          <w:szCs w:val="24"/>
          <w:lang w:val="it-IT"/>
        </w:rPr>
        <w:t xml:space="preserve">Cagliano, R., Caniato, F., Golini, R., Kalchschmidt, M., Spina, G., 2008. </w:t>
      </w:r>
      <w:r w:rsidRPr="00E01890">
        <w:rPr>
          <w:rFonts w:ascii="Calibri" w:hAnsi="Calibri" w:cs="Calibri"/>
          <w:noProof/>
          <w:sz w:val="16"/>
          <w:szCs w:val="24"/>
          <w:lang w:val="en-US"/>
        </w:rPr>
        <w:t xml:space="preserve">Supply chain configurations in a global environment: A longitudinal perspective. </w:t>
      </w:r>
      <w:r w:rsidRPr="00E01890">
        <w:rPr>
          <w:rFonts w:ascii="Calibri" w:hAnsi="Calibri" w:cs="Calibri"/>
          <w:i/>
          <w:iCs/>
          <w:noProof/>
          <w:sz w:val="16"/>
          <w:szCs w:val="24"/>
          <w:lang w:val="en-US"/>
        </w:rPr>
        <w:t>Oper. Manag. Res.</w:t>
      </w:r>
      <w:r w:rsidRPr="00E01890">
        <w:rPr>
          <w:rFonts w:ascii="Calibri" w:hAnsi="Calibri" w:cs="Calibri"/>
          <w:noProof/>
          <w:sz w:val="16"/>
          <w:szCs w:val="24"/>
          <w:lang w:val="en-US"/>
        </w:rPr>
        <w:t xml:space="preserve"> 1 (2), 86–94. </w:t>
      </w:r>
    </w:p>
    <w:p w14:paraId="16AAB562" w14:textId="5C8A0E1B" w:rsidR="00C33813"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Chatterji, A., Delecourt, S., Hasan, S., Koning, R., 2019. When does advice impact startup performance? </w:t>
      </w:r>
      <w:r w:rsidRPr="00E01890">
        <w:rPr>
          <w:rFonts w:ascii="Calibri" w:hAnsi="Calibri" w:cs="Calibri"/>
          <w:i/>
          <w:iCs/>
          <w:noProof/>
          <w:sz w:val="16"/>
          <w:szCs w:val="24"/>
          <w:lang w:val="en-US"/>
        </w:rPr>
        <w:t>Strateg. Manag. J.</w:t>
      </w:r>
      <w:r w:rsidRPr="00E01890">
        <w:rPr>
          <w:rFonts w:ascii="Calibri" w:hAnsi="Calibri" w:cs="Calibri"/>
          <w:noProof/>
          <w:sz w:val="16"/>
          <w:szCs w:val="24"/>
          <w:lang w:val="en-US"/>
        </w:rPr>
        <w:t xml:space="preserve">, 40 (3), 331–356. </w:t>
      </w:r>
    </w:p>
    <w:p w14:paraId="759D4D20" w14:textId="3BFF87CF" w:rsidR="00C33813" w:rsidRPr="00C33813"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091A62">
        <w:rPr>
          <w:rFonts w:ascii="Calibri" w:hAnsi="Calibri" w:cs="Calibri"/>
          <w:noProof/>
          <w:sz w:val="16"/>
          <w:szCs w:val="24"/>
          <w:lang w:val="en-GB"/>
        </w:rPr>
        <w:t xml:space="preserve">Chavez, R., Malik, M., Ghaderi, H., Yu, W., 2021. </w:t>
      </w:r>
      <w:r w:rsidRPr="00C33813">
        <w:rPr>
          <w:rFonts w:ascii="Calibri" w:hAnsi="Calibri" w:cs="Calibri"/>
          <w:noProof/>
          <w:sz w:val="16"/>
          <w:szCs w:val="24"/>
          <w:lang w:val="en-US"/>
        </w:rPr>
        <w:t xml:space="preserve">Environmental orientation, external environmental information exchange and environmental performance: </w:t>
      </w:r>
      <w:r>
        <w:rPr>
          <w:rFonts w:ascii="Calibri" w:hAnsi="Calibri" w:cs="Calibri"/>
          <w:noProof/>
          <w:sz w:val="16"/>
          <w:szCs w:val="24"/>
          <w:lang w:val="en-US"/>
        </w:rPr>
        <w:t>e</w:t>
      </w:r>
      <w:r w:rsidRPr="00C33813">
        <w:rPr>
          <w:rFonts w:ascii="Calibri" w:hAnsi="Calibri" w:cs="Calibri"/>
          <w:noProof/>
          <w:sz w:val="16"/>
          <w:szCs w:val="24"/>
          <w:lang w:val="en-US"/>
        </w:rPr>
        <w:t xml:space="preserve">xamining mediation and moderation effects. </w:t>
      </w:r>
      <w:r w:rsidRPr="00C33813">
        <w:rPr>
          <w:rFonts w:ascii="Calibri" w:hAnsi="Calibri" w:cs="Calibri"/>
          <w:i/>
          <w:iCs/>
          <w:noProof/>
          <w:sz w:val="16"/>
          <w:szCs w:val="24"/>
          <w:lang w:val="en-US"/>
        </w:rPr>
        <w:t>Int. J. Prod. Ec</w:t>
      </w:r>
      <w:r>
        <w:rPr>
          <w:rFonts w:ascii="Calibri" w:hAnsi="Calibri" w:cs="Calibri"/>
          <w:noProof/>
          <w:sz w:val="16"/>
          <w:szCs w:val="24"/>
          <w:lang w:val="en-US"/>
        </w:rPr>
        <w:t>.</w:t>
      </w:r>
      <w:r w:rsidRPr="00C33813">
        <w:rPr>
          <w:rFonts w:ascii="Calibri" w:hAnsi="Calibri" w:cs="Calibri"/>
          <w:noProof/>
          <w:sz w:val="16"/>
          <w:szCs w:val="24"/>
          <w:lang w:val="en-US"/>
        </w:rPr>
        <w:t xml:space="preserve"> 240, 108222</w:t>
      </w:r>
      <w:r w:rsidR="00EA1E67" w:rsidRPr="00E01890">
        <w:rPr>
          <w:rFonts w:ascii="Calibri" w:hAnsi="Calibri" w:cs="Calibri"/>
          <w:noProof/>
          <w:sz w:val="16"/>
          <w:szCs w:val="24"/>
          <w:lang w:val="en-US"/>
        </w:rPr>
        <w:t>–</w:t>
      </w:r>
      <w:r w:rsidR="00EA1E67">
        <w:rPr>
          <w:rFonts w:ascii="Calibri" w:hAnsi="Calibri" w:cs="Calibri"/>
          <w:noProof/>
          <w:sz w:val="16"/>
          <w:szCs w:val="24"/>
          <w:lang w:val="en-US"/>
        </w:rPr>
        <w:t>108233</w:t>
      </w:r>
      <w:r w:rsidRPr="00C33813">
        <w:rPr>
          <w:rFonts w:ascii="Calibri" w:hAnsi="Calibri" w:cs="Calibri"/>
          <w:noProof/>
          <w:sz w:val="16"/>
          <w:szCs w:val="24"/>
          <w:lang w:val="en-US"/>
        </w:rPr>
        <w:t xml:space="preserve">. </w:t>
      </w:r>
    </w:p>
    <w:p w14:paraId="2DFD36D0"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Doty, D.H., Glick, H.W., 1994. Typologies as a unique form of theory building : Toward improved understanding and modeling. </w:t>
      </w:r>
      <w:r w:rsidRPr="00E01890">
        <w:rPr>
          <w:rFonts w:ascii="Calibri" w:hAnsi="Calibri" w:cs="Calibri"/>
          <w:i/>
          <w:iCs/>
          <w:noProof/>
          <w:sz w:val="16"/>
          <w:szCs w:val="24"/>
          <w:lang w:val="en-US"/>
        </w:rPr>
        <w:t xml:space="preserve">Acad. Manag. Rev. </w:t>
      </w:r>
      <w:r w:rsidRPr="00E01890">
        <w:rPr>
          <w:rFonts w:ascii="Calibri" w:hAnsi="Calibri" w:cs="Calibri"/>
          <w:noProof/>
          <w:sz w:val="16"/>
          <w:szCs w:val="24"/>
          <w:lang w:val="en-US"/>
        </w:rPr>
        <w:t>19</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(2), 230–251. </w:t>
      </w:r>
    </w:p>
    <w:p w14:paraId="662C849B"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Duşa, A., 2019. QCA with R. </w:t>
      </w:r>
      <w:r w:rsidRPr="00E01890">
        <w:rPr>
          <w:rFonts w:ascii="Calibri" w:hAnsi="Calibri" w:cs="Calibri"/>
          <w:i/>
          <w:iCs/>
          <w:noProof/>
          <w:sz w:val="16"/>
          <w:szCs w:val="24"/>
          <w:lang w:val="en-US"/>
        </w:rPr>
        <w:t>Springer.</w:t>
      </w:r>
    </w:p>
    <w:p w14:paraId="54E80D3E"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Ellen MacArthur Foundation, 2015. </w:t>
      </w:r>
      <w:r w:rsidRPr="00E01890">
        <w:rPr>
          <w:rFonts w:ascii="Calibri" w:hAnsi="Calibri" w:cs="Calibri"/>
          <w:i/>
          <w:iCs/>
          <w:noProof/>
          <w:sz w:val="16"/>
          <w:szCs w:val="24"/>
          <w:lang w:val="en-US"/>
        </w:rPr>
        <w:t>Towards a circular economy: Business rationale for an accelerated transition</w:t>
      </w:r>
      <w:r w:rsidRPr="00E01890">
        <w:rPr>
          <w:rFonts w:ascii="Calibri" w:hAnsi="Calibri" w:cs="Calibri"/>
          <w:noProof/>
          <w:sz w:val="16"/>
          <w:szCs w:val="24"/>
          <w:lang w:val="en-US"/>
        </w:rPr>
        <w:t>. https://www.ellenmacarthurfoundation.org/assets/downloads/publications/TCE_Ellen-MacArthur-Foundation_26-Nov-2015.pdf [Online; Accessed 24 May 2021]</w:t>
      </w:r>
    </w:p>
    <w:p w14:paraId="6550E2AE"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Franco, M.A., 2017. Circular economy at the micro level: A dynamic view of incumbents’ struggles and challenges in the textile industry.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168, 833–845. </w:t>
      </w:r>
    </w:p>
    <w:p w14:paraId="6B152146"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Galbraith, J.R., 1973. </w:t>
      </w:r>
      <w:r w:rsidRPr="00E01890">
        <w:rPr>
          <w:rFonts w:ascii="Calibri" w:hAnsi="Calibri" w:cs="Calibri"/>
          <w:i/>
          <w:iCs/>
          <w:noProof/>
          <w:sz w:val="16"/>
          <w:szCs w:val="24"/>
          <w:lang w:val="en-US"/>
        </w:rPr>
        <w:t>Designing Complex Organizations</w:t>
      </w:r>
      <w:r w:rsidRPr="00E01890">
        <w:rPr>
          <w:rFonts w:ascii="Calibri" w:hAnsi="Calibri" w:cs="Calibri"/>
          <w:noProof/>
          <w:sz w:val="16"/>
          <w:szCs w:val="24"/>
          <w:lang w:val="en-US"/>
        </w:rPr>
        <w:t>. Addison-Wesley Longman Publishing.</w:t>
      </w:r>
    </w:p>
    <w:p w14:paraId="24AA6222"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Galbreth, M.R., Blackburn, J.D., 2009. Optimal acquisition and sorting policies for remanufacturing. </w:t>
      </w:r>
      <w:r w:rsidRPr="00E01890">
        <w:rPr>
          <w:rFonts w:ascii="Calibri" w:hAnsi="Calibri" w:cs="Calibri"/>
          <w:i/>
          <w:iCs/>
          <w:noProof/>
          <w:sz w:val="16"/>
          <w:szCs w:val="24"/>
          <w:lang w:val="en-US"/>
        </w:rPr>
        <w:t>Prod. Oper. Manag.</w:t>
      </w:r>
      <w:r w:rsidRPr="00E01890">
        <w:rPr>
          <w:rFonts w:ascii="Calibri" w:hAnsi="Calibri" w:cs="Calibri"/>
          <w:noProof/>
          <w:sz w:val="16"/>
          <w:szCs w:val="24"/>
          <w:lang w:val="en-US"/>
        </w:rPr>
        <w:t xml:space="preserve"> 15</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(3), 384–392. </w:t>
      </w:r>
    </w:p>
    <w:p w14:paraId="378374D0"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Gassmann, O., Frankenberger, K., Csik, M., 2014. </w:t>
      </w:r>
      <w:r w:rsidRPr="00E01890">
        <w:rPr>
          <w:rFonts w:ascii="Calibri" w:hAnsi="Calibri" w:cs="Calibri"/>
          <w:i/>
          <w:iCs/>
          <w:noProof/>
          <w:sz w:val="16"/>
          <w:szCs w:val="24"/>
          <w:lang w:val="en-US"/>
        </w:rPr>
        <w:t>Business Model Navigator: 55 Models That Will Revolutionise Your Business</w:t>
      </w:r>
      <w:r w:rsidRPr="00E01890">
        <w:rPr>
          <w:rFonts w:ascii="Calibri" w:hAnsi="Calibri" w:cs="Calibri"/>
          <w:noProof/>
          <w:sz w:val="16"/>
          <w:szCs w:val="24"/>
          <w:lang w:val="en-US"/>
        </w:rPr>
        <w:t>. Pearson.</w:t>
      </w:r>
    </w:p>
    <w:p w14:paraId="49252DD2"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Gavetti, G., Rivkin, J.W., 2005. How strategists really think: Tapping the power of analogy. </w:t>
      </w:r>
      <w:r w:rsidRPr="00E01890">
        <w:rPr>
          <w:rFonts w:ascii="Calibri" w:hAnsi="Calibri" w:cs="Calibri"/>
          <w:i/>
          <w:iCs/>
          <w:noProof/>
          <w:sz w:val="16"/>
          <w:szCs w:val="24"/>
          <w:lang w:val="en-US"/>
        </w:rPr>
        <w:t>Harv. Bus. Rev.</w:t>
      </w:r>
      <w:r w:rsidRPr="00E01890">
        <w:rPr>
          <w:rFonts w:ascii="Calibri" w:hAnsi="Calibri" w:cs="Calibri"/>
          <w:noProof/>
          <w:sz w:val="16"/>
          <w:szCs w:val="24"/>
          <w:lang w:val="en-US"/>
        </w:rPr>
        <w:t xml:space="preserve"> 83 (4), 54–63.</w:t>
      </w:r>
    </w:p>
    <w:p w14:paraId="325BBE76"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Geissdoerfer, M., Morioka, S.N., de Carvalho, M.M., Evans, S., 2018. Business models and supply chains for the circular economy.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190, 712–721. </w:t>
      </w:r>
    </w:p>
    <w:p w14:paraId="04A6814C"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Geissdoerfer, M., Savaget, P., Bocken, N.M.P., Hultink, E.J., 2017. The circular economy – A new sustainability paradigm?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w:t>
      </w:r>
      <w:r w:rsidRPr="00E01890">
        <w:rPr>
          <w:rFonts w:ascii="Calibri" w:hAnsi="Calibri" w:cs="Calibri"/>
          <w:i/>
          <w:iCs/>
          <w:noProof/>
          <w:sz w:val="16"/>
          <w:szCs w:val="24"/>
          <w:lang w:val="en-US"/>
        </w:rPr>
        <w:t>143</w:t>
      </w:r>
      <w:r w:rsidRPr="00E01890">
        <w:rPr>
          <w:rFonts w:ascii="Calibri" w:hAnsi="Calibri" w:cs="Calibri"/>
          <w:noProof/>
          <w:sz w:val="16"/>
          <w:szCs w:val="24"/>
          <w:lang w:val="en-US"/>
        </w:rPr>
        <w:t xml:space="preserve">, 757–768. </w:t>
      </w:r>
    </w:p>
    <w:p w14:paraId="02BAFE94"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rPr>
      </w:pPr>
      <w:r w:rsidRPr="00E01890">
        <w:rPr>
          <w:rFonts w:ascii="Calibri" w:hAnsi="Calibri" w:cs="Calibri"/>
          <w:noProof/>
          <w:sz w:val="16"/>
          <w:szCs w:val="24"/>
          <w:lang w:val="en-US"/>
        </w:rPr>
        <w:t xml:space="preserve">Guide, V.D.R., 2000. Production planning and control for remanufacturing: industry practice and research needs. </w:t>
      </w:r>
      <w:r w:rsidRPr="001240E6">
        <w:rPr>
          <w:rFonts w:ascii="Calibri" w:hAnsi="Calibri" w:cs="Calibri"/>
          <w:i/>
          <w:iCs/>
          <w:noProof/>
          <w:sz w:val="16"/>
          <w:szCs w:val="24"/>
        </w:rPr>
        <w:t>J. Oper. Manag.</w:t>
      </w:r>
      <w:r w:rsidRPr="001240E6">
        <w:rPr>
          <w:rFonts w:ascii="Calibri" w:hAnsi="Calibri" w:cs="Calibri"/>
          <w:noProof/>
          <w:sz w:val="16"/>
          <w:szCs w:val="24"/>
        </w:rPr>
        <w:t xml:space="preserve"> 18</w:t>
      </w:r>
      <w:r w:rsidRPr="001240E6">
        <w:rPr>
          <w:rFonts w:ascii="Calibri" w:hAnsi="Calibri" w:cs="Calibri"/>
          <w:i/>
          <w:iCs/>
          <w:noProof/>
          <w:sz w:val="16"/>
          <w:szCs w:val="24"/>
        </w:rPr>
        <w:t xml:space="preserve"> </w:t>
      </w:r>
      <w:r w:rsidRPr="001240E6">
        <w:rPr>
          <w:rFonts w:ascii="Calibri" w:hAnsi="Calibri" w:cs="Calibri"/>
          <w:noProof/>
          <w:sz w:val="16"/>
          <w:szCs w:val="24"/>
        </w:rPr>
        <w:t xml:space="preserve">(4), 467–483. </w:t>
      </w:r>
    </w:p>
    <w:p w14:paraId="5AC52F8F"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1240E6">
        <w:rPr>
          <w:rFonts w:ascii="Calibri" w:hAnsi="Calibri" w:cs="Calibri"/>
          <w:noProof/>
          <w:sz w:val="16"/>
          <w:szCs w:val="24"/>
        </w:rPr>
        <w:t xml:space="preserve">Guide, V.D.R., van Wassenhove, L.N., 2009. </w:t>
      </w:r>
      <w:r w:rsidRPr="00E01890">
        <w:rPr>
          <w:rFonts w:ascii="Calibri" w:hAnsi="Calibri" w:cs="Calibri"/>
          <w:noProof/>
          <w:sz w:val="16"/>
          <w:szCs w:val="24"/>
          <w:lang w:val="en-US"/>
        </w:rPr>
        <w:t xml:space="preserve">Managing product returns for remanufacturing. </w:t>
      </w:r>
      <w:r w:rsidRPr="00E01890">
        <w:rPr>
          <w:rFonts w:ascii="Calibri" w:hAnsi="Calibri" w:cs="Calibri"/>
          <w:i/>
          <w:iCs/>
          <w:noProof/>
          <w:sz w:val="16"/>
          <w:szCs w:val="24"/>
          <w:lang w:val="en-US"/>
        </w:rPr>
        <w:t>Prod. Oper. Manag.</w:t>
      </w:r>
      <w:r w:rsidRPr="00E01890">
        <w:rPr>
          <w:rFonts w:ascii="Calibri" w:hAnsi="Calibri" w:cs="Calibri"/>
          <w:noProof/>
          <w:sz w:val="16"/>
          <w:szCs w:val="24"/>
          <w:lang w:val="en-US"/>
        </w:rPr>
        <w:t xml:space="preserve"> 10</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(2), 142–155. </w:t>
      </w:r>
    </w:p>
    <w:p w14:paraId="59BE58D7"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Hartmann, P.M., Zaki, M., Feldmann, N., Neely, A., 2016. Capturing value from big data – a taxonomy of data-driven business models used by start-up firms. </w:t>
      </w:r>
      <w:r w:rsidRPr="00E01890">
        <w:rPr>
          <w:rFonts w:ascii="Calibri" w:hAnsi="Calibri" w:cs="Calibri"/>
          <w:i/>
          <w:iCs/>
          <w:noProof/>
          <w:sz w:val="16"/>
          <w:szCs w:val="24"/>
          <w:lang w:val="en-US"/>
        </w:rPr>
        <w:t>Int. J. Oper. Prod. Manag</w:t>
      </w:r>
      <w:r w:rsidRPr="00E01890">
        <w:rPr>
          <w:rFonts w:ascii="Calibri" w:hAnsi="Calibri" w:cs="Calibri"/>
          <w:noProof/>
          <w:sz w:val="16"/>
          <w:szCs w:val="24"/>
          <w:lang w:val="en-US"/>
        </w:rPr>
        <w:t xml:space="preserve">, 36 (10), 1382–1406. </w:t>
      </w:r>
    </w:p>
    <w:p w14:paraId="7663236B"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rPr>
      </w:pPr>
      <w:r w:rsidRPr="00E01890">
        <w:rPr>
          <w:rFonts w:ascii="Calibri" w:hAnsi="Calibri" w:cs="Calibri"/>
          <w:noProof/>
          <w:sz w:val="16"/>
          <w:szCs w:val="24"/>
          <w:lang w:val="en-US"/>
        </w:rPr>
        <w:t xml:space="preserve">Hayes, R.H., Pisano, G.P., 1994. Beyond world-class: the new manufacturing strategy. </w:t>
      </w:r>
      <w:r w:rsidRPr="001240E6">
        <w:rPr>
          <w:rFonts w:ascii="Calibri" w:hAnsi="Calibri" w:cs="Calibri"/>
          <w:i/>
          <w:iCs/>
          <w:noProof/>
          <w:sz w:val="16"/>
          <w:szCs w:val="24"/>
        </w:rPr>
        <w:t>Harv. Bus. Rev.</w:t>
      </w:r>
      <w:r w:rsidRPr="001240E6">
        <w:rPr>
          <w:rFonts w:ascii="Calibri" w:hAnsi="Calibri" w:cs="Calibri"/>
          <w:noProof/>
          <w:sz w:val="16"/>
          <w:szCs w:val="24"/>
        </w:rPr>
        <w:t xml:space="preserve"> 72 (10), 77–86.</w:t>
      </w:r>
    </w:p>
    <w:p w14:paraId="5452AE9D" w14:textId="544D72AA" w:rsidR="00C33813"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1240E6">
        <w:rPr>
          <w:rFonts w:ascii="Calibri" w:hAnsi="Calibri" w:cs="Calibri"/>
          <w:noProof/>
          <w:sz w:val="16"/>
          <w:szCs w:val="24"/>
        </w:rPr>
        <w:t xml:space="preserve">Henry, M., Bauwens, T., Hekkert, M., Kirchherr, J., 2020. </w:t>
      </w:r>
      <w:r w:rsidRPr="00E01890">
        <w:rPr>
          <w:rFonts w:ascii="Calibri" w:hAnsi="Calibri" w:cs="Calibri"/>
          <w:noProof/>
          <w:sz w:val="16"/>
          <w:szCs w:val="24"/>
          <w:lang w:val="en-US"/>
        </w:rPr>
        <w:t xml:space="preserve">A typology of circular start-ups: Analysis of 128 circular business models.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245, 118528. </w:t>
      </w:r>
    </w:p>
    <w:p w14:paraId="3A34B74E" w14:textId="5C288EB9" w:rsidR="00EA1E67" w:rsidRPr="00EA1E67" w:rsidRDefault="00EA1E67" w:rsidP="00C33813">
      <w:pPr>
        <w:widowControl w:val="0"/>
        <w:autoSpaceDE w:val="0"/>
        <w:autoSpaceDN w:val="0"/>
        <w:adjustRightInd w:val="0"/>
        <w:spacing w:after="0" w:line="240" w:lineRule="auto"/>
        <w:ind w:left="480" w:hanging="480"/>
        <w:jc w:val="both"/>
        <w:rPr>
          <w:rFonts w:ascii="Calibri" w:hAnsi="Calibri" w:cs="Calibri"/>
          <w:noProof/>
          <w:sz w:val="16"/>
          <w:szCs w:val="24"/>
          <w:lang w:val="en-GB"/>
        </w:rPr>
      </w:pPr>
      <w:r w:rsidRPr="00EA1E67">
        <w:rPr>
          <w:rFonts w:ascii="Calibri" w:hAnsi="Calibri" w:cs="Calibri"/>
          <w:noProof/>
          <w:sz w:val="16"/>
          <w:szCs w:val="24"/>
          <w:lang w:val="en-GB"/>
        </w:rPr>
        <w:t xml:space="preserve">Hettiarachchi, B. D., Brandenburg, M.,  Seuring, S., 2022. Connecting additive manufacturing to circular economy implementation strategies: links, contingencies and causal loops. </w:t>
      </w:r>
      <w:r w:rsidRPr="00091A62">
        <w:rPr>
          <w:rFonts w:ascii="Calibri" w:hAnsi="Calibri" w:cs="Calibri"/>
          <w:i/>
          <w:iCs/>
          <w:noProof/>
          <w:sz w:val="16"/>
          <w:szCs w:val="24"/>
          <w:lang w:val="en-GB"/>
        </w:rPr>
        <w:t>Int. J. Prod. Ec</w:t>
      </w:r>
      <w:r w:rsidRPr="00091A62">
        <w:rPr>
          <w:rFonts w:ascii="Calibri" w:hAnsi="Calibri" w:cs="Calibri"/>
          <w:noProof/>
          <w:sz w:val="16"/>
          <w:szCs w:val="24"/>
          <w:lang w:val="en-GB"/>
        </w:rPr>
        <w:t>. 246, 108414</w:t>
      </w:r>
      <w:r w:rsidRPr="00E01890">
        <w:rPr>
          <w:rFonts w:ascii="Calibri" w:hAnsi="Calibri" w:cs="Calibri"/>
          <w:noProof/>
          <w:sz w:val="16"/>
          <w:szCs w:val="24"/>
          <w:lang w:val="en-US"/>
        </w:rPr>
        <w:t>–</w:t>
      </w:r>
      <w:r>
        <w:rPr>
          <w:rFonts w:ascii="Calibri" w:hAnsi="Calibri" w:cs="Calibri"/>
          <w:noProof/>
          <w:sz w:val="16"/>
          <w:szCs w:val="24"/>
          <w:lang w:val="en-US"/>
        </w:rPr>
        <w:t>108433.</w:t>
      </w:r>
    </w:p>
    <w:p w14:paraId="0301A8DC"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Hopkinson, P., Zils, M., Hawkins, P., Roper, S., 2018. Managing a complex global circular economy business model: pportunities and challenges. </w:t>
      </w:r>
      <w:r w:rsidRPr="00E01890">
        <w:rPr>
          <w:rFonts w:ascii="Calibri" w:hAnsi="Calibri" w:cs="Calibri"/>
          <w:i/>
          <w:iCs/>
          <w:noProof/>
          <w:sz w:val="16"/>
          <w:szCs w:val="24"/>
          <w:lang w:val="en-US"/>
        </w:rPr>
        <w:t>Calif. Manag. Rev.</w:t>
      </w:r>
      <w:r w:rsidRPr="00E01890">
        <w:rPr>
          <w:rFonts w:ascii="Calibri" w:hAnsi="Calibri" w:cs="Calibri"/>
          <w:noProof/>
          <w:sz w:val="16"/>
          <w:szCs w:val="24"/>
          <w:lang w:val="en-US"/>
        </w:rPr>
        <w:t xml:space="preserve"> 60</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(3), 71–94. </w:t>
      </w:r>
    </w:p>
    <w:p w14:paraId="71B7C202"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Jayaraman, V., Luo, Y., 2007. </w:t>
      </w:r>
      <w:r w:rsidRPr="00E01890">
        <w:rPr>
          <w:rFonts w:ascii="Calibri" w:hAnsi="Calibri" w:cs="Calibri"/>
          <w:i/>
          <w:iCs/>
          <w:noProof/>
          <w:sz w:val="16"/>
          <w:szCs w:val="24"/>
          <w:lang w:val="en-US"/>
        </w:rPr>
        <w:t>Creating Competitive Advantages Through New Value Creation: A Reverse Logistics Perspective.</w:t>
      </w:r>
      <w:r w:rsidRPr="00E01890">
        <w:rPr>
          <w:rFonts w:ascii="Calibri" w:hAnsi="Calibri" w:cs="Calibri"/>
          <w:noProof/>
          <w:sz w:val="16"/>
          <w:szCs w:val="24"/>
          <w:lang w:val="en-US"/>
        </w:rPr>
        <w:t xml:space="preserve"> </w:t>
      </w:r>
    </w:p>
    <w:p w14:paraId="319AA883"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Johnston, M.P., 2014. Secondary data analysis: A method of which the time has come. </w:t>
      </w:r>
      <w:r w:rsidRPr="00E01890">
        <w:rPr>
          <w:rFonts w:ascii="Calibri" w:hAnsi="Calibri" w:cs="Calibri"/>
          <w:i/>
          <w:iCs/>
          <w:noProof/>
          <w:sz w:val="16"/>
          <w:szCs w:val="24"/>
          <w:lang w:val="en-US"/>
        </w:rPr>
        <w:t>Qual. Quant. Methods Librar.</w:t>
      </w:r>
      <w:r w:rsidRPr="00E01890">
        <w:rPr>
          <w:rFonts w:ascii="Calibri" w:hAnsi="Calibri" w:cs="Calibri"/>
          <w:noProof/>
          <w:sz w:val="16"/>
          <w:szCs w:val="24"/>
          <w:lang w:val="en-US"/>
        </w:rPr>
        <w:t xml:space="preserve"> 3, 619–626. </w:t>
      </w:r>
    </w:p>
    <w:p w14:paraId="153F75A5"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Kerin, M., Pham, D.T., 2019. A review of emerging industry 4.0 technologies in remanufacturing.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w:t>
      </w:r>
      <w:r w:rsidRPr="00E01890">
        <w:rPr>
          <w:rFonts w:ascii="Calibri" w:hAnsi="Calibri" w:cs="Calibri"/>
          <w:i/>
          <w:iCs/>
          <w:noProof/>
          <w:sz w:val="16"/>
          <w:szCs w:val="24"/>
          <w:lang w:val="en-US"/>
        </w:rPr>
        <w:t>237</w:t>
      </w:r>
      <w:r w:rsidRPr="00E01890">
        <w:rPr>
          <w:rFonts w:ascii="Calibri" w:hAnsi="Calibri" w:cs="Calibri"/>
          <w:noProof/>
          <w:sz w:val="16"/>
          <w:szCs w:val="24"/>
          <w:lang w:val="en-US"/>
        </w:rPr>
        <w:t xml:space="preserve">, 117805. </w:t>
      </w:r>
    </w:p>
    <w:p w14:paraId="3E90FC6E"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King, A.M.S., Burgess, S.C., Ijomah, W., McMahon, C.A., 2006. Reducing waste: repair, recondition, remanufacture or recycle? </w:t>
      </w:r>
      <w:r w:rsidRPr="00E01890">
        <w:rPr>
          <w:rFonts w:ascii="Calibri" w:hAnsi="Calibri" w:cs="Calibri"/>
          <w:i/>
          <w:iCs/>
          <w:noProof/>
          <w:sz w:val="16"/>
          <w:szCs w:val="24"/>
          <w:lang w:val="en-US"/>
        </w:rPr>
        <w:t>Sus. Develop.</w:t>
      </w:r>
      <w:r w:rsidRPr="00E01890">
        <w:rPr>
          <w:rFonts w:ascii="Calibri" w:hAnsi="Calibri" w:cs="Calibri"/>
          <w:noProof/>
          <w:sz w:val="16"/>
          <w:szCs w:val="24"/>
          <w:lang w:val="en-US"/>
        </w:rPr>
        <w:t xml:space="preserve"> 14 (4), 257–267.</w:t>
      </w:r>
    </w:p>
    <w:p w14:paraId="5B30D85C"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King, P.L., 2009. </w:t>
      </w:r>
      <w:r w:rsidRPr="00E01890">
        <w:rPr>
          <w:rFonts w:ascii="Calibri" w:hAnsi="Calibri" w:cs="Calibri"/>
          <w:i/>
          <w:iCs/>
          <w:noProof/>
          <w:sz w:val="16"/>
          <w:szCs w:val="24"/>
          <w:lang w:val="en-US"/>
        </w:rPr>
        <w:t>Lean for the process industry</w:t>
      </w:r>
      <w:r w:rsidRPr="00E01890">
        <w:rPr>
          <w:rFonts w:ascii="Calibri" w:hAnsi="Calibri" w:cs="Calibri"/>
          <w:noProof/>
          <w:sz w:val="16"/>
          <w:szCs w:val="24"/>
          <w:lang w:val="en-US"/>
        </w:rPr>
        <w:t>. Taylor &amp; Francis.</w:t>
      </w:r>
    </w:p>
    <w:p w14:paraId="7BE91770"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Kocabasoglu, C., Prahinski, C., Klassen, R.D., 2007. Linking forward and reverse supply chain investments: The role of business uncertainty. </w:t>
      </w:r>
      <w:r w:rsidRPr="00E01890">
        <w:rPr>
          <w:rFonts w:ascii="Calibri" w:hAnsi="Calibri" w:cs="Calibri"/>
          <w:i/>
          <w:iCs/>
          <w:noProof/>
          <w:sz w:val="16"/>
          <w:szCs w:val="24"/>
          <w:lang w:val="en-US"/>
        </w:rPr>
        <w:t>J. Oper. Manag.</w:t>
      </w:r>
      <w:r w:rsidRPr="00E01890">
        <w:rPr>
          <w:rFonts w:ascii="Calibri" w:hAnsi="Calibri" w:cs="Calibri"/>
          <w:noProof/>
          <w:sz w:val="16"/>
          <w:szCs w:val="24"/>
          <w:lang w:val="en-US"/>
        </w:rPr>
        <w:t xml:space="preserve"> 25</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(6), 1141–1160. </w:t>
      </w:r>
    </w:p>
    <w:p w14:paraId="3835119C" w14:textId="00B29798" w:rsidR="00C33813"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Krogslund, C., Choi, D.D., Poertner, M., 2015. Fuzzy sets on shaky ground: Parameter sensitivity and confirmation bias in fsQCA. </w:t>
      </w:r>
      <w:r w:rsidRPr="00E01890">
        <w:rPr>
          <w:rFonts w:ascii="Calibri" w:hAnsi="Calibri" w:cs="Calibri"/>
          <w:i/>
          <w:iCs/>
          <w:noProof/>
          <w:sz w:val="16"/>
          <w:szCs w:val="24"/>
          <w:lang w:val="en-US"/>
        </w:rPr>
        <w:t>Polit. Anal.</w:t>
      </w:r>
      <w:r w:rsidRPr="00E01890">
        <w:rPr>
          <w:rFonts w:ascii="Calibri" w:hAnsi="Calibri" w:cs="Calibri"/>
          <w:noProof/>
          <w:sz w:val="16"/>
          <w:szCs w:val="24"/>
          <w:lang w:val="en-US"/>
        </w:rPr>
        <w:t xml:space="preserve"> 23</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(1), 21–41. </w:t>
      </w:r>
    </w:p>
    <w:p w14:paraId="5E6E43A3" w14:textId="6C0BBBB9" w:rsidR="00EA1E67" w:rsidRPr="00EA1E67" w:rsidRDefault="00EA1E67" w:rsidP="00C33813">
      <w:pPr>
        <w:widowControl w:val="0"/>
        <w:autoSpaceDE w:val="0"/>
        <w:autoSpaceDN w:val="0"/>
        <w:adjustRightInd w:val="0"/>
        <w:spacing w:after="0" w:line="240" w:lineRule="auto"/>
        <w:ind w:left="480" w:hanging="480"/>
        <w:jc w:val="both"/>
        <w:rPr>
          <w:rFonts w:ascii="Calibri" w:hAnsi="Calibri" w:cs="Calibri"/>
          <w:noProof/>
          <w:sz w:val="16"/>
          <w:szCs w:val="24"/>
          <w:lang w:val="en-GB"/>
        </w:rPr>
      </w:pPr>
      <w:r w:rsidRPr="00EA1E67">
        <w:rPr>
          <w:rFonts w:ascii="Calibri" w:hAnsi="Calibri" w:cs="Calibri"/>
          <w:noProof/>
          <w:sz w:val="16"/>
          <w:szCs w:val="24"/>
          <w:lang w:val="en-US"/>
        </w:rPr>
        <w:t>Lai, K. H., Wong, C. W. Y., Lam, J. S. L.</w:t>
      </w:r>
      <w:r w:rsidR="00A36A6E">
        <w:rPr>
          <w:rFonts w:ascii="Calibri" w:hAnsi="Calibri" w:cs="Calibri"/>
          <w:noProof/>
          <w:sz w:val="16"/>
          <w:szCs w:val="24"/>
          <w:lang w:val="en-US"/>
        </w:rPr>
        <w:t xml:space="preserve">, </w:t>
      </w:r>
      <w:r w:rsidRPr="00EA1E67">
        <w:rPr>
          <w:rFonts w:ascii="Calibri" w:hAnsi="Calibri" w:cs="Calibri"/>
          <w:noProof/>
          <w:sz w:val="16"/>
          <w:szCs w:val="24"/>
          <w:lang w:val="en-US"/>
        </w:rPr>
        <w:t xml:space="preserve">2015. Sharing environmental management information with supply chain partners and the performance contingencies on environmental munificence. </w:t>
      </w:r>
      <w:r w:rsidRPr="00A36A6E">
        <w:rPr>
          <w:rFonts w:ascii="Calibri" w:hAnsi="Calibri" w:cs="Calibri"/>
          <w:i/>
          <w:iCs/>
          <w:noProof/>
          <w:sz w:val="16"/>
          <w:szCs w:val="24"/>
          <w:lang w:val="en-US"/>
        </w:rPr>
        <w:t>Int</w:t>
      </w:r>
      <w:r w:rsidR="00A36A6E" w:rsidRPr="00A36A6E">
        <w:rPr>
          <w:rFonts w:ascii="Calibri" w:hAnsi="Calibri" w:cs="Calibri"/>
          <w:i/>
          <w:iCs/>
          <w:noProof/>
          <w:sz w:val="16"/>
          <w:szCs w:val="24"/>
          <w:lang w:val="en-US"/>
        </w:rPr>
        <w:t>. J. Prod. Ec</w:t>
      </w:r>
      <w:r w:rsidR="00A36A6E">
        <w:rPr>
          <w:rFonts w:ascii="Calibri" w:hAnsi="Calibri" w:cs="Calibri"/>
          <w:noProof/>
          <w:sz w:val="16"/>
          <w:szCs w:val="24"/>
          <w:lang w:val="en-US"/>
        </w:rPr>
        <w:t xml:space="preserve">. </w:t>
      </w:r>
      <w:r w:rsidRPr="00EA1E67">
        <w:rPr>
          <w:rFonts w:ascii="Calibri" w:hAnsi="Calibri" w:cs="Calibri"/>
          <w:noProof/>
          <w:sz w:val="16"/>
          <w:szCs w:val="24"/>
          <w:lang w:val="en-US"/>
        </w:rPr>
        <w:t xml:space="preserve">164, 445–453. </w:t>
      </w:r>
    </w:p>
    <w:p w14:paraId="66F15321"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Lawrence, P.R., Lorsch, J.W. (1967). Differentiation and integration in complex organizations. </w:t>
      </w:r>
      <w:r w:rsidRPr="00E01890">
        <w:rPr>
          <w:rFonts w:ascii="Calibri" w:hAnsi="Calibri" w:cs="Calibri"/>
          <w:i/>
          <w:iCs/>
          <w:noProof/>
          <w:sz w:val="16"/>
          <w:szCs w:val="24"/>
          <w:lang w:val="en-US"/>
        </w:rPr>
        <w:t>Adm. Sci. Q.</w:t>
      </w:r>
      <w:r w:rsidRPr="00E01890">
        <w:rPr>
          <w:rFonts w:ascii="Calibri" w:hAnsi="Calibri" w:cs="Calibri"/>
          <w:noProof/>
          <w:sz w:val="16"/>
          <w:szCs w:val="24"/>
          <w:lang w:val="en-US"/>
        </w:rPr>
        <w:t xml:space="preserve"> 12</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(1), 1-47. </w:t>
      </w:r>
    </w:p>
    <w:p w14:paraId="530F0170"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Lieder, M., Rashid, A., 2016. Towards circular economy implementation: A comprehensive review in context of manufacturing industry.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115, 36–51. </w:t>
      </w:r>
    </w:p>
    <w:p w14:paraId="01B70779" w14:textId="4CEA3BFD" w:rsidR="00C33813"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Linder, M., Williander, M., 2017. Circular business model innovation: Inherent uncertainties. </w:t>
      </w:r>
      <w:r w:rsidRPr="00E01890">
        <w:rPr>
          <w:rFonts w:ascii="Calibri" w:hAnsi="Calibri" w:cs="Calibri"/>
          <w:i/>
          <w:iCs/>
          <w:noProof/>
          <w:sz w:val="16"/>
          <w:szCs w:val="24"/>
          <w:lang w:val="en-US"/>
        </w:rPr>
        <w:t>Bus. Strategy Environ.</w:t>
      </w:r>
      <w:r w:rsidRPr="00E01890">
        <w:rPr>
          <w:rFonts w:ascii="Calibri" w:hAnsi="Calibri" w:cs="Calibri"/>
          <w:noProof/>
          <w:sz w:val="16"/>
          <w:szCs w:val="24"/>
          <w:lang w:val="en-US"/>
        </w:rPr>
        <w:t xml:space="preserve"> 26 (2), 182–196. </w:t>
      </w:r>
    </w:p>
    <w:p w14:paraId="34910134" w14:textId="06E8019F" w:rsidR="00A36A6E" w:rsidRPr="00A36A6E" w:rsidRDefault="00A36A6E" w:rsidP="00A36A6E">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A36A6E">
        <w:rPr>
          <w:rFonts w:ascii="Calibri" w:hAnsi="Calibri" w:cs="Calibri"/>
          <w:noProof/>
          <w:sz w:val="16"/>
          <w:szCs w:val="24"/>
          <w:lang w:val="en-US"/>
        </w:rPr>
        <w:lastRenderedPageBreak/>
        <w:t>Lo, C. K. Y., Wiengarten, F., Humphreys, P., Yeung, A. C. L., Cheng, T. C. E.</w:t>
      </w:r>
      <w:r>
        <w:rPr>
          <w:rFonts w:ascii="Calibri" w:hAnsi="Calibri" w:cs="Calibri"/>
          <w:noProof/>
          <w:sz w:val="16"/>
          <w:szCs w:val="24"/>
          <w:lang w:val="en-US"/>
        </w:rPr>
        <w:t xml:space="preserve">, </w:t>
      </w:r>
      <w:r w:rsidRPr="00A36A6E">
        <w:rPr>
          <w:rFonts w:ascii="Calibri" w:hAnsi="Calibri" w:cs="Calibri"/>
          <w:noProof/>
          <w:sz w:val="16"/>
          <w:szCs w:val="24"/>
          <w:lang w:val="en-US"/>
        </w:rPr>
        <w:t xml:space="preserve">2013. The impact of contextual factors on the efficacy of ISO 9000 adoption. </w:t>
      </w:r>
      <w:r w:rsidRPr="00A36A6E">
        <w:rPr>
          <w:rFonts w:ascii="Calibri" w:hAnsi="Calibri" w:cs="Calibri"/>
          <w:i/>
          <w:iCs/>
          <w:noProof/>
          <w:sz w:val="16"/>
          <w:szCs w:val="24"/>
          <w:lang w:val="en-US"/>
        </w:rPr>
        <w:t>J. Oper. Manag.</w:t>
      </w:r>
      <w:r w:rsidRPr="00A36A6E">
        <w:rPr>
          <w:rFonts w:ascii="Calibri" w:hAnsi="Calibri" w:cs="Calibri"/>
          <w:noProof/>
          <w:sz w:val="16"/>
          <w:szCs w:val="24"/>
          <w:lang w:val="en-US"/>
        </w:rPr>
        <w:t xml:space="preserve"> 31(5), 229–235.</w:t>
      </w:r>
    </w:p>
    <w:p w14:paraId="65A66201"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Lüdeke-Freund, F., Gold, S., Bocken, N.M.P., 2019. A review and typology of circular economy business model patterns. </w:t>
      </w:r>
      <w:r w:rsidRPr="00E01890">
        <w:rPr>
          <w:rFonts w:ascii="Calibri" w:hAnsi="Calibri" w:cs="Calibri"/>
          <w:i/>
          <w:iCs/>
          <w:noProof/>
          <w:sz w:val="16"/>
          <w:szCs w:val="24"/>
          <w:lang w:val="en-US"/>
        </w:rPr>
        <w:t>J. Ind. Ecol.</w:t>
      </w:r>
      <w:r w:rsidRPr="00E01890">
        <w:rPr>
          <w:rFonts w:ascii="Calibri" w:hAnsi="Calibri" w:cs="Calibri"/>
          <w:noProof/>
          <w:sz w:val="16"/>
          <w:szCs w:val="24"/>
          <w:lang w:val="en-US"/>
        </w:rPr>
        <w:t xml:space="preserve"> 23</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(1), 36–61.</w:t>
      </w:r>
    </w:p>
    <w:p w14:paraId="3B0AB148"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Massa, L., Tucci, C., Afuah, A., 2017. A critical assessment of business model research. </w:t>
      </w:r>
      <w:r w:rsidRPr="00E01890">
        <w:rPr>
          <w:rFonts w:ascii="Calibri" w:hAnsi="Calibri" w:cs="Calibri"/>
          <w:i/>
          <w:iCs/>
          <w:noProof/>
          <w:sz w:val="16"/>
          <w:szCs w:val="24"/>
          <w:lang w:val="en-US"/>
        </w:rPr>
        <w:t>Acad. Manag. Ann.</w:t>
      </w:r>
      <w:r w:rsidRPr="00E01890">
        <w:rPr>
          <w:rFonts w:ascii="Calibri" w:hAnsi="Calibri" w:cs="Calibri"/>
          <w:noProof/>
          <w:sz w:val="16"/>
          <w:szCs w:val="24"/>
          <w:lang w:val="en-US"/>
        </w:rPr>
        <w:t xml:space="preserve"> 11</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(1), 73–104. </w:t>
      </w:r>
    </w:p>
    <w:p w14:paraId="243FFDBC"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McDonough, W., Braungart, M., 2013. </w:t>
      </w:r>
      <w:r w:rsidRPr="00E01890">
        <w:rPr>
          <w:rFonts w:ascii="Calibri" w:hAnsi="Calibri" w:cs="Calibri"/>
          <w:i/>
          <w:iCs/>
          <w:noProof/>
          <w:sz w:val="16"/>
          <w:szCs w:val="24"/>
          <w:lang w:val="en-US"/>
        </w:rPr>
        <w:t>The Upcycle</w:t>
      </w:r>
      <w:r w:rsidRPr="00E01890">
        <w:rPr>
          <w:rFonts w:ascii="Calibri" w:hAnsi="Calibri" w:cs="Calibri"/>
          <w:noProof/>
          <w:sz w:val="16"/>
          <w:szCs w:val="24"/>
          <w:lang w:val="en-US"/>
        </w:rPr>
        <w:t>. North Point.</w:t>
      </w:r>
    </w:p>
    <w:p w14:paraId="45F5E253"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Ortiz de Guinea, A., Raymond, L., 2020. Enabling innovation in the face of uncertainty through IT ambidexterity: A fuzzy set qualitative comparative analysis of industrial service SMEs. </w:t>
      </w:r>
      <w:r w:rsidRPr="00E01890">
        <w:rPr>
          <w:rFonts w:ascii="Calibri" w:hAnsi="Calibri" w:cs="Calibri"/>
          <w:i/>
          <w:iCs/>
          <w:noProof/>
          <w:sz w:val="16"/>
          <w:szCs w:val="24"/>
          <w:lang w:val="en-US"/>
        </w:rPr>
        <w:t>Int. J. Inf. Manag.</w:t>
      </w:r>
      <w:r w:rsidRPr="00E01890">
        <w:rPr>
          <w:rFonts w:ascii="Calibri" w:hAnsi="Calibri" w:cs="Calibri"/>
          <w:noProof/>
          <w:sz w:val="16"/>
          <w:szCs w:val="24"/>
          <w:lang w:val="en-US"/>
        </w:rPr>
        <w:t xml:space="preserve"> 50, 244–260. </w:t>
      </w:r>
    </w:p>
    <w:p w14:paraId="04F85981"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Osterwalder, A., Pigneur, Y., 2010. </w:t>
      </w:r>
      <w:r w:rsidRPr="00E01890">
        <w:rPr>
          <w:rFonts w:ascii="Calibri" w:hAnsi="Calibri" w:cs="Calibri"/>
          <w:i/>
          <w:iCs/>
          <w:noProof/>
          <w:sz w:val="16"/>
          <w:szCs w:val="24"/>
          <w:lang w:val="en-US"/>
        </w:rPr>
        <w:t>Business Model Generation - A handbook for visionaries, Game Changers and challengers</w:t>
      </w:r>
      <w:r w:rsidRPr="00E01890">
        <w:rPr>
          <w:rFonts w:ascii="Calibri" w:hAnsi="Calibri" w:cs="Calibri"/>
          <w:noProof/>
          <w:sz w:val="16"/>
          <w:szCs w:val="24"/>
          <w:lang w:val="en-US"/>
        </w:rPr>
        <w:t xml:space="preserve">. John Wiley &amp; Sons Inc. </w:t>
      </w:r>
    </w:p>
    <w:p w14:paraId="468E6B0D"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Porter, M.E., 1985. </w:t>
      </w:r>
      <w:r w:rsidRPr="00E01890">
        <w:rPr>
          <w:rFonts w:ascii="Calibri" w:hAnsi="Calibri" w:cs="Calibri"/>
          <w:i/>
          <w:iCs/>
          <w:noProof/>
          <w:sz w:val="16"/>
          <w:szCs w:val="24"/>
          <w:lang w:val="en-US"/>
        </w:rPr>
        <w:t>Competitive Advantage: Creating and Sustaining Superior Performance</w:t>
      </w:r>
      <w:r w:rsidRPr="00E01890">
        <w:rPr>
          <w:rFonts w:ascii="Calibri" w:hAnsi="Calibri" w:cs="Calibri"/>
          <w:noProof/>
          <w:sz w:val="16"/>
          <w:szCs w:val="24"/>
          <w:lang w:val="en-US"/>
        </w:rPr>
        <w:t>. Free Press.</w:t>
      </w:r>
    </w:p>
    <w:p w14:paraId="60ADAC9C"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Prosman, E.J., 2018. </w:t>
      </w:r>
      <w:r w:rsidRPr="00E01890">
        <w:rPr>
          <w:rFonts w:ascii="Calibri" w:hAnsi="Calibri" w:cs="Calibri"/>
          <w:i/>
          <w:iCs/>
          <w:noProof/>
          <w:sz w:val="16"/>
          <w:szCs w:val="24"/>
          <w:lang w:val="en-US"/>
        </w:rPr>
        <w:t>Supply chain capabilities for industrial symbiosis Lessons from the cement industry</w:t>
      </w:r>
      <w:r w:rsidRPr="00E01890">
        <w:rPr>
          <w:rFonts w:ascii="Calibri" w:hAnsi="Calibri" w:cs="Calibri"/>
          <w:noProof/>
          <w:sz w:val="16"/>
          <w:szCs w:val="24"/>
          <w:lang w:val="en-US"/>
        </w:rPr>
        <w:t>. PhD thesis. Aalborg University Press.</w:t>
      </w:r>
    </w:p>
    <w:p w14:paraId="01C3C32E"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Prosman, E.J., Wæhrens, B.V., 2019. Managing waste quality in industrial symbiosis: Insights on how to organize supplier integration.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234, 113–123. </w:t>
      </w:r>
    </w:p>
    <w:p w14:paraId="4E235B68"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Quariguasi Frota Neto, J., Dutordoir, M., 2020. Mapping the market for remanufacturing: An application of “big data” analytics. </w:t>
      </w:r>
      <w:r w:rsidRPr="00E01890">
        <w:rPr>
          <w:rFonts w:ascii="Calibri" w:hAnsi="Calibri" w:cs="Calibri"/>
          <w:i/>
          <w:iCs/>
          <w:noProof/>
          <w:sz w:val="16"/>
          <w:szCs w:val="24"/>
          <w:lang w:val="en-US"/>
        </w:rPr>
        <w:t>Int. J. Prod. Ec.</w:t>
      </w:r>
      <w:r w:rsidRPr="00E01890">
        <w:rPr>
          <w:rFonts w:ascii="Calibri" w:hAnsi="Calibri" w:cs="Calibri"/>
          <w:noProof/>
          <w:sz w:val="16"/>
          <w:szCs w:val="24"/>
          <w:lang w:val="en-US"/>
        </w:rPr>
        <w:t xml:space="preserve">, 230, 107807. </w:t>
      </w:r>
    </w:p>
    <w:p w14:paraId="3D767841"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Ragin, C.C., 1987. </w:t>
      </w:r>
      <w:r w:rsidRPr="00E01890">
        <w:rPr>
          <w:rFonts w:ascii="Calibri" w:hAnsi="Calibri" w:cs="Calibri"/>
          <w:i/>
          <w:iCs/>
          <w:noProof/>
          <w:sz w:val="16"/>
          <w:szCs w:val="24"/>
          <w:lang w:val="en-US"/>
        </w:rPr>
        <w:t>The Comparative Method. Moving Beyond Qualitative and Quantitative Strategies</w:t>
      </w:r>
      <w:r w:rsidRPr="00E01890">
        <w:rPr>
          <w:rFonts w:ascii="Calibri" w:hAnsi="Calibri" w:cs="Calibri"/>
          <w:noProof/>
          <w:sz w:val="16"/>
          <w:szCs w:val="24"/>
          <w:lang w:val="en-US"/>
        </w:rPr>
        <w:t>. Berkeley.</w:t>
      </w:r>
    </w:p>
    <w:p w14:paraId="04F02D6F"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Ragin, C.C., 2008. Qualitative comparative analysis using fuzzy sets (fsQCA). In B. Rihoux, G. De Meur (Eds.), </w:t>
      </w:r>
      <w:r w:rsidRPr="00E01890">
        <w:rPr>
          <w:rFonts w:ascii="Calibri" w:hAnsi="Calibri" w:cs="Calibri"/>
          <w:i/>
          <w:iCs/>
          <w:noProof/>
          <w:sz w:val="16"/>
          <w:szCs w:val="24"/>
          <w:lang w:val="en-US"/>
        </w:rPr>
        <w:t>Configurational comparative methods</w:t>
      </w:r>
      <w:r w:rsidRPr="00E01890">
        <w:rPr>
          <w:rFonts w:ascii="Calibri" w:hAnsi="Calibri" w:cs="Calibri"/>
          <w:noProof/>
          <w:sz w:val="16"/>
          <w:szCs w:val="24"/>
          <w:lang w:val="en-US"/>
        </w:rPr>
        <w:t xml:space="preserve"> (pp. 87–121). Sage.</w:t>
      </w:r>
    </w:p>
    <w:p w14:paraId="0D0BAA4F"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Ragin, C.C., Sonnett, J., 2005. Between complexity and parsimony: Limited diversity, counterfactual cases, and comparative analysis. </w:t>
      </w:r>
      <w:r w:rsidRPr="001240E6">
        <w:rPr>
          <w:rFonts w:ascii="Calibri" w:hAnsi="Calibri" w:cs="Calibri"/>
          <w:noProof/>
          <w:sz w:val="16"/>
          <w:szCs w:val="24"/>
        </w:rPr>
        <w:t xml:space="preserve">In S. Kropp, M. Minkenberg (Eds.), </w:t>
      </w:r>
      <w:r w:rsidRPr="001240E6">
        <w:rPr>
          <w:rFonts w:ascii="Calibri" w:hAnsi="Calibri" w:cs="Calibri"/>
          <w:i/>
          <w:iCs/>
          <w:noProof/>
          <w:sz w:val="16"/>
          <w:szCs w:val="24"/>
        </w:rPr>
        <w:t>Vergleichen in der Politikwissenschaft</w:t>
      </w:r>
      <w:r w:rsidRPr="001240E6">
        <w:rPr>
          <w:rFonts w:ascii="Calibri" w:hAnsi="Calibri" w:cs="Calibri"/>
          <w:noProof/>
          <w:sz w:val="16"/>
          <w:szCs w:val="24"/>
        </w:rPr>
        <w:t xml:space="preserve"> (pp. 180–197). </w:t>
      </w:r>
      <w:r w:rsidRPr="00E01890">
        <w:rPr>
          <w:rFonts w:ascii="Calibri" w:hAnsi="Calibri" w:cs="Calibri"/>
          <w:noProof/>
          <w:sz w:val="16"/>
          <w:szCs w:val="24"/>
          <w:lang w:val="en-US"/>
        </w:rPr>
        <w:t>Verlag für Sozialwissenschaften.</w:t>
      </w:r>
    </w:p>
    <w:p w14:paraId="139147E8"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Ragin, C.C., 2006. Set relations in social research: Evaluating their consistency and coverage. </w:t>
      </w:r>
      <w:r w:rsidRPr="00E01890">
        <w:rPr>
          <w:rFonts w:ascii="Calibri" w:hAnsi="Calibri" w:cs="Calibri"/>
          <w:i/>
          <w:iCs/>
          <w:noProof/>
          <w:sz w:val="16"/>
          <w:szCs w:val="24"/>
          <w:lang w:val="en-US"/>
        </w:rPr>
        <w:t>Polit. Anal.</w:t>
      </w:r>
      <w:r w:rsidRPr="00E01890">
        <w:rPr>
          <w:rFonts w:ascii="Calibri" w:hAnsi="Calibri" w:cs="Calibri"/>
          <w:noProof/>
          <w:sz w:val="16"/>
          <w:szCs w:val="24"/>
          <w:lang w:val="en-US"/>
        </w:rPr>
        <w:t xml:space="preserve"> 14 (3), 291–310. </w:t>
      </w:r>
    </w:p>
    <w:p w14:paraId="47805364"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Rahman, S., Subramanian, N., 2012. Factors for implementing end-of-life computer recycling operations in reverse supply chains. </w:t>
      </w:r>
      <w:r w:rsidRPr="00E01890">
        <w:rPr>
          <w:rFonts w:ascii="Calibri" w:hAnsi="Calibri" w:cs="Calibri"/>
          <w:i/>
          <w:iCs/>
          <w:noProof/>
          <w:sz w:val="16"/>
          <w:szCs w:val="24"/>
          <w:lang w:val="en-US"/>
        </w:rPr>
        <w:t>Int. J. Prod. Ec.</w:t>
      </w:r>
      <w:r w:rsidRPr="00E01890">
        <w:rPr>
          <w:rFonts w:ascii="Calibri" w:hAnsi="Calibri" w:cs="Calibri"/>
          <w:noProof/>
          <w:sz w:val="16"/>
          <w:szCs w:val="24"/>
          <w:lang w:val="en-US"/>
        </w:rPr>
        <w:t>, 140</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(1), 239–248. </w:t>
      </w:r>
    </w:p>
    <w:p w14:paraId="210C0171" w14:textId="1A19053A"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Rich, P., 1992. The organizational taxonomy: Definition and design. A</w:t>
      </w:r>
      <w:r w:rsidRPr="00843661">
        <w:rPr>
          <w:rFonts w:ascii="Calibri" w:hAnsi="Calibri" w:cs="Calibri"/>
          <w:i/>
          <w:iCs/>
          <w:noProof/>
          <w:sz w:val="16"/>
          <w:szCs w:val="24"/>
          <w:lang w:val="en-US"/>
        </w:rPr>
        <w:t>cad</w:t>
      </w:r>
      <w:r w:rsidR="00843661" w:rsidRPr="00843661">
        <w:rPr>
          <w:rFonts w:ascii="Calibri" w:hAnsi="Calibri" w:cs="Calibri"/>
          <w:i/>
          <w:iCs/>
          <w:noProof/>
          <w:sz w:val="16"/>
          <w:szCs w:val="24"/>
          <w:lang w:val="en-US"/>
        </w:rPr>
        <w:t>. M</w:t>
      </w:r>
      <w:r w:rsidRPr="00843661">
        <w:rPr>
          <w:rFonts w:ascii="Calibri" w:hAnsi="Calibri" w:cs="Calibri"/>
          <w:i/>
          <w:iCs/>
          <w:noProof/>
          <w:sz w:val="16"/>
          <w:szCs w:val="24"/>
          <w:lang w:val="en-US"/>
        </w:rPr>
        <w:t>anag</w:t>
      </w:r>
      <w:r w:rsidR="00843661" w:rsidRPr="00843661">
        <w:rPr>
          <w:rFonts w:ascii="Calibri" w:hAnsi="Calibri" w:cs="Calibri"/>
          <w:i/>
          <w:iCs/>
          <w:noProof/>
          <w:sz w:val="16"/>
          <w:szCs w:val="24"/>
          <w:lang w:val="en-US"/>
        </w:rPr>
        <w:t>. Rev</w:t>
      </w:r>
      <w:r w:rsidR="00843661">
        <w:rPr>
          <w:rFonts w:ascii="Calibri" w:hAnsi="Calibri" w:cs="Calibri"/>
          <w:noProof/>
          <w:sz w:val="16"/>
          <w:szCs w:val="24"/>
          <w:lang w:val="en-US"/>
        </w:rPr>
        <w:t>.</w:t>
      </w:r>
      <w:r w:rsidRPr="00E01890">
        <w:rPr>
          <w:rFonts w:ascii="Calibri" w:hAnsi="Calibri" w:cs="Calibri"/>
          <w:noProof/>
          <w:sz w:val="16"/>
          <w:szCs w:val="24"/>
          <w:lang w:val="en-US"/>
        </w:rPr>
        <w:t xml:space="preserve">17 (4), 758-781 </w:t>
      </w:r>
    </w:p>
    <w:p w14:paraId="64A004EB"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Rubio, S., Corominas, A., 2008. Optimal manufacturing-remanufacturing policies in a lean production environment. </w:t>
      </w:r>
      <w:r w:rsidRPr="00E01890">
        <w:rPr>
          <w:rFonts w:ascii="Calibri" w:hAnsi="Calibri" w:cs="Calibri"/>
          <w:i/>
          <w:iCs/>
          <w:noProof/>
          <w:sz w:val="16"/>
          <w:szCs w:val="24"/>
          <w:lang w:val="en-US"/>
        </w:rPr>
        <w:t>Comput. Ind. Eng.</w:t>
      </w:r>
      <w:r w:rsidRPr="00E01890">
        <w:rPr>
          <w:rFonts w:ascii="Calibri" w:hAnsi="Calibri" w:cs="Calibri"/>
          <w:noProof/>
          <w:sz w:val="16"/>
          <w:szCs w:val="24"/>
          <w:lang w:val="en-US"/>
        </w:rPr>
        <w:t xml:space="preserve"> 55</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(1), 234–242. </w:t>
      </w:r>
    </w:p>
    <w:p w14:paraId="69E9A667"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Schneider, C.Q., Wagemann, C., 2010. Standards of good practice in qualitative comparative analysis (QCA) and fuzzy-sets. </w:t>
      </w:r>
      <w:r w:rsidRPr="00E01890">
        <w:rPr>
          <w:rFonts w:ascii="Calibri" w:hAnsi="Calibri" w:cs="Calibri"/>
          <w:i/>
          <w:iCs/>
          <w:noProof/>
          <w:sz w:val="16"/>
          <w:szCs w:val="24"/>
          <w:lang w:val="en-US"/>
        </w:rPr>
        <w:t>Comp. Sociol.</w:t>
      </w:r>
      <w:r w:rsidRPr="00E01890">
        <w:rPr>
          <w:rFonts w:ascii="Calibri" w:hAnsi="Calibri" w:cs="Calibri"/>
          <w:noProof/>
          <w:sz w:val="16"/>
          <w:szCs w:val="24"/>
          <w:lang w:val="en-US"/>
        </w:rPr>
        <w:t xml:space="preserve"> 9</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(3), 397–418. </w:t>
      </w:r>
    </w:p>
    <w:p w14:paraId="43A1A0FF"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Schneider, C.Q., Wagemann, C., 2012. </w:t>
      </w:r>
      <w:r w:rsidRPr="00E01890">
        <w:rPr>
          <w:rFonts w:ascii="Calibri" w:hAnsi="Calibri" w:cs="Calibri"/>
          <w:i/>
          <w:iCs/>
          <w:noProof/>
          <w:sz w:val="16"/>
          <w:szCs w:val="24"/>
          <w:lang w:val="en-US"/>
        </w:rPr>
        <w:t>Set-Theoretic Methods for the Social Sciences: A Guide to Qualitative Comparative Analysis</w:t>
      </w:r>
      <w:r w:rsidRPr="00E01890">
        <w:rPr>
          <w:rFonts w:ascii="Calibri" w:hAnsi="Calibri" w:cs="Calibri"/>
          <w:noProof/>
          <w:sz w:val="16"/>
          <w:szCs w:val="24"/>
          <w:lang w:val="en-US"/>
        </w:rPr>
        <w:t>. Cambridge University Press.</w:t>
      </w:r>
    </w:p>
    <w:p w14:paraId="2AAA3FD6" w14:textId="54C9C6AC" w:rsidR="00C33813"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Shan, W., Walker, G., Kogut, B., 1994. Interfirm cooperation and startup Innovation in the biotechnology Industry. </w:t>
      </w:r>
      <w:r w:rsidRPr="00E01890">
        <w:rPr>
          <w:rFonts w:ascii="Calibri" w:hAnsi="Calibri" w:cs="Calibri"/>
          <w:i/>
          <w:iCs/>
          <w:noProof/>
          <w:sz w:val="16"/>
          <w:szCs w:val="24"/>
          <w:lang w:val="en-US"/>
        </w:rPr>
        <w:t>Strateg. Manag. J.</w:t>
      </w:r>
      <w:r w:rsidRPr="00E01890">
        <w:rPr>
          <w:rFonts w:ascii="Calibri" w:hAnsi="Calibri" w:cs="Calibri"/>
          <w:noProof/>
          <w:sz w:val="16"/>
          <w:szCs w:val="24"/>
          <w:lang w:val="en-US"/>
        </w:rPr>
        <w:t xml:space="preserve">, 15 (5), 387–394. </w:t>
      </w:r>
    </w:p>
    <w:p w14:paraId="77287B92" w14:textId="6E613651" w:rsidR="00A36A6E" w:rsidRPr="00A36A6E" w:rsidRDefault="00A36A6E" w:rsidP="00A36A6E">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A36A6E">
        <w:rPr>
          <w:rFonts w:ascii="Calibri" w:hAnsi="Calibri" w:cs="Calibri"/>
          <w:noProof/>
          <w:sz w:val="16"/>
          <w:szCs w:val="24"/>
          <w:lang w:val="en-US"/>
        </w:rPr>
        <w:t>Silvestre, B. S., Silva, M. E., Cormack, A., Thome, A. M. T.</w:t>
      </w:r>
      <w:r>
        <w:rPr>
          <w:rFonts w:ascii="Calibri" w:hAnsi="Calibri" w:cs="Calibri"/>
          <w:noProof/>
          <w:sz w:val="16"/>
          <w:szCs w:val="24"/>
          <w:lang w:val="en-US"/>
        </w:rPr>
        <w:t xml:space="preserve">, </w:t>
      </w:r>
      <w:r w:rsidRPr="00A36A6E">
        <w:rPr>
          <w:rFonts w:ascii="Calibri" w:hAnsi="Calibri" w:cs="Calibri"/>
          <w:noProof/>
          <w:sz w:val="16"/>
          <w:szCs w:val="24"/>
          <w:lang w:val="en-US"/>
        </w:rPr>
        <w:t>2020. Supply chain sustainability trajectories: learning through sustainability initiatives.</w:t>
      </w:r>
      <w:r w:rsidRPr="00A36A6E">
        <w:rPr>
          <w:rFonts w:ascii="Calibri" w:hAnsi="Calibri" w:cs="Calibri"/>
          <w:i/>
          <w:iCs/>
          <w:noProof/>
          <w:sz w:val="16"/>
          <w:szCs w:val="24"/>
          <w:lang w:val="en-US"/>
        </w:rPr>
        <w:t xml:space="preserve"> Int. J. Oper. Prod. Manag</w:t>
      </w:r>
      <w:r>
        <w:rPr>
          <w:rFonts w:ascii="Calibri" w:hAnsi="Calibri" w:cs="Calibri"/>
          <w:noProof/>
          <w:sz w:val="16"/>
          <w:szCs w:val="24"/>
          <w:lang w:val="en-US"/>
        </w:rPr>
        <w:t>.</w:t>
      </w:r>
      <w:r w:rsidRPr="00A36A6E">
        <w:rPr>
          <w:rFonts w:ascii="Calibri" w:hAnsi="Calibri" w:cs="Calibri"/>
          <w:noProof/>
          <w:sz w:val="16"/>
          <w:szCs w:val="24"/>
          <w:lang w:val="en-US"/>
        </w:rPr>
        <w:t xml:space="preserve"> 40(9), 1301–1337.</w:t>
      </w:r>
    </w:p>
    <w:p w14:paraId="605FCF7B"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Sitcharangsie, S., Ijomah, W., Wong, T.C., 2019. Decision makings in key remanufacturing activities to optimise remanufacturing outcomes: A review.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232, 1465–1481. </w:t>
      </w:r>
    </w:p>
    <w:p w14:paraId="56A77A3F"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Sousa, R., Voss, C.A., 2008. Contingency research in operations management practices. </w:t>
      </w:r>
      <w:r w:rsidRPr="00E01890">
        <w:rPr>
          <w:rFonts w:ascii="Calibri" w:hAnsi="Calibri" w:cs="Calibri"/>
          <w:i/>
          <w:iCs/>
          <w:noProof/>
          <w:sz w:val="16"/>
          <w:szCs w:val="24"/>
          <w:lang w:val="en-US"/>
        </w:rPr>
        <w:t>J. Oper. Manag.</w:t>
      </w:r>
      <w:r w:rsidRPr="00E01890">
        <w:rPr>
          <w:rFonts w:ascii="Calibri" w:hAnsi="Calibri" w:cs="Calibri"/>
          <w:noProof/>
          <w:sz w:val="16"/>
          <w:szCs w:val="24"/>
          <w:lang w:val="en-US"/>
        </w:rPr>
        <w:t xml:space="preserve"> 26</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(6), 697–713.</w:t>
      </w:r>
    </w:p>
    <w:p w14:paraId="7209B78C" w14:textId="35BA86BE" w:rsidR="00C33813"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Tashakkori, A., Teddlie, C., 2002. </w:t>
      </w:r>
      <w:r w:rsidRPr="00E01890">
        <w:rPr>
          <w:rFonts w:ascii="Calibri" w:hAnsi="Calibri" w:cs="Calibri"/>
          <w:i/>
          <w:iCs/>
          <w:noProof/>
          <w:sz w:val="16"/>
          <w:szCs w:val="24"/>
          <w:lang w:val="en-US"/>
        </w:rPr>
        <w:t>Handbook of Mixed Methods</w:t>
      </w:r>
      <w:r w:rsidRPr="00E01890">
        <w:rPr>
          <w:rFonts w:ascii="Calibri" w:hAnsi="Calibri" w:cs="Calibri"/>
          <w:noProof/>
          <w:sz w:val="16"/>
          <w:szCs w:val="24"/>
          <w:lang w:val="en-US"/>
        </w:rPr>
        <w:t>. Sage.</w:t>
      </w:r>
    </w:p>
    <w:p w14:paraId="75BE9DFE" w14:textId="6FBE598C" w:rsidR="00A36A6E" w:rsidRPr="00A36A6E" w:rsidRDefault="00A36A6E" w:rsidP="00A36A6E">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A36A6E">
        <w:rPr>
          <w:rFonts w:ascii="Calibri" w:hAnsi="Calibri" w:cs="Calibri"/>
          <w:noProof/>
          <w:sz w:val="16"/>
          <w:szCs w:val="24"/>
          <w:lang w:val="en-US"/>
        </w:rPr>
        <w:t>Taylor, A., Taylor, M.</w:t>
      </w:r>
      <w:r>
        <w:rPr>
          <w:rFonts w:ascii="Calibri" w:hAnsi="Calibri" w:cs="Calibri"/>
          <w:noProof/>
          <w:sz w:val="16"/>
          <w:szCs w:val="24"/>
          <w:lang w:val="en-US"/>
        </w:rPr>
        <w:t>,</w:t>
      </w:r>
      <w:r w:rsidRPr="00A36A6E">
        <w:rPr>
          <w:rFonts w:ascii="Calibri" w:hAnsi="Calibri" w:cs="Calibri"/>
          <w:noProof/>
          <w:sz w:val="16"/>
          <w:szCs w:val="24"/>
          <w:lang w:val="en-US"/>
        </w:rPr>
        <w:t xml:space="preserve"> 2014. Factors influencing effective implementation of performance measurement systems in small and medium-sized enterprises and large firms: </w:t>
      </w:r>
      <w:r>
        <w:rPr>
          <w:rFonts w:ascii="Calibri" w:hAnsi="Calibri" w:cs="Calibri"/>
          <w:noProof/>
          <w:sz w:val="16"/>
          <w:szCs w:val="24"/>
          <w:lang w:val="en-US"/>
        </w:rPr>
        <w:t>a</w:t>
      </w:r>
      <w:r w:rsidRPr="00A36A6E">
        <w:rPr>
          <w:rFonts w:ascii="Calibri" w:hAnsi="Calibri" w:cs="Calibri"/>
          <w:noProof/>
          <w:sz w:val="16"/>
          <w:szCs w:val="24"/>
          <w:lang w:val="en-US"/>
        </w:rPr>
        <w:t xml:space="preserve"> perspective from </w:t>
      </w:r>
      <w:r>
        <w:rPr>
          <w:rFonts w:ascii="Calibri" w:hAnsi="Calibri" w:cs="Calibri"/>
          <w:noProof/>
          <w:sz w:val="16"/>
          <w:szCs w:val="24"/>
          <w:lang w:val="en-US"/>
        </w:rPr>
        <w:t>c</w:t>
      </w:r>
      <w:r w:rsidRPr="00A36A6E">
        <w:rPr>
          <w:rFonts w:ascii="Calibri" w:hAnsi="Calibri" w:cs="Calibri"/>
          <w:noProof/>
          <w:sz w:val="16"/>
          <w:szCs w:val="24"/>
          <w:lang w:val="en-US"/>
        </w:rPr>
        <w:t xml:space="preserve">ontingency </w:t>
      </w:r>
      <w:r>
        <w:rPr>
          <w:rFonts w:ascii="Calibri" w:hAnsi="Calibri" w:cs="Calibri"/>
          <w:noProof/>
          <w:sz w:val="16"/>
          <w:szCs w:val="24"/>
          <w:lang w:val="en-US"/>
        </w:rPr>
        <w:t>t</w:t>
      </w:r>
      <w:r w:rsidRPr="00A36A6E">
        <w:rPr>
          <w:rFonts w:ascii="Calibri" w:hAnsi="Calibri" w:cs="Calibri"/>
          <w:noProof/>
          <w:sz w:val="16"/>
          <w:szCs w:val="24"/>
          <w:lang w:val="en-US"/>
        </w:rPr>
        <w:t xml:space="preserve">heory. </w:t>
      </w:r>
      <w:r w:rsidRPr="00843661">
        <w:rPr>
          <w:rFonts w:ascii="Calibri" w:hAnsi="Calibri" w:cs="Calibri"/>
          <w:i/>
          <w:iCs/>
          <w:noProof/>
          <w:sz w:val="16"/>
          <w:szCs w:val="24"/>
          <w:lang w:val="en-US"/>
        </w:rPr>
        <w:t>Int. J. Prod. Res</w:t>
      </w:r>
      <w:r w:rsidR="00843661">
        <w:rPr>
          <w:rFonts w:ascii="Calibri" w:hAnsi="Calibri" w:cs="Calibri"/>
          <w:noProof/>
          <w:sz w:val="16"/>
          <w:szCs w:val="24"/>
          <w:lang w:val="en-US"/>
        </w:rPr>
        <w:t xml:space="preserve">. </w:t>
      </w:r>
      <w:r w:rsidRPr="00A36A6E">
        <w:rPr>
          <w:rFonts w:ascii="Calibri" w:hAnsi="Calibri" w:cs="Calibri"/>
          <w:noProof/>
          <w:sz w:val="16"/>
          <w:szCs w:val="24"/>
          <w:lang w:val="en-US"/>
        </w:rPr>
        <w:t>52(3), 847–866.</w:t>
      </w:r>
    </w:p>
    <w:p w14:paraId="79D36EF1"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rPr>
      </w:pPr>
      <w:r w:rsidRPr="00E01890">
        <w:rPr>
          <w:rFonts w:ascii="Calibri" w:hAnsi="Calibri" w:cs="Calibri"/>
          <w:noProof/>
          <w:sz w:val="16"/>
          <w:szCs w:val="24"/>
          <w:lang w:val="en-US"/>
        </w:rPr>
        <w:t xml:space="preserve">Teece, D.J., 2010. Business models, business strategy and innovation. </w:t>
      </w:r>
      <w:r w:rsidRPr="001240E6">
        <w:rPr>
          <w:rFonts w:ascii="Calibri" w:hAnsi="Calibri" w:cs="Calibri"/>
          <w:i/>
          <w:iCs/>
          <w:noProof/>
          <w:sz w:val="16"/>
          <w:szCs w:val="24"/>
        </w:rPr>
        <w:t>Long Range Plann.</w:t>
      </w:r>
      <w:r w:rsidRPr="001240E6">
        <w:rPr>
          <w:rFonts w:ascii="Calibri" w:hAnsi="Calibri" w:cs="Calibri"/>
          <w:noProof/>
          <w:sz w:val="16"/>
          <w:szCs w:val="24"/>
        </w:rPr>
        <w:t xml:space="preserve"> 43 (2–3), 172–194. </w:t>
      </w:r>
    </w:p>
    <w:p w14:paraId="3F5401C5" w14:textId="77777777" w:rsidR="00C33813" w:rsidRPr="001240E6"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rPr>
      </w:pPr>
      <w:r w:rsidRPr="001240E6">
        <w:rPr>
          <w:rFonts w:ascii="Calibri" w:hAnsi="Calibri" w:cs="Calibri"/>
          <w:noProof/>
          <w:sz w:val="16"/>
          <w:szCs w:val="24"/>
        </w:rPr>
        <w:t xml:space="preserve">van Loon, P., van Wassenhove, L.N., 2018. </w:t>
      </w:r>
      <w:r w:rsidRPr="00E01890">
        <w:rPr>
          <w:rFonts w:ascii="Calibri" w:hAnsi="Calibri" w:cs="Calibri"/>
          <w:noProof/>
          <w:sz w:val="16"/>
          <w:szCs w:val="24"/>
          <w:lang w:val="en-US"/>
        </w:rPr>
        <w:t xml:space="preserve">Assessing the economic and environmental impact of remanufacturing: a decision support tool for OEM suppliers. </w:t>
      </w:r>
      <w:r w:rsidRPr="001240E6">
        <w:rPr>
          <w:rFonts w:ascii="Calibri" w:hAnsi="Calibri" w:cs="Calibri"/>
          <w:i/>
          <w:iCs/>
          <w:noProof/>
          <w:sz w:val="16"/>
          <w:szCs w:val="24"/>
        </w:rPr>
        <w:t>Int. J. Prod. Res</w:t>
      </w:r>
      <w:r w:rsidRPr="001240E6">
        <w:rPr>
          <w:rFonts w:ascii="Calibri" w:hAnsi="Calibri" w:cs="Calibri"/>
          <w:noProof/>
          <w:sz w:val="16"/>
          <w:szCs w:val="24"/>
        </w:rPr>
        <w:t>, 56</w:t>
      </w:r>
      <w:r w:rsidRPr="001240E6">
        <w:rPr>
          <w:rFonts w:ascii="Calibri" w:hAnsi="Calibri" w:cs="Calibri"/>
          <w:i/>
          <w:iCs/>
          <w:noProof/>
          <w:sz w:val="16"/>
          <w:szCs w:val="24"/>
        </w:rPr>
        <w:t xml:space="preserve"> </w:t>
      </w:r>
      <w:r w:rsidRPr="001240E6">
        <w:rPr>
          <w:rFonts w:ascii="Calibri" w:hAnsi="Calibri" w:cs="Calibri"/>
          <w:noProof/>
          <w:sz w:val="16"/>
          <w:szCs w:val="24"/>
        </w:rPr>
        <w:t xml:space="preserve">(4), 1662–1674. </w:t>
      </w:r>
    </w:p>
    <w:p w14:paraId="14D4C3E7"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1240E6">
        <w:rPr>
          <w:rFonts w:ascii="Calibri" w:hAnsi="Calibri" w:cs="Calibri"/>
          <w:noProof/>
          <w:sz w:val="16"/>
          <w:szCs w:val="24"/>
        </w:rPr>
        <w:t xml:space="preserve">Vink, M.P., van Vliet, O., 2009. </w:t>
      </w:r>
      <w:r w:rsidRPr="00E01890">
        <w:rPr>
          <w:rFonts w:ascii="Calibri" w:hAnsi="Calibri" w:cs="Calibri"/>
          <w:noProof/>
          <w:sz w:val="16"/>
          <w:szCs w:val="24"/>
          <w:lang w:val="en-US"/>
        </w:rPr>
        <w:t xml:space="preserve">Not quite crisp, not yet fuzzy? Assessing the potentials and pitfalls of multi-value QCA. </w:t>
      </w:r>
      <w:r w:rsidRPr="00E01890">
        <w:rPr>
          <w:rFonts w:ascii="Calibri" w:hAnsi="Calibri" w:cs="Calibri"/>
          <w:i/>
          <w:iCs/>
          <w:noProof/>
          <w:sz w:val="16"/>
          <w:szCs w:val="24"/>
          <w:lang w:val="en-US"/>
        </w:rPr>
        <w:t>Field Method.</w:t>
      </w:r>
      <w:r w:rsidRPr="00E01890">
        <w:rPr>
          <w:rFonts w:ascii="Calibri" w:hAnsi="Calibri" w:cs="Calibri"/>
          <w:noProof/>
          <w:sz w:val="16"/>
          <w:szCs w:val="24"/>
          <w:lang w:val="en-US"/>
        </w:rPr>
        <w:t xml:space="preserve"> 21</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(3), 265–289. </w:t>
      </w:r>
    </w:p>
    <w:p w14:paraId="416C2685"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Visnjic, I., Jovanovic, M., Neely, A., Engwall, M., 2017. What brings the value to outcome-based contract providers? Value drivers in outcome business models. </w:t>
      </w:r>
      <w:r w:rsidRPr="00E01890">
        <w:rPr>
          <w:rFonts w:ascii="Calibri" w:hAnsi="Calibri" w:cs="Calibri"/>
          <w:i/>
          <w:iCs/>
          <w:noProof/>
          <w:sz w:val="16"/>
          <w:szCs w:val="24"/>
          <w:lang w:val="en-US"/>
        </w:rPr>
        <w:t>Int. J. Prod. Ec.</w:t>
      </w:r>
      <w:r w:rsidRPr="00E01890">
        <w:rPr>
          <w:rFonts w:ascii="Calibri" w:hAnsi="Calibri" w:cs="Calibri"/>
          <w:noProof/>
          <w:sz w:val="16"/>
          <w:szCs w:val="24"/>
          <w:lang w:val="en-US"/>
        </w:rPr>
        <w:t xml:space="preserve">, 192, 169–181. </w:t>
      </w:r>
    </w:p>
    <w:p w14:paraId="6D0E9F98"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Vlajic, J.V., Mijailovic, R., Bogdanova, M. 2018. Creating loops with value recovery: empirical study of fresh food supply chains. </w:t>
      </w:r>
      <w:r w:rsidRPr="00E01890">
        <w:rPr>
          <w:rFonts w:ascii="Calibri" w:hAnsi="Calibri" w:cs="Calibri"/>
          <w:i/>
          <w:iCs/>
          <w:noProof/>
          <w:sz w:val="16"/>
          <w:szCs w:val="24"/>
          <w:lang w:val="en-US"/>
        </w:rPr>
        <w:t>Prod. Plan. Control</w:t>
      </w:r>
      <w:r w:rsidRPr="00E01890">
        <w:rPr>
          <w:rFonts w:ascii="Calibri" w:hAnsi="Calibri" w:cs="Calibri"/>
          <w:noProof/>
          <w:sz w:val="16"/>
          <w:szCs w:val="24"/>
          <w:lang w:val="en-US"/>
        </w:rPr>
        <w:t>. 29</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 xml:space="preserve">(6), 522–538. </w:t>
      </w:r>
    </w:p>
    <w:p w14:paraId="650D7DE8"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Wei, Z., Song, X., Wang, D., 2017. Manufacturing flexibility, business model design, and firm performance. </w:t>
      </w:r>
      <w:r w:rsidRPr="00E01890">
        <w:rPr>
          <w:rFonts w:ascii="Calibri" w:hAnsi="Calibri" w:cs="Calibri"/>
          <w:i/>
          <w:iCs/>
          <w:noProof/>
          <w:sz w:val="16"/>
          <w:szCs w:val="24"/>
          <w:lang w:val="en-US"/>
        </w:rPr>
        <w:t>Int. J. Prod. Ec.</w:t>
      </w:r>
      <w:r w:rsidRPr="00E01890">
        <w:rPr>
          <w:rFonts w:ascii="Calibri" w:hAnsi="Calibri" w:cs="Calibri"/>
          <w:noProof/>
          <w:sz w:val="16"/>
          <w:szCs w:val="24"/>
          <w:lang w:val="en-US"/>
        </w:rPr>
        <w:t>, 193</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(28), 87–97.</w:t>
      </w:r>
    </w:p>
    <w:p w14:paraId="51A41881"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en-US"/>
        </w:rPr>
      </w:pPr>
      <w:r w:rsidRPr="00E01890">
        <w:rPr>
          <w:rFonts w:ascii="Calibri" w:hAnsi="Calibri" w:cs="Calibri"/>
          <w:noProof/>
          <w:sz w:val="16"/>
          <w:szCs w:val="24"/>
          <w:lang w:val="en-US"/>
        </w:rPr>
        <w:t xml:space="preserve">Yang, M., Evans, S., Vladimirova, D., Rana, P., 2017. Value uncaptured perspective for sustainable business model innovation. </w:t>
      </w:r>
      <w:r w:rsidRPr="00E01890">
        <w:rPr>
          <w:rFonts w:ascii="Calibri" w:hAnsi="Calibri" w:cs="Calibri"/>
          <w:i/>
          <w:iCs/>
          <w:noProof/>
          <w:sz w:val="16"/>
          <w:szCs w:val="24"/>
          <w:lang w:val="en-US"/>
        </w:rPr>
        <w:t>J. Clean. Prod</w:t>
      </w:r>
      <w:r w:rsidRPr="00E01890">
        <w:rPr>
          <w:rFonts w:ascii="Calibri" w:hAnsi="Calibri" w:cs="Calibri"/>
          <w:noProof/>
          <w:sz w:val="16"/>
          <w:szCs w:val="24"/>
          <w:lang w:val="en-US"/>
        </w:rPr>
        <w:t xml:space="preserve">, 140, 1794–1804. </w:t>
      </w:r>
    </w:p>
    <w:p w14:paraId="1F4CE3EF" w14:textId="77777777" w:rsidR="00C33813" w:rsidRPr="00CE453D" w:rsidRDefault="00C33813" w:rsidP="00C33813">
      <w:pPr>
        <w:widowControl w:val="0"/>
        <w:autoSpaceDE w:val="0"/>
        <w:autoSpaceDN w:val="0"/>
        <w:adjustRightInd w:val="0"/>
        <w:spacing w:after="0" w:line="240" w:lineRule="auto"/>
        <w:ind w:left="480" w:hanging="480"/>
        <w:jc w:val="both"/>
        <w:rPr>
          <w:rFonts w:ascii="Calibri" w:hAnsi="Calibri" w:cs="Calibri"/>
          <w:noProof/>
          <w:sz w:val="16"/>
          <w:szCs w:val="24"/>
          <w:lang w:val="de-DE"/>
        </w:rPr>
      </w:pPr>
      <w:r w:rsidRPr="00E01890">
        <w:rPr>
          <w:rFonts w:ascii="Calibri" w:hAnsi="Calibri" w:cs="Calibri"/>
          <w:noProof/>
          <w:sz w:val="16"/>
          <w:szCs w:val="24"/>
          <w:lang w:val="en-US"/>
        </w:rPr>
        <w:t xml:space="preserve">Yin, R., 2009. </w:t>
      </w:r>
      <w:r w:rsidRPr="00E01890">
        <w:rPr>
          <w:rFonts w:ascii="Calibri" w:hAnsi="Calibri" w:cs="Calibri"/>
          <w:i/>
          <w:iCs/>
          <w:noProof/>
          <w:sz w:val="16"/>
          <w:szCs w:val="24"/>
          <w:lang w:val="en-US"/>
        </w:rPr>
        <w:t>Case Study Research: Design and Methods</w:t>
      </w:r>
      <w:r w:rsidRPr="00E01890">
        <w:rPr>
          <w:rFonts w:ascii="Calibri" w:hAnsi="Calibri" w:cs="Calibri"/>
          <w:noProof/>
          <w:sz w:val="16"/>
          <w:szCs w:val="24"/>
          <w:lang w:val="en-US"/>
        </w:rPr>
        <w:t xml:space="preserve">. </w:t>
      </w:r>
      <w:r w:rsidRPr="00CE453D">
        <w:rPr>
          <w:rFonts w:ascii="Calibri" w:hAnsi="Calibri" w:cs="Calibri"/>
          <w:noProof/>
          <w:sz w:val="16"/>
          <w:szCs w:val="24"/>
          <w:lang w:val="de-DE"/>
        </w:rPr>
        <w:t>Sage.</w:t>
      </w:r>
    </w:p>
    <w:p w14:paraId="63D0FDD8" w14:textId="77777777" w:rsidR="00C33813" w:rsidRPr="00E01890" w:rsidRDefault="00C33813" w:rsidP="00C33813">
      <w:pPr>
        <w:widowControl w:val="0"/>
        <w:autoSpaceDE w:val="0"/>
        <w:autoSpaceDN w:val="0"/>
        <w:adjustRightInd w:val="0"/>
        <w:spacing w:after="0" w:line="240" w:lineRule="auto"/>
        <w:ind w:left="480" w:hanging="480"/>
        <w:jc w:val="both"/>
        <w:rPr>
          <w:rFonts w:ascii="Calibri" w:hAnsi="Calibri" w:cs="Calibri"/>
          <w:noProof/>
          <w:sz w:val="16"/>
          <w:lang w:val="en-US"/>
        </w:rPr>
      </w:pPr>
      <w:r w:rsidRPr="00CE453D">
        <w:rPr>
          <w:rFonts w:ascii="Calibri" w:hAnsi="Calibri" w:cs="Calibri"/>
          <w:noProof/>
          <w:sz w:val="16"/>
          <w:szCs w:val="24"/>
          <w:lang w:val="de-DE"/>
        </w:rPr>
        <w:t xml:space="preserve">Zott, C., Amit, R., Massa, L., 2011. </w:t>
      </w:r>
      <w:r w:rsidRPr="00E01890">
        <w:rPr>
          <w:rFonts w:ascii="Calibri" w:hAnsi="Calibri" w:cs="Calibri"/>
          <w:noProof/>
          <w:sz w:val="16"/>
          <w:szCs w:val="24"/>
          <w:lang w:val="en-US"/>
        </w:rPr>
        <w:t xml:space="preserve">The business model: Recent developments and future research. </w:t>
      </w:r>
      <w:r w:rsidRPr="00E01890">
        <w:rPr>
          <w:rFonts w:ascii="Calibri" w:hAnsi="Calibri" w:cs="Calibri"/>
          <w:i/>
          <w:iCs/>
          <w:noProof/>
          <w:sz w:val="16"/>
          <w:szCs w:val="24"/>
          <w:lang w:val="en-US"/>
        </w:rPr>
        <w:t>J. Manag.</w:t>
      </w:r>
      <w:r w:rsidRPr="00E01890">
        <w:rPr>
          <w:rFonts w:ascii="Calibri" w:hAnsi="Calibri" w:cs="Calibri"/>
          <w:noProof/>
          <w:sz w:val="16"/>
          <w:szCs w:val="24"/>
          <w:lang w:val="en-US"/>
        </w:rPr>
        <w:t xml:space="preserve"> 37</w:t>
      </w:r>
      <w:r w:rsidRPr="00E01890">
        <w:rPr>
          <w:rFonts w:ascii="Calibri" w:hAnsi="Calibri" w:cs="Calibri"/>
          <w:i/>
          <w:iCs/>
          <w:noProof/>
          <w:sz w:val="16"/>
          <w:szCs w:val="24"/>
          <w:lang w:val="en-US"/>
        </w:rPr>
        <w:t xml:space="preserve"> </w:t>
      </w:r>
      <w:r w:rsidRPr="00E01890">
        <w:rPr>
          <w:rFonts w:ascii="Calibri" w:hAnsi="Calibri" w:cs="Calibri"/>
          <w:noProof/>
          <w:sz w:val="16"/>
          <w:szCs w:val="24"/>
          <w:lang w:val="en-US"/>
        </w:rPr>
        <w:t>(4), 1019–1042.</w:t>
      </w:r>
    </w:p>
    <w:p w14:paraId="5B1EF7D5" w14:textId="63A7463F" w:rsidR="00B96593" w:rsidRDefault="00C33813" w:rsidP="00C33813">
      <w:pPr>
        <w:spacing w:after="0"/>
        <w:rPr>
          <w:b/>
          <w:bCs/>
          <w:sz w:val="16"/>
          <w:szCs w:val="16"/>
          <w:lang w:val="en-US"/>
        </w:rPr>
      </w:pPr>
      <w:r w:rsidRPr="007C12DD">
        <w:rPr>
          <w:b/>
          <w:bCs/>
          <w:sz w:val="16"/>
          <w:szCs w:val="16"/>
          <w:lang w:val="en-US"/>
        </w:rPr>
        <w:fldChar w:fldCharType="end"/>
      </w:r>
      <w:bookmarkEnd w:id="4"/>
    </w:p>
    <w:p w14:paraId="61B99B17" w14:textId="77777777" w:rsidR="00CE453D" w:rsidRDefault="00CE453D" w:rsidP="00C33813">
      <w:pPr>
        <w:spacing w:after="0"/>
        <w:rPr>
          <w:b/>
          <w:bCs/>
          <w:sz w:val="16"/>
          <w:szCs w:val="16"/>
          <w:lang w:val="en-US"/>
        </w:rPr>
      </w:pPr>
    </w:p>
    <w:p w14:paraId="287FB0B3" w14:textId="77777777" w:rsidR="00CE453D" w:rsidRDefault="00CE453D" w:rsidP="00C33813">
      <w:pPr>
        <w:spacing w:after="0"/>
        <w:rPr>
          <w:b/>
          <w:bCs/>
          <w:sz w:val="16"/>
          <w:szCs w:val="16"/>
          <w:lang w:val="en-US"/>
        </w:rPr>
      </w:pPr>
    </w:p>
    <w:p w14:paraId="45AA99B8" w14:textId="77777777" w:rsidR="00CE453D" w:rsidRDefault="00CE453D" w:rsidP="00C33813">
      <w:pPr>
        <w:spacing w:after="0"/>
        <w:rPr>
          <w:b/>
          <w:bCs/>
          <w:lang w:val="en-US"/>
        </w:rPr>
      </w:pPr>
    </w:p>
    <w:p w14:paraId="3CD807C1" w14:textId="1EF06011" w:rsidR="00CE453D" w:rsidRPr="007C12DD" w:rsidRDefault="00CE453D" w:rsidP="00C33813">
      <w:pPr>
        <w:spacing w:after="0"/>
        <w:rPr>
          <w:b/>
          <w:bCs/>
          <w:lang w:val="en-US"/>
        </w:rPr>
      </w:pPr>
      <w:proofErr w:type="gramStart"/>
      <w:r>
        <w:rPr>
          <w:b/>
          <w:bCs/>
          <w:lang w:val="en-US"/>
        </w:rPr>
        <w:t>Proofreading :</w:t>
      </w:r>
      <w:proofErr w:type="gramEnd"/>
      <w:r>
        <w:rPr>
          <w:b/>
          <w:bCs/>
          <w:lang w:val="en-US"/>
        </w:rPr>
        <w:t xml:space="preserve"> Lombardi</w:t>
      </w:r>
    </w:p>
    <w:sectPr w:rsidR="00CE453D" w:rsidRPr="007C12DD" w:rsidSect="00497B2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D5DC4" w14:textId="77777777" w:rsidR="006F0763" w:rsidRDefault="006F0763" w:rsidP="008E6B7E">
      <w:pPr>
        <w:spacing w:after="0" w:line="240" w:lineRule="auto"/>
      </w:pPr>
      <w:r>
        <w:separator/>
      </w:r>
    </w:p>
  </w:endnote>
  <w:endnote w:type="continuationSeparator" w:id="0">
    <w:p w14:paraId="728252C6" w14:textId="77777777" w:rsidR="006F0763" w:rsidRDefault="006F0763" w:rsidP="008E6B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Segoe UI Emoji">
    <w:panose1 w:val="020B0502040204020203"/>
    <w:charset w:val="00"/>
    <w:family w:val="swiss"/>
    <w:pitch w:val="variable"/>
    <w:sig w:usb0="00000003" w:usb1="02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50B8B" w14:textId="77777777" w:rsidR="006F0763" w:rsidRDefault="006F0763" w:rsidP="008E6B7E">
      <w:pPr>
        <w:spacing w:after="0" w:line="240" w:lineRule="auto"/>
      </w:pPr>
      <w:r>
        <w:separator/>
      </w:r>
    </w:p>
  </w:footnote>
  <w:footnote w:type="continuationSeparator" w:id="0">
    <w:p w14:paraId="59431495" w14:textId="77777777" w:rsidR="006F0763" w:rsidRDefault="006F0763" w:rsidP="008E6B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D0F35"/>
    <w:multiLevelType w:val="hybridMultilevel"/>
    <w:tmpl w:val="094E4AB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6755622"/>
    <w:multiLevelType w:val="hybridMultilevel"/>
    <w:tmpl w:val="D3CCB01C"/>
    <w:lvl w:ilvl="0" w:tplc="1902EB1A">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925763E"/>
    <w:multiLevelType w:val="hybridMultilevel"/>
    <w:tmpl w:val="5142DF9C"/>
    <w:lvl w:ilvl="0" w:tplc="CFBE3C9A">
      <w:start w:val="1"/>
      <w:numFmt w:val="decimal"/>
      <w:lvlText w:val="%1)"/>
      <w:lvlJc w:val="left"/>
      <w:pPr>
        <w:ind w:left="644" w:hanging="360"/>
      </w:pPr>
      <w:rPr>
        <w:rFonts w:hint="default"/>
      </w:rPr>
    </w:lvl>
    <w:lvl w:ilvl="1" w:tplc="04130019" w:tentative="1">
      <w:start w:val="1"/>
      <w:numFmt w:val="lowerLetter"/>
      <w:lvlText w:val="%2."/>
      <w:lvlJc w:val="left"/>
      <w:pPr>
        <w:ind w:left="1364" w:hanging="360"/>
      </w:pPr>
    </w:lvl>
    <w:lvl w:ilvl="2" w:tplc="0413001B" w:tentative="1">
      <w:start w:val="1"/>
      <w:numFmt w:val="lowerRoman"/>
      <w:lvlText w:val="%3."/>
      <w:lvlJc w:val="right"/>
      <w:pPr>
        <w:ind w:left="2084" w:hanging="180"/>
      </w:pPr>
    </w:lvl>
    <w:lvl w:ilvl="3" w:tplc="0413000F" w:tentative="1">
      <w:start w:val="1"/>
      <w:numFmt w:val="decimal"/>
      <w:lvlText w:val="%4."/>
      <w:lvlJc w:val="left"/>
      <w:pPr>
        <w:ind w:left="2804" w:hanging="360"/>
      </w:pPr>
    </w:lvl>
    <w:lvl w:ilvl="4" w:tplc="04130019" w:tentative="1">
      <w:start w:val="1"/>
      <w:numFmt w:val="lowerLetter"/>
      <w:lvlText w:val="%5."/>
      <w:lvlJc w:val="left"/>
      <w:pPr>
        <w:ind w:left="3524" w:hanging="360"/>
      </w:pPr>
    </w:lvl>
    <w:lvl w:ilvl="5" w:tplc="0413001B" w:tentative="1">
      <w:start w:val="1"/>
      <w:numFmt w:val="lowerRoman"/>
      <w:lvlText w:val="%6."/>
      <w:lvlJc w:val="right"/>
      <w:pPr>
        <w:ind w:left="4244" w:hanging="180"/>
      </w:pPr>
    </w:lvl>
    <w:lvl w:ilvl="6" w:tplc="0413000F" w:tentative="1">
      <w:start w:val="1"/>
      <w:numFmt w:val="decimal"/>
      <w:lvlText w:val="%7."/>
      <w:lvlJc w:val="left"/>
      <w:pPr>
        <w:ind w:left="4964" w:hanging="360"/>
      </w:pPr>
    </w:lvl>
    <w:lvl w:ilvl="7" w:tplc="04130019" w:tentative="1">
      <w:start w:val="1"/>
      <w:numFmt w:val="lowerLetter"/>
      <w:lvlText w:val="%8."/>
      <w:lvlJc w:val="left"/>
      <w:pPr>
        <w:ind w:left="5684" w:hanging="360"/>
      </w:pPr>
    </w:lvl>
    <w:lvl w:ilvl="8" w:tplc="0413001B" w:tentative="1">
      <w:start w:val="1"/>
      <w:numFmt w:val="lowerRoman"/>
      <w:lvlText w:val="%9."/>
      <w:lvlJc w:val="right"/>
      <w:pPr>
        <w:ind w:left="6404" w:hanging="180"/>
      </w:pPr>
    </w:lvl>
  </w:abstractNum>
  <w:abstractNum w:abstractNumId="3" w15:restartNumberingAfterBreak="0">
    <w:nsid w:val="09FB0FC9"/>
    <w:multiLevelType w:val="hybridMultilevel"/>
    <w:tmpl w:val="CB901216"/>
    <w:lvl w:ilvl="0" w:tplc="4FB8CB1E">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B6B2AAC"/>
    <w:multiLevelType w:val="hybridMultilevel"/>
    <w:tmpl w:val="98B4D306"/>
    <w:lvl w:ilvl="0" w:tplc="04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BC410A4"/>
    <w:multiLevelType w:val="hybridMultilevel"/>
    <w:tmpl w:val="B7A4B0E2"/>
    <w:lvl w:ilvl="0" w:tplc="33D83FBE">
      <w:numFmt w:val="bullet"/>
      <w:lvlText w:val="-"/>
      <w:lvlJc w:val="left"/>
      <w:pPr>
        <w:ind w:left="644" w:hanging="360"/>
      </w:pPr>
      <w:rPr>
        <w:rFonts w:ascii="Calibri" w:eastAsiaTheme="minorHAnsi" w:hAnsi="Calibri" w:cs="Calibri" w:hint="default"/>
      </w:rPr>
    </w:lvl>
    <w:lvl w:ilvl="1" w:tplc="04130003" w:tentative="1">
      <w:start w:val="1"/>
      <w:numFmt w:val="bullet"/>
      <w:lvlText w:val="o"/>
      <w:lvlJc w:val="left"/>
      <w:pPr>
        <w:ind w:left="1364" w:hanging="360"/>
      </w:pPr>
      <w:rPr>
        <w:rFonts w:ascii="Courier New" w:hAnsi="Courier New" w:cs="Courier New" w:hint="default"/>
      </w:rPr>
    </w:lvl>
    <w:lvl w:ilvl="2" w:tplc="04130005" w:tentative="1">
      <w:start w:val="1"/>
      <w:numFmt w:val="bullet"/>
      <w:lvlText w:val=""/>
      <w:lvlJc w:val="left"/>
      <w:pPr>
        <w:ind w:left="2084" w:hanging="360"/>
      </w:pPr>
      <w:rPr>
        <w:rFonts w:ascii="Wingdings" w:hAnsi="Wingdings" w:hint="default"/>
      </w:rPr>
    </w:lvl>
    <w:lvl w:ilvl="3" w:tplc="04130001" w:tentative="1">
      <w:start w:val="1"/>
      <w:numFmt w:val="bullet"/>
      <w:lvlText w:val=""/>
      <w:lvlJc w:val="left"/>
      <w:pPr>
        <w:ind w:left="2804" w:hanging="360"/>
      </w:pPr>
      <w:rPr>
        <w:rFonts w:ascii="Symbol" w:hAnsi="Symbol" w:hint="default"/>
      </w:rPr>
    </w:lvl>
    <w:lvl w:ilvl="4" w:tplc="04130003" w:tentative="1">
      <w:start w:val="1"/>
      <w:numFmt w:val="bullet"/>
      <w:lvlText w:val="o"/>
      <w:lvlJc w:val="left"/>
      <w:pPr>
        <w:ind w:left="3524" w:hanging="360"/>
      </w:pPr>
      <w:rPr>
        <w:rFonts w:ascii="Courier New" w:hAnsi="Courier New" w:cs="Courier New" w:hint="default"/>
      </w:rPr>
    </w:lvl>
    <w:lvl w:ilvl="5" w:tplc="04130005" w:tentative="1">
      <w:start w:val="1"/>
      <w:numFmt w:val="bullet"/>
      <w:lvlText w:val=""/>
      <w:lvlJc w:val="left"/>
      <w:pPr>
        <w:ind w:left="4244" w:hanging="360"/>
      </w:pPr>
      <w:rPr>
        <w:rFonts w:ascii="Wingdings" w:hAnsi="Wingdings" w:hint="default"/>
      </w:rPr>
    </w:lvl>
    <w:lvl w:ilvl="6" w:tplc="04130001" w:tentative="1">
      <w:start w:val="1"/>
      <w:numFmt w:val="bullet"/>
      <w:lvlText w:val=""/>
      <w:lvlJc w:val="left"/>
      <w:pPr>
        <w:ind w:left="4964" w:hanging="360"/>
      </w:pPr>
      <w:rPr>
        <w:rFonts w:ascii="Symbol" w:hAnsi="Symbol" w:hint="default"/>
      </w:rPr>
    </w:lvl>
    <w:lvl w:ilvl="7" w:tplc="04130003" w:tentative="1">
      <w:start w:val="1"/>
      <w:numFmt w:val="bullet"/>
      <w:lvlText w:val="o"/>
      <w:lvlJc w:val="left"/>
      <w:pPr>
        <w:ind w:left="5684" w:hanging="360"/>
      </w:pPr>
      <w:rPr>
        <w:rFonts w:ascii="Courier New" w:hAnsi="Courier New" w:cs="Courier New" w:hint="default"/>
      </w:rPr>
    </w:lvl>
    <w:lvl w:ilvl="8" w:tplc="04130005" w:tentative="1">
      <w:start w:val="1"/>
      <w:numFmt w:val="bullet"/>
      <w:lvlText w:val=""/>
      <w:lvlJc w:val="left"/>
      <w:pPr>
        <w:ind w:left="6404" w:hanging="360"/>
      </w:pPr>
      <w:rPr>
        <w:rFonts w:ascii="Wingdings" w:hAnsi="Wingdings" w:hint="default"/>
      </w:rPr>
    </w:lvl>
  </w:abstractNum>
  <w:abstractNum w:abstractNumId="6" w15:restartNumberingAfterBreak="0">
    <w:nsid w:val="12B726E5"/>
    <w:multiLevelType w:val="hybridMultilevel"/>
    <w:tmpl w:val="9028E4A0"/>
    <w:lvl w:ilvl="0" w:tplc="987A2A34">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44606F3"/>
    <w:multiLevelType w:val="hybridMultilevel"/>
    <w:tmpl w:val="F8D460A6"/>
    <w:lvl w:ilvl="0" w:tplc="BDA6FA4C">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4762789"/>
    <w:multiLevelType w:val="hybridMultilevel"/>
    <w:tmpl w:val="BD166A70"/>
    <w:lvl w:ilvl="0" w:tplc="0BE6D97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6200C64"/>
    <w:multiLevelType w:val="hybridMultilevel"/>
    <w:tmpl w:val="315CE9DE"/>
    <w:lvl w:ilvl="0" w:tplc="F5D452C2">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7066B4A"/>
    <w:multiLevelType w:val="hybridMultilevel"/>
    <w:tmpl w:val="14542E0C"/>
    <w:lvl w:ilvl="0" w:tplc="1012BD84">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189831ED"/>
    <w:multiLevelType w:val="hybridMultilevel"/>
    <w:tmpl w:val="040EC4E8"/>
    <w:lvl w:ilvl="0" w:tplc="2F70302A">
      <w:start w:val="1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BF239E0"/>
    <w:multiLevelType w:val="hybridMultilevel"/>
    <w:tmpl w:val="77882BBC"/>
    <w:lvl w:ilvl="0" w:tplc="CCC8BDDE">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1CCD25E0"/>
    <w:multiLevelType w:val="hybridMultilevel"/>
    <w:tmpl w:val="E8C8E3B8"/>
    <w:lvl w:ilvl="0" w:tplc="2DE030C8">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8921F0D"/>
    <w:multiLevelType w:val="multilevel"/>
    <w:tmpl w:val="E28CC20A"/>
    <w:lvl w:ilvl="0">
      <w:start w:val="1"/>
      <w:numFmt w:val="decimal"/>
      <w:lvlText w:val="%1."/>
      <w:lvlJc w:val="left"/>
      <w:pPr>
        <w:ind w:left="644" w:hanging="360"/>
      </w:pPr>
      <w:rPr>
        <w:rFonts w:hint="default"/>
      </w:rPr>
    </w:lvl>
    <w:lvl w:ilvl="1">
      <w:start w:val="3"/>
      <w:numFmt w:val="decimal"/>
      <w:isLgl/>
      <w:lvlText w:val="%1.%2."/>
      <w:lvlJc w:val="left"/>
      <w:pPr>
        <w:ind w:left="674" w:hanging="39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5" w15:restartNumberingAfterBreak="0">
    <w:nsid w:val="2F975F08"/>
    <w:multiLevelType w:val="hybridMultilevel"/>
    <w:tmpl w:val="6FE87608"/>
    <w:lvl w:ilvl="0" w:tplc="B094A494">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309753F7"/>
    <w:multiLevelType w:val="hybridMultilevel"/>
    <w:tmpl w:val="BD0AA3F6"/>
    <w:lvl w:ilvl="0" w:tplc="B63A866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7A161AA"/>
    <w:multiLevelType w:val="hybridMultilevel"/>
    <w:tmpl w:val="DA3A9FD8"/>
    <w:lvl w:ilvl="0" w:tplc="92D4730A">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47925C95"/>
    <w:multiLevelType w:val="hybridMultilevel"/>
    <w:tmpl w:val="13CCDB42"/>
    <w:lvl w:ilvl="0" w:tplc="662E49F0">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47D14E68"/>
    <w:multiLevelType w:val="multilevel"/>
    <w:tmpl w:val="B4243D7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i/>
        <w:i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8203B77"/>
    <w:multiLevelType w:val="hybridMultilevel"/>
    <w:tmpl w:val="EA5E95D2"/>
    <w:lvl w:ilvl="0" w:tplc="2DA43210">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9BF61D0"/>
    <w:multiLevelType w:val="hybridMultilevel"/>
    <w:tmpl w:val="73028FE8"/>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B2170C2"/>
    <w:multiLevelType w:val="hybridMultilevel"/>
    <w:tmpl w:val="F55A44AC"/>
    <w:lvl w:ilvl="0" w:tplc="62FA8670">
      <w:numFmt w:val="bullet"/>
      <w:lvlText w:val="-"/>
      <w:lvlJc w:val="left"/>
      <w:pPr>
        <w:ind w:left="644" w:hanging="360"/>
      </w:pPr>
      <w:rPr>
        <w:rFonts w:ascii="Calibri" w:eastAsiaTheme="minorHAnsi" w:hAnsi="Calibri" w:cs="Calibri" w:hint="default"/>
      </w:rPr>
    </w:lvl>
    <w:lvl w:ilvl="1" w:tplc="04130003" w:tentative="1">
      <w:start w:val="1"/>
      <w:numFmt w:val="bullet"/>
      <w:lvlText w:val="o"/>
      <w:lvlJc w:val="left"/>
      <w:pPr>
        <w:ind w:left="1364" w:hanging="360"/>
      </w:pPr>
      <w:rPr>
        <w:rFonts w:ascii="Courier New" w:hAnsi="Courier New" w:cs="Courier New" w:hint="default"/>
      </w:rPr>
    </w:lvl>
    <w:lvl w:ilvl="2" w:tplc="04130005" w:tentative="1">
      <w:start w:val="1"/>
      <w:numFmt w:val="bullet"/>
      <w:lvlText w:val=""/>
      <w:lvlJc w:val="left"/>
      <w:pPr>
        <w:ind w:left="2084" w:hanging="360"/>
      </w:pPr>
      <w:rPr>
        <w:rFonts w:ascii="Wingdings" w:hAnsi="Wingdings" w:hint="default"/>
      </w:rPr>
    </w:lvl>
    <w:lvl w:ilvl="3" w:tplc="04130001" w:tentative="1">
      <w:start w:val="1"/>
      <w:numFmt w:val="bullet"/>
      <w:lvlText w:val=""/>
      <w:lvlJc w:val="left"/>
      <w:pPr>
        <w:ind w:left="2804" w:hanging="360"/>
      </w:pPr>
      <w:rPr>
        <w:rFonts w:ascii="Symbol" w:hAnsi="Symbol" w:hint="default"/>
      </w:rPr>
    </w:lvl>
    <w:lvl w:ilvl="4" w:tplc="04130003" w:tentative="1">
      <w:start w:val="1"/>
      <w:numFmt w:val="bullet"/>
      <w:lvlText w:val="o"/>
      <w:lvlJc w:val="left"/>
      <w:pPr>
        <w:ind w:left="3524" w:hanging="360"/>
      </w:pPr>
      <w:rPr>
        <w:rFonts w:ascii="Courier New" w:hAnsi="Courier New" w:cs="Courier New" w:hint="default"/>
      </w:rPr>
    </w:lvl>
    <w:lvl w:ilvl="5" w:tplc="04130005" w:tentative="1">
      <w:start w:val="1"/>
      <w:numFmt w:val="bullet"/>
      <w:lvlText w:val=""/>
      <w:lvlJc w:val="left"/>
      <w:pPr>
        <w:ind w:left="4244" w:hanging="360"/>
      </w:pPr>
      <w:rPr>
        <w:rFonts w:ascii="Wingdings" w:hAnsi="Wingdings" w:hint="default"/>
      </w:rPr>
    </w:lvl>
    <w:lvl w:ilvl="6" w:tplc="04130001" w:tentative="1">
      <w:start w:val="1"/>
      <w:numFmt w:val="bullet"/>
      <w:lvlText w:val=""/>
      <w:lvlJc w:val="left"/>
      <w:pPr>
        <w:ind w:left="4964" w:hanging="360"/>
      </w:pPr>
      <w:rPr>
        <w:rFonts w:ascii="Symbol" w:hAnsi="Symbol" w:hint="default"/>
      </w:rPr>
    </w:lvl>
    <w:lvl w:ilvl="7" w:tplc="04130003" w:tentative="1">
      <w:start w:val="1"/>
      <w:numFmt w:val="bullet"/>
      <w:lvlText w:val="o"/>
      <w:lvlJc w:val="left"/>
      <w:pPr>
        <w:ind w:left="5684" w:hanging="360"/>
      </w:pPr>
      <w:rPr>
        <w:rFonts w:ascii="Courier New" w:hAnsi="Courier New" w:cs="Courier New" w:hint="default"/>
      </w:rPr>
    </w:lvl>
    <w:lvl w:ilvl="8" w:tplc="04130005" w:tentative="1">
      <w:start w:val="1"/>
      <w:numFmt w:val="bullet"/>
      <w:lvlText w:val=""/>
      <w:lvlJc w:val="left"/>
      <w:pPr>
        <w:ind w:left="6404" w:hanging="360"/>
      </w:pPr>
      <w:rPr>
        <w:rFonts w:ascii="Wingdings" w:hAnsi="Wingdings" w:hint="default"/>
      </w:rPr>
    </w:lvl>
  </w:abstractNum>
  <w:abstractNum w:abstractNumId="23" w15:restartNumberingAfterBreak="0">
    <w:nsid w:val="4EA00410"/>
    <w:multiLevelType w:val="hybridMultilevel"/>
    <w:tmpl w:val="C72C7736"/>
    <w:lvl w:ilvl="0" w:tplc="C6D0CDF4">
      <w:start w:val="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50F939B6"/>
    <w:multiLevelType w:val="hybridMultilevel"/>
    <w:tmpl w:val="FA149B58"/>
    <w:lvl w:ilvl="0" w:tplc="F2F40264">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45870C4"/>
    <w:multiLevelType w:val="hybridMultilevel"/>
    <w:tmpl w:val="CAA844A6"/>
    <w:lvl w:ilvl="0" w:tplc="F258A66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566F191F"/>
    <w:multiLevelType w:val="multilevel"/>
    <w:tmpl w:val="CD2ED768"/>
    <w:lvl w:ilvl="0">
      <w:start w:val="3"/>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7" w15:restartNumberingAfterBreak="0">
    <w:nsid w:val="5B7C693A"/>
    <w:multiLevelType w:val="multilevel"/>
    <w:tmpl w:val="40266C4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C55710A"/>
    <w:multiLevelType w:val="hybridMultilevel"/>
    <w:tmpl w:val="75F6DF50"/>
    <w:lvl w:ilvl="0" w:tplc="12A6A828">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637138E3"/>
    <w:multiLevelType w:val="hybridMultilevel"/>
    <w:tmpl w:val="6DC23102"/>
    <w:lvl w:ilvl="0" w:tplc="4944491E">
      <w:start w:val="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6C9616B9"/>
    <w:multiLevelType w:val="hybridMultilevel"/>
    <w:tmpl w:val="86AABEE6"/>
    <w:lvl w:ilvl="0" w:tplc="F3688AE2">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EB678E2"/>
    <w:multiLevelType w:val="hybridMultilevel"/>
    <w:tmpl w:val="38DA8D96"/>
    <w:lvl w:ilvl="0" w:tplc="8BB63596">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70E97695"/>
    <w:multiLevelType w:val="hybridMultilevel"/>
    <w:tmpl w:val="284A297C"/>
    <w:lvl w:ilvl="0" w:tplc="2E76BA92">
      <w:start w:val="6"/>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tentative="1">
      <w:start w:val="1"/>
      <w:numFmt w:val="bullet"/>
      <w:lvlText w:val=""/>
      <w:lvlJc w:val="left"/>
      <w:pPr>
        <w:ind w:left="2880" w:hanging="360"/>
      </w:pPr>
      <w:rPr>
        <w:rFonts w:ascii="Symbol" w:hAnsi="Symbol" w:cs="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cs="Wingdings" w:hint="default"/>
      </w:rPr>
    </w:lvl>
    <w:lvl w:ilvl="6" w:tplc="04130001" w:tentative="1">
      <w:start w:val="1"/>
      <w:numFmt w:val="bullet"/>
      <w:lvlText w:val=""/>
      <w:lvlJc w:val="left"/>
      <w:pPr>
        <w:ind w:left="5040" w:hanging="360"/>
      </w:pPr>
      <w:rPr>
        <w:rFonts w:ascii="Symbol" w:hAnsi="Symbol" w:cs="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cs="Wingdings" w:hint="default"/>
      </w:rPr>
    </w:lvl>
  </w:abstractNum>
  <w:abstractNum w:abstractNumId="33" w15:restartNumberingAfterBreak="0">
    <w:nsid w:val="726F4B6E"/>
    <w:multiLevelType w:val="hybridMultilevel"/>
    <w:tmpl w:val="DF4AA256"/>
    <w:lvl w:ilvl="0" w:tplc="4A702200">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95A56F2"/>
    <w:multiLevelType w:val="hybridMultilevel"/>
    <w:tmpl w:val="020260C6"/>
    <w:lvl w:ilvl="0" w:tplc="014C0B0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904556249">
    <w:abstractNumId w:val="32"/>
  </w:num>
  <w:num w:numId="2" w16cid:durableId="568921490">
    <w:abstractNumId w:val="16"/>
  </w:num>
  <w:num w:numId="3" w16cid:durableId="60639210">
    <w:abstractNumId w:val="10"/>
  </w:num>
  <w:num w:numId="4" w16cid:durableId="458839009">
    <w:abstractNumId w:val="34"/>
  </w:num>
  <w:num w:numId="5" w16cid:durableId="1337996258">
    <w:abstractNumId w:val="13"/>
  </w:num>
  <w:num w:numId="6" w16cid:durableId="178353425">
    <w:abstractNumId w:val="3"/>
  </w:num>
  <w:num w:numId="7" w16cid:durableId="1923176925">
    <w:abstractNumId w:val="30"/>
  </w:num>
  <w:num w:numId="8" w16cid:durableId="411246287">
    <w:abstractNumId w:val="18"/>
  </w:num>
  <w:num w:numId="9" w16cid:durableId="1919250098">
    <w:abstractNumId w:val="22"/>
  </w:num>
  <w:num w:numId="10" w16cid:durableId="436485755">
    <w:abstractNumId w:val="25"/>
  </w:num>
  <w:num w:numId="11" w16cid:durableId="470446441">
    <w:abstractNumId w:val="1"/>
  </w:num>
  <w:num w:numId="12" w16cid:durableId="647054930">
    <w:abstractNumId w:val="5"/>
  </w:num>
  <w:num w:numId="13" w16cid:durableId="781270029">
    <w:abstractNumId w:val="14"/>
  </w:num>
  <w:num w:numId="14" w16cid:durableId="819079629">
    <w:abstractNumId w:val="0"/>
  </w:num>
  <w:num w:numId="15" w16cid:durableId="729305024">
    <w:abstractNumId w:val="17"/>
  </w:num>
  <w:num w:numId="16" w16cid:durableId="1775133638">
    <w:abstractNumId w:val="21"/>
  </w:num>
  <w:num w:numId="17" w16cid:durableId="503207472">
    <w:abstractNumId w:val="6"/>
  </w:num>
  <w:num w:numId="18" w16cid:durableId="1020353093">
    <w:abstractNumId w:val="33"/>
  </w:num>
  <w:num w:numId="19" w16cid:durableId="1130592684">
    <w:abstractNumId w:val="24"/>
  </w:num>
  <w:num w:numId="20" w16cid:durableId="1416785901">
    <w:abstractNumId w:val="31"/>
  </w:num>
  <w:num w:numId="21" w16cid:durableId="465202998">
    <w:abstractNumId w:val="28"/>
  </w:num>
  <w:num w:numId="22" w16cid:durableId="1165173127">
    <w:abstractNumId w:val="9"/>
  </w:num>
  <w:num w:numId="23" w16cid:durableId="879246459">
    <w:abstractNumId w:val="11"/>
  </w:num>
  <w:num w:numId="24" w16cid:durableId="107627894">
    <w:abstractNumId w:val="20"/>
  </w:num>
  <w:num w:numId="25" w16cid:durableId="1472404892">
    <w:abstractNumId w:val="15"/>
  </w:num>
  <w:num w:numId="26" w16cid:durableId="459346316">
    <w:abstractNumId w:val="26"/>
  </w:num>
  <w:num w:numId="27" w16cid:durableId="1572347201">
    <w:abstractNumId w:val="27"/>
  </w:num>
  <w:num w:numId="28" w16cid:durableId="332531204">
    <w:abstractNumId w:val="19"/>
  </w:num>
  <w:num w:numId="29" w16cid:durableId="1218934271">
    <w:abstractNumId w:val="2"/>
  </w:num>
  <w:num w:numId="30" w16cid:durableId="476191677">
    <w:abstractNumId w:val="29"/>
  </w:num>
  <w:num w:numId="31" w16cid:durableId="1780442549">
    <w:abstractNumId w:val="7"/>
  </w:num>
  <w:num w:numId="32" w16cid:durableId="1688749375">
    <w:abstractNumId w:val="12"/>
  </w:num>
  <w:num w:numId="33" w16cid:durableId="1806238532">
    <w:abstractNumId w:val="8"/>
  </w:num>
  <w:num w:numId="34" w16cid:durableId="2075622818">
    <w:abstractNumId w:val="4"/>
  </w:num>
  <w:num w:numId="35" w16cid:durableId="14760241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94F4E"/>
    <w:rsid w:val="00001D36"/>
    <w:rsid w:val="00003EB2"/>
    <w:rsid w:val="00004902"/>
    <w:rsid w:val="00006D73"/>
    <w:rsid w:val="00010FAE"/>
    <w:rsid w:val="00012285"/>
    <w:rsid w:val="00012E76"/>
    <w:rsid w:val="00013CB9"/>
    <w:rsid w:val="00015C4A"/>
    <w:rsid w:val="00015CC0"/>
    <w:rsid w:val="00016CFC"/>
    <w:rsid w:val="00017586"/>
    <w:rsid w:val="000205C9"/>
    <w:rsid w:val="000217E8"/>
    <w:rsid w:val="00021985"/>
    <w:rsid w:val="00022553"/>
    <w:rsid w:val="00023D2C"/>
    <w:rsid w:val="00026571"/>
    <w:rsid w:val="00030D28"/>
    <w:rsid w:val="0003443C"/>
    <w:rsid w:val="000367AB"/>
    <w:rsid w:val="000423E6"/>
    <w:rsid w:val="000477B1"/>
    <w:rsid w:val="0005011C"/>
    <w:rsid w:val="000532AD"/>
    <w:rsid w:val="00054951"/>
    <w:rsid w:val="00054ABA"/>
    <w:rsid w:val="000550D1"/>
    <w:rsid w:val="000624D5"/>
    <w:rsid w:val="00063063"/>
    <w:rsid w:val="00063DFB"/>
    <w:rsid w:val="00065BA8"/>
    <w:rsid w:val="000809A6"/>
    <w:rsid w:val="000815A2"/>
    <w:rsid w:val="00081629"/>
    <w:rsid w:val="000843DD"/>
    <w:rsid w:val="00087665"/>
    <w:rsid w:val="00090C46"/>
    <w:rsid w:val="00090C6F"/>
    <w:rsid w:val="00090E40"/>
    <w:rsid w:val="00091A62"/>
    <w:rsid w:val="00092682"/>
    <w:rsid w:val="000963E8"/>
    <w:rsid w:val="00096C97"/>
    <w:rsid w:val="000A058E"/>
    <w:rsid w:val="000A360C"/>
    <w:rsid w:val="000A5D59"/>
    <w:rsid w:val="000A6205"/>
    <w:rsid w:val="000A6872"/>
    <w:rsid w:val="000A6F50"/>
    <w:rsid w:val="000B1B90"/>
    <w:rsid w:val="000B1E3A"/>
    <w:rsid w:val="000B26FC"/>
    <w:rsid w:val="000B338F"/>
    <w:rsid w:val="000B6550"/>
    <w:rsid w:val="000B65C0"/>
    <w:rsid w:val="000B7009"/>
    <w:rsid w:val="000B718A"/>
    <w:rsid w:val="000B7474"/>
    <w:rsid w:val="000C0B67"/>
    <w:rsid w:val="000C3247"/>
    <w:rsid w:val="000C4173"/>
    <w:rsid w:val="000C5AB3"/>
    <w:rsid w:val="000D2551"/>
    <w:rsid w:val="000D323C"/>
    <w:rsid w:val="000D4305"/>
    <w:rsid w:val="000D45CF"/>
    <w:rsid w:val="000D53BE"/>
    <w:rsid w:val="000D5506"/>
    <w:rsid w:val="000D5C9C"/>
    <w:rsid w:val="000E0009"/>
    <w:rsid w:val="000E00A3"/>
    <w:rsid w:val="000E1BA3"/>
    <w:rsid w:val="000E36D8"/>
    <w:rsid w:val="000E3DCF"/>
    <w:rsid w:val="000F1459"/>
    <w:rsid w:val="000F2189"/>
    <w:rsid w:val="000F25D4"/>
    <w:rsid w:val="000F2738"/>
    <w:rsid w:val="000F3FC4"/>
    <w:rsid w:val="000F62A6"/>
    <w:rsid w:val="000F6A0F"/>
    <w:rsid w:val="000F6BAE"/>
    <w:rsid w:val="000F6D5B"/>
    <w:rsid w:val="000F7266"/>
    <w:rsid w:val="000F73B5"/>
    <w:rsid w:val="00102DFF"/>
    <w:rsid w:val="001049C8"/>
    <w:rsid w:val="00106DAB"/>
    <w:rsid w:val="001104DB"/>
    <w:rsid w:val="0011131A"/>
    <w:rsid w:val="00113E02"/>
    <w:rsid w:val="0011457E"/>
    <w:rsid w:val="0011507C"/>
    <w:rsid w:val="00115B64"/>
    <w:rsid w:val="00116D8E"/>
    <w:rsid w:val="00117120"/>
    <w:rsid w:val="00122E4E"/>
    <w:rsid w:val="001240E6"/>
    <w:rsid w:val="001250C7"/>
    <w:rsid w:val="001268BC"/>
    <w:rsid w:val="00127B90"/>
    <w:rsid w:val="00127E9E"/>
    <w:rsid w:val="0013028C"/>
    <w:rsid w:val="00130E64"/>
    <w:rsid w:val="001327C3"/>
    <w:rsid w:val="00132B25"/>
    <w:rsid w:val="00136934"/>
    <w:rsid w:val="00137BF7"/>
    <w:rsid w:val="001476B9"/>
    <w:rsid w:val="00147CE2"/>
    <w:rsid w:val="00152134"/>
    <w:rsid w:val="00152AF4"/>
    <w:rsid w:val="001546B0"/>
    <w:rsid w:val="001563A2"/>
    <w:rsid w:val="001575AD"/>
    <w:rsid w:val="00157734"/>
    <w:rsid w:val="00157FBC"/>
    <w:rsid w:val="001610A3"/>
    <w:rsid w:val="00161533"/>
    <w:rsid w:val="001628C0"/>
    <w:rsid w:val="00164A83"/>
    <w:rsid w:val="001650FB"/>
    <w:rsid w:val="00166E6F"/>
    <w:rsid w:val="00167267"/>
    <w:rsid w:val="0016728D"/>
    <w:rsid w:val="00172DB4"/>
    <w:rsid w:val="00173B57"/>
    <w:rsid w:val="00180137"/>
    <w:rsid w:val="00182E0B"/>
    <w:rsid w:val="001837CF"/>
    <w:rsid w:val="00184BDE"/>
    <w:rsid w:val="0018664D"/>
    <w:rsid w:val="00186BA3"/>
    <w:rsid w:val="00186D90"/>
    <w:rsid w:val="00187B88"/>
    <w:rsid w:val="00187BF4"/>
    <w:rsid w:val="00194F4E"/>
    <w:rsid w:val="001966CE"/>
    <w:rsid w:val="001A0D71"/>
    <w:rsid w:val="001A23E8"/>
    <w:rsid w:val="001A3EEE"/>
    <w:rsid w:val="001A48EC"/>
    <w:rsid w:val="001A4EF4"/>
    <w:rsid w:val="001A625F"/>
    <w:rsid w:val="001A6C10"/>
    <w:rsid w:val="001B03B5"/>
    <w:rsid w:val="001B4CB6"/>
    <w:rsid w:val="001B527D"/>
    <w:rsid w:val="001B52AA"/>
    <w:rsid w:val="001B61E4"/>
    <w:rsid w:val="001B6602"/>
    <w:rsid w:val="001B69C5"/>
    <w:rsid w:val="001C29CB"/>
    <w:rsid w:val="001C420A"/>
    <w:rsid w:val="001C61FD"/>
    <w:rsid w:val="001C6516"/>
    <w:rsid w:val="001C70F4"/>
    <w:rsid w:val="001C72A7"/>
    <w:rsid w:val="001D1CD9"/>
    <w:rsid w:val="001D2BD2"/>
    <w:rsid w:val="001D348E"/>
    <w:rsid w:val="001D4962"/>
    <w:rsid w:val="001D4D06"/>
    <w:rsid w:val="001D5645"/>
    <w:rsid w:val="001D5F97"/>
    <w:rsid w:val="001D6269"/>
    <w:rsid w:val="001D63D1"/>
    <w:rsid w:val="001D64DA"/>
    <w:rsid w:val="001E1881"/>
    <w:rsid w:val="001E5811"/>
    <w:rsid w:val="001E7247"/>
    <w:rsid w:val="001F0265"/>
    <w:rsid w:val="001F3540"/>
    <w:rsid w:val="001F366B"/>
    <w:rsid w:val="001F3CE0"/>
    <w:rsid w:val="001F7760"/>
    <w:rsid w:val="001F798D"/>
    <w:rsid w:val="002020F7"/>
    <w:rsid w:val="00202CE2"/>
    <w:rsid w:val="00203692"/>
    <w:rsid w:val="0020544B"/>
    <w:rsid w:val="00206BF0"/>
    <w:rsid w:val="0020750E"/>
    <w:rsid w:val="00213C24"/>
    <w:rsid w:val="00217C36"/>
    <w:rsid w:val="00220235"/>
    <w:rsid w:val="00221548"/>
    <w:rsid w:val="00221938"/>
    <w:rsid w:val="00223D30"/>
    <w:rsid w:val="00224650"/>
    <w:rsid w:val="00225B03"/>
    <w:rsid w:val="00227259"/>
    <w:rsid w:val="002272EE"/>
    <w:rsid w:val="00230B0C"/>
    <w:rsid w:val="00233679"/>
    <w:rsid w:val="002355A7"/>
    <w:rsid w:val="00235D3E"/>
    <w:rsid w:val="00237073"/>
    <w:rsid w:val="002371BE"/>
    <w:rsid w:val="00242F5D"/>
    <w:rsid w:val="0024332F"/>
    <w:rsid w:val="00243554"/>
    <w:rsid w:val="0024662C"/>
    <w:rsid w:val="0024789A"/>
    <w:rsid w:val="002514B9"/>
    <w:rsid w:val="00251967"/>
    <w:rsid w:val="00251EF0"/>
    <w:rsid w:val="002524A9"/>
    <w:rsid w:val="00255D20"/>
    <w:rsid w:val="002560CB"/>
    <w:rsid w:val="0025628C"/>
    <w:rsid w:val="0026066C"/>
    <w:rsid w:val="00263432"/>
    <w:rsid w:val="00264248"/>
    <w:rsid w:val="00265B4D"/>
    <w:rsid w:val="0026644D"/>
    <w:rsid w:val="0027075B"/>
    <w:rsid w:val="002708C2"/>
    <w:rsid w:val="00271CB0"/>
    <w:rsid w:val="00274169"/>
    <w:rsid w:val="002747BC"/>
    <w:rsid w:val="0027494E"/>
    <w:rsid w:val="00275B73"/>
    <w:rsid w:val="00276132"/>
    <w:rsid w:val="002805FF"/>
    <w:rsid w:val="00286AAA"/>
    <w:rsid w:val="002875C6"/>
    <w:rsid w:val="0028764C"/>
    <w:rsid w:val="00290034"/>
    <w:rsid w:val="002900EC"/>
    <w:rsid w:val="00291D17"/>
    <w:rsid w:val="0029418B"/>
    <w:rsid w:val="00294F46"/>
    <w:rsid w:val="0029524D"/>
    <w:rsid w:val="00295B22"/>
    <w:rsid w:val="002971FE"/>
    <w:rsid w:val="002A1CD2"/>
    <w:rsid w:val="002A1E3C"/>
    <w:rsid w:val="002A719B"/>
    <w:rsid w:val="002B1E40"/>
    <w:rsid w:val="002B2234"/>
    <w:rsid w:val="002B3DFC"/>
    <w:rsid w:val="002B489E"/>
    <w:rsid w:val="002B4BE1"/>
    <w:rsid w:val="002D1A8E"/>
    <w:rsid w:val="002D5145"/>
    <w:rsid w:val="002D6029"/>
    <w:rsid w:val="002D6283"/>
    <w:rsid w:val="002D6EB1"/>
    <w:rsid w:val="002D798A"/>
    <w:rsid w:val="002F002D"/>
    <w:rsid w:val="002F0277"/>
    <w:rsid w:val="002F1E41"/>
    <w:rsid w:val="002F1F5E"/>
    <w:rsid w:val="002F77AA"/>
    <w:rsid w:val="002F7B4D"/>
    <w:rsid w:val="002F7F45"/>
    <w:rsid w:val="003028AF"/>
    <w:rsid w:val="00302DE4"/>
    <w:rsid w:val="00303416"/>
    <w:rsid w:val="003041A3"/>
    <w:rsid w:val="003064D3"/>
    <w:rsid w:val="00307745"/>
    <w:rsid w:val="003131D3"/>
    <w:rsid w:val="0031441F"/>
    <w:rsid w:val="0031493F"/>
    <w:rsid w:val="003166A3"/>
    <w:rsid w:val="00316FC0"/>
    <w:rsid w:val="00317032"/>
    <w:rsid w:val="00320B30"/>
    <w:rsid w:val="00323FE0"/>
    <w:rsid w:val="00330147"/>
    <w:rsid w:val="00330722"/>
    <w:rsid w:val="00332FD8"/>
    <w:rsid w:val="003337B6"/>
    <w:rsid w:val="00333BBC"/>
    <w:rsid w:val="00333CD4"/>
    <w:rsid w:val="00333F6B"/>
    <w:rsid w:val="00336194"/>
    <w:rsid w:val="003409E6"/>
    <w:rsid w:val="003447A4"/>
    <w:rsid w:val="0035036B"/>
    <w:rsid w:val="003509D0"/>
    <w:rsid w:val="00350FE6"/>
    <w:rsid w:val="0035112C"/>
    <w:rsid w:val="003512FE"/>
    <w:rsid w:val="00354B7A"/>
    <w:rsid w:val="003559F5"/>
    <w:rsid w:val="003579BE"/>
    <w:rsid w:val="0036379B"/>
    <w:rsid w:val="00363869"/>
    <w:rsid w:val="00364246"/>
    <w:rsid w:val="003643FA"/>
    <w:rsid w:val="00364DC5"/>
    <w:rsid w:val="00366742"/>
    <w:rsid w:val="00366E8B"/>
    <w:rsid w:val="00367E58"/>
    <w:rsid w:val="00371FDD"/>
    <w:rsid w:val="003724F4"/>
    <w:rsid w:val="00377911"/>
    <w:rsid w:val="00383781"/>
    <w:rsid w:val="003841F5"/>
    <w:rsid w:val="00385096"/>
    <w:rsid w:val="00385B06"/>
    <w:rsid w:val="00386353"/>
    <w:rsid w:val="00386472"/>
    <w:rsid w:val="00391426"/>
    <w:rsid w:val="0039174C"/>
    <w:rsid w:val="00391C38"/>
    <w:rsid w:val="00394501"/>
    <w:rsid w:val="003950B7"/>
    <w:rsid w:val="003968C2"/>
    <w:rsid w:val="00397723"/>
    <w:rsid w:val="003A1B93"/>
    <w:rsid w:val="003A2590"/>
    <w:rsid w:val="003A367F"/>
    <w:rsid w:val="003A56C4"/>
    <w:rsid w:val="003A5986"/>
    <w:rsid w:val="003B3EAC"/>
    <w:rsid w:val="003B7221"/>
    <w:rsid w:val="003B7628"/>
    <w:rsid w:val="003C18D5"/>
    <w:rsid w:val="003C261F"/>
    <w:rsid w:val="003C28BA"/>
    <w:rsid w:val="003C43F9"/>
    <w:rsid w:val="003C44AE"/>
    <w:rsid w:val="003C55C2"/>
    <w:rsid w:val="003C6155"/>
    <w:rsid w:val="003C6B9A"/>
    <w:rsid w:val="003C7D1C"/>
    <w:rsid w:val="003D1DFA"/>
    <w:rsid w:val="003D6327"/>
    <w:rsid w:val="003E3A4E"/>
    <w:rsid w:val="003E7567"/>
    <w:rsid w:val="003F01E1"/>
    <w:rsid w:val="003F027D"/>
    <w:rsid w:val="003F0A27"/>
    <w:rsid w:val="003F0C25"/>
    <w:rsid w:val="004015AA"/>
    <w:rsid w:val="00402E02"/>
    <w:rsid w:val="00402FD5"/>
    <w:rsid w:val="00411357"/>
    <w:rsid w:val="004121DD"/>
    <w:rsid w:val="00412818"/>
    <w:rsid w:val="00412BA4"/>
    <w:rsid w:val="0041344B"/>
    <w:rsid w:val="00416D3F"/>
    <w:rsid w:val="00417725"/>
    <w:rsid w:val="00420B3C"/>
    <w:rsid w:val="00423050"/>
    <w:rsid w:val="00424593"/>
    <w:rsid w:val="004245CD"/>
    <w:rsid w:val="00424C64"/>
    <w:rsid w:val="004300E2"/>
    <w:rsid w:val="0043024C"/>
    <w:rsid w:val="00431653"/>
    <w:rsid w:val="00431AFC"/>
    <w:rsid w:val="0043653C"/>
    <w:rsid w:val="00436B3A"/>
    <w:rsid w:val="00437D14"/>
    <w:rsid w:val="0044037C"/>
    <w:rsid w:val="00442832"/>
    <w:rsid w:val="00446A0C"/>
    <w:rsid w:val="00447781"/>
    <w:rsid w:val="00447842"/>
    <w:rsid w:val="004501B6"/>
    <w:rsid w:val="00451740"/>
    <w:rsid w:val="00453643"/>
    <w:rsid w:val="004536AD"/>
    <w:rsid w:val="00453E08"/>
    <w:rsid w:val="00455823"/>
    <w:rsid w:val="00457D60"/>
    <w:rsid w:val="00463EFA"/>
    <w:rsid w:val="00467BE4"/>
    <w:rsid w:val="004708B2"/>
    <w:rsid w:val="00474124"/>
    <w:rsid w:val="00476C8F"/>
    <w:rsid w:val="00482098"/>
    <w:rsid w:val="00482A80"/>
    <w:rsid w:val="00483415"/>
    <w:rsid w:val="00490184"/>
    <w:rsid w:val="004909BE"/>
    <w:rsid w:val="004934EA"/>
    <w:rsid w:val="004945E3"/>
    <w:rsid w:val="0049647D"/>
    <w:rsid w:val="00497B20"/>
    <w:rsid w:val="004A378C"/>
    <w:rsid w:val="004A661D"/>
    <w:rsid w:val="004A6ADE"/>
    <w:rsid w:val="004B075E"/>
    <w:rsid w:val="004B346A"/>
    <w:rsid w:val="004B403C"/>
    <w:rsid w:val="004C01D9"/>
    <w:rsid w:val="004C03E1"/>
    <w:rsid w:val="004C2F55"/>
    <w:rsid w:val="004C39C2"/>
    <w:rsid w:val="004C51A0"/>
    <w:rsid w:val="004C52E6"/>
    <w:rsid w:val="004D02EC"/>
    <w:rsid w:val="004D1D05"/>
    <w:rsid w:val="004D2A45"/>
    <w:rsid w:val="004D3F61"/>
    <w:rsid w:val="004D43D9"/>
    <w:rsid w:val="004D6D2B"/>
    <w:rsid w:val="004D6E04"/>
    <w:rsid w:val="004E0261"/>
    <w:rsid w:val="004E1753"/>
    <w:rsid w:val="004E25CF"/>
    <w:rsid w:val="004E2E2A"/>
    <w:rsid w:val="004E3140"/>
    <w:rsid w:val="004E42A5"/>
    <w:rsid w:val="004F02CA"/>
    <w:rsid w:val="004F0508"/>
    <w:rsid w:val="004F1CA6"/>
    <w:rsid w:val="004F387C"/>
    <w:rsid w:val="004F4135"/>
    <w:rsid w:val="004F5F76"/>
    <w:rsid w:val="004F642B"/>
    <w:rsid w:val="005056E5"/>
    <w:rsid w:val="00507837"/>
    <w:rsid w:val="00510184"/>
    <w:rsid w:val="00511154"/>
    <w:rsid w:val="00512352"/>
    <w:rsid w:val="00513277"/>
    <w:rsid w:val="00513D74"/>
    <w:rsid w:val="00516026"/>
    <w:rsid w:val="005163A5"/>
    <w:rsid w:val="005168E0"/>
    <w:rsid w:val="00521234"/>
    <w:rsid w:val="0052259C"/>
    <w:rsid w:val="00523239"/>
    <w:rsid w:val="00526251"/>
    <w:rsid w:val="00526E23"/>
    <w:rsid w:val="00527609"/>
    <w:rsid w:val="00527A80"/>
    <w:rsid w:val="0053181B"/>
    <w:rsid w:val="005335AD"/>
    <w:rsid w:val="005339C5"/>
    <w:rsid w:val="00534244"/>
    <w:rsid w:val="00534A60"/>
    <w:rsid w:val="00534F98"/>
    <w:rsid w:val="005359EE"/>
    <w:rsid w:val="00536AAC"/>
    <w:rsid w:val="005372B5"/>
    <w:rsid w:val="005405E7"/>
    <w:rsid w:val="00542563"/>
    <w:rsid w:val="00542696"/>
    <w:rsid w:val="005439E3"/>
    <w:rsid w:val="0054480E"/>
    <w:rsid w:val="005472DC"/>
    <w:rsid w:val="005522AE"/>
    <w:rsid w:val="00552745"/>
    <w:rsid w:val="00552ABC"/>
    <w:rsid w:val="00553713"/>
    <w:rsid w:val="0055476F"/>
    <w:rsid w:val="00560495"/>
    <w:rsid w:val="00560E08"/>
    <w:rsid w:val="00563627"/>
    <w:rsid w:val="00563E3B"/>
    <w:rsid w:val="0056486D"/>
    <w:rsid w:val="005661E0"/>
    <w:rsid w:val="005707AB"/>
    <w:rsid w:val="00572046"/>
    <w:rsid w:val="00573518"/>
    <w:rsid w:val="00573B57"/>
    <w:rsid w:val="00577EAC"/>
    <w:rsid w:val="00580758"/>
    <w:rsid w:val="00580A89"/>
    <w:rsid w:val="00580E8A"/>
    <w:rsid w:val="0058134D"/>
    <w:rsid w:val="0058182B"/>
    <w:rsid w:val="005849C8"/>
    <w:rsid w:val="005879DB"/>
    <w:rsid w:val="005917E4"/>
    <w:rsid w:val="0059376E"/>
    <w:rsid w:val="005938F5"/>
    <w:rsid w:val="00594602"/>
    <w:rsid w:val="0059552A"/>
    <w:rsid w:val="00596461"/>
    <w:rsid w:val="00597625"/>
    <w:rsid w:val="005A018C"/>
    <w:rsid w:val="005A1433"/>
    <w:rsid w:val="005A3405"/>
    <w:rsid w:val="005A3E24"/>
    <w:rsid w:val="005A4C9B"/>
    <w:rsid w:val="005A7152"/>
    <w:rsid w:val="005A7891"/>
    <w:rsid w:val="005B39D2"/>
    <w:rsid w:val="005B40F9"/>
    <w:rsid w:val="005C312B"/>
    <w:rsid w:val="005C42B5"/>
    <w:rsid w:val="005C4347"/>
    <w:rsid w:val="005C6E90"/>
    <w:rsid w:val="005D148C"/>
    <w:rsid w:val="005D1F4A"/>
    <w:rsid w:val="005D310D"/>
    <w:rsid w:val="005D35E8"/>
    <w:rsid w:val="005D5419"/>
    <w:rsid w:val="005D5DE2"/>
    <w:rsid w:val="005D6103"/>
    <w:rsid w:val="005D61E6"/>
    <w:rsid w:val="005D63C1"/>
    <w:rsid w:val="005D6961"/>
    <w:rsid w:val="005D6FC6"/>
    <w:rsid w:val="005E04E4"/>
    <w:rsid w:val="005E3781"/>
    <w:rsid w:val="005E60F4"/>
    <w:rsid w:val="005E62F2"/>
    <w:rsid w:val="005E7603"/>
    <w:rsid w:val="005E7FA7"/>
    <w:rsid w:val="005F0048"/>
    <w:rsid w:val="005F1302"/>
    <w:rsid w:val="005F27F7"/>
    <w:rsid w:val="005F35CD"/>
    <w:rsid w:val="005F5464"/>
    <w:rsid w:val="0060009F"/>
    <w:rsid w:val="00601821"/>
    <w:rsid w:val="00603F66"/>
    <w:rsid w:val="00605E3A"/>
    <w:rsid w:val="0060623A"/>
    <w:rsid w:val="0060624A"/>
    <w:rsid w:val="00615A63"/>
    <w:rsid w:val="00621657"/>
    <w:rsid w:val="006234B3"/>
    <w:rsid w:val="00626DD7"/>
    <w:rsid w:val="0062783E"/>
    <w:rsid w:val="00630A65"/>
    <w:rsid w:val="00632784"/>
    <w:rsid w:val="006336BD"/>
    <w:rsid w:val="00633E1D"/>
    <w:rsid w:val="00635FD9"/>
    <w:rsid w:val="00636E29"/>
    <w:rsid w:val="0063737C"/>
    <w:rsid w:val="00640EFB"/>
    <w:rsid w:val="00641C7E"/>
    <w:rsid w:val="0064380B"/>
    <w:rsid w:val="00643E02"/>
    <w:rsid w:val="006453CB"/>
    <w:rsid w:val="00646030"/>
    <w:rsid w:val="00646579"/>
    <w:rsid w:val="006472DD"/>
    <w:rsid w:val="00651E90"/>
    <w:rsid w:val="00652752"/>
    <w:rsid w:val="00653259"/>
    <w:rsid w:val="0065395F"/>
    <w:rsid w:val="006540E6"/>
    <w:rsid w:val="00655465"/>
    <w:rsid w:val="006554D6"/>
    <w:rsid w:val="00655EDA"/>
    <w:rsid w:val="00657E9E"/>
    <w:rsid w:val="00662B99"/>
    <w:rsid w:val="006655CB"/>
    <w:rsid w:val="006656B4"/>
    <w:rsid w:val="00665726"/>
    <w:rsid w:val="00665F0D"/>
    <w:rsid w:val="00667017"/>
    <w:rsid w:val="00670805"/>
    <w:rsid w:val="0067085E"/>
    <w:rsid w:val="006732B9"/>
    <w:rsid w:val="006746CC"/>
    <w:rsid w:val="006747F2"/>
    <w:rsid w:val="00674A79"/>
    <w:rsid w:val="006756AA"/>
    <w:rsid w:val="00677FFA"/>
    <w:rsid w:val="00681383"/>
    <w:rsid w:val="0068466F"/>
    <w:rsid w:val="006870D0"/>
    <w:rsid w:val="0068796A"/>
    <w:rsid w:val="00690BED"/>
    <w:rsid w:val="0069114B"/>
    <w:rsid w:val="0069287B"/>
    <w:rsid w:val="00692E61"/>
    <w:rsid w:val="00693553"/>
    <w:rsid w:val="00693803"/>
    <w:rsid w:val="00694FD7"/>
    <w:rsid w:val="00695396"/>
    <w:rsid w:val="006964DD"/>
    <w:rsid w:val="0069793F"/>
    <w:rsid w:val="006A012E"/>
    <w:rsid w:val="006A08F5"/>
    <w:rsid w:val="006A1CD5"/>
    <w:rsid w:val="006A3768"/>
    <w:rsid w:val="006A3F65"/>
    <w:rsid w:val="006A5CD0"/>
    <w:rsid w:val="006A69BA"/>
    <w:rsid w:val="006B0AA5"/>
    <w:rsid w:val="006B12D1"/>
    <w:rsid w:val="006B252C"/>
    <w:rsid w:val="006B2EFF"/>
    <w:rsid w:val="006B3294"/>
    <w:rsid w:val="006B5965"/>
    <w:rsid w:val="006C1095"/>
    <w:rsid w:val="006C1EE7"/>
    <w:rsid w:val="006C247E"/>
    <w:rsid w:val="006C5FD6"/>
    <w:rsid w:val="006C6F8F"/>
    <w:rsid w:val="006C79C7"/>
    <w:rsid w:val="006D2180"/>
    <w:rsid w:val="006D2856"/>
    <w:rsid w:val="006D536B"/>
    <w:rsid w:val="006D7745"/>
    <w:rsid w:val="006D7A2B"/>
    <w:rsid w:val="006E09C8"/>
    <w:rsid w:val="006E16A5"/>
    <w:rsid w:val="006E25F7"/>
    <w:rsid w:val="006E3BAE"/>
    <w:rsid w:val="006E4844"/>
    <w:rsid w:val="006E4C53"/>
    <w:rsid w:val="006F0763"/>
    <w:rsid w:val="006F14C2"/>
    <w:rsid w:val="006F2E84"/>
    <w:rsid w:val="006F3016"/>
    <w:rsid w:val="006F345B"/>
    <w:rsid w:val="006F63DA"/>
    <w:rsid w:val="006F7B61"/>
    <w:rsid w:val="0070272B"/>
    <w:rsid w:val="00704EAE"/>
    <w:rsid w:val="00704F9C"/>
    <w:rsid w:val="007059C5"/>
    <w:rsid w:val="00706EBD"/>
    <w:rsid w:val="007071A5"/>
    <w:rsid w:val="007079E2"/>
    <w:rsid w:val="00707ECB"/>
    <w:rsid w:val="00711DD0"/>
    <w:rsid w:val="00714EAF"/>
    <w:rsid w:val="00716CC0"/>
    <w:rsid w:val="007176C0"/>
    <w:rsid w:val="00717BC5"/>
    <w:rsid w:val="007210BE"/>
    <w:rsid w:val="00721571"/>
    <w:rsid w:val="00722883"/>
    <w:rsid w:val="00722E2B"/>
    <w:rsid w:val="00724824"/>
    <w:rsid w:val="00724B9D"/>
    <w:rsid w:val="00724EAD"/>
    <w:rsid w:val="007275B5"/>
    <w:rsid w:val="00730935"/>
    <w:rsid w:val="00732B4F"/>
    <w:rsid w:val="00736C20"/>
    <w:rsid w:val="00740881"/>
    <w:rsid w:val="007452E6"/>
    <w:rsid w:val="007462F4"/>
    <w:rsid w:val="007507E8"/>
    <w:rsid w:val="00750D54"/>
    <w:rsid w:val="0075208B"/>
    <w:rsid w:val="0075347B"/>
    <w:rsid w:val="007536E6"/>
    <w:rsid w:val="00753CC5"/>
    <w:rsid w:val="007613AF"/>
    <w:rsid w:val="007613D9"/>
    <w:rsid w:val="00762EEA"/>
    <w:rsid w:val="00763771"/>
    <w:rsid w:val="007637F3"/>
    <w:rsid w:val="007647A1"/>
    <w:rsid w:val="0076482B"/>
    <w:rsid w:val="007656C6"/>
    <w:rsid w:val="00767A70"/>
    <w:rsid w:val="00771215"/>
    <w:rsid w:val="00772873"/>
    <w:rsid w:val="00773F87"/>
    <w:rsid w:val="00775AE7"/>
    <w:rsid w:val="00775B3A"/>
    <w:rsid w:val="00781A4A"/>
    <w:rsid w:val="00783CB3"/>
    <w:rsid w:val="0078499E"/>
    <w:rsid w:val="00784DEB"/>
    <w:rsid w:val="00792C09"/>
    <w:rsid w:val="00793681"/>
    <w:rsid w:val="00793A9F"/>
    <w:rsid w:val="007958ED"/>
    <w:rsid w:val="00795A69"/>
    <w:rsid w:val="0079707E"/>
    <w:rsid w:val="007973B3"/>
    <w:rsid w:val="007A1F09"/>
    <w:rsid w:val="007A2B5D"/>
    <w:rsid w:val="007A39CC"/>
    <w:rsid w:val="007A6531"/>
    <w:rsid w:val="007A6CCE"/>
    <w:rsid w:val="007A730C"/>
    <w:rsid w:val="007A7CB1"/>
    <w:rsid w:val="007B1857"/>
    <w:rsid w:val="007B227C"/>
    <w:rsid w:val="007B2648"/>
    <w:rsid w:val="007B4839"/>
    <w:rsid w:val="007B5F48"/>
    <w:rsid w:val="007B6FCB"/>
    <w:rsid w:val="007B787E"/>
    <w:rsid w:val="007B7E09"/>
    <w:rsid w:val="007C040A"/>
    <w:rsid w:val="007C12DD"/>
    <w:rsid w:val="007C2464"/>
    <w:rsid w:val="007C3975"/>
    <w:rsid w:val="007C72DF"/>
    <w:rsid w:val="007C792B"/>
    <w:rsid w:val="007C7D5F"/>
    <w:rsid w:val="007D03CA"/>
    <w:rsid w:val="007D17A7"/>
    <w:rsid w:val="007D4116"/>
    <w:rsid w:val="007D5ACB"/>
    <w:rsid w:val="007D5C7D"/>
    <w:rsid w:val="007D747D"/>
    <w:rsid w:val="007D7710"/>
    <w:rsid w:val="007E0189"/>
    <w:rsid w:val="007E56C3"/>
    <w:rsid w:val="007E6F58"/>
    <w:rsid w:val="007E7B1D"/>
    <w:rsid w:val="007E7ED7"/>
    <w:rsid w:val="007F0173"/>
    <w:rsid w:val="007F3D4C"/>
    <w:rsid w:val="007F4606"/>
    <w:rsid w:val="007F5EEC"/>
    <w:rsid w:val="007F76D9"/>
    <w:rsid w:val="007F7844"/>
    <w:rsid w:val="008005B9"/>
    <w:rsid w:val="00801C63"/>
    <w:rsid w:val="008040DD"/>
    <w:rsid w:val="0081123E"/>
    <w:rsid w:val="00813483"/>
    <w:rsid w:val="00813B5C"/>
    <w:rsid w:val="008156EC"/>
    <w:rsid w:val="0082076D"/>
    <w:rsid w:val="0082351F"/>
    <w:rsid w:val="00823F63"/>
    <w:rsid w:val="00824C96"/>
    <w:rsid w:val="008256EC"/>
    <w:rsid w:val="00826425"/>
    <w:rsid w:val="00831D30"/>
    <w:rsid w:val="00832DD0"/>
    <w:rsid w:val="008351DF"/>
    <w:rsid w:val="00836413"/>
    <w:rsid w:val="00836ED5"/>
    <w:rsid w:val="008371DF"/>
    <w:rsid w:val="00843661"/>
    <w:rsid w:val="00843E6A"/>
    <w:rsid w:val="00845946"/>
    <w:rsid w:val="008459C3"/>
    <w:rsid w:val="008463ED"/>
    <w:rsid w:val="00850735"/>
    <w:rsid w:val="0085557F"/>
    <w:rsid w:val="00855EE9"/>
    <w:rsid w:val="00857310"/>
    <w:rsid w:val="008578F6"/>
    <w:rsid w:val="00861F97"/>
    <w:rsid w:val="00862AED"/>
    <w:rsid w:val="00866E06"/>
    <w:rsid w:val="00867BF7"/>
    <w:rsid w:val="00870A7E"/>
    <w:rsid w:val="0087140D"/>
    <w:rsid w:val="00871CF2"/>
    <w:rsid w:val="008736CC"/>
    <w:rsid w:val="0087600B"/>
    <w:rsid w:val="00877431"/>
    <w:rsid w:val="00877518"/>
    <w:rsid w:val="00883141"/>
    <w:rsid w:val="008857CF"/>
    <w:rsid w:val="00886780"/>
    <w:rsid w:val="00887A88"/>
    <w:rsid w:val="008911B5"/>
    <w:rsid w:val="00891263"/>
    <w:rsid w:val="00893F39"/>
    <w:rsid w:val="0089432F"/>
    <w:rsid w:val="008948AC"/>
    <w:rsid w:val="00894FE0"/>
    <w:rsid w:val="00895323"/>
    <w:rsid w:val="00896DF6"/>
    <w:rsid w:val="0089706C"/>
    <w:rsid w:val="008A1591"/>
    <w:rsid w:val="008A285D"/>
    <w:rsid w:val="008A2869"/>
    <w:rsid w:val="008A6BA2"/>
    <w:rsid w:val="008A7140"/>
    <w:rsid w:val="008A7506"/>
    <w:rsid w:val="008B03BE"/>
    <w:rsid w:val="008B0DBC"/>
    <w:rsid w:val="008B1509"/>
    <w:rsid w:val="008B2A08"/>
    <w:rsid w:val="008B2C10"/>
    <w:rsid w:val="008B2DC7"/>
    <w:rsid w:val="008B486E"/>
    <w:rsid w:val="008B533D"/>
    <w:rsid w:val="008B59A5"/>
    <w:rsid w:val="008B65AE"/>
    <w:rsid w:val="008B6F8F"/>
    <w:rsid w:val="008C110C"/>
    <w:rsid w:val="008C3B8C"/>
    <w:rsid w:val="008C4B63"/>
    <w:rsid w:val="008C56E4"/>
    <w:rsid w:val="008C6F1A"/>
    <w:rsid w:val="008C7750"/>
    <w:rsid w:val="008D082B"/>
    <w:rsid w:val="008D293B"/>
    <w:rsid w:val="008D795C"/>
    <w:rsid w:val="008D7B8E"/>
    <w:rsid w:val="008E066B"/>
    <w:rsid w:val="008E0C0A"/>
    <w:rsid w:val="008E1938"/>
    <w:rsid w:val="008E6B7E"/>
    <w:rsid w:val="008F31CF"/>
    <w:rsid w:val="008F45A8"/>
    <w:rsid w:val="008F4701"/>
    <w:rsid w:val="008F6855"/>
    <w:rsid w:val="008F7FA8"/>
    <w:rsid w:val="00900858"/>
    <w:rsid w:val="00900C1A"/>
    <w:rsid w:val="00900DC3"/>
    <w:rsid w:val="009015C2"/>
    <w:rsid w:val="009024E3"/>
    <w:rsid w:val="00903005"/>
    <w:rsid w:val="009037D9"/>
    <w:rsid w:val="009104A7"/>
    <w:rsid w:val="00910A08"/>
    <w:rsid w:val="00910A94"/>
    <w:rsid w:val="009219CB"/>
    <w:rsid w:val="00921CCC"/>
    <w:rsid w:val="009237D6"/>
    <w:rsid w:val="00924A60"/>
    <w:rsid w:val="009300E4"/>
    <w:rsid w:val="00933C00"/>
    <w:rsid w:val="00935F2B"/>
    <w:rsid w:val="00936409"/>
    <w:rsid w:val="00940CFB"/>
    <w:rsid w:val="0094320C"/>
    <w:rsid w:val="00950337"/>
    <w:rsid w:val="00951497"/>
    <w:rsid w:val="0095175F"/>
    <w:rsid w:val="009531F4"/>
    <w:rsid w:val="0095400F"/>
    <w:rsid w:val="00954CCE"/>
    <w:rsid w:val="00957FC3"/>
    <w:rsid w:val="0096049E"/>
    <w:rsid w:val="009605AF"/>
    <w:rsid w:val="009607D5"/>
    <w:rsid w:val="009627DB"/>
    <w:rsid w:val="00964910"/>
    <w:rsid w:val="0096544E"/>
    <w:rsid w:val="00967154"/>
    <w:rsid w:val="00967CB1"/>
    <w:rsid w:val="00971072"/>
    <w:rsid w:val="00971BCD"/>
    <w:rsid w:val="00971D74"/>
    <w:rsid w:val="009737A5"/>
    <w:rsid w:val="00975D34"/>
    <w:rsid w:val="009804AB"/>
    <w:rsid w:val="0098241D"/>
    <w:rsid w:val="00984DB2"/>
    <w:rsid w:val="00986B44"/>
    <w:rsid w:val="0098724F"/>
    <w:rsid w:val="00987AEC"/>
    <w:rsid w:val="00995D0F"/>
    <w:rsid w:val="009966D0"/>
    <w:rsid w:val="00996BF1"/>
    <w:rsid w:val="0099771E"/>
    <w:rsid w:val="009A0579"/>
    <w:rsid w:val="009B018B"/>
    <w:rsid w:val="009B18A0"/>
    <w:rsid w:val="009B71BE"/>
    <w:rsid w:val="009C04EE"/>
    <w:rsid w:val="009C13E9"/>
    <w:rsid w:val="009C19BE"/>
    <w:rsid w:val="009C26CC"/>
    <w:rsid w:val="009C4302"/>
    <w:rsid w:val="009C4F15"/>
    <w:rsid w:val="009C6EAE"/>
    <w:rsid w:val="009D1FAC"/>
    <w:rsid w:val="009D3716"/>
    <w:rsid w:val="009D47BC"/>
    <w:rsid w:val="009D71E8"/>
    <w:rsid w:val="009D7E4E"/>
    <w:rsid w:val="009E12C6"/>
    <w:rsid w:val="009E1537"/>
    <w:rsid w:val="009E2C51"/>
    <w:rsid w:val="009F1614"/>
    <w:rsid w:val="009F1A02"/>
    <w:rsid w:val="009F335F"/>
    <w:rsid w:val="00A0205F"/>
    <w:rsid w:val="00A029D9"/>
    <w:rsid w:val="00A04E2C"/>
    <w:rsid w:val="00A05FE8"/>
    <w:rsid w:val="00A066EE"/>
    <w:rsid w:val="00A069A6"/>
    <w:rsid w:val="00A06F8F"/>
    <w:rsid w:val="00A07BAF"/>
    <w:rsid w:val="00A146A0"/>
    <w:rsid w:val="00A177D2"/>
    <w:rsid w:val="00A211AA"/>
    <w:rsid w:val="00A22014"/>
    <w:rsid w:val="00A23C9D"/>
    <w:rsid w:val="00A25D7B"/>
    <w:rsid w:val="00A27014"/>
    <w:rsid w:val="00A30D46"/>
    <w:rsid w:val="00A34054"/>
    <w:rsid w:val="00A3462C"/>
    <w:rsid w:val="00A36566"/>
    <w:rsid w:val="00A36A6E"/>
    <w:rsid w:val="00A400E7"/>
    <w:rsid w:val="00A404F7"/>
    <w:rsid w:val="00A410D6"/>
    <w:rsid w:val="00A43AAC"/>
    <w:rsid w:val="00A45963"/>
    <w:rsid w:val="00A5008B"/>
    <w:rsid w:val="00A51AD7"/>
    <w:rsid w:val="00A529DB"/>
    <w:rsid w:val="00A54120"/>
    <w:rsid w:val="00A6015B"/>
    <w:rsid w:val="00A61121"/>
    <w:rsid w:val="00A70788"/>
    <w:rsid w:val="00A7642E"/>
    <w:rsid w:val="00A8366D"/>
    <w:rsid w:val="00A83BFF"/>
    <w:rsid w:val="00A83DE4"/>
    <w:rsid w:val="00A83F02"/>
    <w:rsid w:val="00A858B8"/>
    <w:rsid w:val="00A86AF9"/>
    <w:rsid w:val="00A8767C"/>
    <w:rsid w:val="00A878F2"/>
    <w:rsid w:val="00A91309"/>
    <w:rsid w:val="00A91BDA"/>
    <w:rsid w:val="00A93DA6"/>
    <w:rsid w:val="00A9606C"/>
    <w:rsid w:val="00A96113"/>
    <w:rsid w:val="00A96FA6"/>
    <w:rsid w:val="00A97CD7"/>
    <w:rsid w:val="00AA17D1"/>
    <w:rsid w:val="00AA2C49"/>
    <w:rsid w:val="00AA677A"/>
    <w:rsid w:val="00AA7D8C"/>
    <w:rsid w:val="00AB0BA5"/>
    <w:rsid w:val="00AB2857"/>
    <w:rsid w:val="00AB2A7C"/>
    <w:rsid w:val="00AB4926"/>
    <w:rsid w:val="00AB5744"/>
    <w:rsid w:val="00AB5903"/>
    <w:rsid w:val="00AB5E5A"/>
    <w:rsid w:val="00AB6531"/>
    <w:rsid w:val="00AC2CB4"/>
    <w:rsid w:val="00AC6F67"/>
    <w:rsid w:val="00AC7775"/>
    <w:rsid w:val="00AD12DC"/>
    <w:rsid w:val="00AD288E"/>
    <w:rsid w:val="00AD2D29"/>
    <w:rsid w:val="00AD2FC7"/>
    <w:rsid w:val="00AD4123"/>
    <w:rsid w:val="00AD5A53"/>
    <w:rsid w:val="00AD773A"/>
    <w:rsid w:val="00AE03EE"/>
    <w:rsid w:val="00AE09F3"/>
    <w:rsid w:val="00AE1FA2"/>
    <w:rsid w:val="00AE3576"/>
    <w:rsid w:val="00AE4457"/>
    <w:rsid w:val="00AE5282"/>
    <w:rsid w:val="00AE787F"/>
    <w:rsid w:val="00AF2775"/>
    <w:rsid w:val="00AF318A"/>
    <w:rsid w:val="00AF682F"/>
    <w:rsid w:val="00AF6A8B"/>
    <w:rsid w:val="00B0366F"/>
    <w:rsid w:val="00B14D97"/>
    <w:rsid w:val="00B15864"/>
    <w:rsid w:val="00B16A65"/>
    <w:rsid w:val="00B16C24"/>
    <w:rsid w:val="00B17FB5"/>
    <w:rsid w:val="00B20F4F"/>
    <w:rsid w:val="00B210C4"/>
    <w:rsid w:val="00B22ACE"/>
    <w:rsid w:val="00B23BD6"/>
    <w:rsid w:val="00B23E92"/>
    <w:rsid w:val="00B24099"/>
    <w:rsid w:val="00B24A39"/>
    <w:rsid w:val="00B25B1D"/>
    <w:rsid w:val="00B261C2"/>
    <w:rsid w:val="00B27BF5"/>
    <w:rsid w:val="00B30E8B"/>
    <w:rsid w:val="00B335FE"/>
    <w:rsid w:val="00B3677A"/>
    <w:rsid w:val="00B36B7F"/>
    <w:rsid w:val="00B37F6E"/>
    <w:rsid w:val="00B4013A"/>
    <w:rsid w:val="00B4128E"/>
    <w:rsid w:val="00B42326"/>
    <w:rsid w:val="00B4238C"/>
    <w:rsid w:val="00B4366D"/>
    <w:rsid w:val="00B43B0F"/>
    <w:rsid w:val="00B44090"/>
    <w:rsid w:val="00B45E54"/>
    <w:rsid w:val="00B4692A"/>
    <w:rsid w:val="00B473B4"/>
    <w:rsid w:val="00B51D58"/>
    <w:rsid w:val="00B53592"/>
    <w:rsid w:val="00B571DD"/>
    <w:rsid w:val="00B603D8"/>
    <w:rsid w:val="00B61E68"/>
    <w:rsid w:val="00B61E71"/>
    <w:rsid w:val="00B636D0"/>
    <w:rsid w:val="00B63C95"/>
    <w:rsid w:val="00B6489B"/>
    <w:rsid w:val="00B6692C"/>
    <w:rsid w:val="00B6704C"/>
    <w:rsid w:val="00B67C98"/>
    <w:rsid w:val="00B7062B"/>
    <w:rsid w:val="00B71919"/>
    <w:rsid w:val="00B72019"/>
    <w:rsid w:val="00B72F3F"/>
    <w:rsid w:val="00B73678"/>
    <w:rsid w:val="00B7504B"/>
    <w:rsid w:val="00B76015"/>
    <w:rsid w:val="00B7738C"/>
    <w:rsid w:val="00B801E3"/>
    <w:rsid w:val="00B8048B"/>
    <w:rsid w:val="00B80BED"/>
    <w:rsid w:val="00B82E3B"/>
    <w:rsid w:val="00B83870"/>
    <w:rsid w:val="00B868F6"/>
    <w:rsid w:val="00B91C04"/>
    <w:rsid w:val="00B92A1F"/>
    <w:rsid w:val="00B93CC1"/>
    <w:rsid w:val="00B93EE3"/>
    <w:rsid w:val="00B96593"/>
    <w:rsid w:val="00BA184D"/>
    <w:rsid w:val="00BA1B0E"/>
    <w:rsid w:val="00BA273A"/>
    <w:rsid w:val="00BA2BCC"/>
    <w:rsid w:val="00BA3098"/>
    <w:rsid w:val="00BA4606"/>
    <w:rsid w:val="00BA5F94"/>
    <w:rsid w:val="00BA6130"/>
    <w:rsid w:val="00BB0127"/>
    <w:rsid w:val="00BB3E4C"/>
    <w:rsid w:val="00BB5DE0"/>
    <w:rsid w:val="00BB60D6"/>
    <w:rsid w:val="00BB7230"/>
    <w:rsid w:val="00BC1C91"/>
    <w:rsid w:val="00BC2D42"/>
    <w:rsid w:val="00BC40C6"/>
    <w:rsid w:val="00BC5C33"/>
    <w:rsid w:val="00BC67C2"/>
    <w:rsid w:val="00BC6EC4"/>
    <w:rsid w:val="00BC7B31"/>
    <w:rsid w:val="00BD2D8D"/>
    <w:rsid w:val="00BD2EFF"/>
    <w:rsid w:val="00BD30CC"/>
    <w:rsid w:val="00BD512E"/>
    <w:rsid w:val="00BD6FE5"/>
    <w:rsid w:val="00BD7779"/>
    <w:rsid w:val="00BE07D1"/>
    <w:rsid w:val="00BE0F81"/>
    <w:rsid w:val="00BE1149"/>
    <w:rsid w:val="00BE11ED"/>
    <w:rsid w:val="00BE4882"/>
    <w:rsid w:val="00BE5F61"/>
    <w:rsid w:val="00BE6AFA"/>
    <w:rsid w:val="00BE726C"/>
    <w:rsid w:val="00BF076B"/>
    <w:rsid w:val="00BF0CC3"/>
    <w:rsid w:val="00BF10A7"/>
    <w:rsid w:val="00BF1517"/>
    <w:rsid w:val="00BF3CF7"/>
    <w:rsid w:val="00BF55F2"/>
    <w:rsid w:val="00C002E9"/>
    <w:rsid w:val="00C008C6"/>
    <w:rsid w:val="00C008EE"/>
    <w:rsid w:val="00C00A9A"/>
    <w:rsid w:val="00C02487"/>
    <w:rsid w:val="00C025AA"/>
    <w:rsid w:val="00C02BCE"/>
    <w:rsid w:val="00C03BED"/>
    <w:rsid w:val="00C0730F"/>
    <w:rsid w:val="00C11579"/>
    <w:rsid w:val="00C14C57"/>
    <w:rsid w:val="00C14CA6"/>
    <w:rsid w:val="00C26578"/>
    <w:rsid w:val="00C33813"/>
    <w:rsid w:val="00C33BF1"/>
    <w:rsid w:val="00C34950"/>
    <w:rsid w:val="00C35604"/>
    <w:rsid w:val="00C36CBE"/>
    <w:rsid w:val="00C401C7"/>
    <w:rsid w:val="00C4196B"/>
    <w:rsid w:val="00C41C4C"/>
    <w:rsid w:val="00C434A4"/>
    <w:rsid w:val="00C43B14"/>
    <w:rsid w:val="00C4727C"/>
    <w:rsid w:val="00C516A8"/>
    <w:rsid w:val="00C548E4"/>
    <w:rsid w:val="00C54E24"/>
    <w:rsid w:val="00C63D5F"/>
    <w:rsid w:val="00C63EA2"/>
    <w:rsid w:val="00C642F3"/>
    <w:rsid w:val="00C6440D"/>
    <w:rsid w:val="00C70963"/>
    <w:rsid w:val="00C7131B"/>
    <w:rsid w:val="00C72208"/>
    <w:rsid w:val="00C74CC3"/>
    <w:rsid w:val="00C75BD9"/>
    <w:rsid w:val="00C775B8"/>
    <w:rsid w:val="00C82AEF"/>
    <w:rsid w:val="00C83A66"/>
    <w:rsid w:val="00C83CC7"/>
    <w:rsid w:val="00C84D8C"/>
    <w:rsid w:val="00C86980"/>
    <w:rsid w:val="00C87569"/>
    <w:rsid w:val="00C92528"/>
    <w:rsid w:val="00C94038"/>
    <w:rsid w:val="00C940F5"/>
    <w:rsid w:val="00C9574F"/>
    <w:rsid w:val="00C9576A"/>
    <w:rsid w:val="00C96979"/>
    <w:rsid w:val="00C976A6"/>
    <w:rsid w:val="00C978EF"/>
    <w:rsid w:val="00CA0329"/>
    <w:rsid w:val="00CA03A0"/>
    <w:rsid w:val="00CA175D"/>
    <w:rsid w:val="00CA2548"/>
    <w:rsid w:val="00CA35CC"/>
    <w:rsid w:val="00CA38E1"/>
    <w:rsid w:val="00CA3E6E"/>
    <w:rsid w:val="00CA43A0"/>
    <w:rsid w:val="00CB10D4"/>
    <w:rsid w:val="00CB23E3"/>
    <w:rsid w:val="00CB24AD"/>
    <w:rsid w:val="00CB28CF"/>
    <w:rsid w:val="00CB3B3E"/>
    <w:rsid w:val="00CB5949"/>
    <w:rsid w:val="00CB5EEB"/>
    <w:rsid w:val="00CB739B"/>
    <w:rsid w:val="00CC0A77"/>
    <w:rsid w:val="00CC2F6A"/>
    <w:rsid w:val="00CC4529"/>
    <w:rsid w:val="00CC6A5D"/>
    <w:rsid w:val="00CC71C5"/>
    <w:rsid w:val="00CC7BE7"/>
    <w:rsid w:val="00CD162B"/>
    <w:rsid w:val="00CD1E22"/>
    <w:rsid w:val="00CD240B"/>
    <w:rsid w:val="00CD3C00"/>
    <w:rsid w:val="00CD4009"/>
    <w:rsid w:val="00CD4764"/>
    <w:rsid w:val="00CD5640"/>
    <w:rsid w:val="00CD661E"/>
    <w:rsid w:val="00CD79FF"/>
    <w:rsid w:val="00CD7A1A"/>
    <w:rsid w:val="00CE022E"/>
    <w:rsid w:val="00CE02E8"/>
    <w:rsid w:val="00CE453D"/>
    <w:rsid w:val="00CE6F3F"/>
    <w:rsid w:val="00CF2E29"/>
    <w:rsid w:val="00CF6F17"/>
    <w:rsid w:val="00D0107B"/>
    <w:rsid w:val="00D025CA"/>
    <w:rsid w:val="00D029D1"/>
    <w:rsid w:val="00D058AF"/>
    <w:rsid w:val="00D06000"/>
    <w:rsid w:val="00D0631D"/>
    <w:rsid w:val="00D071FF"/>
    <w:rsid w:val="00D07CC3"/>
    <w:rsid w:val="00D07DA7"/>
    <w:rsid w:val="00D124F3"/>
    <w:rsid w:val="00D12D19"/>
    <w:rsid w:val="00D13862"/>
    <w:rsid w:val="00D174F0"/>
    <w:rsid w:val="00D200B2"/>
    <w:rsid w:val="00D20D08"/>
    <w:rsid w:val="00D234A0"/>
    <w:rsid w:val="00D251F9"/>
    <w:rsid w:val="00D2537B"/>
    <w:rsid w:val="00D27E75"/>
    <w:rsid w:val="00D312DC"/>
    <w:rsid w:val="00D31840"/>
    <w:rsid w:val="00D31D81"/>
    <w:rsid w:val="00D4037A"/>
    <w:rsid w:val="00D403E8"/>
    <w:rsid w:val="00D4110D"/>
    <w:rsid w:val="00D42E29"/>
    <w:rsid w:val="00D466A5"/>
    <w:rsid w:val="00D47F6F"/>
    <w:rsid w:val="00D50CB1"/>
    <w:rsid w:val="00D50EEE"/>
    <w:rsid w:val="00D538D6"/>
    <w:rsid w:val="00D538D8"/>
    <w:rsid w:val="00D55703"/>
    <w:rsid w:val="00D57904"/>
    <w:rsid w:val="00D60F6B"/>
    <w:rsid w:val="00D61851"/>
    <w:rsid w:val="00D61C0C"/>
    <w:rsid w:val="00D61FA3"/>
    <w:rsid w:val="00D6389C"/>
    <w:rsid w:val="00D64B7F"/>
    <w:rsid w:val="00D70A04"/>
    <w:rsid w:val="00D725AD"/>
    <w:rsid w:val="00D73A83"/>
    <w:rsid w:val="00D75993"/>
    <w:rsid w:val="00D77516"/>
    <w:rsid w:val="00D82F83"/>
    <w:rsid w:val="00D83697"/>
    <w:rsid w:val="00D91B2C"/>
    <w:rsid w:val="00D92557"/>
    <w:rsid w:val="00D92DF6"/>
    <w:rsid w:val="00D93897"/>
    <w:rsid w:val="00D97253"/>
    <w:rsid w:val="00D9731B"/>
    <w:rsid w:val="00DA1353"/>
    <w:rsid w:val="00DA28ED"/>
    <w:rsid w:val="00DA330B"/>
    <w:rsid w:val="00DA42B5"/>
    <w:rsid w:val="00DA46A6"/>
    <w:rsid w:val="00DA6E32"/>
    <w:rsid w:val="00DA7BD0"/>
    <w:rsid w:val="00DB14EF"/>
    <w:rsid w:val="00DB1DD7"/>
    <w:rsid w:val="00DB3F23"/>
    <w:rsid w:val="00DB457C"/>
    <w:rsid w:val="00DB5C8A"/>
    <w:rsid w:val="00DB7B0B"/>
    <w:rsid w:val="00DC3999"/>
    <w:rsid w:val="00DC4A18"/>
    <w:rsid w:val="00DC5E0B"/>
    <w:rsid w:val="00DC709D"/>
    <w:rsid w:val="00DD0BCD"/>
    <w:rsid w:val="00DD0F9E"/>
    <w:rsid w:val="00DD3E09"/>
    <w:rsid w:val="00DD3F53"/>
    <w:rsid w:val="00DD5303"/>
    <w:rsid w:val="00DD53B4"/>
    <w:rsid w:val="00DD5BCA"/>
    <w:rsid w:val="00DE2CBA"/>
    <w:rsid w:val="00DE41E9"/>
    <w:rsid w:val="00DE6802"/>
    <w:rsid w:val="00DF38A7"/>
    <w:rsid w:val="00DF7035"/>
    <w:rsid w:val="00DF7789"/>
    <w:rsid w:val="00E01599"/>
    <w:rsid w:val="00E01890"/>
    <w:rsid w:val="00E01E6B"/>
    <w:rsid w:val="00E048B0"/>
    <w:rsid w:val="00E0493C"/>
    <w:rsid w:val="00E05EB2"/>
    <w:rsid w:val="00E07DAF"/>
    <w:rsid w:val="00E1299E"/>
    <w:rsid w:val="00E12A4B"/>
    <w:rsid w:val="00E14E92"/>
    <w:rsid w:val="00E15B35"/>
    <w:rsid w:val="00E168FE"/>
    <w:rsid w:val="00E16B8B"/>
    <w:rsid w:val="00E20A13"/>
    <w:rsid w:val="00E220B9"/>
    <w:rsid w:val="00E2299A"/>
    <w:rsid w:val="00E23336"/>
    <w:rsid w:val="00E23D2A"/>
    <w:rsid w:val="00E24668"/>
    <w:rsid w:val="00E255AE"/>
    <w:rsid w:val="00E25B11"/>
    <w:rsid w:val="00E306CF"/>
    <w:rsid w:val="00E3090D"/>
    <w:rsid w:val="00E3121E"/>
    <w:rsid w:val="00E31228"/>
    <w:rsid w:val="00E347B5"/>
    <w:rsid w:val="00E34E31"/>
    <w:rsid w:val="00E35746"/>
    <w:rsid w:val="00E409F1"/>
    <w:rsid w:val="00E41F76"/>
    <w:rsid w:val="00E41F99"/>
    <w:rsid w:val="00E425E2"/>
    <w:rsid w:val="00E42CDF"/>
    <w:rsid w:val="00E43641"/>
    <w:rsid w:val="00E50CC2"/>
    <w:rsid w:val="00E5254B"/>
    <w:rsid w:val="00E52B3F"/>
    <w:rsid w:val="00E55B24"/>
    <w:rsid w:val="00E56162"/>
    <w:rsid w:val="00E56DBB"/>
    <w:rsid w:val="00E5730A"/>
    <w:rsid w:val="00E601FA"/>
    <w:rsid w:val="00E6131B"/>
    <w:rsid w:val="00E61928"/>
    <w:rsid w:val="00E62371"/>
    <w:rsid w:val="00E626B2"/>
    <w:rsid w:val="00E674C0"/>
    <w:rsid w:val="00E67D37"/>
    <w:rsid w:val="00E7027F"/>
    <w:rsid w:val="00E7082F"/>
    <w:rsid w:val="00E713DA"/>
    <w:rsid w:val="00E729CE"/>
    <w:rsid w:val="00E738F3"/>
    <w:rsid w:val="00E74EF4"/>
    <w:rsid w:val="00E7575A"/>
    <w:rsid w:val="00E75C33"/>
    <w:rsid w:val="00E766CD"/>
    <w:rsid w:val="00E76E04"/>
    <w:rsid w:val="00E77D3F"/>
    <w:rsid w:val="00E806E9"/>
    <w:rsid w:val="00E80B04"/>
    <w:rsid w:val="00E83C2F"/>
    <w:rsid w:val="00E84066"/>
    <w:rsid w:val="00E85B5F"/>
    <w:rsid w:val="00E871C1"/>
    <w:rsid w:val="00E907E1"/>
    <w:rsid w:val="00E91539"/>
    <w:rsid w:val="00E9546B"/>
    <w:rsid w:val="00E959EB"/>
    <w:rsid w:val="00E95D00"/>
    <w:rsid w:val="00E9649C"/>
    <w:rsid w:val="00E96A4C"/>
    <w:rsid w:val="00EA14EC"/>
    <w:rsid w:val="00EA1E67"/>
    <w:rsid w:val="00EA3B71"/>
    <w:rsid w:val="00EA42EE"/>
    <w:rsid w:val="00EA499A"/>
    <w:rsid w:val="00EA4A91"/>
    <w:rsid w:val="00EA6EBE"/>
    <w:rsid w:val="00EB0C27"/>
    <w:rsid w:val="00EB184D"/>
    <w:rsid w:val="00EB18B9"/>
    <w:rsid w:val="00EB285E"/>
    <w:rsid w:val="00EB536C"/>
    <w:rsid w:val="00EB5D84"/>
    <w:rsid w:val="00EC0C4D"/>
    <w:rsid w:val="00EC0DC3"/>
    <w:rsid w:val="00EC21CB"/>
    <w:rsid w:val="00EC28C7"/>
    <w:rsid w:val="00EC2F10"/>
    <w:rsid w:val="00EC3DCB"/>
    <w:rsid w:val="00ED38FA"/>
    <w:rsid w:val="00ED4DC5"/>
    <w:rsid w:val="00ED550C"/>
    <w:rsid w:val="00ED7C8C"/>
    <w:rsid w:val="00EE02B6"/>
    <w:rsid w:val="00EE172C"/>
    <w:rsid w:val="00EE1FCE"/>
    <w:rsid w:val="00EE296D"/>
    <w:rsid w:val="00EE381F"/>
    <w:rsid w:val="00EE49E8"/>
    <w:rsid w:val="00EE716C"/>
    <w:rsid w:val="00EE76FA"/>
    <w:rsid w:val="00EF25B6"/>
    <w:rsid w:val="00EF36DC"/>
    <w:rsid w:val="00EF45F8"/>
    <w:rsid w:val="00EF513A"/>
    <w:rsid w:val="00EF60D3"/>
    <w:rsid w:val="00EF636F"/>
    <w:rsid w:val="00EF7082"/>
    <w:rsid w:val="00EF731E"/>
    <w:rsid w:val="00F00CA7"/>
    <w:rsid w:val="00F01D38"/>
    <w:rsid w:val="00F02F98"/>
    <w:rsid w:val="00F050F7"/>
    <w:rsid w:val="00F06B75"/>
    <w:rsid w:val="00F07856"/>
    <w:rsid w:val="00F07871"/>
    <w:rsid w:val="00F10496"/>
    <w:rsid w:val="00F11EF0"/>
    <w:rsid w:val="00F12F38"/>
    <w:rsid w:val="00F157C9"/>
    <w:rsid w:val="00F16847"/>
    <w:rsid w:val="00F17995"/>
    <w:rsid w:val="00F2175B"/>
    <w:rsid w:val="00F21BF5"/>
    <w:rsid w:val="00F26818"/>
    <w:rsid w:val="00F27484"/>
    <w:rsid w:val="00F3071A"/>
    <w:rsid w:val="00F32495"/>
    <w:rsid w:val="00F333B4"/>
    <w:rsid w:val="00F36DA7"/>
    <w:rsid w:val="00F4614A"/>
    <w:rsid w:val="00F47D15"/>
    <w:rsid w:val="00F50B22"/>
    <w:rsid w:val="00F52CC0"/>
    <w:rsid w:val="00F53840"/>
    <w:rsid w:val="00F55905"/>
    <w:rsid w:val="00F57ACB"/>
    <w:rsid w:val="00F57C3F"/>
    <w:rsid w:val="00F613CB"/>
    <w:rsid w:val="00F62461"/>
    <w:rsid w:val="00F62606"/>
    <w:rsid w:val="00F6284F"/>
    <w:rsid w:val="00F636A7"/>
    <w:rsid w:val="00F63DCB"/>
    <w:rsid w:val="00F641DE"/>
    <w:rsid w:val="00F651EB"/>
    <w:rsid w:val="00F65F1E"/>
    <w:rsid w:val="00F66620"/>
    <w:rsid w:val="00F72B26"/>
    <w:rsid w:val="00F73866"/>
    <w:rsid w:val="00F7387A"/>
    <w:rsid w:val="00F75601"/>
    <w:rsid w:val="00F80E66"/>
    <w:rsid w:val="00F83BA8"/>
    <w:rsid w:val="00F84645"/>
    <w:rsid w:val="00F848A4"/>
    <w:rsid w:val="00F86645"/>
    <w:rsid w:val="00F879A7"/>
    <w:rsid w:val="00F912FF"/>
    <w:rsid w:val="00F942EC"/>
    <w:rsid w:val="00F94A33"/>
    <w:rsid w:val="00F95CF8"/>
    <w:rsid w:val="00F96408"/>
    <w:rsid w:val="00F9646B"/>
    <w:rsid w:val="00F96BED"/>
    <w:rsid w:val="00F97C85"/>
    <w:rsid w:val="00FA08FC"/>
    <w:rsid w:val="00FA13BD"/>
    <w:rsid w:val="00FA48E4"/>
    <w:rsid w:val="00FB2263"/>
    <w:rsid w:val="00FB234D"/>
    <w:rsid w:val="00FB2873"/>
    <w:rsid w:val="00FB34F9"/>
    <w:rsid w:val="00FB38B3"/>
    <w:rsid w:val="00FB446B"/>
    <w:rsid w:val="00FB657D"/>
    <w:rsid w:val="00FB6584"/>
    <w:rsid w:val="00FB6E5C"/>
    <w:rsid w:val="00FB773A"/>
    <w:rsid w:val="00FC51C4"/>
    <w:rsid w:val="00FD0BE2"/>
    <w:rsid w:val="00FD253D"/>
    <w:rsid w:val="00FD53FE"/>
    <w:rsid w:val="00FE1CA1"/>
    <w:rsid w:val="00FE43AC"/>
    <w:rsid w:val="00FE7018"/>
    <w:rsid w:val="00FE7514"/>
    <w:rsid w:val="00FE7A6A"/>
    <w:rsid w:val="00FF00D7"/>
    <w:rsid w:val="00FF1860"/>
    <w:rsid w:val="00FF518E"/>
    <w:rsid w:val="00FF5392"/>
    <w:rsid w:val="00FF74FC"/>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724FB9"/>
  <w15:docId w15:val="{A4A9087C-5704-455F-86D4-88D004333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D6029"/>
    <w:rPr>
      <w:color w:val="0000FF"/>
      <w:u w:val="single"/>
    </w:rPr>
  </w:style>
  <w:style w:type="paragraph" w:styleId="BalloonText">
    <w:name w:val="Balloon Text"/>
    <w:basedOn w:val="Normal"/>
    <w:link w:val="BalloonTextChar"/>
    <w:uiPriority w:val="99"/>
    <w:semiHidden/>
    <w:unhideWhenUsed/>
    <w:rsid w:val="002D602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6029"/>
    <w:rPr>
      <w:rFonts w:ascii="Segoe UI" w:hAnsi="Segoe UI" w:cs="Segoe UI"/>
      <w:sz w:val="18"/>
      <w:szCs w:val="18"/>
    </w:rPr>
  </w:style>
  <w:style w:type="paragraph" w:styleId="ListParagraph">
    <w:name w:val="List Paragraph"/>
    <w:basedOn w:val="Normal"/>
    <w:uiPriority w:val="34"/>
    <w:qFormat/>
    <w:rsid w:val="00C70963"/>
    <w:pPr>
      <w:ind w:left="720"/>
      <w:contextualSpacing/>
    </w:pPr>
  </w:style>
  <w:style w:type="paragraph" w:styleId="FootnoteText">
    <w:name w:val="footnote text"/>
    <w:basedOn w:val="Normal"/>
    <w:link w:val="FootnoteTextChar"/>
    <w:uiPriority w:val="99"/>
    <w:semiHidden/>
    <w:unhideWhenUsed/>
    <w:rsid w:val="008E6B7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E6B7E"/>
    <w:rPr>
      <w:sz w:val="20"/>
      <w:szCs w:val="20"/>
    </w:rPr>
  </w:style>
  <w:style w:type="character" w:styleId="FootnoteReference">
    <w:name w:val="footnote reference"/>
    <w:basedOn w:val="DefaultParagraphFont"/>
    <w:uiPriority w:val="99"/>
    <w:semiHidden/>
    <w:unhideWhenUsed/>
    <w:rsid w:val="008E6B7E"/>
    <w:rPr>
      <w:vertAlign w:val="superscript"/>
    </w:rPr>
  </w:style>
  <w:style w:type="character" w:styleId="CommentReference">
    <w:name w:val="annotation reference"/>
    <w:basedOn w:val="DefaultParagraphFont"/>
    <w:uiPriority w:val="99"/>
    <w:semiHidden/>
    <w:unhideWhenUsed/>
    <w:rsid w:val="009B71BE"/>
    <w:rPr>
      <w:sz w:val="16"/>
      <w:szCs w:val="16"/>
    </w:rPr>
  </w:style>
  <w:style w:type="paragraph" w:styleId="CommentText">
    <w:name w:val="annotation text"/>
    <w:basedOn w:val="Normal"/>
    <w:link w:val="CommentTextChar"/>
    <w:uiPriority w:val="99"/>
    <w:unhideWhenUsed/>
    <w:rsid w:val="009B71BE"/>
    <w:pPr>
      <w:spacing w:line="240" w:lineRule="auto"/>
    </w:pPr>
    <w:rPr>
      <w:sz w:val="20"/>
      <w:szCs w:val="20"/>
    </w:rPr>
  </w:style>
  <w:style w:type="character" w:customStyle="1" w:styleId="CommentTextChar">
    <w:name w:val="Comment Text Char"/>
    <w:basedOn w:val="DefaultParagraphFont"/>
    <w:link w:val="CommentText"/>
    <w:uiPriority w:val="99"/>
    <w:rsid w:val="009B71BE"/>
    <w:rPr>
      <w:sz w:val="20"/>
      <w:szCs w:val="20"/>
    </w:rPr>
  </w:style>
  <w:style w:type="paragraph" w:styleId="CommentSubject">
    <w:name w:val="annotation subject"/>
    <w:basedOn w:val="CommentText"/>
    <w:next w:val="CommentText"/>
    <w:link w:val="CommentSubjectChar"/>
    <w:uiPriority w:val="99"/>
    <w:semiHidden/>
    <w:unhideWhenUsed/>
    <w:rsid w:val="009B71BE"/>
    <w:rPr>
      <w:b/>
      <w:bCs/>
    </w:rPr>
  </w:style>
  <w:style w:type="character" w:customStyle="1" w:styleId="CommentSubjectChar">
    <w:name w:val="Comment Subject Char"/>
    <w:basedOn w:val="CommentTextChar"/>
    <w:link w:val="CommentSubject"/>
    <w:uiPriority w:val="99"/>
    <w:semiHidden/>
    <w:rsid w:val="009B71BE"/>
    <w:rPr>
      <w:b/>
      <w:bCs/>
      <w:sz w:val="20"/>
      <w:szCs w:val="20"/>
    </w:rPr>
  </w:style>
  <w:style w:type="table" w:styleId="TableGrid">
    <w:name w:val="Table Grid"/>
    <w:basedOn w:val="TableNormal"/>
    <w:uiPriority w:val="39"/>
    <w:rsid w:val="00187B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C6440D"/>
    <w:rPr>
      <w:b/>
      <w:bCs/>
    </w:rPr>
  </w:style>
  <w:style w:type="paragraph" w:styleId="HTMLPreformatted">
    <w:name w:val="HTML Preformatted"/>
    <w:basedOn w:val="Normal"/>
    <w:link w:val="HTMLPreformattedChar"/>
    <w:uiPriority w:val="99"/>
    <w:unhideWhenUsed/>
    <w:rsid w:val="00E16B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PreformattedChar">
    <w:name w:val="HTML Preformatted Char"/>
    <w:basedOn w:val="DefaultParagraphFont"/>
    <w:link w:val="HTMLPreformatted"/>
    <w:uiPriority w:val="99"/>
    <w:rsid w:val="00E16B8B"/>
    <w:rPr>
      <w:rFonts w:ascii="Courier New" w:eastAsia="Times New Roman" w:hAnsi="Courier New" w:cs="Courier New"/>
      <w:sz w:val="20"/>
      <w:szCs w:val="20"/>
      <w:lang w:eastAsia="nl-NL"/>
    </w:rPr>
  </w:style>
  <w:style w:type="character" w:customStyle="1" w:styleId="gd15mcfceub">
    <w:name w:val="gd15mcfceub"/>
    <w:basedOn w:val="DefaultParagraphFont"/>
    <w:rsid w:val="00E16B8B"/>
  </w:style>
  <w:style w:type="character" w:styleId="Emphasis">
    <w:name w:val="Emphasis"/>
    <w:basedOn w:val="DefaultParagraphFont"/>
    <w:uiPriority w:val="20"/>
    <w:qFormat/>
    <w:rsid w:val="00813B5C"/>
    <w:rPr>
      <w:i/>
      <w:iCs/>
    </w:rPr>
  </w:style>
  <w:style w:type="paragraph" w:styleId="Revision">
    <w:name w:val="Revision"/>
    <w:hidden/>
    <w:uiPriority w:val="99"/>
    <w:semiHidden/>
    <w:rsid w:val="00CA0329"/>
    <w:pPr>
      <w:spacing w:after="0" w:line="240" w:lineRule="auto"/>
    </w:pPr>
  </w:style>
  <w:style w:type="character" w:customStyle="1" w:styleId="anchor-text">
    <w:name w:val="anchor-text"/>
    <w:basedOn w:val="DefaultParagraphFont"/>
    <w:rsid w:val="00AF68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656511">
      <w:bodyDiv w:val="1"/>
      <w:marLeft w:val="0"/>
      <w:marRight w:val="0"/>
      <w:marTop w:val="0"/>
      <w:marBottom w:val="0"/>
      <w:divBdr>
        <w:top w:val="none" w:sz="0" w:space="0" w:color="auto"/>
        <w:left w:val="none" w:sz="0" w:space="0" w:color="auto"/>
        <w:bottom w:val="none" w:sz="0" w:space="0" w:color="auto"/>
        <w:right w:val="none" w:sz="0" w:space="0" w:color="auto"/>
      </w:divBdr>
      <w:divsChild>
        <w:div w:id="194272943">
          <w:marLeft w:val="0"/>
          <w:marRight w:val="0"/>
          <w:marTop w:val="0"/>
          <w:marBottom w:val="0"/>
          <w:divBdr>
            <w:top w:val="none" w:sz="0" w:space="0" w:color="auto"/>
            <w:left w:val="none" w:sz="0" w:space="0" w:color="auto"/>
            <w:bottom w:val="none" w:sz="0" w:space="0" w:color="auto"/>
            <w:right w:val="none" w:sz="0" w:space="0" w:color="auto"/>
          </w:divBdr>
        </w:div>
        <w:div w:id="2071224303">
          <w:marLeft w:val="0"/>
          <w:marRight w:val="0"/>
          <w:marTop w:val="0"/>
          <w:marBottom w:val="0"/>
          <w:divBdr>
            <w:top w:val="none" w:sz="0" w:space="0" w:color="auto"/>
            <w:left w:val="none" w:sz="0" w:space="0" w:color="auto"/>
            <w:bottom w:val="none" w:sz="0" w:space="0" w:color="auto"/>
            <w:right w:val="none" w:sz="0" w:space="0" w:color="auto"/>
          </w:divBdr>
        </w:div>
      </w:divsChild>
    </w:div>
    <w:div w:id="223177975">
      <w:bodyDiv w:val="1"/>
      <w:marLeft w:val="0"/>
      <w:marRight w:val="0"/>
      <w:marTop w:val="0"/>
      <w:marBottom w:val="0"/>
      <w:divBdr>
        <w:top w:val="none" w:sz="0" w:space="0" w:color="auto"/>
        <w:left w:val="none" w:sz="0" w:space="0" w:color="auto"/>
        <w:bottom w:val="none" w:sz="0" w:space="0" w:color="auto"/>
        <w:right w:val="none" w:sz="0" w:space="0" w:color="auto"/>
      </w:divBdr>
    </w:div>
    <w:div w:id="315184279">
      <w:bodyDiv w:val="1"/>
      <w:marLeft w:val="0"/>
      <w:marRight w:val="0"/>
      <w:marTop w:val="0"/>
      <w:marBottom w:val="0"/>
      <w:divBdr>
        <w:top w:val="none" w:sz="0" w:space="0" w:color="auto"/>
        <w:left w:val="none" w:sz="0" w:space="0" w:color="auto"/>
        <w:bottom w:val="none" w:sz="0" w:space="0" w:color="auto"/>
        <w:right w:val="none" w:sz="0" w:space="0" w:color="auto"/>
      </w:divBdr>
    </w:div>
    <w:div w:id="640694447">
      <w:bodyDiv w:val="1"/>
      <w:marLeft w:val="0"/>
      <w:marRight w:val="0"/>
      <w:marTop w:val="0"/>
      <w:marBottom w:val="0"/>
      <w:divBdr>
        <w:top w:val="none" w:sz="0" w:space="0" w:color="auto"/>
        <w:left w:val="none" w:sz="0" w:space="0" w:color="auto"/>
        <w:bottom w:val="none" w:sz="0" w:space="0" w:color="auto"/>
        <w:right w:val="none" w:sz="0" w:space="0" w:color="auto"/>
      </w:divBdr>
    </w:div>
    <w:div w:id="642079186">
      <w:bodyDiv w:val="1"/>
      <w:marLeft w:val="0"/>
      <w:marRight w:val="0"/>
      <w:marTop w:val="0"/>
      <w:marBottom w:val="0"/>
      <w:divBdr>
        <w:top w:val="none" w:sz="0" w:space="0" w:color="auto"/>
        <w:left w:val="none" w:sz="0" w:space="0" w:color="auto"/>
        <w:bottom w:val="none" w:sz="0" w:space="0" w:color="auto"/>
        <w:right w:val="none" w:sz="0" w:space="0" w:color="auto"/>
      </w:divBdr>
    </w:div>
    <w:div w:id="1050110986">
      <w:bodyDiv w:val="1"/>
      <w:marLeft w:val="0"/>
      <w:marRight w:val="0"/>
      <w:marTop w:val="0"/>
      <w:marBottom w:val="0"/>
      <w:divBdr>
        <w:top w:val="none" w:sz="0" w:space="0" w:color="auto"/>
        <w:left w:val="none" w:sz="0" w:space="0" w:color="auto"/>
        <w:bottom w:val="none" w:sz="0" w:space="0" w:color="auto"/>
        <w:right w:val="none" w:sz="0" w:space="0" w:color="auto"/>
      </w:divBdr>
      <w:divsChild>
        <w:div w:id="444933881">
          <w:marLeft w:val="0"/>
          <w:marRight w:val="0"/>
          <w:marTop w:val="90"/>
          <w:marBottom w:val="0"/>
          <w:divBdr>
            <w:top w:val="none" w:sz="0" w:space="0" w:color="auto"/>
            <w:left w:val="none" w:sz="0" w:space="0" w:color="auto"/>
            <w:bottom w:val="none" w:sz="0" w:space="0" w:color="auto"/>
            <w:right w:val="none" w:sz="0" w:space="0" w:color="auto"/>
          </w:divBdr>
          <w:divsChild>
            <w:div w:id="307394983">
              <w:marLeft w:val="0"/>
              <w:marRight w:val="0"/>
              <w:marTop w:val="0"/>
              <w:marBottom w:val="420"/>
              <w:divBdr>
                <w:top w:val="none" w:sz="0" w:space="0" w:color="auto"/>
                <w:left w:val="none" w:sz="0" w:space="0" w:color="auto"/>
                <w:bottom w:val="none" w:sz="0" w:space="0" w:color="auto"/>
                <w:right w:val="none" w:sz="0" w:space="0" w:color="auto"/>
              </w:divBdr>
              <w:divsChild>
                <w:div w:id="327952244">
                  <w:marLeft w:val="0"/>
                  <w:marRight w:val="0"/>
                  <w:marTop w:val="0"/>
                  <w:marBottom w:val="0"/>
                  <w:divBdr>
                    <w:top w:val="none" w:sz="0" w:space="0" w:color="auto"/>
                    <w:left w:val="none" w:sz="0" w:space="0" w:color="auto"/>
                    <w:bottom w:val="none" w:sz="0" w:space="0" w:color="auto"/>
                    <w:right w:val="none" w:sz="0" w:space="0" w:color="auto"/>
                  </w:divBdr>
                  <w:divsChild>
                    <w:div w:id="12478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709462">
      <w:bodyDiv w:val="1"/>
      <w:marLeft w:val="0"/>
      <w:marRight w:val="0"/>
      <w:marTop w:val="0"/>
      <w:marBottom w:val="0"/>
      <w:divBdr>
        <w:top w:val="none" w:sz="0" w:space="0" w:color="auto"/>
        <w:left w:val="none" w:sz="0" w:space="0" w:color="auto"/>
        <w:bottom w:val="none" w:sz="0" w:space="0" w:color="auto"/>
        <w:right w:val="none" w:sz="0" w:space="0" w:color="auto"/>
      </w:divBdr>
      <w:divsChild>
        <w:div w:id="613639760">
          <w:marLeft w:val="0"/>
          <w:marRight w:val="0"/>
          <w:marTop w:val="0"/>
          <w:marBottom w:val="0"/>
          <w:divBdr>
            <w:top w:val="none" w:sz="0" w:space="0" w:color="auto"/>
            <w:left w:val="none" w:sz="0" w:space="0" w:color="auto"/>
            <w:bottom w:val="none" w:sz="0" w:space="0" w:color="auto"/>
            <w:right w:val="none" w:sz="0" w:space="0" w:color="auto"/>
          </w:divBdr>
        </w:div>
        <w:div w:id="1982878423">
          <w:marLeft w:val="0"/>
          <w:marRight w:val="0"/>
          <w:marTop w:val="0"/>
          <w:marBottom w:val="0"/>
          <w:divBdr>
            <w:top w:val="none" w:sz="0" w:space="0" w:color="auto"/>
            <w:left w:val="none" w:sz="0" w:space="0" w:color="auto"/>
            <w:bottom w:val="none" w:sz="0" w:space="0" w:color="auto"/>
            <w:right w:val="none" w:sz="0" w:space="0" w:color="auto"/>
          </w:divBdr>
        </w:div>
      </w:divsChild>
    </w:div>
    <w:div w:id="1247037197">
      <w:bodyDiv w:val="1"/>
      <w:marLeft w:val="0"/>
      <w:marRight w:val="0"/>
      <w:marTop w:val="0"/>
      <w:marBottom w:val="0"/>
      <w:divBdr>
        <w:top w:val="none" w:sz="0" w:space="0" w:color="auto"/>
        <w:left w:val="none" w:sz="0" w:space="0" w:color="auto"/>
        <w:bottom w:val="none" w:sz="0" w:space="0" w:color="auto"/>
        <w:right w:val="none" w:sz="0" w:space="0" w:color="auto"/>
      </w:divBdr>
    </w:div>
    <w:div w:id="1658220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ijpe.2022.1085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7F6F03-EE09-4B4D-B0AF-1E3E030FE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66811</Words>
  <Characters>380824</Characters>
  <Application>Microsoft Office Word</Application>
  <DocSecurity>0</DocSecurity>
  <Lines>3173</Lines>
  <Paragraphs>893</Paragraphs>
  <ScaleCrop>false</ScaleCrop>
  <HeadingPairs>
    <vt:vector size="6" baseType="variant">
      <vt:variant>
        <vt:lpstr>Title</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446742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Ernst-Jan Prosman</dc:creator>
  <cp:keywords/>
  <dc:description/>
  <cp:lastModifiedBy>Ernst Johannes Prosman</cp:lastModifiedBy>
  <cp:revision>2</cp:revision>
  <cp:lastPrinted>2020-09-30T07:46:00Z</cp:lastPrinted>
  <dcterms:created xsi:type="dcterms:W3CDTF">2023-03-28T16:37:00Z</dcterms:created>
  <dcterms:modified xsi:type="dcterms:W3CDTF">2023-03-28T16:37:00Z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8fb89aa2-145a-3868-938a-12a2d7e66cd4</vt:lpwstr>
  </property>
  <property fmtid="{D5CDD505-2E9C-101B-9397-08002B2CF9AE}" pid="24" name="Mendeley Citation Style_1">
    <vt:lpwstr>http://www.zotero.org/styles/apa</vt:lpwstr>
  </property>
</Properties>
</file>