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FAD08D" w14:textId="3997A54A" w:rsidR="003125E2" w:rsidRPr="0052090F" w:rsidRDefault="0052090F" w:rsidP="00872546">
      <w:pPr>
        <w:spacing w:after="360" w:line="360" w:lineRule="auto"/>
        <w:rPr>
          <w:rFonts w:cs="Times New Roman"/>
          <w:b/>
          <w:sz w:val="40"/>
          <w:lang w:val="en-GB"/>
        </w:rPr>
      </w:pPr>
      <w:r w:rsidRPr="0052090F">
        <w:rPr>
          <w:rFonts w:cs="Times New Roman"/>
          <w:b/>
          <w:sz w:val="40"/>
          <w:lang w:val="en-GB"/>
        </w:rPr>
        <w:t>Influence of</w:t>
      </w:r>
      <w:r>
        <w:rPr>
          <w:rFonts w:cs="Times New Roman"/>
          <w:b/>
          <w:sz w:val="40"/>
          <w:lang w:val="en-GB"/>
        </w:rPr>
        <w:t xml:space="preserve"> </w:t>
      </w:r>
      <w:r w:rsidRPr="0052090F">
        <w:rPr>
          <w:rFonts w:cs="Times New Roman"/>
          <w:b/>
          <w:sz w:val="40"/>
          <w:lang w:val="en-GB"/>
        </w:rPr>
        <w:t>stoichiometry o</w:t>
      </w:r>
      <w:r>
        <w:rPr>
          <w:rFonts w:cs="Times New Roman"/>
          <w:b/>
          <w:sz w:val="40"/>
          <w:lang w:val="en-GB"/>
        </w:rPr>
        <w:t xml:space="preserve">n the corrosion </w:t>
      </w:r>
      <w:r w:rsidR="00847B2F">
        <w:rPr>
          <w:rFonts w:cs="Times New Roman"/>
          <w:b/>
          <w:sz w:val="40"/>
          <w:lang w:val="en-GB"/>
        </w:rPr>
        <w:t xml:space="preserve">response of titanium oxide coatings produced by </w:t>
      </w:r>
      <w:r w:rsidR="006C6F52">
        <w:rPr>
          <w:rFonts w:cs="Times New Roman"/>
          <w:b/>
          <w:sz w:val="40"/>
          <w:lang w:val="en-GB"/>
        </w:rPr>
        <w:t>plasma electrolytic oxidation</w:t>
      </w:r>
      <w:r>
        <w:rPr>
          <w:rFonts w:cs="Times New Roman"/>
          <w:b/>
          <w:sz w:val="40"/>
          <w:lang w:val="en-GB"/>
        </w:rPr>
        <w:t xml:space="preserve"> </w:t>
      </w:r>
    </w:p>
    <w:p w14:paraId="3D1FBADE" w14:textId="5E2B1B61" w:rsidR="003125E2" w:rsidRDefault="003125E2" w:rsidP="003125E2">
      <w:pPr>
        <w:spacing w:after="60" w:line="240" w:lineRule="auto"/>
        <w:rPr>
          <w:rFonts w:eastAsia="Times New Roman" w:cs="Times New Roman"/>
          <w:kern w:val="26"/>
          <w:szCs w:val="20"/>
          <w:vertAlign w:val="superscript"/>
          <w:lang w:val="it-IT"/>
        </w:rPr>
      </w:pPr>
      <w:r w:rsidRPr="003125E2">
        <w:rPr>
          <w:rFonts w:eastAsia="Times New Roman" w:cs="Times New Roman"/>
          <w:kern w:val="26"/>
          <w:szCs w:val="20"/>
          <w:lang w:val="it-IT"/>
        </w:rPr>
        <w:t>L</w:t>
      </w:r>
      <w:r w:rsidR="009955C9">
        <w:rPr>
          <w:rFonts w:eastAsia="Times New Roman" w:cs="Times New Roman"/>
          <w:kern w:val="26"/>
          <w:szCs w:val="20"/>
          <w:lang w:val="it-IT"/>
        </w:rPr>
        <w:t>.</w:t>
      </w:r>
      <w:r w:rsidRPr="003125E2">
        <w:rPr>
          <w:rFonts w:eastAsia="Times New Roman" w:cs="Times New Roman"/>
          <w:kern w:val="26"/>
          <w:szCs w:val="20"/>
          <w:lang w:val="it-IT"/>
        </w:rPr>
        <w:t xml:space="preserve"> Casanova</w:t>
      </w:r>
      <w:r w:rsidRPr="003125E2">
        <w:rPr>
          <w:rFonts w:eastAsia="Times New Roman" w:cs="Times New Roman"/>
          <w:kern w:val="26"/>
          <w:szCs w:val="20"/>
          <w:vertAlign w:val="superscript"/>
          <w:lang w:val="it-IT"/>
        </w:rPr>
        <w:t>†*</w:t>
      </w:r>
      <w:r w:rsidRPr="003125E2">
        <w:rPr>
          <w:rFonts w:eastAsia="Times New Roman" w:cs="Times New Roman"/>
          <w:kern w:val="26"/>
          <w:szCs w:val="20"/>
          <w:lang w:val="it-IT"/>
        </w:rPr>
        <w:t>,</w:t>
      </w:r>
      <w:r w:rsidR="00712F46">
        <w:rPr>
          <w:rFonts w:eastAsia="Times New Roman" w:cs="Times New Roman"/>
          <w:kern w:val="26"/>
          <w:szCs w:val="20"/>
          <w:lang w:val="it-IT"/>
        </w:rPr>
        <w:t xml:space="preserve"> </w:t>
      </w:r>
      <w:r w:rsidR="00712F46" w:rsidRPr="007819C7">
        <w:rPr>
          <w:kern w:val="26"/>
          <w:lang w:val="it-IT"/>
        </w:rPr>
        <w:t>Mattia Arosio</w:t>
      </w:r>
      <w:r w:rsidR="00712F46" w:rsidRPr="007819C7">
        <w:rPr>
          <w:kern w:val="26"/>
          <w:vertAlign w:val="superscript"/>
          <w:lang w:val="it-IT"/>
        </w:rPr>
        <w:t>†</w:t>
      </w:r>
      <w:r w:rsidR="00712F46" w:rsidRPr="007819C7">
        <w:rPr>
          <w:kern w:val="26"/>
          <w:lang w:val="it-IT"/>
        </w:rPr>
        <w:t>,</w:t>
      </w:r>
      <w:r w:rsidR="00712F46">
        <w:rPr>
          <w:kern w:val="26"/>
          <w:lang w:val="it-IT"/>
        </w:rPr>
        <w:t xml:space="preserve"> </w:t>
      </w:r>
      <w:r w:rsidR="00712F46" w:rsidRPr="00FD4D7A">
        <w:rPr>
          <w:kern w:val="26"/>
          <w:lang w:val="it-IT"/>
        </w:rPr>
        <w:t>Mohammad</w:t>
      </w:r>
      <w:r w:rsidR="00712F46">
        <w:rPr>
          <w:kern w:val="26"/>
          <w:lang w:val="it-IT"/>
        </w:rPr>
        <w:t xml:space="preserve"> Taghi Hashemi</w:t>
      </w:r>
      <w:r w:rsidR="00712F46" w:rsidRPr="008F3C28">
        <w:rPr>
          <w:b/>
          <w:vertAlign w:val="superscript"/>
          <w:lang w:val="it-IT"/>
        </w:rPr>
        <w:t>††</w:t>
      </w:r>
      <w:r w:rsidR="00712F46">
        <w:rPr>
          <w:b/>
          <w:lang w:val="it-IT"/>
        </w:rPr>
        <w:t>,</w:t>
      </w:r>
      <w:r w:rsidRPr="003125E2">
        <w:rPr>
          <w:rFonts w:eastAsia="Times New Roman" w:cs="Times New Roman"/>
          <w:kern w:val="26"/>
          <w:szCs w:val="20"/>
          <w:lang w:val="it-IT"/>
        </w:rPr>
        <w:t xml:space="preserve"> M</w:t>
      </w:r>
      <w:r w:rsidR="009955C9">
        <w:rPr>
          <w:rFonts w:eastAsia="Times New Roman" w:cs="Times New Roman"/>
          <w:kern w:val="26"/>
          <w:szCs w:val="20"/>
          <w:lang w:val="it-IT"/>
        </w:rPr>
        <w:t>.</w:t>
      </w:r>
      <w:r w:rsidRPr="003125E2">
        <w:rPr>
          <w:rFonts w:eastAsia="Times New Roman" w:cs="Times New Roman"/>
          <w:kern w:val="26"/>
          <w:szCs w:val="20"/>
          <w:lang w:val="it-IT"/>
        </w:rPr>
        <w:t xml:space="preserve"> Pedeferri</w:t>
      </w:r>
      <w:r w:rsidRPr="003125E2">
        <w:rPr>
          <w:rFonts w:eastAsia="Times New Roman" w:cs="Times New Roman"/>
          <w:kern w:val="26"/>
          <w:szCs w:val="20"/>
          <w:vertAlign w:val="superscript"/>
          <w:lang w:val="it-IT"/>
        </w:rPr>
        <w:t>†</w:t>
      </w:r>
      <w:r w:rsidRPr="003125E2">
        <w:rPr>
          <w:rFonts w:eastAsia="Times New Roman" w:cs="Times New Roman"/>
          <w:kern w:val="26"/>
          <w:szCs w:val="20"/>
          <w:lang w:val="it-IT"/>
        </w:rPr>
        <w:t>, G</w:t>
      </w:r>
      <w:r w:rsidR="009955C9">
        <w:rPr>
          <w:rFonts w:eastAsia="Times New Roman" w:cs="Times New Roman"/>
          <w:kern w:val="26"/>
          <w:szCs w:val="20"/>
          <w:lang w:val="it-IT"/>
        </w:rPr>
        <w:t>.A.</w:t>
      </w:r>
      <w:r w:rsidRPr="003125E2">
        <w:rPr>
          <w:rFonts w:eastAsia="Times New Roman" w:cs="Times New Roman"/>
          <w:kern w:val="26"/>
          <w:szCs w:val="20"/>
          <w:lang w:val="it-IT"/>
        </w:rPr>
        <w:t xml:space="preserve"> Botton</w:t>
      </w:r>
      <w:r w:rsidRPr="003125E2">
        <w:rPr>
          <w:rFonts w:eastAsia="Times New Roman" w:cs="Times New Roman"/>
          <w:kern w:val="26"/>
          <w:szCs w:val="20"/>
          <w:vertAlign w:val="superscript"/>
          <w:lang w:val="it-IT"/>
        </w:rPr>
        <w:t>††</w:t>
      </w:r>
      <w:r w:rsidRPr="003125E2">
        <w:rPr>
          <w:rFonts w:eastAsia="Times New Roman" w:cs="Times New Roman"/>
          <w:kern w:val="26"/>
          <w:szCs w:val="20"/>
          <w:lang w:val="it-IT"/>
        </w:rPr>
        <w:t>, M</w:t>
      </w:r>
      <w:r w:rsidR="009955C9">
        <w:rPr>
          <w:rFonts w:eastAsia="Times New Roman" w:cs="Times New Roman"/>
          <w:kern w:val="26"/>
          <w:szCs w:val="20"/>
          <w:lang w:val="it-IT"/>
        </w:rPr>
        <w:t>.</w:t>
      </w:r>
      <w:r w:rsidRPr="003125E2">
        <w:rPr>
          <w:rFonts w:eastAsia="Times New Roman" w:cs="Times New Roman"/>
          <w:kern w:val="26"/>
          <w:szCs w:val="20"/>
          <w:lang w:val="it-IT"/>
        </w:rPr>
        <w:t xml:space="preserve"> Ormellese</w:t>
      </w:r>
      <w:r w:rsidRPr="003125E2">
        <w:rPr>
          <w:rFonts w:eastAsia="Times New Roman" w:cs="Times New Roman"/>
          <w:kern w:val="26"/>
          <w:szCs w:val="20"/>
          <w:vertAlign w:val="superscript"/>
          <w:lang w:val="it-IT"/>
        </w:rPr>
        <w:t>†</w:t>
      </w:r>
    </w:p>
    <w:p w14:paraId="3B0C866D" w14:textId="77777777" w:rsidR="001C421B" w:rsidRPr="003125E2" w:rsidRDefault="001C421B" w:rsidP="003125E2">
      <w:pPr>
        <w:spacing w:after="60" w:line="240" w:lineRule="auto"/>
        <w:rPr>
          <w:rFonts w:eastAsia="Times New Roman" w:cs="Times New Roman"/>
          <w:kern w:val="26"/>
          <w:szCs w:val="20"/>
          <w:vertAlign w:val="superscript"/>
          <w:lang w:val="it-IT"/>
        </w:rPr>
      </w:pPr>
    </w:p>
    <w:p w14:paraId="0550A40E" w14:textId="77777777" w:rsidR="003125E2" w:rsidRPr="003125E2" w:rsidRDefault="003125E2" w:rsidP="003125E2">
      <w:pPr>
        <w:spacing w:after="220" w:line="240" w:lineRule="auto"/>
        <w:rPr>
          <w:rFonts w:eastAsia="Times New Roman" w:cs="Times New Roman"/>
          <w:kern w:val="22"/>
          <w:sz w:val="20"/>
          <w:szCs w:val="20"/>
        </w:rPr>
      </w:pPr>
      <w:r w:rsidRPr="003125E2">
        <w:rPr>
          <w:rFonts w:eastAsia="Times New Roman" w:cs="Times New Roman"/>
          <w:kern w:val="22"/>
          <w:sz w:val="20"/>
          <w:szCs w:val="20"/>
        </w:rPr>
        <w:t>† Dept. Chemistry, Materials and Chemical Engineering “G. Natta”, Politecnico di Milano, Via Mancinelli 7, 20131 Milano, Italy</w:t>
      </w:r>
    </w:p>
    <w:p w14:paraId="01B2528E" w14:textId="030A1621" w:rsidR="003125E2" w:rsidRPr="003125E2" w:rsidRDefault="003125E2" w:rsidP="003125E2">
      <w:pPr>
        <w:rPr>
          <w:rFonts w:cs="Times New Roman"/>
          <w:color w:val="222222"/>
          <w:sz w:val="20"/>
          <w:szCs w:val="20"/>
        </w:rPr>
      </w:pPr>
      <w:r w:rsidRPr="003125E2">
        <w:rPr>
          <w:rFonts w:cs="Times New Roman"/>
          <w:b/>
          <w:sz w:val="20"/>
          <w:szCs w:val="20"/>
        </w:rPr>
        <w:t>††</w:t>
      </w:r>
      <w:r w:rsidRPr="003125E2">
        <w:rPr>
          <w:rFonts w:cs="Times New Roman"/>
          <w:b/>
          <w:sz w:val="20"/>
          <w:szCs w:val="20"/>
          <w:vertAlign w:val="superscript"/>
        </w:rPr>
        <w:t xml:space="preserve"> </w:t>
      </w:r>
      <w:r w:rsidRPr="003125E2">
        <w:rPr>
          <w:rFonts w:cs="Times New Roman"/>
          <w:color w:val="222222"/>
          <w:sz w:val="20"/>
          <w:szCs w:val="20"/>
        </w:rPr>
        <w:t>Department of Materials Science and Engineering McMaster University</w:t>
      </w:r>
      <w:r w:rsidR="00166176">
        <w:rPr>
          <w:rFonts w:cs="Times New Roman"/>
          <w:color w:val="222222"/>
          <w:sz w:val="20"/>
          <w:szCs w:val="20"/>
        </w:rPr>
        <w:t>,</w:t>
      </w:r>
      <w:r w:rsidRPr="003125E2">
        <w:rPr>
          <w:rFonts w:cs="Times New Roman"/>
          <w:color w:val="222222"/>
          <w:sz w:val="20"/>
          <w:szCs w:val="20"/>
        </w:rPr>
        <w:t xml:space="preserve"> 1280 Main Street West Hamilton, Ontario L8S 4L7</w:t>
      </w:r>
      <w:r w:rsidR="00FE08D5">
        <w:rPr>
          <w:rFonts w:cs="Times New Roman"/>
          <w:color w:val="222222"/>
          <w:sz w:val="20"/>
          <w:szCs w:val="20"/>
        </w:rPr>
        <w:t>,</w:t>
      </w:r>
      <w:r w:rsidRPr="003125E2">
        <w:rPr>
          <w:rFonts w:cs="Times New Roman"/>
          <w:color w:val="222222"/>
          <w:sz w:val="20"/>
          <w:szCs w:val="20"/>
        </w:rPr>
        <w:t xml:space="preserve"> Canada</w:t>
      </w:r>
    </w:p>
    <w:p w14:paraId="3115BE2B" w14:textId="77777777" w:rsidR="00C71EA4" w:rsidRPr="005D72A8" w:rsidRDefault="00C71EA4" w:rsidP="00C71EA4">
      <w:pPr>
        <w:spacing w:after="0" w:line="240" w:lineRule="auto"/>
        <w:rPr>
          <w:rFonts w:eastAsia="Calibri" w:cs="Times New Roman"/>
          <w:i/>
          <w:szCs w:val="24"/>
          <w:lang w:val="it-IT"/>
        </w:rPr>
      </w:pPr>
      <w:r w:rsidRPr="005D72A8">
        <w:rPr>
          <w:rFonts w:eastAsia="Calibri" w:cs="Times New Roman"/>
          <w:i/>
          <w:szCs w:val="24"/>
          <w:lang w:val="it-IT"/>
        </w:rPr>
        <w:t>*Corresponding author:</w:t>
      </w:r>
    </w:p>
    <w:p w14:paraId="2A2D5463" w14:textId="77777777" w:rsidR="00C71EA4" w:rsidRPr="005D72A8" w:rsidRDefault="00C71EA4" w:rsidP="00C71EA4">
      <w:pPr>
        <w:spacing w:after="0" w:line="240" w:lineRule="auto"/>
        <w:rPr>
          <w:rFonts w:eastAsia="Calibri" w:cs="Times New Roman"/>
          <w:i/>
          <w:szCs w:val="24"/>
          <w:lang w:val="it-IT"/>
        </w:rPr>
      </w:pPr>
      <w:r w:rsidRPr="005D72A8">
        <w:rPr>
          <w:rFonts w:eastAsia="Calibri" w:cs="Times New Roman"/>
          <w:i/>
          <w:szCs w:val="24"/>
          <w:lang w:val="it-IT"/>
        </w:rPr>
        <w:t>Luca Casanova</w:t>
      </w:r>
    </w:p>
    <w:p w14:paraId="280B1F80" w14:textId="77777777" w:rsidR="00C71EA4" w:rsidRPr="00C71EA4" w:rsidRDefault="00C71EA4" w:rsidP="00C71EA4">
      <w:pPr>
        <w:spacing w:after="0" w:line="240" w:lineRule="auto"/>
        <w:rPr>
          <w:rFonts w:eastAsia="Calibri" w:cs="Times New Roman"/>
          <w:i/>
          <w:color w:val="0000FF"/>
          <w:szCs w:val="24"/>
          <w:u w:val="single"/>
          <w:lang w:val="it-IT"/>
        </w:rPr>
      </w:pPr>
      <w:r w:rsidRPr="00C71EA4">
        <w:rPr>
          <w:rFonts w:eastAsia="Calibri" w:cs="Times New Roman"/>
          <w:i/>
          <w:szCs w:val="24"/>
          <w:lang w:val="it-IT"/>
        </w:rPr>
        <w:t xml:space="preserve">E-mail: </w:t>
      </w:r>
      <w:hyperlink r:id="rId8" w:history="1">
        <w:r w:rsidRPr="000863A0">
          <w:rPr>
            <w:rStyle w:val="Hyperlink"/>
            <w:rFonts w:eastAsia="Calibri" w:cs="Times New Roman"/>
            <w:i/>
            <w:szCs w:val="24"/>
            <w:lang w:val="it-IT"/>
          </w:rPr>
          <w:t>luca.casanova@polimi.it</w:t>
        </w:r>
      </w:hyperlink>
    </w:p>
    <w:p w14:paraId="4DC43A8E" w14:textId="77777777" w:rsidR="00C71EA4" w:rsidRPr="00C71EA4" w:rsidRDefault="00C71EA4" w:rsidP="00C71EA4">
      <w:pPr>
        <w:spacing w:after="0" w:line="240" w:lineRule="auto"/>
        <w:rPr>
          <w:rFonts w:eastAsia="Calibri" w:cs="Times New Roman"/>
          <w:i/>
          <w:color w:val="0000FF"/>
          <w:szCs w:val="24"/>
          <w:u w:val="single"/>
        </w:rPr>
      </w:pPr>
      <w:r w:rsidRPr="00C71EA4">
        <w:rPr>
          <w:rFonts w:eastAsia="Calibri" w:cs="Times New Roman"/>
          <w:i/>
          <w:iCs/>
          <w:color w:val="000000"/>
          <w:szCs w:val="24"/>
          <w:shd w:val="clear" w:color="auto" w:fill="FFFFFF"/>
        </w:rPr>
        <w:t>Phone:</w:t>
      </w:r>
      <w:r w:rsidRPr="00C71EA4">
        <w:rPr>
          <w:rFonts w:eastAsia="Calibri" w:cs="Times New Roman"/>
          <w:color w:val="000000"/>
          <w:szCs w:val="24"/>
          <w:shd w:val="clear" w:color="auto" w:fill="FFFFFF"/>
        </w:rPr>
        <w:t xml:space="preserve"> </w:t>
      </w:r>
      <w:r>
        <w:rPr>
          <w:rFonts w:eastAsia="Calibri" w:cs="Times New Roman"/>
          <w:i/>
          <w:iCs/>
          <w:color w:val="000000"/>
          <w:szCs w:val="24"/>
          <w:shd w:val="clear" w:color="auto" w:fill="FFFFFF"/>
        </w:rPr>
        <w:t xml:space="preserve">+39 </w:t>
      </w:r>
      <w:r w:rsidRPr="00C71EA4">
        <w:rPr>
          <w:rFonts w:eastAsia="Calibri" w:cs="Times New Roman"/>
          <w:i/>
          <w:iCs/>
          <w:color w:val="000000"/>
          <w:szCs w:val="24"/>
          <w:shd w:val="clear" w:color="auto" w:fill="FFFFFF"/>
        </w:rPr>
        <w:t>02 2399 3324</w:t>
      </w:r>
    </w:p>
    <w:p w14:paraId="3BDF47AD" w14:textId="77777777" w:rsidR="00D930E1" w:rsidRPr="001D79E1" w:rsidRDefault="00D930E1">
      <w:pPr>
        <w:rPr>
          <w:rFonts w:cs="Times New Roman"/>
          <w:b/>
          <w:sz w:val="40"/>
        </w:rPr>
      </w:pPr>
    </w:p>
    <w:p w14:paraId="7FCD7EF3" w14:textId="77777777" w:rsidR="00D930E1" w:rsidRPr="002C234B" w:rsidRDefault="00D930E1" w:rsidP="00D35C0B">
      <w:pPr>
        <w:spacing w:after="0"/>
        <w:rPr>
          <w:rFonts w:cs="Times New Roman"/>
          <w:b/>
          <w:sz w:val="32"/>
        </w:rPr>
      </w:pPr>
      <w:r w:rsidRPr="002C234B">
        <w:rPr>
          <w:rFonts w:cs="Times New Roman"/>
          <w:b/>
          <w:sz w:val="32"/>
        </w:rPr>
        <w:t>Abstract:</w:t>
      </w:r>
    </w:p>
    <w:p w14:paraId="2AA0BF4D" w14:textId="679FC783" w:rsidR="000D71D1" w:rsidRDefault="001D462D" w:rsidP="001D79E1">
      <w:pPr>
        <w:rPr>
          <w:rFonts w:cs="Times New Roman"/>
        </w:rPr>
      </w:pPr>
      <w:r>
        <w:rPr>
          <w:rFonts w:cs="Times New Roman"/>
        </w:rPr>
        <w:t xml:space="preserve">In this study </w:t>
      </w:r>
      <w:r w:rsidR="00525F20">
        <w:rPr>
          <w:rFonts w:cs="Times New Roman"/>
        </w:rPr>
        <w:t>the corrosion mechanism leading</w:t>
      </w:r>
      <w:r w:rsidR="001C29FC">
        <w:rPr>
          <w:rFonts w:cs="Times New Roman"/>
        </w:rPr>
        <w:t xml:space="preserve"> to</w:t>
      </w:r>
      <w:r w:rsidR="00525F20">
        <w:rPr>
          <w:rFonts w:cs="Times New Roman"/>
        </w:rPr>
        <w:t xml:space="preserve"> coating</w:t>
      </w:r>
      <w:r w:rsidR="005531A4">
        <w:rPr>
          <w:rFonts w:cs="Times New Roman"/>
        </w:rPr>
        <w:t xml:space="preserve"> debonding</w:t>
      </w:r>
      <w:r w:rsidR="001C29FC">
        <w:rPr>
          <w:rFonts w:cs="Times New Roman"/>
        </w:rPr>
        <w:t xml:space="preserve"> in low pH environments</w:t>
      </w:r>
      <w:r w:rsidR="00BB4752">
        <w:rPr>
          <w:rFonts w:cs="Times New Roman"/>
        </w:rPr>
        <w:t>,</w:t>
      </w:r>
      <w:r w:rsidR="00525F20">
        <w:rPr>
          <w:rFonts w:cs="Times New Roman"/>
        </w:rPr>
        <w:t xml:space="preserve"> produced by plasma electrolytic oxidation (PEO) </w:t>
      </w:r>
      <w:r w:rsidR="00BB4752">
        <w:rPr>
          <w:rFonts w:cs="Times New Roman"/>
        </w:rPr>
        <w:t xml:space="preserve">on Ti, is investigated through the conjunction of </w:t>
      </w:r>
      <w:r w:rsidR="00977192">
        <w:rPr>
          <w:rFonts w:cs="Times New Roman"/>
        </w:rPr>
        <w:t>electrochemical</w:t>
      </w:r>
      <w:r w:rsidR="00BB4752">
        <w:rPr>
          <w:rFonts w:cs="Times New Roman"/>
        </w:rPr>
        <w:t xml:space="preserve"> impedance spectroscopy (EIS)</w:t>
      </w:r>
      <w:r w:rsidR="0004427C">
        <w:rPr>
          <w:rFonts w:cs="Times New Roman"/>
        </w:rPr>
        <w:t xml:space="preserve">, </w:t>
      </w:r>
      <w:r w:rsidR="00977192">
        <w:rPr>
          <w:rFonts w:cs="Times New Roman"/>
        </w:rPr>
        <w:t xml:space="preserve">potential </w:t>
      </w:r>
      <w:r w:rsidR="00BB4752">
        <w:rPr>
          <w:rFonts w:cs="Times New Roman"/>
        </w:rPr>
        <w:t>step</w:t>
      </w:r>
      <w:r w:rsidR="003509B6">
        <w:rPr>
          <w:rFonts w:cs="Times New Roman"/>
        </w:rPr>
        <w:t xml:space="preserve"> chronometric</w:t>
      </w:r>
      <w:r w:rsidR="002F74BF">
        <w:rPr>
          <w:rFonts w:cs="Times New Roman"/>
        </w:rPr>
        <w:t>,</w:t>
      </w:r>
      <w:r w:rsidR="00977192">
        <w:rPr>
          <w:rFonts w:cs="Times New Roman"/>
        </w:rPr>
        <w:t xml:space="preserve"> and </w:t>
      </w:r>
      <w:r w:rsidR="00936DA8">
        <w:rPr>
          <w:rFonts w:cs="Times New Roman"/>
        </w:rPr>
        <w:t>a detailed structural characterization</w:t>
      </w:r>
      <w:r w:rsidR="003509B6">
        <w:rPr>
          <w:rFonts w:cs="Times New Roman"/>
        </w:rPr>
        <w:t xml:space="preserve"> </w:t>
      </w:r>
      <w:r w:rsidR="00936DA8">
        <w:rPr>
          <w:rFonts w:cs="Times New Roman"/>
        </w:rPr>
        <w:t xml:space="preserve">according to the use of </w:t>
      </w:r>
      <w:r w:rsidR="00805549">
        <w:rPr>
          <w:rFonts w:cs="Times New Roman"/>
        </w:rPr>
        <w:t>electron energy loss spectroscopy (EELS).</w:t>
      </w:r>
      <w:r w:rsidR="005970F5">
        <w:rPr>
          <w:rFonts w:cs="Times New Roman"/>
        </w:rPr>
        <w:t xml:space="preserve"> It will be demonstrated that</w:t>
      </w:r>
      <w:r w:rsidR="00110AFC">
        <w:rPr>
          <w:rFonts w:cs="Times New Roman"/>
        </w:rPr>
        <w:t xml:space="preserve"> a slightly reduced </w:t>
      </w:r>
      <w:r w:rsidR="00172EE3">
        <w:rPr>
          <w:rFonts w:cs="Times New Roman"/>
        </w:rPr>
        <w:t xml:space="preserve">oxide will enhance </w:t>
      </w:r>
      <w:r w:rsidR="00AD7161">
        <w:rPr>
          <w:rFonts w:cs="Times New Roman"/>
        </w:rPr>
        <w:t>proton adsorption</w:t>
      </w:r>
      <w:r w:rsidR="00172EE3">
        <w:rPr>
          <w:rFonts w:cs="Times New Roman"/>
        </w:rPr>
        <w:t xml:space="preserve"> and percolation leading to oxide debonding,</w:t>
      </w:r>
      <w:r w:rsidR="00BB3B82">
        <w:rPr>
          <w:rFonts w:cs="Times New Roman"/>
        </w:rPr>
        <w:t xml:space="preserve"> while</w:t>
      </w:r>
      <w:r w:rsidR="005970F5">
        <w:rPr>
          <w:rFonts w:cs="Times New Roman"/>
        </w:rPr>
        <w:t xml:space="preserve"> </w:t>
      </w:r>
      <w:r w:rsidR="007773D2">
        <w:rPr>
          <w:rFonts w:cs="Times New Roman"/>
        </w:rPr>
        <w:t xml:space="preserve">the </w:t>
      </w:r>
      <w:r w:rsidR="00BB3B82">
        <w:rPr>
          <w:rFonts w:cs="Times New Roman"/>
        </w:rPr>
        <w:t>synthesis</w:t>
      </w:r>
      <w:r w:rsidR="007773D2">
        <w:rPr>
          <w:rFonts w:cs="Times New Roman"/>
        </w:rPr>
        <w:t xml:space="preserve"> of a barrier layer mainly composed by Ti</w:t>
      </w:r>
      <w:r w:rsidR="007773D2">
        <w:rPr>
          <w:rFonts w:cs="Times New Roman"/>
          <w:vertAlign w:val="superscript"/>
        </w:rPr>
        <w:t>4+</w:t>
      </w:r>
      <w:r w:rsidR="007773D2">
        <w:rPr>
          <w:rFonts w:cs="Times New Roman"/>
        </w:rPr>
        <w:t xml:space="preserve"> oxide bearing phases</w:t>
      </w:r>
      <w:r w:rsidR="004B4133">
        <w:rPr>
          <w:rFonts w:cs="Times New Roman"/>
        </w:rPr>
        <w:t xml:space="preserve"> and low S content</w:t>
      </w:r>
      <w:r w:rsidR="007773D2">
        <w:rPr>
          <w:rFonts w:cs="Times New Roman"/>
        </w:rPr>
        <w:t xml:space="preserve"> will </w:t>
      </w:r>
      <w:r w:rsidR="0017234A">
        <w:rPr>
          <w:rFonts w:cs="Times New Roman"/>
        </w:rPr>
        <w:t>retard H</w:t>
      </w:r>
      <w:r w:rsidR="0017234A">
        <w:rPr>
          <w:rFonts w:cs="Times New Roman"/>
          <w:vertAlign w:val="superscript"/>
        </w:rPr>
        <w:t>+</w:t>
      </w:r>
      <w:r w:rsidR="0017234A">
        <w:rPr>
          <w:rFonts w:cs="Times New Roman"/>
        </w:rPr>
        <w:t xml:space="preserve"> permeation</w:t>
      </w:r>
      <w:r w:rsidR="00BB3B82">
        <w:rPr>
          <w:rFonts w:cs="Times New Roman"/>
        </w:rPr>
        <w:t xml:space="preserve"> enhancing</w:t>
      </w:r>
      <w:r w:rsidR="0017234A">
        <w:rPr>
          <w:rFonts w:cs="Times New Roman"/>
        </w:rPr>
        <w:t xml:space="preserve"> H</w:t>
      </w:r>
      <w:r w:rsidR="0017234A">
        <w:rPr>
          <w:rFonts w:cs="Times New Roman"/>
          <w:vertAlign w:val="subscript"/>
        </w:rPr>
        <w:t>2</w:t>
      </w:r>
      <w:r w:rsidR="0017234A">
        <w:rPr>
          <w:rFonts w:cs="Times New Roman"/>
        </w:rPr>
        <w:t xml:space="preserve"> evolution</w:t>
      </w:r>
      <w:r w:rsidR="00BB3B82">
        <w:rPr>
          <w:rFonts w:cs="Times New Roman"/>
        </w:rPr>
        <w:t xml:space="preserve"> in correspondence of the oxide surface</w:t>
      </w:r>
      <w:r w:rsidR="00805945">
        <w:rPr>
          <w:rFonts w:cs="Times New Roman"/>
        </w:rPr>
        <w:t>.</w:t>
      </w:r>
    </w:p>
    <w:p w14:paraId="49DF3C92" w14:textId="77777777" w:rsidR="00872546" w:rsidRPr="00872546" w:rsidRDefault="00872546" w:rsidP="001D79E1">
      <w:pPr>
        <w:rPr>
          <w:rFonts w:cs="Times New Roman"/>
        </w:rPr>
      </w:pPr>
    </w:p>
    <w:p w14:paraId="1B4CCF3E" w14:textId="72355F6F" w:rsidR="00A001FC" w:rsidRPr="00D35C0B" w:rsidRDefault="00D35C0B" w:rsidP="001D79E1">
      <w:pPr>
        <w:rPr>
          <w:rFonts w:cs="Times New Roman"/>
        </w:rPr>
      </w:pPr>
      <w:r w:rsidRPr="00D35C0B">
        <w:rPr>
          <w:rFonts w:cs="Times New Roman"/>
          <w:b/>
        </w:rPr>
        <w:t>Keywords:</w:t>
      </w:r>
      <w:r>
        <w:rPr>
          <w:rFonts w:cs="Times New Roman"/>
          <w:b/>
        </w:rPr>
        <w:t xml:space="preserve"> </w:t>
      </w:r>
      <w:r>
        <w:rPr>
          <w:rFonts w:cs="Times New Roman"/>
        </w:rPr>
        <w:t>titanium; EIS; TEM;</w:t>
      </w:r>
      <w:r w:rsidR="00FF0B98">
        <w:rPr>
          <w:rFonts w:cs="Times New Roman"/>
        </w:rPr>
        <w:t xml:space="preserve"> </w:t>
      </w:r>
      <w:r>
        <w:rPr>
          <w:rFonts w:cs="Times New Roman"/>
        </w:rPr>
        <w:t>acid corrosion; anodic f</w:t>
      </w:r>
      <w:r w:rsidR="004F3606">
        <w:rPr>
          <w:rFonts w:cs="Times New Roman"/>
        </w:rPr>
        <w:t>ilms</w:t>
      </w:r>
      <w:r w:rsidR="00FC13F5">
        <w:rPr>
          <w:rFonts w:cs="Times New Roman"/>
        </w:rPr>
        <w:t>;</w:t>
      </w:r>
      <w:r w:rsidR="001A0B08">
        <w:rPr>
          <w:rFonts w:cs="Times New Roman"/>
        </w:rPr>
        <w:t xml:space="preserve"> </w:t>
      </w:r>
      <w:r w:rsidR="00C57FC6">
        <w:rPr>
          <w:rFonts w:cs="Times New Roman"/>
        </w:rPr>
        <w:t>hydrogen absorption</w:t>
      </w:r>
    </w:p>
    <w:p w14:paraId="55AF4D1B" w14:textId="4D718E39" w:rsidR="00A001FC" w:rsidRPr="00A001FC" w:rsidRDefault="000313D9" w:rsidP="00AF1CBA">
      <w:pPr>
        <w:pStyle w:val="Heading1"/>
        <w:numPr>
          <w:ilvl w:val="0"/>
          <w:numId w:val="0"/>
        </w:numPr>
        <w:spacing w:after="0"/>
      </w:pPr>
      <w:r>
        <w:lastRenderedPageBreak/>
        <w:t xml:space="preserve">1. </w:t>
      </w:r>
      <w:r w:rsidR="002C234B">
        <w:t>Introduction</w:t>
      </w:r>
    </w:p>
    <w:p w14:paraId="3F528BE9" w14:textId="4A397007" w:rsidR="00AD71A1" w:rsidRDefault="00A001FC" w:rsidP="002C234B">
      <w:pPr>
        <w:rPr>
          <w:rFonts w:cs="Times New Roman"/>
        </w:rPr>
      </w:pPr>
      <w:r>
        <w:rPr>
          <w:rFonts w:cs="Times New Roman"/>
        </w:rPr>
        <w:t>When hydrogen makes its way into titanium</w:t>
      </w:r>
      <w:r w:rsidR="000335EB">
        <w:rPr>
          <w:rFonts w:cs="Times New Roman"/>
        </w:rPr>
        <w:t>,</w:t>
      </w:r>
      <w:r w:rsidR="00F51D84">
        <w:rPr>
          <w:rFonts w:cs="Times New Roman"/>
        </w:rPr>
        <w:t xml:space="preserve"> and the concentration</w:t>
      </w:r>
      <w:r w:rsidR="00B942FB">
        <w:rPr>
          <w:rFonts w:cs="Times New Roman"/>
        </w:rPr>
        <w:t xml:space="preserve"> </w:t>
      </w:r>
      <w:r w:rsidR="006C6CCB">
        <w:rPr>
          <w:rFonts w:cs="Times New Roman"/>
        </w:rPr>
        <w:t xml:space="preserve">eventually </w:t>
      </w:r>
      <w:r w:rsidR="000335EB">
        <w:rPr>
          <w:rFonts w:cs="Times New Roman"/>
        </w:rPr>
        <w:t>approach</w:t>
      </w:r>
      <w:r w:rsidR="00F51D84">
        <w:rPr>
          <w:rFonts w:cs="Times New Roman"/>
        </w:rPr>
        <w:t>es</w:t>
      </w:r>
      <w:r w:rsidR="000335EB">
        <w:rPr>
          <w:rFonts w:cs="Times New Roman"/>
        </w:rPr>
        <w:t xml:space="preserve"> the solubility limit of the material,</w:t>
      </w:r>
      <w:r>
        <w:rPr>
          <w:rFonts w:cs="Times New Roman"/>
        </w:rPr>
        <w:t xml:space="preserve"> </w:t>
      </w:r>
      <w:r w:rsidR="00AF551F">
        <w:rPr>
          <w:rFonts w:cs="Times New Roman"/>
        </w:rPr>
        <w:t>weaknesses</w:t>
      </w:r>
      <w:r w:rsidR="00AF551F">
        <w:rPr>
          <w:rFonts w:cs="Times New Roman"/>
        </w:rPr>
        <w:t xml:space="preserve"> </w:t>
      </w:r>
      <w:r w:rsidR="006B6FF5">
        <w:rPr>
          <w:rFonts w:cs="Times New Roman"/>
        </w:rPr>
        <w:t>may</w:t>
      </w:r>
      <w:r w:rsidR="00542887">
        <w:rPr>
          <w:rFonts w:cs="Times New Roman"/>
        </w:rPr>
        <w:t xml:space="preserve"> arise</w:t>
      </w:r>
      <w:r>
        <w:rPr>
          <w:rFonts w:cs="Times New Roman"/>
        </w:rPr>
        <w:t xml:space="preserve"> fro</w:t>
      </w:r>
      <w:r w:rsidR="00542887">
        <w:rPr>
          <w:rFonts w:cs="Times New Roman"/>
        </w:rPr>
        <w:t>m hydrides formation</w:t>
      </w:r>
      <w:r w:rsidR="000335EB">
        <w:rPr>
          <w:rFonts w:cs="Times New Roman"/>
        </w:rPr>
        <w:t xml:space="preserve"> </w:t>
      </w:r>
      <w:r w:rsidR="001F3FDB">
        <w:rPr>
          <w:rFonts w:cs="Times New Roman"/>
        </w:rPr>
        <w:t>inducing</w:t>
      </w:r>
      <w:r w:rsidR="00AF551F">
        <w:rPr>
          <w:rFonts w:cs="Times New Roman"/>
        </w:rPr>
        <w:t xml:space="preserve"> </w:t>
      </w:r>
      <w:r>
        <w:rPr>
          <w:rFonts w:cs="Times New Roman"/>
        </w:rPr>
        <w:t>loss in ductility and failure of the component</w:t>
      </w:r>
      <w:r w:rsidR="00620BE9">
        <w:rPr>
          <w:rFonts w:cs="Times New Roman"/>
        </w:rPr>
        <w:t xml:space="preserve"> </w:t>
      </w:r>
      <w:r w:rsidR="00620BE9">
        <w:rPr>
          <w:rFonts w:cs="Times New Roman"/>
        </w:rPr>
        <w:fldChar w:fldCharType="begin" w:fldLock="1"/>
      </w:r>
      <w:r w:rsidR="00620BE9">
        <w:rPr>
          <w:rFonts w:cs="Times New Roman"/>
        </w:rPr>
        <w:instrText>ADDIN CSL_CITATION {"citationItems":[{"id":"ITEM-1","itemData":{"DOI":"10.1016/S0010-938X(01)00159-7","ISSN":"0010938X","abstract":"This paper presents a study of hydrogen embrittlement of commercial purity titanium. The first part of the results section considers gaseous hydrogen embrittlement of grade 2 titanium. This particular heat of material had been found to be very resistant to hydrogen cracking when tested in acidic salt water conditions. A thick hydride layer would form on the surface but this film had little effect on mechanical properties. However, when exposed to gaseous hydrogen at elevated temperatures this material readily formed hydrides and the material became very brittle. In addition to our discussion of these results we also present results for grade 4 titanium tested in sodium chloride solution and compare it with previously reported results on the grades 2 and 3 titanium. Of these three grades of titanium, only the grade 3 showed susceptibility to hydrogen embrittlement when tested in the sodium chloride environment. We suggest that the reason why this material was more susceptible to hydride formation and hydrogen embrittlement was because of the higher iron content of the grade 3 titanium. © 2002 Elsevier Science Ltd. All rights reserved.","author":[{"dropping-particle":"","family":"Briant","given":"C. L.","non-dropping-particle":"","parse-names":false,"suffix":""},{"dropping-particle":"","family":"Wang","given":"Z. F.","non-dropping-particle":"","parse-names":false,"suffix":""},{"dropping-particle":"","family":"Chollocoop","given":"N.","non-dropping-particle":"","parse-names":false,"suffix":""}],"container-title":"Corrosion Science","id":"ITEM-1","issue":"8","issued":{"date-parts":[["2002"]]},"page":"1875-1888","title":"Hydrogen embrittlement of commercial purity titanium","type":"article-journal","volume":"44"},"uris":["http://www.mendeley.com/documents/?uuid=e379fda6-2d1a-4b52-9949-eeac44378238"]}],"mendeley":{"formattedCitation":"[1]","plainTextFormattedCitation":"[1]","previouslyFormattedCitation":"[1]"},"properties":{"noteIndex":0},"schema":"https://github.com/citation-style-language/schema/raw/master/csl-citation.json"}</w:instrText>
      </w:r>
      <w:r w:rsidR="00620BE9">
        <w:rPr>
          <w:rFonts w:cs="Times New Roman"/>
        </w:rPr>
        <w:fldChar w:fldCharType="separate"/>
      </w:r>
      <w:r w:rsidR="00620BE9" w:rsidRPr="00620BE9">
        <w:rPr>
          <w:rFonts w:cs="Times New Roman"/>
          <w:noProof/>
        </w:rPr>
        <w:t>[1]</w:t>
      </w:r>
      <w:r w:rsidR="00620BE9">
        <w:rPr>
          <w:rFonts w:cs="Times New Roman"/>
        </w:rPr>
        <w:fldChar w:fldCharType="end"/>
      </w:r>
      <w:r>
        <w:rPr>
          <w:rFonts w:cs="Times New Roman"/>
        </w:rPr>
        <w:t>. This is particularly true when the metal is employed in cathodically protected structures like heat exchangers of desalination plants</w:t>
      </w:r>
      <w:r w:rsidR="003D51F6">
        <w:rPr>
          <w:rFonts w:cs="Times New Roman"/>
        </w:rPr>
        <w:t xml:space="preserve"> where t</w:t>
      </w:r>
      <w:r>
        <w:rPr>
          <w:rFonts w:cs="Times New Roman"/>
        </w:rPr>
        <w:t>he formation of scales</w:t>
      </w:r>
      <w:r w:rsidR="004C6F31">
        <w:rPr>
          <w:rFonts w:cs="Times New Roman"/>
        </w:rPr>
        <w:t>,</w:t>
      </w:r>
      <w:r>
        <w:rPr>
          <w:rFonts w:cs="Times New Roman"/>
        </w:rPr>
        <w:t xml:space="preserve"> like Mg(OH)</w:t>
      </w:r>
      <w:r>
        <w:rPr>
          <w:rFonts w:cs="Times New Roman"/>
          <w:vertAlign w:val="subscript"/>
        </w:rPr>
        <w:t>2</w:t>
      </w:r>
      <w:r>
        <w:rPr>
          <w:rFonts w:cs="Times New Roman"/>
        </w:rPr>
        <w:t xml:space="preserve"> and CaCO</w:t>
      </w:r>
      <w:r>
        <w:rPr>
          <w:rFonts w:cs="Times New Roman"/>
          <w:vertAlign w:val="subscript"/>
        </w:rPr>
        <w:t>3</w:t>
      </w:r>
      <w:r w:rsidR="004C6F31">
        <w:rPr>
          <w:rFonts w:cs="Times New Roman"/>
        </w:rPr>
        <w:t>,</w:t>
      </w:r>
      <w:r>
        <w:rPr>
          <w:rFonts w:cs="Times New Roman"/>
        </w:rPr>
        <w:t xml:space="preserve"> </w:t>
      </w:r>
      <w:r w:rsidR="00A54F49">
        <w:rPr>
          <w:rFonts w:cs="Times New Roman"/>
        </w:rPr>
        <w:t>onto the metal surface</w:t>
      </w:r>
      <w:r w:rsidR="009C7DCA">
        <w:rPr>
          <w:rFonts w:cs="Times New Roman"/>
        </w:rPr>
        <w:t>,</w:t>
      </w:r>
      <w:r w:rsidR="00E25054">
        <w:rPr>
          <w:rFonts w:cs="Times New Roman"/>
        </w:rPr>
        <w:t xml:space="preserve"> </w:t>
      </w:r>
      <w:r w:rsidR="00E25054" w:rsidRPr="00E25054">
        <w:rPr>
          <w:rFonts w:cs="Times New Roman"/>
        </w:rPr>
        <w:t>affect</w:t>
      </w:r>
      <w:r w:rsidR="007C2671">
        <w:rPr>
          <w:rFonts w:cs="Times New Roman"/>
        </w:rPr>
        <w:t>s</w:t>
      </w:r>
      <w:r w:rsidR="00E25054" w:rsidRPr="00E25054">
        <w:rPr>
          <w:rFonts w:cs="Times New Roman"/>
        </w:rPr>
        <w:t xml:space="preserve"> the heat transfer coefficient</w:t>
      </w:r>
      <w:r w:rsidR="00735F15">
        <w:rPr>
          <w:rFonts w:cs="Times New Roman"/>
        </w:rPr>
        <w:t xml:space="preserve"> decreas</w:t>
      </w:r>
      <w:r w:rsidR="00E25054">
        <w:rPr>
          <w:rFonts w:cs="Times New Roman"/>
        </w:rPr>
        <w:t>ing</w:t>
      </w:r>
      <w:r w:rsidR="00735F15">
        <w:rPr>
          <w:rFonts w:cs="Times New Roman"/>
        </w:rPr>
        <w:t xml:space="preserve"> the </w:t>
      </w:r>
      <w:r w:rsidR="004A408D">
        <w:rPr>
          <w:rFonts w:cs="Times New Roman"/>
        </w:rPr>
        <w:t xml:space="preserve">overall </w:t>
      </w:r>
      <w:r w:rsidR="00735F15">
        <w:rPr>
          <w:rFonts w:cs="Times New Roman"/>
        </w:rPr>
        <w:t>rated capacity of the plant</w:t>
      </w:r>
      <w:r w:rsidR="0055745C">
        <w:rPr>
          <w:rFonts w:cs="Times New Roman"/>
        </w:rPr>
        <w:t>. As a matter of fact,</w:t>
      </w:r>
      <w:r w:rsidR="00A54F49">
        <w:rPr>
          <w:rFonts w:cs="Times New Roman"/>
        </w:rPr>
        <w:t xml:space="preserve"> frequent descaling operations</w:t>
      </w:r>
      <w:r w:rsidR="0055745C">
        <w:rPr>
          <w:rFonts w:cs="Times New Roman"/>
        </w:rPr>
        <w:t xml:space="preserve"> are</w:t>
      </w:r>
      <w:r w:rsidR="00A54F49">
        <w:rPr>
          <w:rFonts w:cs="Times New Roman"/>
        </w:rPr>
        <w:t xml:space="preserve"> generally carried out with the use of sulfuric acid</w:t>
      </w:r>
      <w:r w:rsidR="00620BE9">
        <w:rPr>
          <w:rFonts w:cs="Times New Roman"/>
        </w:rPr>
        <w:t xml:space="preserve"> </w:t>
      </w:r>
      <w:r w:rsidR="00620BE9">
        <w:rPr>
          <w:rFonts w:cs="Times New Roman"/>
        </w:rPr>
        <w:fldChar w:fldCharType="begin" w:fldLock="1"/>
      </w:r>
      <w:r w:rsidR="00620BE9">
        <w:rPr>
          <w:rFonts w:cs="Times New Roman"/>
        </w:rPr>
        <w:instrText>ADDIN CSL_CITATION {"citationItems":[{"id":"ITEM-1","itemData":{"DOI":"10.1016/S0011-9164(00)00050-3","ISSN":"00119164","abstract":"Titanium metal has been used extensively for heat exchanger tubes in MSF-type desalination plants in Middle East countries. This is mainly due to its excellent erosion-corrosion resistance and good heat transfer properties. In an MSF plant, during desalination processes progressive build-up of scale occurs inside the tubes, and the cleaning of tubes by descaling is an essential maintenance operation. The scales mainly consist of CaCO3 and Mg(OH)2. The descaling is usually carried out by using an inhibited acid. This paper presents the results of a study aimed to determine the feasibility of using inhibited H2SO4 as an effective and trouble-free descalant. An investigation was undertaken to study the corrosion behavior of titanium metal in H2SO4 solution inhibited with CP-20, a β-ethyl phenyl ketocyclohexyl amino hydrochloride based commercial inhibitor. The studies were carried out at 50°C under deaerated and atmospheric exposure conditions applying immersion and potentiodynamic polarization and Tafel plot techniques. The possibility of hydrogen absorption or hydride formation in titanium metal was also considered under test conditions. For comparison, the corrosion behavior of carbon steel (flash chamber material) and aluminum bronze (tube sheet and water box material) were also studied under identical conditions. The results of immersion tests show a zero corrosion rate for titanium under normal or deaeration conditions since no perceptible weight change was observed. The electrochemical tests show corrosion rates below 0.1 mpy (0.0025 mm/y), which indicates outstanding resistance of the metal. Extremely low corrosion rates of titanium in inhibited H2SO4 under testing conditions (50°C, normal/deaerated, 0.5% H2SO4, dynamic) indicate virtually no hydrogen absorption in the metal. Also, the analytical determination of hydrogen absorption in acid-treated titanium under the aforementioned conditions shows no hydrogen pick-up.","author":[{"dropping-particle":"","family":"Andijani","given":"Ismaeel N.","non-dropping-particle":"","parse-names":false,"suffix":""},{"dropping-particle":"","family":"Ahmad","given":"Shahreer","non-dropping-particle":"","parse-names":false,"suffix":""},{"dropping-particle":"","family":"Malik","given":"Anees U.","non-dropping-particle":"","parse-names":false,"suffix":""}],"container-title":"Desalination","id":"ITEM-1","issue":"1","issued":{"date-parts":[["2000"]]},"page":"45-51","title":"Corrosion behavior of titanium metal in the presence of inhibited sulfuric acid at 50°C","type":"article-journal","volume":"129"},"uris":["http://www.mendeley.com/documents/?uuid=2cc8360b-cb0d-4865-8b20-9ed5b529fd17"]},{"id":"ITEM-2","itemData":{"DOI":"10.5301/jabfm.5000387","ISSN":"2280-8000","abstract":"Titanium has outstanding corrosion resistance due to the external natural oxide protective layer formed when it is exposed to an aerated environment. Despite this, titanium may suffer different forms of corrosion in severe environments: uniform corrosion, pitting and crevice corrosion, hydrogen embrittlement, stress-corrosion cracking, fretting corrosion and erosion. In this first review, forms of corrosion affecting titanium are analyzed based on a wide literature review. For each form of corrosion, the mechanism and most severe environment are reported according to the current understanding.In the second part, this review will address the possible surface treatments that can increase corrosion resistance on commercially pure titanium: Electrochemical anodizing, thermal oxidation, chemical oxidation and bulk treatments such as alloying will be considered, highlighting the advantages of each technique.","author":[{"dropping-particle":"","family":"Prando","given":"Davide","non-dropping-particle":"","parse-names":false,"suffix":""},{"dropping-particle":"","family":"Brenna","given":"Andrea","non-dropping-particle":"","parse-names":false,"suffix":""},{"dropping-particle":"","family":"Diamanti","given":"M..V.","non-dropping-particle":"","parse-names":false,"suffix":""},{"dropping-particle":"","family":"Beretta","given":"Silvia","non-dropping-particle":"","parse-names":false,"suffix":""},{"dropping-particle":"","family":"Bolzoni","given":"Fabio","non-dropping-particle":"","parse-names":false,"suffix":""},{"dropping-particle":"","family":"Ormellese","given":"Marco","non-dropping-particle":"","parse-names":false,"suffix":""},{"dropping-particle":"","family":"Pedeferri","given":"MariaPia","non-dropping-particle":"","parse-names":false,"suffix":""}],"container-title":"Journal of Applied Biomaterials &amp; Functional Materials","id":"ITEM-2","issued":{"date-parts":[["2017"]]},"title":"Corrosion of titanium: Part 1: aggressive environments and main forms of degradation","type":"article-journal","volume":"15"},"uris":["http://www.mendeley.com/documents/?uuid=5c862555-b1ed-43af-8f7e-4c41487a49d4"]}],"mendeley":{"formattedCitation":"[2,3]","plainTextFormattedCitation":"[2,3]","previouslyFormattedCitation":"[2,3]"},"properties":{"noteIndex":0},"schema":"https://github.com/citation-style-language/schema/raw/master/csl-citation.json"}</w:instrText>
      </w:r>
      <w:r w:rsidR="00620BE9">
        <w:rPr>
          <w:rFonts w:cs="Times New Roman"/>
        </w:rPr>
        <w:fldChar w:fldCharType="separate"/>
      </w:r>
      <w:r w:rsidR="00620BE9" w:rsidRPr="00620BE9">
        <w:rPr>
          <w:rFonts w:cs="Times New Roman"/>
          <w:noProof/>
        </w:rPr>
        <w:t>[2,3]</w:t>
      </w:r>
      <w:r w:rsidR="00620BE9">
        <w:rPr>
          <w:rFonts w:cs="Times New Roman"/>
        </w:rPr>
        <w:fldChar w:fldCharType="end"/>
      </w:r>
      <w:r w:rsidR="0055745C">
        <w:rPr>
          <w:rFonts w:cs="Times New Roman"/>
        </w:rPr>
        <w:t xml:space="preserve"> to restore</w:t>
      </w:r>
      <w:r w:rsidR="00340894">
        <w:rPr>
          <w:rFonts w:cs="Times New Roman"/>
        </w:rPr>
        <w:t xml:space="preserve"> design and in</w:t>
      </w:r>
      <w:r w:rsidR="00870E8F">
        <w:rPr>
          <w:rFonts w:cs="Times New Roman"/>
        </w:rPr>
        <w:t>-</w:t>
      </w:r>
      <w:r w:rsidR="00340894">
        <w:rPr>
          <w:rFonts w:cs="Times New Roman"/>
        </w:rPr>
        <w:t>service</w:t>
      </w:r>
      <w:r w:rsidR="0055745C">
        <w:rPr>
          <w:rFonts w:cs="Times New Roman"/>
        </w:rPr>
        <w:t xml:space="preserve"> conditions</w:t>
      </w:r>
      <w:r w:rsidR="00A54F49">
        <w:rPr>
          <w:rFonts w:cs="Times New Roman"/>
        </w:rPr>
        <w:t>. Several reports</w:t>
      </w:r>
      <w:r w:rsidR="00620BE9">
        <w:rPr>
          <w:rFonts w:cs="Times New Roman"/>
        </w:rPr>
        <w:t xml:space="preserve"> </w:t>
      </w:r>
      <w:r w:rsidR="00620BE9">
        <w:rPr>
          <w:rFonts w:cs="Times New Roman"/>
        </w:rPr>
        <w:fldChar w:fldCharType="begin" w:fldLock="1"/>
      </w:r>
      <w:r w:rsidR="00620BE9">
        <w:rPr>
          <w:rFonts w:cs="Times New Roman"/>
        </w:rPr>
        <w:instrText xml:space="preserve">ADDIN CSL_CITATION {"citationItems":[{"id":"ITEM-1","itemData":{"DOI":"10.5301/jabfm.5000387","ISSN":"2280-8000","abstract":"Titanium has outstanding corrosion resistance due to the external natural oxide protective layer formed when it is exposed to an aerated environment. Despite this, titanium may suffer different forms of corrosion in severe environments: uniform corrosion, pitting and crevice corrosion, hydrogen embrittlement, stress-corrosion cracking, fretting corrosion and erosion. In this first review, forms of corrosion affecting titanium are analyzed based on a wide literature review. For each form of corrosion, the mechanism and most severe environment are reported according to the current understanding.In the second part, this review will address the possible surface treatments that can increase corrosion resistance on commercially pure titanium: Electrochemical anodizing, thermal oxidation, chemical oxidation and bulk treatments such as alloying will be considered, highlighting the advantages of each technique.","author":[{"dropping-particle":"","family":"Prando","given":"Davide","non-dropping-particle":"","parse-names":false,"suffix":""},{"dropping-particle":"","family":"Brenna","given":"Andrea","non-dropping-particle":"","parse-names":false,"suffix":""},{"dropping-particle":"","family":"Diamanti","given":"M..V.","non-dropping-particle":"","parse-names":false,"suffix":""},{"dropping-particle":"","family":"Beretta","given":"Silvia","non-dropping-particle":"","parse-names":false,"suffix":""},{"dropping-particle":"","family":"Bolzoni","given":"Fabio","non-dropping-particle":"","parse-names":false,"suffix":""},{"dropping-particle":"","family":"Ormellese","given":"Marco","non-dropping-particle":"","parse-names":false,"suffix":""},{"dropping-particle":"","family":"Pedeferri","given":"MariaPia","non-dropping-particle":"","parse-names":false,"suffix":""}],"container-title":"Journal of Applied Biomaterials &amp; Functional Materials","id":"ITEM-1","issued":{"date-parts":[["2017"]]},"title":"Corrosion of titanium: Part 1: aggressive environments and main forms of degradation","type":"article-journal","volume":"15"},"uris":["http://www.mendeley.com/documents/?uuid=5c862555-b1ed-43af-8f7e-4c41487a49d4"]},{"id":"ITEM-2","itemData":{"DOI":"10.1016/j.electacta.2021.138190","ISSN":"0013-4686","author":[{"dropping-particle":"","family":"Casanova","given":"Luca","non-dropping-particle":"","parse-names":false,"suffix":""},{"dropping-particle":"La","family":"Padula","given":"Marcello","non-dropping-particle":"","parse-names":false,"suffix":""},{"dropping-particle":"","family":"Pedeferri","given":"Mariapia","non-dropping-particle":"","parse-names":false,"suffix":""},{"dropping-particle":"","family":"Diamanti","given":"Maria Vittoria","non-dropping-particle":"","parse-names":false,"suffix":""},{"dropping-particle":"","family":"Ormellese","given":"Marco","non-dropping-particle":"","parse-names":false,"suffix":""}],"container-title":"Electrochimica Acta","id":"ITEM-2","issued":{"date-parts":[["2021"]]},"page":"138190","publisher":"Elsevier Ltd","title":"An insight into the evolution of corrosion resistant coatings on titanium during bipolar plasma electrolytic oxidation in sulfuric acid","type":"article-journal","volume":"379"},"uris":["http://www.mendeley.com/documents/?uuid=d7f33f8f-fc10-4c6f-9364-e2b6fdea8c71"]},{"id":"ITEM-3","itemData":{"DOI":"10.1002/maco.202012198","ISSN":"15214176","abstract":"This study deals with the anodisation of titanium grade 2 in 0.5-M sulphuric acid using a pulsed signal in a unipolar regime. The electrical parameters investigated are voltage, frequency and duty cycle. The use of duty cycles with a high percentage of anodic polarisation (90%), combined with high frequencies (1000 Hz) and the higher voltage tested (220 V), favoured the establishment of a plasma regime involving strong dielectric discharges, allowing the growth of thicker oxides but with rough architecture. The corrosion resistance of the formed film has been characterised by potentiodynamic tests in 0.5-M NaBr for localised corrosion resistance and by immersion tests in 10% v/v sulphuric acid solution for a uniform corrosion assessment. Current–time curves, visual observations and electron microscope analysis (scanning electron microscopy, energy-dispersive X-ray spectroscopy) were the tools selected to provide a correlation between technological parameters and oxide growth mechanism. For localised and uniform corrosion, anodisation at 220 V with a high level of anodic polarisation (90%) and frequency (1000 Hz) was verified to be particularly advantageous.","author":[{"dropping-particle":"","family":"Casanova","given":"Luca","non-dropping-particle":"","parse-names":false,"suffix":""},{"dropping-particle":"","family":"Vicentini","given":"Livio","non-dropping-particle":"","parse-names":false,"suffix":""},{"dropping-particle":"","family":"Pedeferri","given":"MariaPia","non-dropping-particle":"","parse-names":false,"suffix":""},{"dropping-particle":"","family":"Ormellese","given":"Marco","non-dropping-particle":"","parse-names":false,"suffix":""}],"container-title":"Materials and Corrosion","id":"ITEM-3","issue":"November","issued":{"date-parts":[["2020"]]},"title":"Unipolar plasma electrolytic oxidation: Waveform optimisation for corrosion resistance of commercially pure titanium","type":"article-journal"},"uris":["http://www.mendeley.com/documents/?uuid=d3004e89-5477-4365-a2f2-26c105154780"]},{"id":"ITEM-4","itemData":{"DOI":"10.1002/maco.202112392","ISSN":"15214176","abstract":"Titanium has a good corrosion resistance, owing to a thin, compact oxide layer that is formed spontaneously when the metal is exposed to the environment. However, even titanium can be subject to corrosion, for example, when exposed to reducing strong acids. This paper aims to analyze the differences in corrosion resistance of commercially pure titanium (Ti grade 2) and the most resistant Ti–Pd alloy (Ti grade 7, </w:instrText>
      </w:r>
      <w:r w:rsidR="00620BE9">
        <w:rPr>
          <w:rFonts w:ascii="Cambria Math" w:hAnsi="Cambria Math" w:cs="Cambria Math"/>
        </w:rPr>
        <w:instrText>∼</w:instrText>
      </w:r>
      <w:r w:rsidR="00620BE9">
        <w:rPr>
          <w:rFonts w:cs="Times New Roman"/>
        </w:rPr>
        <w:instrText>0.2% Pd) in a strong reducing acid environment. Immersion tests, with results collected in the form of corrosion rates, are provided in the first part of the present work. Corrosion morphology is investigated using optical microscopy and laser profilometry. Then, an electrochemical characterization of both metals has been performed by means of cathodic polarization tests, electrochemical impedance spectroscopy, and linear polarization resistance. Weight loss data, electrochemical tests, and corrosion morphology are in good agreement: H2SO4, HCl, and oxalic acid are the most aggressive chemicals for commercially pure titanium. In such conditions, the use of Ti grade 7 appears mandatory.","author":[{"dropping-particle":"","family":"Casanova","given":"Luca","non-dropping-particle":"","parse-names":false,"suffix":""},{"dropping-particle":"","family":"Gruarin","given":"Matteo","non-dropping-particle":"","parse-names":false,"suffix":""},{"dropping-particle":"","family":"Pedeferri","given":"Maria Pia","non-dropping-particle":"","parse-names":false,"suffix":""},{"dropping-particle":"","family":"Ormellese","given":"Marco","non-dropping-particle":"","parse-names":false,"suffix":""}],"container-title":"Materials and Corrosion","id":"ITEM-4","issue":"March","issued":{"date-parts":[["2021"]]},"title":"A comparison between corrosion performances of titanium grade 2 and 7 in strong reducing acids","type":"article-journal"},"uris":["http://www.mendeley.com/documents/?uuid=a2fd68be-c76f-4105-8d17-0569d0340b61"]}],"mendeley":{"formattedCitation":"[3–6]","plainTextFormattedCitation":"[3–6]","previouslyFormattedCitation":"[3–6]"},"properties":{"noteIndex":0},"schema":"https://github.com/citation-style-language/schema/raw/master/csl-citation.json"}</w:instrText>
      </w:r>
      <w:r w:rsidR="00620BE9">
        <w:rPr>
          <w:rFonts w:cs="Times New Roman"/>
        </w:rPr>
        <w:fldChar w:fldCharType="separate"/>
      </w:r>
      <w:r w:rsidR="00620BE9" w:rsidRPr="00620BE9">
        <w:rPr>
          <w:rFonts w:cs="Times New Roman"/>
          <w:noProof/>
        </w:rPr>
        <w:t>[3–6]</w:t>
      </w:r>
      <w:r w:rsidR="00620BE9">
        <w:rPr>
          <w:rFonts w:cs="Times New Roman"/>
        </w:rPr>
        <w:fldChar w:fldCharType="end"/>
      </w:r>
      <w:r w:rsidR="00A54F49">
        <w:rPr>
          <w:rFonts w:cs="Times New Roman"/>
        </w:rPr>
        <w:t xml:space="preserve"> demonstrated the high susceptibility of unalloyed Ti to low pH e</w:t>
      </w:r>
      <w:r w:rsidR="00542887">
        <w:rPr>
          <w:rFonts w:cs="Times New Roman"/>
        </w:rPr>
        <w:t xml:space="preserve">nvironments containing sulfates even manifesting </w:t>
      </w:r>
      <w:r w:rsidR="00A54F49">
        <w:rPr>
          <w:rFonts w:cs="Times New Roman"/>
        </w:rPr>
        <w:t xml:space="preserve">corrosion rates of the order of ~ 8 </w:t>
      </w:r>
      <w:r w:rsidR="00307B57" w:rsidRPr="00307B57">
        <w:rPr>
          <w:rFonts w:cs="Times New Roman"/>
        </w:rPr>
        <w:t>mm·year</w:t>
      </w:r>
      <w:r w:rsidR="00307B57" w:rsidRPr="00307B57">
        <w:rPr>
          <w:rFonts w:cs="Times New Roman"/>
          <w:vertAlign w:val="superscript"/>
        </w:rPr>
        <w:t>-1</w:t>
      </w:r>
      <w:r w:rsidR="00307B57">
        <w:rPr>
          <w:rFonts w:cs="Times New Roman"/>
          <w:vertAlign w:val="superscript"/>
        </w:rPr>
        <w:t xml:space="preserve"> </w:t>
      </w:r>
      <w:r w:rsidR="004A3C89">
        <w:rPr>
          <w:rFonts w:cs="Times New Roman"/>
        </w:rPr>
        <w:fldChar w:fldCharType="begin" w:fldLock="1"/>
      </w:r>
      <w:r w:rsidR="004A3C89">
        <w:rPr>
          <w:rFonts w:cs="Times New Roman"/>
        </w:rPr>
        <w:instrText>ADDIN CSL_CITATION {"citationItems":[{"id":"ITEM-1","itemData":{"DOI":"10.1002/maco.202012198","ISSN":"15214176","abstract":"This study deals with the anodisation of titanium grade 2 in 0.5-M sulphuric acid using a pulsed signal in a unipolar regime. The electrical parameters investigated are voltage, frequency and duty cycle. The use of duty cycles with a high percentage of anodic polarisation (90%), combined with high frequencies (1000 Hz) and the higher voltage tested (220 V), favoured the establishment of a plasma regime involving strong dielectric discharges, allowing the growth of thicker oxides but with rough architecture. The corrosion resistance of the formed film has been characterised by potentiodynamic tests in 0.5-M NaBr for localised corrosion resistance and by immersion tests in 10% v/v sulphuric acid solution for a uniform corrosion assessment. Current–time curves, visual observations and electron microscope analysis (scanning electron microscopy, energy-dispersive X-ray spectroscopy) were the tools selected to provide a correlation between technological parameters and oxide growth mechanism. For localised and uniform corrosion, anodisation at 220 V with a high level of anodic polarisation (90%) and frequency (1000 Hz) was verified to be particularly advantageous.","author":[{"dropping-particle":"","family":"Casanova","given":"Luca","non-dropping-particle":"","parse-names":false,"suffix":""},{"dropping-particle":"","family":"Vicentini","given":"Livio","non-dropping-particle":"","parse-names":false,"suffix":""},{"dropping-particle":"","family":"Pedeferri","given":"MariaPia","non-dropping-particle":"","parse-names":false,"suffix":""},{"dropping-particle":"","family":"Ormellese","given":"Marco","non-dropping-particle":"","parse-names":false,"suffix":""}],"container-title":"Materials and Corrosion","id":"ITEM-1","issue":"November","issued":{"date-parts":[["2020"]]},"title":"Unipolar plasma electrolytic oxidation: Waveform optimisation for corrosion resistance of commercially pure titanium","type":"article-journal"},"uris":["http://www.mendeley.com/documents/?uuid=d3004e89-5477-4365-a2f2-26c105154780"]}],"mendeley":{"formattedCitation":"[5]","plainTextFormattedCitation":"[5]","previouslyFormattedCitation":"[5]"},"properties":{"noteIndex":0},"schema":"https://github.com/citation-style-language/schema/raw/master/csl-citation.json"}</w:instrText>
      </w:r>
      <w:r w:rsidR="004A3C89">
        <w:rPr>
          <w:rFonts w:cs="Times New Roman"/>
        </w:rPr>
        <w:fldChar w:fldCharType="separate"/>
      </w:r>
      <w:r w:rsidR="004A3C89" w:rsidRPr="004A3C89">
        <w:rPr>
          <w:rFonts w:cs="Times New Roman"/>
          <w:noProof/>
        </w:rPr>
        <w:t>[5]</w:t>
      </w:r>
      <w:r w:rsidR="004A3C89">
        <w:rPr>
          <w:rFonts w:cs="Times New Roman"/>
        </w:rPr>
        <w:fldChar w:fldCharType="end"/>
      </w:r>
      <w:r w:rsidR="00A54F49">
        <w:rPr>
          <w:rFonts w:cs="Times New Roman"/>
        </w:rPr>
        <w:t xml:space="preserve"> for</w:t>
      </w:r>
      <w:r w:rsidR="00542887">
        <w:rPr>
          <w:rFonts w:cs="Times New Roman"/>
        </w:rPr>
        <w:t xml:space="preserve"> pristine</w:t>
      </w:r>
      <w:r w:rsidR="00A54F49">
        <w:rPr>
          <w:rFonts w:cs="Times New Roman"/>
        </w:rPr>
        <w:t xml:space="preserve"> </w:t>
      </w:r>
      <w:r w:rsidR="00870E8F">
        <w:rPr>
          <w:rFonts w:cs="Times New Roman"/>
        </w:rPr>
        <w:t>grade 2 Ti</w:t>
      </w:r>
      <w:r w:rsidR="00D9778E">
        <w:rPr>
          <w:rFonts w:cs="Times New Roman"/>
        </w:rPr>
        <w:t xml:space="preserve"> immersed in </w:t>
      </w:r>
      <w:r w:rsidR="008356D5">
        <w:rPr>
          <w:rFonts w:cs="Times New Roman"/>
        </w:rPr>
        <w:t>10 %v/v H</w:t>
      </w:r>
      <w:r w:rsidR="008356D5">
        <w:rPr>
          <w:rFonts w:cs="Times New Roman"/>
          <w:vertAlign w:val="subscript"/>
        </w:rPr>
        <w:t>2</w:t>
      </w:r>
      <w:r w:rsidR="008356D5">
        <w:rPr>
          <w:rFonts w:cs="Times New Roman"/>
        </w:rPr>
        <w:t>SO</w:t>
      </w:r>
      <w:r w:rsidR="008356D5">
        <w:rPr>
          <w:rFonts w:cs="Times New Roman"/>
          <w:vertAlign w:val="subscript"/>
        </w:rPr>
        <w:t>4</w:t>
      </w:r>
      <w:r w:rsidR="008356D5">
        <w:rPr>
          <w:rFonts w:cs="Times New Roman"/>
        </w:rPr>
        <w:t xml:space="preserve"> at 60 °C</w:t>
      </w:r>
      <w:r w:rsidR="00A54F49">
        <w:rPr>
          <w:rFonts w:cs="Times New Roman"/>
        </w:rPr>
        <w:t>.</w:t>
      </w:r>
      <w:r w:rsidR="00DD2C58">
        <w:rPr>
          <w:rFonts w:cs="Times New Roman"/>
        </w:rPr>
        <w:t xml:space="preserve"> The phenomenon of Ti corrosion in sulfuric acid </w:t>
      </w:r>
      <w:r w:rsidR="00C12281">
        <w:rPr>
          <w:rFonts w:cs="Times New Roman"/>
        </w:rPr>
        <w:t>has been well documented in literature</w:t>
      </w:r>
      <w:r w:rsidR="00A54F49">
        <w:rPr>
          <w:rFonts w:cs="Times New Roman"/>
        </w:rPr>
        <w:t xml:space="preserve"> </w:t>
      </w:r>
      <w:r w:rsidR="00C12281">
        <w:rPr>
          <w:rFonts w:cs="Times New Roman"/>
        </w:rPr>
        <w:t>where</w:t>
      </w:r>
      <w:r w:rsidR="009C7DCA">
        <w:rPr>
          <w:rFonts w:cs="Times New Roman"/>
        </w:rPr>
        <w:t>,</w:t>
      </w:r>
      <w:r w:rsidR="00C12281">
        <w:rPr>
          <w:rFonts w:cs="Times New Roman"/>
        </w:rPr>
        <w:t xml:space="preserve"> a</w:t>
      </w:r>
      <w:r w:rsidR="0016481E">
        <w:rPr>
          <w:rFonts w:cs="Times New Roman"/>
        </w:rPr>
        <w:t xml:space="preserve">ccording to coulometric weight-loss and polarographic analyses </w:t>
      </w:r>
      <w:r w:rsidR="0016481E">
        <w:rPr>
          <w:rFonts w:cs="Times New Roman"/>
        </w:rPr>
        <w:fldChar w:fldCharType="begin" w:fldLock="1"/>
      </w:r>
      <w:r w:rsidR="00620BE9">
        <w:rPr>
          <w:rFonts w:cs="Times New Roman"/>
        </w:rPr>
        <w:instrText>ADDIN CSL_CITATION {"citationItems":[{"id":"ITEM-1","itemData":{"DOI":"https://doi.org/10.1007/978-1-4615-7458-3_5","ISBN":"978-1-4615-7458-3","author":[{"dropping-particle":"","family":"Kelly","given":"E..J.","non-dropping-particle":"","parse-names":false,"suffix":""}],"chapter-number":"5","container-title":"Modern Aspects of Electrochemistry","id":"ITEM-1","issued":{"date-parts":[["1982"]]},"note":"capacitance at pag. 340\nlissajou explanation","page":"557-639","title":"Electrochemical Behaviour of Titanium","type":"chapter","volume":"14"},"uris":["http://www.mendeley.com/documents/?uuid=2482c58d-456b-4d2c-929b-9faab9cb1c61"]}],"mendeley":{"formattedCitation":"[7]","plainTextFormattedCitation":"[7]","previouslyFormattedCitation":"[7]"},"properties":{"noteIndex":0},"schema":"https://github.com/citation-style-language/schema/raw/master/csl-citation.json"}</w:instrText>
      </w:r>
      <w:r w:rsidR="0016481E">
        <w:rPr>
          <w:rFonts w:cs="Times New Roman"/>
        </w:rPr>
        <w:fldChar w:fldCharType="separate"/>
      </w:r>
      <w:r w:rsidR="00620BE9" w:rsidRPr="00620BE9">
        <w:rPr>
          <w:rFonts w:cs="Times New Roman"/>
          <w:noProof/>
        </w:rPr>
        <w:t>[7]</w:t>
      </w:r>
      <w:r w:rsidR="0016481E">
        <w:rPr>
          <w:rFonts w:cs="Times New Roman"/>
        </w:rPr>
        <w:fldChar w:fldCharType="end"/>
      </w:r>
      <w:r w:rsidR="009C7DCA">
        <w:rPr>
          <w:rFonts w:cs="Times New Roman"/>
        </w:rPr>
        <w:t>,</w:t>
      </w:r>
      <w:r w:rsidR="0016481E">
        <w:rPr>
          <w:rFonts w:cs="Times New Roman"/>
        </w:rPr>
        <w:t xml:space="preserve"> it was established that </w:t>
      </w:r>
      <w:r w:rsidR="0086304C">
        <w:rPr>
          <w:rFonts w:cs="Times New Roman"/>
        </w:rPr>
        <w:t>the metal</w:t>
      </w:r>
      <w:r w:rsidR="0016481E">
        <w:rPr>
          <w:rFonts w:cs="Times New Roman"/>
        </w:rPr>
        <w:t xml:space="preserve"> generally goes in solution as Ti</w:t>
      </w:r>
      <w:r w:rsidR="00D95BB1">
        <w:rPr>
          <w:rFonts w:cs="Times New Roman"/>
          <w:vertAlign w:val="superscript"/>
        </w:rPr>
        <w:t>3+</w:t>
      </w:r>
      <w:r w:rsidR="0016481E">
        <w:rPr>
          <w:rFonts w:cs="Times New Roman"/>
        </w:rPr>
        <w:t xml:space="preserve"> </w:t>
      </w:r>
      <w:r w:rsidR="007F41D6">
        <w:rPr>
          <w:rFonts w:cs="Times New Roman"/>
        </w:rPr>
        <w:t>in case of electrode activity</w:t>
      </w:r>
      <w:r w:rsidR="0055745C">
        <w:rPr>
          <w:rFonts w:cs="Times New Roman"/>
        </w:rPr>
        <w:t xml:space="preserve"> (</w:t>
      </w:r>
      <w:r w:rsidR="00216D3D">
        <w:rPr>
          <w:rFonts w:cs="Times New Roman"/>
        </w:rPr>
        <w:t xml:space="preserve">i.e. </w:t>
      </w:r>
      <w:r w:rsidR="0055745C">
        <w:rPr>
          <w:rFonts w:cs="Times New Roman"/>
        </w:rPr>
        <w:t xml:space="preserve">corrosion potential </w:t>
      </w:r>
      <w:r w:rsidR="0055745C" w:rsidRPr="0055745C">
        <w:rPr>
          <w:rFonts w:cs="Times New Roman"/>
        </w:rPr>
        <w:t>E</w:t>
      </w:r>
      <w:r w:rsidR="0055745C" w:rsidRPr="0055745C">
        <w:rPr>
          <w:rFonts w:cs="Times New Roman"/>
          <w:vertAlign w:val="subscript"/>
        </w:rPr>
        <w:t>corr</w:t>
      </w:r>
      <w:r w:rsidR="0055745C">
        <w:rPr>
          <w:rFonts w:cs="Times New Roman"/>
        </w:rPr>
        <w:t xml:space="preserve"> &lt; ~ 6</w:t>
      </w:r>
      <w:r w:rsidR="00DC17E0">
        <w:rPr>
          <w:rFonts w:cs="Times New Roman"/>
        </w:rPr>
        <w:t>2</w:t>
      </w:r>
      <w:r w:rsidR="0055745C">
        <w:rPr>
          <w:rFonts w:cs="Times New Roman"/>
        </w:rPr>
        <w:t>0 mV</w:t>
      </w:r>
      <w:r w:rsidR="00307B57">
        <w:rPr>
          <w:rFonts w:cs="Times New Roman"/>
        </w:rPr>
        <w:t>/SSC</w:t>
      </w:r>
      <w:r w:rsidR="00307B57">
        <w:rPr>
          <w:rFonts w:cs="Times New Roman"/>
          <w:vertAlign w:val="subscript"/>
        </w:rPr>
        <w:t>sat.</w:t>
      </w:r>
      <w:r w:rsidR="00E43B32">
        <w:rPr>
          <w:rFonts w:cs="Times New Roman"/>
        </w:rPr>
        <w:t xml:space="preserve"> </w:t>
      </w:r>
      <w:r w:rsidR="001E4311" w:rsidRPr="001E4311">
        <w:rPr>
          <w:rFonts w:cs="Times New Roman"/>
        </w:rPr>
        <w:t>for Ti in 2 M H</w:t>
      </w:r>
      <w:r w:rsidR="001E4311" w:rsidRPr="001E4311">
        <w:rPr>
          <w:rFonts w:cs="Times New Roman"/>
          <w:vertAlign w:val="subscript"/>
        </w:rPr>
        <w:t>2</w:t>
      </w:r>
      <w:r w:rsidR="001E4311" w:rsidRPr="001E4311">
        <w:rPr>
          <w:rFonts w:cs="Times New Roman"/>
        </w:rPr>
        <w:t>SO</w:t>
      </w:r>
      <w:r w:rsidR="001E4311" w:rsidRPr="001E4311">
        <w:rPr>
          <w:rFonts w:cs="Times New Roman"/>
          <w:vertAlign w:val="subscript"/>
        </w:rPr>
        <w:t>4</w:t>
      </w:r>
      <w:r w:rsidR="00DC17E0">
        <w:rPr>
          <w:rFonts w:cs="Times New Roman"/>
        </w:rPr>
        <w:t>)</w:t>
      </w:r>
      <w:r w:rsidR="0016481E">
        <w:rPr>
          <w:rFonts w:cs="Times New Roman"/>
        </w:rPr>
        <w:t xml:space="preserve">. On </w:t>
      </w:r>
      <w:r w:rsidR="007F41D6">
        <w:rPr>
          <w:rFonts w:cs="Times New Roman"/>
        </w:rPr>
        <w:t xml:space="preserve">the other hand, as </w:t>
      </w:r>
      <w:r w:rsidR="0016481E" w:rsidRPr="0016481E">
        <w:rPr>
          <w:rFonts w:cs="Times New Roman"/>
        </w:rPr>
        <w:t>E</w:t>
      </w:r>
      <w:r w:rsidR="0016481E" w:rsidRPr="0016481E">
        <w:rPr>
          <w:rFonts w:cs="Times New Roman"/>
          <w:vertAlign w:val="subscript"/>
        </w:rPr>
        <w:t>corr</w:t>
      </w:r>
      <w:r w:rsidR="009A3328">
        <w:rPr>
          <w:rFonts w:cs="Times New Roman"/>
        </w:rPr>
        <w:t xml:space="preserve"> rises</w:t>
      </w:r>
      <w:r w:rsidR="0016481E">
        <w:rPr>
          <w:rFonts w:cs="Times New Roman"/>
        </w:rPr>
        <w:t xml:space="preserve"> </w:t>
      </w:r>
      <w:r w:rsidR="007F41D6">
        <w:rPr>
          <w:rFonts w:cs="Times New Roman"/>
        </w:rPr>
        <w:t>~</w:t>
      </w:r>
      <w:r w:rsidR="0055745C">
        <w:rPr>
          <w:rFonts w:cs="Times New Roman"/>
        </w:rPr>
        <w:t xml:space="preserve"> </w:t>
      </w:r>
      <w:r w:rsidR="0016481E">
        <w:rPr>
          <w:rFonts w:cs="Times New Roman"/>
        </w:rPr>
        <w:t>100</w:t>
      </w:r>
      <w:r w:rsidR="00360CCC">
        <w:rPr>
          <w:rFonts w:cs="Times New Roman"/>
        </w:rPr>
        <w:t xml:space="preserve"> ÷ </w:t>
      </w:r>
      <w:r w:rsidR="0016481E">
        <w:rPr>
          <w:rFonts w:cs="Times New Roman"/>
        </w:rPr>
        <w:t>130 mV a</w:t>
      </w:r>
      <w:r w:rsidR="00F323F5">
        <w:rPr>
          <w:rFonts w:cs="Times New Roman"/>
        </w:rPr>
        <w:t>bove a certain threshold,</w:t>
      </w:r>
      <w:r w:rsidR="0016481E">
        <w:rPr>
          <w:rFonts w:cs="Times New Roman"/>
        </w:rPr>
        <w:t xml:space="preserve"> identified as the critical potential (E</w:t>
      </w:r>
      <w:r w:rsidR="0016481E">
        <w:rPr>
          <w:rFonts w:cs="Times New Roman"/>
          <w:vertAlign w:val="subscript"/>
        </w:rPr>
        <w:t>crit</w:t>
      </w:r>
      <w:r w:rsidR="0016481E">
        <w:rPr>
          <w:rFonts w:cs="Times New Roman"/>
        </w:rPr>
        <w:t xml:space="preserve">) falling around -477 </w:t>
      </w:r>
      <w:r w:rsidR="00307B57" w:rsidRPr="00307B57">
        <w:rPr>
          <w:rFonts w:cs="Times New Roman"/>
        </w:rPr>
        <w:t>mV/SSC</w:t>
      </w:r>
      <w:r w:rsidR="00307B57" w:rsidRPr="00307B57">
        <w:rPr>
          <w:rFonts w:cs="Times New Roman"/>
          <w:vertAlign w:val="subscript"/>
        </w:rPr>
        <w:t>sat.</w:t>
      </w:r>
      <w:r w:rsidR="0055745C">
        <w:rPr>
          <w:rFonts w:cs="Times New Roman"/>
        </w:rPr>
        <w:t xml:space="preserve"> (for Ti in 2 M </w:t>
      </w:r>
      <w:r w:rsidR="0055745C" w:rsidRPr="0055745C">
        <w:rPr>
          <w:rFonts w:cs="Times New Roman"/>
        </w:rPr>
        <w:t>H</w:t>
      </w:r>
      <w:r w:rsidR="0055745C" w:rsidRPr="0055745C">
        <w:rPr>
          <w:rFonts w:cs="Times New Roman"/>
          <w:vertAlign w:val="subscript"/>
        </w:rPr>
        <w:t>2</w:t>
      </w:r>
      <w:r w:rsidR="0055745C" w:rsidRPr="0055745C">
        <w:rPr>
          <w:rFonts w:cs="Times New Roman"/>
        </w:rPr>
        <w:t>SO</w:t>
      </w:r>
      <w:r w:rsidR="0055745C" w:rsidRPr="0055745C">
        <w:rPr>
          <w:rFonts w:cs="Times New Roman"/>
          <w:vertAlign w:val="subscript"/>
        </w:rPr>
        <w:t>4</w:t>
      </w:r>
      <w:r w:rsidR="0055745C">
        <w:rPr>
          <w:rFonts w:cs="Times New Roman"/>
        </w:rPr>
        <w:t>)</w:t>
      </w:r>
      <w:r w:rsidR="00066B29">
        <w:rPr>
          <w:rFonts w:cs="Times New Roman"/>
        </w:rPr>
        <w:t xml:space="preserve"> </w:t>
      </w:r>
      <w:r w:rsidR="00066B29">
        <w:rPr>
          <w:rFonts w:cs="Times New Roman"/>
        </w:rPr>
        <w:fldChar w:fldCharType="begin" w:fldLock="1"/>
      </w:r>
      <w:r w:rsidR="00620BE9">
        <w:rPr>
          <w:rFonts w:cs="Times New Roman"/>
        </w:rPr>
        <w:instrText>ADDIN CSL_CITATION {"citationItems":[{"id":"ITEM-1","itemData":{"DOI":"https://doi.org/10.1007/978-1-4615-7458-3_5","ISBN":"978-1-4615-7458-3","author":[{"dropping-particle":"","family":"Kelly","given":"E..J.","non-dropping-particle":"","parse-names":false,"suffix":""}],"chapter-number":"5","container-title":"Modern Aspects of Electrochemistry","id":"ITEM-1","issued":{"date-parts":[["1982"]]},"note":"capacitance at pag. 340\nlissajou explanation","page":"557-639","title":"Electrochemical Behaviour of Titanium","type":"chapter","volume":"14"},"uris":["http://www.mendeley.com/documents/?uuid=2482c58d-456b-4d2c-929b-9faab9cb1c61"]},{"id":"ITEM-2","itemData":{"DOI":"10.1149/2.1021902jes","ISSN":"0013-4651","author":[{"dropping-particle":"","family":"Liu","given":"Y.","non-dropping-particle":"","parse-names":false,"suffix":""},{"dropping-particle":"","family":"Schaller","given":"R. F.","non-dropping-particle":"","parse-names":false,"suffix":""},{"dropping-particle":"","family":"Asselin","given":"E.","non-dropping-particle":"","parse-names":false,"suffix":""}],"container-title":"Journal of The Electrochemical Society","id":"ITEM-2","issue":"2","issued":{"date-parts":[["2019"]]},"page":"C76-C82","title":"Effect of Fe(III) and Cu(II) on the Passivation of Ti-2 in Acidic Chloride Solutions","type":"article-journal","volume":"166"},"uris":["http://www.mendeley.com/documents/?uuid=fd3adb53-b878-4881-98f1-2f29689d0b16"]}],"mendeley":{"formattedCitation":"[7,8]","plainTextFormattedCitation":"[7,8]","previouslyFormattedCitation":"[7,8]"},"properties":{"noteIndex":0},"schema":"https://github.com/citation-style-language/schema/raw/master/csl-citation.json"}</w:instrText>
      </w:r>
      <w:r w:rsidR="00066B29">
        <w:rPr>
          <w:rFonts w:cs="Times New Roman"/>
        </w:rPr>
        <w:fldChar w:fldCharType="separate"/>
      </w:r>
      <w:r w:rsidR="00620BE9" w:rsidRPr="00620BE9">
        <w:rPr>
          <w:rFonts w:cs="Times New Roman"/>
          <w:noProof/>
        </w:rPr>
        <w:t>[7,8]</w:t>
      </w:r>
      <w:r w:rsidR="00066B29">
        <w:rPr>
          <w:rFonts w:cs="Times New Roman"/>
        </w:rPr>
        <w:fldChar w:fldCharType="end"/>
      </w:r>
      <w:r w:rsidR="0016481E">
        <w:rPr>
          <w:rFonts w:cs="Times New Roman"/>
        </w:rPr>
        <w:t xml:space="preserve"> Ti</w:t>
      </w:r>
      <w:r w:rsidR="009A3328">
        <w:rPr>
          <w:rFonts w:cs="Times New Roman"/>
          <w:vertAlign w:val="superscript"/>
        </w:rPr>
        <w:t>4+</w:t>
      </w:r>
      <w:r w:rsidR="00FB35F0">
        <w:rPr>
          <w:rFonts w:cs="Times New Roman"/>
        </w:rPr>
        <w:t xml:space="preserve"> are released in solution</w:t>
      </w:r>
      <w:r w:rsidR="0016481E">
        <w:rPr>
          <w:rFonts w:cs="Times New Roman"/>
        </w:rPr>
        <w:t>.</w:t>
      </w:r>
      <w:r w:rsidR="00F323F5">
        <w:rPr>
          <w:rFonts w:cs="Times New Roman"/>
        </w:rPr>
        <w:t xml:space="preserve"> </w:t>
      </w:r>
      <w:r w:rsidR="00B95B9C" w:rsidRPr="00D44AE6">
        <w:rPr>
          <w:rFonts w:cs="Times New Roman"/>
        </w:rPr>
        <w:t>It is well</w:t>
      </w:r>
      <w:r w:rsidR="00360CCC">
        <w:rPr>
          <w:rFonts w:cs="Times New Roman"/>
        </w:rPr>
        <w:t xml:space="preserve">-recognized </w:t>
      </w:r>
      <w:r w:rsidR="00BC7BC7" w:rsidRPr="00D44AE6">
        <w:rPr>
          <w:rFonts w:cs="Times New Roman"/>
        </w:rPr>
        <w:t>that</w:t>
      </w:r>
      <w:r w:rsidR="008B1449">
        <w:rPr>
          <w:rFonts w:cs="Times New Roman"/>
        </w:rPr>
        <w:t>,</w:t>
      </w:r>
      <w:r w:rsidR="00BC7BC7" w:rsidRPr="00D44AE6">
        <w:rPr>
          <w:rFonts w:cs="Times New Roman"/>
        </w:rPr>
        <w:t xml:space="preserve"> provided E</w:t>
      </w:r>
      <w:r w:rsidR="00BC7BC7" w:rsidRPr="00D44AE6">
        <w:rPr>
          <w:rFonts w:cs="Times New Roman"/>
          <w:vertAlign w:val="subscript"/>
        </w:rPr>
        <w:t>corr</w:t>
      </w:r>
      <w:r w:rsidR="00BC7BC7" w:rsidRPr="00D44AE6">
        <w:rPr>
          <w:rFonts w:cs="Times New Roman"/>
        </w:rPr>
        <w:t xml:space="preserve"> is sufficiently negative</w:t>
      </w:r>
      <w:r w:rsidR="007C302F" w:rsidRPr="00D44AE6">
        <w:rPr>
          <w:rFonts w:cs="Times New Roman"/>
        </w:rPr>
        <w:t xml:space="preserve"> in a low pH environment </w:t>
      </w:r>
      <w:r w:rsidR="00C96F69" w:rsidRPr="00D44AE6">
        <w:rPr>
          <w:rFonts w:cs="Times New Roman"/>
        </w:rPr>
        <w:t>(pH &lt; 2)</w:t>
      </w:r>
      <w:r w:rsidR="008B1449">
        <w:rPr>
          <w:rFonts w:cs="Times New Roman"/>
        </w:rPr>
        <w:t>,</w:t>
      </w:r>
      <w:r w:rsidR="00C96F69" w:rsidRPr="00D44AE6">
        <w:rPr>
          <w:rFonts w:cs="Times New Roman"/>
        </w:rPr>
        <w:t xml:space="preserve"> H</w:t>
      </w:r>
      <w:r w:rsidR="00C96F69" w:rsidRPr="00D44AE6">
        <w:rPr>
          <w:rFonts w:cs="Times New Roman"/>
          <w:vertAlign w:val="superscript"/>
        </w:rPr>
        <w:t xml:space="preserve">+ </w:t>
      </w:r>
      <w:r w:rsidR="00C96F69" w:rsidRPr="00D44AE6">
        <w:rPr>
          <w:rFonts w:cs="Times New Roman"/>
        </w:rPr>
        <w:t xml:space="preserve">can </w:t>
      </w:r>
      <w:r w:rsidR="000B1334" w:rsidRPr="00D44AE6">
        <w:rPr>
          <w:rFonts w:cs="Times New Roman"/>
        </w:rPr>
        <w:t>not only be adsorbed</w:t>
      </w:r>
      <w:r w:rsidR="000E1DAF">
        <w:rPr>
          <w:rFonts w:cs="Times New Roman"/>
        </w:rPr>
        <w:t>,</w:t>
      </w:r>
      <w:r w:rsidR="000B1334" w:rsidRPr="00D44AE6">
        <w:rPr>
          <w:rFonts w:cs="Times New Roman"/>
        </w:rPr>
        <w:t xml:space="preserve"> </w:t>
      </w:r>
      <w:r w:rsidR="00300EEE" w:rsidRPr="00D44AE6">
        <w:rPr>
          <w:rFonts w:cs="Times New Roman"/>
        </w:rPr>
        <w:t>contributing</w:t>
      </w:r>
      <w:r w:rsidR="00D10356" w:rsidRPr="00D44AE6">
        <w:rPr>
          <w:rFonts w:cs="Times New Roman"/>
        </w:rPr>
        <w:t xml:space="preserve"> to charge accumulation in the electrical double layer </w:t>
      </w:r>
      <w:r w:rsidR="00072228" w:rsidRPr="00D44AE6">
        <w:rPr>
          <w:rFonts w:cs="Times New Roman"/>
        </w:rPr>
        <w:t xml:space="preserve">established at the oxide-solution interface, but also intercalate </w:t>
      </w:r>
      <w:r w:rsidR="00B50F5A" w:rsidRPr="00D44AE6">
        <w:rPr>
          <w:rFonts w:cs="Times New Roman"/>
        </w:rPr>
        <w:t>within TiO</w:t>
      </w:r>
      <w:r w:rsidR="00B50F5A" w:rsidRPr="00D44AE6">
        <w:rPr>
          <w:rFonts w:cs="Times New Roman"/>
          <w:vertAlign w:val="subscript"/>
        </w:rPr>
        <w:t>2</w:t>
      </w:r>
      <w:r w:rsidR="00B50F5A" w:rsidRPr="00D44AE6">
        <w:rPr>
          <w:rFonts w:cs="Times New Roman"/>
        </w:rPr>
        <w:t xml:space="preserve"> according to the reduction process described by </w:t>
      </w:r>
      <w:r w:rsidR="00B50F5A" w:rsidRPr="00785D42">
        <w:rPr>
          <w:rFonts w:cs="Times New Roman"/>
          <w:b/>
          <w:bCs/>
        </w:rPr>
        <w:t xml:space="preserve">Eq. </w:t>
      </w:r>
      <w:r w:rsidR="00785D42" w:rsidRPr="00785D42">
        <w:rPr>
          <w:rFonts w:cs="Times New Roman"/>
          <w:b/>
          <w:bCs/>
        </w:rPr>
        <w:t>(</w:t>
      </w:r>
      <w:r w:rsidR="00B50F5A" w:rsidRPr="00785D42">
        <w:rPr>
          <w:rFonts w:cs="Times New Roman"/>
          <w:b/>
          <w:bCs/>
        </w:rPr>
        <w:t>1</w:t>
      </w:r>
      <w:r w:rsidR="00785D42" w:rsidRPr="00785D42">
        <w:rPr>
          <w:rFonts w:cs="Times New Roman"/>
          <w:b/>
          <w:bCs/>
        </w:rPr>
        <w:t>)</w:t>
      </w:r>
      <w:r w:rsidR="00AC2D56" w:rsidRPr="00D44AE6">
        <w:rPr>
          <w:rFonts w:cs="Times New Roman"/>
        </w:rPr>
        <w:t xml:space="preserve"> </w:t>
      </w:r>
      <w:r w:rsidR="00AC2D56" w:rsidRPr="00D44AE6">
        <w:rPr>
          <w:rFonts w:cs="Times New Roman"/>
        </w:rPr>
        <w:fldChar w:fldCharType="begin" w:fldLock="1"/>
      </w:r>
      <w:r w:rsidR="00AC2D56" w:rsidRPr="00D44AE6">
        <w:rPr>
          <w:rFonts w:cs="Times New Roman"/>
        </w:rPr>
        <w:instrText>ADDIN CSL_CITATION {"citationItems":[{"id":"ITEM-1","itemData":{"DOI":"10.1149/1.2100212","ISSN":"00134651","abstract":"Cathodic reduction behavior of the anodic oxide film on titanium has been investigated by using ellipsometry combined with electrochemistry. In acidic sulfate solution, the anodic oxide film reductively dissolves into the solution as Ti(III) ion, resulting in the thinning of its thickness without any significant change of the optical property of the remaining film. In neutral phosphate solution, the anodic oxide film absorbs hydrogen in the hydrogen evolution potential region, resulting in a change of the optical property without thinning its thickness. The amount of hydrogen absorbed per unit volume of the film does not depend on the film thickness but on the cathodic potential. The composition change estimated from measurements of anodic charge during the hydrogen release process indicates that the hydrogen absorption begins to occur at about-0.25V (vs. RHE) and that the anodic film changes in its composition from TiO 2  to TiOOH at-0.9V. The hydrogen absorption induces a decrease of the refractive index and an increase of the extinction index of the anodic film. © 1987, The Electrochemical Society, Inc. All rights reserved.","author":[{"dropping-particle":"","family":"Ohtsuka","given":"Toshiaki","non-dropping-particle":"","parse-names":false,"suffix":""}],"container-title":"Journal of The Electrochemical Society","id":"ITEM-1","issue":"10","issued":{"date-parts":[["1987"]]},"note":"- according to the author the amount of hydrogen desorbed during reoxidation following reduction is related to the initial charge spent during reoxidation since during this period the anodic charge passed is independent on anodic potential applied, meaning the process is not faradic and so related to adsorpion/desorption","page":"2406","title":"Cathodic Reduction of Anodic Oxide Films Formed on Titanium","type":"article-journal","volume":"134"},"uris":["http://www.mendeley.com/documents/?uuid=2dcbb71f-45bc-46d7-adc0-d8ae0b7441ce"]},{"id":"ITEM-2","itemData":{"DOI":"10.1016/0254-0584(93)90091-Y","ISSN":"02540584","abstract":"Corrosion behaviour of titanium and VT-9 has been studied in sulphuric acid solution in the whole range of concentration at 30 °C. Effect of temperature on the corrosion behaviour has also been investigated. Titanium and its alloy (VT-9) showed active-passive behaviour. A large range of potential for passivity was observed in all the concentrations at different temperatures. Critical current density for passivation (icr) increased with increasing temperature while it increased with concentration up to 11 M; thereafter it decreased. In general, Ti and VT-9 exhibited similar corrosion behaviour, however passivation current density (ip) and critical current density (icr) differed to some extent. The passivation current density is higher in case of VT-9 than Ti while icr is lower under similar conditions. The stability of the film formed on the surface of the titanium and VT-9, examined under different experimental conditions, reveals the formation of protective uniform passive film on the metal and alloy. © 1993.","author":[{"dropping-particle":"","family":"Hosseini","given":"S. M.A.","non-dropping-particle":"","parse-names":false,"suffix":""},{"dropping-particle":"","family":"Singh","given":"V. B.","non-dropping-particle":"","parse-names":false,"suffix":""}],"container-title":"Materials Chemistry and Physics","id":"ITEM-2","issue":"1-2","issued":{"date-parts":[["1993"]]},"note":"tafel cathodic slope: 110-140 mV/decade\nT increases the rate of the anodic reation","page":"63-69","title":"Active-passive behaviour of titanium and titanium alloy (VT-9) in sulphuric acid solution","type":"article-journal","volume":"33"},"uris":["http://www.mendeley.com/documents/?uuid=119c581d-3398-4c0a-ae63-d4dfb63b1af0"]},{"id":"ITEM-3","itemData":{"ISSN":"14802422","abstract":"Titanium-based Dimensionally Stable Anodes (DSAs) are commonly used in industrial cells, even in corrosive solutions. It is necessary to control the corrosion of their titanium substrates. In this paper, the behaviour of titanium electrodes in sulphuric acid solutions is studied by means of potential decay curves at open circuit potential and impedance spectroscopy measurements. In addition, an electroanalytical determination of soluble Ti(IV) species in the acid electrolytic solutions is proposed, giving a convenient tool for detecting in situ the dissolution of TiO2 and the corrosion of Ti, which can lead to the deactivation of DSAs. © J. New. Mat. Electrochem. Systems.","author":[{"dropping-particle":"","family":"Devilliers","given":"D.","non-dropping-particle":"","parse-names":false,"suffix":""},{"dropping-particle":"","family":"Dinh","given":"M. T.","non-dropping-particle":"","parse-names":false,"suffix":""},{"dropping-particle":"","family":"Mahé","given":"E.","non-dropping-particle":"","parse-names":false,"suffix":""},{"dropping-particle":"","family":"Krulic","given":"D.","non-dropping-particle":"","parse-names":false,"suffix":""},{"dropping-particle":"","family":"Larabi","given":"N.","non-dropping-particle":"","parse-names":false,"suffix":""},{"dropping-particle":"","family":"Fatouros","given":"N.","non-dropping-particle":"","parse-names":false,"suffix":""}],"container-title":"Journal of New Materials for Electrochemical Systems","id":"ITEM-3","issue":"3","issued":{"date-parts":[["2006"]]},"note":"- prova a dissolvere in solforico 10% v/v e poi anodico con autolab fino ad ottenere lo stesso valore di potenziale a patto che il potenziostato regga il potenziale imposto dalla cella \n- rapid decrease of ocp is self-activation, where its incubation time depends strictly on coating thickkness and molar conc of the acid: potrei provare un coating spesso 220 V e vedere se l'OCP è migliore di S_12\n- ocp is stable once dissolution=film growth [10]\n- since no colour variation is observed during the immersion, the Ti+3 in aereted cond. is immediately oxidized to Ti+4 come da reazione nel paper","page":"221-232","title":"Behaviour of titanium in sulphuric acid - Application to DSAs","type":"article-journal","volume":"9"},"uris":["http://www.mendeley.com/documents/?uuid=1fa5ae70-a561-4eca-ae72-8e26df326282"]}],"mendeley":{"formattedCitation":"[9–11]","plainTextFormattedCitation":"[9–11]","previouslyFormattedCitation":"[9–11]"},"properties":{"noteIndex":0},"schema":"https://github.com/citation-style-language/schema/raw/master/csl-citation.json"}</w:instrText>
      </w:r>
      <w:r w:rsidR="00AC2D56" w:rsidRPr="00D44AE6">
        <w:rPr>
          <w:rFonts w:cs="Times New Roman"/>
        </w:rPr>
        <w:fldChar w:fldCharType="separate"/>
      </w:r>
      <w:r w:rsidR="00AC2D56" w:rsidRPr="00D44AE6">
        <w:rPr>
          <w:rFonts w:cs="Times New Roman"/>
          <w:noProof/>
        </w:rPr>
        <w:t>[9–11]</w:t>
      </w:r>
      <w:r w:rsidR="00AC2D56" w:rsidRPr="00D44AE6">
        <w:rPr>
          <w:rFonts w:cs="Times New Roman"/>
        </w:rPr>
        <w:fldChar w:fldCharType="end"/>
      </w:r>
      <w:r w:rsidR="00B50F5A" w:rsidRPr="00D44AE6">
        <w:rPr>
          <w:rFonts w:cs="Times New Roman"/>
        </w:rPr>
        <w:t>:</w:t>
      </w:r>
      <w:r w:rsidR="00F323F5">
        <w:rPr>
          <w:rFonts w:cs="Times New Roman"/>
        </w:rPr>
        <w:t xml:space="preserve"> </w:t>
      </w:r>
    </w:p>
    <w:p w14:paraId="6F0B68B5" w14:textId="4953F140" w:rsidR="00AD71A1" w:rsidRDefault="00B63CF9" w:rsidP="002C234B">
      <w:pPr>
        <w:rPr>
          <w:rFonts w:cs="Times New Roman"/>
        </w:rPr>
      </w:pPr>
      <m:oMath>
        <m:sSup>
          <m:sSupPr>
            <m:ctrlPr>
              <w:rPr>
                <w:rFonts w:ascii="Cambria Math" w:hAnsi="Cambria Math" w:cs="Times New Roman"/>
                <w:i/>
              </w:rPr>
            </m:ctrlPr>
          </m:sSupPr>
          <m:e>
            <m:r>
              <w:rPr>
                <w:rFonts w:ascii="Cambria Math" w:hAnsi="Cambria Math" w:cs="Times New Roman"/>
              </w:rPr>
              <m:t>Ti</m:t>
            </m:r>
          </m:e>
          <m:sup>
            <m:r>
              <w:rPr>
                <w:rFonts w:ascii="Cambria Math" w:hAnsi="Cambria Math" w:cs="Times New Roman"/>
              </w:rPr>
              <m:t>4+</m:t>
            </m:r>
          </m:sup>
        </m:sSup>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r>
          <w:rPr>
            <w:rFonts w:ascii="Cambria Math" w:hAnsi="Cambria Math" w:cs="Times New Roman"/>
          </w:rPr>
          <m:t>+</m:t>
        </m:r>
        <m:sSup>
          <m:sSupPr>
            <m:ctrlPr>
              <w:rPr>
                <w:rFonts w:ascii="Cambria Math" w:hAnsi="Cambria Math" w:cs="Times New Roman"/>
                <w:i/>
              </w:rPr>
            </m:ctrlPr>
          </m:sSupPr>
          <m:e>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r>
              <w:rPr>
                <w:rFonts w:ascii="Cambria Math" w:hAnsi="Cambria Math" w:cs="Times New Roman"/>
              </w:rPr>
              <m:t>O</m:t>
            </m:r>
          </m:e>
          <m:sup>
            <m:r>
              <w:rPr>
                <w:rFonts w:ascii="Cambria Math" w:hAnsi="Cambria Math" w:cs="Times New Roman"/>
              </w:rPr>
              <m:t>+</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Ti</m:t>
            </m:r>
          </m:e>
          <m:sup>
            <m:r>
              <w:rPr>
                <w:rFonts w:ascii="Cambria Math" w:hAnsi="Cambria Math" w:cs="Times New Roman"/>
              </w:rPr>
              <m:t>3+</m:t>
            </m:r>
          </m:sup>
        </m:sSup>
        <m:r>
          <w:rPr>
            <w:rFonts w:ascii="Cambria Math" w:hAnsi="Cambria Math" w:cs="Times New Roman"/>
          </w:rPr>
          <m:t>(O)(OH)+</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2</m:t>
            </m:r>
          </m:sub>
        </m:sSub>
        <m:r>
          <w:rPr>
            <w:rFonts w:ascii="Cambria Math" w:hAnsi="Cambria Math" w:cs="Times New Roman"/>
          </w:rPr>
          <m:t>O</m:t>
        </m:r>
      </m:oMath>
      <w:r w:rsidR="00AC2D56">
        <w:rPr>
          <w:rFonts w:eastAsiaTheme="minorEastAsia" w:cs="Times New Roman"/>
        </w:rPr>
        <w:tab/>
      </w:r>
      <w:r w:rsidR="00AC2D56">
        <w:rPr>
          <w:rFonts w:eastAsiaTheme="minorEastAsia" w:cs="Times New Roman"/>
        </w:rPr>
        <w:tab/>
      </w:r>
      <w:r w:rsidR="00AC2D56">
        <w:rPr>
          <w:rFonts w:eastAsiaTheme="minorEastAsia" w:cs="Times New Roman"/>
        </w:rPr>
        <w:tab/>
      </w:r>
      <w:r w:rsidR="00AC2D56">
        <w:rPr>
          <w:rFonts w:eastAsiaTheme="minorEastAsia" w:cs="Times New Roman"/>
        </w:rPr>
        <w:tab/>
      </w:r>
      <w:r w:rsidR="00AC2D56">
        <w:rPr>
          <w:rFonts w:eastAsiaTheme="minorEastAsia" w:cs="Times New Roman"/>
        </w:rPr>
        <w:tab/>
      </w:r>
      <w:r w:rsidR="00B27A61">
        <w:rPr>
          <w:rFonts w:eastAsiaTheme="minorEastAsia" w:cs="Times New Roman"/>
        </w:rPr>
        <w:tab/>
        <w:t xml:space="preserve">           </w:t>
      </w:r>
      <w:r w:rsidR="00AC2D56">
        <w:rPr>
          <w:rFonts w:eastAsiaTheme="minorEastAsia" w:cs="Times New Roman"/>
        </w:rPr>
        <w:t>(1)</w:t>
      </w:r>
    </w:p>
    <w:p w14:paraId="0F590072" w14:textId="29C77561" w:rsidR="00C94187" w:rsidRDefault="00AC2D56" w:rsidP="002C234B">
      <w:pPr>
        <w:rPr>
          <w:rFonts w:cs="Times New Roman"/>
        </w:rPr>
      </w:pPr>
      <w:r>
        <w:rPr>
          <w:rFonts w:cs="Times New Roman"/>
        </w:rPr>
        <w:t xml:space="preserve">becoming feasible for </w:t>
      </w:r>
      <w:r w:rsidR="00136763">
        <w:rPr>
          <w:rFonts w:eastAsiaTheme="minorEastAsia" w:cs="Times New Roman"/>
        </w:rPr>
        <w:t>E</w:t>
      </w:r>
      <w:r w:rsidR="00136763">
        <w:rPr>
          <w:rFonts w:eastAsiaTheme="minorEastAsia" w:cs="Times New Roman"/>
          <w:vertAlign w:val="subscript"/>
        </w:rPr>
        <w:t>corr</w:t>
      </w:r>
      <w:r w:rsidR="00136763">
        <w:rPr>
          <w:rFonts w:eastAsiaTheme="minorEastAsia" w:cs="Times New Roman"/>
        </w:rPr>
        <w:t xml:space="preserve"> &lt; 197 mV</w:t>
      </w:r>
      <w:r w:rsidR="00136763">
        <w:rPr>
          <w:rFonts w:eastAsiaTheme="minorEastAsia" w:cs="Times New Roman"/>
          <w:vertAlign w:val="subscript"/>
        </w:rPr>
        <w:t>SSC</w:t>
      </w:r>
      <w:r w:rsidR="00C6122F">
        <w:rPr>
          <w:rFonts w:eastAsiaTheme="minorEastAsia" w:cs="Times New Roman"/>
        </w:rPr>
        <w:t xml:space="preserve"> </w:t>
      </w:r>
      <w:r w:rsidR="00C6122F">
        <w:rPr>
          <w:rFonts w:eastAsiaTheme="minorEastAsia" w:cs="Times New Roman"/>
        </w:rPr>
        <w:fldChar w:fldCharType="begin" w:fldLock="1"/>
      </w:r>
      <w:r w:rsidR="00E1085A">
        <w:rPr>
          <w:rFonts w:eastAsiaTheme="minorEastAsia" w:cs="Times New Roman"/>
        </w:rPr>
        <w:instrText>ADDIN CSL_CITATION {"citationItems":[{"id":"ITEM-1","itemData":{"DOI":"10.1016/j.electacta.2021.138190","ISSN":"0013-4686","author":[{"dropping-particle":"","family":"Casanova","given":"Luca","non-dropping-particle":"","parse-names":false,"suffix":""},{"dropping-particle":"La","family":"Padula","given":"Marcello","non-dropping-particle":"","parse-names":false,"suffix":""},{"dropping-particle":"","family":"Pedeferri","given":"Mariapia","non-dropping-particle":"","parse-names":false,"suffix":""},{"dropping-particle":"","family":"Diamanti","given":"Maria Vittoria","non-dropping-particle":"","parse-names":false,"suffix":""},{"dropping-particle":"","family":"Ormellese","given":"Marco","non-dropping-particle":"","parse-names":false,"suffix":""}],"container-title":"Electrochimica Acta","id":"ITEM-1","issued":{"date-parts":[["2021"]]},"page":"138190","publisher":"Elsevier Ltd","title":"An insight into the evolution of corrosion resistant coatings on titanium during bipolar plasma electrolytic oxidation in sulfuric acid","type":"article-journal","volume":"379"},"uris":["http://www.mendeley.com/documents/?uuid=d7f33f8f-fc10-4c6f-9364-e2b6fdea8c71"]}],"mendeley":{"formattedCitation":"[4]","plainTextFormattedCitation":"[4]","previouslyFormattedCitation":"[4]"},"properties":{"noteIndex":0},"schema":"https://github.com/citation-style-language/schema/raw/master/csl-citation.json"}</w:instrText>
      </w:r>
      <w:r w:rsidR="00C6122F">
        <w:rPr>
          <w:rFonts w:eastAsiaTheme="minorEastAsia" w:cs="Times New Roman"/>
        </w:rPr>
        <w:fldChar w:fldCharType="separate"/>
      </w:r>
      <w:r w:rsidR="00C6122F" w:rsidRPr="00C6122F">
        <w:rPr>
          <w:rFonts w:eastAsiaTheme="minorEastAsia" w:cs="Times New Roman"/>
          <w:noProof/>
        </w:rPr>
        <w:t>[4]</w:t>
      </w:r>
      <w:r w:rsidR="00C6122F">
        <w:rPr>
          <w:rFonts w:eastAsiaTheme="minorEastAsia" w:cs="Times New Roman"/>
        </w:rPr>
        <w:fldChar w:fldCharType="end"/>
      </w:r>
      <w:r w:rsidR="00770D76">
        <w:rPr>
          <w:rFonts w:eastAsiaTheme="minorEastAsia" w:cs="Times New Roman"/>
        </w:rPr>
        <w:t xml:space="preserve"> </w:t>
      </w:r>
      <w:r w:rsidR="00AD61AA">
        <w:rPr>
          <w:rFonts w:eastAsiaTheme="minorEastAsia" w:cs="Times New Roman"/>
        </w:rPr>
        <w:t xml:space="preserve">considering </w:t>
      </w:r>
      <w:r w:rsidR="00D622FB">
        <w:rPr>
          <w:rFonts w:eastAsiaTheme="minorEastAsia" w:cs="Times New Roman"/>
        </w:rPr>
        <w:t>present conditions</w:t>
      </w:r>
      <w:r w:rsidR="00136763">
        <w:rPr>
          <w:rFonts w:eastAsiaTheme="minorEastAsia" w:cs="Times New Roman"/>
        </w:rPr>
        <w:t>.</w:t>
      </w:r>
      <w:r w:rsidR="009B0CDA">
        <w:rPr>
          <w:rFonts w:eastAsiaTheme="minorEastAsia" w:cs="Times New Roman"/>
        </w:rPr>
        <w:t xml:space="preserve"> Such a reduction </w:t>
      </w:r>
      <w:r w:rsidR="008138B9">
        <w:rPr>
          <w:rFonts w:eastAsiaTheme="minorEastAsia" w:cs="Times New Roman"/>
        </w:rPr>
        <w:t>process,</w:t>
      </w:r>
      <w:r w:rsidR="009B0CDA">
        <w:rPr>
          <w:rFonts w:eastAsiaTheme="minorEastAsia" w:cs="Times New Roman"/>
        </w:rPr>
        <w:t xml:space="preserve"> </w:t>
      </w:r>
      <w:r w:rsidR="00FD51AE">
        <w:rPr>
          <w:rFonts w:eastAsiaTheme="minorEastAsia" w:cs="Times New Roman"/>
        </w:rPr>
        <w:t>assisted by proton intercalation</w:t>
      </w:r>
      <w:r w:rsidR="008138B9">
        <w:rPr>
          <w:rFonts w:eastAsiaTheme="minorEastAsia" w:cs="Times New Roman"/>
        </w:rPr>
        <w:t>,</w:t>
      </w:r>
      <w:r w:rsidR="00FD51AE">
        <w:rPr>
          <w:rFonts w:eastAsiaTheme="minorEastAsia" w:cs="Times New Roman"/>
        </w:rPr>
        <w:t xml:space="preserve"> can be thought as a</w:t>
      </w:r>
      <w:r w:rsidR="00736615">
        <w:rPr>
          <w:rFonts w:eastAsiaTheme="minorEastAsia" w:cs="Times New Roman"/>
        </w:rPr>
        <w:t xml:space="preserve"> local</w:t>
      </w:r>
      <w:r w:rsidR="00FD51AE">
        <w:rPr>
          <w:rFonts w:eastAsiaTheme="minorEastAsia" w:cs="Times New Roman"/>
        </w:rPr>
        <w:t xml:space="preserve"> charge compensation mechanism</w:t>
      </w:r>
      <w:r w:rsidR="008138B9">
        <w:rPr>
          <w:rFonts w:eastAsiaTheme="minorEastAsia" w:cs="Times New Roman"/>
        </w:rPr>
        <w:t xml:space="preserve"> </w:t>
      </w:r>
      <w:r w:rsidR="000126D4">
        <w:rPr>
          <w:rFonts w:eastAsiaTheme="minorEastAsia" w:cs="Times New Roman"/>
        </w:rPr>
        <w:t>in correspondence of the formation of Ti</w:t>
      </w:r>
      <w:r w:rsidR="000126D4">
        <w:rPr>
          <w:rFonts w:eastAsiaTheme="minorEastAsia" w:cs="Times New Roman"/>
          <w:vertAlign w:val="superscript"/>
        </w:rPr>
        <w:t>3+</w:t>
      </w:r>
      <w:r w:rsidR="000126D4">
        <w:rPr>
          <w:rFonts w:eastAsiaTheme="minorEastAsia" w:cs="Times New Roman"/>
        </w:rPr>
        <w:t xml:space="preserve"> centers.</w:t>
      </w:r>
      <w:r w:rsidR="00066B29">
        <w:rPr>
          <w:rFonts w:eastAsiaTheme="minorEastAsia" w:cs="Times New Roman"/>
        </w:rPr>
        <w:t xml:space="preserve"> </w:t>
      </w:r>
      <w:r w:rsidR="003000A3">
        <w:rPr>
          <w:rFonts w:eastAsiaTheme="minorEastAsia" w:cs="Times New Roman"/>
        </w:rPr>
        <w:t>Apart from electrochemical reduction</w:t>
      </w:r>
      <w:r w:rsidR="00222EC8">
        <w:rPr>
          <w:rFonts w:eastAsiaTheme="minorEastAsia" w:cs="Times New Roman"/>
        </w:rPr>
        <w:t xml:space="preserve"> chemical dissolution</w:t>
      </w:r>
      <w:r w:rsidR="00A21473">
        <w:rPr>
          <w:rFonts w:eastAsiaTheme="minorEastAsia" w:cs="Times New Roman"/>
        </w:rPr>
        <w:t xml:space="preserve"> is also significant.</w:t>
      </w:r>
      <w:r w:rsidR="00F323F5">
        <w:rPr>
          <w:rFonts w:cs="Times New Roman"/>
        </w:rPr>
        <w:t xml:space="preserve"> </w:t>
      </w:r>
      <w:r w:rsidR="00136763">
        <w:rPr>
          <w:rFonts w:cs="Times New Roman"/>
        </w:rPr>
        <w:t>Blackwood</w:t>
      </w:r>
      <w:r w:rsidR="00F34661">
        <w:rPr>
          <w:rFonts w:cs="Times New Roman"/>
        </w:rPr>
        <w:t xml:space="preserve"> </w:t>
      </w:r>
      <w:r w:rsidR="00F34661" w:rsidRPr="00F34661">
        <w:rPr>
          <w:rFonts w:cs="Times New Roman"/>
          <w:i/>
          <w:iCs/>
        </w:rPr>
        <w:t>et al.</w:t>
      </w:r>
      <w:r w:rsidR="00550300">
        <w:rPr>
          <w:rFonts w:cs="Times New Roman"/>
        </w:rPr>
        <w:t xml:space="preserve"> </w:t>
      </w:r>
      <w:r w:rsidR="00550300">
        <w:rPr>
          <w:rFonts w:cs="Times New Roman"/>
        </w:rPr>
        <w:fldChar w:fldCharType="begin" w:fldLock="1"/>
      </w:r>
      <w:r w:rsidR="00620BE9">
        <w:rPr>
          <w:rFonts w:cs="Times New Roman"/>
        </w:rPr>
        <w:instrText>ADDIN CSL_CITATION {"citationItems":[{"id":"ITEM-1","itemData":{"DOI":"10.1016/0013-4686(88)80206-8","ISSN":"00134686","abstract":"Titanium electrodes have been passivated by forming an anodic oxide film in acid solution are known to undergo a spontaneous passive-active transition at open circuit after a delay period that depends on the experimental conditions. In the present work, the reactivation of the electrode has been investigated, and it has been shown that it arises as the result of uniform chemical dissolution of the oxide film. The rate of dissolution, and hence the stability of the oxide, was found to depend on the rate at which the oxide film had been formed as well as on solution composition and temperature. The rate of film dissolution in sulphuric acid showed a first order dependence on proton concentration, but high dissolution rates were also measured in alkaline solution (pH 14). The activation energy for film dissolution in 3.0 mol dmt-3 H2SO4 was found to be 63 kJ molt-1. The reduction of the film under galvanostatic conditions was also investigated, and it was established that simultaneous chemical and electrochemical dissolution occurred uniformly across the electrode surface. © 1988.","author":[{"dropping-particle":"","family":"Blackwood","given":"D. J.","non-dropping-particle":"","parse-names":false,"suffix":""},{"dropping-particle":"","family":"Peter","given":"L. M.","non-dropping-particle":"","parse-names":false,"suffix":""},{"dropping-particle":"","family":"Williams","given":"D. E.","non-dropping-particle":"","parse-names":false,"suffix":""}],"container-title":"Electrochimica Acta","id":"ITEM-1","issue":"8","issued":{"date-parts":[["1988"]]},"page":"1143-1149","title":"Stability and open circuit breakdown of the passive oxide film on titanium","type":"article-journal","volume":"33"},"uris":["http://www.mendeley.com/documents/?uuid=6bf8f723-451b-4e1b-a239-0f2b59e298ff"]},{"id":"ITEM-2","itemData":{"DOI":"10.1016/S0010-938X(01)00080-4","ISSN":"0010938X","abstract":"Porous titanium has mechanical advantages over its solid counterpart, especially for use in surgical implants, however, its corrosion resistance is not as good. The relative stability of various oxide films on both porous and solid titanium was thus investigates. The point of initial failure of the oxide films on porous titanium was found to be within the depths of the pores. It is also postulated that galvanic coupling to the outer surface, via a mechanism akin to crevice corrosion, may promote the rapid dissolution in the pores. Preliminary, results suggest that thermal oxides offer better corrosion protection to porous titanium than anodic oxides. © 2002 Elsevier Science Ltd. All rights reserved.","author":[{"dropping-particle":"","family":"Blackwood","given":"D. J.","non-dropping-particle":"","parse-names":false,"suffix":""},{"dropping-particle":"","family":"Chooi","given":"S. K.M.","non-dropping-particle":"","parse-names":false,"suffix":""}],"container-title":"Corrosion Science","id":"ITEM-2","issue":"3","issued":{"date-parts":[["2002"]]},"page":"395-405","title":"Stability of protective oxide films formed on a porous titanium","type":"article-journal","volume":"44"},"uris":["http://www.mendeley.com/documents/?uuid=b6f297e6-b4ec-4408-96be-2208fd674bff"]}],"mendeley":{"formattedCitation":"[12,13]","plainTextFormattedCitation":"[12,13]","previouslyFormattedCitation":"[12,13]"},"properties":{"noteIndex":0},"schema":"https://github.com/citation-style-language/schema/raw/master/csl-citation.json"}</w:instrText>
      </w:r>
      <w:r w:rsidR="00550300">
        <w:rPr>
          <w:rFonts w:cs="Times New Roman"/>
        </w:rPr>
        <w:fldChar w:fldCharType="separate"/>
      </w:r>
      <w:r w:rsidR="00620BE9" w:rsidRPr="00620BE9">
        <w:rPr>
          <w:rFonts w:cs="Times New Roman"/>
          <w:noProof/>
        </w:rPr>
        <w:t>[12,13]</w:t>
      </w:r>
      <w:r w:rsidR="00550300">
        <w:rPr>
          <w:rFonts w:cs="Times New Roman"/>
        </w:rPr>
        <w:fldChar w:fldCharType="end"/>
      </w:r>
      <w:r w:rsidR="005C3324">
        <w:rPr>
          <w:rFonts w:cs="Times New Roman"/>
        </w:rPr>
        <w:t>, for example,</w:t>
      </w:r>
      <w:r w:rsidR="00056062">
        <w:rPr>
          <w:rFonts w:cs="Times New Roman"/>
        </w:rPr>
        <w:t xml:space="preserve"> </w:t>
      </w:r>
      <w:r w:rsidR="00136763">
        <w:rPr>
          <w:rFonts w:cs="Times New Roman"/>
        </w:rPr>
        <w:t xml:space="preserve">hypothesized </w:t>
      </w:r>
      <w:r w:rsidR="002162E2">
        <w:rPr>
          <w:rFonts w:cs="Times New Roman"/>
        </w:rPr>
        <w:t xml:space="preserve">the presence of </w:t>
      </w:r>
      <w:r w:rsidR="002162E2">
        <w:rPr>
          <w:rFonts w:cs="Times New Roman"/>
        </w:rPr>
        <w:lastRenderedPageBreak/>
        <w:t>a first order reaction</w:t>
      </w:r>
      <w:r w:rsidR="00B57853">
        <w:rPr>
          <w:rFonts w:cs="Times New Roman"/>
        </w:rPr>
        <w:t xml:space="preserve"> proportional to proton concentration</w:t>
      </w:r>
      <w:r w:rsidR="005203A2">
        <w:rPr>
          <w:rFonts w:cs="Times New Roman"/>
        </w:rPr>
        <w:t>.</w:t>
      </w:r>
      <w:r w:rsidR="00F86A0C">
        <w:rPr>
          <w:rFonts w:cs="Times New Roman"/>
        </w:rPr>
        <w:t xml:space="preserve"> This is of direct relevance </w:t>
      </w:r>
      <w:r w:rsidR="00937B0F">
        <w:rPr>
          <w:rFonts w:cs="Times New Roman"/>
        </w:rPr>
        <w:t xml:space="preserve">for the </w:t>
      </w:r>
      <w:r w:rsidR="001051CD">
        <w:rPr>
          <w:rFonts w:cs="Times New Roman"/>
        </w:rPr>
        <w:t>decrease of the electrode E</w:t>
      </w:r>
      <w:r w:rsidR="001051CD">
        <w:rPr>
          <w:rFonts w:cs="Times New Roman"/>
          <w:vertAlign w:val="subscript"/>
        </w:rPr>
        <w:t>corr</w:t>
      </w:r>
      <w:r w:rsidR="001051CD">
        <w:rPr>
          <w:rFonts w:cs="Times New Roman"/>
        </w:rPr>
        <w:t xml:space="preserve"> </w:t>
      </w:r>
      <w:r w:rsidR="00A8611E">
        <w:rPr>
          <w:rFonts w:cs="Times New Roman"/>
        </w:rPr>
        <w:t>until</w:t>
      </w:r>
      <w:r w:rsidR="001051CD">
        <w:rPr>
          <w:rFonts w:cs="Times New Roman"/>
        </w:rPr>
        <w:t xml:space="preserve"> values required </w:t>
      </w:r>
      <w:r w:rsidR="00D92CCE">
        <w:rPr>
          <w:rFonts w:cs="Times New Roman"/>
        </w:rPr>
        <w:t xml:space="preserve">for </w:t>
      </w:r>
      <w:r w:rsidR="00575CE4">
        <w:rPr>
          <w:rFonts w:cs="Times New Roman"/>
        </w:rPr>
        <w:t>electrochemical oxide reduction to be feasible</w:t>
      </w:r>
      <w:r w:rsidR="00237835">
        <w:rPr>
          <w:rFonts w:cs="Times New Roman"/>
        </w:rPr>
        <w:t>. It should</w:t>
      </w:r>
      <w:r w:rsidR="007A3020">
        <w:rPr>
          <w:rFonts w:cs="Times New Roman"/>
        </w:rPr>
        <w:t xml:space="preserve"> also</w:t>
      </w:r>
      <w:r w:rsidR="00237835">
        <w:rPr>
          <w:rFonts w:cs="Times New Roman"/>
        </w:rPr>
        <w:t xml:space="preserve"> be emphasized</w:t>
      </w:r>
      <w:r w:rsidR="007A3020">
        <w:rPr>
          <w:rFonts w:cs="Times New Roman"/>
        </w:rPr>
        <w:t xml:space="preserve"> that</w:t>
      </w:r>
      <w:r w:rsidR="002D25DF">
        <w:rPr>
          <w:rFonts w:cs="Times New Roman"/>
        </w:rPr>
        <w:t xml:space="preserve"> </w:t>
      </w:r>
      <w:r w:rsidR="008078C7">
        <w:rPr>
          <w:rFonts w:cs="Times New Roman"/>
        </w:rPr>
        <w:t>this</w:t>
      </w:r>
      <w:r w:rsidR="002D25DF">
        <w:rPr>
          <w:rFonts w:cs="Times New Roman"/>
        </w:rPr>
        <w:t xml:space="preserve"> </w:t>
      </w:r>
      <w:r w:rsidR="008078C7">
        <w:rPr>
          <w:rFonts w:cs="Times New Roman"/>
        </w:rPr>
        <w:t>will cause</w:t>
      </w:r>
      <w:r w:rsidR="002D25DF">
        <w:rPr>
          <w:rFonts w:cs="Times New Roman"/>
        </w:rPr>
        <w:t xml:space="preserve"> </w:t>
      </w:r>
      <w:r w:rsidR="0050256A">
        <w:rPr>
          <w:rFonts w:cs="Times New Roman"/>
        </w:rPr>
        <w:t>the</w:t>
      </w:r>
      <w:r w:rsidR="008078C7">
        <w:rPr>
          <w:rFonts w:cs="Times New Roman"/>
        </w:rPr>
        <w:t xml:space="preserve"> inevitable</w:t>
      </w:r>
      <w:r w:rsidR="0050256A">
        <w:rPr>
          <w:rFonts w:cs="Times New Roman"/>
        </w:rPr>
        <w:t xml:space="preserve"> increase of</w:t>
      </w:r>
      <w:r w:rsidR="00D976F0">
        <w:rPr>
          <w:rFonts w:cs="Times New Roman"/>
        </w:rPr>
        <w:t xml:space="preserve"> the</w:t>
      </w:r>
      <w:r w:rsidR="0050256A">
        <w:rPr>
          <w:rFonts w:cs="Times New Roman"/>
        </w:rPr>
        <w:t xml:space="preserve"> material conductivity</w:t>
      </w:r>
      <w:r w:rsidR="00D976F0">
        <w:rPr>
          <w:rFonts w:cs="Times New Roman"/>
        </w:rPr>
        <w:t xml:space="preserve"> </w:t>
      </w:r>
      <w:r w:rsidR="006A0CE4">
        <w:rPr>
          <w:rFonts w:cs="Times New Roman"/>
        </w:rPr>
        <w:t>making the coating an inefficient</w:t>
      </w:r>
      <w:r w:rsidR="005F13FF">
        <w:rPr>
          <w:rFonts w:cs="Times New Roman"/>
        </w:rPr>
        <w:t xml:space="preserve"> </w:t>
      </w:r>
      <w:r w:rsidR="003D6713">
        <w:rPr>
          <w:rFonts w:cs="Times New Roman"/>
        </w:rPr>
        <w:t xml:space="preserve">barrier </w:t>
      </w:r>
      <w:r w:rsidR="006A0CE4">
        <w:rPr>
          <w:rFonts w:cs="Times New Roman"/>
        </w:rPr>
        <w:t xml:space="preserve">against </w:t>
      </w:r>
      <w:r w:rsidR="00B30042">
        <w:rPr>
          <w:rFonts w:cs="Times New Roman"/>
        </w:rPr>
        <w:t>diffusion of charges</w:t>
      </w:r>
      <w:r w:rsidR="00550300">
        <w:rPr>
          <w:rFonts w:cs="Times New Roman"/>
        </w:rPr>
        <w:t>.</w:t>
      </w:r>
      <w:r w:rsidR="006B4BEF">
        <w:rPr>
          <w:rFonts w:cs="Times New Roman"/>
        </w:rPr>
        <w:t xml:space="preserve"> A rather recent techn</w:t>
      </w:r>
      <w:r w:rsidR="003C2048">
        <w:rPr>
          <w:rFonts w:cs="Times New Roman"/>
        </w:rPr>
        <w:t xml:space="preserve">ique, with important </w:t>
      </w:r>
      <w:r w:rsidR="006B4BEF">
        <w:rPr>
          <w:rFonts w:cs="Times New Roman"/>
        </w:rPr>
        <w:t>applications</w:t>
      </w:r>
      <w:r w:rsidR="003C2048">
        <w:rPr>
          <w:rFonts w:cs="Times New Roman"/>
        </w:rPr>
        <w:t xml:space="preserve"> in industry and research field</w:t>
      </w:r>
      <w:r w:rsidR="006B4BEF">
        <w:rPr>
          <w:rFonts w:cs="Times New Roman"/>
        </w:rPr>
        <w:t xml:space="preserve"> </w:t>
      </w:r>
      <w:r w:rsidR="00EA267F">
        <w:rPr>
          <w:rFonts w:cs="Times New Roman"/>
        </w:rPr>
        <w:t xml:space="preserve">found to be effective against many </w:t>
      </w:r>
      <w:r w:rsidR="001D345C">
        <w:rPr>
          <w:rFonts w:cs="Times New Roman"/>
        </w:rPr>
        <w:t>forms</w:t>
      </w:r>
      <w:r w:rsidR="00EA267F">
        <w:rPr>
          <w:rFonts w:cs="Times New Roman"/>
        </w:rPr>
        <w:t xml:space="preserve"> of corrosion</w:t>
      </w:r>
      <w:r w:rsidR="00CE238E">
        <w:rPr>
          <w:rFonts w:cs="Times New Roman"/>
        </w:rPr>
        <w:t xml:space="preserve">, </w:t>
      </w:r>
      <w:r w:rsidR="004314DB">
        <w:rPr>
          <w:rFonts w:cs="Times New Roman"/>
        </w:rPr>
        <w:t>like uniform attack in strong reducing acids or localized dissolution in halides rich environment,</w:t>
      </w:r>
      <w:r w:rsidR="006B4BEF">
        <w:rPr>
          <w:rFonts w:cs="Times New Roman"/>
        </w:rPr>
        <w:t xml:space="preserve"> is plasma electrolytic oxidation (PEO)</w:t>
      </w:r>
      <w:r w:rsidR="004E7532">
        <w:rPr>
          <w:rFonts w:cs="Times New Roman"/>
        </w:rPr>
        <w:t xml:space="preserve"> </w:t>
      </w:r>
      <w:r w:rsidR="004E7532" w:rsidRPr="004E7532">
        <w:rPr>
          <w:rFonts w:cs="Times New Roman"/>
        </w:rPr>
        <w:fldChar w:fldCharType="begin" w:fldLock="1"/>
      </w:r>
      <w:r w:rsidR="004E7532" w:rsidRPr="004E7532">
        <w:rPr>
          <w:rFonts w:cs="Times New Roman"/>
        </w:rPr>
        <w:instrText>ADDIN CSL_CITATION {"citationItems":[{"id":"ITEM-1","itemData":{"DOI":"10.1016/j.electacta.2021.138190","ISSN":"0013-4686","author":[{"dropping-particle":"","family":"Casanova","given":"Luca","non-dropping-particle":"","parse-names":false,"suffix":""},{"dropping-particle":"La","family":"Padula","given":"Marcello","non-dropping-particle":"","parse-names":false,"suffix":""},{"dropping-particle":"","family":"Pedeferri","given":"Mariapia","non-dropping-particle":"","parse-names":false,"suffix":""},{"dropping-particle":"","family":"Diamanti","given":"Maria Vittoria","non-dropping-particle":"","parse-names":false,"suffix":""},{"dropping-particle":"","family":"Ormellese","given":"Marco","non-dropping-particle":"","parse-names":false,"suffix":""}],"container-title":"Electrochimica Acta","id":"ITEM-1","issued":{"date-parts":[["2021"]]},"page":"138190","publisher":"Elsevier Ltd","title":"An insight into the evolution of corrosion resistant coatings on titanium during bipolar plasma electrolytic oxidation in sulfuric acid","type":"article-journal","volume":"379"},"uris":["http://www.mendeley.com/documents/?uuid=d7f33f8f-fc10-4c6f-9364-e2b6fdea8c71"]},{"id":"ITEM-2","itemData":{"DOI":"10.1016/j.surfcoat.2018.02.042","ISSN":"02578972","abstract":"Current waveforms with different cathodic duty cycles of 0, 20 and 40% were applied to coat 7075 aluminum alloy in a silicate based electrolyte containing titania nano-particles. Using a constant current mode, the recorded voltage-time response showed that the required voltage for PEO coating process is lower in the presence of sodium tungstate as additive. By increasing the cathodic duty cycle, pancake surface morphology was converted to crater-like. Phase and chemical composition of the coatings were investigated by using grazing angle XRD and SEM/EDS. The tungsten concentration decreased linearly with the increase of cathodic duty cycle, which is dissimilar to the titania content. It was proposed that physical entrapping has been associated with electrophoretic incorporation of titania nano-particles, while the adsorption mechanism of tungstate anions is purely electrophoretic. Corrosion performance of the coatings was evaluated by potentiodynamic polarization and EIS measurements. Addition of sodium tungstate was detrimental for corrosion performance of the coating in the case of unipolar waveform while the corrosion resistance was improved when bipolar waveforms were used. Long-term corrosion behavior of the coatings was investigated by EIS up to 16 weeks. The results showed remarkable difference between corrosion performance of the coatings produced by unipolar and bipolar waveforms, but the difference was negligible for the coatings produced by the bipolar waveforms with different cathodic duty ratios.","author":[{"dropping-particle":"","family":"Hakimizad","given":"Amin","non-dropping-particle":"","parse-names":false,"suffix":""},{"dropping-particle":"","family":"Raeissi","given":"Keyvan","non-dropping-particle":"","parse-names":false,"suffix":""},{"dropping-particle":"","family":"Golozar","given":"Mohammad Ali","non-dropping-particle":"","parse-names":false,"suffix":""},{"dropping-particle":"","family":"Lu","given":"Xiaopeng","non-dropping-particle":"","parse-names":false,"suffix":""},{"dropping-particle":"","family":"Blawert","given":"Carsten","non-dropping-particle":"","parse-names":false,"suffix":""},{"dropping-particle":"","family":"Zheludkevich","given":"Mikhail L.","non-dropping-particle":"","parse-names":false,"suffix":""}],"container-title":"Surface and Coatings Technology","id":"ITEM-2","issue":"February","issued":{"date-parts":[["2018"]]},"page":"210-221","publisher":"Elsevier","title":"Influence of cathodic duty cycle on the properties of tungsten containing Al2O3/TiO2 PEO nano-composite coatings","type":"article-journal","volume":"340"},"uris":["http://www.mendeley.com/documents/?uuid=47a63f93-5ee2-4958-8890-c4101584f77a"]},{"id":"ITEM-3","itemData":{"DOI":"10.1533/9781845699451.2.110","ISBN":"9781845695378","abstract":"This chapter gives a review of the plasma electrolytic oxidation (PEO) technique from scientific, technological and application points of view. The first section of the chapter reviews the historic development and advantages of the PEO process. Section 5.2 stresses the growth phenomenon and formation mechanism of PEO coatings. Section 5.3 discusses the effects of power source types and key process parameters (such as electrolyte composition, electrical parameters and solution temperature) on coatings. Section 5.4 discusses how this process can be applied in improving wear, corrosion protection, and other functional performance including antifriction, thermal protection, optical, and dielectric. The final section gives a view of new process explorations. © 2010 Woodhead Publishing Limited. All rights reserved.","author":[{"dropping-particle":"","family":"Jiang","given":"B. L.","non-dropping-particle":"","parse-names":false,"suffix":""},{"dropping-particle":"","family":"Wang","given":"Y. M.","non-dropping-particle":"","parse-names":false,"suffix":""}],"container-title":"Surface Engineering of Light Alloys: Aluminium, Magnesium and Titanium Alloys","id":"ITEM-3","issued":{"date-parts":[["2010"]]},"page":"110-154","title":"Plasma electrolytic oxidation treatment of aluminium and titanium alloys","type":"article-journal"},"uris":["http://www.mendeley.com/documents/?uuid=6c6c44c9-4555-4a4b-9012-b6fff6aabb11"]},{"id":"ITEM-4","itemData":{"DOI":"10.1016/j.apsusc.2011.10.064","ISSN":"01694332","abstract":"The aim of this work is to discuss the growth characteristics and corrosion behavior of the prepared ceramic coatings on titanium by plasma electrolytic oxidation (PEO) technique in different electrolytes. PEO process was carried out on titanium under constant voltage regime using a pulse power supply. Three kinds of electrolytes, phosphate, silicate and borate based solutions, were used to evaluate the influence of electrolyte composition on the structure, surface morphology, phase composition and corrosion behavior of prepared ceramic oxide films (titania). The phase composition of the coatings was investigated by X-ray diffraction. Scanning electron microscopy was employed to evaluate the growth and surface morphology of coatings. Elements of coatings were investigated with energy dispersive spectrometer. Corrosion behavior of the coatings was also examined by potentiodynamic polarization and electrochemical impedance spectroscopy. The spark voltage of oxide films had a significant effect on the surface morphology, size and homogeneity of micro-pores, thickness and corrosion properties of coatings. © 2011 Elsevier B.V. All rights reserved.","author":[{"dropping-particle":"","family":"Shokouhfar","given":"M.","non-dropping-particle":"","parse-names":false,"suffix":""},{"dropping-particle":"","family":"Dehghanian","given":"C.","non-dropping-particle":"","parse-names":false,"suffix":""},{"dropping-particle":"","family":"Montazeri","given":"M.","non-dropping-particle":"","parse-names":false,"suffix":""},{"dropping-particle":"","family":"Baradaran","given":"A.","non-dropping-particle":"","parse-names":false,"suffix":""}],"container-title":"Applied Surface Science","id":"ITEM-4","issue":"7","issued":{"date-parts":[["2012"]]},"page":"2416-2423","publisher":"Elsevier B.V.","title":"Preparation of ceramic coating on Ti substrate by plasma electrolytic oxidation in different electrolytes and evaluation of its corrosion resistance: Part II","type":"article-journal","volume":"258"},"uris":["http://www.mendeley.com/documents/?uuid=e78226c0-962b-4e33-842d-d366f41c47df"]}],"mendeley":{"formattedCitation":"[4,14–16]","manualFormatting":"[14–16]","plainTextFormattedCitation":"[4,14–16]","previouslyFormattedCitation":"[4,14–16]"},"properties":{"noteIndex":0},"schema":"https://github.com/citation-style-language/schema/raw/master/csl-citation.json"}</w:instrText>
      </w:r>
      <w:r w:rsidR="004E7532" w:rsidRPr="004E7532">
        <w:rPr>
          <w:rFonts w:cs="Times New Roman"/>
        </w:rPr>
        <w:fldChar w:fldCharType="separate"/>
      </w:r>
      <w:r w:rsidR="004E7532" w:rsidRPr="004E7532">
        <w:rPr>
          <w:rFonts w:cs="Times New Roman"/>
          <w:noProof/>
        </w:rPr>
        <w:t>[14–16]</w:t>
      </w:r>
      <w:r w:rsidR="004E7532" w:rsidRPr="004E7532">
        <w:rPr>
          <w:rFonts w:cs="Times New Roman"/>
        </w:rPr>
        <w:fldChar w:fldCharType="end"/>
      </w:r>
      <w:r w:rsidR="006B4BEF">
        <w:rPr>
          <w:rFonts w:cs="Times New Roman"/>
        </w:rPr>
        <w:t xml:space="preserve">. Typical PEO oxides </w:t>
      </w:r>
      <w:r w:rsidR="003C2048">
        <w:rPr>
          <w:rFonts w:cs="Times New Roman"/>
        </w:rPr>
        <w:t>present a morphology characterized by a porous outer layer, imparting to the coating a rather high thickness</w:t>
      </w:r>
      <w:r w:rsidR="00165E31">
        <w:rPr>
          <w:rFonts w:cs="Times New Roman"/>
        </w:rPr>
        <w:t>,</w:t>
      </w:r>
      <w:r w:rsidR="00CD3A05">
        <w:rPr>
          <w:rFonts w:cs="Times New Roman"/>
        </w:rPr>
        <w:t xml:space="preserve"> whose features are </w:t>
      </w:r>
      <w:r w:rsidR="00620BE9">
        <w:rPr>
          <w:rFonts w:cs="Times New Roman"/>
        </w:rPr>
        <w:t>generally affected by the plasma developed during the treatment</w:t>
      </w:r>
      <w:r w:rsidR="00363BB1">
        <w:rPr>
          <w:rFonts w:cs="Times New Roman"/>
        </w:rPr>
        <w:t>,</w:t>
      </w:r>
      <w:r w:rsidR="003C2048">
        <w:rPr>
          <w:rFonts w:cs="Times New Roman"/>
        </w:rPr>
        <w:t xml:space="preserve"> and a barrier layer</w:t>
      </w:r>
      <w:r w:rsidR="00041C33">
        <w:rPr>
          <w:rFonts w:cs="Times New Roman"/>
        </w:rPr>
        <w:t xml:space="preserve"> </w:t>
      </w:r>
      <w:r w:rsidR="0028277B">
        <w:rPr>
          <w:rFonts w:cs="Times New Roman"/>
        </w:rPr>
        <w:t>immediately</w:t>
      </w:r>
      <w:r w:rsidR="003C2048">
        <w:rPr>
          <w:rFonts w:cs="Times New Roman"/>
        </w:rPr>
        <w:t xml:space="preserve"> in contact wit</w:t>
      </w:r>
      <w:r w:rsidR="00CD3A05">
        <w:rPr>
          <w:rFonts w:cs="Times New Roman"/>
        </w:rPr>
        <w:t>h the metallic substrate</w:t>
      </w:r>
      <w:r w:rsidR="003C2048">
        <w:rPr>
          <w:rFonts w:cs="Times New Roman"/>
        </w:rPr>
        <w:t xml:space="preserve"> responsible for corrosion protection.</w:t>
      </w:r>
      <w:r w:rsidR="00BD336A">
        <w:rPr>
          <w:rFonts w:cs="Times New Roman"/>
        </w:rPr>
        <w:t xml:space="preserve"> </w:t>
      </w:r>
      <w:r w:rsidR="006C6533">
        <w:rPr>
          <w:rFonts w:cs="Times New Roman"/>
        </w:rPr>
        <w:t>Even if a</w:t>
      </w:r>
      <w:r w:rsidR="00985403">
        <w:rPr>
          <w:rFonts w:cs="Times New Roman"/>
        </w:rPr>
        <w:t xml:space="preserve"> high pH environment is generally optimal for PEO</w:t>
      </w:r>
      <w:r w:rsidR="00562F1D">
        <w:rPr>
          <w:rFonts w:cs="Times New Roman"/>
        </w:rPr>
        <w:t xml:space="preserve"> applied</w:t>
      </w:r>
      <w:r w:rsidR="00985403">
        <w:rPr>
          <w:rFonts w:cs="Times New Roman"/>
        </w:rPr>
        <w:t xml:space="preserve"> </w:t>
      </w:r>
      <w:r w:rsidR="005D1ED4">
        <w:rPr>
          <w:rFonts w:cs="Times New Roman"/>
        </w:rPr>
        <w:t>o</w:t>
      </w:r>
      <w:r w:rsidR="00C0099B">
        <w:rPr>
          <w:rFonts w:cs="Times New Roman"/>
        </w:rPr>
        <w:t>n</w:t>
      </w:r>
      <w:r w:rsidR="005D1ED4">
        <w:rPr>
          <w:rFonts w:cs="Times New Roman"/>
        </w:rPr>
        <w:t xml:space="preserve"> valve metals like Al and Mg</w:t>
      </w:r>
      <w:r w:rsidR="006C6533">
        <w:rPr>
          <w:rFonts w:cs="Times New Roman"/>
        </w:rPr>
        <w:t>, several attempts</w:t>
      </w:r>
      <w:r w:rsidR="00110BCF">
        <w:rPr>
          <w:rFonts w:cs="Times New Roman"/>
        </w:rPr>
        <w:t xml:space="preserve"> </w:t>
      </w:r>
      <w:r w:rsidR="00F36CB3">
        <w:rPr>
          <w:rFonts w:cs="Times New Roman"/>
        </w:rPr>
        <w:fldChar w:fldCharType="begin" w:fldLock="1"/>
      </w:r>
      <w:r w:rsidR="00AE4A06">
        <w:rPr>
          <w:rFonts w:cs="Times New Roman"/>
        </w:rPr>
        <w:instrText>ADDIN CSL_CITATION {"citationItems":[{"id":"ITEM-1","itemData":{"DOI":"10.1016/j.electacta.2021.138190","ISSN":"0013-4686","author":[{"dropping-particle":"","family":"Casanova","given":"Luca","non-dropping-particle":"","parse-names":false,"suffix":""},{"dropping-particle":"La","family":"Padula","given":"Marcello","non-dropping-particle":"","parse-names":false,"suffix":""},{"dropping-particle":"","family":"Pedeferri","given":"Mariapia","non-dropping-particle":"","parse-names":false,"suffix":""},{"dropping-particle":"","family":"Diamanti","given":"Maria Vittoria","non-dropping-particle":"","parse-names":false,"suffix":""},{"dropping-particle":"","family":"Ormellese","given":"Marco","non-dropping-particle":"","parse-names":false,"suffix":""}],"container-title":"Electrochimica Acta","id":"ITEM-1","issued":{"date-parts":[["2021"]]},"page":"138190","publisher":"Elsevier Ltd","title":"An insight into the evolution of corrosion resistant coatings on titanium during bipolar plasma electrolytic oxidation in sulfuric acid","type":"article-journal","volume":"379"},"uris":["http://www.mendeley.com/documents/?uuid=d7f33f8f-fc10-4c6f-9364-e2b6fdea8c71"]},{"id":"ITEM-2","itemData":{"DOI":"10.1016/j.surfcoat.2011.07.090","ISSN":"02578972","abstract":"This article is a review of our recent research of plasma electrolytic oxidation (PEO) process of titanium in heteropolytungstate acids (12-tungstosilicic acid and 12-tungstophosphoric acid). It has been detected that spatial density of microdischarges is the highest in the early stage of the PEO process, while the percentage of oxide coating area covered by active discharge sites decreases with PEO time. The elements and their ionization stages present in PEO microdischarges are identified using optical emission spectroscopy technique. The spectral line shape analysis of hydrogen Balmer line Hβ (486.13nm) indicates presence of two types of microdischarges during PEO. The discharges are characterized by relatively low electron number densities of Ne≈0.8×1015cm-3 and Ne≈2.1×1016cm-3. Oxide coatings formed by PEO process were characterized by AFM, SEM-EDX and XRD. The elemental components of PEO coatings are Ti, W and O. The oxide coatings are partly crystallized and mainly composed of WO3 and anatase. © 2011 Elsevier B.V.","author":[{"dropping-particle":"","family":"Stojadinović","given":"S.","non-dropping-particle":"","parse-names":false,"suffix":""},{"dropping-particle":"","family":"Vasilić","given":"R.","non-dropping-particle":"","parse-names":false,"suffix":""},{"dropping-particle":"","family":"Petković","given":"M.","non-dropping-particle":"","parse-names":false,"suffix":""},{"dropping-particle":"","family":"Zeković","given":"Lj","non-dropping-particle":"","parse-names":false,"suffix":""}],"container-title":"Surface and Coatings Technology","id":"ITEM-2","issued":{"date-parts":[["2011"]]},"title":"Plasma electrolytic oxidation of titanium in heteropolytungstate acids","type":"article-journal"},"uris":["http://www.mendeley.com/documents/?uuid=d572c77e-95ea-4f74-91cf-c9ab3b507f75","http://www.mendeley.com/documents/?uuid=8acdecbb-d4c3-4d87-864d-e46d28ac07a9"]},{"id":"ITEM-3","itemData":{"DOI":"10.3390/coatings10020116","ISBN":"4921181152","ISSN":"20796412","abstract":"Oxide layers on titanium foils were produced by galvanostatically controlled plasma electrolytic oxidation in 12.9 M sulfuric acid with small amounts of phosphoric acid added up to a 3% mole fraction. In pure sulfuric acid, the oxide layer is distinctly modified by plasma discharges. As the time of the process increases, rough surfaces with typical circular pores evolve. The predominant crystal phase of the titanium dioxide material is rutile. With the addition of phosphoric acid, discharge effects become less pronounced, and the predominant crystal phase changes to anatase. Furthermore, the oxide layer thickness and mass gain both increase. Already small amounts of phosphoric acid induce these effects. Our findings suggest that anions of phosphoric acid preferentially adsorb to the anodic area and suppress plasma discharges, and conventional anodization is promoted. The process was systematically investigated at different stages, and voltage and oxide formation efficiency were determined. Oxide surfaces and their cross-sections were studied by scanning electron microscopy and energy-dispersive X-ray spectroscopy. The phase composition was determined by X-ray diffraction and confocal Raman microscopy.","author":[{"dropping-particle":"","family":"Engelkamp","given":"Bernd","non-dropping-particle":"","parse-names":false,"suffix":""},{"dropping-particle":"","family":"Fischer","given":"Björn","non-dropping-particle":"","parse-names":false,"suffix":""},{"dropping-particle":"","family":"Schierbaum","given":"Klaus","non-dropping-particle":"","parse-names":false,"suffix":""}],"container-title":"Coatings","id":"ITEM-3","issue":"2","issued":{"date-parts":[["2020"]]},"note":"- possiamo studiare gli spark osservando la corrente elettronica?? come splittare i contributi ionici ed elettronici????","page":"1-11","title":"Plasma electrolytic oxidation of titanium in H2SO4-H3PO4 Mixtures","type":"article-journal","volume":"10"},"uris":["http://www.mendeley.com/documents/?uuid=4d385622-d022-4694-bcf8-7661d12f9c39"]},{"id":"ITEM-4","itemData":{"DOI":"10.1016/j.surfcoat.2017.01.042","ISSN":"02578972","abstract":"A highly porous surface with a high crystalline content and resultant photocatalytic activity is ensured through the process of plasma electrolytic oxidation on pure titanium. In the present study the morphology, crystallinity and photocatalytic activity of plasma electrolytic oxidized TiO2-surfaces were investigated. The surfaces were prepared in acidic and alkaline electrolytes over an applied voltage range between 50 V and 300 V to optimize the crystalline and photocatalytic properties. Scanning electron microscopy (SEM) and X-ray powder diffraction (XRD) were selected to determine the morphologies which differ according to the type of electrolyte as well as the crystal structures of anatase and rutile on the surface material, which increase with the applied voltage. The oxide surfaces did not show morphological differences compared to typical PEO surfaces with the exception of oxide films obtained in H2SO4-solution which also exhibited an astounding amount of rutile even with low applied voltages. The increased parts of anatase and rutile on the surfaces resulted in photocatalytic activity, which was investigated under UV-light using methylene blue, while the PEO surfaces showed degradation activity. There is an indication that a high proportion of anatase and small amounts of rutile in the PEO layers positively influence photocatalytic activity.","author":[{"dropping-particle":"","family":"Friedemann","given":"A. E.R.","non-dropping-particle":"","parse-names":false,"suffix":""},{"dropping-particle":"","family":"Gesing","given":"Th M.","non-dropping-particle":"","parse-names":false,"suffix":""},{"dropping-particle":"","family":"Plagemann","given":"P.","non-dropping-particle":"","parse-names":false,"suffix":""}],"container-title":"Surface and Coatings Technology","id":"ITEM-4","issued":{"date-parts":[["2017"]]},"page":"139-149","publisher":"Elsevier B.V.","title":"Electrochemical rutile and anatase formation on PEO surfaces","type":"article-journal","volume":"315"},"uris":["http://www.mendeley.com/documents/?uuid=f063aa1a-fbe6-4de8-a852-5fe538069638"]}],"mendeley":{"formattedCitation":"[4,17–19]","plainTextFormattedCitation":"[4,17–19]","previouslyFormattedCitation":"[4,17–19]"},"properties":{"noteIndex":0},"schema":"https://github.com/citation-style-language/schema/raw/master/csl-citation.json"}</w:instrText>
      </w:r>
      <w:r w:rsidR="00F36CB3">
        <w:rPr>
          <w:rFonts w:cs="Times New Roman"/>
        </w:rPr>
        <w:fldChar w:fldCharType="separate"/>
      </w:r>
      <w:r w:rsidR="00F36CB3" w:rsidRPr="00F36CB3">
        <w:rPr>
          <w:rFonts w:cs="Times New Roman"/>
          <w:noProof/>
        </w:rPr>
        <w:t>[4,17–19]</w:t>
      </w:r>
      <w:r w:rsidR="00F36CB3">
        <w:rPr>
          <w:rFonts w:cs="Times New Roman"/>
        </w:rPr>
        <w:fldChar w:fldCharType="end"/>
      </w:r>
      <w:r w:rsidR="006C6533">
        <w:rPr>
          <w:rFonts w:cs="Times New Roman"/>
        </w:rPr>
        <w:t xml:space="preserve"> are present for PEO</w:t>
      </w:r>
      <w:r w:rsidR="00124065">
        <w:rPr>
          <w:rFonts w:cs="Times New Roman"/>
        </w:rPr>
        <w:t xml:space="preserve"> applied</w:t>
      </w:r>
      <w:r w:rsidR="006C6533">
        <w:rPr>
          <w:rFonts w:cs="Times New Roman"/>
        </w:rPr>
        <w:t xml:space="preserve"> on Ti</w:t>
      </w:r>
      <w:r w:rsidR="00124065">
        <w:rPr>
          <w:rFonts w:cs="Times New Roman"/>
        </w:rPr>
        <w:t xml:space="preserve"> surfaces</w:t>
      </w:r>
      <w:r w:rsidR="006C6533">
        <w:rPr>
          <w:rFonts w:cs="Times New Roman"/>
        </w:rPr>
        <w:t xml:space="preserve"> </w:t>
      </w:r>
      <w:r w:rsidR="00110BCF">
        <w:rPr>
          <w:rFonts w:cs="Times New Roman"/>
        </w:rPr>
        <w:t>in acidic solutions.</w:t>
      </w:r>
      <w:r w:rsidR="00C0099B">
        <w:rPr>
          <w:rFonts w:cs="Times New Roman"/>
        </w:rPr>
        <w:t xml:space="preserve"> Sulfuric acid, in particular, has the ability to favour the formation of rutile </w:t>
      </w:r>
      <w:r w:rsidR="008F7DEE">
        <w:rPr>
          <w:rFonts w:cs="Times New Roman"/>
        </w:rPr>
        <w:fldChar w:fldCharType="begin" w:fldLock="1"/>
      </w:r>
      <w:r w:rsidR="000D478A">
        <w:rPr>
          <w:rFonts w:cs="Times New Roman"/>
        </w:rPr>
        <w:instrText>ADDIN CSL_CITATION {"citationItems":[{"id":"ITEM-1","itemData":{"DOI":"10.3390/coatings10020116","ISBN":"4921181152","ISSN":"20796412","abstract":"Oxide layers on titanium foils were produced by galvanostatically controlled plasma electrolytic oxidation in 12.9 M sulfuric acid with small amounts of phosphoric acid added up to a 3% mole fraction. In pure sulfuric acid, the oxide layer is distinctly modified by plasma discharges. As the time of the process increases, rough surfaces with typical circular pores evolve. The predominant crystal phase of the titanium dioxide material is rutile. With the addition of phosphoric acid, discharge effects become less pronounced, and the predominant crystal phase changes to anatase. Furthermore, the oxide layer thickness and mass gain both increase. Already small amounts of phosphoric acid induce these effects. Our findings suggest that anions of phosphoric acid preferentially adsorb to the anodic area and suppress plasma discharges, and conventional anodization is promoted. The process was systematically investigated at different stages, and voltage and oxide formation efficiency were determined. Oxide surfaces and their cross-sections were studied by scanning electron microscopy and energy-dispersive X-ray spectroscopy. The phase composition was determined by X-ray diffraction and confocal Raman microscopy.","author":[{"dropping-particle":"","family":"Engelkamp","given":"Bernd","non-dropping-particle":"","parse-names":false,"suffix":""},{"dropping-particle":"","family":"Fischer","given":"Björn","non-dropping-particle":"","parse-names":false,"suffix":""},{"dropping-particle":"","family":"Schierbaum","given":"Klaus","non-dropping-particle":"","parse-names":false,"suffix":""}],"container-title":"Coatings","id":"ITEM-1","issue":"2","issued":{"date-parts":[["2020"]]},"note":"- possiamo studiare gli spark osservando la corrente elettronica?? come splittare i contributi ionici ed elettronici????","page":"1-11","title":"Plasma electrolytic oxidation of titanium in H2SO4-H3PO4 Mixtures","type":"article-journal","volume":"10"},"uris":["http://www.mendeley.com/documents/?uuid=4d385622-d022-4694-bcf8-7661d12f9c39"]}],"mendeley":{"formattedCitation":"[18]","plainTextFormattedCitation":"[18]","previouslyFormattedCitation":"[18]"},"properties":{"noteIndex":0},"schema":"https://github.com/citation-style-language/schema/raw/master/csl-citation.json"}</w:instrText>
      </w:r>
      <w:r w:rsidR="008F7DEE">
        <w:rPr>
          <w:rFonts w:cs="Times New Roman"/>
        </w:rPr>
        <w:fldChar w:fldCharType="separate"/>
      </w:r>
      <w:r w:rsidR="008F7DEE" w:rsidRPr="008F7DEE">
        <w:rPr>
          <w:rFonts w:cs="Times New Roman"/>
          <w:noProof/>
        </w:rPr>
        <w:t>[18]</w:t>
      </w:r>
      <w:r w:rsidR="008F7DEE">
        <w:rPr>
          <w:rFonts w:cs="Times New Roman"/>
        </w:rPr>
        <w:fldChar w:fldCharType="end"/>
      </w:r>
      <w:r w:rsidR="001F737C">
        <w:rPr>
          <w:rFonts w:cs="Times New Roman"/>
        </w:rPr>
        <w:t xml:space="preserve"> demonstrated to be </w:t>
      </w:r>
      <w:r w:rsidR="002751EF">
        <w:rPr>
          <w:rFonts w:cs="Times New Roman"/>
        </w:rPr>
        <w:t xml:space="preserve">more resistant towards </w:t>
      </w:r>
      <w:r w:rsidR="000D478A">
        <w:rPr>
          <w:rFonts w:cs="Times New Roman"/>
        </w:rPr>
        <w:t>leaching</w:t>
      </w:r>
      <w:r w:rsidR="001F5729">
        <w:rPr>
          <w:rFonts w:cs="Times New Roman"/>
        </w:rPr>
        <w:t xml:space="preserve"> in H</w:t>
      </w:r>
      <w:r w:rsidR="001F5729">
        <w:rPr>
          <w:rFonts w:cs="Times New Roman"/>
          <w:vertAlign w:val="subscript"/>
        </w:rPr>
        <w:t>2</w:t>
      </w:r>
      <w:r w:rsidR="001F5729">
        <w:rPr>
          <w:rFonts w:cs="Times New Roman"/>
        </w:rPr>
        <w:t>SO</w:t>
      </w:r>
      <w:r w:rsidR="001F5729">
        <w:rPr>
          <w:rFonts w:cs="Times New Roman"/>
          <w:vertAlign w:val="subscript"/>
        </w:rPr>
        <w:t>4</w:t>
      </w:r>
      <w:r w:rsidR="000D478A">
        <w:rPr>
          <w:rFonts w:cs="Times New Roman"/>
        </w:rPr>
        <w:t xml:space="preserve"> with respect to other TiO</w:t>
      </w:r>
      <w:r w:rsidR="000D478A">
        <w:rPr>
          <w:rFonts w:cs="Times New Roman"/>
          <w:vertAlign w:val="subscript"/>
        </w:rPr>
        <w:t>2</w:t>
      </w:r>
      <w:r w:rsidR="000D478A">
        <w:rPr>
          <w:rFonts w:cs="Times New Roman"/>
        </w:rPr>
        <w:t xml:space="preserve"> polymorph like anatase </w:t>
      </w:r>
      <w:r w:rsidR="000D478A">
        <w:rPr>
          <w:rFonts w:cs="Times New Roman"/>
        </w:rPr>
        <w:fldChar w:fldCharType="begin" w:fldLock="1"/>
      </w:r>
      <w:r w:rsidR="00F36CB3">
        <w:rPr>
          <w:rFonts w:cs="Times New Roman"/>
        </w:rPr>
        <w:instrText>ADDIN CSL_CITATION {"citationItems":[{"id":"ITEM-1","itemData":{"DOI":"10.3390/pr8060640","ISSN":"22279717","abstract":"Rutile decomposition by sulfuric acid, including the formation of two salts, Ti(SO4)2/TiOSO4, is thermodynamically modelled. It is shown that TiO2 can spontaneously dissolve in H2SO4 solutions. However, titania is considered as an inert (ballast) phase component of titanium-containing raw materials due to the decelerated separate nature of such chemical transformations. It is concluded that the hampered related kinetics of dissolution can be attributed to the lability of Ti(IV) cations/the specific engineered features of the hierarchical crystalline structure. It is suggested that the breaking of Ti-O-Ti bonds without additional mechanical strains in crystal lattice geometry becomes more advantageous when smaller negative anions/fluoride ions can be used. The analysis of sulfate-fluoride extraction leaching of titanium confirmed that a decrease in the Gibbs energy in the presence of F occurs. It is indicated by kinetic research studies that the addition of corrosive sodium reagent (NaF) reduces the activation by 45 kJ/mol, which results in intensification. A mechanism is proposed for the interactions involving the Ti-O-Ti cleavage on the surface/the H2SO4-induced Ti dioxide degradation on the sites of defects. Moreover, F acts as a homogeneous/heterogeneous bifunctional catalyst.","author":[{"dropping-particle":"","family":"Dubenko","given":"A..V.","non-dropping-particle":"","parse-names":false,"suffix":""},{"dropping-particle":"","family":"Nikolenko","given":"M..V.","non-dropping-particle":"","parse-names":false,"suffix":""},{"dropping-particle":"","family":"Aksenenko","given":"E..V.","non-dropping-particle":"","parse-names":false,"suffix":""},{"dropping-particle":"","family":"Kostyniuk","given":"Andrii","non-dropping-particle":"","parse-names":false,"suffix":""},{"dropping-particle":"","family":"Likozar","given":"Blaž","non-dropping-particle":"","parse-names":false,"suffix":""}],"container-title":"Processes","id":"ITEM-1","issue":"6","issued":{"date-parts":[["2020"]]},"note":"-agglomerati resistenti al solforico\n- rutile is more resistant to sulphiric acid as its smaller crystal lattice make more impervious the substitution of oxygen ligands with sulphates. This is even more accentuated by the fact that Ti cations as they are small and highy charged are difficult to be substituted as they have low lability","title":"Mechanism, thermodynamics and kinetics of rutile leaching process by sulfuric acid reactions","type":"article-journal","volume":"8"},"uris":["http://www.mendeley.com/documents/?uuid=2a323b85-e24b-41fd-aeb2-e6be888bb910"]}],"mendeley":{"formattedCitation":"[20]","plainTextFormattedCitation":"[20]","previouslyFormattedCitation":"[20]"},"properties":{"noteIndex":0},"schema":"https://github.com/citation-style-language/schema/raw/master/csl-citation.json"}</w:instrText>
      </w:r>
      <w:r w:rsidR="000D478A">
        <w:rPr>
          <w:rFonts w:cs="Times New Roman"/>
        </w:rPr>
        <w:fldChar w:fldCharType="separate"/>
      </w:r>
      <w:r w:rsidR="00F36CB3" w:rsidRPr="00F36CB3">
        <w:rPr>
          <w:rFonts w:cs="Times New Roman"/>
          <w:noProof/>
        </w:rPr>
        <w:t>[20]</w:t>
      </w:r>
      <w:r w:rsidR="000D478A">
        <w:rPr>
          <w:rFonts w:cs="Times New Roman"/>
        </w:rPr>
        <w:fldChar w:fldCharType="end"/>
      </w:r>
      <w:r w:rsidR="005A564B">
        <w:rPr>
          <w:rFonts w:cs="Times New Roman"/>
        </w:rPr>
        <w:t>.</w:t>
      </w:r>
      <w:r w:rsidR="0028277B">
        <w:rPr>
          <w:rFonts w:cs="Times New Roman"/>
        </w:rPr>
        <w:t xml:space="preserve"> Until now</w:t>
      </w:r>
      <w:r w:rsidR="009373E5">
        <w:rPr>
          <w:rFonts w:cs="Times New Roman"/>
        </w:rPr>
        <w:t>,</w:t>
      </w:r>
      <w:r w:rsidR="003C2048">
        <w:rPr>
          <w:rFonts w:cs="Times New Roman"/>
        </w:rPr>
        <w:t xml:space="preserve"> some </w:t>
      </w:r>
      <w:r w:rsidR="00904E12">
        <w:rPr>
          <w:rFonts w:cs="Times New Roman"/>
        </w:rPr>
        <w:t>publications have reported on</w:t>
      </w:r>
      <w:r w:rsidR="003C2048">
        <w:rPr>
          <w:rFonts w:cs="Times New Roman"/>
        </w:rPr>
        <w:t xml:space="preserve"> </w:t>
      </w:r>
      <w:r w:rsidR="00904E12">
        <w:rPr>
          <w:rFonts w:cs="Times New Roman"/>
        </w:rPr>
        <w:t xml:space="preserve">the </w:t>
      </w:r>
      <w:r w:rsidR="003C2048">
        <w:rPr>
          <w:rFonts w:cs="Times New Roman"/>
        </w:rPr>
        <w:t xml:space="preserve">morphology </w:t>
      </w:r>
      <w:r w:rsidR="000C15DF">
        <w:rPr>
          <w:rFonts w:cs="Times New Roman"/>
        </w:rPr>
        <w:fldChar w:fldCharType="begin" w:fldLock="1"/>
      </w:r>
      <w:r w:rsidR="00F36CB3">
        <w:rPr>
          <w:rFonts w:cs="Times New Roman"/>
        </w:rPr>
        <w:instrText>ADDIN CSL_CITATION {"citationItems":[{"id":"ITEM-1","itemData":{"DOI":"10.1016/j.jallcom.2017.09.028","ISSN":"09258388","abstract":"In this study double-layered plasma electrolytic oxidation coatings are synthesized by coating in two different electrolytes. The effects of electrical properties of first fabricated layer (in first electrolyte) on morphology and properties of total hybrid coating are investigated. First layers were applied in four different basic electrolytes consisting of sodium phosphate/citrate (PC), sodium phosphate/silicate (PS), sodium phosphate/tungstate (PT), and sodium phosphate/aluminate (PA) solutions and the second layer was synthesized in calcium acetate/sodium dihydrogen phosphate hydrate solution. The top surface and cross sectional morphology, composition and corrosion resistance properties were thoroughly studied by scanning electron microscopy (SEM), X-ray diffraction (XRD), potentiodynamic polarization (PDP), electrochemical impedance spectroscopy (EIS) and Mott-Schottky analysis (M-S) methods. It was found that the morphology of the second layer depends on the morphology of the first layer, in terms of shape and size of the pores. However, XRD analysis revealed that there was no significant difference between the compositions of the oxide layers. Application of the second layer over PS sample reduced corrosion resistance from 163 to 95 KΩ cm2 while application of the second layer over PT sample led to increase of corrosion resistance from 31 to 126 KΩ cm2. The constructive or destructive role of two layers was correlated to discharge energy of the second layer which is in turn determined by the required energy for electrical charging of the first layer. The energy of electrical charging of PS and PT samples are 0.04 and 1.17 J, respectively. Therefore, plasma discharges over PS sample have higher energy, compared to PT sample, and as a result, corrosion resistance of barrier layer of PS sample drops. Electrical parameters extracted from M-S tests also verified our theory that donor density and capacitance of the first layer affect discharge behavior and intensity of the second layer. M-S results are also in conformance with evaluated corrosion resistances measured by EIS method.","author":[{"dropping-particle":"","family":"Nabavi","given":"H. Fakhr","non-dropping-particle":"","parse-names":false,"suffix":""},{"dropping-particle":"","family":"Aliofkhazraei","given":"M.","non-dropping-particle":"","parse-names":false,"suffix":""},{"dropping-particle":"","family":"Rouhaghdam","given":"A. Sabour","non-dropping-particle":"","parse-names":false,"suffix":""}],"container-title":"Journal of Alloys and Compounds","id":"ITEM-1","issued":{"date-parts":[["2017"]]},"page":"464-475","publisher":"Elsevier B.V","title":"Electrical characteristics and discharge properties of hybrid plasma electrolytic oxidation on titanium","type":"article-journal","volume":"728"},"uris":["http://www.mendeley.com/documents/?uuid=8fcf9f79-e1c2-4c89-be91-1a09b3493be1"]},{"id":"ITEM-2","itemData":{"DOI":"10.1016/j.surfcoat.2017.03.002","ISSN":"02578972","abstract":"Growth kinetics and discharge behavior of micro-arc oxidation (MAO) coatings on commercially pure titanium in aluminate-silicate based electrolyte were studied using scanning electron microscope (SEM), transmission electron microscope (TEM), atomic force microscope (AFM), and surface roughness tester, focusing on kinetics of micro-arc oxidation discharges and morphology of the oxide layer. The effect of the coating duration on morphology, roughness parameters, weight variation, and quantitative characters of the discharge channels and thickness was studied elaborately. Incorporation of alumina nanoparticles into the oxide layer and their effect on the geometry of discharge channels were also investigated in the present study. Results revealed that, during the coating process, the nanoparticles are driven to discharge channels due to sparking, filling the pores and smoothening the coating surface, which leads to a drop in the increasing rate of Rvand Rloroughness parameters. Moreover, it was found that nanoparticles' adsorption reduces the volume of discharge channels. Eventually, a 106% reduction in the eruption of oxides led to a reduction of 70% in the coating's growth rate in similar coating durations.","author":[{"dropping-particle":"","family":"Erfanifar","given":"Eliyas","non-dropping-particle":"","parse-names":false,"suffix":""},{"dropping-particle":"","family":"Aliofkhazraei","given":"Mahmood","non-dropping-particle":"","parse-names":false,"suffix":""},{"dropping-particle":"","family":"Nabavi","given":"Houman Fakhr","non-dropping-particle":"","parse-names":false,"suffix":""},{"dropping-particle":"","family":"Rouhaghdam","given":"Alireza Sabour","non-dropping-particle":"","parse-names":false,"suffix":""}],"container-title":"Surface and Coatings Technology","id":"ITEM-2","issued":{"date-parts":[["2017"]]},"page":"567-576","publisher":"Elsevier B.V.","title":"Growth kinetics and morphology of microarc oxidation coating on titanium","type":"article-journal","volume":"315"},"uris":["http://www.mendeley.com/documents/?uuid=5a105506-e06c-4d1b-9dc7-a582d2ef4bc9"]}],"mendeley":{"formattedCitation":"[21,22]","plainTextFormattedCitation":"[21,22]","previouslyFormattedCitation":"[21,22]"},"properties":{"noteIndex":0},"schema":"https://github.com/citation-style-language/schema/raw/master/csl-citation.json"}</w:instrText>
      </w:r>
      <w:r w:rsidR="000C15DF">
        <w:rPr>
          <w:rFonts w:cs="Times New Roman"/>
        </w:rPr>
        <w:fldChar w:fldCharType="separate"/>
      </w:r>
      <w:r w:rsidR="00F36CB3" w:rsidRPr="00F36CB3">
        <w:rPr>
          <w:rFonts w:cs="Times New Roman"/>
          <w:noProof/>
        </w:rPr>
        <w:t>[21,22]</w:t>
      </w:r>
      <w:r w:rsidR="000C15DF">
        <w:rPr>
          <w:rFonts w:cs="Times New Roman"/>
        </w:rPr>
        <w:fldChar w:fldCharType="end"/>
      </w:r>
      <w:r w:rsidR="003C2048">
        <w:rPr>
          <w:rFonts w:cs="Times New Roman"/>
        </w:rPr>
        <w:t xml:space="preserve"> and micro</w:t>
      </w:r>
      <w:r w:rsidR="00A54F49">
        <w:rPr>
          <w:rFonts w:cs="Times New Roman"/>
        </w:rPr>
        <w:t xml:space="preserve">structure </w:t>
      </w:r>
      <w:r w:rsidR="006F5721">
        <w:rPr>
          <w:rFonts w:cs="Times New Roman"/>
        </w:rPr>
        <w:fldChar w:fldCharType="begin" w:fldLock="1"/>
      </w:r>
      <w:r w:rsidR="00F36CB3">
        <w:rPr>
          <w:rFonts w:cs="Times New Roman"/>
        </w:rPr>
        <w:instrText xml:space="preserve">ADDIN CSL_CITATION {"citationItems":[{"id":"ITEM-1","itemData":{"DOI":"10.1016/j.actbio.2008.10.007","ISSN":"17427061","PMID":"19006685","abstract":"Transmission electron microscopy and supporting film analyses are used to investigate the changes in composition, morphology and structure of coatings formed on titanium during DC plasma electrolytic oxidation in a calcium- and phosphorus-containing electrolyte. The coatings are of potential interest as bioactive surfaces. The initial barrier film, of mixed amorphous and nanocrystalline structure, formed below the sparking voltage of 180 V, incorporates small amounts of phosphorus and calcium species, with phosphorus confined to the outer </w:instrText>
      </w:r>
      <w:r w:rsidR="00F36CB3">
        <w:rPr>
          <w:rFonts w:ascii="Cambria Math" w:hAnsi="Cambria Math" w:cs="Cambria Math"/>
        </w:rPr>
        <w:instrText>∼</w:instrText>
      </w:r>
      <w:r w:rsidR="00F36CB3">
        <w:rPr>
          <w:rFonts w:cs="Times New Roman"/>
        </w:rPr>
        <w:instrText xml:space="preserve">63% of the coating thickness. On commencement of sparking, calcium- and phosphorus-rich amorphous material forms at the coating surface, with local heating promoting crystallization in underlying and adjacent anodic titania. The amorphous material thickens with increased treatment time, comprising almost the whole of the </w:instrText>
      </w:r>
      <w:r w:rsidR="00F36CB3">
        <w:rPr>
          <w:rFonts w:ascii="Cambria Math" w:hAnsi="Cambria Math" w:cs="Cambria Math"/>
        </w:rPr>
        <w:instrText>∼</w:instrText>
      </w:r>
      <w:r w:rsidR="00F36CB3">
        <w:rPr>
          <w:rFonts w:cs="Times New Roman"/>
        </w:rPr>
        <w:instrText xml:space="preserve">5.7-μm-thick coating formed at 340 V. At this stage, the coating is </w:instrText>
      </w:r>
      <w:r w:rsidR="00F36CB3">
        <w:rPr>
          <w:rFonts w:ascii="Cambria Math" w:hAnsi="Cambria Math" w:cs="Cambria Math"/>
        </w:rPr>
        <w:instrText>∼</w:instrText>
      </w:r>
      <w:r w:rsidR="00F36CB3">
        <w:rPr>
          <w:rFonts w:cs="Times New Roman"/>
        </w:rPr>
        <w:instrText>4.4 times thicker than the oxidized titanium, with a near-surface composition of about 12 at.% Ti, 58 at.% O, 19 at.% P and 11 at.% Ca. Further, the amount of titanium consumed in forming the coating is similar to that calculated from the anodizing charge, although there may be non-Faradaic contributions to the coating growth. © 2008 Acta Materialia Inc.","author":[{"dropping-particle":"","family":"Matykina","given":"E.","non-dropping-particle":"","parse-names":false,"suffix":""},{"dropping-particle":"","family":"Arrabal","given":"R.","non-dropping-particle":"","parse-names":false,"suffix":""},{"dropping-particle":"","family":"Skeldon","given":"P.","non-dropping-particle":"","parse-names":false,"suffix":""},{"dropping-particle":"","family":"Thompson","given":"G. E.","non-dropping-particle":"","parse-names":false,"suffix":""}],"container-title":"Acta Biomaterialia","id":"ITEM-1","issue":"4","issued":{"date-parts":[["2009"]]},"page":"1356-1366","publisher":"Acta Materialia Inc.","title":"Transmission electron microscopy of coatings formed by plasma electrolytic oxidation of titanium","type":"article-journal","volume":"5"},"uris":["http://www.mendeley.com/documents/?uuid=25572e0c-1b06-477c-86b2-9220b076e8db"]},{"id":"ITEM-2","itemData":{"DOI":"10.1016/j.surfcoat.2017.01.042","ISSN":"02578972","abstract":"A highly porous surface with a high crystalline content and resultant photocatalytic activity is ensured through the process of plasma electrolytic oxidation on pure titanium. In the present study the morphology, crystallinity and photocatalytic activity of plasma electrolytic oxidized TiO2-surfaces were investigated. The surfaces were prepared in acidic and alkaline electrolytes over an applied voltage range between 50 V and 300 V to optimize the crystalline and photocatalytic properties. Scanning electron microscopy (SEM) and X-ray powder diffraction (XRD) were selected to determine the morphologies which differ according to the type of electrolyte as well as the crystal structures of anatase and rutile on the surface material, which increase with the applied voltage. The oxide surfaces did not show morphological differences compared to typical PEO surfaces with the exception of oxide films obtained in H2SO4-solution which also exhibited an astounding amount of rutile even with low applied voltages. The increased parts of anatase and rutile on the surfaces resulted in photocatalytic activity, which was investigated under UV-light using methylene blue, while the PEO surfaces showed degradation activity. There is an indication that a high proportion of anatase and small amounts of rutile in the PEO layers positively influence photocatalytic activity.","author":[{"dropping-particle":"","family":"Friedemann","given":"A. E.R.","non-dropping-particle":"","parse-names":false,"suffix":""},{"dropping-particle":"","family":"Gesing","given":"Th M.","non-dropping-particle":"","parse-names":false,"suffix":""},{"dropping-particle":"","family":"Plagemann","given":"P.","non-dropping-particle":"","parse-names":false,"suffix":""}],"container-title":"Surface and Coatings Technology","id":"ITEM-2","issued":{"date-parts":[["2017"]]},"page":"139-149","publisher":"Elsevier B.V.","title":"Electrochemical rutile and anatase formation on PEO surfaces","type":"article-journal","volume":"315"},"uris":["http://www.mendeley.com/documents/?uuid=f063aa1a-fbe6-4de8-a852-5fe538069638"]}],"mendeley":{"formattedCitation":"[19,23]","plainTextFormattedCitation":"[19,23]","previouslyFormattedCitation":"[19,23]"},"properties":{"noteIndex":0},"schema":"https://github.com/citation-style-language/schema/raw/master/csl-citation.json"}</w:instrText>
      </w:r>
      <w:r w:rsidR="006F5721">
        <w:rPr>
          <w:rFonts w:cs="Times New Roman"/>
        </w:rPr>
        <w:fldChar w:fldCharType="separate"/>
      </w:r>
      <w:r w:rsidR="00F36CB3" w:rsidRPr="00F36CB3">
        <w:rPr>
          <w:rFonts w:cs="Times New Roman"/>
          <w:noProof/>
        </w:rPr>
        <w:t>[19,23]</w:t>
      </w:r>
      <w:r w:rsidR="006F5721">
        <w:rPr>
          <w:rFonts w:cs="Times New Roman"/>
        </w:rPr>
        <w:fldChar w:fldCharType="end"/>
      </w:r>
      <w:r w:rsidR="00A54F49">
        <w:rPr>
          <w:rFonts w:cs="Times New Roman"/>
        </w:rPr>
        <w:t xml:space="preserve"> </w:t>
      </w:r>
      <w:r w:rsidR="00542887">
        <w:rPr>
          <w:rFonts w:cs="Times New Roman"/>
        </w:rPr>
        <w:t>of</w:t>
      </w:r>
      <w:r w:rsidR="003C2048">
        <w:rPr>
          <w:rFonts w:cs="Times New Roman"/>
        </w:rPr>
        <w:t xml:space="preserve"> Ti PEO oxides without providing</w:t>
      </w:r>
      <w:r w:rsidR="00904E12">
        <w:rPr>
          <w:rFonts w:cs="Times New Roman"/>
        </w:rPr>
        <w:t>,</w:t>
      </w:r>
      <w:r w:rsidR="00F34661">
        <w:rPr>
          <w:rFonts w:cs="Times New Roman"/>
        </w:rPr>
        <w:t xml:space="preserve"> </w:t>
      </w:r>
      <w:r w:rsidR="00904E12">
        <w:rPr>
          <w:rFonts w:cs="Times New Roman"/>
        </w:rPr>
        <w:t xml:space="preserve">however, </w:t>
      </w:r>
      <w:r w:rsidR="00F34661">
        <w:rPr>
          <w:rFonts w:cs="Times New Roman"/>
        </w:rPr>
        <w:t>detailed</w:t>
      </w:r>
      <w:r w:rsidR="00CD3A05">
        <w:rPr>
          <w:rFonts w:cs="Times New Roman"/>
        </w:rPr>
        <w:t xml:space="preserve"> </w:t>
      </w:r>
      <w:r w:rsidR="00D15733">
        <w:rPr>
          <w:rFonts w:cs="Times New Roman"/>
        </w:rPr>
        <w:t xml:space="preserve">stoichiometric information </w:t>
      </w:r>
      <w:r w:rsidR="001F3D48">
        <w:rPr>
          <w:rFonts w:cs="Times New Roman"/>
        </w:rPr>
        <w:t>and its influence on the corrosion response of the material</w:t>
      </w:r>
      <w:r w:rsidR="006F4464">
        <w:rPr>
          <w:rFonts w:cs="Times New Roman"/>
        </w:rPr>
        <w:t>.</w:t>
      </w:r>
      <w:r w:rsidR="00FC3161">
        <w:rPr>
          <w:rFonts w:cs="Times New Roman"/>
        </w:rPr>
        <w:t xml:space="preserve"> </w:t>
      </w:r>
    </w:p>
    <w:p w14:paraId="41F2B251" w14:textId="7C3C4772" w:rsidR="00D15733" w:rsidRPr="00097928" w:rsidRDefault="00502FA6" w:rsidP="002C234B">
      <w:pPr>
        <w:rPr>
          <w:rFonts w:cs="Times New Roman"/>
        </w:rPr>
      </w:pPr>
      <w:r>
        <w:rPr>
          <w:rFonts w:cs="Times New Roman"/>
        </w:rPr>
        <w:t xml:space="preserve">It is expected, in fact, </w:t>
      </w:r>
      <w:r w:rsidR="00904E12">
        <w:rPr>
          <w:rFonts w:cs="Times New Roman"/>
        </w:rPr>
        <w:t xml:space="preserve">that </w:t>
      </w:r>
      <w:r>
        <w:rPr>
          <w:rFonts w:cs="Times New Roman"/>
        </w:rPr>
        <w:t xml:space="preserve">stoichiometry </w:t>
      </w:r>
      <w:r w:rsidR="00904E12">
        <w:rPr>
          <w:rFonts w:cs="Times New Roman"/>
        </w:rPr>
        <w:t>is</w:t>
      </w:r>
      <w:r>
        <w:rPr>
          <w:rFonts w:cs="Times New Roman"/>
        </w:rPr>
        <w:t xml:space="preserve"> an important </w:t>
      </w:r>
      <w:r w:rsidR="006D603F">
        <w:rPr>
          <w:rFonts w:cs="Times New Roman"/>
        </w:rPr>
        <w:t>actor</w:t>
      </w:r>
      <w:r>
        <w:rPr>
          <w:rFonts w:cs="Times New Roman"/>
        </w:rPr>
        <w:t xml:space="preserve"> </w:t>
      </w:r>
      <w:r w:rsidR="00235FFA">
        <w:rPr>
          <w:rFonts w:cs="Times New Roman"/>
        </w:rPr>
        <w:t xml:space="preserve">controlling </w:t>
      </w:r>
      <w:r w:rsidR="00182938">
        <w:rPr>
          <w:rFonts w:cs="Times New Roman"/>
        </w:rPr>
        <w:t>the mechanism leading to corrosion of electrodes immersed in low pH environments</w:t>
      </w:r>
      <w:r w:rsidR="00DF5F73">
        <w:rPr>
          <w:rFonts w:cs="Times New Roman"/>
        </w:rPr>
        <w:t>.</w:t>
      </w:r>
      <w:r w:rsidR="00BE0D73">
        <w:rPr>
          <w:rFonts w:cs="Times New Roman"/>
        </w:rPr>
        <w:t xml:space="preserve"> This has been largely because</w:t>
      </w:r>
      <w:r w:rsidR="0072265A">
        <w:rPr>
          <w:rFonts w:cs="Times New Roman"/>
        </w:rPr>
        <w:t xml:space="preserve"> </w:t>
      </w:r>
      <w:r w:rsidR="00BE0D73">
        <w:rPr>
          <w:rFonts w:cs="Times New Roman"/>
        </w:rPr>
        <w:t>p</w:t>
      </w:r>
      <w:r w:rsidR="00D11ACE">
        <w:rPr>
          <w:rFonts w:cs="Times New Roman"/>
        </w:rPr>
        <w:t>roton</w:t>
      </w:r>
      <w:r w:rsidR="000E1D7C">
        <w:rPr>
          <w:rFonts w:cs="Times New Roman"/>
        </w:rPr>
        <w:t xml:space="preserve"> transport </w:t>
      </w:r>
      <w:r w:rsidR="00C03D5C">
        <w:rPr>
          <w:rFonts w:cs="Times New Roman"/>
        </w:rPr>
        <w:t xml:space="preserve">in </w:t>
      </w:r>
      <w:r w:rsidR="00EC494A">
        <w:rPr>
          <w:rFonts w:cs="Times New Roman"/>
        </w:rPr>
        <w:t>oxides</w:t>
      </w:r>
      <w:r w:rsidR="00C03D5C">
        <w:rPr>
          <w:rFonts w:cs="Times New Roman"/>
        </w:rPr>
        <w:t xml:space="preserve"> </w:t>
      </w:r>
      <w:r w:rsidR="000E1D7C">
        <w:rPr>
          <w:rFonts w:cs="Times New Roman"/>
        </w:rPr>
        <w:t xml:space="preserve">generally requires low activation energy </w:t>
      </w:r>
      <w:r w:rsidR="00032354">
        <w:rPr>
          <w:rFonts w:cs="Times New Roman"/>
        </w:rPr>
        <w:t>owing</w:t>
      </w:r>
      <w:r w:rsidR="000E1D7C">
        <w:rPr>
          <w:rFonts w:cs="Times New Roman"/>
        </w:rPr>
        <w:t xml:space="preserve"> to </w:t>
      </w:r>
      <w:r w:rsidR="00235FFA">
        <w:rPr>
          <w:rFonts w:cs="Times New Roman"/>
        </w:rPr>
        <w:t xml:space="preserve">the </w:t>
      </w:r>
      <w:r w:rsidR="000E1D7C">
        <w:rPr>
          <w:rFonts w:cs="Times New Roman"/>
        </w:rPr>
        <w:t>combination of small dimension and the absence of an electron cloud.</w:t>
      </w:r>
      <w:r w:rsidR="00611D36">
        <w:rPr>
          <w:rFonts w:cs="Times New Roman"/>
        </w:rPr>
        <w:t xml:space="preserve"> </w:t>
      </w:r>
      <w:r w:rsidR="008240E5">
        <w:rPr>
          <w:rFonts w:cs="Times New Roman"/>
        </w:rPr>
        <w:t xml:space="preserve">At low temperatures proton conduction, in nanometric oxides, can be in principle </w:t>
      </w:r>
      <w:r w:rsidR="0016730F">
        <w:rPr>
          <w:rFonts w:cs="Times New Roman"/>
        </w:rPr>
        <w:t xml:space="preserve">described by four different mechanisms </w:t>
      </w:r>
      <w:r w:rsidR="00817505">
        <w:rPr>
          <w:rFonts w:cs="Times New Roman"/>
        </w:rPr>
        <w:fldChar w:fldCharType="begin" w:fldLock="1"/>
      </w:r>
      <w:r w:rsidR="00F36CB3">
        <w:rPr>
          <w:rFonts w:cs="Times New Roman"/>
        </w:rPr>
        <w:instrText>ADDIN CSL_CITATION {"citationItems":[{"id":"ITEM-1","itemData":{"DOI":"10.1002/adfm.201400420","author":[{"dropping-particle":"","family":"Tredici","given":"Ilenia G","non-dropping-particle":"","parse-names":false,"suffix":""},{"dropping-particle":"","family":"Maglia","given":"Filippo","non-dropping-particle":"","parse-names":false,"suffix":""},{"dropping-particle":"","family":"Ferrara","given":"Chiara","non-dropping-particle":"","parse-names":false,"suffix":""},{"dropping-particle":"","family":"Mustarelli","given":"Piercarlo","non-dropping-particle":"","parse-names":false,"suffix":""},{"dropping-particle":"","family":"Anselmi-tamburini","given":"Umberto","non-dropping-particle":"","parse-names":false,"suffix":""}],"id":"ITEM-1","issued":{"date-parts":[["2014"]]},"note":"anatase is found to have highest low T proton conductivity","page":"5137-5146","title":"Mechanism of Low-Temperature Protonic Conductivity in Bulk , High-Density , Nanometric Titanium Oxide","type":"article-journal"},"uris":["http://www.mendeley.com/documents/?uuid=fe9ead19-6f9a-40df-924f-23a64d150d51"]}],"mendeley":{"formattedCitation":"[24]","plainTextFormattedCitation":"[24]","previouslyFormattedCitation":"[24]"},"properties":{"noteIndex":0},"schema":"https://github.com/citation-style-language/schema/raw/master/csl-citation.json"}</w:instrText>
      </w:r>
      <w:r w:rsidR="00817505">
        <w:rPr>
          <w:rFonts w:cs="Times New Roman"/>
        </w:rPr>
        <w:fldChar w:fldCharType="separate"/>
      </w:r>
      <w:r w:rsidR="000D478A" w:rsidRPr="000D478A">
        <w:rPr>
          <w:rFonts w:cs="Times New Roman"/>
          <w:noProof/>
        </w:rPr>
        <w:t>[24]</w:t>
      </w:r>
      <w:r w:rsidR="00817505">
        <w:rPr>
          <w:rFonts w:cs="Times New Roman"/>
        </w:rPr>
        <w:fldChar w:fldCharType="end"/>
      </w:r>
      <w:r w:rsidR="0016730F">
        <w:rPr>
          <w:rFonts w:cs="Times New Roman"/>
        </w:rPr>
        <w:t>:</w:t>
      </w:r>
      <w:r w:rsidR="00F1719B">
        <w:rPr>
          <w:rFonts w:cs="Times New Roman"/>
        </w:rPr>
        <w:t xml:space="preserve"> 1) </w:t>
      </w:r>
      <w:r w:rsidR="00F1719B" w:rsidRPr="00EC494A">
        <w:rPr>
          <w:rFonts w:cs="Times New Roman"/>
          <w:i/>
          <w:iCs/>
        </w:rPr>
        <w:t>diffusion th</w:t>
      </w:r>
      <w:r w:rsidR="00AF269C">
        <w:rPr>
          <w:rFonts w:cs="Times New Roman"/>
          <w:i/>
          <w:iCs/>
        </w:rPr>
        <w:t>r</w:t>
      </w:r>
      <w:r w:rsidR="00F1719B" w:rsidRPr="00EC494A">
        <w:rPr>
          <w:rFonts w:cs="Times New Roman"/>
          <w:i/>
          <w:iCs/>
        </w:rPr>
        <w:t>ough the crystal lattice</w:t>
      </w:r>
      <w:r w:rsidR="00235FFA">
        <w:rPr>
          <w:rFonts w:cs="Times New Roman"/>
          <w:i/>
          <w:iCs/>
        </w:rPr>
        <w:t>,</w:t>
      </w:r>
      <w:r w:rsidR="00665EAB">
        <w:rPr>
          <w:rFonts w:cs="Times New Roman"/>
        </w:rPr>
        <w:t xml:space="preserve"> 2) </w:t>
      </w:r>
      <w:r w:rsidR="00665EAB" w:rsidRPr="00EC494A">
        <w:rPr>
          <w:rFonts w:cs="Times New Roman"/>
          <w:i/>
          <w:iCs/>
        </w:rPr>
        <w:t>within an adsorbed H</w:t>
      </w:r>
      <w:r w:rsidR="00665EAB" w:rsidRPr="00EC494A">
        <w:rPr>
          <w:rFonts w:cs="Times New Roman"/>
          <w:i/>
          <w:iCs/>
          <w:vertAlign w:val="subscript"/>
        </w:rPr>
        <w:t>2</w:t>
      </w:r>
      <w:r w:rsidR="00665EAB" w:rsidRPr="00EC494A">
        <w:rPr>
          <w:rFonts w:cs="Times New Roman"/>
          <w:i/>
          <w:iCs/>
        </w:rPr>
        <w:t>O layer</w:t>
      </w:r>
      <w:r w:rsidR="00235FFA">
        <w:rPr>
          <w:rFonts w:cs="Times New Roman"/>
          <w:i/>
          <w:iCs/>
        </w:rPr>
        <w:t>,</w:t>
      </w:r>
      <w:r w:rsidR="00665EAB">
        <w:rPr>
          <w:rFonts w:cs="Times New Roman"/>
        </w:rPr>
        <w:t xml:space="preserve"> 3) </w:t>
      </w:r>
      <w:r w:rsidR="00665EAB" w:rsidRPr="00EC494A">
        <w:rPr>
          <w:rFonts w:cs="Times New Roman"/>
          <w:i/>
          <w:iCs/>
        </w:rPr>
        <w:t>within grain boundaries</w:t>
      </w:r>
      <w:r w:rsidR="00665EAB">
        <w:rPr>
          <w:rFonts w:cs="Times New Roman"/>
        </w:rPr>
        <w:t xml:space="preserve"> </w:t>
      </w:r>
      <w:r w:rsidR="00EC494A">
        <w:rPr>
          <w:rFonts w:cs="Times New Roman"/>
        </w:rPr>
        <w:t xml:space="preserve">and </w:t>
      </w:r>
      <w:r w:rsidR="00665EAB">
        <w:rPr>
          <w:rFonts w:cs="Times New Roman"/>
        </w:rPr>
        <w:t xml:space="preserve">4) </w:t>
      </w:r>
      <w:r w:rsidR="00CB1FF5" w:rsidRPr="00EC494A">
        <w:rPr>
          <w:rFonts w:cs="Times New Roman"/>
          <w:i/>
          <w:iCs/>
        </w:rPr>
        <w:t xml:space="preserve">beneath </w:t>
      </w:r>
      <w:r w:rsidR="000C60BB" w:rsidRPr="00EC494A">
        <w:rPr>
          <w:rFonts w:cs="Times New Roman"/>
          <w:i/>
          <w:iCs/>
        </w:rPr>
        <w:t>the</w:t>
      </w:r>
      <w:r w:rsidR="00CB1FF5" w:rsidRPr="00EC494A">
        <w:rPr>
          <w:rFonts w:cs="Times New Roman"/>
          <w:i/>
          <w:iCs/>
        </w:rPr>
        <w:t xml:space="preserve"> space charge region formed </w:t>
      </w:r>
      <w:r w:rsidR="00147894" w:rsidRPr="00EC494A">
        <w:rPr>
          <w:rFonts w:cs="Times New Roman"/>
          <w:i/>
          <w:iCs/>
        </w:rPr>
        <w:t>at</w:t>
      </w:r>
      <w:r w:rsidR="00B45370" w:rsidRPr="00EC494A">
        <w:rPr>
          <w:rFonts w:cs="Times New Roman"/>
          <w:i/>
          <w:iCs/>
        </w:rPr>
        <w:t xml:space="preserve"> the water/oxide interface</w:t>
      </w:r>
      <w:r w:rsidR="00CB1FF5">
        <w:rPr>
          <w:rFonts w:cs="Times New Roman"/>
        </w:rPr>
        <w:t>.</w:t>
      </w:r>
      <w:r w:rsidR="003A0FE9">
        <w:rPr>
          <w:rFonts w:cs="Times New Roman"/>
        </w:rPr>
        <w:t xml:space="preserve"> </w:t>
      </w:r>
      <w:r w:rsidR="009073ED">
        <w:rPr>
          <w:rFonts w:cs="Times New Roman"/>
        </w:rPr>
        <w:t>S</w:t>
      </w:r>
      <w:r w:rsidR="00B37FA2">
        <w:rPr>
          <w:rFonts w:cs="Times New Roman"/>
        </w:rPr>
        <w:t xml:space="preserve">toichiometric inhomogeneity </w:t>
      </w:r>
      <w:r w:rsidR="00B17897">
        <w:rPr>
          <w:rFonts w:cs="Times New Roman"/>
        </w:rPr>
        <w:t xml:space="preserve">expressed </w:t>
      </w:r>
      <w:r w:rsidR="00BF0A38">
        <w:rPr>
          <w:rFonts w:cs="Times New Roman"/>
        </w:rPr>
        <w:t xml:space="preserve">in the form of </w:t>
      </w:r>
      <w:r w:rsidR="003A0FE9" w:rsidRPr="003A0FE9">
        <w:rPr>
          <w:rFonts w:cs="Times New Roman"/>
        </w:rPr>
        <w:t>oxygen vacancies is particularly advantageous in proton conducti</w:t>
      </w:r>
      <w:r w:rsidR="005B5EDA">
        <w:rPr>
          <w:rFonts w:cs="Times New Roman"/>
        </w:rPr>
        <w:t>on</w:t>
      </w:r>
      <w:r w:rsidR="003A0FE9" w:rsidRPr="003A0FE9">
        <w:rPr>
          <w:rFonts w:cs="Times New Roman"/>
        </w:rPr>
        <w:t xml:space="preserve"> enhancement</w:t>
      </w:r>
      <w:r w:rsidR="008E466D">
        <w:rPr>
          <w:rFonts w:cs="Times New Roman"/>
        </w:rPr>
        <w:t xml:space="preserve"> particularly in perov</w:t>
      </w:r>
      <w:r w:rsidR="00AE27EC">
        <w:rPr>
          <w:rFonts w:cs="Times New Roman"/>
        </w:rPr>
        <w:t>skites</w:t>
      </w:r>
      <w:r w:rsidR="000C6A80">
        <w:rPr>
          <w:rFonts w:cs="Times New Roman"/>
        </w:rPr>
        <w:t xml:space="preserve"> </w:t>
      </w:r>
      <w:r w:rsidR="000C6A80">
        <w:rPr>
          <w:rFonts w:cs="Times New Roman"/>
        </w:rPr>
        <w:fldChar w:fldCharType="begin" w:fldLock="1"/>
      </w:r>
      <w:r w:rsidR="00F36CB3">
        <w:rPr>
          <w:rFonts w:cs="Times New Roman"/>
        </w:rPr>
        <w:instrText>ADDIN CSL_CITATION {"citationItems":[{"id":"ITEM-1","itemData":{"DOI":"10.1021/acsaem.0c00486","author":[{"dropping-particle":"","family":"Ren","given":"Rongzheng","non-dropping-particle":"","parse-names":false,"suffix":""},{"dropping-particle":"","family":"Wang","given":"Zhenhua","non-dropping-particle":"","parse-names":false,"suffix":""},{"dropping-particle":"","family":"Meng","given":"Xingguang","non-dropping-particle":"","parse-names":false,"suffix":""},{"dropping-particle":"","family":"Wang","given":"Xinhua","non-dropping-particle":"","parse-names":false,"suffix":""},{"dropping-particle":"","family":"Xu","given":"Chunming","non-dropping-particle":"","parse-names":false,"suffix":""},{"dropping-particle":"","family":"Qiao","given":"Jinshuo","non-dropping-particle":"","parse-names":false,"suffix":""},{"dropping-particle":"","family":"Sun","given":"Wang","non-dropping-particle":"","parse-names":false,"suffix":""},{"dropping-particle":"","family":"Sun","given":"Kening","non-dropping-particle":"","parse-names":false,"suffix":""}],"id":"ITEM-1","issued":{"date-parts":[["2020"]]},"title":"Tailoring the Oxygen Vacancy to Achieve Fast Intrinsic Proton Transport in a Perovskite Cathode for Protonic Ceramic Fuel Cells","type":"article-journal"},"uris":["http://www.mendeley.com/documents/?uuid=fcd568ec-c413-4264-9627-94ec11974a47"]}],"mendeley":{"formattedCitation":"[25]","plainTextFormattedCitation":"[25]","previouslyFormattedCitation":"[25]"},"properties":{"noteIndex":0},"schema":"https://github.com/citation-style-language/schema/raw/master/csl-citation.json"}</w:instrText>
      </w:r>
      <w:r w:rsidR="000C6A80">
        <w:rPr>
          <w:rFonts w:cs="Times New Roman"/>
        </w:rPr>
        <w:fldChar w:fldCharType="separate"/>
      </w:r>
      <w:r w:rsidR="000D478A" w:rsidRPr="000D478A">
        <w:rPr>
          <w:rFonts w:cs="Times New Roman"/>
          <w:noProof/>
        </w:rPr>
        <w:t>[25]</w:t>
      </w:r>
      <w:r w:rsidR="000C6A80">
        <w:rPr>
          <w:rFonts w:cs="Times New Roman"/>
        </w:rPr>
        <w:fldChar w:fldCharType="end"/>
      </w:r>
      <w:r w:rsidR="00216F40">
        <w:rPr>
          <w:rFonts w:cs="Times New Roman"/>
        </w:rPr>
        <w:t xml:space="preserve"> </w:t>
      </w:r>
      <w:r w:rsidR="00D32585">
        <w:rPr>
          <w:rFonts w:cs="Times New Roman"/>
        </w:rPr>
        <w:t>where</w:t>
      </w:r>
      <w:r w:rsidR="003A0FE9" w:rsidRPr="003A0FE9">
        <w:rPr>
          <w:rFonts w:cs="Times New Roman"/>
        </w:rPr>
        <w:t xml:space="preserve"> water molecules </w:t>
      </w:r>
      <w:r w:rsidR="00D32585">
        <w:rPr>
          <w:rFonts w:cs="Times New Roman"/>
        </w:rPr>
        <w:t>can find an easy path to</w:t>
      </w:r>
      <w:r w:rsidR="003A0FE9" w:rsidRPr="003A0FE9">
        <w:rPr>
          <w:rFonts w:cs="Times New Roman"/>
        </w:rPr>
        <w:t xml:space="preserve"> </w:t>
      </w:r>
      <w:r w:rsidR="003A0FE9" w:rsidRPr="003A0FE9">
        <w:rPr>
          <w:rFonts w:cs="Times New Roman"/>
        </w:rPr>
        <w:lastRenderedPageBreak/>
        <w:t>dissociate into OH</w:t>
      </w:r>
      <w:r w:rsidR="003A0FE9" w:rsidRPr="003A0FE9">
        <w:rPr>
          <w:rFonts w:cs="Times New Roman"/>
          <w:vertAlign w:val="superscript"/>
        </w:rPr>
        <w:t>-</w:t>
      </w:r>
      <w:r w:rsidR="003A0FE9" w:rsidRPr="003A0FE9">
        <w:rPr>
          <w:rFonts w:cs="Times New Roman"/>
        </w:rPr>
        <w:t xml:space="preserve"> and H</w:t>
      </w:r>
      <w:r w:rsidR="003A0FE9" w:rsidRPr="003A0FE9">
        <w:rPr>
          <w:rFonts w:cs="Times New Roman"/>
          <w:vertAlign w:val="superscript"/>
        </w:rPr>
        <w:t>+</w:t>
      </w:r>
      <w:r w:rsidR="00235FFA">
        <w:rPr>
          <w:rFonts w:cs="Times New Roman"/>
        </w:rPr>
        <w:t xml:space="preserve">, </w:t>
      </w:r>
      <w:r w:rsidR="003A0FE9" w:rsidRPr="003A0FE9">
        <w:rPr>
          <w:rFonts w:cs="Times New Roman"/>
        </w:rPr>
        <w:t>the former</w:t>
      </w:r>
      <w:r w:rsidR="00235FFA">
        <w:rPr>
          <w:rFonts w:cs="Times New Roman"/>
        </w:rPr>
        <w:t xml:space="preserve"> being</w:t>
      </w:r>
      <w:r w:rsidR="003A0FE9" w:rsidRPr="003A0FE9">
        <w:rPr>
          <w:rFonts w:cs="Times New Roman"/>
        </w:rPr>
        <w:t xml:space="preserve"> incorporated inside the oxygen vacancy while the latter forming a bond with a lattice oxygen</w:t>
      </w:r>
      <w:r w:rsidR="00235FFA">
        <w:rPr>
          <w:rFonts w:cs="Times New Roman"/>
        </w:rPr>
        <w:t xml:space="preserve"> atom</w:t>
      </w:r>
      <w:r w:rsidR="00F073BB">
        <w:rPr>
          <w:rFonts w:cs="Times New Roman"/>
        </w:rPr>
        <w:t xml:space="preserve"> </w:t>
      </w:r>
      <w:r w:rsidR="00F073BB">
        <w:rPr>
          <w:rFonts w:cs="Times New Roman"/>
        </w:rPr>
        <w:fldChar w:fldCharType="begin" w:fldLock="1"/>
      </w:r>
      <w:r w:rsidR="00F36CB3">
        <w:rPr>
          <w:rFonts w:cs="Times New Roman"/>
        </w:rPr>
        <w:instrText>ADDIN CSL_CITATION {"citationItems":[{"id":"ITEM-1","itemData":{"DOI":"10.1021/acs.jpcc.0c09461","author":[{"dropping-particle":"","family":"Lin","given":"Ziqing","non-dropping-particle":"","parse-names":false,"suffix":""},{"dropping-particle":"","family":"Lin","given":"Shiyun","non-dropping-particle":"","parse-names":false,"suffix":""},{"dropping-particle":"","family":"Tian","given":"Yuan","non-dropping-particle":"","parse-names":false,"suffix":""},{"dropping-particle":"Van","family":"Bokkelen","given":"Alice","non-dropping-particle":"","parse-names":false,"suffix":""},{"dropping-particle":"","family":"Valerio","given":"Maryann","non-dropping-particle":"","parse-names":false,"suffix":""},{"dropping-particle":"","family":"Gomez","given":"Maria A","non-dropping-particle":"","parse-names":false,"suffix":""}],"id":"ITEM-1","issued":{"date-parts":[["2020"]]},"title":"Oxygen Vacancies Altering the Trapping in the Proton Conduction Landscape of Doped Barium Zirconate","type":"article-journal"},"uris":["http://www.mendeley.com/documents/?uuid=147b105c-064a-4157-9fa8-5fdd5105fb06"]}],"mendeley":{"formattedCitation":"[26]","plainTextFormattedCitation":"[26]","previouslyFormattedCitation":"[26]"},"properties":{"noteIndex":0},"schema":"https://github.com/citation-style-language/schema/raw/master/csl-citation.json"}</w:instrText>
      </w:r>
      <w:r w:rsidR="00F073BB">
        <w:rPr>
          <w:rFonts w:cs="Times New Roman"/>
        </w:rPr>
        <w:fldChar w:fldCharType="separate"/>
      </w:r>
      <w:r w:rsidR="000D478A" w:rsidRPr="000D478A">
        <w:rPr>
          <w:rFonts w:cs="Times New Roman"/>
          <w:noProof/>
        </w:rPr>
        <w:t>[26]</w:t>
      </w:r>
      <w:r w:rsidR="00F073BB">
        <w:rPr>
          <w:rFonts w:cs="Times New Roman"/>
        </w:rPr>
        <w:fldChar w:fldCharType="end"/>
      </w:r>
      <w:r w:rsidR="003A0FE9" w:rsidRPr="003A0FE9">
        <w:rPr>
          <w:rFonts w:cs="Times New Roman"/>
        </w:rPr>
        <w:t>.</w:t>
      </w:r>
      <w:r w:rsidR="00AF269C">
        <w:rPr>
          <w:rFonts w:cs="Times New Roman"/>
        </w:rPr>
        <w:t xml:space="preserve"> </w:t>
      </w:r>
      <w:r w:rsidR="001B6306">
        <w:rPr>
          <w:rFonts w:cs="Times New Roman"/>
        </w:rPr>
        <w:t>Considering t</w:t>
      </w:r>
      <w:r w:rsidR="00AF269C">
        <w:rPr>
          <w:rFonts w:cs="Times New Roman"/>
        </w:rPr>
        <w:t xml:space="preserve">he present </w:t>
      </w:r>
      <w:r w:rsidR="00E6795D">
        <w:rPr>
          <w:rFonts w:cs="Times New Roman"/>
        </w:rPr>
        <w:t>electrochemical investigation</w:t>
      </w:r>
      <w:r w:rsidR="002C4A04">
        <w:rPr>
          <w:rFonts w:cs="Times New Roman"/>
        </w:rPr>
        <w:t xml:space="preserve"> being</w:t>
      </w:r>
      <w:r w:rsidR="00E6795D">
        <w:rPr>
          <w:rFonts w:cs="Times New Roman"/>
        </w:rPr>
        <w:t xml:space="preserve"> </w:t>
      </w:r>
      <w:r w:rsidR="00152DDA">
        <w:rPr>
          <w:rFonts w:cs="Times New Roman"/>
        </w:rPr>
        <w:t>limited</w:t>
      </w:r>
      <w:r w:rsidR="00E6795D">
        <w:rPr>
          <w:rFonts w:cs="Times New Roman"/>
        </w:rPr>
        <w:t xml:space="preserve"> to</w:t>
      </w:r>
      <w:r w:rsidR="00B9548E">
        <w:rPr>
          <w:rFonts w:cs="Times New Roman"/>
        </w:rPr>
        <w:t xml:space="preserve"> almost</w:t>
      </w:r>
      <w:r w:rsidR="00E6795D">
        <w:rPr>
          <w:rFonts w:cs="Times New Roman"/>
        </w:rPr>
        <w:t xml:space="preserve"> compact barrier regions</w:t>
      </w:r>
      <w:r w:rsidR="00B9548E">
        <w:rPr>
          <w:rFonts w:cs="Times New Roman"/>
        </w:rPr>
        <w:t xml:space="preserve">, it is reasonable to hypothesize </w:t>
      </w:r>
      <w:r w:rsidR="007841FB">
        <w:rPr>
          <w:rFonts w:cs="Times New Roman"/>
        </w:rPr>
        <w:t xml:space="preserve">mass transport to occur in the bulk. As a consequence, after </w:t>
      </w:r>
      <w:r w:rsidR="00D131CD">
        <w:rPr>
          <w:rFonts w:cs="Times New Roman"/>
        </w:rPr>
        <w:t>H</w:t>
      </w:r>
      <w:r w:rsidR="00D131CD">
        <w:rPr>
          <w:rFonts w:cs="Times New Roman"/>
          <w:vertAlign w:val="superscript"/>
        </w:rPr>
        <w:t>+</w:t>
      </w:r>
      <w:r w:rsidR="00BE311E">
        <w:rPr>
          <w:rFonts w:cs="Times New Roman"/>
        </w:rPr>
        <w:t xml:space="preserve"> </w:t>
      </w:r>
      <w:r w:rsidR="007841FB">
        <w:rPr>
          <w:rFonts w:cs="Times New Roman"/>
        </w:rPr>
        <w:t xml:space="preserve">adsorption, solid-state </w:t>
      </w:r>
      <w:r w:rsidR="00A576F0">
        <w:rPr>
          <w:rFonts w:cs="Times New Roman"/>
        </w:rPr>
        <w:t>diffusion</w:t>
      </w:r>
      <w:r w:rsidR="00BE311E">
        <w:rPr>
          <w:rFonts w:cs="Times New Roman"/>
        </w:rPr>
        <w:t xml:space="preserve"> </w:t>
      </w:r>
      <w:r w:rsidR="00DB0939">
        <w:rPr>
          <w:rFonts w:cs="Times New Roman"/>
        </w:rPr>
        <w:t xml:space="preserve">involves </w:t>
      </w:r>
      <w:r w:rsidR="00796A72">
        <w:rPr>
          <w:rFonts w:cs="Times New Roman"/>
        </w:rPr>
        <w:t xml:space="preserve">1) </w:t>
      </w:r>
      <w:r w:rsidR="00796A72" w:rsidRPr="00B46C7B">
        <w:rPr>
          <w:rFonts w:cs="Times New Roman"/>
          <w:i/>
          <w:iCs/>
        </w:rPr>
        <w:t xml:space="preserve">a fast rotation around </w:t>
      </w:r>
      <w:r w:rsidR="00A63FC7" w:rsidRPr="00B46C7B">
        <w:rPr>
          <w:rFonts w:cs="Times New Roman"/>
          <w:i/>
          <w:iCs/>
        </w:rPr>
        <w:t>the host oxygen ion</w:t>
      </w:r>
      <w:r w:rsidR="00A63FC7">
        <w:rPr>
          <w:rFonts w:cs="Times New Roman"/>
        </w:rPr>
        <w:t xml:space="preserve"> followed by 2</w:t>
      </w:r>
      <w:r w:rsidR="00A63FC7" w:rsidRPr="00DD3520">
        <w:rPr>
          <w:rFonts w:cs="Times New Roman"/>
        </w:rPr>
        <w:t>)</w:t>
      </w:r>
      <w:r w:rsidR="00A63FC7" w:rsidRPr="00771C80">
        <w:rPr>
          <w:rFonts w:cs="Times New Roman"/>
          <w:i/>
          <w:iCs/>
        </w:rPr>
        <w:t xml:space="preserve"> transfer to another oxygen ion</w:t>
      </w:r>
      <w:r w:rsidR="00A63FC7">
        <w:rPr>
          <w:rFonts w:cs="Times New Roman"/>
        </w:rPr>
        <w:t xml:space="preserve"> </w:t>
      </w:r>
      <w:r w:rsidR="004549C1">
        <w:rPr>
          <w:rFonts w:cs="Times New Roman"/>
        </w:rPr>
        <w:t>through</w:t>
      </w:r>
      <w:r w:rsidR="00A63FC7">
        <w:rPr>
          <w:rFonts w:cs="Times New Roman"/>
        </w:rPr>
        <w:t xml:space="preserve"> an hopping</w:t>
      </w:r>
      <w:r w:rsidR="00771C80">
        <w:rPr>
          <w:rFonts w:cs="Times New Roman"/>
        </w:rPr>
        <w:t xml:space="preserve"> process</w:t>
      </w:r>
      <w:r w:rsidR="0020781A">
        <w:rPr>
          <w:rFonts w:cs="Times New Roman"/>
        </w:rPr>
        <w:t xml:space="preserve"> </w:t>
      </w:r>
      <w:r w:rsidR="0002007E">
        <w:rPr>
          <w:rFonts w:cs="Times New Roman"/>
        </w:rPr>
        <w:fldChar w:fldCharType="begin" w:fldLock="1"/>
      </w:r>
      <w:r w:rsidR="00F36CB3">
        <w:rPr>
          <w:rFonts w:cs="Times New Roman"/>
        </w:rPr>
        <w:instrText>ADDIN CSL_CITATION {"citationItems":[{"id":"ITEM-1","itemData":{"DOI":"10.1007/s10853-019-03559-9","ISSN":"1573-4803","author":[{"dropping-particle":"","family":"Meng","given":"Yuqing","non-dropping-particle":"","parse-names":false,"suffix":""},{"dropping-particle":"","family":"Gao","given":"Jun","non-dropping-particle":"","parse-names":false,"suffix":""},{"dropping-particle":"","family":"Zhao","given":"Zeyu","non-dropping-particle":"","parse-names":false,"suffix":""},{"dropping-particle":"","family":"Amoroso","given":"Jake","non-dropping-particle":"","parse-names":false,"suffix":""},{"dropping-particle":"","family":"Tong","given":"Jianhua","non-dropping-particle":"","parse-names":false,"suffix":""},{"dropping-particle":"","family":"Brinkman","given":"Kyle S","non-dropping-particle":"","parse-names":false,"suffix":""}],"container-title":"Journal of Materials Science","id":"ITEM-1","issue":"13","issued":{"date-parts":[["2019"]]},"note":"GB lowers H conductivity","page":"9291-9312","publisher":"Springer US","title":"Review : recent progress in low-temperature proton-conducting ceramics","type":"article-journal","volume":"54"},"uris":["http://www.mendeley.com/documents/?uuid=25abf56c-29c8-4865-8031-2e67b3ef2462"]}],"mendeley":{"formattedCitation":"[27]","plainTextFormattedCitation":"[27]","previouslyFormattedCitation":"[27]"},"properties":{"noteIndex":0},"schema":"https://github.com/citation-style-language/schema/raw/master/csl-citation.json"}</w:instrText>
      </w:r>
      <w:r w:rsidR="0002007E">
        <w:rPr>
          <w:rFonts w:cs="Times New Roman"/>
        </w:rPr>
        <w:fldChar w:fldCharType="separate"/>
      </w:r>
      <w:r w:rsidR="000D478A" w:rsidRPr="000D478A">
        <w:rPr>
          <w:rFonts w:cs="Times New Roman"/>
          <w:noProof/>
        </w:rPr>
        <w:t>[27]</w:t>
      </w:r>
      <w:r w:rsidR="0002007E">
        <w:rPr>
          <w:rFonts w:cs="Times New Roman"/>
        </w:rPr>
        <w:fldChar w:fldCharType="end"/>
      </w:r>
      <w:r w:rsidR="0002007E">
        <w:rPr>
          <w:rFonts w:cs="Times New Roman"/>
        </w:rPr>
        <w:t>.</w:t>
      </w:r>
    </w:p>
    <w:p w14:paraId="58DEE2DC" w14:textId="71341AEC" w:rsidR="00D15733" w:rsidRDefault="003C1D6C" w:rsidP="002C234B">
      <w:pPr>
        <w:rPr>
          <w:rFonts w:cs="Times New Roman"/>
        </w:rPr>
      </w:pPr>
      <w:r>
        <w:rPr>
          <w:rFonts w:cs="Times New Roman"/>
        </w:rPr>
        <w:t>Some of these outcomes may have</w:t>
      </w:r>
      <w:r w:rsidR="00772A39">
        <w:rPr>
          <w:rFonts w:cs="Times New Roman"/>
        </w:rPr>
        <w:t xml:space="preserve"> important</w:t>
      </w:r>
      <w:r w:rsidR="00CB1C0C">
        <w:rPr>
          <w:rFonts w:cs="Times New Roman"/>
        </w:rPr>
        <w:t xml:space="preserve"> implications </w:t>
      </w:r>
      <w:r w:rsidR="005251CE">
        <w:rPr>
          <w:rFonts w:cs="Times New Roman"/>
        </w:rPr>
        <w:t>on the corrosion response of the electrode,</w:t>
      </w:r>
      <w:r w:rsidR="00B21BE7">
        <w:rPr>
          <w:rFonts w:cs="Times New Roman"/>
        </w:rPr>
        <w:t xml:space="preserve"> </w:t>
      </w:r>
      <w:r w:rsidR="00101AB4">
        <w:rPr>
          <w:rFonts w:cs="Times New Roman"/>
        </w:rPr>
        <w:t>because of this</w:t>
      </w:r>
      <w:r w:rsidR="004F1B5C">
        <w:rPr>
          <w:rFonts w:cs="Times New Roman"/>
        </w:rPr>
        <w:t xml:space="preserve"> </w:t>
      </w:r>
      <w:r w:rsidR="007A31E0">
        <w:rPr>
          <w:rFonts w:cs="Times New Roman"/>
        </w:rPr>
        <w:t>h</w:t>
      </w:r>
      <w:r w:rsidR="00450D52">
        <w:rPr>
          <w:rFonts w:cs="Times New Roman"/>
        </w:rPr>
        <w:t xml:space="preserve">ere we provide a detailed stoichiometric investigation exploiting the outstanding lateral resolution of </w:t>
      </w:r>
      <w:r w:rsidR="00F34661">
        <w:rPr>
          <w:rFonts w:cs="Times New Roman"/>
        </w:rPr>
        <w:t>high-resolution</w:t>
      </w:r>
      <w:r w:rsidR="00450D52">
        <w:rPr>
          <w:rFonts w:cs="Times New Roman"/>
        </w:rPr>
        <w:t xml:space="preserve"> electron energy loss spectroscopy (EELS)</w:t>
      </w:r>
      <w:r w:rsidR="005251CE">
        <w:rPr>
          <w:rFonts w:cs="Times New Roman"/>
        </w:rPr>
        <w:t xml:space="preserve"> applied</w:t>
      </w:r>
      <w:r w:rsidR="00620BE9">
        <w:rPr>
          <w:rFonts w:cs="Times New Roman"/>
        </w:rPr>
        <w:t xml:space="preserve"> o</w:t>
      </w:r>
      <w:r w:rsidR="005251CE">
        <w:rPr>
          <w:rFonts w:cs="Times New Roman"/>
        </w:rPr>
        <w:t>n</w:t>
      </w:r>
      <w:r w:rsidR="00620BE9">
        <w:rPr>
          <w:rFonts w:cs="Times New Roman"/>
        </w:rPr>
        <w:t xml:space="preserve"> Ti oxide </w:t>
      </w:r>
      <w:r w:rsidR="0043141D">
        <w:rPr>
          <w:rFonts w:cs="Times New Roman"/>
        </w:rPr>
        <w:t>coatings</w:t>
      </w:r>
      <w:r w:rsidR="00620BE9">
        <w:rPr>
          <w:rFonts w:cs="Times New Roman"/>
        </w:rPr>
        <w:t xml:space="preserve"> synthesized by PEO </w:t>
      </w:r>
      <w:r w:rsidR="00450D52">
        <w:rPr>
          <w:rFonts w:cs="Times New Roman"/>
        </w:rPr>
        <w:t xml:space="preserve">in direct current and pulsed regime. We demonstrate how the use of a pulsed regime </w:t>
      </w:r>
      <w:r w:rsidR="005922B3">
        <w:rPr>
          <w:rFonts w:cs="Times New Roman"/>
        </w:rPr>
        <w:t>supports</w:t>
      </w:r>
      <w:r w:rsidR="00450D52">
        <w:rPr>
          <w:rFonts w:cs="Times New Roman"/>
        </w:rPr>
        <w:t xml:space="preserve"> the growth of a barrier layer mainly constituted by Ti</w:t>
      </w:r>
      <w:r w:rsidR="00F506D1">
        <w:rPr>
          <w:rFonts w:cs="Times New Roman"/>
          <w:vertAlign w:val="superscript"/>
        </w:rPr>
        <w:t>4+</w:t>
      </w:r>
      <w:r w:rsidR="00450D52">
        <w:rPr>
          <w:rFonts w:cs="Times New Roman"/>
        </w:rPr>
        <w:t xml:space="preserve"> bearing oxide</w:t>
      </w:r>
      <w:r w:rsidR="00C47C35">
        <w:rPr>
          <w:rFonts w:cs="Times New Roman"/>
        </w:rPr>
        <w:t xml:space="preserve"> phase</w:t>
      </w:r>
      <w:r w:rsidR="00A1607A">
        <w:rPr>
          <w:rFonts w:cs="Times New Roman"/>
        </w:rPr>
        <w:t>s</w:t>
      </w:r>
      <w:r w:rsidR="00450D52">
        <w:rPr>
          <w:rFonts w:cs="Times New Roman"/>
        </w:rPr>
        <w:t xml:space="preserve"> </w:t>
      </w:r>
      <w:r w:rsidR="00770E73">
        <w:rPr>
          <w:rFonts w:cs="Times New Roman"/>
        </w:rPr>
        <w:t>including</w:t>
      </w:r>
      <w:r w:rsidR="00770E73" w:rsidRPr="00CA4E0B">
        <w:rPr>
          <w:rFonts w:cs="Times New Roman"/>
        </w:rPr>
        <w:t xml:space="preserve"> </w:t>
      </w:r>
      <w:r w:rsidR="00450D52" w:rsidRPr="00CA4E0B">
        <w:rPr>
          <w:rFonts w:cs="Times New Roman"/>
        </w:rPr>
        <w:t xml:space="preserve">a </w:t>
      </w:r>
      <w:r w:rsidR="00FB55E0">
        <w:rPr>
          <w:rFonts w:cs="Times New Roman"/>
        </w:rPr>
        <w:t>low</w:t>
      </w:r>
      <w:r w:rsidR="00450D52" w:rsidRPr="00CA4E0B">
        <w:rPr>
          <w:rFonts w:cs="Times New Roman"/>
        </w:rPr>
        <w:t xml:space="preserve"> level of </w:t>
      </w:r>
      <w:r w:rsidR="00CA4E0B" w:rsidRPr="00CA4E0B">
        <w:rPr>
          <w:rFonts w:cs="Times New Roman"/>
        </w:rPr>
        <w:t>S</w:t>
      </w:r>
      <w:r w:rsidR="00450D52" w:rsidRPr="00CA4E0B">
        <w:rPr>
          <w:rFonts w:cs="Times New Roman"/>
        </w:rPr>
        <w:t xml:space="preserve"> impurity.</w:t>
      </w:r>
      <w:r w:rsidR="00AD58FD">
        <w:rPr>
          <w:rFonts w:cs="Times New Roman"/>
        </w:rPr>
        <w:t xml:space="preserve"> Our approach of designing a highly stoichiometric</w:t>
      </w:r>
      <w:r w:rsidR="00CF5606">
        <w:rPr>
          <w:rFonts w:cs="Times New Roman"/>
        </w:rPr>
        <w:t xml:space="preserve"> (Ti</w:t>
      </w:r>
      <w:r w:rsidR="00CF5606">
        <w:rPr>
          <w:rFonts w:cs="Times New Roman"/>
          <w:vertAlign w:val="superscript"/>
        </w:rPr>
        <w:t>4+</w:t>
      </w:r>
      <w:r w:rsidR="00CF5606">
        <w:rPr>
          <w:rFonts w:cs="Times New Roman"/>
        </w:rPr>
        <w:t>)</w:t>
      </w:r>
      <w:r w:rsidR="00CA4E0B">
        <w:rPr>
          <w:rFonts w:cs="Times New Roman"/>
        </w:rPr>
        <w:t xml:space="preserve"> and S </w:t>
      </w:r>
      <w:r w:rsidR="00D57C7C">
        <w:rPr>
          <w:rFonts w:cs="Times New Roman"/>
        </w:rPr>
        <w:t xml:space="preserve">deficient </w:t>
      </w:r>
      <w:r w:rsidR="00AD58FD">
        <w:rPr>
          <w:rFonts w:cs="Times New Roman"/>
        </w:rPr>
        <w:t>barrier layer results in enhanced protection of the meta</w:t>
      </w:r>
      <w:r w:rsidR="00C47C35">
        <w:rPr>
          <w:rFonts w:cs="Times New Roman"/>
        </w:rPr>
        <w:t>llic substrate</w:t>
      </w:r>
      <w:r w:rsidR="00A40102">
        <w:rPr>
          <w:rFonts w:cs="Times New Roman"/>
        </w:rPr>
        <w:t>, limiting</w:t>
      </w:r>
      <w:r w:rsidR="00C47C35">
        <w:rPr>
          <w:rFonts w:cs="Times New Roman"/>
        </w:rPr>
        <w:t xml:space="preserve"> H</w:t>
      </w:r>
      <w:r w:rsidR="006130C0">
        <w:rPr>
          <w:rFonts w:cs="Times New Roman"/>
          <w:vertAlign w:val="superscript"/>
        </w:rPr>
        <w:t xml:space="preserve"> </w:t>
      </w:r>
      <w:r w:rsidR="006130C0">
        <w:rPr>
          <w:rFonts w:cs="Times New Roman"/>
        </w:rPr>
        <w:t>recombination at the oxide-metal interface</w:t>
      </w:r>
      <w:r w:rsidR="00601327">
        <w:rPr>
          <w:rFonts w:cs="Times New Roman"/>
        </w:rPr>
        <w:t xml:space="preserve">. This </w:t>
      </w:r>
      <w:r w:rsidR="00D57C7C">
        <w:rPr>
          <w:rFonts w:cs="Times New Roman"/>
        </w:rPr>
        <w:t xml:space="preserve">process </w:t>
      </w:r>
      <w:r w:rsidR="00C6552C">
        <w:rPr>
          <w:rFonts w:cs="Times New Roman"/>
        </w:rPr>
        <w:t>delayed the</w:t>
      </w:r>
      <w:r w:rsidR="00601327">
        <w:rPr>
          <w:rFonts w:cs="Times New Roman"/>
        </w:rPr>
        <w:t xml:space="preserve"> coating debonding</w:t>
      </w:r>
      <w:r w:rsidR="0084176B">
        <w:rPr>
          <w:rFonts w:cs="Times New Roman"/>
        </w:rPr>
        <w:t xml:space="preserve"> </w:t>
      </w:r>
      <w:r w:rsidR="00601327">
        <w:rPr>
          <w:rFonts w:cs="Times New Roman"/>
        </w:rPr>
        <w:t>thus</w:t>
      </w:r>
      <w:r w:rsidR="00C47C35">
        <w:rPr>
          <w:rFonts w:cs="Times New Roman"/>
        </w:rPr>
        <w:t xml:space="preserve"> preserving </w:t>
      </w:r>
      <w:r w:rsidR="00AD759A">
        <w:rPr>
          <w:rFonts w:cs="Times New Roman"/>
        </w:rPr>
        <w:t>Ti</w:t>
      </w:r>
      <w:r w:rsidR="00C47C35">
        <w:rPr>
          <w:rFonts w:cs="Times New Roman"/>
        </w:rPr>
        <w:t xml:space="preserve"> from </w:t>
      </w:r>
      <w:r w:rsidR="0028277B">
        <w:rPr>
          <w:rFonts w:cs="Times New Roman"/>
        </w:rPr>
        <w:t>24 h immersion in 10 %v/v sulfuric acid at 60 °C</w:t>
      </w:r>
      <w:r w:rsidR="00620BE9">
        <w:rPr>
          <w:rFonts w:cs="Times New Roman"/>
        </w:rPr>
        <w:t>, a common environment</w:t>
      </w:r>
      <w:r w:rsidR="00605817">
        <w:rPr>
          <w:rFonts w:cs="Times New Roman"/>
        </w:rPr>
        <w:t xml:space="preserve"> adopted</w:t>
      </w:r>
      <w:r w:rsidR="00620BE9">
        <w:rPr>
          <w:rFonts w:cs="Times New Roman"/>
        </w:rPr>
        <w:t xml:space="preserve"> </w:t>
      </w:r>
      <w:r w:rsidR="00C45199">
        <w:rPr>
          <w:rFonts w:cs="Times New Roman"/>
        </w:rPr>
        <w:t>during</w:t>
      </w:r>
      <w:r w:rsidR="00620BE9">
        <w:rPr>
          <w:rFonts w:cs="Times New Roman"/>
        </w:rPr>
        <w:t xml:space="preserve"> metal pickling procedures </w:t>
      </w:r>
      <w:r w:rsidR="00620BE9">
        <w:rPr>
          <w:rFonts w:cs="Times New Roman"/>
        </w:rPr>
        <w:fldChar w:fldCharType="begin" w:fldLock="1"/>
      </w:r>
      <w:r w:rsidR="00F36CB3">
        <w:rPr>
          <w:rFonts w:cs="Times New Roman"/>
        </w:rPr>
        <w:instrText>ADDIN CSL_CITATION {"citationItems":[{"id":"ITEM-1","itemData":{"DOI":"10.1002/9781118015438","ISBN":"978-1-118-01543-8","author":[{"dropping-particle":"","family":"Sastri","given":"V.S.","non-dropping-particle":"","parse-names":false,"suffix":""}],"editor":[{"dropping-particle":"","family":"Winston Revie","given":"R.","non-dropping-particle":"","parse-names":false,"suffix":""}],"id":"ITEM-1","issued":{"date-parts":[["2011"]]},"number-of-pages":"223-230","publisher":"Wiley","publisher-place":"Singapore","title":"Green Corrosion Inhibitors: Theory and Practice","type":"book"},"uris":["http://www.mendeley.com/documents/?uuid=14c4567f-4216-4067-a8d1-36376167c1d4"]}],"mendeley":{"formattedCitation":"[28]","plainTextFormattedCitation":"[28]","previouslyFormattedCitation":"[28]"},"properties":{"noteIndex":0},"schema":"https://github.com/citation-style-language/schema/raw/master/csl-citation.json"}</w:instrText>
      </w:r>
      <w:r w:rsidR="00620BE9">
        <w:rPr>
          <w:rFonts w:cs="Times New Roman"/>
        </w:rPr>
        <w:fldChar w:fldCharType="separate"/>
      </w:r>
      <w:r w:rsidR="000D478A" w:rsidRPr="000D478A">
        <w:rPr>
          <w:rFonts w:cs="Times New Roman"/>
          <w:noProof/>
        </w:rPr>
        <w:t>[28]</w:t>
      </w:r>
      <w:r w:rsidR="00620BE9">
        <w:rPr>
          <w:rFonts w:cs="Times New Roman"/>
        </w:rPr>
        <w:fldChar w:fldCharType="end"/>
      </w:r>
      <w:r w:rsidR="0028277B">
        <w:rPr>
          <w:rFonts w:cs="Times New Roman"/>
        </w:rPr>
        <w:t>.</w:t>
      </w:r>
      <w:r w:rsidR="00884729">
        <w:rPr>
          <w:rFonts w:cs="Times New Roman"/>
        </w:rPr>
        <w:t xml:space="preserve"> </w:t>
      </w:r>
    </w:p>
    <w:p w14:paraId="2BDA332D" w14:textId="76B5D46F" w:rsidR="00671548" w:rsidRDefault="000313D9" w:rsidP="00AF1CBA">
      <w:pPr>
        <w:pStyle w:val="Heading1"/>
        <w:numPr>
          <w:ilvl w:val="0"/>
          <w:numId w:val="0"/>
        </w:numPr>
        <w:spacing w:after="0"/>
        <w:rPr>
          <w:rFonts w:eastAsia="Times New Roman"/>
        </w:rPr>
      </w:pPr>
      <w:r>
        <w:rPr>
          <w:rFonts w:eastAsia="Times New Roman"/>
        </w:rPr>
        <w:t xml:space="preserve">2. </w:t>
      </w:r>
      <w:r w:rsidR="002C234B">
        <w:rPr>
          <w:rFonts w:eastAsia="Times New Roman"/>
        </w:rPr>
        <w:t>Materials and methods</w:t>
      </w:r>
    </w:p>
    <w:p w14:paraId="38A3AD92" w14:textId="4646FD3B" w:rsidR="00671548" w:rsidRDefault="000964AA" w:rsidP="00AF1CBA">
      <w:pPr>
        <w:pStyle w:val="Heading2"/>
      </w:pPr>
      <w:r>
        <w:t>2.1 PEO treatments</w:t>
      </w:r>
    </w:p>
    <w:p w14:paraId="6F151F4A" w14:textId="2F167F5D" w:rsidR="006E1333" w:rsidRPr="000964AA" w:rsidRDefault="005B490E" w:rsidP="00371B3F">
      <w:r>
        <w:t>Anodization treatments were performed in a water-based solution</w:t>
      </w:r>
      <w:r w:rsidR="007C3314">
        <w:t xml:space="preserve"> </w:t>
      </w:r>
      <w:r>
        <w:t>(0.5 M H</w:t>
      </w:r>
      <w:r w:rsidR="007C3314">
        <w:rPr>
          <w:vertAlign w:val="subscript"/>
        </w:rPr>
        <w:t>2</w:t>
      </w:r>
      <w:r>
        <w:t>SO</w:t>
      </w:r>
      <w:r w:rsidR="007C3314">
        <w:rPr>
          <w:vertAlign w:val="subscript"/>
        </w:rPr>
        <w:t>4</w:t>
      </w:r>
      <w:r>
        <w:t xml:space="preserve">) in a 1 </w:t>
      </w:r>
      <w:r w:rsidR="0016022B">
        <w:t>L</w:t>
      </w:r>
      <w:r>
        <w:t xml:space="preserve"> Pyrex beaker over 10 × 10 × 1.6 mm</w:t>
      </w:r>
      <w:r w:rsidR="0016022B">
        <w:rPr>
          <w:vertAlign w:val="superscript"/>
        </w:rPr>
        <w:t>3</w:t>
      </w:r>
      <w:r>
        <w:t xml:space="preserve"> </w:t>
      </w:r>
      <w:r w:rsidR="00C6552C">
        <w:t xml:space="preserve">grade 2 Ti </w:t>
      </w:r>
      <w:r>
        <w:t>(UNS R50400) samples cut by metal shearing. Samples were incorporated into epoxy resin and mechanically polished with silicon carbide papers according to the sequence 100, 320, 600, 800, 1200, 2400/4000 mesh, and alumina particles to obtain a mirror like surface with roughness down to</w:t>
      </w:r>
      <w:r w:rsidR="00AE4D22">
        <w:t xml:space="preserve"> </w:t>
      </w:r>
      <w:r w:rsidR="00AE4D22">
        <w:rPr>
          <w:rFonts w:cs="Times New Roman"/>
        </w:rPr>
        <w:t>~</w:t>
      </w:r>
      <w:r>
        <w:t xml:space="preserve"> 0.8 µm. After polishing, the specimens were sonicated in ethanol for 5 min and washed in deionized water. A cylindrical counter electrode based on activated titanium net (radius 50 mm) was placed around the titanium coupon</w:t>
      </w:r>
      <w:r w:rsidR="00584885">
        <w:t xml:space="preserve"> while</w:t>
      </w:r>
      <w:r>
        <w:t xml:space="preserve"> </w:t>
      </w:r>
      <w:r w:rsidR="00584885">
        <w:t>t</w:t>
      </w:r>
      <w:r>
        <w:t xml:space="preserve">he solution was stirred, </w:t>
      </w:r>
      <w:r>
        <w:lastRenderedPageBreak/>
        <w:t>using a magnetic anchor rotating at 1500 rpm, in order to avoid mass transfer limitations. The anodization signal was designed according to the fully programmable California Instruments Asterion 751 series AC/DC power source</w:t>
      </w:r>
      <w:r w:rsidR="000022A4">
        <w:t xml:space="preserve">. </w:t>
      </w:r>
      <w:r w:rsidR="008C67D1">
        <w:t>T</w:t>
      </w:r>
      <w:r w:rsidR="000022A4">
        <w:t xml:space="preserve">wo treatments </w:t>
      </w:r>
      <w:r w:rsidR="00A211B3">
        <w:t>w</w:t>
      </w:r>
      <w:r w:rsidR="008C67D1">
        <w:t>ere</w:t>
      </w:r>
      <w:r w:rsidR="00A211B3">
        <w:t xml:space="preserve"> analyzed in this study: a DC process, </w:t>
      </w:r>
      <w:r w:rsidR="00225806">
        <w:t>further on referred as “PEO-DC</w:t>
      </w:r>
      <w:r w:rsidR="00047BB0">
        <w:t>”,</w:t>
      </w:r>
      <w:r>
        <w:t xml:space="preserve"> </w:t>
      </w:r>
      <w:r w:rsidR="00225806">
        <w:t xml:space="preserve">and a pulsed </w:t>
      </w:r>
      <w:r w:rsidR="00527C85">
        <w:t>signal with</w:t>
      </w:r>
      <w:r w:rsidR="00F04B22">
        <w:t xml:space="preserve"> </w:t>
      </w:r>
      <w:r w:rsidR="00307B57">
        <w:t>a</w:t>
      </w:r>
      <w:r w:rsidR="00F04B22">
        <w:t xml:space="preserve"> hybrid duty cycle</w:t>
      </w:r>
      <w:r w:rsidR="00756A19">
        <w:t>: 25A%-25C%-50R%</w:t>
      </w:r>
      <w:r w:rsidR="00327EC1">
        <w:t>-5CP</w:t>
      </w:r>
      <w:r w:rsidR="00277079">
        <w:t>%</w:t>
      </w:r>
      <w:r w:rsidR="0042276D">
        <w:t xml:space="preserve"> repeated </w:t>
      </w:r>
      <w:r w:rsidR="0052713A">
        <w:t>at 1000 Hz</w:t>
      </w:r>
      <w:r w:rsidR="00047BB0">
        <w:t xml:space="preserve"> called “PEO-H-25”</w:t>
      </w:r>
      <w:r w:rsidR="00FC7A96">
        <w:t xml:space="preserve"> where “A”</w:t>
      </w:r>
      <w:r w:rsidR="006A5106">
        <w:t xml:space="preserve"> and </w:t>
      </w:r>
      <w:r w:rsidR="006A5106" w:rsidRPr="006A5106">
        <w:t>“C”</w:t>
      </w:r>
      <w:r w:rsidR="00FC7A96">
        <w:t xml:space="preserve"> stands for anodic </w:t>
      </w:r>
      <w:r w:rsidR="006A5106">
        <w:t xml:space="preserve">and </w:t>
      </w:r>
      <w:r w:rsidR="00FC7A96">
        <w:t>cathodic</w:t>
      </w:r>
      <w:r w:rsidR="006A5106">
        <w:t xml:space="preserve"> polarization</w:t>
      </w:r>
      <w:r w:rsidR="00B50552">
        <w:t xml:space="preserve"> while</w:t>
      </w:r>
      <w:r w:rsidR="006A5106">
        <w:t xml:space="preserve"> “R” </w:t>
      </w:r>
      <w:r w:rsidR="00327EC1">
        <w:t xml:space="preserve">indicates the </w:t>
      </w:r>
      <w:r w:rsidR="00277079">
        <w:t>%</w:t>
      </w:r>
      <w:r w:rsidR="00327EC1">
        <w:t xml:space="preserve"> of</w:t>
      </w:r>
      <w:r w:rsidR="006A5106">
        <w:t xml:space="preserve"> rest time</w:t>
      </w:r>
      <w:r w:rsidR="00DA30D0">
        <w:t>, i.e. no polarization applied at all</w:t>
      </w:r>
      <w:r w:rsidR="00037559">
        <w:t>.</w:t>
      </w:r>
      <w:r w:rsidR="00327EC1">
        <w:t xml:space="preserve"> CP</w:t>
      </w:r>
      <w:r w:rsidR="00277079">
        <w:t xml:space="preserve"> indicate</w:t>
      </w:r>
      <w:r w:rsidR="00422B95">
        <w:t>s</w:t>
      </w:r>
      <w:r w:rsidR="00277079">
        <w:t xml:space="preserve"> the % of cathodic polarization applied with respect to the anodic one.</w:t>
      </w:r>
      <w:r w:rsidR="00422B95">
        <w:t xml:space="preserve"> </w:t>
      </w:r>
      <w:r w:rsidR="00527C85">
        <w:t>Both c</w:t>
      </w:r>
      <w:r w:rsidR="00422B95">
        <w:t>onversion treatments</w:t>
      </w:r>
      <w:r w:rsidR="00371B3F">
        <w:t xml:space="preserve"> were performed under potential-controlled regime considering a forming voltage of 160 V reached through a constant ramp of 0.5 V</w:t>
      </w:r>
      <w:r w:rsidR="00C87C48">
        <w:rPr>
          <w:rFonts w:cs="Times New Roman"/>
        </w:rPr>
        <w:t>·</w:t>
      </w:r>
      <w:r w:rsidR="00371B3F">
        <w:t>s</w:t>
      </w:r>
      <w:r w:rsidR="00C87C48">
        <w:rPr>
          <w:vertAlign w:val="superscript"/>
        </w:rPr>
        <w:t>-1</w:t>
      </w:r>
      <w:r w:rsidR="00371B3F">
        <w:t xml:space="preserve"> leading to a total treatment time of 320 s.</w:t>
      </w:r>
    </w:p>
    <w:p w14:paraId="22689756" w14:textId="6A125BAE" w:rsidR="00031CEA" w:rsidRDefault="007C3314" w:rsidP="00AF1CBA">
      <w:pPr>
        <w:pStyle w:val="ListParagraph"/>
        <w:numPr>
          <w:ilvl w:val="1"/>
          <w:numId w:val="7"/>
        </w:numPr>
        <w:spacing w:after="0"/>
        <w:ind w:left="357" w:hanging="357"/>
        <w:rPr>
          <w:rFonts w:cs="Times New Roman"/>
          <w:i/>
          <w:iCs/>
          <w:sz w:val="26"/>
          <w:szCs w:val="26"/>
        </w:rPr>
      </w:pPr>
      <w:r>
        <w:rPr>
          <w:rFonts w:cs="Times New Roman"/>
          <w:i/>
          <w:iCs/>
          <w:sz w:val="26"/>
          <w:szCs w:val="26"/>
        </w:rPr>
        <w:t xml:space="preserve"> </w:t>
      </w:r>
      <w:r w:rsidR="00100985" w:rsidRPr="00100985">
        <w:rPr>
          <w:rFonts w:cs="Times New Roman"/>
          <w:i/>
          <w:iCs/>
          <w:sz w:val="26"/>
          <w:szCs w:val="26"/>
        </w:rPr>
        <w:t>FIB preparation and TEM analysis</w:t>
      </w:r>
    </w:p>
    <w:p w14:paraId="3E5E4600" w14:textId="5F98BDFE" w:rsidR="00671548" w:rsidRPr="00671548" w:rsidRDefault="00493161" w:rsidP="00671548">
      <w:pPr>
        <w:rPr>
          <w:rFonts w:cs="Times New Roman"/>
          <w:sz w:val="26"/>
          <w:szCs w:val="26"/>
        </w:rPr>
      </w:pPr>
      <w:r>
        <w:rPr>
          <w:rFonts w:cs="Times New Roman"/>
          <w:sz w:val="26"/>
          <w:szCs w:val="26"/>
        </w:rPr>
        <w:t xml:space="preserve">A </w:t>
      </w:r>
      <w:r w:rsidR="00121A17" w:rsidRPr="00121A17">
        <w:rPr>
          <w:rFonts w:cs="Times New Roman"/>
          <w:sz w:val="26"/>
          <w:szCs w:val="26"/>
        </w:rPr>
        <w:t>Focused Ion Beam (FIB)</w:t>
      </w:r>
      <w:r>
        <w:rPr>
          <w:rFonts w:cs="Times New Roman"/>
          <w:sz w:val="26"/>
          <w:szCs w:val="26"/>
        </w:rPr>
        <w:t>/Scanning Electron Microscope (SEM)</w:t>
      </w:r>
      <w:r w:rsidR="00121A17" w:rsidRPr="00121A17">
        <w:rPr>
          <w:rFonts w:cs="Times New Roman"/>
          <w:sz w:val="26"/>
          <w:szCs w:val="26"/>
        </w:rPr>
        <w:t xml:space="preserve"> Zeiss NVision 40 was used to mill and extract an electron transparent sample</w:t>
      </w:r>
      <w:r w:rsidR="00C04CFB">
        <w:rPr>
          <w:rFonts w:cs="Times New Roman"/>
          <w:sz w:val="26"/>
          <w:szCs w:val="26"/>
        </w:rPr>
        <w:t xml:space="preserve">, from </w:t>
      </w:r>
      <w:r w:rsidR="001377F5">
        <w:rPr>
          <w:rFonts w:cs="Times New Roman"/>
          <w:sz w:val="26"/>
          <w:szCs w:val="26"/>
        </w:rPr>
        <w:t>PEO oxides</w:t>
      </w:r>
      <w:r w:rsidR="00121A17" w:rsidRPr="00121A17">
        <w:rPr>
          <w:rFonts w:cs="Times New Roman"/>
          <w:sz w:val="26"/>
          <w:szCs w:val="26"/>
        </w:rPr>
        <w:t xml:space="preserve"> (</w:t>
      </w:r>
      <w:r w:rsidR="00121A17" w:rsidRPr="00121A17">
        <w:rPr>
          <w:rFonts w:ascii="Cambria Math" w:hAnsi="Cambria Math" w:cs="Cambria Math"/>
          <w:sz w:val="26"/>
          <w:szCs w:val="26"/>
        </w:rPr>
        <w:t>∼</w:t>
      </w:r>
      <w:r w:rsidR="00286B22">
        <w:rPr>
          <w:rFonts w:ascii="Cambria Math" w:hAnsi="Cambria Math" w:cs="Cambria Math"/>
          <w:sz w:val="26"/>
          <w:szCs w:val="26"/>
        </w:rPr>
        <w:t xml:space="preserve"> </w:t>
      </w:r>
      <w:r w:rsidR="00121A17" w:rsidRPr="00121A17">
        <w:rPr>
          <w:rFonts w:cs="Times New Roman"/>
          <w:sz w:val="26"/>
          <w:szCs w:val="26"/>
        </w:rPr>
        <w:t>100 nm thickness)</w:t>
      </w:r>
      <w:r w:rsidR="001377F5">
        <w:rPr>
          <w:rFonts w:cs="Times New Roman"/>
          <w:sz w:val="26"/>
          <w:szCs w:val="26"/>
        </w:rPr>
        <w:t>,</w:t>
      </w:r>
      <w:r w:rsidR="00121A17" w:rsidRPr="00121A17">
        <w:rPr>
          <w:rFonts w:cs="Times New Roman"/>
          <w:sz w:val="26"/>
          <w:szCs w:val="26"/>
        </w:rPr>
        <w:t xml:space="preserve"> for </w:t>
      </w:r>
      <w:r w:rsidR="008B28A6">
        <w:rPr>
          <w:rFonts w:cs="Times New Roman"/>
          <w:sz w:val="26"/>
          <w:szCs w:val="26"/>
        </w:rPr>
        <w:t>transmission electron microscopy (TEM)</w:t>
      </w:r>
      <w:r w:rsidR="008B28A6" w:rsidRPr="00121A17">
        <w:rPr>
          <w:rFonts w:cs="Times New Roman"/>
          <w:sz w:val="26"/>
          <w:szCs w:val="26"/>
        </w:rPr>
        <w:t xml:space="preserve"> </w:t>
      </w:r>
      <w:r w:rsidR="00121A17" w:rsidRPr="00121A17">
        <w:rPr>
          <w:rFonts w:cs="Times New Roman"/>
          <w:sz w:val="26"/>
          <w:szCs w:val="26"/>
        </w:rPr>
        <w:t>analysis. Given the sample preparation with a protective top layer on the coating, with final thinning at low energies carried out</w:t>
      </w:r>
      <w:r w:rsidR="006C5321">
        <w:rPr>
          <w:rFonts w:cs="Times New Roman"/>
          <w:sz w:val="26"/>
          <w:szCs w:val="26"/>
        </w:rPr>
        <w:t>,</w:t>
      </w:r>
      <w:r w:rsidR="00121A17" w:rsidRPr="00121A17">
        <w:rPr>
          <w:rFonts w:cs="Times New Roman"/>
          <w:sz w:val="26"/>
          <w:szCs w:val="26"/>
        </w:rPr>
        <w:t xml:space="preserve"> we expect the damage, induced by FIB operations, to be minimal to few nm and uniform across the section. As a consequence, gradients through the thickness of the coating as seen with EELS are not expected. The sample was positioned onto a supporting grid and attached via electron beam deposition of a precursor gas, then stored into a double membrane layer. The phase distribution was investigated with EELS using a FEI Titan 80–300 </w:t>
      </w:r>
      <w:r w:rsidR="008B28A6">
        <w:rPr>
          <w:rFonts w:cs="Times New Roman"/>
          <w:sz w:val="26"/>
          <w:szCs w:val="26"/>
        </w:rPr>
        <w:t>TEM</w:t>
      </w:r>
      <w:r w:rsidR="00121A17" w:rsidRPr="00121A17">
        <w:rPr>
          <w:rFonts w:cs="Times New Roman"/>
          <w:sz w:val="26"/>
          <w:szCs w:val="26"/>
        </w:rPr>
        <w:t xml:space="preserve">, operated at 300 keV with a field emission electron source equipped with an electron monochromator, allowing to improve the energy resolution down to around 0.11 eV. EELS spectra were extracted </w:t>
      </w:r>
      <w:r w:rsidR="00C54490">
        <w:rPr>
          <w:rFonts w:cs="Times New Roman"/>
          <w:sz w:val="26"/>
          <w:szCs w:val="26"/>
        </w:rPr>
        <w:t>using</w:t>
      </w:r>
      <w:r w:rsidR="00121A17" w:rsidRPr="00121A17">
        <w:rPr>
          <w:rFonts w:cs="Times New Roman"/>
          <w:sz w:val="26"/>
          <w:szCs w:val="26"/>
        </w:rPr>
        <w:t xml:space="preserve"> a home-made script</w:t>
      </w:r>
      <w:r w:rsidR="00DB4CB0">
        <w:rPr>
          <w:rFonts w:cs="Times New Roman"/>
          <w:sz w:val="26"/>
          <w:szCs w:val="26"/>
        </w:rPr>
        <w:t xml:space="preserve"> </w:t>
      </w:r>
      <w:r w:rsidR="00121A17" w:rsidRPr="00121A17">
        <w:rPr>
          <w:rFonts w:cs="Times New Roman"/>
          <w:sz w:val="26"/>
          <w:szCs w:val="26"/>
        </w:rPr>
        <w:t>developed in Python environment, with the help of Hyperspy, an open source data processing software ​</w:t>
      </w:r>
      <w:r w:rsidR="001C146E">
        <w:rPr>
          <w:rFonts w:cs="Times New Roman"/>
          <w:sz w:val="26"/>
          <w:szCs w:val="26"/>
        </w:rPr>
        <w:fldChar w:fldCharType="begin" w:fldLock="1"/>
      </w:r>
      <w:r w:rsidR="00F36CB3">
        <w:rPr>
          <w:rFonts w:cs="Times New Roman"/>
          <w:sz w:val="26"/>
          <w:szCs w:val="26"/>
        </w:rPr>
        <w:instrText>ADDIN CSL_CITATION {"citationItems":[{"id":"ITEM-1","itemData":{"DOI":"10.5281/ZENODO.4683076","author":[{"dropping-particle":"la","family":"Peña","given":"Francisco de","non-dropping-particle":"","parse-names":false,"suffix":""},{"dropping-particle":"","family":"Prestat","given":"Eric","non-dropping-particle":"","parse-names":false,"suffix":""},{"dropping-particle":"","family":"Fauske","given":"Vidar Tonaas","non-dropping-particle":"","parse-names":false,"suffix":""}],"id":"ITEM-1","issued":{"date-parts":[["2021","4","13"]]},"title":"hyperspy/hyperspy: Release v1.6.2","type":"article-journal"},"uris":["http://www.mendeley.com/documents/?uuid=11f1742b-136b-3bc7-88d4-59fab5c101a5"]}],"mendeley":{"formattedCitation":"[29]","plainTextFormattedCitation":"[29]","previouslyFormattedCitation":"[29]"},"properties":{"noteIndex":0},"schema":"https://github.com/citation-style-language/schema/raw/master/csl-citation.json"}</w:instrText>
      </w:r>
      <w:r w:rsidR="001C146E">
        <w:rPr>
          <w:rFonts w:cs="Times New Roman"/>
          <w:sz w:val="26"/>
          <w:szCs w:val="26"/>
        </w:rPr>
        <w:fldChar w:fldCharType="separate"/>
      </w:r>
      <w:r w:rsidR="000D478A" w:rsidRPr="000D478A">
        <w:rPr>
          <w:rFonts w:cs="Times New Roman"/>
          <w:noProof/>
          <w:sz w:val="26"/>
          <w:szCs w:val="26"/>
        </w:rPr>
        <w:t>[29]</w:t>
      </w:r>
      <w:r w:rsidR="001C146E">
        <w:rPr>
          <w:rFonts w:cs="Times New Roman"/>
          <w:sz w:val="26"/>
          <w:szCs w:val="26"/>
        </w:rPr>
        <w:fldChar w:fldCharType="end"/>
      </w:r>
      <w:r w:rsidR="00121A17" w:rsidRPr="00121A17">
        <w:rPr>
          <w:rFonts w:cs="Times New Roman"/>
          <w:sz w:val="26"/>
          <w:szCs w:val="26"/>
        </w:rPr>
        <w:t>. According to a rigorous investigation of the titanium oxide related EELS spectra, comparing</w:t>
      </w:r>
      <w:r w:rsidR="003E3E21">
        <w:rPr>
          <w:rFonts w:cs="Times New Roman"/>
          <w:sz w:val="26"/>
          <w:szCs w:val="26"/>
        </w:rPr>
        <w:t xml:space="preserve"> </w:t>
      </w:r>
      <w:r w:rsidR="003E3E21">
        <w:rPr>
          <w:rFonts w:cs="Times New Roman"/>
          <w:sz w:val="26"/>
          <w:szCs w:val="26"/>
        </w:rPr>
        <w:lastRenderedPageBreak/>
        <w:t>them with</w:t>
      </w:r>
      <w:r w:rsidR="00121A17" w:rsidRPr="00121A17">
        <w:rPr>
          <w:rFonts w:cs="Times New Roman"/>
          <w:sz w:val="26"/>
          <w:szCs w:val="26"/>
        </w:rPr>
        <w:t xml:space="preserve"> reference data </w:t>
      </w:r>
      <w:r w:rsidR="003E3E21">
        <w:rPr>
          <w:rFonts w:cs="Times New Roman"/>
          <w:sz w:val="26"/>
          <w:szCs w:val="26"/>
        </w:rPr>
        <w:t>presence in</w:t>
      </w:r>
      <w:r w:rsidR="00121A17" w:rsidRPr="00121A17">
        <w:rPr>
          <w:rFonts w:cs="Times New Roman"/>
          <w:sz w:val="26"/>
          <w:szCs w:val="26"/>
        </w:rPr>
        <w:t xml:space="preserve"> literature, a component map (each component identified with a color code) based on automatic structural discrimination was obtained for all the coatings. Details about the script and its operation principles </w:t>
      </w:r>
      <w:r w:rsidR="00DA3A2D">
        <w:rPr>
          <w:rFonts w:cs="Times New Roman"/>
          <w:sz w:val="26"/>
          <w:szCs w:val="26"/>
        </w:rPr>
        <w:t xml:space="preserve">can be found elsewhere </w:t>
      </w:r>
      <w:r w:rsidR="002568BF">
        <w:rPr>
          <w:rFonts w:cs="Times New Roman"/>
          <w:sz w:val="26"/>
          <w:szCs w:val="26"/>
        </w:rPr>
        <w:fldChar w:fldCharType="begin" w:fldLock="1"/>
      </w:r>
      <w:r w:rsidR="00F36CB3">
        <w:rPr>
          <w:rFonts w:cs="Times New Roman"/>
          <w:sz w:val="26"/>
          <w:szCs w:val="26"/>
        </w:rPr>
        <w:instrText>ADDIN CSL_CITATION {"citationItems":[{"id":"ITEM-1","itemData":{"DOI":"10.1016/j.apsusc.2021.151133","ISSN":"01694332","author":[{"dropping-particle":"","family":"Casanova","given":"Luca","non-dropping-particle":"","parse-names":false,"suffix":""},{"dropping-particle":"","family":"Arosio","given":"Mattia","non-dropping-particle":"","parse-names":false,"suffix":""},{"dropping-particle":"","family":"Taghi Hashemi","given":"Mohammad","non-dropping-particle":"","parse-names":false,"suffix":""},{"dropping-particle":"","family":"Pedeferri","given":"MariaPia","non-dropping-particle":"","parse-names":false,"suffix":""},{"dropping-particle":"","family":"Botton","given":"Gianluigi A.","non-dropping-particle":"","parse-names":false,"suffix":""},{"dropping-particle":"","family":"Ormellese","given":"Marco","non-dropping-particle":"","parse-names":false,"suffix":""}],"container-title":"Applied Surface Science","id":"ITEM-1","issue":"July","issued":{"date-parts":[["2021"]]},"page":"151133","publisher":"Elsevier B.V.","title":"A nanoscale investigation on the influence of anodization parameters during plasma electrolytic oxidation of titanium by high-resolution electron energy loss spectroscopy","type":"article-journal","volume":"570"},"uris":["http://www.mendeley.com/documents/?uuid=2beabf61-15b9-4553-893d-807e82e26cf3"]}],"mendeley":{"formattedCitation":"[30]","plainTextFormattedCitation":"[30]","previouslyFormattedCitation":"[30]"},"properties":{"noteIndex":0},"schema":"https://github.com/citation-style-language/schema/raw/master/csl-citation.json"}</w:instrText>
      </w:r>
      <w:r w:rsidR="002568BF">
        <w:rPr>
          <w:rFonts w:cs="Times New Roman"/>
          <w:sz w:val="26"/>
          <w:szCs w:val="26"/>
        </w:rPr>
        <w:fldChar w:fldCharType="separate"/>
      </w:r>
      <w:r w:rsidR="000D478A" w:rsidRPr="000D478A">
        <w:rPr>
          <w:rFonts w:cs="Times New Roman"/>
          <w:noProof/>
          <w:sz w:val="26"/>
          <w:szCs w:val="26"/>
        </w:rPr>
        <w:t>[30]</w:t>
      </w:r>
      <w:r w:rsidR="002568BF">
        <w:rPr>
          <w:rFonts w:cs="Times New Roman"/>
          <w:sz w:val="26"/>
          <w:szCs w:val="26"/>
        </w:rPr>
        <w:fldChar w:fldCharType="end"/>
      </w:r>
      <w:r w:rsidR="00DA3A2D">
        <w:rPr>
          <w:rFonts w:cs="Times New Roman"/>
          <w:sz w:val="26"/>
          <w:szCs w:val="26"/>
        </w:rPr>
        <w:t>.</w:t>
      </w:r>
    </w:p>
    <w:p w14:paraId="7F2C434E" w14:textId="7C0FF856" w:rsidR="003568DA" w:rsidRPr="003568DA" w:rsidRDefault="00100985" w:rsidP="00AF1CBA">
      <w:pPr>
        <w:pStyle w:val="Heading2"/>
      </w:pPr>
      <w:r>
        <w:t>2.</w:t>
      </w:r>
      <w:r w:rsidR="007C3314">
        <w:t>3</w:t>
      </w:r>
      <w:r>
        <w:t xml:space="preserve"> </w:t>
      </w:r>
      <w:r w:rsidR="00BC7998">
        <w:t>Electrochemical tests</w:t>
      </w:r>
    </w:p>
    <w:p w14:paraId="55EF0881" w14:textId="0CEC3057" w:rsidR="00530597" w:rsidRPr="007811B9" w:rsidRDefault="00530597" w:rsidP="00AF1CBA">
      <w:pPr>
        <w:rPr>
          <w:rFonts w:eastAsia="Calibri" w:cs="Times New Roman"/>
        </w:rPr>
      </w:pPr>
      <w:r w:rsidRPr="00D930E1">
        <w:rPr>
          <w:rFonts w:eastAsia="Calibri" w:cs="Times New Roman"/>
        </w:rPr>
        <w:t xml:space="preserve">All the electrochemical tests were performed using a Metrohm Autolab PGSTAT equipped with a FRA32M module for EIS using a standard 3 electrode cell (ASTM G5 </w:t>
      </w:r>
      <w:r w:rsidRPr="00D930E1">
        <w:rPr>
          <w:rFonts w:eastAsia="Calibri" w:cs="Times New Roman"/>
          <w:vertAlign w:val="superscript"/>
        </w:rPr>
        <w:fldChar w:fldCharType="begin" w:fldLock="1"/>
      </w:r>
      <w:r w:rsidR="00F36CB3">
        <w:rPr>
          <w:rFonts w:eastAsia="Calibri" w:cs="Times New Roman"/>
          <w:vertAlign w:val="superscript"/>
        </w:rPr>
        <w:instrText>ADDIN CSL_CITATION {"citationItems":[{"id":"ITEM-1","itemData":{"DOI":"10.1520/G0005-13E02.2","abstract":"1 This standard is issued under the fixed designation G 5; the number immediately following the designation indicates the year of original adoption or, in the case of revision, the year of last revision. A number in parentheses indicates the year of last reapproval. A superscript epsilon (e) indicates an editorial change since the last revision or reapproval. 1. Scope 1.1 This test method describes an experimental procedure which can be used to check one's experimental technique and instrumentation. If followed, this test method will provide repeatable potentiostatic and potentiodynamic anodic polar-ization measurements that will reproduce data determined by others at other times and in other laboratories. 1.2 Values stated in SI units are to be regarded as the standard. Inch-pound units given in parentheses are for information only. 1.3 This standard may involve hazardous materials, oper-ations, and equipment. This standard does not purport to address all of the safety problems associated with its use. It is the responsibility of the user of this standard to establish appropriate safety and health practices and determine the applicability of regulatory limitations prior to use.","container-title":"Annual Book of ASTM Standards","id":"ITEM-1","issued":{"date-parts":[["2014"]]},"title":"ASTM G5 Standard Reference Test Method for Making Potentiodynamic Anodic Polarization Measurements","type":"article-journal"},"uris":["http://www.mendeley.com/documents/?uuid=19884c41-ae88-4ea8-8483-488985bfab09"]}],"mendeley":{"formattedCitation":"[31]","plainTextFormattedCitation":"[31]","previouslyFormattedCitation":"[31]"},"properties":{"noteIndex":0},"schema":"https://github.com/citation-style-language/schema/raw/master/csl-citation.json"}</w:instrText>
      </w:r>
      <w:r w:rsidRPr="00D930E1">
        <w:rPr>
          <w:rFonts w:eastAsia="Calibri" w:cs="Times New Roman"/>
          <w:vertAlign w:val="superscript"/>
        </w:rPr>
        <w:fldChar w:fldCharType="separate"/>
      </w:r>
      <w:r w:rsidR="000D478A" w:rsidRPr="000D478A">
        <w:rPr>
          <w:rFonts w:eastAsia="Calibri" w:cs="Times New Roman"/>
          <w:noProof/>
        </w:rPr>
        <w:t>[31]</w:t>
      </w:r>
      <w:r w:rsidRPr="00D930E1">
        <w:rPr>
          <w:rFonts w:eastAsia="Calibri" w:cs="Times New Roman"/>
        </w:rPr>
        <w:fldChar w:fldCharType="end"/>
      </w:r>
      <w:r w:rsidRPr="00D930E1">
        <w:rPr>
          <w:rFonts w:eastAsia="Calibri" w:cs="Times New Roman"/>
        </w:rPr>
        <w:t>) with a</w:t>
      </w:r>
      <w:r w:rsidR="00B6561E">
        <w:rPr>
          <w:rFonts w:eastAsia="Calibri" w:cs="Times New Roman"/>
        </w:rPr>
        <w:t xml:space="preserve"> KCl saturated</w:t>
      </w:r>
      <w:r w:rsidRPr="00D930E1">
        <w:rPr>
          <w:rFonts w:eastAsia="Calibri" w:cs="Times New Roman"/>
        </w:rPr>
        <w:t xml:space="preserve"> silver/silver chloride (SSC</w:t>
      </w:r>
      <w:r w:rsidR="00597077">
        <w:rPr>
          <w:rFonts w:eastAsia="Calibri" w:cs="Times New Roman"/>
          <w:vertAlign w:val="subscript"/>
        </w:rPr>
        <w:t>sat.</w:t>
      </w:r>
      <w:r w:rsidRPr="00D930E1">
        <w:rPr>
          <w:rFonts w:eastAsia="Calibri" w:cs="Times New Roman"/>
        </w:rPr>
        <w:t xml:space="preserve">) reference electrode and an Amel Pt counter electrode. All the tests were repeated three times in 1 </w:t>
      </w:r>
      <w:r w:rsidR="00160273">
        <w:rPr>
          <w:rFonts w:eastAsia="Calibri" w:cs="Times New Roman"/>
        </w:rPr>
        <w:t>L</w:t>
      </w:r>
      <w:r w:rsidRPr="00D930E1">
        <w:rPr>
          <w:rFonts w:eastAsia="Calibri" w:cs="Times New Roman"/>
        </w:rPr>
        <w:t xml:space="preserve"> solution. EIS and E</w:t>
      </w:r>
      <w:r w:rsidRPr="00D930E1">
        <w:rPr>
          <w:rFonts w:eastAsia="Calibri" w:cs="Times New Roman"/>
          <w:vertAlign w:val="subscript"/>
        </w:rPr>
        <w:t>corr</w:t>
      </w:r>
      <w:r w:rsidRPr="00D930E1">
        <w:rPr>
          <w:rFonts w:eastAsia="Calibri" w:cs="Times New Roman"/>
        </w:rPr>
        <w:t xml:space="preserve"> evolution upon immersion were studied in a solution of 10 %v/v H</w:t>
      </w:r>
      <w:r w:rsidRPr="00D930E1">
        <w:rPr>
          <w:rFonts w:eastAsia="Calibri" w:cs="Times New Roman"/>
          <w:vertAlign w:val="subscript"/>
        </w:rPr>
        <w:t>2</w:t>
      </w:r>
      <w:r w:rsidRPr="00D930E1">
        <w:rPr>
          <w:rFonts w:eastAsia="Calibri" w:cs="Times New Roman"/>
        </w:rPr>
        <w:t>SO</w:t>
      </w:r>
      <w:r w:rsidRPr="00D930E1">
        <w:rPr>
          <w:rFonts w:eastAsia="Calibri" w:cs="Times New Roman"/>
          <w:vertAlign w:val="subscript"/>
        </w:rPr>
        <w:t>4</w:t>
      </w:r>
      <w:r w:rsidRPr="00D930E1">
        <w:rPr>
          <w:rFonts w:eastAsia="Calibri" w:cs="Times New Roman"/>
        </w:rPr>
        <w:t xml:space="preserve"> </w:t>
      </w:r>
      <w:r w:rsidR="005753C6">
        <w:rPr>
          <w:rFonts w:eastAsia="Calibri" w:cs="Times New Roman"/>
        </w:rPr>
        <w:t xml:space="preserve">with </w:t>
      </w:r>
      <w:r w:rsidR="00F95734" w:rsidRPr="00F95734">
        <w:rPr>
          <w:rFonts w:eastAsia="Calibri" w:cs="Times New Roman"/>
        </w:rPr>
        <w:t>temperature</w:t>
      </w:r>
      <w:r w:rsidR="005753C6">
        <w:rPr>
          <w:rFonts w:eastAsia="Calibri" w:cs="Times New Roman"/>
        </w:rPr>
        <w:t xml:space="preserve"> </w:t>
      </w:r>
      <w:r w:rsidR="00F95734" w:rsidRPr="00F95734">
        <w:rPr>
          <w:rFonts w:eastAsia="Calibri" w:cs="Times New Roman"/>
        </w:rPr>
        <w:t xml:space="preserve">set to </w:t>
      </w:r>
      <w:r w:rsidR="005753C6" w:rsidRPr="005753C6">
        <w:rPr>
          <w:rFonts w:eastAsia="Calibri" w:cs="Times New Roman"/>
        </w:rPr>
        <w:t>60 °C</w:t>
      </w:r>
      <w:r w:rsidR="00F95734" w:rsidRPr="00F95734">
        <w:rPr>
          <w:rFonts w:eastAsia="Calibri" w:cs="Times New Roman"/>
        </w:rPr>
        <w:t xml:space="preserve"> using a Velp Scientifica Arex with VTF digital thermoregulator system</w:t>
      </w:r>
      <w:r w:rsidRPr="00D930E1">
        <w:rPr>
          <w:rFonts w:eastAsia="Calibri" w:cs="Times New Roman"/>
        </w:rPr>
        <w:t>. The impedance was evaluated</w:t>
      </w:r>
      <w:r w:rsidR="0011040B">
        <w:rPr>
          <w:rFonts w:eastAsia="Calibri" w:cs="Times New Roman"/>
        </w:rPr>
        <w:t xml:space="preserve"> cyclically</w:t>
      </w:r>
      <w:r w:rsidRPr="00D930E1">
        <w:rPr>
          <w:rFonts w:eastAsia="Calibri" w:cs="Times New Roman"/>
        </w:rPr>
        <w:t xml:space="preserve"> at E</w:t>
      </w:r>
      <w:r w:rsidRPr="00D930E1">
        <w:rPr>
          <w:rFonts w:eastAsia="Calibri" w:cs="Times New Roman"/>
          <w:vertAlign w:val="subscript"/>
        </w:rPr>
        <w:t>corr</w:t>
      </w:r>
      <w:r w:rsidRPr="00D930E1">
        <w:rPr>
          <w:rFonts w:eastAsia="Calibri" w:cs="Times New Roman"/>
        </w:rPr>
        <w:t>, after 30 min of stabilization</w:t>
      </w:r>
      <w:r w:rsidR="0011040B">
        <w:rPr>
          <w:rFonts w:eastAsia="Calibri" w:cs="Times New Roman"/>
        </w:rPr>
        <w:t xml:space="preserve">, until </w:t>
      </w:r>
      <w:r w:rsidR="00EF46A6">
        <w:rPr>
          <w:rFonts w:eastAsia="Calibri" w:cs="Times New Roman"/>
        </w:rPr>
        <w:t>complete electrode activation</w:t>
      </w:r>
      <w:r w:rsidR="001A411E">
        <w:rPr>
          <w:rFonts w:eastAsia="Calibri" w:cs="Times New Roman"/>
        </w:rPr>
        <w:t xml:space="preserve"> in a frequency window</w:t>
      </w:r>
      <w:r w:rsidRPr="00D930E1">
        <w:rPr>
          <w:rFonts w:eastAsia="Calibri" w:cs="Times New Roman"/>
        </w:rPr>
        <w:t xml:space="preserve"> between 10</w:t>
      </w:r>
      <w:r w:rsidR="004C7121">
        <w:rPr>
          <w:rFonts w:eastAsia="Calibri" w:cs="Times New Roman"/>
          <w:vertAlign w:val="superscript"/>
        </w:rPr>
        <w:t>-2</w:t>
      </w:r>
      <w:r w:rsidR="004C7121">
        <w:rPr>
          <w:rFonts w:eastAsia="Calibri" w:cs="Times New Roman"/>
        </w:rPr>
        <w:t xml:space="preserve"> to 10</w:t>
      </w:r>
      <w:r w:rsidR="004C7121">
        <w:rPr>
          <w:rFonts w:eastAsia="Calibri" w:cs="Times New Roman"/>
          <w:vertAlign w:val="superscript"/>
        </w:rPr>
        <w:t>5</w:t>
      </w:r>
      <w:r w:rsidR="004C7121">
        <w:rPr>
          <w:rFonts w:eastAsia="Calibri" w:cs="Times New Roman"/>
        </w:rPr>
        <w:t xml:space="preserve"> Hz </w:t>
      </w:r>
      <w:r w:rsidRPr="00D930E1">
        <w:rPr>
          <w:rFonts w:eastAsia="Calibri" w:cs="Times New Roman"/>
        </w:rPr>
        <w:t>collecting 10 points per decade with a voltage amplitude, of the sinusoidal perturbation, of 10 mV</w:t>
      </w:r>
      <w:r w:rsidRPr="00D930E1">
        <w:rPr>
          <w:rFonts w:eastAsia="Calibri" w:cs="Times New Roman"/>
          <w:vertAlign w:val="subscript"/>
        </w:rPr>
        <w:t>rms</w:t>
      </w:r>
      <w:r w:rsidRPr="00D930E1">
        <w:rPr>
          <w:rFonts w:eastAsia="Calibri" w:cs="Times New Roman"/>
        </w:rPr>
        <w:t>.</w:t>
      </w:r>
      <w:r w:rsidR="004C7121">
        <w:rPr>
          <w:rFonts w:eastAsia="Calibri" w:cs="Times New Roman"/>
        </w:rPr>
        <w:t xml:space="preserve"> </w:t>
      </w:r>
      <w:r w:rsidR="00C54490">
        <w:rPr>
          <w:rFonts w:eastAsia="Calibri" w:cs="Times New Roman"/>
        </w:rPr>
        <w:t>A s</w:t>
      </w:r>
      <w:r w:rsidR="004C7121">
        <w:rPr>
          <w:rFonts w:eastAsia="Calibri" w:cs="Times New Roman"/>
        </w:rPr>
        <w:t xml:space="preserve">alt </w:t>
      </w:r>
      <w:r w:rsidR="007367B1">
        <w:rPr>
          <w:rFonts w:eastAsia="Calibri" w:cs="Times New Roman"/>
        </w:rPr>
        <w:t>bridge, composed by Agar-Agar and KCl</w:t>
      </w:r>
      <w:r w:rsidR="00C54490">
        <w:rPr>
          <w:rFonts w:eastAsia="Calibri" w:cs="Times New Roman"/>
        </w:rPr>
        <w:t>, was</w:t>
      </w:r>
      <w:r w:rsidR="007367B1">
        <w:rPr>
          <w:rFonts w:eastAsia="Calibri" w:cs="Times New Roman"/>
        </w:rPr>
        <w:t xml:space="preserve"> used to not expose the reference electrode directly to the aggressive solution.</w:t>
      </w:r>
      <w:r w:rsidRPr="00D930E1">
        <w:rPr>
          <w:rFonts w:eastAsia="Calibri" w:cs="Times New Roman"/>
        </w:rPr>
        <w:t xml:space="preserve"> EIS spectra</w:t>
      </w:r>
      <w:r w:rsidR="00467A31">
        <w:rPr>
          <w:rFonts w:eastAsia="Calibri" w:cs="Times New Roman"/>
        </w:rPr>
        <w:t xml:space="preserve"> were analyzed </w:t>
      </w:r>
      <w:r w:rsidR="00C54490">
        <w:rPr>
          <w:rFonts w:eastAsia="Calibri" w:cs="Times New Roman"/>
        </w:rPr>
        <w:t xml:space="preserve">using </w:t>
      </w:r>
      <w:r w:rsidR="00467A31">
        <w:rPr>
          <w:rFonts w:eastAsia="Calibri" w:cs="Times New Roman"/>
        </w:rPr>
        <w:t>to t</w:t>
      </w:r>
      <w:r w:rsidR="00467A31" w:rsidRPr="00467A31">
        <w:rPr>
          <w:rFonts w:eastAsia="Calibri" w:cs="Times New Roman"/>
        </w:rPr>
        <w:t xml:space="preserve">he </w:t>
      </w:r>
      <w:r w:rsidR="00C54490" w:rsidRPr="00467A31">
        <w:rPr>
          <w:rFonts w:eastAsia="Calibri" w:cs="Times New Roman"/>
        </w:rPr>
        <w:t>Nova 2.1</w:t>
      </w:r>
      <w:r w:rsidR="00C54490">
        <w:rPr>
          <w:rFonts w:eastAsia="Calibri" w:cs="Times New Roman"/>
        </w:rPr>
        <w:t xml:space="preserve"> </w:t>
      </w:r>
      <w:r w:rsidR="00467A31" w:rsidRPr="00467A31">
        <w:rPr>
          <w:rFonts w:eastAsia="Calibri" w:cs="Times New Roman"/>
        </w:rPr>
        <w:t>software</w:t>
      </w:r>
      <w:r w:rsidRPr="00D930E1">
        <w:rPr>
          <w:rFonts w:eastAsia="Calibri" w:cs="Times New Roman"/>
        </w:rPr>
        <w:t>.</w:t>
      </w:r>
      <w:r w:rsidR="00990E11">
        <w:rPr>
          <w:rFonts w:eastAsia="Calibri" w:cs="Times New Roman"/>
        </w:rPr>
        <w:t xml:space="preserve"> </w:t>
      </w:r>
      <w:r w:rsidR="00255C46">
        <w:rPr>
          <w:rFonts w:eastAsia="Calibri" w:cs="Times New Roman"/>
        </w:rPr>
        <w:t>P</w:t>
      </w:r>
      <w:r w:rsidR="00C56248">
        <w:rPr>
          <w:rFonts w:eastAsia="Calibri" w:cs="Times New Roman"/>
        </w:rPr>
        <w:t>otential step chronometric responses were evaluated</w:t>
      </w:r>
      <w:r w:rsidR="007811B9">
        <w:rPr>
          <w:rFonts w:eastAsia="Calibri" w:cs="Times New Roman"/>
        </w:rPr>
        <w:t>,</w:t>
      </w:r>
      <w:r w:rsidR="00C56248">
        <w:rPr>
          <w:rFonts w:eastAsia="Calibri" w:cs="Times New Roman"/>
        </w:rPr>
        <w:t xml:space="preserve"> in the above solution</w:t>
      </w:r>
      <w:r w:rsidR="007811B9">
        <w:rPr>
          <w:rFonts w:eastAsia="Calibri" w:cs="Times New Roman"/>
        </w:rPr>
        <w:t>,</w:t>
      </w:r>
      <w:r w:rsidR="005A49E6">
        <w:rPr>
          <w:rFonts w:eastAsia="Calibri" w:cs="Times New Roman"/>
        </w:rPr>
        <w:t xml:space="preserve"> holding a polarization of -1 V</w:t>
      </w:r>
      <w:r w:rsidR="007D2D3D">
        <w:rPr>
          <w:rFonts w:eastAsia="Calibri" w:cs="Times New Roman"/>
        </w:rPr>
        <w:t>/SSC</w:t>
      </w:r>
      <w:r w:rsidR="007D2D3D">
        <w:rPr>
          <w:rFonts w:eastAsia="Calibri" w:cs="Times New Roman"/>
          <w:vertAlign w:val="subscript"/>
        </w:rPr>
        <w:t>sat.</w:t>
      </w:r>
      <w:r w:rsidR="005A49E6">
        <w:rPr>
          <w:rFonts w:eastAsia="Calibri" w:cs="Times New Roman"/>
        </w:rPr>
        <w:t xml:space="preserve"> </w:t>
      </w:r>
      <w:r w:rsidR="007811B9">
        <w:rPr>
          <w:rFonts w:eastAsia="Calibri" w:cs="Times New Roman"/>
        </w:rPr>
        <w:t xml:space="preserve">for different times: </w:t>
      </w:r>
      <w:r w:rsidR="007D2D3D">
        <w:rPr>
          <w:rFonts w:eastAsia="Calibri" w:cs="Times New Roman"/>
        </w:rPr>
        <w:t>30</w:t>
      </w:r>
      <w:r w:rsidR="007811B9">
        <w:rPr>
          <w:rFonts w:eastAsia="Calibri" w:cs="Times New Roman"/>
        </w:rPr>
        <w:t xml:space="preserve">, </w:t>
      </w:r>
      <w:r w:rsidR="007D2D3D">
        <w:rPr>
          <w:rFonts w:eastAsia="Calibri" w:cs="Times New Roman"/>
        </w:rPr>
        <w:t>45</w:t>
      </w:r>
      <w:r w:rsidR="007811B9">
        <w:rPr>
          <w:rFonts w:eastAsia="Calibri" w:cs="Times New Roman"/>
        </w:rPr>
        <w:t xml:space="preserve"> and </w:t>
      </w:r>
      <w:r w:rsidR="007D2D3D">
        <w:rPr>
          <w:rFonts w:eastAsia="Calibri" w:cs="Times New Roman"/>
        </w:rPr>
        <w:t>90</w:t>
      </w:r>
      <w:r w:rsidR="007811B9">
        <w:rPr>
          <w:rFonts w:eastAsia="Calibri" w:cs="Times New Roman"/>
        </w:rPr>
        <w:t xml:space="preserve"> s respectively</w:t>
      </w:r>
      <w:r w:rsidR="007E29AE">
        <w:rPr>
          <w:rFonts w:eastAsia="Calibri" w:cs="Times New Roman"/>
        </w:rPr>
        <w:t xml:space="preserve"> monitoring the resulting current transient.</w:t>
      </w:r>
    </w:p>
    <w:p w14:paraId="4E260FCF" w14:textId="05E495A6" w:rsidR="00530597" w:rsidRPr="000313D9" w:rsidRDefault="000313D9" w:rsidP="00AF1CBA">
      <w:pPr>
        <w:pStyle w:val="Heading1"/>
        <w:numPr>
          <w:ilvl w:val="0"/>
          <w:numId w:val="0"/>
        </w:numPr>
        <w:spacing w:after="0"/>
        <w:rPr>
          <w:rFonts w:eastAsia="Times New Roman"/>
          <w:b w:val="0"/>
          <w:bCs/>
          <w:i/>
          <w:iCs/>
          <w:sz w:val="26"/>
          <w:szCs w:val="26"/>
        </w:rPr>
      </w:pPr>
      <w:r w:rsidRPr="000313D9">
        <w:rPr>
          <w:rFonts w:eastAsia="Times New Roman"/>
          <w:b w:val="0"/>
          <w:bCs/>
          <w:i/>
          <w:iCs/>
          <w:sz w:val="26"/>
          <w:szCs w:val="26"/>
        </w:rPr>
        <w:t>2.</w:t>
      </w:r>
      <w:r w:rsidR="007C3314">
        <w:rPr>
          <w:rFonts w:eastAsia="Times New Roman"/>
          <w:b w:val="0"/>
          <w:bCs/>
          <w:i/>
          <w:iCs/>
          <w:sz w:val="26"/>
          <w:szCs w:val="26"/>
        </w:rPr>
        <w:t>4</w:t>
      </w:r>
      <w:r w:rsidRPr="000313D9">
        <w:rPr>
          <w:rFonts w:eastAsia="Times New Roman"/>
          <w:b w:val="0"/>
          <w:bCs/>
          <w:i/>
          <w:iCs/>
          <w:sz w:val="26"/>
          <w:szCs w:val="26"/>
        </w:rPr>
        <w:t xml:space="preserve"> </w:t>
      </w:r>
      <w:r w:rsidR="00530597" w:rsidRPr="000313D9">
        <w:rPr>
          <w:rFonts w:eastAsia="Times New Roman"/>
          <w:b w:val="0"/>
          <w:bCs/>
          <w:i/>
          <w:iCs/>
          <w:sz w:val="26"/>
          <w:szCs w:val="26"/>
        </w:rPr>
        <w:t>Weight-loss tests</w:t>
      </w:r>
    </w:p>
    <w:p w14:paraId="253954F6" w14:textId="2D888103" w:rsidR="00530597" w:rsidRPr="00D930E1" w:rsidRDefault="00530597" w:rsidP="00AF1CBA">
      <w:pPr>
        <w:rPr>
          <w:rFonts w:eastAsia="Calibri" w:cs="Times New Roman"/>
        </w:rPr>
      </w:pPr>
      <w:r w:rsidRPr="00D930E1">
        <w:rPr>
          <w:rFonts w:eastAsia="Calibri" w:cs="Times New Roman"/>
        </w:rPr>
        <w:t xml:space="preserve">According to standard ASTM G-31 </w:t>
      </w:r>
      <w:r w:rsidRPr="00D930E1">
        <w:rPr>
          <w:rFonts w:eastAsia="Calibri" w:cs="Times New Roman"/>
          <w:vertAlign w:val="superscript"/>
        </w:rPr>
        <w:fldChar w:fldCharType="begin" w:fldLock="1"/>
      </w:r>
      <w:r w:rsidR="00F36CB3">
        <w:rPr>
          <w:rFonts w:eastAsia="Calibri" w:cs="Times New Roman"/>
          <w:vertAlign w:val="superscript"/>
        </w:rPr>
        <w:instrText>ADDIN CSL_CITATION {"citationItems":[{"id":"ITEM-1","itemData":{"DOI":"10.1520/G0031-72R04.2","abstract":"Standard Test Methods for Tension Testing of Metallic Materials 1","container-title":"Annual Book of ASTM Standards","id":"ITEM-1","issue":"Reapproved 2004","issued":{"date-parts":[["2012"]]},"page":"1-8","title":"ASTM Standards: G31-72","type":"article-journal","volume":"72"},"uris":["http://www.mendeley.com/documents/?uuid=c5d98edc-3b38-44ba-8547-56861d2a6167"]}],"mendeley":{"formattedCitation":"[32]","plainTextFormattedCitation":"[32]","previouslyFormattedCitation":"[32]"},"properties":{"noteIndex":0},"schema":"https://github.com/citation-style-language/schema/raw/master/csl-citation.json"}</w:instrText>
      </w:r>
      <w:r w:rsidRPr="00D930E1">
        <w:rPr>
          <w:rFonts w:eastAsia="Calibri" w:cs="Times New Roman"/>
          <w:vertAlign w:val="superscript"/>
        </w:rPr>
        <w:fldChar w:fldCharType="separate"/>
      </w:r>
      <w:r w:rsidR="000D478A" w:rsidRPr="000D478A">
        <w:rPr>
          <w:rFonts w:eastAsia="Calibri" w:cs="Times New Roman"/>
          <w:noProof/>
        </w:rPr>
        <w:t>[32]</w:t>
      </w:r>
      <w:r w:rsidRPr="00D930E1">
        <w:rPr>
          <w:rFonts w:eastAsia="Calibri" w:cs="Times New Roman"/>
          <w:vertAlign w:val="superscript"/>
        </w:rPr>
        <w:fldChar w:fldCharType="end"/>
      </w:r>
      <w:r w:rsidRPr="00D930E1">
        <w:rPr>
          <w:rFonts w:eastAsia="Calibri" w:cs="Times New Roman"/>
        </w:rPr>
        <w:t xml:space="preserve">, </w:t>
      </w:r>
      <w:r w:rsidRPr="00D930E1">
        <w:rPr>
          <w:rFonts w:eastAsia="Calibri" w:cs="Times New Roman"/>
          <w:b/>
          <w:bCs/>
        </w:rPr>
        <w:t>Eq. (</w:t>
      </w:r>
      <w:r w:rsidR="005D0206">
        <w:rPr>
          <w:rFonts w:eastAsia="Calibri" w:cs="Times New Roman"/>
          <w:b/>
          <w:bCs/>
        </w:rPr>
        <w:t>2</w:t>
      </w:r>
      <w:r w:rsidRPr="00D930E1">
        <w:rPr>
          <w:rFonts w:eastAsia="Calibri" w:cs="Times New Roman"/>
          <w:b/>
          <w:bCs/>
        </w:rPr>
        <w:t>)</w:t>
      </w:r>
      <w:r w:rsidRPr="00D930E1">
        <w:rPr>
          <w:rFonts w:eastAsia="Calibri" w:cs="Times New Roman"/>
        </w:rPr>
        <w:t xml:space="preserve"> was used to evaluate the minimum test time required</w:t>
      </w:r>
      <w:r w:rsidR="00CC08C8">
        <w:rPr>
          <w:rFonts w:eastAsia="Calibri" w:cs="Times New Roman"/>
        </w:rPr>
        <w:t xml:space="preserve">, where </w:t>
      </w:r>
      <w:r w:rsidR="00133F1D">
        <w:rPr>
          <w:rFonts w:eastAsia="Calibri" w:cs="Times New Roman"/>
        </w:rPr>
        <w:t>“</w:t>
      </w:r>
      <w:r w:rsidR="00CC08C8">
        <w:rPr>
          <w:rFonts w:eastAsia="Calibri" w:cs="Times New Roman"/>
        </w:rPr>
        <w:t>mpy</w:t>
      </w:r>
      <w:r w:rsidR="00133F1D">
        <w:rPr>
          <w:rFonts w:eastAsia="Calibri" w:cs="Times New Roman"/>
        </w:rPr>
        <w:t>”</w:t>
      </w:r>
      <w:r w:rsidR="00CC08C8">
        <w:rPr>
          <w:rFonts w:eastAsia="Calibri" w:cs="Times New Roman"/>
        </w:rPr>
        <w:t xml:space="preserve"> stands for the corrosion rate expressed in mils per year</w:t>
      </w:r>
      <w:r w:rsidRPr="00D930E1">
        <w:rPr>
          <w:rFonts w:eastAsia="Calibri" w:cs="Times New Roman"/>
        </w:rPr>
        <w:t>:</w:t>
      </w:r>
    </w:p>
    <w:p w14:paraId="237D3643" w14:textId="161FE072" w:rsidR="00530597" w:rsidRPr="00D930E1" w:rsidRDefault="00530597" w:rsidP="00530597">
      <w:pPr>
        <w:rPr>
          <w:rFonts w:eastAsia="Calibri" w:cs="Times New Roman"/>
          <w:bCs/>
          <w:szCs w:val="24"/>
        </w:rPr>
      </w:pPr>
      <w:bookmarkStart w:id="0" w:name="_Hlk19818171"/>
      <m:oMath>
        <m:r>
          <w:rPr>
            <w:rFonts w:ascii="Cambria Math" w:eastAsia="Calibri" w:hAnsi="Cambria Math" w:cs="Times New Roman"/>
            <w:szCs w:val="24"/>
          </w:rPr>
          <m:t>hours=</m:t>
        </m:r>
        <m:f>
          <m:fPr>
            <m:ctrlPr>
              <w:rPr>
                <w:rFonts w:ascii="Cambria Math" w:eastAsia="Calibri" w:hAnsi="Cambria Math" w:cs="Times New Roman"/>
                <w:bCs/>
                <w:i/>
                <w:szCs w:val="24"/>
              </w:rPr>
            </m:ctrlPr>
          </m:fPr>
          <m:num>
            <m:r>
              <w:rPr>
                <w:rFonts w:ascii="Cambria Math" w:eastAsia="Calibri" w:hAnsi="Cambria Math" w:cs="Times New Roman"/>
                <w:szCs w:val="24"/>
              </w:rPr>
              <m:t>2000</m:t>
            </m:r>
          </m:num>
          <m:den>
            <m:r>
              <w:rPr>
                <w:rFonts w:ascii="Cambria Math" w:eastAsia="Calibri" w:hAnsi="Cambria Math" w:cs="Times New Roman"/>
                <w:szCs w:val="24"/>
              </w:rPr>
              <m:t>mpy</m:t>
            </m:r>
          </m:den>
        </m:f>
      </m:oMath>
      <w:r w:rsidRPr="00D930E1">
        <w:rPr>
          <w:rFonts w:eastAsia="Calibri" w:cs="Times New Roman"/>
          <w:bCs/>
          <w:szCs w:val="24"/>
        </w:rPr>
        <w:t xml:space="preserve">                                                                                                                     </w:t>
      </w:r>
      <w:r w:rsidRPr="00D930E1">
        <w:rPr>
          <w:rFonts w:eastAsia="Calibri" w:cs="Times New Roman"/>
          <w:bCs/>
          <w:szCs w:val="24"/>
        </w:rPr>
        <w:tab/>
        <w:t xml:space="preserve">           (</w:t>
      </w:r>
      <w:r w:rsidR="005D0206">
        <w:rPr>
          <w:rFonts w:eastAsia="Calibri" w:cs="Times New Roman"/>
          <w:bCs/>
          <w:szCs w:val="24"/>
        </w:rPr>
        <w:t>2</w:t>
      </w:r>
      <w:r w:rsidRPr="00D930E1">
        <w:rPr>
          <w:rFonts w:eastAsia="Calibri" w:cs="Times New Roman"/>
          <w:bCs/>
          <w:szCs w:val="24"/>
        </w:rPr>
        <w:t>)</w:t>
      </w:r>
    </w:p>
    <w:p w14:paraId="15977A77" w14:textId="79F8D426" w:rsidR="00530597" w:rsidRDefault="00530597" w:rsidP="00530597">
      <w:pPr>
        <w:rPr>
          <w:rFonts w:eastAsia="Calibri" w:cs="Times New Roman"/>
        </w:rPr>
      </w:pPr>
      <w:r w:rsidRPr="00D930E1">
        <w:rPr>
          <w:rFonts w:eastAsia="Calibri" w:cs="Times New Roman"/>
        </w:rPr>
        <w:t>Using the above equation, considering an average corrosion rate</w:t>
      </w:r>
      <w:r w:rsidR="00C718E9">
        <w:rPr>
          <w:rFonts w:eastAsia="Calibri" w:cs="Times New Roman"/>
        </w:rPr>
        <w:t xml:space="preserve">, for untreated </w:t>
      </w:r>
      <w:r w:rsidR="00870E8F">
        <w:rPr>
          <w:rFonts w:eastAsia="Calibri" w:cs="Times New Roman"/>
        </w:rPr>
        <w:t>grade 2 Ti</w:t>
      </w:r>
      <w:r w:rsidR="00C718E9">
        <w:rPr>
          <w:rFonts w:eastAsia="Calibri" w:cs="Times New Roman"/>
        </w:rPr>
        <w:t>,</w:t>
      </w:r>
      <w:r w:rsidRPr="00D930E1">
        <w:rPr>
          <w:rFonts w:eastAsia="Calibri" w:cs="Times New Roman"/>
        </w:rPr>
        <w:t xml:space="preserve"> equal to 8.1 mm</w:t>
      </w:r>
      <w:r w:rsidR="00FE5E57">
        <w:rPr>
          <w:rFonts w:eastAsia="Calibri" w:cs="Times New Roman"/>
        </w:rPr>
        <w:t>·</w:t>
      </w:r>
      <w:r w:rsidRPr="00D930E1">
        <w:rPr>
          <w:rFonts w:eastAsia="Calibri" w:cs="Times New Roman"/>
        </w:rPr>
        <w:t>y</w:t>
      </w:r>
      <w:r w:rsidR="00FE5E57">
        <w:rPr>
          <w:rFonts w:eastAsia="Calibri" w:cs="Times New Roman"/>
        </w:rPr>
        <w:t>ear</w:t>
      </w:r>
      <w:r w:rsidR="00FE5E57">
        <w:rPr>
          <w:rFonts w:eastAsia="Calibri" w:cs="Times New Roman"/>
          <w:vertAlign w:val="superscript"/>
        </w:rPr>
        <w:t>-1</w:t>
      </w:r>
      <w:r w:rsidRPr="00D930E1">
        <w:rPr>
          <w:rFonts w:eastAsia="Calibri" w:cs="Times New Roman"/>
        </w:rPr>
        <w:t xml:space="preserve">, evaluated during preliminary measurements in similar conditions, a minimum time </w:t>
      </w:r>
      <w:r w:rsidRPr="00D930E1">
        <w:rPr>
          <w:rFonts w:eastAsia="Calibri" w:cs="Times New Roman"/>
        </w:rPr>
        <w:lastRenderedPageBreak/>
        <w:t>of 6.3 h was found. However, to increase the magnitude of the mass loss value and decrease uncertainty</w:t>
      </w:r>
      <w:r w:rsidR="00493161">
        <w:rPr>
          <w:rFonts w:eastAsia="Calibri" w:cs="Times New Roman"/>
        </w:rPr>
        <w:t>,</w:t>
      </w:r>
      <w:r w:rsidRPr="00D930E1">
        <w:rPr>
          <w:rFonts w:eastAsia="Calibri" w:cs="Times New Roman"/>
        </w:rPr>
        <w:t xml:space="preserve"> the test was run for 24 h. Corrosion rates were evaluated upon weight loss measurements performed with a Mettler-Toledo MS105 balance with a resolution of 10</w:t>
      </w:r>
      <w:r w:rsidRPr="00D930E1">
        <w:rPr>
          <w:rFonts w:eastAsia="Calibri" w:cs="Times New Roman"/>
          <w:vertAlign w:val="superscript"/>
        </w:rPr>
        <w:t>-5</w:t>
      </w:r>
      <w:r w:rsidRPr="00D930E1">
        <w:rPr>
          <w:rFonts w:eastAsia="Calibri" w:cs="Times New Roman"/>
        </w:rPr>
        <w:t xml:space="preserve"> g</w:t>
      </w:r>
      <w:r w:rsidR="00C718E9">
        <w:rPr>
          <w:rFonts w:eastAsia="Calibri" w:cs="Times New Roman"/>
        </w:rPr>
        <w:t>.</w:t>
      </w:r>
      <w:r w:rsidRPr="00D930E1">
        <w:rPr>
          <w:rFonts w:eastAsia="Calibri" w:cs="Times New Roman"/>
        </w:rPr>
        <w:t xml:space="preserve"> Then according to ASTM G-31 weight</w:t>
      </w:r>
      <w:r w:rsidR="00BC5190">
        <w:rPr>
          <w:rFonts w:eastAsia="Calibri" w:cs="Times New Roman"/>
        </w:rPr>
        <w:t>-</w:t>
      </w:r>
      <w:r w:rsidRPr="00D930E1">
        <w:rPr>
          <w:rFonts w:eastAsia="Calibri" w:cs="Times New Roman"/>
        </w:rPr>
        <w:t>losses were converted into corrosion rates.</w:t>
      </w:r>
      <w:bookmarkEnd w:id="0"/>
    </w:p>
    <w:p w14:paraId="6F41DDB3" w14:textId="179EDF88" w:rsidR="00F86C4F" w:rsidRDefault="000846E6" w:rsidP="00C40962">
      <w:pPr>
        <w:spacing w:after="0"/>
        <w:rPr>
          <w:rFonts w:eastAsia="Calibri" w:cs="Times New Roman"/>
          <w:i/>
          <w:iCs/>
          <w:sz w:val="26"/>
          <w:szCs w:val="26"/>
        </w:rPr>
      </w:pPr>
      <w:r w:rsidRPr="000846E6">
        <w:rPr>
          <w:rFonts w:eastAsia="Calibri" w:cs="Times New Roman"/>
          <w:i/>
          <w:iCs/>
          <w:sz w:val="26"/>
          <w:szCs w:val="26"/>
        </w:rPr>
        <w:t>2.</w:t>
      </w:r>
      <w:r w:rsidR="007C3314">
        <w:rPr>
          <w:rFonts w:eastAsia="Calibri" w:cs="Times New Roman"/>
          <w:i/>
          <w:iCs/>
          <w:sz w:val="26"/>
          <w:szCs w:val="26"/>
        </w:rPr>
        <w:t>5</w:t>
      </w:r>
      <w:r w:rsidRPr="000846E6">
        <w:rPr>
          <w:rFonts w:eastAsia="Calibri" w:cs="Times New Roman"/>
          <w:i/>
          <w:iCs/>
          <w:sz w:val="26"/>
          <w:szCs w:val="26"/>
        </w:rPr>
        <w:t xml:space="preserve"> GD-OES analysis</w:t>
      </w:r>
    </w:p>
    <w:p w14:paraId="44D21EB3" w14:textId="1B0E2A98" w:rsidR="000313D9" w:rsidRPr="00B84EF3" w:rsidRDefault="00C40962" w:rsidP="00B84EF3">
      <w:pPr>
        <w:spacing w:after="0"/>
        <w:rPr>
          <w:rFonts w:eastAsia="Calibri" w:cs="Times New Roman"/>
          <w:szCs w:val="24"/>
        </w:rPr>
      </w:pPr>
      <w:r w:rsidRPr="00C40962">
        <w:rPr>
          <w:rFonts w:eastAsia="Calibri" w:cs="Times New Roman"/>
          <w:szCs w:val="24"/>
        </w:rPr>
        <w:t>Glow discharge optical emission spectroscopy was carried according to a SpectrumA ANALYTIK GDA 750 HR analyzer</w:t>
      </w:r>
      <w:r w:rsidR="00EA2518">
        <w:rPr>
          <w:rFonts w:eastAsia="Calibri" w:cs="Times New Roman"/>
          <w:szCs w:val="24"/>
        </w:rPr>
        <w:t xml:space="preserve"> considering an anode diameter of 2.5 mm,</w:t>
      </w:r>
      <w:r w:rsidR="00BD3724">
        <w:rPr>
          <w:rFonts w:eastAsia="Calibri" w:cs="Times New Roman"/>
          <w:szCs w:val="24"/>
        </w:rPr>
        <w:t xml:space="preserve"> </w:t>
      </w:r>
      <w:r w:rsidR="00A95A49">
        <w:rPr>
          <w:rFonts w:eastAsia="Calibri" w:cs="Times New Roman"/>
          <w:szCs w:val="24"/>
        </w:rPr>
        <w:t xml:space="preserve">an operating voltage of 700 V with internal Ar pressure of </w:t>
      </w:r>
      <w:r w:rsidR="00EA2518">
        <w:rPr>
          <w:rFonts w:eastAsia="Calibri" w:cs="Times New Roman"/>
          <w:szCs w:val="24"/>
        </w:rPr>
        <w:t>2.3 hPa</w:t>
      </w:r>
      <w:r w:rsidR="00274928">
        <w:rPr>
          <w:rFonts w:eastAsia="Calibri" w:cs="Times New Roman"/>
          <w:szCs w:val="24"/>
        </w:rPr>
        <w:t xml:space="preserve"> in RF regime.</w:t>
      </w:r>
    </w:p>
    <w:p w14:paraId="50005E7F" w14:textId="5BE424DF" w:rsidR="00F86C4F" w:rsidRPr="001D79E1" w:rsidRDefault="000313D9" w:rsidP="00AF1CBA">
      <w:pPr>
        <w:pStyle w:val="Heading1"/>
        <w:numPr>
          <w:ilvl w:val="0"/>
          <w:numId w:val="0"/>
        </w:numPr>
        <w:spacing w:after="0"/>
      </w:pPr>
      <w:r>
        <w:t xml:space="preserve">3. </w:t>
      </w:r>
      <w:r w:rsidR="00F86C4F" w:rsidRPr="001D79E1">
        <w:t>Results</w:t>
      </w:r>
    </w:p>
    <w:p w14:paraId="7DC2D135" w14:textId="6137C167" w:rsidR="00E67172" w:rsidRDefault="000313D9" w:rsidP="00AF1CBA">
      <w:pPr>
        <w:keepNext/>
        <w:keepLines/>
        <w:numPr>
          <w:ilvl w:val="2"/>
          <w:numId w:val="0"/>
        </w:numPr>
        <w:spacing w:after="0"/>
        <w:ind w:left="720" w:hanging="720"/>
        <w:outlineLvl w:val="2"/>
        <w:rPr>
          <w:rFonts w:eastAsiaTheme="majorEastAsia" w:cstheme="majorBidi"/>
          <w:i/>
          <w:iCs/>
          <w:color w:val="000000" w:themeColor="text1"/>
          <w:sz w:val="26"/>
          <w:szCs w:val="26"/>
        </w:rPr>
      </w:pPr>
      <w:r w:rsidRPr="000313D9">
        <w:rPr>
          <w:rFonts w:eastAsiaTheme="majorEastAsia" w:cstheme="majorBidi"/>
          <w:i/>
          <w:iCs/>
          <w:color w:val="000000" w:themeColor="text1"/>
          <w:sz w:val="26"/>
          <w:szCs w:val="26"/>
        </w:rPr>
        <w:t xml:space="preserve">3.1 </w:t>
      </w:r>
      <w:r w:rsidR="00F86C4F" w:rsidRPr="000313D9">
        <w:rPr>
          <w:rFonts w:eastAsiaTheme="majorEastAsia" w:cstheme="majorBidi"/>
          <w:i/>
          <w:iCs/>
          <w:color w:val="000000" w:themeColor="text1"/>
          <w:sz w:val="26"/>
          <w:szCs w:val="26"/>
        </w:rPr>
        <w:t>Morphology</w:t>
      </w:r>
      <w:r w:rsidR="007206CF" w:rsidRPr="000313D9">
        <w:rPr>
          <w:rFonts w:eastAsiaTheme="majorEastAsia" w:cstheme="majorBidi"/>
          <w:i/>
          <w:iCs/>
          <w:color w:val="000000" w:themeColor="text1"/>
          <w:sz w:val="26"/>
          <w:szCs w:val="26"/>
        </w:rPr>
        <w:t xml:space="preserve"> and structure</w:t>
      </w:r>
      <w:r w:rsidR="00F86C4F" w:rsidRPr="000313D9">
        <w:rPr>
          <w:rFonts w:eastAsiaTheme="majorEastAsia" w:cstheme="majorBidi"/>
          <w:i/>
          <w:iCs/>
          <w:color w:val="000000" w:themeColor="text1"/>
          <w:sz w:val="26"/>
          <w:szCs w:val="26"/>
        </w:rPr>
        <w:t>:</w:t>
      </w:r>
    </w:p>
    <w:p w14:paraId="6824DBC4" w14:textId="312D731F" w:rsidR="00F86C4F" w:rsidRPr="00E67172" w:rsidRDefault="00E67172" w:rsidP="00E67172">
      <w:r w:rsidRPr="00E67172">
        <w:t xml:space="preserve">Acquisition of </w:t>
      </w:r>
      <w:r w:rsidR="00493161">
        <w:t xml:space="preserve">SEM </w:t>
      </w:r>
      <w:r w:rsidRPr="00E67172">
        <w:t>images allowed to distinguish relevant features</w:t>
      </w:r>
      <w:r w:rsidR="00B53697">
        <w:t xml:space="preserve"> imparted to the oxide surface</w:t>
      </w:r>
      <w:r w:rsidRPr="00E67172">
        <w:t xml:space="preserve"> depending on the technological parameters </w:t>
      </w:r>
      <w:r w:rsidR="00B53697">
        <w:t>adopted</w:t>
      </w:r>
      <w:r w:rsidRPr="00E67172">
        <w:t xml:space="preserve">. In particular, the surface of </w:t>
      </w:r>
      <w:r w:rsidR="00B53697">
        <w:t xml:space="preserve">PEO-DC </w:t>
      </w:r>
      <w:r w:rsidRPr="00E67172">
        <w:t>(</w:t>
      </w:r>
      <w:r w:rsidRPr="00E67172">
        <w:rPr>
          <w:b/>
        </w:rPr>
        <w:t xml:space="preserve">Fig. </w:t>
      </w:r>
      <w:r w:rsidR="00002578">
        <w:rPr>
          <w:b/>
        </w:rPr>
        <w:t>1</w:t>
      </w:r>
      <w:r w:rsidRPr="00E67172">
        <w:rPr>
          <w:b/>
        </w:rPr>
        <w:t xml:space="preserve"> a)</w:t>
      </w:r>
      <w:r w:rsidR="00252BF7">
        <w:rPr>
          <w:b/>
        </w:rPr>
        <w:t xml:space="preserve"> </w:t>
      </w:r>
      <w:r w:rsidR="00252BF7" w:rsidRPr="00252BF7">
        <w:rPr>
          <w:bCs/>
        </w:rPr>
        <w:t>and</w:t>
      </w:r>
      <w:r w:rsidR="00252BF7">
        <w:rPr>
          <w:b/>
        </w:rPr>
        <w:t xml:space="preserve"> c)</w:t>
      </w:r>
      <w:r w:rsidRPr="00E67172">
        <w:t>)</w:t>
      </w:r>
      <w:r w:rsidR="00B53697">
        <w:t xml:space="preserve"> </w:t>
      </w:r>
      <w:r w:rsidR="00B53697" w:rsidRPr="00B53697">
        <w:t>appeared flatter and with well-developed surface porosity typical of a Ti PEO coating in sulfuric acid.</w:t>
      </w:r>
    </w:p>
    <w:p w14:paraId="601A0844" w14:textId="77777777" w:rsidR="00A9354D" w:rsidRDefault="00A411BA" w:rsidP="00434471">
      <w:pPr>
        <w:keepNext/>
        <w:spacing w:after="0"/>
        <w:jc w:val="center"/>
      </w:pPr>
      <w:r>
        <w:rPr>
          <w:rFonts w:cs="Times New Roman"/>
          <w:noProof/>
        </w:rPr>
        <w:drawing>
          <wp:inline distT="0" distB="0" distL="0" distR="0" wp14:anchorId="2D215E03" wp14:editId="54E517D5">
            <wp:extent cx="3798277" cy="2682016"/>
            <wp:effectExtent l="0" t="0" r="0"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l="1247" t="7520" r="1090"/>
                    <a:stretch/>
                  </pic:blipFill>
                  <pic:spPr bwMode="auto">
                    <a:xfrm>
                      <a:off x="0" y="0"/>
                      <a:ext cx="3821155" cy="2698170"/>
                    </a:xfrm>
                    <a:prstGeom prst="rect">
                      <a:avLst/>
                    </a:prstGeom>
                    <a:noFill/>
                    <a:ln>
                      <a:noFill/>
                    </a:ln>
                    <a:extLst>
                      <a:ext uri="{53640926-AAD7-44D8-BBD7-CCE9431645EC}">
                        <a14:shadowObscured xmlns:a14="http://schemas.microsoft.com/office/drawing/2010/main"/>
                      </a:ext>
                    </a:extLst>
                  </pic:spPr>
                </pic:pic>
              </a:graphicData>
            </a:graphic>
          </wp:inline>
        </w:drawing>
      </w:r>
    </w:p>
    <w:p w14:paraId="690FE929" w14:textId="4DE4F128" w:rsidR="00F86C4F" w:rsidRPr="00A9354D" w:rsidRDefault="00A9354D" w:rsidP="00A9354D">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w:t>
      </w:r>
      <w:r>
        <w:fldChar w:fldCharType="end"/>
      </w:r>
      <w:r>
        <w:t xml:space="preserve">. </w:t>
      </w:r>
      <w:r w:rsidR="00DC79AB">
        <w:rPr>
          <w:b w:val="0"/>
          <w:bCs/>
        </w:rPr>
        <w:t xml:space="preserve">SEM </w:t>
      </w:r>
      <w:r w:rsidR="00A77BA4">
        <w:rPr>
          <w:b w:val="0"/>
          <w:bCs/>
        </w:rPr>
        <w:t xml:space="preserve">surface </w:t>
      </w:r>
      <w:r w:rsidR="00DC79AB">
        <w:rPr>
          <w:b w:val="0"/>
          <w:bCs/>
        </w:rPr>
        <w:t>overview of</w:t>
      </w:r>
      <w:r w:rsidR="00A77BA4">
        <w:rPr>
          <w:b w:val="0"/>
          <w:bCs/>
        </w:rPr>
        <w:t xml:space="preserve"> </w:t>
      </w:r>
      <w:r w:rsidR="00A77BA4" w:rsidRPr="00B93363">
        <w:t>a)</w:t>
      </w:r>
      <w:r w:rsidR="00A77BA4">
        <w:rPr>
          <w:b w:val="0"/>
          <w:bCs/>
        </w:rPr>
        <w:t xml:space="preserve"> and </w:t>
      </w:r>
      <w:r w:rsidR="00A77BA4" w:rsidRPr="00B93363">
        <w:t>c)</w:t>
      </w:r>
      <w:r w:rsidR="00DC79AB">
        <w:rPr>
          <w:b w:val="0"/>
          <w:bCs/>
        </w:rPr>
        <w:t xml:space="preserve"> </w:t>
      </w:r>
      <w:r w:rsidR="00A77BA4">
        <w:rPr>
          <w:b w:val="0"/>
          <w:bCs/>
        </w:rPr>
        <w:t xml:space="preserve">PEO-DC and </w:t>
      </w:r>
      <w:r w:rsidR="00A77BA4" w:rsidRPr="00B93363">
        <w:t>b)</w:t>
      </w:r>
      <w:r w:rsidR="00A77BA4">
        <w:rPr>
          <w:b w:val="0"/>
          <w:bCs/>
        </w:rPr>
        <w:t xml:space="preserve"> and </w:t>
      </w:r>
      <w:r w:rsidR="00A77BA4" w:rsidRPr="00B93363">
        <w:t>d)</w:t>
      </w:r>
      <w:r w:rsidR="00A77BA4">
        <w:rPr>
          <w:b w:val="0"/>
          <w:bCs/>
        </w:rPr>
        <w:t xml:space="preserve"> PEO-H-25</w:t>
      </w:r>
      <w:r w:rsidR="00FC41F1">
        <w:rPr>
          <w:b w:val="0"/>
          <w:bCs/>
        </w:rPr>
        <w:t>.</w:t>
      </w:r>
    </w:p>
    <w:p w14:paraId="2270A682" w14:textId="53C2146F" w:rsidR="00F86C4F" w:rsidRDefault="00F86C4F" w:rsidP="001448A2">
      <w:pPr>
        <w:spacing w:before="240"/>
        <w:rPr>
          <w:rFonts w:cs="Times New Roman"/>
        </w:rPr>
      </w:pPr>
      <w:r w:rsidRPr="00F86C4F">
        <w:rPr>
          <w:rFonts w:cs="Times New Roman"/>
        </w:rPr>
        <w:lastRenderedPageBreak/>
        <w:t>Switching to pulsed anodizing</w:t>
      </w:r>
      <w:r w:rsidR="00493161">
        <w:rPr>
          <w:rFonts w:cs="Times New Roman"/>
        </w:rPr>
        <w:t>,</w:t>
      </w:r>
      <w:r w:rsidRPr="00F86C4F">
        <w:rPr>
          <w:rFonts w:cs="Times New Roman"/>
        </w:rPr>
        <w:t xml:space="preserve"> an apparently less homogeneous surface is observed</w:t>
      </w:r>
      <w:r w:rsidR="00FF1C26">
        <w:rPr>
          <w:rFonts w:cs="Times New Roman"/>
        </w:rPr>
        <w:t xml:space="preserve">, </w:t>
      </w:r>
      <w:r w:rsidR="00EE4CD1">
        <w:rPr>
          <w:rFonts w:cs="Times New Roman"/>
        </w:rPr>
        <w:t xml:space="preserve">an indication </w:t>
      </w:r>
      <w:r w:rsidR="00FF1C26">
        <w:rPr>
          <w:rFonts w:cs="Times New Roman"/>
        </w:rPr>
        <w:t>that oxide synthesis occurred</w:t>
      </w:r>
      <w:r w:rsidR="00C57A94">
        <w:rPr>
          <w:rFonts w:cs="Times New Roman"/>
        </w:rPr>
        <w:t xml:space="preserve"> concurrently</w:t>
      </w:r>
      <w:r w:rsidR="00C64B40">
        <w:rPr>
          <w:rFonts w:cs="Times New Roman"/>
        </w:rPr>
        <w:t xml:space="preserve"> </w:t>
      </w:r>
      <w:r w:rsidR="009D5B58">
        <w:rPr>
          <w:rFonts w:cs="Times New Roman"/>
        </w:rPr>
        <w:t>with</w:t>
      </w:r>
      <w:r w:rsidR="00C64B40">
        <w:rPr>
          <w:rFonts w:cs="Times New Roman"/>
        </w:rPr>
        <w:t xml:space="preserve"> fast </w:t>
      </w:r>
      <w:r w:rsidR="0076199D">
        <w:rPr>
          <w:rFonts w:cs="Times New Roman"/>
        </w:rPr>
        <w:t xml:space="preserve">gas delivery inducing the formation of a </w:t>
      </w:r>
      <w:r w:rsidR="000D5A26">
        <w:rPr>
          <w:rFonts w:cs="Times New Roman"/>
        </w:rPr>
        <w:t>rough</w:t>
      </w:r>
      <w:r w:rsidR="0076199D">
        <w:rPr>
          <w:rFonts w:cs="Times New Roman"/>
        </w:rPr>
        <w:t xml:space="preserve"> architecture.</w:t>
      </w:r>
      <w:r w:rsidRPr="00F86C4F">
        <w:rPr>
          <w:rFonts w:cs="Times New Roman"/>
        </w:rPr>
        <w:t xml:space="preserve"> </w:t>
      </w:r>
      <w:r w:rsidR="00561C45">
        <w:rPr>
          <w:rFonts w:cs="Times New Roman"/>
        </w:rPr>
        <w:t xml:space="preserve">In particular, in </w:t>
      </w:r>
      <w:r w:rsidR="00D4204D" w:rsidRPr="00A87A20">
        <w:rPr>
          <w:rFonts w:cs="Times New Roman"/>
          <w:b/>
          <w:bCs/>
        </w:rPr>
        <w:t>Fig</w:t>
      </w:r>
      <w:r w:rsidR="00A87A20" w:rsidRPr="00A87A20">
        <w:rPr>
          <w:rFonts w:cs="Times New Roman"/>
          <w:b/>
          <w:bCs/>
        </w:rPr>
        <w:t>.</w:t>
      </w:r>
      <w:r w:rsidR="00D4204D" w:rsidRPr="00A87A20">
        <w:rPr>
          <w:rFonts w:cs="Times New Roman"/>
          <w:b/>
          <w:bCs/>
        </w:rPr>
        <w:t xml:space="preserve"> </w:t>
      </w:r>
      <w:r w:rsidR="00170DA3">
        <w:rPr>
          <w:rFonts w:cs="Times New Roman"/>
          <w:b/>
          <w:bCs/>
        </w:rPr>
        <w:t>1</w:t>
      </w:r>
      <w:r w:rsidR="00D4204D" w:rsidRPr="00A87A20">
        <w:rPr>
          <w:rFonts w:cs="Times New Roman"/>
          <w:b/>
          <w:bCs/>
        </w:rPr>
        <w:t xml:space="preserve"> d)</w:t>
      </w:r>
      <w:r w:rsidR="00D4204D">
        <w:rPr>
          <w:rFonts w:cs="Times New Roman"/>
        </w:rPr>
        <w:t>, large holes were</w:t>
      </w:r>
      <w:r w:rsidR="00237FE1">
        <w:rPr>
          <w:rFonts w:cs="Times New Roman"/>
        </w:rPr>
        <w:t xml:space="preserve"> formed following the intense</w:t>
      </w:r>
      <w:r w:rsidR="007B5359">
        <w:rPr>
          <w:rFonts w:cs="Times New Roman"/>
        </w:rPr>
        <w:t xml:space="preserve"> plasma</w:t>
      </w:r>
      <w:r w:rsidR="00D4204D">
        <w:rPr>
          <w:rFonts w:cs="Times New Roman"/>
        </w:rPr>
        <w:t xml:space="preserve"> </w:t>
      </w:r>
      <w:r w:rsidR="00DE07CD">
        <w:rPr>
          <w:rFonts w:cs="Times New Roman"/>
        </w:rPr>
        <w:t xml:space="preserve">developed according to the </w:t>
      </w:r>
      <w:r w:rsidR="00EE4CD1">
        <w:rPr>
          <w:rFonts w:cs="Times New Roman"/>
        </w:rPr>
        <w:t xml:space="preserve">selected </w:t>
      </w:r>
      <w:r w:rsidR="008B1A47">
        <w:rPr>
          <w:rFonts w:cs="Times New Roman"/>
        </w:rPr>
        <w:t>parameters used. Th</w:t>
      </w:r>
      <w:r w:rsidR="00613753">
        <w:rPr>
          <w:rFonts w:cs="Times New Roman"/>
        </w:rPr>
        <w:t>ese emissions</w:t>
      </w:r>
      <w:r w:rsidR="008B1A47">
        <w:rPr>
          <w:rFonts w:cs="Times New Roman"/>
        </w:rPr>
        <w:t xml:space="preserve"> w</w:t>
      </w:r>
      <w:r w:rsidR="00613753">
        <w:rPr>
          <w:rFonts w:cs="Times New Roman"/>
        </w:rPr>
        <w:t>ere</w:t>
      </w:r>
      <w:r w:rsidR="008B1A47">
        <w:rPr>
          <w:rFonts w:cs="Times New Roman"/>
        </w:rPr>
        <w:t xml:space="preserve"> </w:t>
      </w:r>
      <w:r w:rsidR="00613753">
        <w:rPr>
          <w:rFonts w:cs="Times New Roman"/>
        </w:rPr>
        <w:t>characterized,</w:t>
      </w:r>
      <w:r w:rsidR="008B1A47">
        <w:rPr>
          <w:rFonts w:cs="Times New Roman"/>
        </w:rPr>
        <w:t xml:space="preserve"> in</w:t>
      </w:r>
      <w:r w:rsidR="0076199D">
        <w:rPr>
          <w:rFonts w:cs="Times New Roman"/>
        </w:rPr>
        <w:t xml:space="preserve"> </w:t>
      </w:r>
      <w:r w:rsidR="00245B15">
        <w:rPr>
          <w:rFonts w:cs="Times New Roman"/>
        </w:rPr>
        <w:t>our</w:t>
      </w:r>
      <w:r w:rsidR="0076199D">
        <w:rPr>
          <w:rFonts w:cs="Times New Roman"/>
        </w:rPr>
        <w:t xml:space="preserve"> previous paper</w:t>
      </w:r>
      <w:r w:rsidR="00245B15">
        <w:rPr>
          <w:rFonts w:cs="Times New Roman"/>
        </w:rPr>
        <w:t xml:space="preserve"> </w:t>
      </w:r>
      <w:r w:rsidR="00E1085A">
        <w:rPr>
          <w:rFonts w:cs="Times New Roman"/>
        </w:rPr>
        <w:fldChar w:fldCharType="begin" w:fldLock="1"/>
      </w:r>
      <w:r w:rsidR="00F36CB3">
        <w:rPr>
          <w:rFonts w:cs="Times New Roman"/>
        </w:rPr>
        <w:instrText>ADDIN CSL_CITATION {"citationItems":[{"id":"ITEM-1","itemData":{"DOI":"10.1016/j.apsusc.2021.151133","ISSN":"01694332","author":[{"dropping-particle":"","family":"Casanova","given":"Luca","non-dropping-particle":"","parse-names":false,"suffix":""},{"dropping-particle":"","family":"Arosio","given":"Mattia","non-dropping-particle":"","parse-names":false,"suffix":""},{"dropping-particle":"","family":"Taghi Hashemi","given":"Mohammad","non-dropping-particle":"","parse-names":false,"suffix":""},{"dropping-particle":"","family":"Pedeferri","given":"MariaPia","non-dropping-particle":"","parse-names":false,"suffix":""},{"dropping-particle":"","family":"Botton","given":"Gianluigi A.","non-dropping-particle":"","parse-names":false,"suffix":""},{"dropping-particle":"","family":"Ormellese","given":"Marco","non-dropping-particle":"","parse-names":false,"suffix":""}],"container-title":"Applied Surface Science","id":"ITEM-1","issue":"July","issued":{"date-parts":[["2021"]]},"page":"151133","publisher":"Elsevier B.V.","title":"A nanoscale investigation on the influence of anodization parameters during plasma electrolytic oxidation of titanium by high-resolution electron energy loss spectroscopy","type":"article-journal","volume":"570"},"uris":["http://www.mendeley.com/documents/?uuid=2beabf61-15b9-4553-893d-807e82e26cf3"]}],"mendeley":{"formattedCitation":"[30]","plainTextFormattedCitation":"[30]","previouslyFormattedCitation":"[30]"},"properties":{"noteIndex":0},"schema":"https://github.com/citation-style-language/schema/raw/master/csl-citation.json"}</w:instrText>
      </w:r>
      <w:r w:rsidR="00E1085A">
        <w:rPr>
          <w:rFonts w:cs="Times New Roman"/>
        </w:rPr>
        <w:fldChar w:fldCharType="separate"/>
      </w:r>
      <w:r w:rsidR="000D478A" w:rsidRPr="000D478A">
        <w:rPr>
          <w:rFonts w:cs="Times New Roman"/>
          <w:noProof/>
        </w:rPr>
        <w:t>[30]</w:t>
      </w:r>
      <w:r w:rsidR="00E1085A">
        <w:rPr>
          <w:rFonts w:cs="Times New Roman"/>
        </w:rPr>
        <w:fldChar w:fldCharType="end"/>
      </w:r>
      <w:r w:rsidR="0076199D">
        <w:rPr>
          <w:rFonts w:cs="Times New Roman"/>
        </w:rPr>
        <w:t xml:space="preserve"> to be type-B in nature</w:t>
      </w:r>
      <w:r w:rsidR="00E1085A">
        <w:rPr>
          <w:rFonts w:cs="Times New Roman"/>
        </w:rPr>
        <w:t xml:space="preserve"> and</w:t>
      </w:r>
      <w:r w:rsidR="00613753">
        <w:rPr>
          <w:rFonts w:cs="Times New Roman"/>
        </w:rPr>
        <w:t xml:space="preserve"> </w:t>
      </w:r>
      <w:r w:rsidR="00245B15">
        <w:rPr>
          <w:rFonts w:cs="Times New Roman"/>
        </w:rPr>
        <w:t>promoted according</w:t>
      </w:r>
      <w:r w:rsidR="00D4204D">
        <w:rPr>
          <w:rFonts w:cs="Times New Roman"/>
        </w:rPr>
        <w:t xml:space="preserve"> to the </w:t>
      </w:r>
      <w:r w:rsidR="00245B15">
        <w:rPr>
          <w:rFonts w:cs="Times New Roman"/>
        </w:rPr>
        <w:t>combination</w:t>
      </w:r>
      <w:r w:rsidR="00D4204D">
        <w:rPr>
          <w:rFonts w:cs="Times New Roman"/>
        </w:rPr>
        <w:t xml:space="preserve"> of </w:t>
      </w:r>
      <w:r w:rsidR="00E43812">
        <w:rPr>
          <w:rFonts w:cs="Times New Roman"/>
        </w:rPr>
        <w:t>high</w:t>
      </w:r>
      <w:r w:rsidR="00245B15">
        <w:rPr>
          <w:rFonts w:cs="Times New Roman"/>
        </w:rPr>
        <w:t xml:space="preserve"> anodization</w:t>
      </w:r>
      <w:r w:rsidR="00E43812">
        <w:rPr>
          <w:rFonts w:cs="Times New Roman"/>
        </w:rPr>
        <w:t xml:space="preserve"> frequency</w:t>
      </w:r>
      <w:r w:rsidR="00613753">
        <w:rPr>
          <w:rFonts w:cs="Times New Roman"/>
        </w:rPr>
        <w:t xml:space="preserve"> (1000 Hz)</w:t>
      </w:r>
      <w:r w:rsidR="00E43812">
        <w:rPr>
          <w:rFonts w:cs="Times New Roman"/>
        </w:rPr>
        <w:t xml:space="preserve"> and </w:t>
      </w:r>
      <w:r w:rsidR="00B575E9">
        <w:rPr>
          <w:rFonts w:cs="Times New Roman"/>
        </w:rPr>
        <w:t>the use of</w:t>
      </w:r>
      <w:r w:rsidR="00E1085A">
        <w:rPr>
          <w:rFonts w:cs="Times New Roman"/>
        </w:rPr>
        <w:t xml:space="preserve"> an</w:t>
      </w:r>
      <w:r w:rsidR="00B575E9">
        <w:rPr>
          <w:rFonts w:cs="Times New Roman"/>
        </w:rPr>
        <w:t xml:space="preserve"> hybrid duty cycle</w:t>
      </w:r>
      <w:r w:rsidR="00E43812">
        <w:rPr>
          <w:rFonts w:cs="Times New Roman"/>
        </w:rPr>
        <w:t>.</w:t>
      </w:r>
      <w:r w:rsidR="00DC39EE">
        <w:rPr>
          <w:rFonts w:cs="Times New Roman"/>
        </w:rPr>
        <w:t xml:space="preserve"> </w:t>
      </w:r>
      <w:r w:rsidR="00CC2796">
        <w:rPr>
          <w:rFonts w:cs="Times New Roman"/>
        </w:rPr>
        <w:t xml:space="preserve">It is reasonable to </w:t>
      </w:r>
      <w:r w:rsidR="00E1085A">
        <w:rPr>
          <w:rFonts w:cs="Times New Roman"/>
        </w:rPr>
        <w:t>assign to</w:t>
      </w:r>
      <w:r w:rsidR="00CC2796">
        <w:rPr>
          <w:rFonts w:cs="Times New Roman"/>
        </w:rPr>
        <w:t xml:space="preserve"> those</w:t>
      </w:r>
      <w:r w:rsidR="00F97D9D">
        <w:rPr>
          <w:rFonts w:cs="Times New Roman"/>
        </w:rPr>
        <w:t xml:space="preserve"> morphological depressions </w:t>
      </w:r>
      <w:r w:rsidR="00E1085A">
        <w:rPr>
          <w:rFonts w:cs="Times New Roman"/>
        </w:rPr>
        <w:t>the role of</w:t>
      </w:r>
      <w:r w:rsidR="00F97D9D">
        <w:rPr>
          <w:rFonts w:cs="Times New Roman"/>
        </w:rPr>
        <w:t xml:space="preserve"> </w:t>
      </w:r>
      <w:r w:rsidR="003B72C0">
        <w:rPr>
          <w:rFonts w:cs="Times New Roman"/>
        </w:rPr>
        <w:t>weak point</w:t>
      </w:r>
      <w:r w:rsidR="009F5D2F">
        <w:rPr>
          <w:rFonts w:cs="Times New Roman"/>
        </w:rPr>
        <w:t>s</w:t>
      </w:r>
      <w:r w:rsidR="003B72C0">
        <w:rPr>
          <w:rFonts w:cs="Times New Roman"/>
        </w:rPr>
        <w:t xml:space="preserve"> </w:t>
      </w:r>
      <w:r w:rsidR="00E4737B">
        <w:rPr>
          <w:rFonts w:cs="Times New Roman"/>
        </w:rPr>
        <w:t>characterizing the electrochemical response of the coating</w:t>
      </w:r>
      <w:r w:rsidR="00594DB3">
        <w:rPr>
          <w:rFonts w:cs="Times New Roman"/>
        </w:rPr>
        <w:t>.</w:t>
      </w:r>
      <w:r w:rsidR="00753A70">
        <w:rPr>
          <w:rFonts w:cs="Times New Roman"/>
        </w:rPr>
        <w:t xml:space="preserve"> </w:t>
      </w:r>
      <w:r w:rsidR="00594DB3">
        <w:rPr>
          <w:rFonts w:cs="Times New Roman"/>
        </w:rPr>
        <w:t>A</w:t>
      </w:r>
      <w:r w:rsidR="00753A70">
        <w:rPr>
          <w:rFonts w:cs="Times New Roman"/>
        </w:rPr>
        <w:t>ccording</w:t>
      </w:r>
      <w:r w:rsidR="00594DB3">
        <w:rPr>
          <w:rFonts w:cs="Times New Roman"/>
        </w:rPr>
        <w:t>ly</w:t>
      </w:r>
      <w:r w:rsidR="008B28A6">
        <w:rPr>
          <w:rFonts w:cs="Times New Roman"/>
        </w:rPr>
        <w:t>,</w:t>
      </w:r>
      <w:r w:rsidR="00753A70">
        <w:rPr>
          <w:rFonts w:cs="Times New Roman"/>
        </w:rPr>
        <w:t xml:space="preserve"> </w:t>
      </w:r>
      <w:r w:rsidR="00E4737B">
        <w:rPr>
          <w:rFonts w:cs="Times New Roman"/>
        </w:rPr>
        <w:t xml:space="preserve">a TEM lamella was </w:t>
      </w:r>
      <w:r w:rsidR="008B28A6">
        <w:rPr>
          <w:rFonts w:cs="Times New Roman"/>
        </w:rPr>
        <w:t xml:space="preserve">prepared trough </w:t>
      </w:r>
      <w:r w:rsidR="00753A70">
        <w:rPr>
          <w:rFonts w:cs="Times New Roman"/>
        </w:rPr>
        <w:t>by</w:t>
      </w:r>
      <w:r w:rsidR="00E4737B">
        <w:rPr>
          <w:rFonts w:cs="Times New Roman"/>
        </w:rPr>
        <w:t xml:space="preserve"> FIB operations</w:t>
      </w:r>
      <w:r w:rsidR="00A87A20">
        <w:rPr>
          <w:rFonts w:cs="Times New Roman"/>
        </w:rPr>
        <w:t xml:space="preserve"> and </w:t>
      </w:r>
      <w:r w:rsidR="00852667">
        <w:rPr>
          <w:rFonts w:cs="Times New Roman"/>
        </w:rPr>
        <w:t xml:space="preserve">displayed in </w:t>
      </w:r>
      <w:r w:rsidR="00852667" w:rsidRPr="00852667">
        <w:rPr>
          <w:rFonts w:cs="Times New Roman"/>
          <w:b/>
          <w:bCs/>
        </w:rPr>
        <w:t xml:space="preserve">Fig. </w:t>
      </w:r>
      <w:r w:rsidR="009D76D2">
        <w:rPr>
          <w:rFonts w:cs="Times New Roman"/>
          <w:b/>
          <w:bCs/>
        </w:rPr>
        <w:t>2</w:t>
      </w:r>
      <w:r w:rsidR="00471452">
        <w:rPr>
          <w:rFonts w:cs="Times New Roman"/>
          <w:b/>
          <w:bCs/>
        </w:rPr>
        <w:t xml:space="preserve"> b)</w:t>
      </w:r>
      <w:r w:rsidR="00471452">
        <w:rPr>
          <w:rFonts w:cs="Times New Roman"/>
        </w:rPr>
        <w:t xml:space="preserve"> </w:t>
      </w:r>
      <w:proofErr w:type="spellStart"/>
      <w:r w:rsidR="00471452">
        <w:rPr>
          <w:rFonts w:cs="Times New Roman"/>
        </w:rPr>
        <w:t>where</w:t>
      </w:r>
      <w:proofErr w:type="spellEnd"/>
      <w:r w:rsidR="00471452">
        <w:rPr>
          <w:rFonts w:cs="Times New Roman"/>
        </w:rPr>
        <w:t xml:space="preserve"> also the cross-section of sample </w:t>
      </w:r>
      <w:r w:rsidR="005C6F28">
        <w:rPr>
          <w:rFonts w:cs="Times New Roman"/>
        </w:rPr>
        <w:t>PEO-</w:t>
      </w:r>
      <w:r w:rsidR="00471452">
        <w:rPr>
          <w:rFonts w:cs="Times New Roman"/>
        </w:rPr>
        <w:t xml:space="preserve">DC is shown. </w:t>
      </w:r>
      <w:r w:rsidR="005F799C">
        <w:rPr>
          <w:rFonts w:cs="Times New Roman"/>
        </w:rPr>
        <w:t>The hig</w:t>
      </w:r>
      <w:r w:rsidR="00DC5588">
        <w:rPr>
          <w:rFonts w:cs="Times New Roman"/>
        </w:rPr>
        <w:t xml:space="preserve">h </w:t>
      </w:r>
      <w:r w:rsidR="005F799C">
        <w:rPr>
          <w:rFonts w:cs="Times New Roman"/>
        </w:rPr>
        <w:t>porosity</w:t>
      </w:r>
      <w:r w:rsidR="00DC5588">
        <w:rPr>
          <w:rFonts w:cs="Times New Roman"/>
        </w:rPr>
        <w:t xml:space="preserve"> previously observed</w:t>
      </w:r>
      <w:r w:rsidR="005F799C">
        <w:rPr>
          <w:rFonts w:cs="Times New Roman"/>
        </w:rPr>
        <w:t xml:space="preserve"> seems to be trans</w:t>
      </w:r>
      <w:r w:rsidR="003874F5">
        <w:rPr>
          <w:rFonts w:cs="Times New Roman"/>
        </w:rPr>
        <w:t>mitted</w:t>
      </w:r>
      <w:r w:rsidR="005F799C">
        <w:rPr>
          <w:rFonts w:cs="Times New Roman"/>
        </w:rPr>
        <w:t xml:space="preserve"> to the entire coating thickness </w:t>
      </w:r>
      <w:r w:rsidR="00080F36">
        <w:rPr>
          <w:rFonts w:cs="Times New Roman"/>
        </w:rPr>
        <w:t>with presence of large holes separating the barrier layer</w:t>
      </w:r>
      <w:r w:rsidR="00E668E2">
        <w:rPr>
          <w:rFonts w:cs="Times New Roman"/>
        </w:rPr>
        <w:t>,</w:t>
      </w:r>
      <w:r w:rsidR="00080F36">
        <w:rPr>
          <w:rFonts w:cs="Times New Roman"/>
        </w:rPr>
        <w:t xml:space="preserve"> in contact with the metallic substrate</w:t>
      </w:r>
      <w:r w:rsidR="00E97C4D">
        <w:rPr>
          <w:rFonts w:cs="Times New Roman"/>
        </w:rPr>
        <w:t>,</w:t>
      </w:r>
      <w:r w:rsidR="00080F36">
        <w:rPr>
          <w:rFonts w:cs="Times New Roman"/>
        </w:rPr>
        <w:t xml:space="preserve"> </w:t>
      </w:r>
      <w:r w:rsidR="00E97C4D">
        <w:rPr>
          <w:rFonts w:cs="Times New Roman"/>
        </w:rPr>
        <w:t>to</w:t>
      </w:r>
      <w:r w:rsidR="00080F36">
        <w:rPr>
          <w:rFonts w:cs="Times New Roman"/>
        </w:rPr>
        <w:t xml:space="preserve"> the porous outer layer. </w:t>
      </w:r>
      <w:r w:rsidR="003F2D70">
        <w:rPr>
          <w:rFonts w:cs="Times New Roman"/>
        </w:rPr>
        <w:t>Concerning thicknesses bipolar PEO favor</w:t>
      </w:r>
      <w:r w:rsidR="00482258">
        <w:rPr>
          <w:rFonts w:cs="Times New Roman"/>
        </w:rPr>
        <w:t>ed growth</w:t>
      </w:r>
      <w:r w:rsidR="00C15142">
        <w:rPr>
          <w:rFonts w:cs="Times New Roman"/>
        </w:rPr>
        <w:t>, leading to a thickness</w:t>
      </w:r>
      <w:r w:rsidR="00482258">
        <w:rPr>
          <w:rFonts w:cs="Times New Roman"/>
        </w:rPr>
        <w:t xml:space="preserve"> of</w:t>
      </w:r>
      <w:r w:rsidR="001639D2">
        <w:rPr>
          <w:rFonts w:cs="Times New Roman"/>
        </w:rPr>
        <w:t xml:space="preserve"> ~</w:t>
      </w:r>
      <w:r w:rsidR="00482258">
        <w:rPr>
          <w:rFonts w:cs="Times New Roman"/>
        </w:rPr>
        <w:t xml:space="preserve"> 3.2 µm compared to</w:t>
      </w:r>
      <w:r w:rsidR="001639D2">
        <w:rPr>
          <w:rFonts w:cs="Times New Roman"/>
        </w:rPr>
        <w:t xml:space="preserve"> ~</w:t>
      </w:r>
      <w:r w:rsidR="00482258">
        <w:rPr>
          <w:rFonts w:cs="Times New Roman"/>
        </w:rPr>
        <w:t xml:space="preserve"> 1.3 µm </w:t>
      </w:r>
      <w:r w:rsidR="002715F1">
        <w:rPr>
          <w:rFonts w:cs="Times New Roman"/>
        </w:rPr>
        <w:t>for PEO-DC</w:t>
      </w:r>
      <w:r w:rsidR="00A507B8">
        <w:rPr>
          <w:rFonts w:cs="Times New Roman"/>
        </w:rPr>
        <w:t>.</w:t>
      </w:r>
    </w:p>
    <w:p w14:paraId="6605CC7F" w14:textId="77777777" w:rsidR="00B93363" w:rsidRDefault="008E55EA" w:rsidP="00434471">
      <w:pPr>
        <w:keepNext/>
        <w:spacing w:before="120" w:after="0"/>
        <w:jc w:val="center"/>
      </w:pPr>
      <w:r>
        <w:rPr>
          <w:rFonts w:cs="Times New Roman"/>
          <w:noProof/>
        </w:rPr>
        <w:drawing>
          <wp:inline distT="0" distB="0" distL="0" distR="0" wp14:anchorId="6672D978" wp14:editId="19C67054">
            <wp:extent cx="4876800" cy="242881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0"/>
                    <a:srcRect l="23491" t="14681" r="13177" b="44110"/>
                    <a:stretch/>
                  </pic:blipFill>
                  <pic:spPr bwMode="auto">
                    <a:xfrm>
                      <a:off x="0" y="0"/>
                      <a:ext cx="4889288" cy="2435032"/>
                    </a:xfrm>
                    <a:prstGeom prst="rect">
                      <a:avLst/>
                    </a:prstGeom>
                    <a:ln>
                      <a:noFill/>
                    </a:ln>
                    <a:extLst>
                      <a:ext uri="{53640926-AAD7-44D8-BBD7-CCE9431645EC}">
                        <a14:shadowObscured xmlns:a14="http://schemas.microsoft.com/office/drawing/2010/main"/>
                      </a:ext>
                    </a:extLst>
                  </pic:spPr>
                </pic:pic>
              </a:graphicData>
            </a:graphic>
          </wp:inline>
        </w:drawing>
      </w:r>
    </w:p>
    <w:p w14:paraId="65CFEF1F" w14:textId="21F88D3E" w:rsidR="00843449" w:rsidRPr="00B93363" w:rsidRDefault="00B93363" w:rsidP="00B93363">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2</w:t>
      </w:r>
      <w:r>
        <w:fldChar w:fldCharType="end"/>
      </w:r>
      <w:r>
        <w:t xml:space="preserve">. </w:t>
      </w:r>
      <w:r>
        <w:rPr>
          <w:b w:val="0"/>
          <w:bCs/>
        </w:rPr>
        <w:t xml:space="preserve">TEM overview of </w:t>
      </w:r>
      <w:r w:rsidRPr="00B93363">
        <w:t>a)</w:t>
      </w:r>
      <w:r>
        <w:rPr>
          <w:b w:val="0"/>
          <w:bCs/>
        </w:rPr>
        <w:t xml:space="preserve"> PEO-DC and </w:t>
      </w:r>
      <w:r w:rsidRPr="00B93363">
        <w:t>b)</w:t>
      </w:r>
      <w:r>
        <w:rPr>
          <w:b w:val="0"/>
          <w:bCs/>
        </w:rPr>
        <w:t xml:space="preserve"> PEO-H-25 cross sections</w:t>
      </w:r>
      <w:r w:rsidR="00FC41F1">
        <w:rPr>
          <w:b w:val="0"/>
          <w:bCs/>
        </w:rPr>
        <w:t>.</w:t>
      </w:r>
    </w:p>
    <w:p w14:paraId="653C0CBF" w14:textId="6AE2CDDF" w:rsidR="002E5382" w:rsidRPr="00273507" w:rsidRDefault="00A507B8" w:rsidP="001448A2">
      <w:pPr>
        <w:spacing w:before="240"/>
        <w:rPr>
          <w:rFonts w:cs="Times New Roman"/>
        </w:rPr>
      </w:pPr>
      <w:r>
        <w:rPr>
          <w:rFonts w:cs="Times New Roman"/>
        </w:rPr>
        <w:t xml:space="preserve">Focusing on barrier layer </w:t>
      </w:r>
      <w:r w:rsidR="00CD56D4">
        <w:rPr>
          <w:rFonts w:cs="Times New Roman"/>
        </w:rPr>
        <w:t>properties</w:t>
      </w:r>
      <w:r w:rsidR="00C61570">
        <w:rPr>
          <w:rFonts w:cs="Times New Roman"/>
        </w:rPr>
        <w:t>,</w:t>
      </w:r>
      <w:r w:rsidR="00CD56D4">
        <w:rPr>
          <w:rFonts w:cs="Times New Roman"/>
        </w:rPr>
        <w:t xml:space="preserve"> EELS was used to obtain a detailed </w:t>
      </w:r>
      <w:r w:rsidR="00E073E8">
        <w:rPr>
          <w:rFonts w:cs="Times New Roman"/>
        </w:rPr>
        <w:t>characterization of the oxide stoic</w:t>
      </w:r>
      <w:r w:rsidR="00831289">
        <w:rPr>
          <w:rFonts w:cs="Times New Roman"/>
        </w:rPr>
        <w:t>hiometry</w:t>
      </w:r>
      <w:r w:rsidR="00DF22FA">
        <w:rPr>
          <w:rFonts w:cs="Times New Roman"/>
        </w:rPr>
        <w:t xml:space="preserve"> of the layers</w:t>
      </w:r>
      <w:r w:rsidR="00831289">
        <w:rPr>
          <w:rFonts w:cs="Times New Roman"/>
        </w:rPr>
        <w:t xml:space="preserve"> immediately in contact with </w:t>
      </w:r>
      <w:r w:rsidR="005A18ED">
        <w:rPr>
          <w:rFonts w:cs="Times New Roman"/>
        </w:rPr>
        <w:t>Ti</w:t>
      </w:r>
      <w:r w:rsidR="00831289">
        <w:rPr>
          <w:rFonts w:cs="Times New Roman"/>
        </w:rPr>
        <w:t>.</w:t>
      </w:r>
      <w:r w:rsidR="008823B0">
        <w:rPr>
          <w:rFonts w:cs="Times New Roman"/>
        </w:rPr>
        <w:t xml:space="preserve"> </w:t>
      </w:r>
      <w:r w:rsidR="00361BC0">
        <w:rPr>
          <w:rFonts w:cs="Times New Roman"/>
        </w:rPr>
        <w:t xml:space="preserve">EELS spectra extracted from the present analysis are collected in </w:t>
      </w:r>
      <w:r w:rsidR="00361BC0" w:rsidRPr="002E5382">
        <w:rPr>
          <w:rFonts w:cs="Times New Roman"/>
          <w:b/>
          <w:bCs/>
        </w:rPr>
        <w:t xml:space="preserve">Fig. </w:t>
      </w:r>
      <w:r w:rsidR="004E010E">
        <w:rPr>
          <w:rFonts w:cs="Times New Roman"/>
          <w:b/>
          <w:bCs/>
        </w:rPr>
        <w:t>3</w:t>
      </w:r>
      <w:r w:rsidR="00361BC0">
        <w:rPr>
          <w:rFonts w:cs="Times New Roman"/>
        </w:rPr>
        <w:t xml:space="preserve">, </w:t>
      </w:r>
      <w:r w:rsidR="002E5382">
        <w:rPr>
          <w:rFonts w:cs="Times New Roman"/>
        </w:rPr>
        <w:t>with Ti</w:t>
      </w:r>
      <w:r w:rsidR="002E5382">
        <w:rPr>
          <w:rFonts w:cs="Times New Roman"/>
          <w:vertAlign w:val="superscript"/>
        </w:rPr>
        <w:t>4+</w:t>
      </w:r>
      <w:r w:rsidR="002E5382">
        <w:rPr>
          <w:rFonts w:cs="Times New Roman"/>
        </w:rPr>
        <w:t xml:space="preserve"> bearing phases in </w:t>
      </w:r>
      <w:r w:rsidR="002E5382" w:rsidRPr="002E5382">
        <w:rPr>
          <w:rFonts w:cs="Times New Roman"/>
          <w:b/>
          <w:bCs/>
        </w:rPr>
        <w:t>a)</w:t>
      </w:r>
      <w:r w:rsidR="002E5382">
        <w:rPr>
          <w:rFonts w:cs="Times New Roman"/>
        </w:rPr>
        <w:t xml:space="preserve"> and titanium sub-oxide</w:t>
      </w:r>
      <w:r w:rsidR="00C4032D">
        <w:rPr>
          <w:rFonts w:cs="Times New Roman"/>
        </w:rPr>
        <w:t>s</w:t>
      </w:r>
      <w:r w:rsidR="002E5382">
        <w:rPr>
          <w:rFonts w:cs="Times New Roman"/>
        </w:rPr>
        <w:t xml:space="preserve"> in </w:t>
      </w:r>
      <w:r w:rsidR="002E5382" w:rsidRPr="002E5382">
        <w:rPr>
          <w:rFonts w:cs="Times New Roman"/>
          <w:b/>
          <w:bCs/>
        </w:rPr>
        <w:t>b)</w:t>
      </w:r>
      <w:r w:rsidR="00702D35">
        <w:rPr>
          <w:rFonts w:cs="Times New Roman"/>
        </w:rPr>
        <w:t xml:space="preserve">. </w:t>
      </w:r>
      <w:r w:rsidR="00874C42">
        <w:rPr>
          <w:rFonts w:cs="Times New Roman"/>
        </w:rPr>
        <w:t>Spin orbit coupling is responsible for</w:t>
      </w:r>
      <w:r w:rsidR="00F33432">
        <w:rPr>
          <w:rFonts w:cs="Times New Roman"/>
        </w:rPr>
        <w:t xml:space="preserve"> the formation of a doublet in all the spectra</w:t>
      </w:r>
      <w:r w:rsidR="00CE15A7">
        <w:rPr>
          <w:rFonts w:cs="Times New Roman"/>
        </w:rPr>
        <w:t xml:space="preserve">, manifested as the </w:t>
      </w:r>
      <w:r w:rsidR="00CE15A7">
        <w:rPr>
          <w:rFonts w:cs="Times New Roman"/>
        </w:rPr>
        <w:lastRenderedPageBreak/>
        <w:t>appearance of L</w:t>
      </w:r>
      <w:r w:rsidR="00CE15A7">
        <w:rPr>
          <w:rFonts w:cs="Times New Roman"/>
          <w:vertAlign w:val="subscript"/>
        </w:rPr>
        <w:t>3</w:t>
      </w:r>
      <w:r w:rsidR="00CE15A7">
        <w:rPr>
          <w:rFonts w:cs="Times New Roman"/>
        </w:rPr>
        <w:t xml:space="preserve"> and L</w:t>
      </w:r>
      <w:r w:rsidR="00CE15A7">
        <w:rPr>
          <w:rFonts w:cs="Times New Roman"/>
          <w:vertAlign w:val="subscript"/>
        </w:rPr>
        <w:t>2</w:t>
      </w:r>
      <w:r w:rsidR="00CE15A7">
        <w:rPr>
          <w:rFonts w:cs="Times New Roman"/>
        </w:rPr>
        <w:t xml:space="preserve"> </w:t>
      </w:r>
      <w:r w:rsidR="00C61570">
        <w:rPr>
          <w:rFonts w:cs="Times New Roman"/>
        </w:rPr>
        <w:t xml:space="preserve">edge </w:t>
      </w:r>
      <w:r w:rsidR="00CE15A7">
        <w:rPr>
          <w:rFonts w:cs="Times New Roman"/>
        </w:rPr>
        <w:t xml:space="preserve">components. Then, in case of </w:t>
      </w:r>
      <w:r w:rsidR="00BB002E">
        <w:rPr>
          <w:rFonts w:cs="Times New Roman"/>
        </w:rPr>
        <w:t>Ti</w:t>
      </w:r>
      <w:r w:rsidR="00C767E2">
        <w:rPr>
          <w:rFonts w:cs="Times New Roman"/>
          <w:vertAlign w:val="superscript"/>
        </w:rPr>
        <w:t>4+</w:t>
      </w:r>
      <w:r w:rsidR="00BB002E">
        <w:rPr>
          <w:rFonts w:cs="Times New Roman"/>
        </w:rPr>
        <w:t xml:space="preserve"> valenc</w:t>
      </w:r>
      <w:r w:rsidR="000D17F8">
        <w:rPr>
          <w:rFonts w:cs="Times New Roman"/>
        </w:rPr>
        <w:t xml:space="preserve">e crystal field </w:t>
      </w:r>
      <w:r w:rsidR="009A143A">
        <w:rPr>
          <w:rFonts w:cs="Times New Roman"/>
        </w:rPr>
        <w:t>effects</w:t>
      </w:r>
      <w:r w:rsidR="000D17F8">
        <w:rPr>
          <w:rFonts w:cs="Times New Roman"/>
        </w:rPr>
        <w:t xml:space="preserve"> determine</w:t>
      </w:r>
      <w:r w:rsidR="00F757D3">
        <w:rPr>
          <w:rFonts w:cs="Times New Roman"/>
        </w:rPr>
        <w:t xml:space="preserve"> a further splitting into four features </w:t>
      </w:r>
      <w:r w:rsidR="00E65C8B">
        <w:rPr>
          <w:rFonts w:cs="Times New Roman"/>
        </w:rPr>
        <w:t>labelled as: L</w:t>
      </w:r>
      <w:r w:rsidR="00E65C8B">
        <w:rPr>
          <w:rFonts w:cs="Times New Roman"/>
          <w:vertAlign w:val="subscript"/>
        </w:rPr>
        <w:t>3</w:t>
      </w:r>
      <w:r w:rsidR="00E65C8B">
        <w:rPr>
          <w:rFonts w:cs="Times New Roman"/>
        </w:rPr>
        <w:t xml:space="preserve"> t</w:t>
      </w:r>
      <w:r w:rsidR="00E65C8B">
        <w:rPr>
          <w:rFonts w:cs="Times New Roman"/>
          <w:vertAlign w:val="subscript"/>
        </w:rPr>
        <w:t>2g</w:t>
      </w:r>
      <w:r w:rsidR="00E65C8B">
        <w:rPr>
          <w:rFonts w:cs="Times New Roman"/>
        </w:rPr>
        <w:t>-e</w:t>
      </w:r>
      <w:r w:rsidR="00E65C8B">
        <w:rPr>
          <w:rFonts w:cs="Times New Roman"/>
          <w:vertAlign w:val="subscript"/>
        </w:rPr>
        <w:t>g</w:t>
      </w:r>
      <w:r w:rsidR="00E65C8B">
        <w:rPr>
          <w:rFonts w:cs="Times New Roman"/>
        </w:rPr>
        <w:t xml:space="preserve"> and </w:t>
      </w:r>
      <w:r w:rsidR="00E65C8B" w:rsidRPr="00E65C8B">
        <w:rPr>
          <w:rFonts w:cs="Times New Roman"/>
        </w:rPr>
        <w:t>L</w:t>
      </w:r>
      <w:r w:rsidR="00E65C8B">
        <w:rPr>
          <w:rFonts w:cs="Times New Roman"/>
          <w:vertAlign w:val="subscript"/>
        </w:rPr>
        <w:t>2</w:t>
      </w:r>
      <w:r w:rsidR="00E65C8B" w:rsidRPr="00E65C8B">
        <w:rPr>
          <w:rFonts w:cs="Times New Roman"/>
        </w:rPr>
        <w:t xml:space="preserve"> t</w:t>
      </w:r>
      <w:r w:rsidR="00E65C8B" w:rsidRPr="00E65C8B">
        <w:rPr>
          <w:rFonts w:cs="Times New Roman"/>
          <w:vertAlign w:val="subscript"/>
        </w:rPr>
        <w:t>2g</w:t>
      </w:r>
      <w:r w:rsidR="00E65C8B" w:rsidRPr="00E65C8B">
        <w:rPr>
          <w:rFonts w:cs="Times New Roman"/>
        </w:rPr>
        <w:t>-e</w:t>
      </w:r>
      <w:r w:rsidR="00E65C8B" w:rsidRPr="00E65C8B">
        <w:rPr>
          <w:rFonts w:cs="Times New Roman"/>
          <w:vertAlign w:val="subscript"/>
        </w:rPr>
        <w:t>g</w:t>
      </w:r>
      <w:r w:rsidR="003E1291">
        <w:rPr>
          <w:rFonts w:cs="Times New Roman"/>
        </w:rPr>
        <w:t xml:space="preserve"> </w:t>
      </w:r>
      <w:r w:rsidR="002379A7">
        <w:rPr>
          <w:rFonts w:cs="Times New Roman"/>
        </w:rPr>
        <w:t>listed according to increasing electron energy losses.</w:t>
      </w:r>
      <w:r w:rsidR="00191657">
        <w:rPr>
          <w:rFonts w:cs="Times New Roman"/>
        </w:rPr>
        <w:t xml:space="preserve"> </w:t>
      </w:r>
      <w:r w:rsidR="00D92863">
        <w:rPr>
          <w:rFonts w:cs="Times New Roman"/>
        </w:rPr>
        <w:t>Particularly useful, for structural discrimination</w:t>
      </w:r>
      <w:r w:rsidR="00B7389B">
        <w:rPr>
          <w:rFonts w:cs="Times New Roman"/>
        </w:rPr>
        <w:t>,</w:t>
      </w:r>
      <w:r w:rsidR="00D92863">
        <w:rPr>
          <w:rFonts w:cs="Times New Roman"/>
        </w:rPr>
        <w:t xml:space="preserve"> is the L</w:t>
      </w:r>
      <w:r w:rsidR="00D92863">
        <w:rPr>
          <w:rFonts w:cs="Times New Roman"/>
          <w:vertAlign w:val="subscript"/>
        </w:rPr>
        <w:t>3</w:t>
      </w:r>
      <w:r w:rsidR="00D92863">
        <w:rPr>
          <w:rFonts w:cs="Times New Roman"/>
        </w:rPr>
        <w:t>-e</w:t>
      </w:r>
      <w:r w:rsidR="00D92863">
        <w:rPr>
          <w:rFonts w:cs="Times New Roman"/>
          <w:vertAlign w:val="subscript"/>
        </w:rPr>
        <w:t>g</w:t>
      </w:r>
      <w:r w:rsidR="00D92863">
        <w:rPr>
          <w:rFonts w:cs="Times New Roman"/>
        </w:rPr>
        <w:t xml:space="preserve"> component </w:t>
      </w:r>
      <w:r w:rsidR="006E6988">
        <w:rPr>
          <w:rFonts w:cs="Times New Roman"/>
        </w:rPr>
        <w:t>being</w:t>
      </w:r>
      <w:r w:rsidR="00D92863">
        <w:rPr>
          <w:rFonts w:cs="Times New Roman"/>
        </w:rPr>
        <w:t xml:space="preserve"> very </w:t>
      </w:r>
      <w:r w:rsidR="00C61570">
        <w:rPr>
          <w:rFonts w:cs="Times New Roman"/>
        </w:rPr>
        <w:t xml:space="preserve">sensitive </w:t>
      </w:r>
      <w:r w:rsidR="00D92863">
        <w:rPr>
          <w:rFonts w:cs="Times New Roman"/>
        </w:rPr>
        <w:t>to the bonding environment</w:t>
      </w:r>
      <w:r w:rsidR="00651A3E">
        <w:rPr>
          <w:rFonts w:cs="Times New Roman"/>
        </w:rPr>
        <w:t xml:space="preserve"> </w:t>
      </w:r>
      <w:r w:rsidR="006E6988">
        <w:rPr>
          <w:rFonts w:cs="Times New Roman"/>
        </w:rPr>
        <w:t>surrounding the cation</w:t>
      </w:r>
      <w:r w:rsidR="00CD1059">
        <w:rPr>
          <w:rFonts w:cs="Times New Roman"/>
        </w:rPr>
        <w:t xml:space="preserve"> as the e</w:t>
      </w:r>
      <w:r w:rsidR="00CD1059">
        <w:rPr>
          <w:rFonts w:cs="Times New Roman"/>
          <w:vertAlign w:val="subscript"/>
        </w:rPr>
        <w:t>g</w:t>
      </w:r>
      <w:r w:rsidR="00CD1059">
        <w:rPr>
          <w:rFonts w:cs="Times New Roman"/>
        </w:rPr>
        <w:t xml:space="preserve"> orbital points directly towards the ligand</w:t>
      </w:r>
      <w:r w:rsidR="00D92863">
        <w:rPr>
          <w:rFonts w:cs="Times New Roman"/>
        </w:rPr>
        <w:t xml:space="preserve">. </w:t>
      </w:r>
      <w:r w:rsidR="00472EAC">
        <w:rPr>
          <w:rFonts w:cs="Times New Roman"/>
        </w:rPr>
        <w:t>The latter feature</w:t>
      </w:r>
      <w:r w:rsidR="00273507">
        <w:rPr>
          <w:rFonts w:cs="Times New Roman"/>
        </w:rPr>
        <w:t xml:space="preserve"> appears</w:t>
      </w:r>
      <w:r w:rsidR="00472EAC">
        <w:rPr>
          <w:rFonts w:cs="Times New Roman"/>
        </w:rPr>
        <w:t xml:space="preserve"> particularly modified</w:t>
      </w:r>
      <w:r w:rsidR="00273507">
        <w:rPr>
          <w:rFonts w:cs="Times New Roman"/>
        </w:rPr>
        <w:t xml:space="preserve"> in case of TiO</w:t>
      </w:r>
      <w:r w:rsidR="00273507">
        <w:rPr>
          <w:rFonts w:cs="Times New Roman"/>
          <w:vertAlign w:val="subscript"/>
        </w:rPr>
        <w:t>2</w:t>
      </w:r>
      <w:r w:rsidR="00273507">
        <w:rPr>
          <w:rFonts w:cs="Times New Roman"/>
        </w:rPr>
        <w:t>-D</w:t>
      </w:r>
      <w:r w:rsidR="00AD548A">
        <w:rPr>
          <w:rFonts w:cs="Times New Roman"/>
        </w:rPr>
        <w:t xml:space="preserve"> (“defected TiO</w:t>
      </w:r>
      <w:r w:rsidR="00AD548A">
        <w:rPr>
          <w:rFonts w:cs="Times New Roman"/>
          <w:vertAlign w:val="subscript"/>
        </w:rPr>
        <w:t>2</w:t>
      </w:r>
      <w:r w:rsidR="00AD548A">
        <w:rPr>
          <w:rFonts w:cs="Times New Roman"/>
        </w:rPr>
        <w:t>”</w:t>
      </w:r>
      <w:r w:rsidR="00472EAC">
        <w:rPr>
          <w:rFonts w:cs="Times New Roman"/>
        </w:rPr>
        <w:t xml:space="preserve"> </w:t>
      </w:r>
      <w:r w:rsidR="000922A9">
        <w:rPr>
          <w:rFonts w:cs="Times New Roman"/>
        </w:rPr>
        <w:t>displayed in blue</w:t>
      </w:r>
      <w:r w:rsidR="00AD548A">
        <w:rPr>
          <w:rFonts w:cs="Times New Roman"/>
        </w:rPr>
        <w:t>)</w:t>
      </w:r>
      <w:r w:rsidR="00064AC1">
        <w:rPr>
          <w:rFonts w:cs="Times New Roman"/>
        </w:rPr>
        <w:t xml:space="preserve"> </w:t>
      </w:r>
      <w:r w:rsidR="00922CFE">
        <w:rPr>
          <w:rFonts w:cs="Times New Roman"/>
        </w:rPr>
        <w:t>revealing</w:t>
      </w:r>
      <w:r w:rsidR="00064AC1">
        <w:rPr>
          <w:rFonts w:cs="Times New Roman"/>
        </w:rPr>
        <w:t xml:space="preserve"> the presence of a broad peak</w:t>
      </w:r>
      <w:r w:rsidR="00330ADC">
        <w:rPr>
          <w:rFonts w:cs="Times New Roman"/>
        </w:rPr>
        <w:t xml:space="preserve"> postulated</w:t>
      </w:r>
      <w:r w:rsidR="00AD548A">
        <w:rPr>
          <w:rFonts w:cs="Times New Roman"/>
        </w:rPr>
        <w:t xml:space="preserve"> to be related to crystal lattice modifications induced by retention of foreign elements like S</w:t>
      </w:r>
      <w:r w:rsidR="008D05A0">
        <w:rPr>
          <w:rFonts w:cs="Times New Roman"/>
        </w:rPr>
        <w:t xml:space="preserve"> </w:t>
      </w:r>
      <w:r w:rsidR="000922A9">
        <w:rPr>
          <w:rFonts w:cs="Times New Roman"/>
        </w:rPr>
        <w:fldChar w:fldCharType="begin" w:fldLock="1"/>
      </w:r>
      <w:r w:rsidR="00F36CB3">
        <w:rPr>
          <w:rFonts w:cs="Times New Roman"/>
        </w:rPr>
        <w:instrText>ADDIN CSL_CITATION {"citationItems":[{"id":"ITEM-1","itemData":{"DOI":"10.1016/j.apsusc.2021.151133","ISSN":"01694332","author":[{"dropping-particle":"","family":"Casanova","given":"Luca","non-dropping-particle":"","parse-names":false,"suffix":""},{"dropping-particle":"","family":"Arosio","given":"Mattia","non-dropping-particle":"","parse-names":false,"suffix":""},{"dropping-particle":"","family":"Taghi Hashemi","given":"Mohammad","non-dropping-particle":"","parse-names":false,"suffix":""},{"dropping-particle":"","family":"Pedeferri","given":"MariaPia","non-dropping-particle":"","parse-names":false,"suffix":""},{"dropping-particle":"","family":"Botton","given":"Gianluigi A.","non-dropping-particle":"","parse-names":false,"suffix":""},{"dropping-particle":"","family":"Ormellese","given":"Marco","non-dropping-particle":"","parse-names":false,"suffix":""}],"container-title":"Applied Surface Science","id":"ITEM-1","issue":"July","issued":{"date-parts":[["2021"]]},"page":"151133","publisher":"Elsevier B.V.","title":"A nanoscale investigation on the influence of anodization parameters during plasma electrolytic oxidation of titanium by high-resolution electron energy loss spectroscopy","type":"article-journal","volume":"570"},"uris":["http://www.mendeley.com/documents/?uuid=2beabf61-15b9-4553-893d-807e82e26cf3"]}],"mendeley":{"formattedCitation":"[30]","plainTextFormattedCitation":"[30]","previouslyFormattedCitation":"[30]"},"properties":{"noteIndex":0},"schema":"https://github.com/citation-style-language/schema/raw/master/csl-citation.json"}</w:instrText>
      </w:r>
      <w:r w:rsidR="000922A9">
        <w:rPr>
          <w:rFonts w:cs="Times New Roman"/>
        </w:rPr>
        <w:fldChar w:fldCharType="separate"/>
      </w:r>
      <w:r w:rsidR="000D478A" w:rsidRPr="000D478A">
        <w:rPr>
          <w:rFonts w:cs="Times New Roman"/>
          <w:noProof/>
        </w:rPr>
        <w:t>[30]</w:t>
      </w:r>
      <w:r w:rsidR="000922A9">
        <w:rPr>
          <w:rFonts w:cs="Times New Roman"/>
        </w:rPr>
        <w:fldChar w:fldCharType="end"/>
      </w:r>
      <w:r w:rsidR="00AD548A">
        <w:rPr>
          <w:rFonts w:cs="Times New Roman"/>
        </w:rPr>
        <w:t>.</w:t>
      </w:r>
    </w:p>
    <w:p w14:paraId="34C71536" w14:textId="77777777" w:rsidR="00FC41F1" w:rsidRDefault="004C474F" w:rsidP="00434471">
      <w:pPr>
        <w:keepNext/>
        <w:spacing w:after="0"/>
        <w:jc w:val="center"/>
      </w:pPr>
      <w:r>
        <w:rPr>
          <w:rFonts w:cs="Times New Roman"/>
          <w:noProof/>
        </w:rPr>
        <w:drawing>
          <wp:inline distT="0" distB="0" distL="0" distR="0" wp14:anchorId="2BC6467D" wp14:editId="7B57A78C">
            <wp:extent cx="2757055" cy="3810000"/>
            <wp:effectExtent l="0" t="0" r="5715" b="0"/>
            <wp:docPr id="7" name="Picture 7"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diagram&#10;&#10;Description automatically generated"/>
                    <pic:cNvPicPr/>
                  </pic:nvPicPr>
                  <pic:blipFill rotWithShape="1">
                    <a:blip r:embed="rId11"/>
                    <a:srcRect l="10754" t="9676" r="44189" b="1618"/>
                    <a:stretch/>
                  </pic:blipFill>
                  <pic:spPr bwMode="auto">
                    <a:xfrm>
                      <a:off x="0" y="0"/>
                      <a:ext cx="2757555" cy="3810691"/>
                    </a:xfrm>
                    <a:prstGeom prst="rect">
                      <a:avLst/>
                    </a:prstGeom>
                    <a:ln>
                      <a:noFill/>
                    </a:ln>
                    <a:extLst>
                      <a:ext uri="{53640926-AAD7-44D8-BBD7-CCE9431645EC}">
                        <a14:shadowObscured xmlns:a14="http://schemas.microsoft.com/office/drawing/2010/main"/>
                      </a:ext>
                    </a:extLst>
                  </pic:spPr>
                </pic:pic>
              </a:graphicData>
            </a:graphic>
          </wp:inline>
        </w:drawing>
      </w:r>
    </w:p>
    <w:p w14:paraId="43348538" w14:textId="78B6C1A8" w:rsidR="002E5382" w:rsidRPr="00FC41F1" w:rsidRDefault="00FC41F1" w:rsidP="00FC41F1">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3</w:t>
      </w:r>
      <w:r>
        <w:fldChar w:fldCharType="end"/>
      </w:r>
      <w:r>
        <w:t xml:space="preserve">. </w:t>
      </w:r>
      <w:r>
        <w:rPr>
          <w:b w:val="0"/>
          <w:bCs/>
        </w:rPr>
        <w:t xml:space="preserve">EELS spectra of </w:t>
      </w:r>
      <w:r w:rsidRPr="00D63484">
        <w:t>a)</w:t>
      </w:r>
      <w:r>
        <w:rPr>
          <w:b w:val="0"/>
          <w:bCs/>
        </w:rPr>
        <w:t xml:space="preserve"> Ti</w:t>
      </w:r>
      <w:r>
        <w:rPr>
          <w:b w:val="0"/>
          <w:bCs/>
          <w:vertAlign w:val="superscript"/>
        </w:rPr>
        <w:t>4+</w:t>
      </w:r>
      <w:r>
        <w:rPr>
          <w:b w:val="0"/>
          <w:bCs/>
        </w:rPr>
        <w:t xml:space="preserve"> oxide bearing phases and </w:t>
      </w:r>
      <w:r w:rsidRPr="00D63484">
        <w:t>b)</w:t>
      </w:r>
      <w:r>
        <w:rPr>
          <w:b w:val="0"/>
          <w:bCs/>
        </w:rPr>
        <w:t xml:space="preserve"> Ti suboxides</w:t>
      </w:r>
    </w:p>
    <w:p w14:paraId="1E205F0F" w14:textId="364A2D89" w:rsidR="00C86EE8" w:rsidRPr="008714D4" w:rsidRDefault="00A36343" w:rsidP="001448A2">
      <w:pPr>
        <w:spacing w:before="240"/>
        <w:rPr>
          <w:rFonts w:cs="Times New Roman"/>
        </w:rPr>
      </w:pPr>
      <w:r>
        <w:rPr>
          <w:rFonts w:cs="Times New Roman"/>
        </w:rPr>
        <w:t>For sake of representation</w:t>
      </w:r>
      <w:r w:rsidR="00C61570">
        <w:rPr>
          <w:rFonts w:cs="Times New Roman"/>
        </w:rPr>
        <w:t>,</w:t>
      </w:r>
      <w:r w:rsidR="00E3743C" w:rsidRPr="00E3743C">
        <w:rPr>
          <w:rFonts w:cs="Times New Roman"/>
        </w:rPr>
        <w:t xml:space="preserve"> component map</w:t>
      </w:r>
      <w:r w:rsidR="006B2A4C">
        <w:rPr>
          <w:rFonts w:cs="Times New Roman"/>
        </w:rPr>
        <w:t>s</w:t>
      </w:r>
      <w:r w:rsidR="00E3743C" w:rsidRPr="00E3743C">
        <w:rPr>
          <w:rFonts w:cs="Times New Roman"/>
        </w:rPr>
        <w:t xml:space="preserve"> (each component identified with a color code) based on automatic structural discrimination</w:t>
      </w:r>
      <w:r w:rsidR="00F209E0">
        <w:rPr>
          <w:rFonts w:cs="Times New Roman"/>
        </w:rPr>
        <w:t xml:space="preserve">, of </w:t>
      </w:r>
      <w:r w:rsidR="00E9544D">
        <w:rPr>
          <w:rFonts w:cs="Times New Roman"/>
        </w:rPr>
        <w:t>previous spectra</w:t>
      </w:r>
      <w:r w:rsidR="00297F69">
        <w:rPr>
          <w:rFonts w:cs="Times New Roman"/>
        </w:rPr>
        <w:t xml:space="preserve"> collected in </w:t>
      </w:r>
      <w:r w:rsidR="00297F69" w:rsidRPr="00297F69">
        <w:rPr>
          <w:rFonts w:cs="Times New Roman"/>
          <w:b/>
          <w:bCs/>
        </w:rPr>
        <w:t xml:space="preserve">Fig. </w:t>
      </w:r>
      <w:r w:rsidR="004E010E">
        <w:rPr>
          <w:rFonts w:cs="Times New Roman"/>
          <w:b/>
          <w:bCs/>
        </w:rPr>
        <w:t>3</w:t>
      </w:r>
      <w:r w:rsidR="00F209E0">
        <w:rPr>
          <w:rFonts w:cs="Times New Roman"/>
        </w:rPr>
        <w:t>,</w:t>
      </w:r>
      <w:r w:rsidR="00E3743C" w:rsidRPr="00E3743C">
        <w:rPr>
          <w:rFonts w:cs="Times New Roman"/>
        </w:rPr>
        <w:t xml:space="preserve"> w</w:t>
      </w:r>
      <w:r w:rsidR="006B2A4C">
        <w:rPr>
          <w:rFonts w:cs="Times New Roman"/>
        </w:rPr>
        <w:t xml:space="preserve">ere drawn </w:t>
      </w:r>
      <w:r w:rsidR="001A142E">
        <w:rPr>
          <w:rFonts w:cs="Times New Roman"/>
        </w:rPr>
        <w:t>for the</w:t>
      </w:r>
      <w:r w:rsidR="006B2A4C">
        <w:rPr>
          <w:rFonts w:cs="Times New Roman"/>
        </w:rPr>
        <w:t xml:space="preserve"> </w:t>
      </w:r>
      <w:r w:rsidR="007264E4">
        <w:rPr>
          <w:rFonts w:cs="Times New Roman"/>
        </w:rPr>
        <w:t xml:space="preserve">barrier layers of </w:t>
      </w:r>
      <w:r w:rsidR="001A142E">
        <w:rPr>
          <w:rFonts w:cs="Times New Roman"/>
        </w:rPr>
        <w:t>both</w:t>
      </w:r>
      <w:r w:rsidR="007264E4">
        <w:rPr>
          <w:rFonts w:cs="Times New Roman"/>
        </w:rPr>
        <w:t xml:space="preserve"> </w:t>
      </w:r>
      <w:r w:rsidR="00297F69">
        <w:rPr>
          <w:rFonts w:cs="Times New Roman"/>
        </w:rPr>
        <w:t>coatings,</w:t>
      </w:r>
      <w:r w:rsidR="00F90E64">
        <w:rPr>
          <w:rFonts w:cs="Times New Roman"/>
        </w:rPr>
        <w:t xml:space="preserve"> </w:t>
      </w:r>
      <w:r w:rsidR="00EB5F5D">
        <w:rPr>
          <w:rFonts w:cs="Times New Roman"/>
        </w:rPr>
        <w:t>as</w:t>
      </w:r>
      <w:r w:rsidR="00F90E64">
        <w:rPr>
          <w:rFonts w:cs="Times New Roman"/>
        </w:rPr>
        <w:t xml:space="preserve"> shown in </w:t>
      </w:r>
      <w:r w:rsidR="00F90E64" w:rsidRPr="00894DD6">
        <w:rPr>
          <w:rFonts w:cs="Times New Roman"/>
          <w:b/>
          <w:bCs/>
        </w:rPr>
        <w:t xml:space="preserve">Fig. </w:t>
      </w:r>
      <w:r w:rsidR="001E6A8A">
        <w:rPr>
          <w:rFonts w:cs="Times New Roman"/>
          <w:b/>
          <w:bCs/>
        </w:rPr>
        <w:t>4</w:t>
      </w:r>
      <w:r w:rsidR="00894DD6">
        <w:rPr>
          <w:rFonts w:cs="Times New Roman"/>
        </w:rPr>
        <w:t xml:space="preserve"> and </w:t>
      </w:r>
      <w:r w:rsidR="001E6A8A">
        <w:rPr>
          <w:rFonts w:cs="Times New Roman"/>
          <w:b/>
          <w:bCs/>
        </w:rPr>
        <w:t>5</w:t>
      </w:r>
      <w:r w:rsidR="007264E4">
        <w:rPr>
          <w:rFonts w:cs="Times New Roman"/>
        </w:rPr>
        <w:t xml:space="preserve">. It </w:t>
      </w:r>
      <w:r w:rsidR="00C45704">
        <w:rPr>
          <w:rFonts w:cs="Times New Roman"/>
        </w:rPr>
        <w:t>may be observed</w:t>
      </w:r>
      <w:r w:rsidR="007264E4">
        <w:rPr>
          <w:rFonts w:cs="Times New Roman"/>
        </w:rPr>
        <w:t xml:space="preserve"> that upon</w:t>
      </w:r>
      <w:r w:rsidR="00E9544D">
        <w:rPr>
          <w:rFonts w:cs="Times New Roman"/>
        </w:rPr>
        <w:t xml:space="preserve"> the</w:t>
      </w:r>
      <w:r w:rsidR="007264E4">
        <w:rPr>
          <w:rFonts w:cs="Times New Roman"/>
        </w:rPr>
        <w:t xml:space="preserve"> use of a DC regime</w:t>
      </w:r>
      <w:r w:rsidR="00C61570">
        <w:rPr>
          <w:rFonts w:cs="Times New Roman"/>
        </w:rPr>
        <w:t>,</w:t>
      </w:r>
      <w:r w:rsidR="007264E4">
        <w:rPr>
          <w:rFonts w:cs="Times New Roman"/>
        </w:rPr>
        <w:t xml:space="preserve"> </w:t>
      </w:r>
      <w:r w:rsidR="00803D4D">
        <w:rPr>
          <w:rFonts w:cs="Times New Roman"/>
        </w:rPr>
        <w:t>the stoichiometry</w:t>
      </w:r>
      <w:r w:rsidR="00402695">
        <w:rPr>
          <w:rFonts w:cs="Times New Roman"/>
        </w:rPr>
        <w:t xml:space="preserve"> regularly</w:t>
      </w:r>
      <w:r w:rsidR="00803D4D">
        <w:rPr>
          <w:rFonts w:cs="Times New Roman"/>
        </w:rPr>
        <w:t xml:space="preserve"> </w:t>
      </w:r>
      <w:r w:rsidR="00DE531E">
        <w:rPr>
          <w:rFonts w:cs="Times New Roman"/>
        </w:rPr>
        <w:t>distinguished</w:t>
      </w:r>
      <w:r w:rsidR="00803D4D">
        <w:rPr>
          <w:rFonts w:cs="Times New Roman"/>
        </w:rPr>
        <w:t xml:space="preserve"> in naturally grown Ti oxide</w:t>
      </w:r>
      <w:r w:rsidR="00C767E2">
        <w:rPr>
          <w:rFonts w:cs="Times New Roman"/>
        </w:rPr>
        <w:t xml:space="preserve"> </w:t>
      </w:r>
      <w:r w:rsidR="00386D81">
        <w:rPr>
          <w:rFonts w:cs="Times New Roman"/>
        </w:rPr>
        <w:fldChar w:fldCharType="begin" w:fldLock="1"/>
      </w:r>
      <w:r w:rsidR="00F36CB3">
        <w:rPr>
          <w:rFonts w:cs="Times New Roman"/>
        </w:rPr>
        <w:instrText>ADDIN CSL_CITATION {"citationItems":[{"id":"ITEM-1","itemData":{"DOI":"10.1016/S0169-4332(98)00927-1","ISSN":"01694332","abstract":"The incipient air-formed oxide film on titanium is approximately 80 angstrom in thickness and consists of TiO2. Sputtering the oxide film in vacuum with 3 keV argon ions changes the composition of the oxide film. XPS depth profiles obtained by sputtering with 3 keV argon ions show that after sputtering, the outermost portion of the film consists of TiO2 and that the inner portion consists of Ti2O3 and TiO. Mathematical analysis of the sputtered oxide film as a three-layer structure shows that with increased time of sputtering, the calculated thickness of TiO2 and its mole fraction in the oxide film decreases faster than that due solely to thinning of the outermost layer. In addition, the mole fraction of the TiO layer increases, while that of the Ti2O3 remains relatively unchanged during sputtering. These observations suggest that the ion beam reduces part of the TiO2 layer to Ti2O3, which in turn is then reduced to TiO.","author":[{"dropping-particle":"","family":"McCafferty","given":"E.","non-dropping-particle":"","parse-names":false,"suffix":""},{"dropping-particle":"","family":"Wightman","given":"J. P.","non-dropping-particle":"","parse-names":false,"suffix":""}],"container-title":"Applied Surface Science","id":"ITEM-1","issue":"1","issued":{"date-parts":[["1999"]]},"note":"- efffect of FIB on titanium oxide","page":"92-100","title":"X-ray photoelectron spectroscopy sputter profile study of the native air-formed oxide film on titanium","type":"article-journal","volume":"143"},"uris":["http://www.mendeley.com/documents/?uuid=827a8098-19fd-4f21-96f0-e7adee1007de"]},{"id":"ITEM-2","itemData":{"DOI":"10.1016/j.apsusc.2010.03.058","ISSN":"01694332","abstract":"Potentiostatically anodized oxide films on the surface of commercial pure titanium (cp-Ti) formed in sulfuric (0.5 M H 2 SO 4 ) and in phosphoric (1.4 M H 3 PO 4 ) acid solutions under variables anodizing voltages were investigated and compared with the native oxide film. Potentiodynamic polarization and electrochemical impedance spectroscopy, EIS, were used to predicate the different in corrosion behavior of the oxide film samples. Scanning electron microscope, SEM, and electron diffraction X-ray analysis, EDX, were used to investigate the difference in the morphology between different types of oxide films. The electrochemical characteristics were examined in phosphate saline buffer solution, PSB (pH 7.4) at 25 °C. Results have been shown that the nature of the native oxide film is thin and amorphous, while the process of anodization of Ti in both acid solutions plays an important role in changing the properties of passive oxide films. Significant increase in the corrosion resistance of the anodized surface film was recorded after 3 h of electrode immersion in PSB. On the other side, the coverage (θ) of film formed on cp-Ti was differed by changing the anodized acid solution. Impedance results showed that both the native film and anodized film formed on cp-Ti consist of two layers. The resistance of the anodized film has reached to the highest value by anodization of cp-Ti in H 3 PO 4 and the inner layer in the anodized film formed in both acid solutions is also porous. © 2010 Elsevier B.V. All rights reserved.","author":[{"dropping-particle":"","family":"Fadl-allah","given":"Sahar A.","non-dropping-particle":"","parse-names":false,"suffix":""},{"dropping-particle":"","family":"Mohsen","given":"Q.","non-dropping-particle":"","parse-names":false,"suffix":""}],"container-title":"Applied Surface Science","id":"ITEM-2","issue":"20","issued":{"date-parts":[["2010"]]},"note":"- per calcolarsi il coverage di siti attivi \n- eis titanio anodizzato in solf e fosf\n- calcoli fraction coverage of active surface","page":"5849-5855","publisher":"Elsevier B.V.","title":"Characterization of native and anodic oxide films formed on commercial pure titanium using electrochemical properties and morphology techniques","type":"article-journal","volume":"256"},"uris":["http://www.mendeley.com/documents/?uuid=42da367a-6668-4b7a-beb7-900ab6984bf4"]}],"mendeley":{"formattedCitation":"[33,34]","plainTextFormattedCitation":"[33,34]","previouslyFormattedCitation":"[33,34]"},"properties":{"noteIndex":0},"schema":"https://github.com/citation-style-language/schema/raw/master/csl-citation.json"}</w:instrText>
      </w:r>
      <w:r w:rsidR="00386D81">
        <w:rPr>
          <w:rFonts w:cs="Times New Roman"/>
        </w:rPr>
        <w:fldChar w:fldCharType="separate"/>
      </w:r>
      <w:r w:rsidR="000D478A" w:rsidRPr="000D478A">
        <w:rPr>
          <w:rFonts w:cs="Times New Roman"/>
          <w:noProof/>
        </w:rPr>
        <w:t>[33,34]</w:t>
      </w:r>
      <w:r w:rsidR="00386D81">
        <w:rPr>
          <w:rFonts w:cs="Times New Roman"/>
        </w:rPr>
        <w:fldChar w:fldCharType="end"/>
      </w:r>
      <w:r w:rsidR="00803D4D">
        <w:rPr>
          <w:rFonts w:cs="Times New Roman"/>
        </w:rPr>
        <w:t xml:space="preserve"> is preserved,</w:t>
      </w:r>
      <w:r w:rsidR="004A5675">
        <w:rPr>
          <w:rFonts w:cs="Times New Roman"/>
        </w:rPr>
        <w:t xml:space="preserve"> manifesting</w:t>
      </w:r>
      <w:r w:rsidR="00803D4D">
        <w:rPr>
          <w:rFonts w:cs="Times New Roman"/>
        </w:rPr>
        <w:t xml:space="preserve"> a characteristic three-layer </w:t>
      </w:r>
      <w:r w:rsidR="007E3C4F">
        <w:rPr>
          <w:rFonts w:cs="Times New Roman"/>
        </w:rPr>
        <w:t>structure</w:t>
      </w:r>
      <w:r w:rsidR="00D05C13">
        <w:rPr>
          <w:rFonts w:cs="Times New Roman"/>
        </w:rPr>
        <w:t xml:space="preserve">: </w:t>
      </w:r>
      <w:r w:rsidR="007E3C4F">
        <w:rPr>
          <w:rFonts w:cs="Times New Roman"/>
        </w:rPr>
        <w:t>a first layer of TiO</w:t>
      </w:r>
      <w:r w:rsidR="008E7EFC">
        <w:rPr>
          <w:rFonts w:cs="Times New Roman"/>
        </w:rPr>
        <w:t xml:space="preserve"> </w:t>
      </w:r>
      <w:r w:rsidR="000C2A28">
        <w:rPr>
          <w:rFonts w:cs="Times New Roman"/>
        </w:rPr>
        <w:t>~</w:t>
      </w:r>
      <w:r w:rsidR="008E7EFC">
        <w:rPr>
          <w:rFonts w:cs="Times New Roman"/>
        </w:rPr>
        <w:t xml:space="preserve"> 12 nm thick</w:t>
      </w:r>
      <w:r w:rsidR="007E3C4F">
        <w:rPr>
          <w:rFonts w:cs="Times New Roman"/>
        </w:rPr>
        <w:t xml:space="preserve"> (Ti</w:t>
      </w:r>
      <w:r w:rsidR="007E3C4F">
        <w:rPr>
          <w:rFonts w:cs="Times New Roman"/>
          <w:vertAlign w:val="superscript"/>
        </w:rPr>
        <w:t>2+</w:t>
      </w:r>
      <w:r w:rsidR="00E64448">
        <w:rPr>
          <w:rFonts w:cs="Times New Roman"/>
        </w:rPr>
        <w:t xml:space="preserve"> in yellow</w:t>
      </w:r>
      <w:r w:rsidR="007E3C4F">
        <w:rPr>
          <w:rFonts w:cs="Times New Roman"/>
        </w:rPr>
        <w:t>) in contact with the metal followed by</w:t>
      </w:r>
      <w:r w:rsidR="000C2A28">
        <w:rPr>
          <w:rFonts w:cs="Times New Roman"/>
        </w:rPr>
        <w:t xml:space="preserve"> ~</w:t>
      </w:r>
      <w:r w:rsidR="00631436">
        <w:rPr>
          <w:rFonts w:cs="Times New Roman"/>
        </w:rPr>
        <w:t xml:space="preserve"> 47 nm of</w:t>
      </w:r>
      <w:r w:rsidR="007E3C4F">
        <w:rPr>
          <w:rFonts w:cs="Times New Roman"/>
        </w:rPr>
        <w:t xml:space="preserve"> Ti</w:t>
      </w:r>
      <w:r w:rsidR="007E3C4F">
        <w:rPr>
          <w:rFonts w:cs="Times New Roman"/>
          <w:vertAlign w:val="subscript"/>
        </w:rPr>
        <w:t>2</w:t>
      </w:r>
      <w:r w:rsidR="007E3C4F">
        <w:rPr>
          <w:rFonts w:cs="Times New Roman"/>
        </w:rPr>
        <w:t>O</w:t>
      </w:r>
      <w:r w:rsidR="007E3C4F">
        <w:rPr>
          <w:rFonts w:cs="Times New Roman"/>
          <w:vertAlign w:val="subscript"/>
        </w:rPr>
        <w:t>3</w:t>
      </w:r>
      <w:r w:rsidR="00E64448">
        <w:rPr>
          <w:rFonts w:cs="Times New Roman"/>
        </w:rPr>
        <w:t xml:space="preserve"> (in pink)</w:t>
      </w:r>
      <w:r w:rsidR="00E47D46">
        <w:rPr>
          <w:rFonts w:cs="Times New Roman"/>
        </w:rPr>
        <w:t>,</w:t>
      </w:r>
      <w:r w:rsidR="00F45646">
        <w:rPr>
          <w:rFonts w:cs="Times New Roman"/>
        </w:rPr>
        <w:t xml:space="preserve"> and</w:t>
      </w:r>
      <w:r w:rsidR="000C2A28">
        <w:rPr>
          <w:rFonts w:cs="Times New Roman"/>
        </w:rPr>
        <w:t xml:space="preserve"> ~</w:t>
      </w:r>
      <w:r w:rsidR="00F66F16">
        <w:rPr>
          <w:rFonts w:cs="Times New Roman"/>
        </w:rPr>
        <w:t xml:space="preserve"> 131 nm of </w:t>
      </w:r>
      <w:r w:rsidR="00F66F16">
        <w:rPr>
          <w:rFonts w:cs="Times New Roman"/>
        </w:rPr>
        <w:lastRenderedPageBreak/>
        <w:t xml:space="preserve">titanium oxide with a strong </w:t>
      </w:r>
      <w:r w:rsidR="00E47D46">
        <w:rPr>
          <w:rFonts w:cs="Times New Roman"/>
        </w:rPr>
        <w:t xml:space="preserve"> </w:t>
      </w:r>
      <w:r w:rsidR="007E3C4F">
        <w:rPr>
          <w:rFonts w:cs="Times New Roman"/>
        </w:rPr>
        <w:t>Ti</w:t>
      </w:r>
      <w:r w:rsidR="007E3C4F">
        <w:rPr>
          <w:rFonts w:cs="Times New Roman"/>
          <w:vertAlign w:val="superscript"/>
        </w:rPr>
        <w:t>3+</w:t>
      </w:r>
      <w:r w:rsidR="009835FA">
        <w:rPr>
          <w:rFonts w:cs="Times New Roman"/>
        </w:rPr>
        <w:t xml:space="preserve"> fingerprint</w:t>
      </w:r>
      <w:r w:rsidR="00E64448">
        <w:rPr>
          <w:rFonts w:cs="Times New Roman"/>
        </w:rPr>
        <w:t xml:space="preserve"> (in green)</w:t>
      </w:r>
      <w:r w:rsidR="00F1720A">
        <w:rPr>
          <w:rFonts w:cs="Times New Roman"/>
        </w:rPr>
        <w:t>. Then, outside the barrier region</w:t>
      </w:r>
      <w:r w:rsidR="008714D4">
        <w:rPr>
          <w:rFonts w:cs="Times New Roman"/>
        </w:rPr>
        <w:t>, the structure evolved towards an oxide phase characterized by a strong Ti</w:t>
      </w:r>
      <w:r w:rsidR="008714D4">
        <w:rPr>
          <w:rFonts w:cs="Times New Roman"/>
          <w:vertAlign w:val="superscript"/>
        </w:rPr>
        <w:t>4+</w:t>
      </w:r>
      <w:r w:rsidR="008714D4">
        <w:rPr>
          <w:rFonts w:cs="Times New Roman"/>
        </w:rPr>
        <w:t xml:space="preserve"> </w:t>
      </w:r>
      <w:r w:rsidR="005C38DC">
        <w:rPr>
          <w:rFonts w:cs="Times New Roman"/>
        </w:rPr>
        <w:t>character</w:t>
      </w:r>
      <w:r w:rsidR="008714D4">
        <w:rPr>
          <w:rFonts w:cs="Times New Roman"/>
        </w:rPr>
        <w:t xml:space="preserve"> before saturating towards anatase (not shown) in the upper portion of the porous layer.</w:t>
      </w:r>
    </w:p>
    <w:p w14:paraId="62A0BDD4" w14:textId="77777777" w:rsidR="00D63484" w:rsidRDefault="00C86EE8" w:rsidP="00434471">
      <w:pPr>
        <w:keepNext/>
        <w:spacing w:after="0"/>
        <w:jc w:val="center"/>
      </w:pPr>
      <w:r>
        <w:rPr>
          <w:rFonts w:cs="Times New Roman"/>
          <w:noProof/>
        </w:rPr>
        <w:drawing>
          <wp:inline distT="0" distB="0" distL="0" distR="0" wp14:anchorId="19147A49" wp14:editId="6C126DA6">
            <wp:extent cx="2727960" cy="2516867"/>
            <wp:effectExtent l="0" t="0" r="0" b="0"/>
            <wp:docPr id="4" name="Picture 4" descr="A picture containing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schematic&#10;&#10;Description automatically generated"/>
                    <pic:cNvPicPr/>
                  </pic:nvPicPr>
                  <pic:blipFill rotWithShape="1">
                    <a:blip r:embed="rId12"/>
                    <a:srcRect l="40620" t="33957" r="33233" b="34526"/>
                    <a:stretch/>
                  </pic:blipFill>
                  <pic:spPr bwMode="auto">
                    <a:xfrm>
                      <a:off x="0" y="0"/>
                      <a:ext cx="2732059" cy="2520649"/>
                    </a:xfrm>
                    <a:prstGeom prst="rect">
                      <a:avLst/>
                    </a:prstGeom>
                    <a:ln>
                      <a:noFill/>
                    </a:ln>
                    <a:extLst>
                      <a:ext uri="{53640926-AAD7-44D8-BBD7-CCE9431645EC}">
                        <a14:shadowObscured xmlns:a14="http://schemas.microsoft.com/office/drawing/2010/main"/>
                      </a:ext>
                    </a:extLst>
                  </pic:spPr>
                </pic:pic>
              </a:graphicData>
            </a:graphic>
          </wp:inline>
        </w:drawing>
      </w:r>
    </w:p>
    <w:p w14:paraId="7D9D076C" w14:textId="704C1213" w:rsidR="0066516B" w:rsidRPr="00D63484" w:rsidRDefault="00D63484" w:rsidP="00D63484">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4</w:t>
      </w:r>
      <w:r>
        <w:fldChar w:fldCharType="end"/>
      </w:r>
      <w:r>
        <w:t xml:space="preserve">. </w:t>
      </w:r>
      <w:bookmarkStart w:id="1" w:name="_Hlk85639846"/>
      <w:r w:rsidR="0049707E" w:rsidRPr="0049707E">
        <w:rPr>
          <w:b w:val="0"/>
          <w:bCs/>
        </w:rPr>
        <w:t xml:space="preserve">EELS component map based on the spectra identified with a color in </w:t>
      </w:r>
      <w:r w:rsidR="0049707E">
        <w:rPr>
          <w:b w:val="0"/>
          <w:bCs/>
        </w:rPr>
        <w:t>Fig. 3</w:t>
      </w:r>
      <w:r w:rsidR="004334E8">
        <w:rPr>
          <w:b w:val="0"/>
          <w:bCs/>
        </w:rPr>
        <w:t xml:space="preserve"> for PEO-DC barrier region</w:t>
      </w:r>
      <w:r w:rsidR="0049707E" w:rsidRPr="0049707E">
        <w:rPr>
          <w:b w:val="0"/>
          <w:bCs/>
        </w:rPr>
        <w:t xml:space="preserve"> where gray corresponds to metallic Ti, green to mix-Ti</w:t>
      </w:r>
      <w:r w:rsidR="0049707E" w:rsidRPr="00E238F3">
        <w:rPr>
          <w:b w:val="0"/>
          <w:bCs/>
          <w:vertAlign w:val="superscript"/>
        </w:rPr>
        <w:t>3</w:t>
      </w:r>
      <w:r w:rsidR="00E238F3">
        <w:rPr>
          <w:b w:val="0"/>
          <w:bCs/>
          <w:vertAlign w:val="superscript"/>
        </w:rPr>
        <w:t>+</w:t>
      </w:r>
      <w:r w:rsidR="0049707E" w:rsidRPr="0049707E">
        <w:rPr>
          <w:b w:val="0"/>
          <w:bCs/>
        </w:rPr>
        <w:t>,</w:t>
      </w:r>
      <w:r w:rsidR="001262C9">
        <w:rPr>
          <w:b w:val="0"/>
          <w:bCs/>
        </w:rPr>
        <w:t xml:space="preserve"> </w:t>
      </w:r>
      <w:r w:rsidR="001262C9" w:rsidRPr="001262C9">
        <w:rPr>
          <w:b w:val="0"/>
          <w:bCs/>
        </w:rPr>
        <w:t>light blue to mix-Ti</w:t>
      </w:r>
      <w:r w:rsidR="001262C9" w:rsidRPr="001262C9">
        <w:rPr>
          <w:b w:val="0"/>
          <w:bCs/>
          <w:vertAlign w:val="superscript"/>
        </w:rPr>
        <w:t>4+</w:t>
      </w:r>
      <w:r w:rsidR="001262C9">
        <w:rPr>
          <w:b w:val="0"/>
          <w:bCs/>
        </w:rPr>
        <w:t>,</w:t>
      </w:r>
      <w:r w:rsidR="0049707E" w:rsidRPr="0049707E">
        <w:rPr>
          <w:b w:val="0"/>
          <w:bCs/>
        </w:rPr>
        <w:t xml:space="preserve"> p</w:t>
      </w:r>
      <w:r w:rsidR="0049707E">
        <w:rPr>
          <w:b w:val="0"/>
          <w:bCs/>
        </w:rPr>
        <w:t>ink</w:t>
      </w:r>
      <w:r w:rsidR="0049707E" w:rsidRPr="0049707E">
        <w:rPr>
          <w:b w:val="0"/>
          <w:bCs/>
        </w:rPr>
        <w:t xml:space="preserve"> to Ti</w:t>
      </w:r>
      <w:r w:rsidR="0049707E">
        <w:rPr>
          <w:b w:val="0"/>
          <w:bCs/>
          <w:vertAlign w:val="subscript"/>
        </w:rPr>
        <w:t>2</w:t>
      </w:r>
      <w:r w:rsidR="0049707E" w:rsidRPr="0049707E">
        <w:rPr>
          <w:b w:val="0"/>
          <w:bCs/>
        </w:rPr>
        <w:t>O</w:t>
      </w:r>
      <w:r w:rsidR="0049707E">
        <w:rPr>
          <w:b w:val="0"/>
          <w:bCs/>
          <w:vertAlign w:val="subscript"/>
        </w:rPr>
        <w:t>3</w:t>
      </w:r>
      <w:r w:rsidR="004334E8">
        <w:rPr>
          <w:b w:val="0"/>
          <w:bCs/>
        </w:rPr>
        <w:t xml:space="preserve"> and </w:t>
      </w:r>
      <w:r w:rsidR="0049707E" w:rsidRPr="0049707E">
        <w:rPr>
          <w:b w:val="0"/>
          <w:bCs/>
        </w:rPr>
        <w:t>yellow to Ti</w:t>
      </w:r>
      <w:r w:rsidR="004334E8">
        <w:rPr>
          <w:b w:val="0"/>
          <w:bCs/>
        </w:rPr>
        <w:t>O</w:t>
      </w:r>
      <w:r w:rsidR="0049707E">
        <w:rPr>
          <w:b w:val="0"/>
          <w:bCs/>
        </w:rPr>
        <w:t>.</w:t>
      </w:r>
      <w:bookmarkEnd w:id="1"/>
    </w:p>
    <w:p w14:paraId="5932FC6D" w14:textId="6F73C38D" w:rsidR="00D75752" w:rsidRDefault="00902A88" w:rsidP="001448A2">
      <w:pPr>
        <w:spacing w:before="240"/>
        <w:rPr>
          <w:rFonts w:cs="Times New Roman"/>
        </w:rPr>
      </w:pPr>
      <w:r>
        <w:rPr>
          <w:rFonts w:cs="Times New Roman"/>
        </w:rPr>
        <w:t xml:space="preserve">Things are different </w:t>
      </w:r>
      <w:r w:rsidR="00784D6B">
        <w:rPr>
          <w:rFonts w:cs="Times New Roman"/>
        </w:rPr>
        <w:t xml:space="preserve">when </w:t>
      </w:r>
      <w:r>
        <w:rPr>
          <w:rFonts w:cs="Times New Roman"/>
        </w:rPr>
        <w:t xml:space="preserve">looking at </w:t>
      </w:r>
      <w:r w:rsidR="00F152AE">
        <w:rPr>
          <w:rFonts w:cs="Times New Roman"/>
        </w:rPr>
        <w:t xml:space="preserve">sample </w:t>
      </w:r>
      <w:r w:rsidR="00210C66">
        <w:rPr>
          <w:rFonts w:cs="Times New Roman"/>
        </w:rPr>
        <w:t>PEO-</w:t>
      </w:r>
      <w:r w:rsidR="00047BB0">
        <w:rPr>
          <w:rFonts w:cs="Times New Roman"/>
        </w:rPr>
        <w:t>H</w:t>
      </w:r>
      <w:r w:rsidR="00210C66">
        <w:rPr>
          <w:rFonts w:cs="Times New Roman"/>
        </w:rPr>
        <w:t>-25</w:t>
      </w:r>
      <w:r w:rsidR="00AB74A6">
        <w:rPr>
          <w:rFonts w:cs="Times New Roman"/>
        </w:rPr>
        <w:t xml:space="preserve">: pulsed anodizing </w:t>
      </w:r>
      <w:r w:rsidR="00C32FEE">
        <w:rPr>
          <w:rFonts w:cs="Times New Roman"/>
        </w:rPr>
        <w:t xml:space="preserve">comprising cathodic polarization favored the oxidation of </w:t>
      </w:r>
      <w:r w:rsidR="00662FFA">
        <w:rPr>
          <w:rFonts w:cs="Times New Roman"/>
        </w:rPr>
        <w:t xml:space="preserve">the </w:t>
      </w:r>
      <w:r w:rsidR="00386EDD">
        <w:rPr>
          <w:rFonts w:cs="Times New Roman"/>
        </w:rPr>
        <w:t>first 62</w:t>
      </w:r>
      <w:r w:rsidR="00C32FEE">
        <w:rPr>
          <w:rFonts w:cs="Times New Roman"/>
        </w:rPr>
        <w:t xml:space="preserve"> n</w:t>
      </w:r>
      <w:r w:rsidR="00386EDD">
        <w:rPr>
          <w:rFonts w:cs="Times New Roman"/>
        </w:rPr>
        <w:t>m</w:t>
      </w:r>
      <w:r w:rsidR="00C32FEE">
        <w:rPr>
          <w:rFonts w:cs="Times New Roman"/>
        </w:rPr>
        <w:t xml:space="preserve"> in contact with </w:t>
      </w:r>
      <w:r w:rsidR="00657F93">
        <w:rPr>
          <w:rFonts w:cs="Times New Roman"/>
        </w:rPr>
        <w:t>Ti</w:t>
      </w:r>
      <w:r w:rsidR="00EE4BF8">
        <w:rPr>
          <w:rFonts w:cs="Times New Roman"/>
        </w:rPr>
        <w:t>, denoting a prevalent Ti</w:t>
      </w:r>
      <w:r w:rsidR="00EE4BF8">
        <w:rPr>
          <w:rFonts w:cs="Times New Roman"/>
          <w:vertAlign w:val="superscript"/>
        </w:rPr>
        <w:t>4+</w:t>
      </w:r>
      <w:r w:rsidR="00EE4BF8">
        <w:rPr>
          <w:rFonts w:cs="Times New Roman"/>
        </w:rPr>
        <w:t xml:space="preserve"> character. </w:t>
      </w:r>
      <w:r w:rsidR="00386EDD">
        <w:rPr>
          <w:rFonts w:cs="Times New Roman"/>
        </w:rPr>
        <w:t xml:space="preserve">After that, </w:t>
      </w:r>
      <w:r w:rsidR="00200704">
        <w:rPr>
          <w:rFonts w:cs="Times New Roman"/>
        </w:rPr>
        <w:t>258 nm of defected TiO</w:t>
      </w:r>
      <w:r w:rsidR="00200704">
        <w:rPr>
          <w:rFonts w:cs="Times New Roman"/>
          <w:vertAlign w:val="subscript"/>
        </w:rPr>
        <w:t>2</w:t>
      </w:r>
      <w:r w:rsidR="00200704">
        <w:rPr>
          <w:rFonts w:cs="Times New Roman"/>
        </w:rPr>
        <w:t xml:space="preserve"> developed followed by </w:t>
      </w:r>
      <w:r w:rsidR="00716BEF">
        <w:rPr>
          <w:rFonts w:cs="Times New Roman"/>
        </w:rPr>
        <w:t xml:space="preserve">the establishment of the prevalent </w:t>
      </w:r>
      <w:r w:rsidR="008D25E5" w:rsidRPr="008D25E5">
        <w:rPr>
          <w:rFonts w:cs="Times New Roman"/>
        </w:rPr>
        <w:t>TiO</w:t>
      </w:r>
      <w:r w:rsidR="008D25E5" w:rsidRPr="008D25E5">
        <w:rPr>
          <w:rFonts w:cs="Times New Roman"/>
          <w:vertAlign w:val="subscript"/>
        </w:rPr>
        <w:t>2</w:t>
      </w:r>
      <w:r w:rsidR="008D25E5">
        <w:rPr>
          <w:rFonts w:cs="Times New Roman"/>
          <w:vertAlign w:val="subscript"/>
        </w:rPr>
        <w:t xml:space="preserve"> </w:t>
      </w:r>
      <w:r w:rsidR="008D25E5">
        <w:rPr>
          <w:rFonts w:cs="Times New Roman"/>
        </w:rPr>
        <w:t>polymorph present</w:t>
      </w:r>
      <w:r w:rsidR="00F675B8">
        <w:rPr>
          <w:rFonts w:cs="Times New Roman"/>
        </w:rPr>
        <w:t xml:space="preserve"> in </w:t>
      </w:r>
      <w:r w:rsidR="00987590">
        <w:rPr>
          <w:rFonts w:cs="Times New Roman"/>
        </w:rPr>
        <w:t>this coating</w:t>
      </w:r>
      <w:r w:rsidR="008D25E5">
        <w:rPr>
          <w:rFonts w:cs="Times New Roman"/>
        </w:rPr>
        <w:t>, i.e., rutile</w:t>
      </w:r>
      <w:r w:rsidR="00202A5B">
        <w:rPr>
          <w:rFonts w:cs="Times New Roman"/>
        </w:rPr>
        <w:t xml:space="preserve"> (in purple)</w:t>
      </w:r>
      <w:r w:rsidR="008D25E5">
        <w:rPr>
          <w:rFonts w:cs="Times New Roman"/>
        </w:rPr>
        <w:t>.</w:t>
      </w:r>
      <w:r w:rsidR="00C53082">
        <w:rPr>
          <w:rFonts w:cs="Times New Roman"/>
        </w:rPr>
        <w:t xml:space="preserve"> </w:t>
      </w:r>
    </w:p>
    <w:p w14:paraId="165BB23D" w14:textId="77777777" w:rsidR="004334E8" w:rsidRDefault="00D75752" w:rsidP="00434471">
      <w:pPr>
        <w:keepNext/>
        <w:spacing w:after="0"/>
        <w:jc w:val="center"/>
      </w:pPr>
      <w:r>
        <w:rPr>
          <w:rFonts w:cs="Times New Roman"/>
          <w:noProof/>
        </w:rPr>
        <w:drawing>
          <wp:inline distT="0" distB="0" distL="0" distR="0" wp14:anchorId="588E65A4" wp14:editId="69DE22FC">
            <wp:extent cx="3571875" cy="1847850"/>
            <wp:effectExtent l="0" t="0" r="9525" b="0"/>
            <wp:docPr id="5" name="Picture 5"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graphical user interface&#10;&#10;Description automatically generated"/>
                    <pic:cNvPicPr/>
                  </pic:nvPicPr>
                  <pic:blipFill rotWithShape="1">
                    <a:blip r:embed="rId13"/>
                    <a:srcRect l="20077" t="21147" r="21560" b="39406"/>
                    <a:stretch/>
                  </pic:blipFill>
                  <pic:spPr bwMode="auto">
                    <a:xfrm>
                      <a:off x="0" y="0"/>
                      <a:ext cx="3571875" cy="1847850"/>
                    </a:xfrm>
                    <a:prstGeom prst="rect">
                      <a:avLst/>
                    </a:prstGeom>
                    <a:ln>
                      <a:noFill/>
                    </a:ln>
                    <a:extLst>
                      <a:ext uri="{53640926-AAD7-44D8-BBD7-CCE9431645EC}">
                        <a14:shadowObscured xmlns:a14="http://schemas.microsoft.com/office/drawing/2010/main"/>
                      </a:ext>
                    </a:extLst>
                  </pic:spPr>
                </pic:pic>
              </a:graphicData>
            </a:graphic>
          </wp:inline>
        </w:drawing>
      </w:r>
    </w:p>
    <w:p w14:paraId="11938068" w14:textId="3A8FB61C" w:rsidR="00D75752" w:rsidRPr="004334E8" w:rsidRDefault="004334E8" w:rsidP="004334E8">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5</w:t>
      </w:r>
      <w:r>
        <w:fldChar w:fldCharType="end"/>
      </w:r>
      <w:r>
        <w:t xml:space="preserve">. </w:t>
      </w:r>
      <w:r w:rsidRPr="0049707E">
        <w:rPr>
          <w:b w:val="0"/>
          <w:bCs/>
        </w:rPr>
        <w:t xml:space="preserve">EELS component map based on the spectra identified with a color in </w:t>
      </w:r>
      <w:r>
        <w:rPr>
          <w:b w:val="0"/>
          <w:bCs/>
        </w:rPr>
        <w:t>Fig. 3</w:t>
      </w:r>
      <w:r w:rsidR="00474E3E">
        <w:rPr>
          <w:b w:val="0"/>
          <w:bCs/>
        </w:rPr>
        <w:t xml:space="preserve"> for PEO-H-25 barrier region</w:t>
      </w:r>
      <w:r w:rsidRPr="0049707E">
        <w:rPr>
          <w:b w:val="0"/>
          <w:bCs/>
        </w:rPr>
        <w:t xml:space="preserve"> where gray corresponds to metallic Ti, green to mix-Ti</w:t>
      </w:r>
      <w:r w:rsidR="009D0C88">
        <w:rPr>
          <w:b w:val="0"/>
          <w:bCs/>
          <w:vertAlign w:val="superscript"/>
        </w:rPr>
        <w:t>3+</w:t>
      </w:r>
      <w:r w:rsidRPr="0049707E">
        <w:rPr>
          <w:b w:val="0"/>
          <w:bCs/>
        </w:rPr>
        <w:t>,</w:t>
      </w:r>
      <w:r w:rsidR="009D0C88">
        <w:rPr>
          <w:b w:val="0"/>
          <w:bCs/>
        </w:rPr>
        <w:t xml:space="preserve"> light blue to </w:t>
      </w:r>
      <w:r w:rsidR="009D0C88" w:rsidRPr="009D0C88">
        <w:rPr>
          <w:b w:val="0"/>
          <w:bCs/>
        </w:rPr>
        <w:t>mix-Ti</w:t>
      </w:r>
      <w:r w:rsidR="009D0C88">
        <w:rPr>
          <w:b w:val="0"/>
          <w:bCs/>
          <w:vertAlign w:val="superscript"/>
        </w:rPr>
        <w:t>4</w:t>
      </w:r>
      <w:r w:rsidR="009D0C88" w:rsidRPr="009D0C88">
        <w:rPr>
          <w:b w:val="0"/>
          <w:bCs/>
          <w:vertAlign w:val="superscript"/>
        </w:rPr>
        <w:t>+</w:t>
      </w:r>
      <w:r w:rsidR="009D0C88">
        <w:rPr>
          <w:b w:val="0"/>
          <w:bCs/>
        </w:rPr>
        <w:t>,</w:t>
      </w:r>
      <w:r w:rsidRPr="0049707E">
        <w:rPr>
          <w:b w:val="0"/>
          <w:bCs/>
        </w:rPr>
        <w:t xml:space="preserve"> </w:t>
      </w:r>
      <w:r w:rsidR="00474E3E">
        <w:rPr>
          <w:b w:val="0"/>
          <w:bCs/>
        </w:rPr>
        <w:t>blue to TiO</w:t>
      </w:r>
      <w:r w:rsidR="00474E3E">
        <w:rPr>
          <w:b w:val="0"/>
          <w:bCs/>
          <w:vertAlign w:val="subscript"/>
        </w:rPr>
        <w:t>2</w:t>
      </w:r>
      <w:r w:rsidR="00474E3E">
        <w:rPr>
          <w:b w:val="0"/>
          <w:bCs/>
        </w:rPr>
        <w:t>-D</w:t>
      </w:r>
      <w:r w:rsidR="00051170">
        <w:rPr>
          <w:b w:val="0"/>
          <w:bCs/>
        </w:rPr>
        <w:t>, light orange to anatase</w:t>
      </w:r>
      <w:r>
        <w:rPr>
          <w:b w:val="0"/>
          <w:bCs/>
        </w:rPr>
        <w:t xml:space="preserve"> and </w:t>
      </w:r>
      <w:r w:rsidR="009D0C88">
        <w:rPr>
          <w:b w:val="0"/>
          <w:bCs/>
        </w:rPr>
        <w:t>purple to rutile</w:t>
      </w:r>
      <w:r>
        <w:rPr>
          <w:b w:val="0"/>
          <w:bCs/>
        </w:rPr>
        <w:t>.</w:t>
      </w:r>
    </w:p>
    <w:p w14:paraId="446F5C12" w14:textId="4721F401" w:rsidR="00774710" w:rsidRPr="002B1DB0" w:rsidRDefault="004C245A" w:rsidP="001448A2">
      <w:pPr>
        <w:spacing w:before="240"/>
        <w:rPr>
          <w:rFonts w:cs="Times New Roman"/>
        </w:rPr>
      </w:pPr>
      <w:r>
        <w:rPr>
          <w:rFonts w:cs="Times New Roman"/>
        </w:rPr>
        <w:lastRenderedPageBreak/>
        <w:t>Sul</w:t>
      </w:r>
      <w:r w:rsidR="009D0C88">
        <w:rPr>
          <w:rFonts w:cs="Times New Roman"/>
        </w:rPr>
        <w:t>fur</w:t>
      </w:r>
      <w:r>
        <w:rPr>
          <w:rFonts w:cs="Times New Roman"/>
        </w:rPr>
        <w:t xml:space="preserve"> accumulation in correspondence of the barrier region, and its effect in altering</w:t>
      </w:r>
      <w:r w:rsidR="00E6239E">
        <w:rPr>
          <w:rFonts w:cs="Times New Roman"/>
        </w:rPr>
        <w:t xml:space="preserve"> the crystal structure of the material, can be used as a further criterion to separate </w:t>
      </w:r>
      <w:r w:rsidR="00F7360F">
        <w:rPr>
          <w:rFonts w:cs="Times New Roman"/>
        </w:rPr>
        <w:t xml:space="preserve">barrier </w:t>
      </w:r>
      <w:r w:rsidR="00784D6B">
        <w:rPr>
          <w:rFonts w:cs="Times New Roman"/>
        </w:rPr>
        <w:t xml:space="preserve">from </w:t>
      </w:r>
      <w:r w:rsidR="00F7360F">
        <w:rPr>
          <w:rFonts w:cs="Times New Roman"/>
        </w:rPr>
        <w:t>porous layer</w:t>
      </w:r>
      <w:r w:rsidR="00CE7120">
        <w:rPr>
          <w:rFonts w:cs="Times New Roman"/>
        </w:rPr>
        <w:t xml:space="preserve"> and its </w:t>
      </w:r>
      <w:r w:rsidR="004C7603">
        <w:rPr>
          <w:rFonts w:cs="Times New Roman"/>
        </w:rPr>
        <w:t>presence easily distinguished upon modification of the fine structures observed in EELS spectra</w:t>
      </w:r>
      <w:r w:rsidR="00F7360F">
        <w:rPr>
          <w:rFonts w:cs="Times New Roman"/>
        </w:rPr>
        <w:t>.</w:t>
      </w:r>
      <w:r w:rsidR="002267BE">
        <w:rPr>
          <w:rFonts w:cs="Times New Roman"/>
        </w:rPr>
        <w:t xml:space="preserve"> </w:t>
      </w:r>
      <w:r w:rsidR="00F7360F">
        <w:rPr>
          <w:rFonts w:cs="Times New Roman"/>
        </w:rPr>
        <w:t xml:space="preserve">Following this idea, but also referring to TEM </w:t>
      </w:r>
      <w:r w:rsidR="003E6943">
        <w:rPr>
          <w:rFonts w:cs="Times New Roman"/>
        </w:rPr>
        <w:t>images,</w:t>
      </w:r>
      <w:r w:rsidR="002267BE">
        <w:rPr>
          <w:rFonts w:cs="Times New Roman"/>
        </w:rPr>
        <w:t xml:space="preserve"> in </w:t>
      </w:r>
      <w:r w:rsidR="00914877">
        <w:rPr>
          <w:rFonts w:cs="Times New Roman"/>
        </w:rPr>
        <w:t>section 3.3</w:t>
      </w:r>
      <w:r w:rsidR="002267BE">
        <w:rPr>
          <w:rFonts w:cs="Times New Roman"/>
        </w:rPr>
        <w:t xml:space="preserve"> GD-OES will be used to </w:t>
      </w:r>
      <w:r w:rsidR="00261CCC">
        <w:rPr>
          <w:rFonts w:cs="Times New Roman"/>
        </w:rPr>
        <w:t>control</w:t>
      </w:r>
      <w:r w:rsidR="003E6943">
        <w:rPr>
          <w:rFonts w:cs="Times New Roman"/>
        </w:rPr>
        <w:t xml:space="preserve"> the</w:t>
      </w:r>
      <w:r w:rsidR="00261CCC">
        <w:rPr>
          <w:rFonts w:cs="Times New Roman"/>
        </w:rPr>
        <w:t xml:space="preserve"> elemental distribution along </w:t>
      </w:r>
      <w:r w:rsidR="00815A7E">
        <w:rPr>
          <w:rFonts w:cs="Times New Roman"/>
        </w:rPr>
        <w:t>coating depth</w:t>
      </w:r>
      <w:r w:rsidR="003E6943">
        <w:rPr>
          <w:rFonts w:cs="Times New Roman"/>
        </w:rPr>
        <w:t xml:space="preserve"> and to</w:t>
      </w:r>
      <w:r w:rsidR="00815A7E">
        <w:rPr>
          <w:rFonts w:cs="Times New Roman"/>
        </w:rPr>
        <w:t xml:space="preserve"> sputter</w:t>
      </w:r>
      <w:r w:rsidR="003E6943">
        <w:rPr>
          <w:rFonts w:cs="Times New Roman"/>
        </w:rPr>
        <w:t>, according to the use of</w:t>
      </w:r>
      <w:r w:rsidR="00815A7E">
        <w:rPr>
          <w:rFonts w:cs="Times New Roman"/>
        </w:rPr>
        <w:t xml:space="preserve"> an argon plasma</w:t>
      </w:r>
      <w:r w:rsidR="003E6943">
        <w:rPr>
          <w:rFonts w:cs="Times New Roman"/>
        </w:rPr>
        <w:t xml:space="preserve">, </w:t>
      </w:r>
      <w:r w:rsidR="00300FFB">
        <w:rPr>
          <w:rFonts w:cs="Times New Roman"/>
        </w:rPr>
        <w:t xml:space="preserve">all the porous layer leaving the </w:t>
      </w:r>
      <w:r w:rsidR="00815A7E">
        <w:rPr>
          <w:rFonts w:cs="Times New Roman"/>
        </w:rPr>
        <w:t>barrier layer</w:t>
      </w:r>
      <w:r w:rsidR="00300FFB">
        <w:rPr>
          <w:rFonts w:cs="Times New Roman"/>
        </w:rPr>
        <w:t xml:space="preserve"> </w:t>
      </w:r>
      <w:r w:rsidR="00AD58B4">
        <w:rPr>
          <w:rFonts w:cs="Times New Roman"/>
        </w:rPr>
        <w:t>only</w:t>
      </w:r>
      <w:r w:rsidR="00774710">
        <w:rPr>
          <w:rFonts w:cs="Times New Roman"/>
        </w:rPr>
        <w:t>.</w:t>
      </w:r>
      <w:r w:rsidR="00300FFB">
        <w:rPr>
          <w:rFonts w:cs="Times New Roman"/>
        </w:rPr>
        <w:t xml:space="preserve"> This allowed to isolate the barrier region contribution and to </w:t>
      </w:r>
      <w:r w:rsidR="004C7603">
        <w:rPr>
          <w:rFonts w:cs="Times New Roman"/>
        </w:rPr>
        <w:t>effectively assess</w:t>
      </w:r>
      <w:r w:rsidR="00300FFB">
        <w:rPr>
          <w:rFonts w:cs="Times New Roman"/>
        </w:rPr>
        <w:t xml:space="preserve"> the role of the oxide stoichiometry</w:t>
      </w:r>
      <w:r w:rsidR="00914877">
        <w:rPr>
          <w:rFonts w:cs="Times New Roman"/>
        </w:rPr>
        <w:t xml:space="preserve"> on </w:t>
      </w:r>
      <w:r w:rsidR="003E1DEB">
        <w:rPr>
          <w:rFonts w:cs="Times New Roman"/>
        </w:rPr>
        <w:t>the corrosion res</w:t>
      </w:r>
      <w:r w:rsidR="008A0A28">
        <w:rPr>
          <w:rFonts w:cs="Times New Roman"/>
        </w:rPr>
        <w:t>ponse of the material</w:t>
      </w:r>
      <w:r w:rsidR="00914877">
        <w:rPr>
          <w:rFonts w:cs="Times New Roman"/>
        </w:rPr>
        <w:t>.</w:t>
      </w:r>
    </w:p>
    <w:p w14:paraId="456EDEA9" w14:textId="1CDCEE8A" w:rsidR="003F7148" w:rsidRPr="000313D9" w:rsidRDefault="000313D9" w:rsidP="00B84EF3">
      <w:pPr>
        <w:spacing w:after="0"/>
        <w:rPr>
          <w:rFonts w:cs="Times New Roman"/>
          <w:i/>
          <w:iCs/>
          <w:sz w:val="26"/>
          <w:szCs w:val="26"/>
        </w:rPr>
      </w:pPr>
      <w:r w:rsidRPr="000313D9">
        <w:rPr>
          <w:rFonts w:cs="Times New Roman"/>
          <w:i/>
          <w:iCs/>
          <w:sz w:val="26"/>
          <w:szCs w:val="26"/>
        </w:rPr>
        <w:t xml:space="preserve">3.2 </w:t>
      </w:r>
      <w:r w:rsidR="00921357">
        <w:rPr>
          <w:rFonts w:cs="Times New Roman"/>
          <w:i/>
          <w:iCs/>
          <w:sz w:val="26"/>
          <w:szCs w:val="26"/>
        </w:rPr>
        <w:t>E</w:t>
      </w:r>
      <w:r w:rsidR="00921357">
        <w:rPr>
          <w:rFonts w:cs="Times New Roman"/>
          <w:i/>
          <w:iCs/>
          <w:sz w:val="26"/>
          <w:szCs w:val="26"/>
          <w:vertAlign w:val="subscript"/>
        </w:rPr>
        <w:t>corr</w:t>
      </w:r>
      <w:r w:rsidR="00921357">
        <w:rPr>
          <w:rFonts w:cs="Times New Roman"/>
          <w:i/>
          <w:iCs/>
          <w:sz w:val="26"/>
          <w:szCs w:val="26"/>
        </w:rPr>
        <w:t xml:space="preserve"> evolution</w:t>
      </w:r>
      <w:r w:rsidR="000F5072" w:rsidRPr="000313D9">
        <w:rPr>
          <w:rFonts w:cs="Times New Roman"/>
          <w:i/>
          <w:iCs/>
          <w:sz w:val="26"/>
          <w:szCs w:val="26"/>
        </w:rPr>
        <w:t xml:space="preserve"> and weight-loss measurements</w:t>
      </w:r>
    </w:p>
    <w:p w14:paraId="0D4FF280" w14:textId="77777777" w:rsidR="007D0743" w:rsidRDefault="00214578" w:rsidP="00B84EF3">
      <w:pPr>
        <w:spacing w:after="120"/>
        <w:rPr>
          <w:rFonts w:cs="Times New Roman"/>
        </w:rPr>
      </w:pPr>
      <w:r>
        <w:rPr>
          <w:rFonts w:cs="Times New Roman"/>
        </w:rPr>
        <w:t xml:space="preserve">As a preliminary </w:t>
      </w:r>
      <w:r w:rsidR="00DD3F32">
        <w:rPr>
          <w:rFonts w:cs="Times New Roman"/>
        </w:rPr>
        <w:t>step</w:t>
      </w:r>
      <w:r>
        <w:rPr>
          <w:rFonts w:cs="Times New Roman"/>
        </w:rPr>
        <w:t xml:space="preserve"> </w:t>
      </w:r>
      <w:r w:rsidR="00DD3F32">
        <w:rPr>
          <w:rFonts w:cs="Times New Roman"/>
        </w:rPr>
        <w:t>s</w:t>
      </w:r>
      <w:r w:rsidR="00171741">
        <w:rPr>
          <w:rFonts w:cs="Times New Roman"/>
        </w:rPr>
        <w:t>amples were immersed 24 h in 10 %v/v H</w:t>
      </w:r>
      <w:r w:rsidR="00171741">
        <w:rPr>
          <w:rFonts w:cs="Times New Roman"/>
          <w:vertAlign w:val="subscript"/>
        </w:rPr>
        <w:t>2</w:t>
      </w:r>
      <w:r w:rsidR="00171741">
        <w:rPr>
          <w:rFonts w:cs="Times New Roman"/>
        </w:rPr>
        <w:t>SO</w:t>
      </w:r>
      <w:r w:rsidR="00171741">
        <w:rPr>
          <w:rFonts w:cs="Times New Roman"/>
          <w:vertAlign w:val="subscript"/>
        </w:rPr>
        <w:t>4</w:t>
      </w:r>
      <w:r w:rsidR="00DD3F32">
        <w:rPr>
          <w:rFonts w:cs="Times New Roman"/>
        </w:rPr>
        <w:t xml:space="preserve"> and investigated for </w:t>
      </w:r>
      <w:r w:rsidR="0060339A">
        <w:rPr>
          <w:rFonts w:cs="Times New Roman"/>
        </w:rPr>
        <w:t>weight-losses and E</w:t>
      </w:r>
      <w:r w:rsidR="0060339A">
        <w:rPr>
          <w:rFonts w:cs="Times New Roman"/>
          <w:vertAlign w:val="subscript"/>
        </w:rPr>
        <w:t>corr</w:t>
      </w:r>
      <w:r w:rsidR="0060339A">
        <w:rPr>
          <w:rFonts w:cs="Times New Roman"/>
        </w:rPr>
        <w:t xml:space="preserve"> evolution</w:t>
      </w:r>
      <w:r w:rsidR="001E6A8A">
        <w:rPr>
          <w:rFonts w:cs="Times New Roman"/>
        </w:rPr>
        <w:t xml:space="preserve"> displayed in </w:t>
      </w:r>
      <w:r w:rsidR="001E6A8A" w:rsidRPr="001E6A8A">
        <w:rPr>
          <w:rFonts w:cs="Times New Roman"/>
          <w:b/>
          <w:bCs/>
        </w:rPr>
        <w:t>Fig. 6</w:t>
      </w:r>
      <w:r w:rsidR="00171741">
        <w:rPr>
          <w:rFonts w:cs="Times New Roman"/>
        </w:rPr>
        <w:t xml:space="preserve">. </w:t>
      </w:r>
    </w:p>
    <w:p w14:paraId="6474443F" w14:textId="77777777" w:rsidR="007D0743" w:rsidRDefault="007D0743" w:rsidP="007D0743">
      <w:pPr>
        <w:keepNext/>
        <w:spacing w:after="0"/>
        <w:jc w:val="center"/>
      </w:pPr>
      <w:r>
        <w:rPr>
          <w:rFonts w:cs="Times New Roman"/>
          <w:noProof/>
        </w:rPr>
        <w:drawing>
          <wp:inline distT="0" distB="0" distL="0" distR="0" wp14:anchorId="3680CBCA" wp14:editId="0616DA2E">
            <wp:extent cx="3406140" cy="2611047"/>
            <wp:effectExtent l="0" t="0" r="3810" b="0"/>
            <wp:docPr id="18" name="Picture 1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10;&#10;Description automatically generated"/>
                    <pic:cNvPicPr/>
                  </pic:nvPicPr>
                  <pic:blipFill rotWithShape="1">
                    <a:blip r:embed="rId14"/>
                    <a:srcRect l="2241" t="9435" r="11351" b="4026"/>
                    <a:stretch/>
                  </pic:blipFill>
                  <pic:spPr bwMode="auto">
                    <a:xfrm>
                      <a:off x="0" y="0"/>
                      <a:ext cx="3408914" cy="2613173"/>
                    </a:xfrm>
                    <a:prstGeom prst="rect">
                      <a:avLst/>
                    </a:prstGeom>
                    <a:ln>
                      <a:noFill/>
                    </a:ln>
                    <a:extLst>
                      <a:ext uri="{53640926-AAD7-44D8-BBD7-CCE9431645EC}">
                        <a14:shadowObscured xmlns:a14="http://schemas.microsoft.com/office/drawing/2010/main"/>
                      </a:ext>
                    </a:extLst>
                  </pic:spPr>
                </pic:pic>
              </a:graphicData>
            </a:graphic>
          </wp:inline>
        </w:drawing>
      </w:r>
    </w:p>
    <w:p w14:paraId="3A98D09A" w14:textId="751E2FC3" w:rsidR="007D0743" w:rsidRPr="007D0743" w:rsidRDefault="007D0743" w:rsidP="007D0743">
      <w:pPr>
        <w:pStyle w:val="Caption"/>
        <w:spacing w:after="240"/>
        <w:jc w:val="center"/>
        <w:rPr>
          <w:rFonts w:cs="Times New Roman"/>
          <w:b w:val="0"/>
          <w:bCs/>
        </w:rPr>
      </w:pPr>
      <w:r>
        <w:t xml:space="preserve">Fig.  </w:t>
      </w:r>
      <w:r>
        <w:fldChar w:fldCharType="begin"/>
      </w:r>
      <w:r>
        <w:instrText xml:space="preserve"> SEQ Fig._ \* ARABIC </w:instrText>
      </w:r>
      <w:r>
        <w:fldChar w:fldCharType="separate"/>
      </w:r>
      <w:r>
        <w:rPr>
          <w:noProof/>
        </w:rPr>
        <w:t>6</w:t>
      </w:r>
      <w:r>
        <w:fldChar w:fldCharType="end"/>
      </w:r>
      <w:r>
        <w:t>.</w:t>
      </w:r>
      <w:r>
        <w:rPr>
          <w:b w:val="0"/>
          <w:bCs/>
        </w:rPr>
        <w:t xml:space="preserve"> E</w:t>
      </w:r>
      <w:r>
        <w:rPr>
          <w:b w:val="0"/>
          <w:bCs/>
          <w:vertAlign w:val="subscript"/>
        </w:rPr>
        <w:t>corr</w:t>
      </w:r>
      <w:r>
        <w:rPr>
          <w:b w:val="0"/>
          <w:bCs/>
        </w:rPr>
        <w:t xml:space="preserve"> evolution in time for PEO-DC (in green) and PEO-H-25 (in red).</w:t>
      </w:r>
    </w:p>
    <w:p w14:paraId="02D9818C" w14:textId="59E54098" w:rsidR="00F01D39" w:rsidRDefault="0060339A" w:rsidP="00F01D39">
      <w:pPr>
        <w:spacing w:after="120"/>
        <w:rPr>
          <w:rFonts w:cs="Times New Roman"/>
        </w:rPr>
      </w:pPr>
      <w:r>
        <w:rPr>
          <w:rFonts w:cs="Times New Roman"/>
        </w:rPr>
        <w:t>A</w:t>
      </w:r>
      <w:r w:rsidR="004F30AA">
        <w:rPr>
          <w:rFonts w:cs="Times New Roman"/>
        </w:rPr>
        <w:t xml:space="preserve"> corrosion rate of </w:t>
      </w:r>
      <w:r w:rsidR="00DA7801">
        <w:rPr>
          <w:rFonts w:cs="Times New Roman"/>
        </w:rPr>
        <w:t xml:space="preserve">6.2 </w:t>
      </w:r>
      <w:r w:rsidR="00307B57" w:rsidRPr="00307B57">
        <w:rPr>
          <w:rFonts w:cs="Times New Roman"/>
        </w:rPr>
        <w:t>mm·year</w:t>
      </w:r>
      <w:r w:rsidR="00307B57" w:rsidRPr="00307B57">
        <w:rPr>
          <w:rFonts w:cs="Times New Roman"/>
          <w:vertAlign w:val="superscript"/>
        </w:rPr>
        <w:t>-1</w:t>
      </w:r>
      <w:r w:rsidR="00DA7801">
        <w:rPr>
          <w:rFonts w:cs="Times New Roman"/>
        </w:rPr>
        <w:t xml:space="preserve">was verified on </w:t>
      </w:r>
      <w:r w:rsidR="00D161C8">
        <w:rPr>
          <w:rFonts w:cs="Times New Roman"/>
        </w:rPr>
        <w:t xml:space="preserve">coating PEO-DC while </w:t>
      </w:r>
      <w:r w:rsidR="00745C9F">
        <w:rPr>
          <w:rFonts w:cs="Times New Roman"/>
        </w:rPr>
        <w:t>PEO-</w:t>
      </w:r>
      <w:r w:rsidR="00047BB0">
        <w:rPr>
          <w:rFonts w:cs="Times New Roman"/>
        </w:rPr>
        <w:t>H</w:t>
      </w:r>
      <w:r w:rsidR="00745C9F">
        <w:rPr>
          <w:rFonts w:cs="Times New Roman"/>
        </w:rPr>
        <w:t>-25 demonstrated to be very resistant towards the aggressive solution</w:t>
      </w:r>
      <w:r w:rsidR="0019737C">
        <w:rPr>
          <w:rFonts w:cs="Times New Roman"/>
        </w:rPr>
        <w:t xml:space="preserve"> with</w:t>
      </w:r>
      <w:r w:rsidR="00745C9F">
        <w:rPr>
          <w:rFonts w:cs="Times New Roman"/>
        </w:rPr>
        <w:t xml:space="preserve"> only 0.03 </w:t>
      </w:r>
      <w:r w:rsidR="00307B57" w:rsidRPr="00307B57">
        <w:rPr>
          <w:rFonts w:cs="Times New Roman"/>
        </w:rPr>
        <w:t>mm·year</w:t>
      </w:r>
      <w:r w:rsidR="00307B57" w:rsidRPr="00307B57">
        <w:rPr>
          <w:rFonts w:cs="Times New Roman"/>
          <w:vertAlign w:val="superscript"/>
        </w:rPr>
        <w:t>-1</w:t>
      </w:r>
      <w:r w:rsidR="00745C9F">
        <w:rPr>
          <w:rFonts w:cs="Times New Roman"/>
        </w:rPr>
        <w:t>.</w:t>
      </w:r>
      <w:r w:rsidR="003205AF">
        <w:rPr>
          <w:rFonts w:cs="Times New Roman"/>
        </w:rPr>
        <w:t xml:space="preserve"> Evolution of E</w:t>
      </w:r>
      <w:r w:rsidR="003205AF">
        <w:rPr>
          <w:rFonts w:cs="Times New Roman"/>
          <w:vertAlign w:val="subscript"/>
        </w:rPr>
        <w:t>corr</w:t>
      </w:r>
      <w:r w:rsidR="00745C9F">
        <w:rPr>
          <w:rFonts w:cs="Times New Roman"/>
        </w:rPr>
        <w:t xml:space="preserve"> </w:t>
      </w:r>
      <w:r w:rsidR="009347D5">
        <w:rPr>
          <w:rFonts w:cs="Times New Roman"/>
        </w:rPr>
        <w:t xml:space="preserve">in time </w:t>
      </w:r>
      <w:r w:rsidR="00B65929">
        <w:rPr>
          <w:rFonts w:cs="Times New Roman"/>
        </w:rPr>
        <w:t xml:space="preserve">indicates </w:t>
      </w:r>
      <w:r w:rsidR="00752E17">
        <w:rPr>
          <w:rFonts w:cs="Times New Roman"/>
        </w:rPr>
        <w:t>that PEO-DC underwent debonding after few ho</w:t>
      </w:r>
      <w:r w:rsidR="00A72C8B">
        <w:rPr>
          <w:rFonts w:cs="Times New Roman"/>
        </w:rPr>
        <w:t>urs of immersion, passing from a passive condition (</w:t>
      </w:r>
      <w:r w:rsidR="003F2AF7">
        <w:rPr>
          <w:rFonts w:cs="Times New Roman"/>
        </w:rPr>
        <w:t>region</w:t>
      </w:r>
      <w:r w:rsidR="00A72C8B">
        <w:rPr>
          <w:rFonts w:cs="Times New Roman"/>
        </w:rPr>
        <w:t xml:space="preserve"> 1) </w:t>
      </w:r>
      <w:r w:rsidR="00682BE6">
        <w:rPr>
          <w:rFonts w:cs="Times New Roman"/>
        </w:rPr>
        <w:t>to an active state (</w:t>
      </w:r>
      <w:r w:rsidR="003F2AF7">
        <w:rPr>
          <w:rFonts w:cs="Times New Roman"/>
        </w:rPr>
        <w:t xml:space="preserve">region </w:t>
      </w:r>
      <w:r w:rsidR="00682BE6">
        <w:rPr>
          <w:rFonts w:cs="Times New Roman"/>
        </w:rPr>
        <w:t>3)</w:t>
      </w:r>
      <w:r w:rsidR="00350C13">
        <w:rPr>
          <w:rFonts w:cs="Times New Roman"/>
        </w:rPr>
        <w:t>. The region in correspondence of the potential drop (</w:t>
      </w:r>
      <w:r w:rsidR="003F2AF7">
        <w:rPr>
          <w:rFonts w:cs="Times New Roman"/>
        </w:rPr>
        <w:t xml:space="preserve">region </w:t>
      </w:r>
      <w:r w:rsidR="00350C13">
        <w:rPr>
          <w:rFonts w:cs="Times New Roman"/>
        </w:rPr>
        <w:t>2) is an active-passive transition zon</w:t>
      </w:r>
      <w:r w:rsidR="005745D6">
        <w:rPr>
          <w:rFonts w:cs="Times New Roman"/>
        </w:rPr>
        <w:t xml:space="preserve">e comprising the main processes </w:t>
      </w:r>
      <w:r w:rsidR="005745D6">
        <w:rPr>
          <w:rFonts w:cs="Times New Roman"/>
        </w:rPr>
        <w:lastRenderedPageBreak/>
        <w:t>resulting</w:t>
      </w:r>
      <w:r w:rsidR="00320FFB">
        <w:rPr>
          <w:rFonts w:cs="Times New Roman"/>
        </w:rPr>
        <w:t xml:space="preserve"> in the detachment of the oxide layer.</w:t>
      </w:r>
      <w:r w:rsidR="00FB172A">
        <w:rPr>
          <w:rFonts w:cs="Times New Roman"/>
        </w:rPr>
        <w:t xml:space="preserve"> For sake of clarity, some relevant redox reactions are indicated </w:t>
      </w:r>
      <w:r w:rsidR="00A65FFF">
        <w:rPr>
          <w:rFonts w:cs="Times New Roman"/>
        </w:rPr>
        <w:t>by dashed horizontal lines</w:t>
      </w:r>
      <w:r w:rsidR="004C26B5">
        <w:rPr>
          <w:rFonts w:cs="Times New Roman"/>
        </w:rPr>
        <w:t xml:space="preserve">, </w:t>
      </w:r>
      <w:r w:rsidR="002658C6">
        <w:rPr>
          <w:rFonts w:cs="Times New Roman"/>
        </w:rPr>
        <w:t>whose</w:t>
      </w:r>
      <w:r w:rsidR="00086FB4">
        <w:rPr>
          <w:rFonts w:cs="Times New Roman"/>
        </w:rPr>
        <w:t xml:space="preserve"> thermodynamic threshold</w:t>
      </w:r>
      <w:r w:rsidR="00B84484">
        <w:rPr>
          <w:rFonts w:cs="Times New Roman"/>
        </w:rPr>
        <w:t xml:space="preserve"> was</w:t>
      </w:r>
      <w:r w:rsidR="00086FB4">
        <w:rPr>
          <w:rFonts w:cs="Times New Roman"/>
        </w:rPr>
        <w:t xml:space="preserve"> corrected </w:t>
      </w:r>
      <w:r w:rsidR="002334BC">
        <w:rPr>
          <w:rFonts w:cs="Times New Roman"/>
        </w:rPr>
        <w:t>according to the present experimental condition</w:t>
      </w:r>
      <w:r w:rsidR="00F06ED4">
        <w:rPr>
          <w:rFonts w:cs="Times New Roman"/>
        </w:rPr>
        <w:t>s</w:t>
      </w:r>
      <w:r w:rsidR="00A65FFF">
        <w:rPr>
          <w:rFonts w:cs="Times New Roman"/>
        </w:rPr>
        <w:t>.</w:t>
      </w:r>
    </w:p>
    <w:p w14:paraId="623B129B" w14:textId="0050E304" w:rsidR="00BE1148" w:rsidRPr="000313D9" w:rsidRDefault="000313D9" w:rsidP="00B84EF3">
      <w:pPr>
        <w:spacing w:after="0"/>
        <w:rPr>
          <w:rFonts w:cs="Times New Roman"/>
          <w:i/>
          <w:iCs/>
          <w:sz w:val="26"/>
          <w:szCs w:val="26"/>
        </w:rPr>
      </w:pPr>
      <w:r w:rsidRPr="000313D9">
        <w:rPr>
          <w:rFonts w:cs="Times New Roman"/>
          <w:i/>
          <w:iCs/>
          <w:sz w:val="26"/>
          <w:szCs w:val="26"/>
        </w:rPr>
        <w:t xml:space="preserve">3.3 </w:t>
      </w:r>
      <w:r w:rsidR="00862866">
        <w:rPr>
          <w:rFonts w:cs="Times New Roman"/>
          <w:i/>
          <w:iCs/>
          <w:sz w:val="26"/>
          <w:szCs w:val="26"/>
        </w:rPr>
        <w:t>Barrier layer analysis</w:t>
      </w:r>
    </w:p>
    <w:p w14:paraId="0F7C0537" w14:textId="0239638E" w:rsidR="002B54EE" w:rsidRDefault="00F06ED4" w:rsidP="00692F30">
      <w:pPr>
        <w:spacing w:after="0"/>
        <w:rPr>
          <w:rFonts w:cs="Times New Roman"/>
        </w:rPr>
      </w:pPr>
      <w:r>
        <w:rPr>
          <w:rFonts w:cs="Times New Roman"/>
        </w:rPr>
        <w:t>A</w:t>
      </w:r>
      <w:r w:rsidR="002A6F62">
        <w:rPr>
          <w:rFonts w:cs="Times New Roman"/>
        </w:rPr>
        <w:t xml:space="preserve"> first </w:t>
      </w:r>
      <w:r w:rsidR="00114E0E">
        <w:rPr>
          <w:rFonts w:cs="Times New Roman"/>
        </w:rPr>
        <w:t>GD-OES</w:t>
      </w:r>
      <w:r w:rsidR="007822BB">
        <w:rPr>
          <w:rFonts w:cs="Times New Roman"/>
        </w:rPr>
        <w:t xml:space="preserve"> analysis</w:t>
      </w:r>
      <w:r w:rsidR="00114E0E">
        <w:rPr>
          <w:rFonts w:cs="Times New Roman"/>
        </w:rPr>
        <w:t xml:space="preserve"> </w:t>
      </w:r>
      <w:r w:rsidR="002A6F62">
        <w:rPr>
          <w:rFonts w:cs="Times New Roman"/>
        </w:rPr>
        <w:t>was done</w:t>
      </w:r>
      <w:r w:rsidR="00114E0E">
        <w:rPr>
          <w:rFonts w:cs="Times New Roman"/>
        </w:rPr>
        <w:t>, on both samples,</w:t>
      </w:r>
      <w:r w:rsidR="002A6F62">
        <w:rPr>
          <w:rFonts w:cs="Times New Roman"/>
        </w:rPr>
        <w:t xml:space="preserve"> to understand the total thickness and</w:t>
      </w:r>
      <w:r w:rsidR="007822BB">
        <w:rPr>
          <w:rFonts w:cs="Times New Roman"/>
        </w:rPr>
        <w:t xml:space="preserve"> the</w:t>
      </w:r>
      <w:r w:rsidR="002A6F62">
        <w:rPr>
          <w:rFonts w:cs="Times New Roman"/>
        </w:rPr>
        <w:t xml:space="preserve"> </w:t>
      </w:r>
      <w:r w:rsidR="00125BF9">
        <w:rPr>
          <w:rFonts w:cs="Times New Roman"/>
        </w:rPr>
        <w:t>elemental quantification,</w:t>
      </w:r>
      <w:r w:rsidR="002A6F62">
        <w:rPr>
          <w:rFonts w:cs="Times New Roman"/>
        </w:rPr>
        <w:t xml:space="preserve"> </w:t>
      </w:r>
      <w:r w:rsidR="002D065D">
        <w:rPr>
          <w:rFonts w:cs="Times New Roman"/>
        </w:rPr>
        <w:t>allowing to plot result</w:t>
      </w:r>
      <w:r w:rsidR="0065642C">
        <w:rPr>
          <w:rFonts w:cs="Times New Roman"/>
        </w:rPr>
        <w:t>s as</w:t>
      </w:r>
      <w:r w:rsidR="002D065D">
        <w:rPr>
          <w:rFonts w:cs="Times New Roman"/>
        </w:rPr>
        <w:t xml:space="preserve"> in </w:t>
      </w:r>
      <w:r w:rsidR="002D065D" w:rsidRPr="002D065D">
        <w:rPr>
          <w:rFonts w:cs="Times New Roman"/>
          <w:b/>
          <w:bCs/>
        </w:rPr>
        <w:t xml:space="preserve">Fig. </w:t>
      </w:r>
      <w:r w:rsidR="001E6A8A">
        <w:rPr>
          <w:rFonts w:cs="Times New Roman"/>
          <w:b/>
          <w:bCs/>
        </w:rPr>
        <w:t>7</w:t>
      </w:r>
      <w:r w:rsidR="008A4C1A">
        <w:rPr>
          <w:rFonts w:cs="Times New Roman"/>
        </w:rPr>
        <w:t>:</w:t>
      </w:r>
    </w:p>
    <w:p w14:paraId="7456A3CB" w14:textId="77777777" w:rsidR="00F01D39" w:rsidRDefault="00054C28" w:rsidP="00F01D39">
      <w:pPr>
        <w:keepNext/>
        <w:spacing w:after="0"/>
        <w:jc w:val="center"/>
      </w:pPr>
      <w:r>
        <w:rPr>
          <w:rFonts w:cs="Times New Roman"/>
          <w:noProof/>
        </w:rPr>
        <w:drawing>
          <wp:inline distT="0" distB="0" distL="0" distR="0" wp14:anchorId="6CCDE515" wp14:editId="1CC60FE6">
            <wp:extent cx="4777740" cy="1951355"/>
            <wp:effectExtent l="0" t="0" r="3810" b="0"/>
            <wp:docPr id="19" name="Picture 19"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hart, histogram&#10;&#10;Description automatically generated"/>
                    <pic:cNvPicPr/>
                  </pic:nvPicPr>
                  <pic:blipFill rotWithShape="1">
                    <a:blip r:embed="rId15"/>
                    <a:srcRect l="13323" r="8612"/>
                    <a:stretch/>
                  </pic:blipFill>
                  <pic:spPr bwMode="auto">
                    <a:xfrm>
                      <a:off x="0" y="0"/>
                      <a:ext cx="4777740" cy="1951355"/>
                    </a:xfrm>
                    <a:prstGeom prst="rect">
                      <a:avLst/>
                    </a:prstGeom>
                    <a:ln>
                      <a:noFill/>
                    </a:ln>
                    <a:extLst>
                      <a:ext uri="{53640926-AAD7-44D8-BBD7-CCE9431645EC}">
                        <a14:shadowObscured xmlns:a14="http://schemas.microsoft.com/office/drawing/2010/main"/>
                      </a:ext>
                    </a:extLst>
                  </pic:spPr>
                </pic:pic>
              </a:graphicData>
            </a:graphic>
          </wp:inline>
        </w:drawing>
      </w:r>
    </w:p>
    <w:p w14:paraId="6FDC40F4" w14:textId="32FF3E80" w:rsidR="002B54EE" w:rsidRPr="00F01D39" w:rsidRDefault="00F01D39" w:rsidP="00F01D39">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7</w:t>
      </w:r>
      <w:r>
        <w:fldChar w:fldCharType="end"/>
      </w:r>
      <w:r>
        <w:t xml:space="preserve">. </w:t>
      </w:r>
      <w:r w:rsidR="00D97C8F">
        <w:rPr>
          <w:b w:val="0"/>
          <w:bCs/>
        </w:rPr>
        <w:t xml:space="preserve">GD-OES elemental profiles for </w:t>
      </w:r>
      <w:r w:rsidR="00D97C8F" w:rsidRPr="00D97C8F">
        <w:t>a)</w:t>
      </w:r>
      <w:r w:rsidR="00D97C8F">
        <w:rPr>
          <w:b w:val="0"/>
          <w:bCs/>
        </w:rPr>
        <w:t xml:space="preserve"> PEO-DC and </w:t>
      </w:r>
      <w:r w:rsidR="00D97C8F" w:rsidRPr="00D97C8F">
        <w:t>b)</w:t>
      </w:r>
      <w:r w:rsidR="00D97C8F">
        <w:rPr>
          <w:b w:val="0"/>
          <w:bCs/>
        </w:rPr>
        <w:t xml:space="preserve"> PEO-H-25.</w:t>
      </w:r>
    </w:p>
    <w:p w14:paraId="3A4D42CF" w14:textId="4C5F34B6" w:rsidR="00962219" w:rsidRPr="001517EF" w:rsidRDefault="008A4C1A" w:rsidP="001448A2">
      <w:pPr>
        <w:spacing w:before="240" w:after="0"/>
        <w:rPr>
          <w:rFonts w:cs="Times New Roman"/>
        </w:rPr>
      </w:pPr>
      <w:r>
        <w:rPr>
          <w:rFonts w:cs="Times New Roman"/>
        </w:rPr>
        <w:t>t</w:t>
      </w:r>
      <w:r w:rsidR="004573A0">
        <w:rPr>
          <w:rFonts w:cs="Times New Roman"/>
        </w:rPr>
        <w:t xml:space="preserve">hickness values </w:t>
      </w:r>
      <w:r w:rsidR="00A06214">
        <w:rPr>
          <w:rFonts w:cs="Times New Roman"/>
        </w:rPr>
        <w:t xml:space="preserve">agree </w:t>
      </w:r>
      <w:r w:rsidR="000F111C">
        <w:rPr>
          <w:rFonts w:cs="Times New Roman"/>
        </w:rPr>
        <w:t>very well with data extracted from TEM analysis</w:t>
      </w:r>
      <w:r w:rsidR="002B0C74">
        <w:rPr>
          <w:rFonts w:cs="Times New Roman"/>
        </w:rPr>
        <w:t xml:space="preserve"> denoting the presence of a high accumulation </w:t>
      </w:r>
      <w:r w:rsidR="00317536">
        <w:rPr>
          <w:rFonts w:cs="Times New Roman"/>
        </w:rPr>
        <w:t>of</w:t>
      </w:r>
      <w:r w:rsidR="002B0C74">
        <w:rPr>
          <w:rFonts w:cs="Times New Roman"/>
        </w:rPr>
        <w:t xml:space="preserve"> </w:t>
      </w:r>
      <w:proofErr w:type="spellStart"/>
      <w:r w:rsidR="002B0C74">
        <w:rPr>
          <w:rFonts w:cs="Times New Roman"/>
        </w:rPr>
        <w:t>S in</w:t>
      </w:r>
      <w:proofErr w:type="spellEnd"/>
      <w:r w:rsidR="002B0C74">
        <w:rPr>
          <w:rFonts w:cs="Times New Roman"/>
        </w:rPr>
        <w:t xml:space="preserve"> correspondence of the </w:t>
      </w:r>
      <w:r>
        <w:rPr>
          <w:rFonts w:cs="Times New Roman"/>
        </w:rPr>
        <w:t>barrier layer</w:t>
      </w:r>
      <w:r w:rsidR="00464758">
        <w:rPr>
          <w:rFonts w:cs="Times New Roman"/>
        </w:rPr>
        <w:t xml:space="preserve"> </w:t>
      </w:r>
      <w:r w:rsidR="00A543D2">
        <w:rPr>
          <w:rFonts w:cs="Times New Roman"/>
        </w:rPr>
        <w:fldChar w:fldCharType="begin" w:fldLock="1"/>
      </w:r>
      <w:r w:rsidR="00F36CB3">
        <w:rPr>
          <w:rFonts w:cs="Times New Roman"/>
        </w:rPr>
        <w:instrText>ADDIN CSL_CITATION {"citationItems":[{"id":"ITEM-1","itemData":{"DOI":"10.1016/j.corsci.2015.08.019","ISSN":"0010938X","abstract":"The formation of porous anodic alumina during potentiostatic anodizing of aluminium for times up to 900. s has been investigated using two grades of chromic oxide reagent. The anodic films were examined by ion beam analysis and scanning and transmission electron microscopies. Sulphate impurity in the chromic acid led to incorporation of sulphate into the anodic film, a lower current density, a smaller cell size and less feathering of the pore walls. In addition, the efficiency of film formation was increased. The sulphate concentration in the film was greatly enhanced relative to the electrolyte.","author":[{"dropping-particle":"","family":"Elabar","given":"D.","non-dropping-particle":"","parse-names":false,"suffix":""},{"dropping-particle":"","family":"Němcová","given":"A.","non-dropping-particle":"","parse-names":false,"suffix":""},{"dropping-particle":"","family":"Hashimoto","given":"T.","non-dropping-particle":"","parse-names":false,"suffix":""},{"dropping-particle":"","family":"Skeldon","given":"P.","non-dropping-particle":"","parse-names":false,"suffix":""},{"dropping-particle":"","family":"Thompson","given":"G. E.","non-dropping-particle":"","parse-names":false,"suffix":""}],"container-title":"Corrosion Science","id":"ITEM-1","issued":{"date-parts":[["2015"]]},"page":"377-385","title":"Effect of sulphate impurity in chromic acid anodizing of aluminium","type":"article-journal","volume":"100"},"uris":["http://www.mendeley.com/documents/?uuid=2fd1753b-da0b-4861-ae15-0067836a3d62"]}],"mendeley":{"formattedCitation":"[35]","plainTextFormattedCitation":"[35]","previouslyFormattedCitation":"[35]"},"properties":{"noteIndex":0},"schema":"https://github.com/citation-style-language/schema/raw/master/csl-citation.json"}</w:instrText>
      </w:r>
      <w:r w:rsidR="00A543D2">
        <w:rPr>
          <w:rFonts w:cs="Times New Roman"/>
        </w:rPr>
        <w:fldChar w:fldCharType="separate"/>
      </w:r>
      <w:r w:rsidR="000D478A" w:rsidRPr="000D478A">
        <w:rPr>
          <w:rFonts w:cs="Times New Roman"/>
          <w:noProof/>
        </w:rPr>
        <w:t>[35]</w:t>
      </w:r>
      <w:r w:rsidR="00A543D2">
        <w:rPr>
          <w:rFonts w:cs="Times New Roman"/>
        </w:rPr>
        <w:fldChar w:fldCharType="end"/>
      </w:r>
      <w:r>
        <w:rPr>
          <w:rFonts w:cs="Times New Roman"/>
        </w:rPr>
        <w:t xml:space="preserve"> (denote as </w:t>
      </w:r>
      <w:r w:rsidR="005541FE">
        <w:rPr>
          <w:rFonts w:cs="Times New Roman"/>
        </w:rPr>
        <w:t>“B”)</w:t>
      </w:r>
      <w:r w:rsidR="002B0C74">
        <w:rPr>
          <w:rFonts w:cs="Times New Roman"/>
        </w:rPr>
        <w:t xml:space="preserve">. </w:t>
      </w:r>
      <w:r w:rsidR="00E0731F">
        <w:rPr>
          <w:rFonts w:cs="Times New Roman"/>
        </w:rPr>
        <w:t>According to that</w:t>
      </w:r>
      <w:r w:rsidR="00A06214">
        <w:rPr>
          <w:rFonts w:cs="Times New Roman"/>
        </w:rPr>
        <w:t>,</w:t>
      </w:r>
      <w:r w:rsidR="00E0731F">
        <w:rPr>
          <w:rFonts w:cs="Times New Roman"/>
        </w:rPr>
        <w:t xml:space="preserve"> </w:t>
      </w:r>
      <w:r w:rsidR="00072CFD">
        <w:rPr>
          <w:rFonts w:cs="Times New Roman"/>
        </w:rPr>
        <w:t xml:space="preserve">a second run was performed </w:t>
      </w:r>
      <w:r w:rsidR="005541FE">
        <w:rPr>
          <w:rFonts w:cs="Times New Roman"/>
        </w:rPr>
        <w:t>removing only the porous layer (“P”)</w:t>
      </w:r>
      <w:r w:rsidR="00604736">
        <w:rPr>
          <w:rFonts w:cs="Times New Roman"/>
        </w:rPr>
        <w:t>,</w:t>
      </w:r>
      <w:r w:rsidR="00350811">
        <w:rPr>
          <w:rFonts w:cs="Times New Roman"/>
        </w:rPr>
        <w:t xml:space="preserve"> leaving metallic Ti and</w:t>
      </w:r>
      <w:r w:rsidR="00125BF9">
        <w:rPr>
          <w:rFonts w:cs="Times New Roman"/>
        </w:rPr>
        <w:t xml:space="preserve"> a residual thickness</w:t>
      </w:r>
      <w:r w:rsidR="009919D0">
        <w:rPr>
          <w:rFonts w:cs="Times New Roman"/>
        </w:rPr>
        <w:t xml:space="preserve"> corresponding to the barrier </w:t>
      </w:r>
      <w:r w:rsidR="006B6204">
        <w:rPr>
          <w:rFonts w:cs="Times New Roman"/>
        </w:rPr>
        <w:t>region</w:t>
      </w:r>
      <w:r w:rsidR="009919D0">
        <w:rPr>
          <w:rFonts w:cs="Times New Roman"/>
        </w:rPr>
        <w:t xml:space="preserve"> (according to TEM ~ 1</w:t>
      </w:r>
      <w:r w:rsidR="00350811">
        <w:rPr>
          <w:rFonts w:cs="Times New Roman"/>
        </w:rPr>
        <w:t>90</w:t>
      </w:r>
      <w:r w:rsidR="009919D0">
        <w:rPr>
          <w:rFonts w:cs="Times New Roman"/>
        </w:rPr>
        <w:t xml:space="preserve"> nm</w:t>
      </w:r>
      <w:r w:rsidR="006B6204">
        <w:rPr>
          <w:rFonts w:cs="Times New Roman"/>
        </w:rPr>
        <w:t xml:space="preserve"> for </w:t>
      </w:r>
      <w:r w:rsidR="006B6204" w:rsidRPr="006B6204">
        <w:rPr>
          <w:rFonts w:cs="Times New Roman"/>
        </w:rPr>
        <w:t>PEO-DC</w:t>
      </w:r>
      <w:r w:rsidR="009919D0">
        <w:rPr>
          <w:rFonts w:cs="Times New Roman"/>
        </w:rPr>
        <w:t xml:space="preserve"> </w:t>
      </w:r>
      <w:r w:rsidR="003278E2">
        <w:rPr>
          <w:rFonts w:cs="Times New Roman"/>
        </w:rPr>
        <w:t xml:space="preserve">and </w:t>
      </w:r>
      <w:r w:rsidR="007822BB">
        <w:rPr>
          <w:rFonts w:cs="Times New Roman"/>
        </w:rPr>
        <w:t>320</w:t>
      </w:r>
      <w:r w:rsidR="003278E2">
        <w:rPr>
          <w:rFonts w:cs="Times New Roman"/>
        </w:rPr>
        <w:t xml:space="preserve"> nm </w:t>
      </w:r>
      <w:r w:rsidR="00AE16E4">
        <w:rPr>
          <w:rFonts w:cs="Times New Roman"/>
        </w:rPr>
        <w:t>for PEO-H-25</w:t>
      </w:r>
      <w:r w:rsidR="009919D0">
        <w:rPr>
          <w:rFonts w:cs="Times New Roman"/>
        </w:rPr>
        <w:t>).</w:t>
      </w:r>
      <w:r w:rsidR="006E0D63">
        <w:rPr>
          <w:rFonts w:cs="Times New Roman"/>
        </w:rPr>
        <w:t xml:space="preserve"> </w:t>
      </w:r>
      <w:r w:rsidR="00B826E0">
        <w:rPr>
          <w:rFonts w:cs="Times New Roman"/>
        </w:rPr>
        <w:t>Ar etching</w:t>
      </w:r>
      <w:r w:rsidR="00487312">
        <w:rPr>
          <w:rFonts w:cs="Times New Roman"/>
        </w:rPr>
        <w:t xml:space="preserve"> parameters</w:t>
      </w:r>
      <w:r w:rsidR="00B826E0">
        <w:rPr>
          <w:rFonts w:cs="Times New Roman"/>
        </w:rPr>
        <w:t>,</w:t>
      </w:r>
      <w:r w:rsidR="006E0D63">
        <w:rPr>
          <w:rFonts w:cs="Times New Roman"/>
        </w:rPr>
        <w:t xml:space="preserve"> listed in section </w:t>
      </w:r>
      <w:r w:rsidR="00D711FC">
        <w:rPr>
          <w:rFonts w:cs="Times New Roman"/>
        </w:rPr>
        <w:t>2.5</w:t>
      </w:r>
      <w:r w:rsidR="006E0D63">
        <w:rPr>
          <w:rFonts w:cs="Times New Roman"/>
        </w:rPr>
        <w:t xml:space="preserve">, </w:t>
      </w:r>
      <w:r w:rsidR="00B826E0">
        <w:rPr>
          <w:rFonts w:cs="Times New Roman"/>
        </w:rPr>
        <w:t xml:space="preserve">were </w:t>
      </w:r>
      <w:r w:rsidR="006E0D63">
        <w:rPr>
          <w:rFonts w:cs="Times New Roman"/>
        </w:rPr>
        <w:t>optimize</w:t>
      </w:r>
      <w:r w:rsidR="00B826E0">
        <w:rPr>
          <w:rFonts w:cs="Times New Roman"/>
        </w:rPr>
        <w:t xml:space="preserve">d </w:t>
      </w:r>
      <w:r w:rsidR="008037F2">
        <w:rPr>
          <w:rFonts w:cs="Times New Roman"/>
        </w:rPr>
        <w:t>to limit</w:t>
      </w:r>
      <w:r w:rsidR="00F636A3">
        <w:rPr>
          <w:rFonts w:cs="Times New Roman"/>
        </w:rPr>
        <w:t xml:space="preserve"> as much as possible </w:t>
      </w:r>
      <w:r w:rsidR="00A15AA5">
        <w:rPr>
          <w:rFonts w:cs="Times New Roman"/>
        </w:rPr>
        <w:t xml:space="preserve">roughness and </w:t>
      </w:r>
      <w:r w:rsidR="00286B97">
        <w:rPr>
          <w:rFonts w:cs="Times New Roman"/>
        </w:rPr>
        <w:t>indentations</w:t>
      </w:r>
      <w:r w:rsidR="009F56DF">
        <w:rPr>
          <w:rFonts w:cs="Times New Roman"/>
        </w:rPr>
        <w:t xml:space="preserve"> resulting in homogeneous crater shape</w:t>
      </w:r>
      <w:r w:rsidR="00251839">
        <w:rPr>
          <w:rFonts w:cs="Times New Roman"/>
        </w:rPr>
        <w:t>s</w:t>
      </w:r>
      <w:r w:rsidR="00286B97">
        <w:rPr>
          <w:rFonts w:cs="Times New Roman"/>
        </w:rPr>
        <w:t xml:space="preserve"> (see </w:t>
      </w:r>
      <w:r w:rsidR="00286B97" w:rsidRPr="00286B97">
        <w:rPr>
          <w:rFonts w:cs="Times New Roman"/>
          <w:b/>
          <w:bCs/>
        </w:rPr>
        <w:t>Fig. S</w:t>
      </w:r>
      <w:r w:rsidR="00002578">
        <w:rPr>
          <w:rFonts w:cs="Times New Roman"/>
          <w:b/>
          <w:bCs/>
        </w:rPr>
        <w:t>1</w:t>
      </w:r>
      <w:r w:rsidR="00286B97">
        <w:rPr>
          <w:rFonts w:cs="Times New Roman"/>
        </w:rPr>
        <w:t xml:space="preserve"> in Supp</w:t>
      </w:r>
      <w:r w:rsidR="00946C25">
        <w:rPr>
          <w:rFonts w:cs="Times New Roman"/>
        </w:rPr>
        <w:t>lementary material</w:t>
      </w:r>
      <w:r w:rsidR="00286B97">
        <w:rPr>
          <w:rFonts w:cs="Times New Roman"/>
        </w:rPr>
        <w:t>)</w:t>
      </w:r>
      <w:r w:rsidR="00D711FC">
        <w:rPr>
          <w:rFonts w:cs="Times New Roman"/>
        </w:rPr>
        <w:t>. A</w:t>
      </w:r>
      <w:r w:rsidR="001517EF">
        <w:rPr>
          <w:rFonts w:cs="Times New Roman"/>
        </w:rPr>
        <w:t>rithmetical roughness (R</w:t>
      </w:r>
      <w:r w:rsidR="001517EF">
        <w:rPr>
          <w:rFonts w:cs="Times New Roman"/>
          <w:vertAlign w:val="subscript"/>
        </w:rPr>
        <w:t>a</w:t>
      </w:r>
      <w:r w:rsidR="001517EF">
        <w:rPr>
          <w:rFonts w:cs="Times New Roman"/>
        </w:rPr>
        <w:t>) was evaluated for both crater</w:t>
      </w:r>
      <w:r w:rsidR="00BE5C2C">
        <w:rPr>
          <w:rFonts w:cs="Times New Roman"/>
        </w:rPr>
        <w:t>s</w:t>
      </w:r>
      <w:r w:rsidR="00251839">
        <w:rPr>
          <w:rFonts w:cs="Times New Roman"/>
        </w:rPr>
        <w:t xml:space="preserve"> (~ 93 nm and ~ </w:t>
      </w:r>
      <w:r w:rsidR="00CB2B2D">
        <w:rPr>
          <w:rFonts w:cs="Times New Roman"/>
        </w:rPr>
        <w:t>138 nm for PEO-DC and PEO-H-25)</w:t>
      </w:r>
      <w:r w:rsidR="001517EF">
        <w:rPr>
          <w:rFonts w:cs="Times New Roman"/>
        </w:rPr>
        <w:t xml:space="preserve"> and the value </w:t>
      </w:r>
      <w:r w:rsidR="00BE5C2C">
        <w:rPr>
          <w:rFonts w:cs="Times New Roman"/>
        </w:rPr>
        <w:t>used</w:t>
      </w:r>
      <w:r w:rsidR="00F41317">
        <w:rPr>
          <w:rFonts w:cs="Times New Roman"/>
        </w:rPr>
        <w:t xml:space="preserve"> as a</w:t>
      </w:r>
      <w:r w:rsidR="00CB2B2D">
        <w:rPr>
          <w:rFonts w:cs="Times New Roman"/>
        </w:rPr>
        <w:t xml:space="preserve"> “safety”</w:t>
      </w:r>
      <w:r w:rsidR="00F41317">
        <w:rPr>
          <w:rFonts w:cs="Times New Roman"/>
        </w:rPr>
        <w:t xml:space="preserve"> tolerance to </w:t>
      </w:r>
      <w:r w:rsidR="0025789E">
        <w:rPr>
          <w:rFonts w:cs="Times New Roman"/>
        </w:rPr>
        <w:t>anticipate the</w:t>
      </w:r>
      <w:r w:rsidR="00255A75">
        <w:rPr>
          <w:rFonts w:cs="Times New Roman"/>
        </w:rPr>
        <w:t xml:space="preserve"> shut-down of the</w:t>
      </w:r>
      <w:r w:rsidR="0025789E">
        <w:rPr>
          <w:rFonts w:cs="Times New Roman"/>
        </w:rPr>
        <w:t xml:space="preserve"> sputtering procedure. In this</w:t>
      </w:r>
      <w:r w:rsidR="00255A75">
        <w:rPr>
          <w:rFonts w:cs="Times New Roman"/>
        </w:rPr>
        <w:t xml:space="preserve"> way</w:t>
      </w:r>
      <w:r w:rsidR="00A06214">
        <w:rPr>
          <w:rFonts w:cs="Times New Roman"/>
        </w:rPr>
        <w:t>,</w:t>
      </w:r>
      <w:r w:rsidR="00C56B92">
        <w:rPr>
          <w:rFonts w:cs="Times New Roman"/>
        </w:rPr>
        <w:t xml:space="preserve"> the region of interest can be assumed to be almost preserved</w:t>
      </w:r>
      <w:r w:rsidR="00255A75">
        <w:rPr>
          <w:rFonts w:cs="Times New Roman"/>
        </w:rPr>
        <w:t xml:space="preserve"> from </w:t>
      </w:r>
      <w:r w:rsidR="000819B3">
        <w:rPr>
          <w:rFonts w:cs="Times New Roman"/>
        </w:rPr>
        <w:t>indentations</w:t>
      </w:r>
      <w:r w:rsidR="00C56B92">
        <w:rPr>
          <w:rFonts w:cs="Times New Roman"/>
        </w:rPr>
        <w:t xml:space="preserve"> and residual </w:t>
      </w:r>
      <w:r w:rsidR="002639D8">
        <w:rPr>
          <w:rFonts w:cs="Times New Roman"/>
        </w:rPr>
        <w:t>stoichiometric alteration</w:t>
      </w:r>
      <w:r w:rsidR="000F7129">
        <w:rPr>
          <w:rFonts w:cs="Times New Roman"/>
        </w:rPr>
        <w:t>s</w:t>
      </w:r>
      <w:r w:rsidR="002639D8">
        <w:rPr>
          <w:rFonts w:cs="Times New Roman"/>
        </w:rPr>
        <w:t xml:space="preserve"> (if any considering the robust nature of titanium oxides)</w:t>
      </w:r>
      <w:r w:rsidR="000819B3">
        <w:rPr>
          <w:rFonts w:cs="Times New Roman"/>
        </w:rPr>
        <w:t xml:space="preserve"> imparted by</w:t>
      </w:r>
      <w:r w:rsidR="004938D7">
        <w:rPr>
          <w:rFonts w:cs="Times New Roman"/>
        </w:rPr>
        <w:t xml:space="preserve"> impact</w:t>
      </w:r>
      <w:r w:rsidR="006C05D0">
        <w:rPr>
          <w:rFonts w:cs="Times New Roman"/>
        </w:rPr>
        <w:t>s</w:t>
      </w:r>
      <w:r w:rsidR="004938D7">
        <w:rPr>
          <w:rFonts w:cs="Times New Roman"/>
        </w:rPr>
        <w:t xml:space="preserve"> with</w:t>
      </w:r>
      <w:r w:rsidR="000819B3">
        <w:rPr>
          <w:rFonts w:cs="Times New Roman"/>
        </w:rPr>
        <w:t xml:space="preserve"> the energetic</w:t>
      </w:r>
      <w:r w:rsidR="00660E47">
        <w:rPr>
          <w:rFonts w:cs="Times New Roman"/>
        </w:rPr>
        <w:t xml:space="preserve"> particles</w:t>
      </w:r>
      <w:r w:rsidR="00BC5904">
        <w:rPr>
          <w:rFonts w:cs="Times New Roman"/>
        </w:rPr>
        <w:t>.</w:t>
      </w:r>
    </w:p>
    <w:p w14:paraId="4A7AA7D2" w14:textId="3EBBAB55" w:rsidR="00B84EF3" w:rsidRDefault="00844422" w:rsidP="00692F30">
      <w:pPr>
        <w:spacing w:after="0"/>
        <w:rPr>
          <w:rFonts w:cs="Times New Roman"/>
        </w:rPr>
      </w:pPr>
      <w:r>
        <w:rPr>
          <w:rFonts w:cs="Times New Roman"/>
        </w:rPr>
        <w:lastRenderedPageBreak/>
        <w:t>EIS results carried out on</w:t>
      </w:r>
      <w:r w:rsidR="005C5C51">
        <w:rPr>
          <w:rFonts w:cs="Times New Roman"/>
        </w:rPr>
        <w:t xml:space="preserve"> </w:t>
      </w:r>
      <w:r>
        <w:rPr>
          <w:rFonts w:cs="Times New Roman"/>
        </w:rPr>
        <w:t>PEO</w:t>
      </w:r>
      <w:r w:rsidR="005C5C51">
        <w:rPr>
          <w:rFonts w:cs="Times New Roman"/>
        </w:rPr>
        <w:t>-DC</w:t>
      </w:r>
      <w:r>
        <w:rPr>
          <w:rFonts w:cs="Times New Roman"/>
        </w:rPr>
        <w:t xml:space="preserve"> sample </w:t>
      </w:r>
      <w:r w:rsidR="00114431">
        <w:rPr>
          <w:rFonts w:cs="Times New Roman"/>
        </w:rPr>
        <w:t xml:space="preserve">are presented in </w:t>
      </w:r>
      <w:r w:rsidR="001052F7" w:rsidRPr="001052F7">
        <w:rPr>
          <w:rFonts w:cs="Times New Roman"/>
          <w:b/>
          <w:bCs/>
        </w:rPr>
        <w:t xml:space="preserve">Fig. </w:t>
      </w:r>
      <w:r w:rsidR="001E6A8A">
        <w:rPr>
          <w:rFonts w:cs="Times New Roman"/>
          <w:b/>
          <w:bCs/>
        </w:rPr>
        <w:t>8</w:t>
      </w:r>
      <w:r w:rsidR="00114431">
        <w:rPr>
          <w:rFonts w:cs="Times New Roman"/>
        </w:rPr>
        <w:t xml:space="preserve"> in the form of Nyquist and Bode representation</w:t>
      </w:r>
      <w:r w:rsidR="00391EA4">
        <w:rPr>
          <w:rFonts w:cs="Times New Roman"/>
        </w:rPr>
        <w:t>.</w:t>
      </w:r>
      <w:r w:rsidR="00E35F7D">
        <w:rPr>
          <w:rFonts w:cs="Times New Roman"/>
        </w:rPr>
        <w:t xml:space="preserve"> For sake of </w:t>
      </w:r>
      <w:r w:rsidR="00A06214">
        <w:rPr>
          <w:rFonts w:cs="Times New Roman"/>
        </w:rPr>
        <w:t>brevity,</w:t>
      </w:r>
      <w:r w:rsidR="00E35F7D">
        <w:rPr>
          <w:rFonts w:cs="Times New Roman"/>
        </w:rPr>
        <w:t xml:space="preserve"> spectra regarding PEO-H-25 were avoided as </w:t>
      </w:r>
      <w:r w:rsidR="0010249F">
        <w:rPr>
          <w:rFonts w:cs="Times New Roman"/>
        </w:rPr>
        <w:t xml:space="preserve">the trend was </w:t>
      </w:r>
      <w:r w:rsidR="008E5815">
        <w:rPr>
          <w:rFonts w:cs="Times New Roman"/>
        </w:rPr>
        <w:t>qualitatively comparable</w:t>
      </w:r>
      <w:r w:rsidR="0010249F">
        <w:rPr>
          <w:rFonts w:cs="Times New Roman"/>
        </w:rPr>
        <w:t>.</w:t>
      </w:r>
    </w:p>
    <w:p w14:paraId="6BE700E1" w14:textId="77777777" w:rsidR="00D97C8F" w:rsidRDefault="00C50236" w:rsidP="00D97C8F">
      <w:pPr>
        <w:keepNext/>
        <w:spacing w:after="0"/>
        <w:jc w:val="center"/>
      </w:pPr>
      <w:r>
        <w:rPr>
          <w:rFonts w:cs="Times New Roman"/>
          <w:noProof/>
        </w:rPr>
        <w:drawing>
          <wp:inline distT="0" distB="0" distL="0" distR="0" wp14:anchorId="71FBB594" wp14:editId="0E62CE79">
            <wp:extent cx="5579534" cy="7656158"/>
            <wp:effectExtent l="0" t="0" r="2540" b="254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16"/>
                    <a:srcRect l="17155" t="2139" r="12562" b="4688"/>
                    <a:stretch/>
                  </pic:blipFill>
                  <pic:spPr bwMode="auto">
                    <a:xfrm>
                      <a:off x="0" y="0"/>
                      <a:ext cx="5585687" cy="7664602"/>
                    </a:xfrm>
                    <a:prstGeom prst="rect">
                      <a:avLst/>
                    </a:prstGeom>
                    <a:ln>
                      <a:noFill/>
                    </a:ln>
                    <a:extLst>
                      <a:ext uri="{53640926-AAD7-44D8-BBD7-CCE9431645EC}">
                        <a14:shadowObscured xmlns:a14="http://schemas.microsoft.com/office/drawing/2010/main"/>
                      </a:ext>
                    </a:extLst>
                  </pic:spPr>
                </pic:pic>
              </a:graphicData>
            </a:graphic>
          </wp:inline>
        </w:drawing>
      </w:r>
    </w:p>
    <w:p w14:paraId="2FCB8FFC" w14:textId="366717DC" w:rsidR="00F47E58" w:rsidRPr="00346CD3" w:rsidRDefault="00D97C8F" w:rsidP="00346CD3">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8</w:t>
      </w:r>
      <w:r>
        <w:fldChar w:fldCharType="end"/>
      </w:r>
      <w:r>
        <w:t xml:space="preserve">. </w:t>
      </w:r>
      <w:r w:rsidR="00346CD3">
        <w:rPr>
          <w:b w:val="0"/>
          <w:bCs/>
        </w:rPr>
        <w:t xml:space="preserve">Nyquist representation and related Bode diagram </w:t>
      </w:r>
      <w:r w:rsidR="00725C53">
        <w:rPr>
          <w:b w:val="0"/>
          <w:bCs/>
        </w:rPr>
        <w:t>of EIS tests</w:t>
      </w:r>
      <w:r w:rsidR="00346CD3">
        <w:rPr>
          <w:b w:val="0"/>
          <w:bCs/>
        </w:rPr>
        <w:t xml:space="preserve"> carried out on PEO-DC.</w:t>
      </w:r>
    </w:p>
    <w:p w14:paraId="17D12BD4" w14:textId="1A089618" w:rsidR="00696E00" w:rsidRDefault="00C2144D" w:rsidP="001448A2">
      <w:pPr>
        <w:spacing w:before="240" w:after="0"/>
        <w:rPr>
          <w:rFonts w:cs="Times New Roman"/>
        </w:rPr>
      </w:pPr>
      <w:r>
        <w:rPr>
          <w:rFonts w:cs="Times New Roman"/>
        </w:rPr>
        <w:lastRenderedPageBreak/>
        <w:t>It is possible to see how t</w:t>
      </w:r>
      <w:r w:rsidR="00F47E58" w:rsidRPr="00F47E58">
        <w:rPr>
          <w:rFonts w:cs="Times New Roman"/>
        </w:rPr>
        <w:t>he residual barrier layer held passivity for the first few minutes of immersion</w:t>
      </w:r>
      <w:r w:rsidR="00422395">
        <w:rPr>
          <w:rFonts w:cs="Times New Roman"/>
        </w:rPr>
        <w:t xml:space="preserve"> in perfect agreement according to E</w:t>
      </w:r>
      <w:r w:rsidR="00422395">
        <w:rPr>
          <w:rFonts w:cs="Times New Roman"/>
          <w:vertAlign w:val="subscript"/>
        </w:rPr>
        <w:t>corr</w:t>
      </w:r>
      <w:r w:rsidR="00422395">
        <w:rPr>
          <w:rFonts w:cs="Times New Roman"/>
        </w:rPr>
        <w:t xml:space="preserve"> evolution measured on </w:t>
      </w:r>
      <w:r w:rsidR="00E62698">
        <w:rPr>
          <w:rFonts w:cs="Times New Roman"/>
        </w:rPr>
        <w:t>the complete oxide</w:t>
      </w:r>
      <w:r w:rsidR="00DC407B">
        <w:rPr>
          <w:rFonts w:cs="Times New Roman"/>
        </w:rPr>
        <w:t>. Th</w:t>
      </w:r>
      <w:r w:rsidR="00BF3EEF">
        <w:rPr>
          <w:rFonts w:cs="Times New Roman"/>
        </w:rPr>
        <w:t>is demonstrates the relevant role covered by the barrier region in determining the corrosion response of the electrode.</w:t>
      </w:r>
      <w:r w:rsidR="00F47E58">
        <w:rPr>
          <w:rFonts w:cs="Times New Roman"/>
        </w:rPr>
        <w:t xml:space="preserve"> </w:t>
      </w:r>
      <w:r w:rsidR="00E62698">
        <w:rPr>
          <w:rFonts w:cs="Times New Roman"/>
        </w:rPr>
        <w:t xml:space="preserve">A </w:t>
      </w:r>
      <w:r w:rsidR="00E62698" w:rsidRPr="00E62698">
        <w:rPr>
          <w:rFonts w:cs="Times New Roman"/>
        </w:rPr>
        <w:t>single depressed semicircle in the Nyquist representation</w:t>
      </w:r>
      <w:r w:rsidR="00F93ADB">
        <w:rPr>
          <w:rFonts w:cs="Times New Roman"/>
        </w:rPr>
        <w:t>, typical of almost passive materials,</w:t>
      </w:r>
      <w:r w:rsidR="00E62698" w:rsidRPr="00E62698">
        <w:rPr>
          <w:rFonts w:cs="Times New Roman"/>
        </w:rPr>
        <w:t xml:space="preserve"> </w:t>
      </w:r>
      <w:r w:rsidR="00F93ADB">
        <w:rPr>
          <w:rFonts w:cs="Times New Roman"/>
        </w:rPr>
        <w:t>manifests</w:t>
      </w:r>
      <w:r w:rsidR="00B5226F">
        <w:rPr>
          <w:rFonts w:cs="Times New Roman"/>
        </w:rPr>
        <w:t xml:space="preserve"> </w:t>
      </w:r>
      <w:r w:rsidR="00725C53">
        <w:rPr>
          <w:rFonts w:cs="Times New Roman"/>
        </w:rPr>
        <w:t xml:space="preserve">a </w:t>
      </w:r>
      <w:r w:rsidR="00B5226F">
        <w:rPr>
          <w:rFonts w:cs="Times New Roman"/>
        </w:rPr>
        <w:t>distribution</w:t>
      </w:r>
      <w:r w:rsidR="00725C53">
        <w:rPr>
          <w:rFonts w:cs="Times New Roman"/>
        </w:rPr>
        <w:t xml:space="preserve"> of time constants</w:t>
      </w:r>
      <w:r w:rsidR="00E352C2">
        <w:rPr>
          <w:rFonts w:cs="Times New Roman"/>
        </w:rPr>
        <w:t xml:space="preserve"> becoming</w:t>
      </w:r>
      <w:r w:rsidR="00B5226F">
        <w:rPr>
          <w:rFonts w:cs="Times New Roman"/>
        </w:rPr>
        <w:t xml:space="preserve"> </w:t>
      </w:r>
      <w:r w:rsidR="00CF30A6">
        <w:rPr>
          <w:rFonts w:cs="Times New Roman"/>
        </w:rPr>
        <w:t>more evident</w:t>
      </w:r>
      <w:r w:rsidR="00B5226F">
        <w:rPr>
          <w:rFonts w:cs="Times New Roman"/>
        </w:rPr>
        <w:t xml:space="preserve"> at progressively</w:t>
      </w:r>
      <w:r w:rsidR="00CF30A6">
        <w:rPr>
          <w:rFonts w:cs="Times New Roman"/>
        </w:rPr>
        <w:t xml:space="preserve"> increasing immersion time:</w:t>
      </w:r>
      <w:r w:rsidR="00B5226F">
        <w:rPr>
          <w:rFonts w:cs="Times New Roman"/>
        </w:rPr>
        <w:t xml:space="preserve"> </w:t>
      </w:r>
      <w:r w:rsidR="00CF30A6">
        <w:rPr>
          <w:rFonts w:cs="Times New Roman"/>
        </w:rPr>
        <w:t>the depression in – phase angle</w:t>
      </w:r>
      <w:r w:rsidR="00E352C2">
        <w:rPr>
          <w:rFonts w:cs="Times New Roman"/>
        </w:rPr>
        <w:t>,</w:t>
      </w:r>
      <w:r w:rsidR="00CF30A6">
        <w:rPr>
          <w:rFonts w:cs="Times New Roman"/>
        </w:rPr>
        <w:t xml:space="preserve"> evidenced around</w:t>
      </w:r>
      <w:r w:rsidR="00B442F2">
        <w:rPr>
          <w:rFonts w:cs="Times New Roman"/>
        </w:rPr>
        <w:t xml:space="preserve"> 10 Hz</w:t>
      </w:r>
      <w:r w:rsidR="00E352C2">
        <w:rPr>
          <w:rFonts w:cs="Times New Roman"/>
        </w:rPr>
        <w:t>,</w:t>
      </w:r>
      <w:r w:rsidR="00840DB5">
        <w:rPr>
          <w:rFonts w:cs="Times New Roman"/>
        </w:rPr>
        <w:t xml:space="preserve"> </w:t>
      </w:r>
      <w:r w:rsidR="005F5DF7">
        <w:rPr>
          <w:rFonts w:cs="Times New Roman"/>
        </w:rPr>
        <w:t>determined</w:t>
      </w:r>
      <w:r w:rsidR="00126EBD">
        <w:rPr>
          <w:rFonts w:cs="Times New Roman"/>
        </w:rPr>
        <w:t xml:space="preserve"> the appearance of</w:t>
      </w:r>
      <w:r w:rsidR="00865558">
        <w:rPr>
          <w:rFonts w:cs="Times New Roman"/>
        </w:rPr>
        <w:t xml:space="preserve"> two peaks as the immersion time and the electrode degradation </w:t>
      </w:r>
      <w:r w:rsidR="00C02DD0">
        <w:rPr>
          <w:rFonts w:cs="Times New Roman"/>
        </w:rPr>
        <w:t>advance</w:t>
      </w:r>
      <w:r>
        <w:rPr>
          <w:rFonts w:cs="Times New Roman"/>
        </w:rPr>
        <w:t>d</w:t>
      </w:r>
      <w:r w:rsidR="00C02DD0">
        <w:rPr>
          <w:rFonts w:cs="Times New Roman"/>
        </w:rPr>
        <w:t>.</w:t>
      </w:r>
      <w:r w:rsidR="00D32199">
        <w:rPr>
          <w:rFonts w:cs="Times New Roman"/>
        </w:rPr>
        <w:t xml:space="preserve"> </w:t>
      </w:r>
      <w:r w:rsidR="00696E00">
        <w:rPr>
          <w:rFonts w:cs="Times New Roman"/>
        </w:rPr>
        <w:t xml:space="preserve">To get insight about the time scale governing the </w:t>
      </w:r>
      <w:r w:rsidR="006C1523">
        <w:rPr>
          <w:rFonts w:cs="Times New Roman"/>
        </w:rPr>
        <w:t>electrochemical process</w:t>
      </w:r>
      <w:r w:rsidR="00126EBD">
        <w:rPr>
          <w:rFonts w:cs="Times New Roman"/>
        </w:rPr>
        <w:t xml:space="preserve">, </w:t>
      </w:r>
      <w:r w:rsidR="005F0F9E">
        <w:rPr>
          <w:rFonts w:cs="Times New Roman"/>
        </w:rPr>
        <w:t>by-passing the contribution of the solution resistance,</w:t>
      </w:r>
      <w:r w:rsidR="006C1523">
        <w:rPr>
          <w:rFonts w:cs="Times New Roman"/>
        </w:rPr>
        <w:t xml:space="preserve"> the imaginary impedance is plotted</w:t>
      </w:r>
      <w:r w:rsidR="002C4D1A">
        <w:rPr>
          <w:rFonts w:cs="Times New Roman"/>
        </w:rPr>
        <w:t xml:space="preserve"> in </w:t>
      </w:r>
      <w:r w:rsidR="002C4D1A" w:rsidRPr="004F55DB">
        <w:rPr>
          <w:rFonts w:cs="Times New Roman"/>
          <w:b/>
          <w:bCs/>
        </w:rPr>
        <w:t xml:space="preserve">Fig. </w:t>
      </w:r>
      <w:r w:rsidR="001E6A8A">
        <w:rPr>
          <w:rFonts w:cs="Times New Roman"/>
          <w:b/>
          <w:bCs/>
        </w:rPr>
        <w:t>9</w:t>
      </w:r>
      <w:r w:rsidR="006C1523">
        <w:rPr>
          <w:rFonts w:cs="Times New Roman"/>
        </w:rPr>
        <w:t xml:space="preserve"> </w:t>
      </w:r>
      <w:r w:rsidR="003F021B">
        <w:rPr>
          <w:rFonts w:cs="Times New Roman"/>
        </w:rPr>
        <w:t xml:space="preserve">for </w:t>
      </w:r>
      <w:r w:rsidR="00125BF9">
        <w:rPr>
          <w:rFonts w:cs="Times New Roman"/>
        </w:rPr>
        <w:t>the most relevant</w:t>
      </w:r>
      <w:r w:rsidR="003F021B">
        <w:rPr>
          <w:rFonts w:cs="Times New Roman"/>
        </w:rPr>
        <w:t xml:space="preserve"> </w:t>
      </w:r>
      <w:r w:rsidR="00294E28">
        <w:rPr>
          <w:rFonts w:cs="Times New Roman"/>
        </w:rPr>
        <w:t>processes</w:t>
      </w:r>
      <w:r w:rsidR="002F4C6D">
        <w:rPr>
          <w:rFonts w:cs="Times New Roman"/>
        </w:rPr>
        <w:t xml:space="preserve"> verified during immersion of both electrodes</w:t>
      </w:r>
      <w:r w:rsidR="00D259A1">
        <w:rPr>
          <w:rFonts w:cs="Times New Roman"/>
        </w:rPr>
        <w:t>:</w:t>
      </w:r>
    </w:p>
    <w:p w14:paraId="703AC174" w14:textId="77777777" w:rsidR="00346CD3" w:rsidRDefault="000F384D" w:rsidP="00346CD3">
      <w:pPr>
        <w:keepNext/>
        <w:spacing w:after="0"/>
        <w:jc w:val="center"/>
      </w:pPr>
      <w:r>
        <w:rPr>
          <w:rFonts w:cs="Times New Roman"/>
          <w:noProof/>
        </w:rPr>
        <w:drawing>
          <wp:inline distT="0" distB="0" distL="0" distR="0" wp14:anchorId="079B83B2" wp14:editId="3BB2EBF4">
            <wp:extent cx="5083870" cy="2119745"/>
            <wp:effectExtent l="0" t="0" r="2540" b="0"/>
            <wp:docPr id="10" name="Picture 10"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scatter chart&#10;&#10;Description automatically generated"/>
                    <pic:cNvPicPr/>
                  </pic:nvPicPr>
                  <pic:blipFill rotWithShape="1">
                    <a:blip r:embed="rId17"/>
                    <a:srcRect l="17182" t="8336" r="10853" b="26865"/>
                    <a:stretch/>
                  </pic:blipFill>
                  <pic:spPr bwMode="auto">
                    <a:xfrm>
                      <a:off x="0" y="0"/>
                      <a:ext cx="5088677" cy="2121749"/>
                    </a:xfrm>
                    <a:prstGeom prst="rect">
                      <a:avLst/>
                    </a:prstGeom>
                    <a:ln>
                      <a:noFill/>
                    </a:ln>
                    <a:extLst>
                      <a:ext uri="{53640926-AAD7-44D8-BBD7-CCE9431645EC}">
                        <a14:shadowObscured xmlns:a14="http://schemas.microsoft.com/office/drawing/2010/main"/>
                      </a:ext>
                    </a:extLst>
                  </pic:spPr>
                </pic:pic>
              </a:graphicData>
            </a:graphic>
          </wp:inline>
        </w:drawing>
      </w:r>
    </w:p>
    <w:p w14:paraId="7F20360F" w14:textId="3740CCB4" w:rsidR="00AF4FB7" w:rsidRPr="00346CD3" w:rsidRDefault="00346CD3" w:rsidP="00346CD3">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9</w:t>
      </w:r>
      <w:r>
        <w:fldChar w:fldCharType="end"/>
      </w:r>
      <w:r>
        <w:t xml:space="preserve">. </w:t>
      </w:r>
      <w:r w:rsidR="00632921">
        <w:rPr>
          <w:b w:val="0"/>
          <w:bCs/>
        </w:rPr>
        <w:t xml:space="preserve">Imaginary impedance plot for </w:t>
      </w:r>
      <w:r w:rsidR="00632921" w:rsidRPr="00632921">
        <w:t>a)</w:t>
      </w:r>
      <w:r w:rsidR="00632921">
        <w:rPr>
          <w:b w:val="0"/>
          <w:bCs/>
        </w:rPr>
        <w:t xml:space="preserve"> PEO-DC and </w:t>
      </w:r>
      <w:r w:rsidR="00632921" w:rsidRPr="00632921">
        <w:t>b)</w:t>
      </w:r>
      <w:r w:rsidR="00632921">
        <w:rPr>
          <w:b w:val="0"/>
          <w:bCs/>
        </w:rPr>
        <w:t xml:space="preserve"> PEO-H-25.</w:t>
      </w:r>
    </w:p>
    <w:p w14:paraId="4861B655" w14:textId="46C55CF1" w:rsidR="00696E00" w:rsidRDefault="00E6287E" w:rsidP="001448A2">
      <w:pPr>
        <w:spacing w:before="240" w:after="0"/>
        <w:rPr>
          <w:rFonts w:cs="Times New Roman"/>
        </w:rPr>
      </w:pPr>
      <w:r>
        <w:rPr>
          <w:rFonts w:cs="Times New Roman"/>
        </w:rPr>
        <w:t xml:space="preserve">initially as the electrode held passivity, a single peak in </w:t>
      </w:r>
      <w:r w:rsidR="004F55DB">
        <w:rPr>
          <w:rFonts w:cs="Times New Roman"/>
        </w:rPr>
        <w:t>-Z</w:t>
      </w:r>
      <w:r w:rsidR="00DD0505">
        <w:rPr>
          <w:rFonts w:cs="Times New Roman"/>
        </w:rPr>
        <w:t>''</w:t>
      </w:r>
      <w:r>
        <w:rPr>
          <w:rFonts w:cs="Times New Roman"/>
        </w:rPr>
        <w:t xml:space="preserve"> established </w:t>
      </w:r>
      <w:r w:rsidR="003533C6">
        <w:rPr>
          <w:rFonts w:cs="Times New Roman"/>
        </w:rPr>
        <w:t>around 0.025 Hz</w:t>
      </w:r>
      <w:r w:rsidR="00443CD1">
        <w:rPr>
          <w:rFonts w:cs="Times New Roman"/>
        </w:rPr>
        <w:t xml:space="preserve"> for sample PEO-DC</w:t>
      </w:r>
      <w:r w:rsidR="00A105E7">
        <w:rPr>
          <w:rFonts w:cs="Times New Roman"/>
        </w:rPr>
        <w:t xml:space="preserve">, </w:t>
      </w:r>
      <w:r w:rsidR="00B20340">
        <w:rPr>
          <w:rFonts w:cs="Times New Roman"/>
        </w:rPr>
        <w:t xml:space="preserve">indicating a corrosion mechanism prevalently </w:t>
      </w:r>
      <w:r w:rsidR="002616D8">
        <w:rPr>
          <w:rFonts w:cs="Times New Roman"/>
        </w:rPr>
        <w:t>controlled</w:t>
      </w:r>
      <w:r w:rsidR="003D063B">
        <w:rPr>
          <w:rFonts w:cs="Times New Roman"/>
        </w:rPr>
        <w:t xml:space="preserve"> by diffusion</w:t>
      </w:r>
      <w:r w:rsidR="00B20340">
        <w:rPr>
          <w:rFonts w:cs="Times New Roman"/>
        </w:rPr>
        <w:t>.</w:t>
      </w:r>
      <w:r w:rsidR="007E0C19">
        <w:rPr>
          <w:rFonts w:cs="Times New Roman"/>
        </w:rPr>
        <w:t xml:space="preserve"> A</w:t>
      </w:r>
      <w:r w:rsidR="00B95E01">
        <w:rPr>
          <w:rFonts w:cs="Times New Roman"/>
        </w:rPr>
        <w:t>t progressively increasing</w:t>
      </w:r>
      <w:r w:rsidR="007E0C19">
        <w:rPr>
          <w:rFonts w:cs="Times New Roman"/>
        </w:rPr>
        <w:t xml:space="preserve"> </w:t>
      </w:r>
      <w:r w:rsidR="00AA35F5">
        <w:rPr>
          <w:rFonts w:cs="Times New Roman"/>
        </w:rPr>
        <w:t>immersion time</w:t>
      </w:r>
      <w:r w:rsidR="00C00837">
        <w:rPr>
          <w:rFonts w:cs="Times New Roman"/>
        </w:rPr>
        <w:t xml:space="preserve"> charge</w:t>
      </w:r>
      <w:r w:rsidR="00863B83">
        <w:rPr>
          <w:rFonts w:cs="Times New Roman"/>
        </w:rPr>
        <w:t>d</w:t>
      </w:r>
      <w:r w:rsidR="00C00837">
        <w:rPr>
          <w:rFonts w:cs="Times New Roman"/>
        </w:rPr>
        <w:t xml:space="preserve"> species diffuse</w:t>
      </w:r>
      <w:r w:rsidR="00904E5F">
        <w:rPr>
          <w:rFonts w:cs="Times New Roman"/>
        </w:rPr>
        <w:t xml:space="preserve"> through the compact </w:t>
      </w:r>
      <w:r w:rsidR="00CE2230">
        <w:rPr>
          <w:rFonts w:cs="Times New Roman"/>
        </w:rPr>
        <w:t>oxide lattice</w:t>
      </w:r>
      <w:r w:rsidR="00C00837">
        <w:rPr>
          <w:rFonts w:cs="Times New Roman"/>
        </w:rPr>
        <w:t xml:space="preserve"> in a semi-∞ </w:t>
      </w:r>
      <w:r w:rsidR="00863B83">
        <w:rPr>
          <w:rFonts w:cs="Times New Roman"/>
        </w:rPr>
        <w:t xml:space="preserve">manner </w:t>
      </w:r>
      <w:r w:rsidR="00CE2230">
        <w:rPr>
          <w:rFonts w:cs="Times New Roman"/>
        </w:rPr>
        <w:t xml:space="preserve">as it is demonstrated by the </w:t>
      </w:r>
      <w:r w:rsidR="00C13CF2">
        <w:rPr>
          <w:rFonts w:cs="Times New Roman"/>
        </w:rPr>
        <w:t xml:space="preserve">low frequency straight line (slope = 1) of </w:t>
      </w:r>
      <w:r w:rsidR="00C13CF2" w:rsidRPr="00C13CF2">
        <w:rPr>
          <w:rFonts w:cs="Times New Roman"/>
          <w:b/>
          <w:bCs/>
        </w:rPr>
        <w:t xml:space="preserve">Fig </w:t>
      </w:r>
      <w:r w:rsidR="004314CB">
        <w:rPr>
          <w:rFonts w:cs="Times New Roman"/>
          <w:b/>
          <w:bCs/>
        </w:rPr>
        <w:t>8</w:t>
      </w:r>
      <w:r w:rsidR="00C13CF2" w:rsidRPr="00C13CF2">
        <w:rPr>
          <w:rFonts w:cs="Times New Roman"/>
          <w:b/>
          <w:bCs/>
        </w:rPr>
        <w:t xml:space="preserve"> c)</w:t>
      </w:r>
      <w:r w:rsidR="00C13CF2">
        <w:rPr>
          <w:rFonts w:cs="Times New Roman"/>
        </w:rPr>
        <w:t xml:space="preserve"> </w:t>
      </w:r>
      <w:r w:rsidR="00247577">
        <w:rPr>
          <w:rFonts w:cs="Times New Roman"/>
        </w:rPr>
        <w:t>and corresponding phase angle approaching 45 °.</w:t>
      </w:r>
      <w:r w:rsidR="00CE2230">
        <w:rPr>
          <w:rFonts w:cs="Times New Roman"/>
        </w:rPr>
        <w:t xml:space="preserve"> </w:t>
      </w:r>
      <w:r w:rsidR="00247577">
        <w:rPr>
          <w:rFonts w:cs="Times New Roman"/>
        </w:rPr>
        <w:t>A</w:t>
      </w:r>
      <w:r w:rsidR="00F724BD">
        <w:rPr>
          <w:rFonts w:cs="Times New Roman"/>
        </w:rPr>
        <w:t xml:space="preserve"> change of slope</w:t>
      </w:r>
      <w:r w:rsidR="00247577">
        <w:rPr>
          <w:rFonts w:cs="Times New Roman"/>
        </w:rPr>
        <w:t xml:space="preserve"> of the imaginary impedance component</w:t>
      </w:r>
      <w:r w:rsidR="00F724BD">
        <w:rPr>
          <w:rFonts w:cs="Times New Roman"/>
        </w:rPr>
        <w:t xml:space="preserve"> in correspondence</w:t>
      </w:r>
      <w:r w:rsidR="002A05FA">
        <w:rPr>
          <w:rFonts w:cs="Times New Roman"/>
        </w:rPr>
        <w:t xml:space="preserve"> of 0.25 Hz</w:t>
      </w:r>
      <w:r w:rsidR="00626F6A">
        <w:rPr>
          <w:rFonts w:cs="Times New Roman"/>
        </w:rPr>
        <w:t xml:space="preserve"> </w:t>
      </w:r>
      <w:r w:rsidR="0028278D">
        <w:rPr>
          <w:rFonts w:cs="Times New Roman"/>
        </w:rPr>
        <w:t>(</w:t>
      </w:r>
      <w:r w:rsidR="00626F6A">
        <w:rPr>
          <w:rFonts w:cs="Times New Roman"/>
        </w:rPr>
        <w:t>for PEO-DC</w:t>
      </w:r>
      <w:r w:rsidR="0028278D">
        <w:rPr>
          <w:rFonts w:cs="Times New Roman"/>
        </w:rPr>
        <w:t>)</w:t>
      </w:r>
      <w:r w:rsidR="00626F6A">
        <w:rPr>
          <w:rFonts w:cs="Times New Roman"/>
        </w:rPr>
        <w:t xml:space="preserve"> and 0.32 Hz</w:t>
      </w:r>
      <w:r w:rsidR="0028278D">
        <w:rPr>
          <w:rFonts w:cs="Times New Roman"/>
        </w:rPr>
        <w:t xml:space="preserve"> (for PEO-H-25)</w:t>
      </w:r>
      <w:r w:rsidR="002A05FA">
        <w:rPr>
          <w:rFonts w:cs="Times New Roman"/>
        </w:rPr>
        <w:t xml:space="preserve"> denotes </w:t>
      </w:r>
      <w:r w:rsidR="005F1156">
        <w:rPr>
          <w:rFonts w:cs="Times New Roman"/>
        </w:rPr>
        <w:t xml:space="preserve">the presence of </w:t>
      </w:r>
      <w:r w:rsidR="002B3E52">
        <w:rPr>
          <w:rFonts w:cs="Times New Roman"/>
        </w:rPr>
        <w:t>concomitant</w:t>
      </w:r>
      <w:r w:rsidR="005F1156">
        <w:rPr>
          <w:rFonts w:cs="Times New Roman"/>
        </w:rPr>
        <w:t xml:space="preserve"> </w:t>
      </w:r>
      <w:r w:rsidR="002B3E52">
        <w:rPr>
          <w:rFonts w:cs="Times New Roman"/>
        </w:rPr>
        <w:t>reactions</w:t>
      </w:r>
      <w:r w:rsidR="005F1156">
        <w:rPr>
          <w:rFonts w:cs="Times New Roman"/>
        </w:rPr>
        <w:t xml:space="preserve"> with different time scale</w:t>
      </w:r>
      <w:r w:rsidR="003F1770">
        <w:rPr>
          <w:rFonts w:cs="Times New Roman"/>
        </w:rPr>
        <w:t>s</w:t>
      </w:r>
      <w:r w:rsidR="002B3E52">
        <w:rPr>
          <w:rFonts w:cs="Times New Roman"/>
        </w:rPr>
        <w:t>,</w:t>
      </w:r>
      <w:r w:rsidR="00D427F7">
        <w:rPr>
          <w:rFonts w:cs="Times New Roman"/>
        </w:rPr>
        <w:t xml:space="preserve"> </w:t>
      </w:r>
      <w:r w:rsidR="00703FB2">
        <w:rPr>
          <w:rFonts w:cs="Times New Roman"/>
        </w:rPr>
        <w:t>as in case of</w:t>
      </w:r>
      <w:r w:rsidR="00F07D73">
        <w:rPr>
          <w:rFonts w:cs="Times New Roman"/>
        </w:rPr>
        <w:t xml:space="preserve"> process</w:t>
      </w:r>
      <w:r w:rsidR="00703FB2">
        <w:rPr>
          <w:rFonts w:cs="Times New Roman"/>
        </w:rPr>
        <w:t>es</w:t>
      </w:r>
      <w:r w:rsidR="00F07D73">
        <w:rPr>
          <w:rFonts w:cs="Times New Roman"/>
        </w:rPr>
        <w:t xml:space="preserve"> </w:t>
      </w:r>
      <w:r w:rsidR="00570BE2">
        <w:rPr>
          <w:rFonts w:cs="Times New Roman"/>
        </w:rPr>
        <w:t xml:space="preserve">in </w:t>
      </w:r>
      <w:r w:rsidR="008B44F1">
        <w:rPr>
          <w:rFonts w:cs="Times New Roman"/>
        </w:rPr>
        <w:t xml:space="preserve">mixed </w:t>
      </w:r>
      <w:r w:rsidR="00341FF8">
        <w:rPr>
          <w:rFonts w:cs="Times New Roman"/>
        </w:rPr>
        <w:t>diffusion-charge transfer</w:t>
      </w:r>
      <w:r w:rsidR="008B44F1">
        <w:rPr>
          <w:rFonts w:cs="Times New Roman"/>
        </w:rPr>
        <w:t xml:space="preserve"> control</w:t>
      </w:r>
      <w:r w:rsidR="00B4160E">
        <w:rPr>
          <w:rFonts w:cs="Times New Roman"/>
        </w:rPr>
        <w:t>. Interestingly the same relaxation frequency</w:t>
      </w:r>
      <w:r w:rsidR="00144867">
        <w:rPr>
          <w:rFonts w:cs="Times New Roman"/>
        </w:rPr>
        <w:t xml:space="preserve"> (0.25 Hz</w:t>
      </w:r>
      <w:r w:rsidR="0028278D">
        <w:rPr>
          <w:rFonts w:cs="Times New Roman"/>
        </w:rPr>
        <w:t xml:space="preserve"> or 0.32 Hz</w:t>
      </w:r>
      <w:r w:rsidR="00144867">
        <w:rPr>
          <w:rFonts w:cs="Times New Roman"/>
        </w:rPr>
        <w:t>)</w:t>
      </w:r>
      <w:r w:rsidR="00B4160E">
        <w:rPr>
          <w:rFonts w:cs="Times New Roman"/>
        </w:rPr>
        <w:t xml:space="preserve"> </w:t>
      </w:r>
      <w:r w:rsidR="00B4160E">
        <w:rPr>
          <w:rFonts w:cs="Times New Roman"/>
        </w:rPr>
        <w:lastRenderedPageBreak/>
        <w:t xml:space="preserve">is observed for </w:t>
      </w:r>
      <w:r w:rsidR="00144867">
        <w:rPr>
          <w:rFonts w:cs="Times New Roman"/>
        </w:rPr>
        <w:t>the electrode in the active state where such a peak</w:t>
      </w:r>
      <w:r w:rsidR="00125BF9">
        <w:rPr>
          <w:rFonts w:cs="Times New Roman"/>
        </w:rPr>
        <w:t xml:space="preserve"> is</w:t>
      </w:r>
      <w:r w:rsidR="00144867">
        <w:rPr>
          <w:rFonts w:cs="Times New Roman"/>
        </w:rPr>
        <w:t xml:space="preserve"> generally a</w:t>
      </w:r>
      <w:r w:rsidR="00125BF9">
        <w:rPr>
          <w:rFonts w:cs="Times New Roman"/>
        </w:rPr>
        <w:t>ttributed</w:t>
      </w:r>
      <w:r w:rsidR="00144867">
        <w:rPr>
          <w:rFonts w:cs="Times New Roman"/>
        </w:rPr>
        <w:t xml:space="preserve"> to</w:t>
      </w:r>
      <w:r w:rsidR="007740C1">
        <w:rPr>
          <w:rFonts w:cs="Times New Roman"/>
        </w:rPr>
        <w:t xml:space="preserve"> electrochemical</w:t>
      </w:r>
      <w:r w:rsidR="00663DED">
        <w:rPr>
          <w:rFonts w:cs="Times New Roman"/>
        </w:rPr>
        <w:t xml:space="preserve"> </w:t>
      </w:r>
      <w:r w:rsidR="007740C1">
        <w:rPr>
          <w:rFonts w:cs="Times New Roman"/>
        </w:rPr>
        <w:t xml:space="preserve">desorption of </w:t>
      </w:r>
      <w:r w:rsidR="009D430C">
        <w:rPr>
          <w:rFonts w:cs="Times New Roman"/>
        </w:rPr>
        <w:t>H</w:t>
      </w:r>
      <w:r w:rsidR="009D430C">
        <w:rPr>
          <w:rFonts w:cs="Times New Roman"/>
          <w:vertAlign w:val="superscript"/>
        </w:rPr>
        <w:t>+</w:t>
      </w:r>
      <w:r w:rsidR="007740C1">
        <w:rPr>
          <w:rFonts w:cs="Times New Roman"/>
        </w:rPr>
        <w:t xml:space="preserve"> (Heyrovsky step)</w:t>
      </w:r>
      <w:r w:rsidR="00663DED">
        <w:rPr>
          <w:rFonts w:cs="Times New Roman"/>
        </w:rPr>
        <w:t xml:space="preserve"> </w:t>
      </w:r>
      <w:r w:rsidR="001C656D">
        <w:rPr>
          <w:rFonts w:cs="Times New Roman"/>
        </w:rPr>
        <w:fldChar w:fldCharType="begin" w:fldLock="1"/>
      </w:r>
      <w:r w:rsidR="00F36CB3">
        <w:rPr>
          <w:rFonts w:cs="Times New Roman"/>
        </w:rPr>
        <w:instrText>ADDIN CSL_CITATION {"citationItems":[{"id":"ITEM-1","itemData":{"DOI":"10.1016/j.electacta.2021.138190","ISSN":"0013-4686","author":[{"dropping-particle":"","family":"Casanova","given":"Luca","non-dropping-particle":"","parse-names":false,"suffix":""},{"dropping-particle":"La","family":"Padula","given":"Marcello","non-dropping-particle":"","parse-names":false,"suffix":""},{"dropping-particle":"","family":"Pedeferri","given":"Mariapia","non-dropping-particle":"","parse-names":false,"suffix":""},{"dropping-particle":"","family":"Diamanti","given":"Maria Vittoria","non-dropping-particle":"","parse-names":false,"suffix":""},{"dropping-particle":"","family":"Ormellese","given":"Marco","non-dropping-particle":"","parse-names":false,"suffix":""}],"container-title":"Electrochimica Acta","id":"ITEM-1","issued":{"date-parts":[["2021"]]},"page":"138190","publisher":"Elsevier Ltd","title":"An insight into the evolution of corrosion resistant coatings on titanium during bipolar plasma electrolytic oxidation in sulfuric acid","type":"article-journal","volume":"379"},"uris":["http://www.mendeley.com/documents/?uuid=d7f33f8f-fc10-4c6f-9364-e2b6fdea8c71"]},{"id":"ITEM-2","itemData":{"DOI":"10.1007/0-306-47604-5","ISBN":"0306476045","author":[{"dropping-particle":"","family":"Conway","given":"B..E.","non-dropping-particle":"","parse-names":false,"suffix":""},{"dropping-particle":"","family":"White","given":"R..E.","non-dropping-particle":"","parse-names":false,"suffix":""},{"dropping-particle":"","family":"Plenum","given":"Kluwer","non-dropping-particle":"","parse-names":false,"suffix":""},{"dropping-particle":"","family":"York","given":"New","non-dropping-particle":"","parse-names":false,"suffix":""},{"dropping-particle":"","family":"Lasia","given":"Andrzej","non-dropping-particle":"","parse-names":false,"suffix":""}],"container-title":"Evolution","id":"ITEM-2","issue":"June","issued":{"date-parts":[["2002"]]},"number-of-pages":"1-49","title":"“Applications of the Electrochemical Impedance Spectroscopy to Hydrogen Adsorption, Evolution and Absorption into Metals ”","type":"book","volume":"35"},"uris":["http://www.mendeley.com/documents/?uuid=13246839-40f8-411d-9e80-830701d65427"]},{"id":"ITEM-3","itemData":{"DOI":"10.1149/1.2407590","ISSN":"19457111","abstract":"The kinetics of the hydrogen evolution reaction on titanium in sulfuric acid solutions between pH 0.25 to 2.25 have been investigated. The Tafel slope of the HER was 150 mV at all pH values, and the electrochemical reaction order was 0.6 with respect to the hydrogen ions. The corrosion potential varied negligibly with pH; (3 log w/9 pH) = -0.57; (d log io/0 pH) = -0.23. If it is assumed that a thin incipient oxide film covers the surface of active titanium, a mechanism for the HER based on Temkin adsorption behavior, electrochemical desorption as the rate-determining electrode reaction step, and the dual barrier model is consistent with the experimental results. © 1970, The Electrochemical Society, Inc. All rights reserved.","author":[{"dropping-particle":"","family":"Thomas","given":"N..T.","non-dropping-particle":"","parse-names":false,"suffix":""},{"dropping-particle":"","family":"Nobe","given":"Ken","non-dropping-particle":"","parse-names":false,"suffix":""}],"container-title":"Journal of the Electrochemical Society","id":"ITEM-3","issue":"5","issued":{"date-parts":[["1970"]]},"page":"622-626","title":"Kinetics of the Hydrogen Evolution Reaction on Titanium","type":"article-journal","volume":"117"},"uris":["http://www.mendeley.com/documents/?uuid=b02de3b6-ce1e-4eba-82a8-1aacac855fb9"]}],"mendeley":{"formattedCitation":"[4,36,37]","plainTextFormattedCitation":"[4,36,37]","previouslyFormattedCitation":"[4,36,37]"},"properties":{"noteIndex":0},"schema":"https://github.com/citation-style-language/schema/raw/master/csl-citation.json"}</w:instrText>
      </w:r>
      <w:r w:rsidR="001C656D">
        <w:rPr>
          <w:rFonts w:cs="Times New Roman"/>
        </w:rPr>
        <w:fldChar w:fldCharType="separate"/>
      </w:r>
      <w:r w:rsidR="000D478A" w:rsidRPr="000D478A">
        <w:rPr>
          <w:rFonts w:cs="Times New Roman"/>
          <w:noProof/>
        </w:rPr>
        <w:t>[4,36,37]</w:t>
      </w:r>
      <w:r w:rsidR="001C656D">
        <w:rPr>
          <w:rFonts w:cs="Times New Roman"/>
        </w:rPr>
        <w:fldChar w:fldCharType="end"/>
      </w:r>
      <w:r w:rsidR="00663DED">
        <w:rPr>
          <w:rFonts w:cs="Times New Roman"/>
        </w:rPr>
        <w:t xml:space="preserve">. </w:t>
      </w:r>
      <w:r w:rsidR="00895A8A">
        <w:rPr>
          <w:rFonts w:cs="Times New Roman"/>
        </w:rPr>
        <w:t xml:space="preserve">Electrode activation </w:t>
      </w:r>
      <w:r w:rsidR="001F2B40">
        <w:rPr>
          <w:rFonts w:cs="Times New Roman"/>
        </w:rPr>
        <w:t>also favors</w:t>
      </w:r>
      <w:r w:rsidR="00895A8A">
        <w:rPr>
          <w:rFonts w:cs="Times New Roman"/>
        </w:rPr>
        <w:t xml:space="preserve"> the</w:t>
      </w:r>
      <w:r w:rsidR="00391211">
        <w:rPr>
          <w:rFonts w:cs="Times New Roman"/>
        </w:rPr>
        <w:t xml:space="preserve"> observation</w:t>
      </w:r>
      <w:r w:rsidR="00895A8A">
        <w:rPr>
          <w:rFonts w:cs="Times New Roman"/>
        </w:rPr>
        <w:t xml:space="preserve"> of the middle frequency time constant (1</w:t>
      </w:r>
      <w:r w:rsidR="00211AF7">
        <w:rPr>
          <w:rFonts w:cs="Times New Roman"/>
        </w:rPr>
        <w:t>58</w:t>
      </w:r>
      <w:r w:rsidR="00895A8A">
        <w:rPr>
          <w:rFonts w:cs="Times New Roman"/>
        </w:rPr>
        <w:t xml:space="preserve"> Hz</w:t>
      </w:r>
      <w:r w:rsidR="006640AE">
        <w:rPr>
          <w:rFonts w:cs="Times New Roman"/>
        </w:rPr>
        <w:t xml:space="preserve"> for PEO-DC and</w:t>
      </w:r>
      <w:r w:rsidR="0028278D">
        <w:rPr>
          <w:rFonts w:cs="Times New Roman"/>
        </w:rPr>
        <w:t xml:space="preserve"> </w:t>
      </w:r>
      <w:r w:rsidR="006640AE">
        <w:rPr>
          <w:rFonts w:cs="Times New Roman"/>
        </w:rPr>
        <w:t>89 Hz for PEO-H-25</w:t>
      </w:r>
      <w:r w:rsidR="00895A8A">
        <w:rPr>
          <w:rFonts w:cs="Times New Roman"/>
        </w:rPr>
        <w:t>)</w:t>
      </w:r>
      <w:r w:rsidR="00125BF9">
        <w:rPr>
          <w:rFonts w:cs="Times New Roman"/>
        </w:rPr>
        <w:t xml:space="preserve"> describing</w:t>
      </w:r>
      <w:r w:rsidR="00B46CEC">
        <w:rPr>
          <w:rFonts w:cs="Times New Roman"/>
        </w:rPr>
        <w:t xml:space="preserve"> </w:t>
      </w:r>
      <w:r w:rsidR="002B3E52" w:rsidRPr="002B3E52">
        <w:rPr>
          <w:rFonts w:cs="Times New Roman"/>
        </w:rPr>
        <w:t>H</w:t>
      </w:r>
      <w:r w:rsidR="002B3E52" w:rsidRPr="002B3E52">
        <w:rPr>
          <w:rFonts w:cs="Times New Roman"/>
          <w:vertAlign w:val="superscript"/>
        </w:rPr>
        <w:t>+</w:t>
      </w:r>
      <w:r w:rsidR="00B46CEC">
        <w:rPr>
          <w:rFonts w:cs="Times New Roman"/>
        </w:rPr>
        <w:t xml:space="preserve"> discharge reaction (Volmer step)</w:t>
      </w:r>
      <w:r w:rsidR="00C51E10">
        <w:rPr>
          <w:rFonts w:cs="Times New Roman"/>
        </w:rPr>
        <w:t xml:space="preserve"> previously </w:t>
      </w:r>
      <w:r w:rsidR="0010456E">
        <w:rPr>
          <w:rFonts w:cs="Times New Roman"/>
        </w:rPr>
        <w:t>hindered</w:t>
      </w:r>
      <w:r w:rsidR="00697B03">
        <w:rPr>
          <w:rFonts w:cs="Times New Roman"/>
        </w:rPr>
        <w:t xml:space="preserve"> by the capacitive reactance of the </w:t>
      </w:r>
      <w:r w:rsidR="009A053D">
        <w:rPr>
          <w:rFonts w:cs="Times New Roman"/>
        </w:rPr>
        <w:t>protecting film</w:t>
      </w:r>
      <w:r w:rsidR="00A70338">
        <w:rPr>
          <w:rFonts w:cs="Times New Roman"/>
        </w:rPr>
        <w:t>.</w:t>
      </w:r>
      <w:r w:rsidR="00C51E10">
        <w:rPr>
          <w:rFonts w:cs="Times New Roman"/>
        </w:rPr>
        <w:t xml:space="preserve"> </w:t>
      </w:r>
      <w:r w:rsidR="00125306">
        <w:rPr>
          <w:rFonts w:cs="Times New Roman"/>
        </w:rPr>
        <w:t>Similar conclusions can be drawn</w:t>
      </w:r>
      <w:r w:rsidR="004D2D66">
        <w:rPr>
          <w:rFonts w:cs="Times New Roman"/>
        </w:rPr>
        <w:t xml:space="preserve"> for sample PEO-H-25 apart from the absence of the low frequency diffusion related time constant</w:t>
      </w:r>
      <w:r w:rsidR="00D20947">
        <w:rPr>
          <w:rFonts w:cs="Times New Roman"/>
        </w:rPr>
        <w:t xml:space="preserve"> </w:t>
      </w:r>
      <w:r w:rsidR="004D2D66">
        <w:rPr>
          <w:rFonts w:cs="Times New Roman"/>
        </w:rPr>
        <w:t>observed</w:t>
      </w:r>
      <w:r w:rsidR="00D20947">
        <w:rPr>
          <w:rFonts w:cs="Times New Roman"/>
        </w:rPr>
        <w:t xml:space="preserve"> for PEO-DC</w:t>
      </w:r>
      <w:r w:rsidR="004D2D66">
        <w:rPr>
          <w:rFonts w:cs="Times New Roman"/>
        </w:rPr>
        <w:t xml:space="preserve"> in case of electrode passivity.</w:t>
      </w:r>
      <w:r w:rsidR="006B03DD">
        <w:rPr>
          <w:rFonts w:cs="Times New Roman"/>
        </w:rPr>
        <w:t xml:space="preserve"> </w:t>
      </w:r>
      <w:r w:rsidR="00F95ACF">
        <w:rPr>
          <w:rFonts w:cs="Times New Roman"/>
        </w:rPr>
        <w:t xml:space="preserve">This outcome </w:t>
      </w:r>
      <w:r w:rsidR="00D51958">
        <w:rPr>
          <w:rFonts w:cs="Times New Roman"/>
        </w:rPr>
        <w:t>relates to</w:t>
      </w:r>
      <w:r w:rsidR="00F95ACF">
        <w:rPr>
          <w:rFonts w:cs="Times New Roman"/>
        </w:rPr>
        <w:t xml:space="preserve"> the </w:t>
      </w:r>
      <w:r w:rsidR="006A6DBB">
        <w:rPr>
          <w:rFonts w:cs="Times New Roman"/>
        </w:rPr>
        <w:t>slower mass transport occurring inside PEO-H-25</w:t>
      </w:r>
      <w:r w:rsidR="00AF4548">
        <w:rPr>
          <w:rFonts w:cs="Times New Roman"/>
        </w:rPr>
        <w:t xml:space="preserve">, </w:t>
      </w:r>
      <w:r w:rsidR="00590CA4">
        <w:rPr>
          <w:rFonts w:cs="Times New Roman"/>
        </w:rPr>
        <w:t>according to the lower diffusion coefficient</w:t>
      </w:r>
      <w:r w:rsidR="001F1F9F">
        <w:rPr>
          <w:rFonts w:cs="Times New Roman"/>
        </w:rPr>
        <w:t xml:space="preserve"> (</w:t>
      </w:r>
      <w:r w:rsidR="00133AF1">
        <w:rPr>
          <w:rFonts w:cs="Times New Roman"/>
        </w:rPr>
        <w:t>and even</w:t>
      </w:r>
      <w:r w:rsidR="001F1F9F">
        <w:rPr>
          <w:rFonts w:cs="Times New Roman"/>
        </w:rPr>
        <w:t xml:space="preserve"> the</w:t>
      </w:r>
      <w:r w:rsidR="00133AF1">
        <w:rPr>
          <w:rFonts w:cs="Times New Roman"/>
        </w:rPr>
        <w:t xml:space="preserve"> slightly</w:t>
      </w:r>
      <w:r w:rsidR="001F1F9F">
        <w:rPr>
          <w:rFonts w:cs="Times New Roman"/>
        </w:rPr>
        <w:t xml:space="preserve"> larger </w:t>
      </w:r>
      <w:r w:rsidR="00791DE8">
        <w:rPr>
          <w:rFonts w:cs="Times New Roman"/>
        </w:rPr>
        <w:t>thickness)</w:t>
      </w:r>
      <w:r w:rsidR="00590CA4">
        <w:rPr>
          <w:rFonts w:cs="Times New Roman"/>
        </w:rPr>
        <w:t xml:space="preserve"> resulting from the analysis </w:t>
      </w:r>
      <w:r w:rsidR="00D03CF8">
        <w:rPr>
          <w:rFonts w:cs="Times New Roman"/>
        </w:rPr>
        <w:t>present in section 4</w:t>
      </w:r>
      <w:r w:rsidR="004071F8">
        <w:rPr>
          <w:rFonts w:cs="Times New Roman"/>
        </w:rPr>
        <w:t>.</w:t>
      </w:r>
      <w:r w:rsidR="00EA3A16">
        <w:rPr>
          <w:rFonts w:cs="Times New Roman"/>
        </w:rPr>
        <w:t xml:space="preserve"> It is certainly evident that this can cause </w:t>
      </w:r>
      <w:r w:rsidR="00D82919">
        <w:rPr>
          <w:rFonts w:cs="Times New Roman"/>
        </w:rPr>
        <w:t xml:space="preserve">incompatibility </w:t>
      </w:r>
      <w:r w:rsidR="00A37E30">
        <w:rPr>
          <w:rFonts w:cs="Times New Roman"/>
        </w:rPr>
        <w:t>between the time scale of the phenomenon</w:t>
      </w:r>
      <w:r w:rsidR="00A157E2">
        <w:rPr>
          <w:rFonts w:cs="Times New Roman"/>
        </w:rPr>
        <w:t xml:space="preserve"> under investigation</w:t>
      </w:r>
      <w:r w:rsidR="00A37E30">
        <w:rPr>
          <w:rFonts w:cs="Times New Roman"/>
        </w:rPr>
        <w:t xml:space="preserve"> and the experimental frequency window</w:t>
      </w:r>
      <w:r w:rsidR="000B7531">
        <w:rPr>
          <w:rFonts w:cs="Times New Roman"/>
        </w:rPr>
        <w:t xml:space="preserve"> </w:t>
      </w:r>
      <w:r w:rsidR="00B70080">
        <w:rPr>
          <w:rFonts w:cs="Times New Roman"/>
        </w:rPr>
        <w:t>(</w:t>
      </w:r>
      <w:r w:rsidR="00FD3BEA">
        <w:rPr>
          <w:rFonts w:cs="Times New Roman"/>
        </w:rPr>
        <w:t>not detected even in case of</w:t>
      </w:r>
      <w:r w:rsidR="00F9492D">
        <w:rPr>
          <w:rFonts w:cs="Times New Roman"/>
        </w:rPr>
        <w:t xml:space="preserve"> </w:t>
      </w:r>
      <w:r w:rsidR="00962DA7">
        <w:rPr>
          <w:rFonts w:cs="Times New Roman"/>
        </w:rPr>
        <w:t>lower bound decreased to 5 mHz</w:t>
      </w:r>
      <w:r w:rsidR="00B70080">
        <w:rPr>
          <w:rFonts w:cs="Times New Roman"/>
        </w:rPr>
        <w:t>)</w:t>
      </w:r>
      <w:r w:rsidR="009E6AAA">
        <w:rPr>
          <w:rFonts w:cs="Times New Roman"/>
        </w:rPr>
        <w:t>.</w:t>
      </w:r>
      <w:r w:rsidR="00125306">
        <w:rPr>
          <w:rFonts w:cs="Times New Roman"/>
        </w:rPr>
        <w:t xml:space="preserve"> To </w:t>
      </w:r>
      <w:r w:rsidR="00216EF1">
        <w:rPr>
          <w:rFonts w:cs="Times New Roman"/>
        </w:rPr>
        <w:t xml:space="preserve">gain </w:t>
      </w:r>
      <w:r w:rsidR="00125306">
        <w:rPr>
          <w:rFonts w:cs="Times New Roman"/>
        </w:rPr>
        <w:t>deeper insight o</w:t>
      </w:r>
      <w:r w:rsidR="000B342C">
        <w:rPr>
          <w:rFonts w:cs="Times New Roman"/>
        </w:rPr>
        <w:t>n the corrosion mechanism</w:t>
      </w:r>
      <w:r w:rsidR="00216EF1">
        <w:rPr>
          <w:rFonts w:cs="Times New Roman"/>
        </w:rPr>
        <w:t>,</w:t>
      </w:r>
      <w:r w:rsidR="000B342C">
        <w:rPr>
          <w:rFonts w:cs="Times New Roman"/>
        </w:rPr>
        <w:t xml:space="preserve"> the first derivative of -Z</w:t>
      </w:r>
      <w:r w:rsidR="00A33B7A">
        <w:rPr>
          <w:rFonts w:cs="Times New Roman"/>
          <w:vertAlign w:val="superscript"/>
        </w:rPr>
        <w:t>''</w:t>
      </w:r>
      <w:r w:rsidR="000B342C">
        <w:rPr>
          <w:rFonts w:cs="Times New Roman"/>
          <w:vertAlign w:val="superscript"/>
        </w:rPr>
        <w:t xml:space="preserve"> </w:t>
      </w:r>
      <w:r w:rsidR="000B342C">
        <w:rPr>
          <w:rFonts w:cs="Times New Roman"/>
        </w:rPr>
        <w:t xml:space="preserve">was plotted in </w:t>
      </w:r>
      <w:r w:rsidR="000B342C" w:rsidRPr="0085733E">
        <w:rPr>
          <w:rFonts w:cs="Times New Roman"/>
          <w:b/>
          <w:bCs/>
        </w:rPr>
        <w:t xml:space="preserve">Fig. </w:t>
      </w:r>
      <w:r w:rsidR="004314CB">
        <w:rPr>
          <w:rFonts w:cs="Times New Roman"/>
          <w:b/>
          <w:bCs/>
        </w:rPr>
        <w:t>10</w:t>
      </w:r>
      <w:r w:rsidR="000B342C">
        <w:rPr>
          <w:rFonts w:cs="Times New Roman"/>
        </w:rPr>
        <w:t xml:space="preserve"> considering </w:t>
      </w:r>
      <w:r w:rsidR="0085733E">
        <w:rPr>
          <w:rFonts w:cs="Times New Roman"/>
        </w:rPr>
        <w:t>a regime of semi-∞ diffusion:</w:t>
      </w:r>
    </w:p>
    <w:p w14:paraId="2AB11C06" w14:textId="77777777" w:rsidR="00632921" w:rsidRDefault="0085733E" w:rsidP="00632921">
      <w:pPr>
        <w:keepNext/>
        <w:spacing w:after="0"/>
        <w:jc w:val="center"/>
      </w:pPr>
      <w:r>
        <w:rPr>
          <w:rFonts w:cs="Times New Roman"/>
          <w:noProof/>
        </w:rPr>
        <w:drawing>
          <wp:inline distT="0" distB="0" distL="0" distR="0" wp14:anchorId="287D4942" wp14:editId="3D43C34D">
            <wp:extent cx="4983480" cy="1951355"/>
            <wp:effectExtent l="0" t="0" r="7620" b="0"/>
            <wp:docPr id="12" name="Picture 12"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 scatter chart&#10;&#10;Description automatically generated"/>
                    <pic:cNvPicPr/>
                  </pic:nvPicPr>
                  <pic:blipFill rotWithShape="1">
                    <a:blip r:embed="rId18"/>
                    <a:srcRect l="9836" r="8736"/>
                    <a:stretch/>
                  </pic:blipFill>
                  <pic:spPr bwMode="auto">
                    <a:xfrm>
                      <a:off x="0" y="0"/>
                      <a:ext cx="4983480" cy="1951355"/>
                    </a:xfrm>
                    <a:prstGeom prst="rect">
                      <a:avLst/>
                    </a:prstGeom>
                    <a:ln>
                      <a:noFill/>
                    </a:ln>
                    <a:extLst>
                      <a:ext uri="{53640926-AAD7-44D8-BBD7-CCE9431645EC}">
                        <a14:shadowObscured xmlns:a14="http://schemas.microsoft.com/office/drawing/2010/main"/>
                      </a:ext>
                    </a:extLst>
                  </pic:spPr>
                </pic:pic>
              </a:graphicData>
            </a:graphic>
          </wp:inline>
        </w:drawing>
      </w:r>
    </w:p>
    <w:p w14:paraId="0655FB5B" w14:textId="5D9694D7" w:rsidR="0085733E" w:rsidRPr="00632921" w:rsidRDefault="00632921" w:rsidP="00632921">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10</w:t>
      </w:r>
      <w:r>
        <w:fldChar w:fldCharType="end"/>
      </w:r>
      <w:r>
        <w:t xml:space="preserve">. </w:t>
      </w:r>
      <w:r>
        <w:rPr>
          <w:b w:val="0"/>
          <w:bCs/>
        </w:rPr>
        <w:t xml:space="preserve">First derivative of the imaginary impedance of </w:t>
      </w:r>
      <w:r w:rsidR="00D1650E">
        <w:rPr>
          <w:b w:val="0"/>
          <w:bCs/>
        </w:rPr>
        <w:t xml:space="preserve">sample </w:t>
      </w:r>
      <w:r w:rsidR="00D1650E" w:rsidRPr="00D1650E">
        <w:t>a)</w:t>
      </w:r>
      <w:r w:rsidR="00D1650E">
        <w:rPr>
          <w:b w:val="0"/>
          <w:bCs/>
        </w:rPr>
        <w:t xml:space="preserve"> PEO-DC and </w:t>
      </w:r>
      <w:r w:rsidR="00D1650E" w:rsidRPr="00D1650E">
        <w:t>b)</w:t>
      </w:r>
      <w:r w:rsidR="00D1650E">
        <w:rPr>
          <w:b w:val="0"/>
          <w:bCs/>
        </w:rPr>
        <w:t xml:space="preserve"> PEO-H-25</w:t>
      </w:r>
    </w:p>
    <w:p w14:paraId="756E4E4F" w14:textId="2840C92B" w:rsidR="00556360" w:rsidRDefault="007D4CF0" w:rsidP="001448A2">
      <w:pPr>
        <w:spacing w:before="240" w:after="0"/>
        <w:rPr>
          <w:rFonts w:cs="Times New Roman"/>
        </w:rPr>
      </w:pPr>
      <w:r>
        <w:rPr>
          <w:rFonts w:cs="Times New Roman"/>
        </w:rPr>
        <w:t>despite the similar E</w:t>
      </w:r>
      <w:r>
        <w:rPr>
          <w:rFonts w:cs="Times New Roman"/>
          <w:vertAlign w:val="subscript"/>
        </w:rPr>
        <w:t>corr</w:t>
      </w:r>
      <w:r>
        <w:rPr>
          <w:rFonts w:cs="Times New Roman"/>
        </w:rPr>
        <w:t xml:space="preserve"> (~ </w:t>
      </w:r>
      <w:r w:rsidR="0048333D">
        <w:rPr>
          <w:rFonts w:cs="Times New Roman"/>
        </w:rPr>
        <w:t>-1</w:t>
      </w:r>
      <w:r w:rsidR="00411311">
        <w:rPr>
          <w:rFonts w:cs="Times New Roman"/>
        </w:rPr>
        <w:t>6</w:t>
      </w:r>
      <w:r w:rsidR="0048333D">
        <w:rPr>
          <w:rFonts w:cs="Times New Roman"/>
        </w:rPr>
        <w:t>0 mV/SSC</w:t>
      </w:r>
      <w:r w:rsidR="0048333D">
        <w:rPr>
          <w:rFonts w:cs="Times New Roman"/>
          <w:vertAlign w:val="subscript"/>
        </w:rPr>
        <w:t>sat.</w:t>
      </w:r>
      <w:r w:rsidR="00732651">
        <w:rPr>
          <w:rFonts w:cs="Times New Roman"/>
        </w:rPr>
        <w:t xml:space="preserve">) it is evident </w:t>
      </w:r>
      <w:r w:rsidR="00832C7A">
        <w:rPr>
          <w:rFonts w:cs="Times New Roman"/>
        </w:rPr>
        <w:t>the pronounced</w:t>
      </w:r>
      <w:r w:rsidR="00962DA7">
        <w:rPr>
          <w:rFonts w:cs="Times New Roman"/>
        </w:rPr>
        <w:t xml:space="preserve"> high frequency</w:t>
      </w:r>
      <w:r w:rsidR="00832C7A">
        <w:rPr>
          <w:rFonts w:cs="Times New Roman"/>
        </w:rPr>
        <w:t xml:space="preserve"> shoulder</w:t>
      </w:r>
      <w:r w:rsidR="00962DA7">
        <w:rPr>
          <w:rFonts w:cs="Times New Roman"/>
        </w:rPr>
        <w:t>,</w:t>
      </w:r>
      <w:r w:rsidR="00832C7A">
        <w:rPr>
          <w:rFonts w:cs="Times New Roman"/>
        </w:rPr>
        <w:t xml:space="preserve"> manifesting in between 10</w:t>
      </w:r>
      <w:r w:rsidR="00832C7A">
        <w:rPr>
          <w:rFonts w:cs="Times New Roman"/>
          <w:vertAlign w:val="superscript"/>
        </w:rPr>
        <w:t>2</w:t>
      </w:r>
      <w:r w:rsidR="00054A39">
        <w:rPr>
          <w:rFonts w:cs="Times New Roman"/>
          <w:vertAlign w:val="superscript"/>
        </w:rPr>
        <w:t xml:space="preserve"> </w:t>
      </w:r>
      <w:r w:rsidR="00054A39">
        <w:rPr>
          <w:rFonts w:cs="Times New Roman"/>
        </w:rPr>
        <w:t xml:space="preserve">÷ </w:t>
      </w:r>
      <w:r w:rsidR="00832C7A">
        <w:rPr>
          <w:rFonts w:cs="Times New Roman"/>
        </w:rPr>
        <w:t>10</w:t>
      </w:r>
      <w:r w:rsidR="00832C7A">
        <w:rPr>
          <w:rFonts w:cs="Times New Roman"/>
          <w:vertAlign w:val="superscript"/>
        </w:rPr>
        <w:t>3</w:t>
      </w:r>
      <w:r w:rsidR="00832C7A">
        <w:rPr>
          <w:rFonts w:cs="Times New Roman"/>
        </w:rPr>
        <w:t xml:space="preserve"> Hz</w:t>
      </w:r>
      <w:r w:rsidR="00962DA7">
        <w:rPr>
          <w:rFonts w:cs="Times New Roman"/>
        </w:rPr>
        <w:t>,</w:t>
      </w:r>
      <w:r w:rsidR="00B1174D">
        <w:rPr>
          <w:rFonts w:cs="Times New Roman"/>
        </w:rPr>
        <w:t xml:space="preserve"> </w:t>
      </w:r>
      <w:r w:rsidR="00962DA7">
        <w:rPr>
          <w:rFonts w:cs="Times New Roman"/>
        </w:rPr>
        <w:t xml:space="preserve">related </w:t>
      </w:r>
      <w:r w:rsidR="00962DA7" w:rsidRPr="00DF1ED6">
        <w:rPr>
          <w:rFonts w:cs="Times New Roman"/>
        </w:rPr>
        <w:t xml:space="preserve">to </w:t>
      </w:r>
      <w:r w:rsidR="005F2AB3" w:rsidRPr="00DF1ED6">
        <w:rPr>
          <w:rFonts w:cs="Times New Roman"/>
        </w:rPr>
        <w:t>a potential dependent relaxation process</w:t>
      </w:r>
      <w:r w:rsidR="00962DA7">
        <w:rPr>
          <w:rFonts w:cs="Times New Roman"/>
        </w:rPr>
        <w:t xml:space="preserve"> (HER)</w:t>
      </w:r>
      <w:r w:rsidR="00F83F1E">
        <w:rPr>
          <w:rFonts w:cs="Times New Roman"/>
        </w:rPr>
        <w:t>.</w:t>
      </w:r>
      <w:r w:rsidR="0085733E">
        <w:rPr>
          <w:rFonts w:cs="Times New Roman"/>
        </w:rPr>
        <w:t xml:space="preserve"> </w:t>
      </w:r>
    </w:p>
    <w:p w14:paraId="79DD4EE3" w14:textId="0CAFD11F" w:rsidR="00DC5210" w:rsidRDefault="009A053D" w:rsidP="00692F30">
      <w:pPr>
        <w:spacing w:after="0"/>
        <w:rPr>
          <w:rFonts w:cs="Times New Roman"/>
        </w:rPr>
      </w:pPr>
      <w:r>
        <w:rPr>
          <w:rFonts w:cs="Times New Roman"/>
        </w:rPr>
        <w:t>A</w:t>
      </w:r>
      <w:r w:rsidR="00B07A32">
        <w:rPr>
          <w:rFonts w:cs="Times New Roman"/>
        </w:rPr>
        <w:t xml:space="preserve"> significant transition between semi-∞ to finite diffusion </w:t>
      </w:r>
      <w:r w:rsidR="003213D5">
        <w:rPr>
          <w:rFonts w:cs="Times New Roman"/>
        </w:rPr>
        <w:t>takes place</w:t>
      </w:r>
      <w:r w:rsidR="004E0AD3">
        <w:rPr>
          <w:rFonts w:cs="Times New Roman"/>
        </w:rPr>
        <w:t xml:space="preserve"> as </w:t>
      </w:r>
      <w:r w:rsidR="000C45C4">
        <w:rPr>
          <w:rFonts w:cs="Times New Roman"/>
        </w:rPr>
        <w:t xml:space="preserve">charges approach a reflecting boundary or </w:t>
      </w:r>
      <w:r w:rsidR="000B13E6">
        <w:rPr>
          <w:rFonts w:cs="Times New Roman"/>
        </w:rPr>
        <w:t xml:space="preserve">even </w:t>
      </w:r>
      <w:r w:rsidR="00B46E15">
        <w:rPr>
          <w:rFonts w:cs="Times New Roman"/>
        </w:rPr>
        <w:t>charge</w:t>
      </w:r>
      <w:r w:rsidR="000B13E6">
        <w:rPr>
          <w:rFonts w:cs="Times New Roman"/>
        </w:rPr>
        <w:t xml:space="preserve"> saturation of the material is reached</w:t>
      </w:r>
      <w:r w:rsidR="00BC40CA">
        <w:rPr>
          <w:rFonts w:cs="Times New Roman"/>
        </w:rPr>
        <w:t>. This can be seen</w:t>
      </w:r>
      <w:r w:rsidR="000B13E6">
        <w:rPr>
          <w:rFonts w:cs="Times New Roman"/>
        </w:rPr>
        <w:t xml:space="preserve"> </w:t>
      </w:r>
      <w:r w:rsidR="007E5CA6">
        <w:rPr>
          <w:rFonts w:cs="Times New Roman"/>
        </w:rPr>
        <w:t>a</w:t>
      </w:r>
      <w:r w:rsidR="00EC7730">
        <w:rPr>
          <w:rFonts w:cs="Times New Roman"/>
        </w:rPr>
        <w:t>ccording to</w:t>
      </w:r>
      <w:r w:rsidR="00EF11E5">
        <w:rPr>
          <w:rFonts w:cs="Times New Roman"/>
        </w:rPr>
        <w:t xml:space="preserve"> the raise of the imaginary impedance in the low frequency region</w:t>
      </w:r>
      <w:r w:rsidR="004078C5">
        <w:rPr>
          <w:rFonts w:cs="Times New Roman"/>
        </w:rPr>
        <w:t xml:space="preserve"> of the </w:t>
      </w:r>
      <w:r w:rsidR="00BB2FAE">
        <w:rPr>
          <w:rFonts w:cs="Times New Roman"/>
        </w:rPr>
        <w:t>Nyquist representation</w:t>
      </w:r>
      <w:r w:rsidR="00531763">
        <w:rPr>
          <w:rFonts w:cs="Times New Roman"/>
        </w:rPr>
        <w:t xml:space="preserve"> </w:t>
      </w:r>
      <w:r w:rsidR="00336C48">
        <w:rPr>
          <w:rFonts w:cs="Times New Roman"/>
        </w:rPr>
        <w:t>where</w:t>
      </w:r>
      <w:r w:rsidR="005F3FD2">
        <w:rPr>
          <w:rFonts w:cs="Times New Roman"/>
        </w:rPr>
        <w:t xml:space="preserve"> t</w:t>
      </w:r>
      <w:r w:rsidR="00531763">
        <w:rPr>
          <w:rFonts w:cs="Times New Roman"/>
        </w:rPr>
        <w:t>he slope of the</w:t>
      </w:r>
      <w:r w:rsidR="002879A9">
        <w:rPr>
          <w:rFonts w:cs="Times New Roman"/>
        </w:rPr>
        <w:t xml:space="preserve"> low frequency</w:t>
      </w:r>
      <w:r w:rsidR="00531763">
        <w:rPr>
          <w:rFonts w:cs="Times New Roman"/>
        </w:rPr>
        <w:t xml:space="preserve"> </w:t>
      </w:r>
      <w:r w:rsidR="002879A9">
        <w:rPr>
          <w:rFonts w:cs="Times New Roman"/>
        </w:rPr>
        <w:t>Nyquist tail</w:t>
      </w:r>
      <w:r w:rsidR="004E6035">
        <w:rPr>
          <w:rFonts w:cs="Times New Roman"/>
        </w:rPr>
        <w:t xml:space="preserve"> pass</w:t>
      </w:r>
      <w:r w:rsidR="00336C48">
        <w:rPr>
          <w:rFonts w:cs="Times New Roman"/>
        </w:rPr>
        <w:t>ed</w:t>
      </w:r>
      <w:r w:rsidR="004E6035">
        <w:rPr>
          <w:rFonts w:cs="Times New Roman"/>
        </w:rPr>
        <w:t xml:space="preserve"> from 1 (-</w:t>
      </w:r>
      <w:r w:rsidR="008448A0">
        <w:rPr>
          <w:rFonts w:cs="Times New Roman"/>
        </w:rPr>
        <w:t xml:space="preserve"> </w:t>
      </w:r>
      <w:r w:rsidR="004E6035">
        <w:rPr>
          <w:rFonts w:cs="Times New Roman"/>
        </w:rPr>
        <w:t>phase</w:t>
      </w:r>
      <w:r w:rsidR="00336C48">
        <w:rPr>
          <w:rFonts w:cs="Times New Roman"/>
        </w:rPr>
        <w:t xml:space="preserve"> angle</w:t>
      </w:r>
      <w:r w:rsidR="004E6035">
        <w:rPr>
          <w:rFonts w:cs="Times New Roman"/>
        </w:rPr>
        <w:t xml:space="preserve"> = 45 °) to almost </w:t>
      </w:r>
      <w:r w:rsidR="004E6035" w:rsidRPr="004E6035">
        <w:rPr>
          <w:rFonts w:cs="Times New Roman"/>
        </w:rPr>
        <w:t>∞</w:t>
      </w:r>
      <w:r w:rsidR="004E6035">
        <w:rPr>
          <w:rFonts w:cs="Times New Roman"/>
        </w:rPr>
        <w:t xml:space="preserve"> (-</w:t>
      </w:r>
      <w:r w:rsidR="008448A0">
        <w:rPr>
          <w:rFonts w:cs="Times New Roman"/>
        </w:rPr>
        <w:t xml:space="preserve"> </w:t>
      </w:r>
      <w:r w:rsidR="004E6035">
        <w:rPr>
          <w:rFonts w:cs="Times New Roman"/>
        </w:rPr>
        <w:t>phase = 90 °</w:t>
      </w:r>
      <w:r w:rsidR="005F3FD2">
        <w:rPr>
          <w:rFonts w:cs="Times New Roman"/>
        </w:rPr>
        <w:t>)</w:t>
      </w:r>
      <w:r w:rsidR="00412358">
        <w:rPr>
          <w:rFonts w:cs="Times New Roman"/>
        </w:rPr>
        <w:t xml:space="preserve">. </w:t>
      </w:r>
      <w:r w:rsidR="003D0EE8" w:rsidRPr="00412358">
        <w:rPr>
          <w:rFonts w:cs="Times New Roman"/>
          <w:b/>
          <w:bCs/>
        </w:rPr>
        <w:t>Fig</w:t>
      </w:r>
      <w:r w:rsidR="00412358" w:rsidRPr="00412358">
        <w:rPr>
          <w:rFonts w:cs="Times New Roman"/>
          <w:b/>
          <w:bCs/>
        </w:rPr>
        <w:t>.</w:t>
      </w:r>
      <w:r w:rsidR="003D0EE8" w:rsidRPr="00412358">
        <w:rPr>
          <w:rFonts w:cs="Times New Roman"/>
          <w:b/>
          <w:bCs/>
        </w:rPr>
        <w:t xml:space="preserve"> </w:t>
      </w:r>
      <w:r w:rsidR="00E366BD">
        <w:rPr>
          <w:rFonts w:cs="Times New Roman"/>
          <w:b/>
          <w:bCs/>
        </w:rPr>
        <w:t>11</w:t>
      </w:r>
      <w:r w:rsidR="003D0EE8">
        <w:rPr>
          <w:rFonts w:cs="Times New Roman"/>
        </w:rPr>
        <w:t xml:space="preserve"> offers a perspective </w:t>
      </w:r>
      <w:r w:rsidR="006C39F6">
        <w:rPr>
          <w:rFonts w:cs="Times New Roman"/>
        </w:rPr>
        <w:t xml:space="preserve">of the </w:t>
      </w:r>
      <w:r w:rsidR="00D2530A">
        <w:rPr>
          <w:rFonts w:cs="Times New Roman"/>
        </w:rPr>
        <w:t>above-mentioned</w:t>
      </w:r>
      <w:r w:rsidR="006C39F6">
        <w:rPr>
          <w:rFonts w:cs="Times New Roman"/>
        </w:rPr>
        <w:t xml:space="preserve"> </w:t>
      </w:r>
      <w:r w:rsidR="009E0987">
        <w:rPr>
          <w:rFonts w:cs="Times New Roman"/>
        </w:rPr>
        <w:t>shift</w:t>
      </w:r>
      <w:r w:rsidR="006C39F6">
        <w:rPr>
          <w:rFonts w:cs="Times New Roman"/>
        </w:rPr>
        <w:t xml:space="preserve">, where a transition </w:t>
      </w:r>
      <w:r w:rsidR="006C39F6">
        <w:rPr>
          <w:rFonts w:cs="Times New Roman"/>
        </w:rPr>
        <w:lastRenderedPageBreak/>
        <w:t>frequency</w:t>
      </w:r>
      <w:r w:rsidR="002B544E">
        <w:rPr>
          <w:rFonts w:cs="Times New Roman"/>
        </w:rPr>
        <w:t xml:space="preserve"> (</w:t>
      </w:r>
      <w:r w:rsidR="00D8618B">
        <w:rPr>
          <w:rFonts w:cs="Times New Roman"/>
        </w:rPr>
        <w:t>ω</w:t>
      </w:r>
      <w:r w:rsidR="00D8618B">
        <w:rPr>
          <w:rFonts w:cs="Times New Roman"/>
          <w:vertAlign w:val="subscript"/>
        </w:rPr>
        <w:t>trans</w:t>
      </w:r>
      <w:r w:rsidR="00D8618B">
        <w:rPr>
          <w:rFonts w:cs="Times New Roman"/>
        </w:rPr>
        <w:t xml:space="preserve"> = </w:t>
      </w:r>
      <w:r w:rsidR="002B544E">
        <w:rPr>
          <w:rFonts w:cs="Times New Roman"/>
        </w:rPr>
        <w:t>39.1 mHz</w:t>
      </w:r>
      <w:r w:rsidR="00D91806">
        <w:rPr>
          <w:rFonts w:cs="Times New Roman"/>
        </w:rPr>
        <w:t xml:space="preserve"> for PEO-DC</w:t>
      </w:r>
      <w:r w:rsidR="002B544E">
        <w:rPr>
          <w:rFonts w:cs="Times New Roman"/>
        </w:rPr>
        <w:t>)</w:t>
      </w:r>
      <w:r w:rsidR="006C39F6">
        <w:rPr>
          <w:rFonts w:cs="Times New Roman"/>
        </w:rPr>
        <w:t>, between semi-∞ to fini</w:t>
      </w:r>
      <w:r w:rsidR="001F7C67">
        <w:rPr>
          <w:rFonts w:cs="Times New Roman"/>
        </w:rPr>
        <w:t>te diffusion can be extracted</w:t>
      </w:r>
      <w:r w:rsidR="00DC5210">
        <w:rPr>
          <w:rFonts w:cs="Times New Roman"/>
        </w:rPr>
        <w:t>.</w:t>
      </w:r>
      <w:r w:rsidR="0060046C">
        <w:rPr>
          <w:rFonts w:cs="Times New Roman"/>
        </w:rPr>
        <w:t xml:space="preserve"> </w:t>
      </w:r>
      <w:r w:rsidR="00D2530A">
        <w:rPr>
          <w:rFonts w:cs="Times New Roman"/>
        </w:rPr>
        <w:t>As the process proceeds</w:t>
      </w:r>
      <w:r w:rsidR="00216EF1">
        <w:rPr>
          <w:rFonts w:cs="Times New Roman"/>
        </w:rPr>
        <w:t>,</w:t>
      </w:r>
      <w:r w:rsidR="00D2530A">
        <w:rPr>
          <w:rFonts w:cs="Times New Roman"/>
        </w:rPr>
        <w:t xml:space="preserve"> the </w:t>
      </w:r>
      <w:r w:rsidR="0036457A">
        <w:rPr>
          <w:rFonts w:cs="Times New Roman"/>
        </w:rPr>
        <w:t>latter parameter</w:t>
      </w:r>
      <w:r w:rsidR="00D2530A">
        <w:rPr>
          <w:rFonts w:cs="Times New Roman"/>
        </w:rPr>
        <w:t xml:space="preserve"> </w:t>
      </w:r>
      <w:r w:rsidR="00DF2C23">
        <w:rPr>
          <w:rFonts w:cs="Times New Roman"/>
        </w:rPr>
        <w:t>shifted towards higher values</w:t>
      </w:r>
      <w:r w:rsidR="00CB5A95">
        <w:rPr>
          <w:rFonts w:cs="Times New Roman"/>
        </w:rPr>
        <w:t xml:space="preserve"> </w:t>
      </w:r>
      <w:r w:rsidR="006A3833">
        <w:rPr>
          <w:rFonts w:cs="Times New Roman"/>
        </w:rPr>
        <w:t>passing from 0.025 Hz</w:t>
      </w:r>
      <w:r w:rsidR="008A50F7">
        <w:rPr>
          <w:rFonts w:cs="Times New Roman"/>
        </w:rPr>
        <w:t xml:space="preserve">, after 102 min of immersion, to </w:t>
      </w:r>
      <w:r w:rsidR="00465B47">
        <w:rPr>
          <w:rFonts w:cs="Times New Roman"/>
        </w:rPr>
        <w:t>0.1 Hz in case of a prolonged immersion time</w:t>
      </w:r>
      <w:r w:rsidR="009C23BF">
        <w:rPr>
          <w:rFonts w:cs="Times New Roman"/>
        </w:rPr>
        <w:t xml:space="preserve"> (</w:t>
      </w:r>
      <w:r w:rsidR="00465B47">
        <w:rPr>
          <w:rFonts w:cs="Times New Roman"/>
        </w:rPr>
        <w:t>180 min</w:t>
      </w:r>
      <w:r w:rsidR="009C23BF">
        <w:rPr>
          <w:rFonts w:cs="Times New Roman"/>
        </w:rPr>
        <w:t>)</w:t>
      </w:r>
      <w:r w:rsidR="00465B47">
        <w:rPr>
          <w:rFonts w:cs="Times New Roman"/>
        </w:rPr>
        <w:t>.</w:t>
      </w:r>
      <w:r w:rsidR="00DF2C23">
        <w:rPr>
          <w:rFonts w:cs="Times New Roman"/>
        </w:rPr>
        <w:t xml:space="preserve"> </w:t>
      </w:r>
      <w:r w:rsidR="00673EA2">
        <w:rPr>
          <w:rFonts w:cs="Times New Roman"/>
        </w:rPr>
        <w:t>Considering</w:t>
      </w:r>
      <w:r w:rsidR="001926AE">
        <w:rPr>
          <w:rFonts w:cs="Times New Roman"/>
        </w:rPr>
        <w:t xml:space="preserve"> </w:t>
      </w:r>
      <w:r w:rsidR="00DF2C23" w:rsidRPr="00DF2C23">
        <w:rPr>
          <w:rFonts w:cs="Times New Roman"/>
          <w:b/>
          <w:bCs/>
        </w:rPr>
        <w:t xml:space="preserve">Eq. </w:t>
      </w:r>
      <w:r w:rsidR="005D0206">
        <w:rPr>
          <w:rFonts w:cs="Times New Roman"/>
          <w:b/>
          <w:bCs/>
        </w:rPr>
        <w:t>3</w:t>
      </w:r>
      <w:r w:rsidR="00D441AB">
        <w:rPr>
          <w:rFonts w:cs="Times New Roman"/>
        </w:rPr>
        <w:t xml:space="preserve"> it is</w:t>
      </w:r>
      <w:r w:rsidR="00B46013">
        <w:rPr>
          <w:rFonts w:cs="Times New Roman"/>
        </w:rPr>
        <w:t xml:space="preserve"> fairly</w:t>
      </w:r>
      <w:r w:rsidR="00D441AB">
        <w:rPr>
          <w:rFonts w:cs="Times New Roman"/>
        </w:rPr>
        <w:t xml:space="preserve"> clear that</w:t>
      </w:r>
      <w:r w:rsidR="00D31578">
        <w:rPr>
          <w:rFonts w:cs="Times New Roman"/>
        </w:rPr>
        <w:t xml:space="preserve"> </w:t>
      </w:r>
      <w:r w:rsidR="00D31578" w:rsidRPr="00D31578">
        <w:rPr>
          <w:rFonts w:cs="Times New Roman"/>
        </w:rPr>
        <w:t>ω</w:t>
      </w:r>
      <w:r w:rsidR="00D31578" w:rsidRPr="00D31578">
        <w:rPr>
          <w:rFonts w:cs="Times New Roman"/>
          <w:vertAlign w:val="subscript"/>
        </w:rPr>
        <w:t>trans</w:t>
      </w:r>
      <w:r w:rsidR="00D441AB">
        <w:rPr>
          <w:rFonts w:cs="Times New Roman"/>
        </w:rPr>
        <w:t xml:space="preserve"> </w:t>
      </w:r>
      <w:r w:rsidR="00D31578">
        <w:rPr>
          <w:rFonts w:cs="Times New Roman"/>
        </w:rPr>
        <w:t>variation can be related to modification of the finite diffusion layer (which can be reduced by material dissolution)</w:t>
      </w:r>
      <w:r w:rsidR="00F568C7">
        <w:rPr>
          <w:rFonts w:cs="Times New Roman"/>
        </w:rPr>
        <w:t xml:space="preserve"> or variation of the diffusion coefficient due to a different state of charge of the </w:t>
      </w:r>
      <w:r w:rsidR="00083EDB">
        <w:rPr>
          <w:rFonts w:cs="Times New Roman"/>
        </w:rPr>
        <w:t>electrode</w:t>
      </w:r>
      <w:r w:rsidR="005371FB">
        <w:rPr>
          <w:rFonts w:cs="Times New Roman"/>
        </w:rPr>
        <w:t>.</w:t>
      </w:r>
    </w:p>
    <w:p w14:paraId="6439246F" w14:textId="21DBF45F" w:rsidR="00BA1E56" w:rsidRDefault="00B63CF9" w:rsidP="00692F30">
      <w:pPr>
        <w:spacing w:after="0"/>
        <w:rPr>
          <w:rFonts w:eastAsiaTheme="minorEastAsia" w:cs="Times New Roman"/>
        </w:rPr>
      </w:pPr>
      <m:oMath>
        <m:sSub>
          <m:sSubPr>
            <m:ctrlPr>
              <w:rPr>
                <w:rFonts w:ascii="Cambria Math" w:hAnsi="Cambria Math" w:cs="Times New Roman"/>
                <w:i/>
              </w:rPr>
            </m:ctrlPr>
          </m:sSubPr>
          <m:e>
            <m:r>
              <w:rPr>
                <w:rFonts w:ascii="Cambria Math" w:hAnsi="Cambria Math" w:cs="Times New Roman"/>
              </w:rPr>
              <m:t>ω</m:t>
            </m:r>
          </m:e>
          <m:sub>
            <m:r>
              <w:rPr>
                <w:rFonts w:ascii="Cambria Math" w:hAnsi="Cambria Math" w:cs="Times New Roman"/>
              </w:rPr>
              <m:t>trans</m:t>
            </m:r>
          </m:sub>
        </m:sSub>
        <m:r>
          <w:rPr>
            <w:rFonts w:ascii="Cambria Math" w:hAnsi="Cambria Math" w:cs="Times New Roman"/>
          </w:rPr>
          <m:t>∝</m:t>
        </m:r>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D</m:t>
                </m:r>
              </m:e>
              <m:sup>
                <m:sSup>
                  <m:sSupPr>
                    <m:ctrlPr>
                      <w:rPr>
                        <w:rFonts w:ascii="Cambria Math" w:hAnsi="Cambria Math" w:cs="Times New Roman"/>
                        <w:i/>
                      </w:rPr>
                    </m:ctrlPr>
                  </m:sSupPr>
                  <m:e>
                    <m:r>
                      <w:rPr>
                        <w:rFonts w:ascii="Cambria Math" w:hAnsi="Cambria Math" w:cs="Times New Roman"/>
                      </w:rPr>
                      <m:t>H</m:t>
                    </m:r>
                  </m:e>
                  <m:sup>
                    <m:r>
                      <w:rPr>
                        <w:rFonts w:ascii="Cambria Math" w:hAnsi="Cambria Math" w:cs="Times New Roman"/>
                      </w:rPr>
                      <m:t>+</m:t>
                    </m:r>
                  </m:sup>
                </m:sSup>
              </m:sup>
            </m:sSup>
          </m:num>
          <m:den>
            <m:sSup>
              <m:sSupPr>
                <m:ctrlPr>
                  <w:rPr>
                    <w:rFonts w:ascii="Cambria Math" w:hAnsi="Cambria Math" w:cs="Times New Roman"/>
                    <w:i/>
                  </w:rPr>
                </m:ctrlPr>
              </m:sSupPr>
              <m:e>
                <m:r>
                  <w:rPr>
                    <w:rFonts w:ascii="Cambria Math" w:hAnsi="Cambria Math" w:cs="Times New Roman"/>
                  </w:rPr>
                  <m:t>l</m:t>
                </m:r>
              </m:e>
              <m:sup>
                <m:r>
                  <w:rPr>
                    <w:rFonts w:ascii="Cambria Math" w:hAnsi="Cambria Math" w:cs="Times New Roman"/>
                  </w:rPr>
                  <m:t>2</m:t>
                </m:r>
              </m:sup>
            </m:sSup>
          </m:den>
        </m:f>
      </m:oMath>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r>
      <w:r w:rsidR="00CB2201">
        <w:rPr>
          <w:rFonts w:eastAsiaTheme="minorEastAsia" w:cs="Times New Roman"/>
        </w:rPr>
        <w:tab/>
        <w:t xml:space="preserve">           (</w:t>
      </w:r>
      <w:r w:rsidR="005D0206">
        <w:rPr>
          <w:rFonts w:eastAsiaTheme="minorEastAsia" w:cs="Times New Roman"/>
        </w:rPr>
        <w:t>3</w:t>
      </w:r>
      <w:r w:rsidR="00CB2201">
        <w:rPr>
          <w:rFonts w:eastAsiaTheme="minorEastAsia" w:cs="Times New Roman"/>
        </w:rPr>
        <w:t>)</w:t>
      </w:r>
    </w:p>
    <w:p w14:paraId="7A5F6077" w14:textId="584DF139" w:rsidR="00CB2201" w:rsidRPr="00FC41FB" w:rsidRDefault="005169C1" w:rsidP="00692F30">
      <w:pPr>
        <w:spacing w:after="0"/>
        <w:rPr>
          <w:rFonts w:eastAsiaTheme="minorEastAsia" w:cs="Times New Roman"/>
        </w:rPr>
      </w:pPr>
      <w:r>
        <w:rPr>
          <w:rFonts w:eastAsiaTheme="minorEastAsia" w:cs="Times New Roman"/>
        </w:rPr>
        <w:t xml:space="preserve">After the blocking </w:t>
      </w:r>
      <w:r w:rsidR="00CC7915">
        <w:rPr>
          <w:rFonts w:eastAsiaTheme="minorEastAsia" w:cs="Times New Roman"/>
        </w:rPr>
        <w:t>condition</w:t>
      </w:r>
      <w:r>
        <w:rPr>
          <w:rFonts w:eastAsiaTheme="minorEastAsia" w:cs="Times New Roman"/>
        </w:rPr>
        <w:t xml:space="preserve"> is approached</w:t>
      </w:r>
      <w:r w:rsidR="00216EF1">
        <w:rPr>
          <w:rFonts w:eastAsiaTheme="minorEastAsia" w:cs="Times New Roman"/>
        </w:rPr>
        <w:t>,</w:t>
      </w:r>
      <w:r>
        <w:rPr>
          <w:rFonts w:eastAsiaTheme="minorEastAsia" w:cs="Times New Roman"/>
        </w:rPr>
        <w:t xml:space="preserve"> </w:t>
      </w:r>
      <w:r w:rsidR="00865878">
        <w:rPr>
          <w:rFonts w:eastAsiaTheme="minorEastAsia" w:cs="Times New Roman"/>
        </w:rPr>
        <w:t>barrier layer dissolution and consequent coating debonding</w:t>
      </w:r>
      <w:r w:rsidR="008946B0">
        <w:rPr>
          <w:rFonts w:eastAsiaTheme="minorEastAsia" w:cs="Times New Roman"/>
        </w:rPr>
        <w:t xml:space="preserve"> occurred. This</w:t>
      </w:r>
      <w:r w:rsidR="00865878">
        <w:rPr>
          <w:rFonts w:eastAsiaTheme="minorEastAsia" w:cs="Times New Roman"/>
        </w:rPr>
        <w:t xml:space="preserve"> </w:t>
      </w:r>
      <w:r w:rsidR="000C040A">
        <w:rPr>
          <w:rFonts w:eastAsiaTheme="minorEastAsia" w:cs="Times New Roman"/>
        </w:rPr>
        <w:t xml:space="preserve">can be </w:t>
      </w:r>
      <w:r w:rsidR="00823357">
        <w:rPr>
          <w:rFonts w:eastAsiaTheme="minorEastAsia" w:cs="Times New Roman"/>
        </w:rPr>
        <w:t>vi</w:t>
      </w:r>
      <w:r w:rsidR="00F00DD8">
        <w:rPr>
          <w:rFonts w:eastAsiaTheme="minorEastAsia" w:cs="Times New Roman"/>
        </w:rPr>
        <w:t>sualized</w:t>
      </w:r>
      <w:r w:rsidR="000C040A">
        <w:rPr>
          <w:rFonts w:eastAsiaTheme="minorEastAsia" w:cs="Times New Roman"/>
        </w:rPr>
        <w:t xml:space="preserve"> in </w:t>
      </w:r>
      <w:r w:rsidR="00BD5909" w:rsidRPr="00BD5909">
        <w:rPr>
          <w:rFonts w:eastAsiaTheme="minorEastAsia" w:cs="Times New Roman"/>
          <w:b/>
          <w:bCs/>
        </w:rPr>
        <w:t xml:space="preserve">Fig. </w:t>
      </w:r>
      <w:r w:rsidR="00E366BD">
        <w:rPr>
          <w:rFonts w:eastAsiaTheme="minorEastAsia" w:cs="Times New Roman"/>
          <w:b/>
          <w:bCs/>
        </w:rPr>
        <w:t>11</w:t>
      </w:r>
      <w:r w:rsidR="000C040A">
        <w:rPr>
          <w:rFonts w:eastAsiaTheme="minorEastAsia" w:cs="Times New Roman"/>
        </w:rPr>
        <w:t xml:space="preserve"> </w:t>
      </w:r>
      <w:r w:rsidR="00F00DD8">
        <w:rPr>
          <w:rFonts w:eastAsiaTheme="minorEastAsia" w:cs="Times New Roman"/>
        </w:rPr>
        <w:t>according to</w:t>
      </w:r>
      <w:r w:rsidR="000C040A">
        <w:rPr>
          <w:rFonts w:eastAsiaTheme="minorEastAsia" w:cs="Times New Roman"/>
        </w:rPr>
        <w:t xml:space="preserve"> the formation of a low frequency capacitive loop with negative real impedance</w:t>
      </w:r>
      <w:r w:rsidR="00F7563C">
        <w:rPr>
          <w:rFonts w:eastAsiaTheme="minorEastAsia" w:cs="Times New Roman"/>
        </w:rPr>
        <w:t xml:space="preserve"> describing the release of charge accumulated in the </w:t>
      </w:r>
      <w:r w:rsidR="002977D5">
        <w:rPr>
          <w:rFonts w:eastAsiaTheme="minorEastAsia" w:cs="Times New Roman"/>
        </w:rPr>
        <w:t>redox</w:t>
      </w:r>
      <w:r w:rsidR="00F7563C">
        <w:rPr>
          <w:rFonts w:eastAsiaTheme="minorEastAsia" w:cs="Times New Roman"/>
        </w:rPr>
        <w:t xml:space="preserve"> capacitance of the material during immersion in the acidic solution.</w:t>
      </w:r>
      <w:r w:rsidR="00B03C0C">
        <w:rPr>
          <w:rFonts w:eastAsiaTheme="minorEastAsia" w:cs="Times New Roman"/>
        </w:rPr>
        <w:t xml:space="preserve"> </w:t>
      </w:r>
    </w:p>
    <w:p w14:paraId="3FA33500" w14:textId="77777777" w:rsidR="00D1650E" w:rsidRDefault="00AF165D" w:rsidP="00D1650E">
      <w:pPr>
        <w:keepNext/>
        <w:spacing w:after="0"/>
        <w:jc w:val="center"/>
      </w:pPr>
      <w:r>
        <w:rPr>
          <w:rFonts w:cs="Times New Roman"/>
          <w:noProof/>
        </w:rPr>
        <w:drawing>
          <wp:inline distT="0" distB="0" distL="0" distR="0" wp14:anchorId="3C287FCC" wp14:editId="77C4A274">
            <wp:extent cx="2948940" cy="2362472"/>
            <wp:effectExtent l="0" t="0" r="3810" b="0"/>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scatter chart&#10;&#10;Description automatically generated"/>
                    <pic:cNvPicPr/>
                  </pic:nvPicPr>
                  <pic:blipFill rotWithShape="1">
                    <a:blip r:embed="rId19"/>
                    <a:srcRect l="5447" t="9150" r="11600" b="4026"/>
                    <a:stretch/>
                  </pic:blipFill>
                  <pic:spPr bwMode="auto">
                    <a:xfrm>
                      <a:off x="0" y="0"/>
                      <a:ext cx="2954962" cy="2367297"/>
                    </a:xfrm>
                    <a:prstGeom prst="rect">
                      <a:avLst/>
                    </a:prstGeom>
                    <a:ln>
                      <a:noFill/>
                    </a:ln>
                    <a:extLst>
                      <a:ext uri="{53640926-AAD7-44D8-BBD7-CCE9431645EC}">
                        <a14:shadowObscured xmlns:a14="http://schemas.microsoft.com/office/drawing/2010/main"/>
                      </a:ext>
                    </a:extLst>
                  </pic:spPr>
                </pic:pic>
              </a:graphicData>
            </a:graphic>
          </wp:inline>
        </w:drawing>
      </w:r>
    </w:p>
    <w:p w14:paraId="477E5D41" w14:textId="5DBE7289" w:rsidR="00692F30" w:rsidRPr="00D1650E" w:rsidRDefault="00D1650E" w:rsidP="00D1650E">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11</w:t>
      </w:r>
      <w:r>
        <w:fldChar w:fldCharType="end"/>
      </w:r>
      <w:r>
        <w:t>.</w:t>
      </w:r>
      <w:r>
        <w:rPr>
          <w:b w:val="0"/>
          <w:bCs/>
        </w:rPr>
        <w:t xml:space="preserve"> </w:t>
      </w:r>
      <w:r w:rsidR="002925DD">
        <w:rPr>
          <w:b w:val="0"/>
          <w:bCs/>
        </w:rPr>
        <w:t xml:space="preserve">Normalized </w:t>
      </w:r>
      <w:r>
        <w:rPr>
          <w:b w:val="0"/>
          <w:bCs/>
        </w:rPr>
        <w:t xml:space="preserve">Nyquist representation </w:t>
      </w:r>
      <w:r w:rsidR="006461D2">
        <w:rPr>
          <w:b w:val="0"/>
          <w:bCs/>
        </w:rPr>
        <w:t>to focus on the</w:t>
      </w:r>
      <w:r w:rsidR="002925DD">
        <w:rPr>
          <w:b w:val="0"/>
          <w:bCs/>
        </w:rPr>
        <w:t xml:space="preserve"> diffusion transition</w:t>
      </w:r>
      <w:r w:rsidR="00B72CEE">
        <w:rPr>
          <w:b w:val="0"/>
          <w:bCs/>
        </w:rPr>
        <w:t xml:space="preserve"> and dissolution</w:t>
      </w:r>
      <w:r w:rsidR="00D84A5F">
        <w:rPr>
          <w:b w:val="0"/>
          <w:bCs/>
        </w:rPr>
        <w:t>.</w:t>
      </w:r>
    </w:p>
    <w:p w14:paraId="07D33A8C" w14:textId="2455CCF6" w:rsidR="00E91B87" w:rsidRPr="00692F30" w:rsidRDefault="0051070B" w:rsidP="008F0AF0">
      <w:pPr>
        <w:spacing w:before="240" w:after="0"/>
        <w:rPr>
          <w:rFonts w:cs="Times New Roman"/>
        </w:rPr>
      </w:pPr>
      <w:r w:rsidRPr="0051070B">
        <w:rPr>
          <w:rFonts w:cs="Times New Roman"/>
        </w:rPr>
        <w:t>This occurred as E</w:t>
      </w:r>
      <w:r w:rsidRPr="0051070B">
        <w:rPr>
          <w:rFonts w:cs="Times New Roman"/>
          <w:vertAlign w:val="subscript"/>
        </w:rPr>
        <w:t>corr</w:t>
      </w:r>
      <w:r w:rsidRPr="0051070B">
        <w:rPr>
          <w:rFonts w:cs="Times New Roman"/>
        </w:rPr>
        <w:t xml:space="preserve"> became cathodic with respect to the conduction band edge of TiO</w:t>
      </w:r>
      <w:r w:rsidRPr="0051070B">
        <w:rPr>
          <w:rFonts w:cs="Times New Roman"/>
          <w:vertAlign w:val="subscript"/>
        </w:rPr>
        <w:t>2</w:t>
      </w:r>
      <w:r w:rsidRPr="0051070B">
        <w:rPr>
          <w:rFonts w:cs="Times New Roman"/>
        </w:rPr>
        <w:t xml:space="preserve"> found to be ~ -</w:t>
      </w:r>
      <w:r w:rsidR="00411311">
        <w:rPr>
          <w:rFonts w:cs="Times New Roman"/>
        </w:rPr>
        <w:t xml:space="preserve"> 166</w:t>
      </w:r>
      <w:r w:rsidRPr="0051070B">
        <w:rPr>
          <w:rFonts w:cs="Times New Roman"/>
        </w:rPr>
        <w:t xml:space="preserve"> mV/SSC</w:t>
      </w:r>
      <w:r w:rsidRPr="0051070B">
        <w:rPr>
          <w:rFonts w:cs="Times New Roman"/>
          <w:vertAlign w:val="subscript"/>
        </w:rPr>
        <w:t>sat.</w:t>
      </w:r>
      <w:r w:rsidRPr="0051070B">
        <w:rPr>
          <w:rFonts w:cs="Times New Roman"/>
        </w:rPr>
        <w:t xml:space="preserve"> </w:t>
      </w:r>
      <w:r w:rsidRPr="0051070B">
        <w:rPr>
          <w:rFonts w:cs="Times New Roman"/>
        </w:rPr>
        <w:fldChar w:fldCharType="begin" w:fldLock="1"/>
      </w:r>
      <w:r w:rsidR="00F36CB3">
        <w:rPr>
          <w:rFonts w:cs="Times New Roman"/>
        </w:rPr>
        <w:instrText xml:space="preserve">ADDIN CSL_CITATION {"citationItems":[{"id":"ITEM-1","itemData":{"DOI":"10.1021/acs.chemmater.1c00840","ISSN":"15205002","abstract":"Crystalline structures and lattice water molecules are believed to strongly influence the ability of metal oxides to reversibly and rapidly insert protons in aqueous batteries. In the present work, we performed a systematic analysis of the electrochemical charge storage properties of nanostructured TiO2 electrodes composed of either anatase or amorphous TiO2 in a mild buffered aqueous electrolyte. We demonstrate that both materials allow reversible bulk proton insertion up to a maximal reversible gravimetric capacity of </w:instrText>
      </w:r>
      <w:r w:rsidR="00F36CB3">
        <w:rPr>
          <w:rFonts w:ascii="Cambria Math" w:hAnsi="Cambria Math" w:cs="Cambria Math"/>
        </w:rPr>
        <w:instrText>∼</w:instrText>
      </w:r>
      <w:r w:rsidR="00F36CB3">
        <w:rPr>
          <w:rFonts w:cs="Times New Roman"/>
        </w:rPr>
        <w:instrText>150 mA·h·g-1. We also show that the TiO2 crystallinity governs the energetics of the charge storage process, with a phase transition for anatase, while having little effect on either the interfacial charge transfer kinetics or the apparent rate of proton diffusivity within the metal oxide. Finally, with both TiO2 electrodes, reversible proton insertion leads to gravimetric capacities as high as 95 mA·h·g-1 at 75 C. We also reveal two competitive reactions decreasing the Coulombic efficiency at low rates, i.e., hydrogen evolution and a nonfaradaic self-discharge reaction. Overall, this work provides a comprehensive overview of the proton-coupled electrochemical reactivity of TiO2 and highlights the key issues to be solved to truly benefit from the unique properties of protons as fast charge carriers in metal oxides.","author":[{"dropping-particle":"","family":"Makivić","given":"Nikolina","non-dropping-particle":"","parse-names":false,"suffix":""},{"dropping-particle":"","family":"Cho","given":"Jae Young","non-dropping-particle":"","parse-names":false,"suffix":""},{"dropping-particle":"","family":"Harris","given":"Kenneth D.","non-dropping-particle":"","parse-names":false,"suffix":""},{"dropping-particle":"","family":"Tarascon","given":"Jean Marie","non-dropping-particle":"","parse-names":false,"suffix":""},{"dropping-particle":"","family":"Limoges","given":"Benoît","non-dropping-particle":"","parse-names":false,"suffix":""},{"dropping-particle":"","family":"Balland","given":"Véronique","non-dropping-particle":"","parse-names":false,"suffix":""}],"container-title":"Chemistry of Materials","id":"ITEM-1","issue":"9","issued":{"date-parts":[["2021"]]},"page":"3436-3448","title":"Evidence of Bulk Proton Insertion in Nanostructured Anatase and Amorphous TiO2Electrodes","type":"article-journal","volume":"33"},"uris":["http://www.mendeley.com/documents/?uuid=ec24bedc-5f1c-4322-ac44-2f15e3bd6cd6"]},{"id":"ITEM-2","itemData":{"DOI":"10.1021/acs.jpcc.7b02395","ISSN":"19327455","abstract":"Ongoing developments of sustainable energy technologies based on high-surface-area semiconductive metal oxide electrodes operating under mild and safe aqueous conditions require deep understanding of proton and electron transfer/transport throughout their porous structure. To address this issue, we investigated the electrochemical reductive protonation of high surface area nanostructured amorphous TiO2 electrodes (produced by glancing angle deposition) in both buffered and unbuffered aqueous solutions. Quantitative analysis of the two charge storage mechanisms was achieved, allowing proper deconvolution of the electrical double-layer capacitive charge storage from the reversible faradaic one resulting from the proton-coupled reduction of bulk TiO2. We evidence that this latter process occurs reversibly and extensively (up to an intercalation ratio of 20%) not only under strongly acidic pH conditions but also, more interestingly, under neutral pH with the intercalated proton arising from the buffer rather than water. Moreover, we show that in comparison with reductive Li+ intercalation the proton-coupled electron charge storage occurs more rapidly (in a few seconds). This important finding suggests that a high-rate and high-power charge storage device could potentially be achieved with the reversible H+-coupled charge/discharge process in TiO2 at neutral pH, opening thus new opportunities to the development of eco-friendly batteries for electrical energy storage.","author":[{"dropping-particle":"","family":"Kim","given":"Yee Seul","non-dropping-particle":"","parse-names":false,"suffix":""},{"dropping-particle":"","family":"Kriegel","given":"Sébastien","non-dropping-particle":"","parse-names":false,"suffix":""},{"dropping-particle":"","family":"Harris","given":"Kenneth D.","non-dropping-particle":"","parse-names":false,"suffix":""},{"dropping-particle":"","family":"Costentin","given":"Cyrille","non-dropping-particle":"","parse-names":false,"suffix":""},{"dropping-particle":"","family":"Limoges","given":"Benoît","non-dropping-particle":"","parse-names":false,"suffix":""},{"dropping-particle":"","family":"Balland","given":"Véronique","non-dropping-particle":"","parse-names":false,"suffix":""}],"container-title":"Journal of Physical Chemistry C","id":"ITEM-2","issue":"19","issued":{"date-parts":[["2017"]]},"note":"- ref 35, 36 leggi sulla Ecb che varia con il pH","page":"10325-10335","title":"Evidencing Fast, Massive, and Reversible H+ Insertion in Nanostructured TiO2 Electrodes at Neutral pH. Where Do Protons Come From?","type":"article-journal","volume":"121"},"uris":["http://www.mendeley.com/documents/?uuid=70b5b6f3-8db0-47ac-b9fb-7eab728bfb04"]}],"mendeley":{"formattedCitation":"[38,39]","plainTextFormattedCitation":"[38,39]","previouslyFormattedCitation":"[38,39]"},"properties":{"noteIndex":0},"schema":"https://github.com/citation-style-language/schema/raw/master/csl-citation.json"}</w:instrText>
      </w:r>
      <w:r w:rsidRPr="0051070B">
        <w:rPr>
          <w:rFonts w:cs="Times New Roman"/>
        </w:rPr>
        <w:fldChar w:fldCharType="separate"/>
      </w:r>
      <w:r w:rsidR="000D478A" w:rsidRPr="000D478A">
        <w:rPr>
          <w:rFonts w:cs="Times New Roman"/>
          <w:noProof/>
        </w:rPr>
        <w:t>[38,39]</w:t>
      </w:r>
      <w:r w:rsidRPr="0051070B">
        <w:rPr>
          <w:rFonts w:cs="Times New Roman"/>
        </w:rPr>
        <w:fldChar w:fldCharType="end"/>
      </w:r>
      <w:r w:rsidRPr="0051070B">
        <w:rPr>
          <w:rFonts w:cs="Times New Roman"/>
        </w:rPr>
        <w:t xml:space="preserve"> as a result of its Nernstian dependence on pH.</w:t>
      </w:r>
      <w:r>
        <w:rPr>
          <w:rFonts w:cs="Times New Roman"/>
        </w:rPr>
        <w:t xml:space="preserve"> After that the electrode can be considered as almost proton transparent</w:t>
      </w:r>
      <w:r w:rsidR="00411311">
        <w:rPr>
          <w:rFonts w:cs="Times New Roman"/>
        </w:rPr>
        <w:t xml:space="preserve"> </w:t>
      </w:r>
      <w:r>
        <w:rPr>
          <w:rFonts w:cs="Times New Roman"/>
        </w:rPr>
        <w:t xml:space="preserve">thus </w:t>
      </w:r>
      <w:r w:rsidR="00117E17">
        <w:rPr>
          <w:rFonts w:cs="Times New Roman"/>
        </w:rPr>
        <w:t>losing</w:t>
      </w:r>
      <w:r w:rsidR="006A6285">
        <w:rPr>
          <w:rFonts w:cs="Times New Roman"/>
        </w:rPr>
        <w:t xml:space="preserve"> its barrier effect.</w:t>
      </w:r>
    </w:p>
    <w:p w14:paraId="1AB92730" w14:textId="77777777" w:rsidR="00944176" w:rsidRDefault="000313D9" w:rsidP="00AF1CBA">
      <w:pPr>
        <w:spacing w:after="0"/>
        <w:rPr>
          <w:rFonts w:cs="Times New Roman"/>
          <w:b/>
          <w:bCs/>
          <w:sz w:val="32"/>
          <w:szCs w:val="32"/>
        </w:rPr>
      </w:pPr>
      <w:r w:rsidRPr="000313D9">
        <w:rPr>
          <w:rFonts w:cs="Times New Roman"/>
          <w:b/>
          <w:bCs/>
          <w:sz w:val="32"/>
          <w:szCs w:val="32"/>
        </w:rPr>
        <w:t>4. Discussion</w:t>
      </w:r>
    </w:p>
    <w:p w14:paraId="76621ED1" w14:textId="5274BBB2" w:rsidR="001551C0" w:rsidRPr="00944176" w:rsidRDefault="00F421F3" w:rsidP="00944176">
      <w:pPr>
        <w:rPr>
          <w:rFonts w:cs="Times New Roman"/>
          <w:b/>
          <w:bCs/>
          <w:sz w:val="32"/>
          <w:szCs w:val="32"/>
        </w:rPr>
      </w:pPr>
      <w:r>
        <w:rPr>
          <w:rFonts w:cs="Times New Roman"/>
        </w:rPr>
        <w:t xml:space="preserve">During immersion in the aggressive </w:t>
      </w:r>
      <w:r w:rsidR="002D636D">
        <w:rPr>
          <w:rFonts w:cs="Times New Roman"/>
        </w:rPr>
        <w:t>solution a strong concentration gradient favor</w:t>
      </w:r>
      <w:r w:rsidR="00455F45">
        <w:rPr>
          <w:rFonts w:cs="Times New Roman"/>
        </w:rPr>
        <w:t>ed</w:t>
      </w:r>
      <w:r w:rsidR="002D636D">
        <w:rPr>
          <w:rFonts w:cs="Times New Roman"/>
        </w:rPr>
        <w:t xml:space="preserve"> proton </w:t>
      </w:r>
      <w:r w:rsidR="001269CB">
        <w:rPr>
          <w:rFonts w:cs="Times New Roman"/>
        </w:rPr>
        <w:t>diffusion</w:t>
      </w:r>
      <w:r w:rsidR="002D636D">
        <w:rPr>
          <w:rFonts w:cs="Times New Roman"/>
        </w:rPr>
        <w:t xml:space="preserve"> </w:t>
      </w:r>
      <w:r w:rsidR="0015768D">
        <w:rPr>
          <w:rFonts w:cs="Times New Roman"/>
        </w:rPr>
        <w:t>inside the porosity of the oxide</w:t>
      </w:r>
      <w:r w:rsidR="008B2FDC">
        <w:rPr>
          <w:rFonts w:cs="Times New Roman"/>
        </w:rPr>
        <w:t xml:space="preserve"> </w:t>
      </w:r>
      <w:r w:rsidR="00DE771B">
        <w:rPr>
          <w:rFonts w:cs="Times New Roman"/>
        </w:rPr>
        <w:t>filling</w:t>
      </w:r>
      <w:r w:rsidR="008B2FDC">
        <w:rPr>
          <w:rFonts w:cs="Times New Roman"/>
        </w:rPr>
        <w:t xml:space="preserve"> all the active surface </w:t>
      </w:r>
      <w:r w:rsidR="00C9182E">
        <w:rPr>
          <w:rFonts w:cs="Times New Roman"/>
        </w:rPr>
        <w:t>in</w:t>
      </w:r>
      <w:r w:rsidR="008B2FDC">
        <w:rPr>
          <w:rFonts w:cs="Times New Roman"/>
        </w:rPr>
        <w:t xml:space="preserve"> </w:t>
      </w:r>
      <w:r w:rsidR="00B0790F">
        <w:rPr>
          <w:rFonts w:cs="Times New Roman"/>
        </w:rPr>
        <w:t xml:space="preserve">contact with the acidic </w:t>
      </w:r>
      <w:r w:rsidR="009B75A5">
        <w:rPr>
          <w:rFonts w:cs="Times New Roman"/>
        </w:rPr>
        <w:lastRenderedPageBreak/>
        <w:t>electrolyte</w:t>
      </w:r>
      <w:r w:rsidR="005B3B21">
        <w:rPr>
          <w:rFonts w:cs="Times New Roman"/>
        </w:rPr>
        <w:t>.</w:t>
      </w:r>
      <w:r w:rsidR="007B7A70">
        <w:rPr>
          <w:rFonts w:cs="Times New Roman"/>
        </w:rPr>
        <w:t xml:space="preserve"> The presence of donor defects, like ox</w:t>
      </w:r>
      <w:r w:rsidR="007F40F7">
        <w:rPr>
          <w:rFonts w:cs="Times New Roman"/>
        </w:rPr>
        <w:t>ygen</w:t>
      </w:r>
      <w:r w:rsidR="007B7A70">
        <w:rPr>
          <w:rFonts w:cs="Times New Roman"/>
        </w:rPr>
        <w:t xml:space="preserve"> vacancies</w:t>
      </w:r>
      <w:r w:rsidR="001D7998">
        <w:rPr>
          <w:rFonts w:cs="Times New Roman"/>
        </w:rPr>
        <w:t>, generates</w:t>
      </w:r>
      <w:r w:rsidR="00086B94">
        <w:rPr>
          <w:rFonts w:cs="Times New Roman"/>
        </w:rPr>
        <w:t xml:space="preserve"> almost free electrons</w:t>
      </w:r>
      <w:r w:rsidR="006D2A22">
        <w:rPr>
          <w:rFonts w:cs="Times New Roman"/>
        </w:rPr>
        <w:t xml:space="preserve"> necessary for</w:t>
      </w:r>
      <w:r w:rsidR="00BD5857">
        <w:rPr>
          <w:rFonts w:cs="Times New Roman"/>
        </w:rPr>
        <w:t xml:space="preserve"> </w:t>
      </w:r>
      <w:r w:rsidR="001D7998">
        <w:rPr>
          <w:rFonts w:cs="Times New Roman"/>
        </w:rPr>
        <w:t>proton reduction at the oxide-solution interface</w:t>
      </w:r>
      <w:r w:rsidR="00D07871">
        <w:rPr>
          <w:rFonts w:cs="Times New Roman"/>
        </w:rPr>
        <w:t xml:space="preserve"> enhancing</w:t>
      </w:r>
      <w:r w:rsidR="00912547">
        <w:rPr>
          <w:rFonts w:cs="Times New Roman"/>
        </w:rPr>
        <w:t xml:space="preserve"> surface</w:t>
      </w:r>
      <w:r w:rsidR="00012419">
        <w:rPr>
          <w:rFonts w:cs="Times New Roman"/>
        </w:rPr>
        <w:t xml:space="preserve"> a</w:t>
      </w:r>
      <w:r w:rsidR="001B3E8C">
        <w:rPr>
          <w:rFonts w:cs="Times New Roman"/>
        </w:rPr>
        <w:t>d</w:t>
      </w:r>
      <w:r w:rsidR="00012419">
        <w:rPr>
          <w:rFonts w:cs="Times New Roman"/>
        </w:rPr>
        <w:t xml:space="preserve">sorption </w:t>
      </w:r>
      <w:r w:rsidR="00912547">
        <w:rPr>
          <w:rFonts w:cs="Times New Roman"/>
        </w:rPr>
        <w:t>and</w:t>
      </w:r>
      <w:r w:rsidR="007055C7">
        <w:rPr>
          <w:rFonts w:cs="Times New Roman"/>
        </w:rPr>
        <w:t xml:space="preserve"> consequent</w:t>
      </w:r>
      <w:r w:rsidR="00BD5857">
        <w:rPr>
          <w:rFonts w:cs="Times New Roman"/>
        </w:rPr>
        <w:t xml:space="preserve"> oxide</w:t>
      </w:r>
      <w:r w:rsidR="005A5214">
        <w:rPr>
          <w:rFonts w:cs="Times New Roman"/>
        </w:rPr>
        <w:t xml:space="preserve"> reduction according to </w:t>
      </w:r>
      <w:r w:rsidR="005A5214" w:rsidRPr="005A5214">
        <w:rPr>
          <w:rFonts w:cs="Times New Roman"/>
          <w:b/>
          <w:bCs/>
        </w:rPr>
        <w:t>Eq. 1</w:t>
      </w:r>
      <w:r w:rsidR="005A5214">
        <w:rPr>
          <w:rFonts w:cs="Times New Roman"/>
        </w:rPr>
        <w:t xml:space="preserve">. </w:t>
      </w:r>
      <w:r w:rsidR="008341E3">
        <w:rPr>
          <w:rFonts w:cs="Times New Roman"/>
        </w:rPr>
        <w:t>As the E</w:t>
      </w:r>
      <w:r w:rsidR="008341E3">
        <w:rPr>
          <w:rFonts w:cs="Times New Roman"/>
          <w:vertAlign w:val="subscript"/>
        </w:rPr>
        <w:t>corr</w:t>
      </w:r>
      <w:r w:rsidR="008341E3">
        <w:rPr>
          <w:rFonts w:cs="Times New Roman"/>
        </w:rPr>
        <w:t xml:space="preserve"> potential</w:t>
      </w:r>
      <w:r w:rsidR="00D918CD">
        <w:rPr>
          <w:rFonts w:cs="Times New Roman"/>
        </w:rPr>
        <w:t xml:space="preserve">, in the first </w:t>
      </w:r>
      <w:r w:rsidR="007861E5">
        <w:rPr>
          <w:rFonts w:cs="Times New Roman"/>
        </w:rPr>
        <w:t>period</w:t>
      </w:r>
      <w:r w:rsidR="00D918CD">
        <w:rPr>
          <w:rFonts w:cs="Times New Roman"/>
        </w:rPr>
        <w:t xml:space="preserve"> of immersion,</w:t>
      </w:r>
      <w:r w:rsidR="008341E3">
        <w:rPr>
          <w:rFonts w:cs="Times New Roman"/>
        </w:rPr>
        <w:t xml:space="preserve"> </w:t>
      </w:r>
      <w:r w:rsidR="009C15BE">
        <w:rPr>
          <w:rFonts w:cs="Times New Roman"/>
        </w:rPr>
        <w:t>was</w:t>
      </w:r>
      <w:r w:rsidR="00D918CD">
        <w:rPr>
          <w:rFonts w:cs="Times New Roman"/>
        </w:rPr>
        <w:t xml:space="preserve"> </w:t>
      </w:r>
      <w:r w:rsidR="008341E3">
        <w:rPr>
          <w:rFonts w:cs="Times New Roman"/>
        </w:rPr>
        <w:t xml:space="preserve">very anodic no concurrent HER is observed </w:t>
      </w:r>
      <w:r w:rsidR="007861E5">
        <w:rPr>
          <w:rFonts w:cs="Times New Roman"/>
        </w:rPr>
        <w:t>concomitantly</w:t>
      </w:r>
      <w:r w:rsidR="008341E3">
        <w:rPr>
          <w:rFonts w:cs="Times New Roman"/>
        </w:rPr>
        <w:t xml:space="preserve"> to </w:t>
      </w:r>
      <w:r w:rsidR="00BD5857">
        <w:rPr>
          <w:rFonts w:cs="Times New Roman"/>
        </w:rPr>
        <w:t>H</w:t>
      </w:r>
      <w:r w:rsidR="00BD5857">
        <w:rPr>
          <w:rFonts w:cs="Times New Roman"/>
          <w:vertAlign w:val="superscript"/>
        </w:rPr>
        <w:t>+</w:t>
      </w:r>
      <w:r w:rsidR="008341E3">
        <w:rPr>
          <w:rFonts w:cs="Times New Roman"/>
        </w:rPr>
        <w:t xml:space="preserve"> intercalation, thus only a low frequency relaxation</w:t>
      </w:r>
      <w:r w:rsidR="0054417C">
        <w:rPr>
          <w:rFonts w:cs="Times New Roman"/>
        </w:rPr>
        <w:t xml:space="preserve"> (0.025 Hz)</w:t>
      </w:r>
      <w:r w:rsidR="008341E3">
        <w:rPr>
          <w:rFonts w:cs="Times New Roman"/>
        </w:rPr>
        <w:t xml:space="preserve"> </w:t>
      </w:r>
      <w:r w:rsidR="003C4660">
        <w:rPr>
          <w:rFonts w:cs="Times New Roman"/>
        </w:rPr>
        <w:t>was</w:t>
      </w:r>
      <w:r w:rsidR="008341E3">
        <w:rPr>
          <w:rFonts w:cs="Times New Roman"/>
        </w:rPr>
        <w:t xml:space="preserve"> </w:t>
      </w:r>
      <w:r w:rsidR="0054417C">
        <w:rPr>
          <w:rFonts w:cs="Times New Roman"/>
        </w:rPr>
        <w:t>detected</w:t>
      </w:r>
      <w:r w:rsidR="00912547">
        <w:rPr>
          <w:rFonts w:cs="Times New Roman"/>
        </w:rPr>
        <w:t xml:space="preserve"> and attributed to diffusional phenomena</w:t>
      </w:r>
      <w:r w:rsidR="0054417C">
        <w:rPr>
          <w:rFonts w:cs="Times New Roman"/>
        </w:rPr>
        <w:t>.</w:t>
      </w:r>
      <w:r w:rsidR="007B7A70">
        <w:rPr>
          <w:rFonts w:cs="Times New Roman"/>
        </w:rPr>
        <w:t xml:space="preserve"> </w:t>
      </w:r>
      <w:r w:rsidR="00C9182E">
        <w:rPr>
          <w:rFonts w:cs="Times New Roman"/>
        </w:rPr>
        <w:t>Once</w:t>
      </w:r>
      <w:r w:rsidR="003C4660">
        <w:rPr>
          <w:rFonts w:cs="Times New Roman"/>
        </w:rPr>
        <w:t xml:space="preserve"> HER </w:t>
      </w:r>
      <w:r w:rsidR="00C9182E">
        <w:rPr>
          <w:rFonts w:cs="Times New Roman"/>
        </w:rPr>
        <w:t xml:space="preserve">became thermodynamically </w:t>
      </w:r>
      <w:r w:rsidR="003C4660">
        <w:rPr>
          <w:rFonts w:cs="Times New Roman"/>
        </w:rPr>
        <w:t>f</w:t>
      </w:r>
      <w:r w:rsidR="00C9182E">
        <w:rPr>
          <w:rFonts w:cs="Times New Roman"/>
        </w:rPr>
        <w:t>easible</w:t>
      </w:r>
      <w:r w:rsidR="003C4660">
        <w:rPr>
          <w:rFonts w:cs="Times New Roman"/>
        </w:rPr>
        <w:t xml:space="preserve"> </w:t>
      </w:r>
      <w:r w:rsidR="00273D59">
        <w:rPr>
          <w:rFonts w:cs="Times New Roman"/>
        </w:rPr>
        <w:t>a time constant</w:t>
      </w:r>
      <w:r w:rsidR="00BD5857">
        <w:rPr>
          <w:rFonts w:cs="Times New Roman"/>
        </w:rPr>
        <w:t xml:space="preserve"> </w:t>
      </w:r>
      <w:r w:rsidR="008D4296">
        <w:rPr>
          <w:rFonts w:cs="Times New Roman"/>
        </w:rPr>
        <w:t>coincident with the relaxation of the Heyrovsky step</w:t>
      </w:r>
      <w:r w:rsidR="00BD5857">
        <w:rPr>
          <w:rFonts w:cs="Times New Roman"/>
        </w:rPr>
        <w:t>,</w:t>
      </w:r>
      <w:r w:rsidR="008D4296">
        <w:rPr>
          <w:rFonts w:cs="Times New Roman"/>
        </w:rPr>
        <w:t xml:space="preserve"> </w:t>
      </w:r>
      <w:r w:rsidR="00426600">
        <w:rPr>
          <w:rFonts w:cs="Times New Roman"/>
        </w:rPr>
        <w:t xml:space="preserve">generally well discernable </w:t>
      </w:r>
      <w:r w:rsidR="004501F3">
        <w:rPr>
          <w:rFonts w:cs="Times New Roman"/>
        </w:rPr>
        <w:t>on active</w:t>
      </w:r>
      <w:r w:rsidR="008D4296">
        <w:rPr>
          <w:rFonts w:cs="Times New Roman"/>
        </w:rPr>
        <w:t xml:space="preserve"> Ti, </w:t>
      </w:r>
      <w:r w:rsidR="00C9182E">
        <w:rPr>
          <w:rFonts w:cs="Times New Roman"/>
        </w:rPr>
        <w:t>appeared</w:t>
      </w:r>
      <w:r w:rsidR="00880933">
        <w:rPr>
          <w:rFonts w:cs="Times New Roman"/>
        </w:rPr>
        <w:t xml:space="preserve"> around 0.25 Hz</w:t>
      </w:r>
      <w:r w:rsidR="00F01B6C">
        <w:rPr>
          <w:rFonts w:cs="Times New Roman"/>
        </w:rPr>
        <w:t>.</w:t>
      </w:r>
      <w:r w:rsidR="00C9182E">
        <w:rPr>
          <w:rFonts w:cs="Times New Roman"/>
        </w:rPr>
        <w:t xml:space="preserve"> </w:t>
      </w:r>
      <w:r w:rsidR="00880933">
        <w:rPr>
          <w:rFonts w:cs="Times New Roman"/>
        </w:rPr>
        <w:t xml:space="preserve">Volmer discharge reaction </w:t>
      </w:r>
      <w:r w:rsidR="00C9182E">
        <w:rPr>
          <w:rFonts w:cs="Times New Roman"/>
        </w:rPr>
        <w:t>remained hindered</w:t>
      </w:r>
      <w:r w:rsidR="00880933">
        <w:rPr>
          <w:rFonts w:cs="Times New Roman"/>
        </w:rPr>
        <w:t xml:space="preserve"> by the capacitive reactance of the</w:t>
      </w:r>
      <w:r w:rsidR="004501F3">
        <w:rPr>
          <w:rFonts w:cs="Times New Roman"/>
        </w:rPr>
        <w:t xml:space="preserve"> still present</w:t>
      </w:r>
      <w:r w:rsidR="00880933">
        <w:rPr>
          <w:rFonts w:cs="Times New Roman"/>
        </w:rPr>
        <w:t xml:space="preserve"> </w:t>
      </w:r>
      <w:r w:rsidR="00450ADD">
        <w:rPr>
          <w:rFonts w:cs="Times New Roman"/>
        </w:rPr>
        <w:t>oxide coating</w:t>
      </w:r>
      <w:r w:rsidR="00880933">
        <w:rPr>
          <w:rFonts w:cs="Times New Roman"/>
        </w:rPr>
        <w:t xml:space="preserve"> until the metallic substrate</w:t>
      </w:r>
      <w:r w:rsidR="00450ADD">
        <w:rPr>
          <w:rFonts w:cs="Times New Roman"/>
        </w:rPr>
        <w:t xml:space="preserve"> was exposed to the aggressive solution. </w:t>
      </w:r>
      <w:r w:rsidR="00A07745">
        <w:rPr>
          <w:rFonts w:cs="Times New Roman"/>
        </w:rPr>
        <w:t xml:space="preserve">As the </w:t>
      </w:r>
      <w:r w:rsidR="006B06A4">
        <w:rPr>
          <w:rFonts w:cs="Times New Roman"/>
        </w:rPr>
        <w:t xml:space="preserve">immersion time goes on, the semi-∞ diffusion process </w:t>
      </w:r>
      <w:r w:rsidR="0077712F">
        <w:rPr>
          <w:rFonts w:cs="Times New Roman"/>
        </w:rPr>
        <w:t>shi</w:t>
      </w:r>
      <w:r w:rsidR="001464AB">
        <w:rPr>
          <w:rFonts w:cs="Times New Roman"/>
        </w:rPr>
        <w:t>f</w:t>
      </w:r>
      <w:r w:rsidR="0077712F">
        <w:rPr>
          <w:rFonts w:cs="Times New Roman"/>
        </w:rPr>
        <w:t>ted towards finite diffusion due to charge saturation of the oxide layer.</w:t>
      </w:r>
      <w:r w:rsidR="001C614B">
        <w:rPr>
          <w:rFonts w:cs="Times New Roman"/>
        </w:rPr>
        <w:t xml:space="preserve"> According to previous observation</w:t>
      </w:r>
      <w:r w:rsidR="00372E33">
        <w:rPr>
          <w:rFonts w:cs="Times New Roman"/>
        </w:rPr>
        <w:t>s</w:t>
      </w:r>
      <w:r w:rsidR="001C614B">
        <w:rPr>
          <w:rFonts w:cs="Times New Roman"/>
        </w:rPr>
        <w:t xml:space="preserve">, indicating </w:t>
      </w:r>
      <w:r w:rsidR="00DB3137">
        <w:rPr>
          <w:rFonts w:cs="Times New Roman"/>
        </w:rPr>
        <w:t xml:space="preserve">slightly different electrochemical reaction and </w:t>
      </w:r>
      <w:r w:rsidR="009B1674">
        <w:rPr>
          <w:rFonts w:cs="Times New Roman"/>
        </w:rPr>
        <w:t xml:space="preserve">a </w:t>
      </w:r>
      <w:r w:rsidR="00AE18E7">
        <w:rPr>
          <w:rFonts w:cs="Times New Roman"/>
        </w:rPr>
        <w:t>marked mismatch between the corrosion response of both coatings</w:t>
      </w:r>
      <w:r w:rsidR="00372E33">
        <w:rPr>
          <w:rFonts w:cs="Times New Roman"/>
        </w:rPr>
        <w:t xml:space="preserve"> a procedure</w:t>
      </w:r>
      <w:r w:rsidR="00E633D8">
        <w:rPr>
          <w:rFonts w:cs="Times New Roman"/>
        </w:rPr>
        <w:t>,</w:t>
      </w:r>
      <w:r w:rsidR="00C370CC">
        <w:rPr>
          <w:rFonts w:cs="Times New Roman"/>
        </w:rPr>
        <w:t xml:space="preserve"> based on EIS</w:t>
      </w:r>
      <w:r w:rsidR="00E6511A">
        <w:rPr>
          <w:rFonts w:cs="Times New Roman"/>
        </w:rPr>
        <w:t xml:space="preserve"> </w:t>
      </w:r>
      <w:r w:rsidR="00C370CC" w:rsidRPr="00C370CC">
        <w:rPr>
          <w:rFonts w:cs="Times New Roman"/>
        </w:rPr>
        <w:fldChar w:fldCharType="begin" w:fldLock="1"/>
      </w:r>
      <w:r w:rsidR="00F36CB3">
        <w:rPr>
          <w:rFonts w:cs="Times New Roman"/>
        </w:rPr>
        <w:instrText>ADDIN CSL_CITATION {"citationItems":[{"id":"ITEM-1","itemData":{"DOI":"10.1016/j.jelechem.2010.06.022","ISSN":"15726657","abstract":"Thin TiO2 films were deposited uniformly using a thermal evaporation method in a high vacuum system. The films were primarily composed of Ti(IV) (98.3-98.4%) and O2- (71.8-71.9%) with only a small concentration of defects. Hydrogen absorption by the deposited oxide films, measured using a Devanathan cell, occurred at E &lt; -0.37 V. In the range -0.3 to -0.8 V, the capacitance of the oxide increased with a decrease in potential, while the resistance of the oxide decreased significantly. At E &lt; -0.8 V, the kinetics of hydrogen absorption by the oxide were controlled by a diffusion process, and the reduction of water and evolution of hydrogen remained strongly inhibited on the oxide surface. Hydrogen transport in Pd was studied using the time-lag method under galvanostatic hydrogen-charging conditions. Reversible and irreversible trap sites have a noticeable retardation effect on hydrogen transport in the metal. Hydrogen permeation in the TiO2 films is a function of the hydrogen-charging current. When the hydrogen-charging current was &gt;40 nA cm-2, more than 70% of the hydrogen produced on the oxide surface permeated through the oxide. Increasing the hydrogen-charging current resulted in an exponential decrease in the time lag in the oxide. The potential at which the oxide became transparent to hydrogen was decreased with an increase in the charging current. E = -0.37 VSCE may represent an absorption threshold for hydrogen absorption. The apparent diffusion coefficient of hydrogen in the oxide is in the range of 10-18-10-17 cm2 s-1. The coefficient increased with an increase in hydrogen-charging current. A theoretical model for permeation in the oxide is under development. © 2009 Elsevier B.V. All rights reserved.","author":[{"dropping-particle":"","family":"Zeng","given":"Y.","non-dropping-particle":"","parse-names":false,"suffix":""},{"dropping-particle":"","family":"Noël","given":"J. J.","non-dropping-particle":"","parse-names":false,"suffix":""},{"dropping-particle":"","family":"Norton","given":"P. R.","non-dropping-particle":"","parse-names":false,"suffix":""},{"dropping-particle":"","family":"Shoesmith","given":"D. W.","non-dropping-particle":"","parse-names":false,"suffix":""}],"container-title":"Journal of Electroanalytical Chemistry","id":"ITEM-1","issue":"1-2","issued":{"date-parts":[["2010"]]},"note":"H diffusion coefficient in rutile and alfa Ti","page":"277-285","publisher":"Elsevier B.V.","title":"Hydrogen transport through thin titanium oxides","type":"article-journal","volume":"649"},"uris":["http://www.mendeley.com/documents/?uuid=f5b0047b-1614-43ac-96c6-057fdbca20e4"]},{"id":"ITEM-2","itemData":{"DOI":"10.1149/1.2048589","ISSN":"0013-4651","abstract":"Electrochemical impedance spectroscopy (EIS) was used to measure the solid-state diffusion coefficient of protons in nickel hydroxide films at room temperature as a function of state of charge (SOC). A model for the complex faradaic impedance of the nickel hydroxide active material is presented and used to extract the diffusion coefficient of protons from the EIS data. Impedance data over a range of frequencies can be used to extract a constant diffusion coefficient without the knowledge of the initial mobile proton concentration or the form of the charge-transfer kinetic expression. The proton diffusion coefficient is a strong function of SOC and decreases approximately three orders of magnitude from 3.4 X 10(-8) to 6.4 X 10(-11) cm(2) s(-1) as the electrode discharges from the completely charged to the completely discharged state. The measurements were performed on well-conditioned nickel hydroxide films and therefore it is likely that the diffusion coefficients measured correspond to the p-phase of the active material. The diffusion coefficient of protons was measured for three different film thicknesses, 1.5, 1.2, and 1.0 mu m. The diffusion coefficient is independent of the thickness of the film as predicted by theory. The three orders of magnitude decrease in the diffusion coefficient of protons can be explained on the assumption that the protons move predominantly through the oxidized phase [NiOOH] which is interdispersed along with the reduced phase [Ni(OH)(2)] in the active material.","author":[{"dropping-particle":"","family":"Motupally","given":"Sathya","non-dropping-particle":"","parse-names":false,"suffix":""},{"dropping-particle":"","family":"Streinz","given":"Christopher C.","non-dropping-particle":"","parse-names":false,"suffix":""},{"dropping-particle":"","family":"Weidner","given":"John W.","non-dropping-particle":"","parse-names":false,"suffix":""}],"container-title":"Journal of The Electrochemical Society","id":"ITEM-2","issue":"5","issued":{"date-parts":[["1995"]]},"page":"1401-1408","title":"Proton Diffusion in Nickel Hydroxide Films: Measurement of the Diffusion Coefficient as a Function of State of Charge","type":"article-journal","volume":"142"},"uris":["http://www.mendeley.com/documents/?uuid=1961a427-7d28-487d-bd63-0a5453016a4e"]}],"mendeley":{"formattedCitation":"[40,41]","plainTextFormattedCitation":"[40,41]","previouslyFormattedCitation":"[40,41]"},"properties":{"noteIndex":0},"schema":"https://github.com/citation-style-language/schema/raw/master/csl-citation.json"}</w:instrText>
      </w:r>
      <w:r w:rsidR="00C370CC" w:rsidRPr="00C370CC">
        <w:rPr>
          <w:rFonts w:cs="Times New Roman"/>
        </w:rPr>
        <w:fldChar w:fldCharType="separate"/>
      </w:r>
      <w:r w:rsidR="000D478A" w:rsidRPr="000D478A">
        <w:rPr>
          <w:rFonts w:cs="Times New Roman"/>
          <w:noProof/>
        </w:rPr>
        <w:t>[40,41]</w:t>
      </w:r>
      <w:r w:rsidR="00C370CC" w:rsidRPr="00C370CC">
        <w:rPr>
          <w:rFonts w:cs="Times New Roman"/>
        </w:rPr>
        <w:fldChar w:fldCharType="end"/>
      </w:r>
      <w:r w:rsidR="00E633D8">
        <w:rPr>
          <w:rFonts w:cs="Times New Roman"/>
        </w:rPr>
        <w:t>,</w:t>
      </w:r>
      <w:r w:rsidR="00C370CC">
        <w:rPr>
          <w:rFonts w:cs="Times New Roman"/>
        </w:rPr>
        <w:t xml:space="preserve"> </w:t>
      </w:r>
      <w:r w:rsidR="00372E33">
        <w:rPr>
          <w:rFonts w:cs="Times New Roman"/>
        </w:rPr>
        <w:t xml:space="preserve">will be adopted to extract </w:t>
      </w:r>
      <w:r w:rsidR="00C370CC">
        <w:rPr>
          <w:rFonts w:cs="Times New Roman"/>
        </w:rPr>
        <w:t>mass transport parameters</w:t>
      </w:r>
      <w:r w:rsidR="001B21AD">
        <w:rPr>
          <w:rFonts w:cs="Times New Roman"/>
        </w:rPr>
        <w:t>.</w:t>
      </w:r>
      <w:r w:rsidR="0077712F">
        <w:rPr>
          <w:rFonts w:cs="Times New Roman"/>
        </w:rPr>
        <w:t xml:space="preserve"> </w:t>
      </w:r>
      <w:r w:rsidR="008E2C3F">
        <w:rPr>
          <w:rFonts w:cs="Times New Roman"/>
        </w:rPr>
        <w:t>According to that i</w:t>
      </w:r>
      <w:r w:rsidR="0077712F">
        <w:rPr>
          <w:rFonts w:cs="Times New Roman"/>
        </w:rPr>
        <w:t>t is possible to evaluate the</w:t>
      </w:r>
      <w:r w:rsidR="004905C5">
        <w:rPr>
          <w:rFonts w:cs="Times New Roman"/>
        </w:rPr>
        <w:t xml:space="preserve"> oxide</w:t>
      </w:r>
      <w:r w:rsidR="007869FA">
        <w:rPr>
          <w:rFonts w:cs="Times New Roman"/>
        </w:rPr>
        <w:t xml:space="preserve"> </w:t>
      </w:r>
      <w:r w:rsidR="004905C5">
        <w:rPr>
          <w:rFonts w:cs="Times New Roman"/>
        </w:rPr>
        <w:t>redox</w:t>
      </w:r>
      <w:r w:rsidR="0077712F">
        <w:rPr>
          <w:rFonts w:cs="Times New Roman"/>
        </w:rPr>
        <w:t xml:space="preserve"> capacitance</w:t>
      </w:r>
      <w:r w:rsidR="008E2C3F">
        <w:rPr>
          <w:rFonts w:cs="Times New Roman"/>
        </w:rPr>
        <w:t xml:space="preserve"> (C</w:t>
      </w:r>
      <w:r w:rsidR="008E2C3F">
        <w:rPr>
          <w:rFonts w:cs="Times New Roman"/>
          <w:vertAlign w:val="subscript"/>
        </w:rPr>
        <w:t>redox</w:t>
      </w:r>
      <w:r w:rsidR="008E2C3F">
        <w:rPr>
          <w:rFonts w:cs="Times New Roman"/>
        </w:rPr>
        <w:t>)</w:t>
      </w:r>
      <w:r w:rsidR="0077712F">
        <w:rPr>
          <w:rFonts w:cs="Times New Roman"/>
        </w:rPr>
        <w:t xml:space="preserve"> </w:t>
      </w:r>
      <w:r w:rsidR="00E7202F">
        <w:rPr>
          <w:rFonts w:cs="Times New Roman"/>
        </w:rPr>
        <w:t xml:space="preserve">by fitting the low frequency </w:t>
      </w:r>
      <w:r w:rsidR="001551C0">
        <w:rPr>
          <w:rFonts w:cs="Times New Roman"/>
        </w:rPr>
        <w:t>tail</w:t>
      </w:r>
      <w:r w:rsidR="00E7202F">
        <w:rPr>
          <w:rFonts w:cs="Times New Roman"/>
        </w:rPr>
        <w:t xml:space="preserve"> of the Nyquist </w:t>
      </w:r>
      <w:r w:rsidR="00E66AB4">
        <w:rPr>
          <w:rFonts w:cs="Times New Roman"/>
        </w:rPr>
        <w:t>plot</w:t>
      </w:r>
      <w:r w:rsidR="00233E35">
        <w:rPr>
          <w:rFonts w:cs="Times New Roman"/>
        </w:rPr>
        <w:t xml:space="preserve"> </w:t>
      </w:r>
      <w:r w:rsidR="00BD5857">
        <w:rPr>
          <w:rFonts w:cs="Times New Roman"/>
        </w:rPr>
        <w:t>in</w:t>
      </w:r>
      <w:r w:rsidR="00E66AB4">
        <w:rPr>
          <w:rFonts w:cs="Times New Roman"/>
        </w:rPr>
        <w:t xml:space="preserve"> </w:t>
      </w:r>
      <w:r w:rsidR="00E66AB4" w:rsidRPr="00844DD5">
        <w:rPr>
          <w:rFonts w:cs="Times New Roman"/>
          <w:b/>
          <w:bCs/>
        </w:rPr>
        <w:t xml:space="preserve">Fig. </w:t>
      </w:r>
      <w:r w:rsidR="00E366BD">
        <w:rPr>
          <w:rFonts w:cs="Times New Roman"/>
          <w:b/>
          <w:bCs/>
        </w:rPr>
        <w:t>12</w:t>
      </w:r>
      <w:r w:rsidR="00E7202F">
        <w:rPr>
          <w:rFonts w:cs="Times New Roman"/>
        </w:rPr>
        <w:t xml:space="preserve"> </w:t>
      </w:r>
      <w:r w:rsidR="00951D77">
        <w:rPr>
          <w:rFonts w:cs="Times New Roman"/>
        </w:rPr>
        <w:t>using</w:t>
      </w:r>
      <w:r w:rsidR="00E7202F">
        <w:rPr>
          <w:rFonts w:cs="Times New Roman"/>
        </w:rPr>
        <w:t xml:space="preserve"> the </w:t>
      </w:r>
      <w:r w:rsidR="009A4D82">
        <w:rPr>
          <w:rFonts w:cs="Times New Roman"/>
        </w:rPr>
        <w:t>definition of capacitive reactance</w:t>
      </w:r>
      <w:r w:rsidR="001551C0">
        <w:rPr>
          <w:rFonts w:cs="Times New Roman"/>
        </w:rPr>
        <w:t>:</w:t>
      </w:r>
    </w:p>
    <w:p w14:paraId="017E15DF" w14:textId="60F2DFFE" w:rsidR="001551C0" w:rsidRDefault="00B63CF9" w:rsidP="009D20C1">
      <w:pPr>
        <w:spacing w:after="0"/>
        <w:rPr>
          <w:rFonts w:eastAsiaTheme="minorEastAsia" w:cs="Times New Roman"/>
        </w:rPr>
      </w:pPr>
      <m:oMath>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m:t>
            </m:r>
          </m:sup>
        </m:sSup>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2πCω</m:t>
            </m:r>
          </m:den>
        </m:f>
      </m:oMath>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r>
      <w:r w:rsidR="001551C0">
        <w:rPr>
          <w:rFonts w:eastAsiaTheme="minorEastAsia" w:cs="Times New Roman"/>
        </w:rPr>
        <w:tab/>
        <w:t xml:space="preserve">           (x)</w:t>
      </w:r>
    </w:p>
    <w:p w14:paraId="6F32A9A1" w14:textId="174AAE7E" w:rsidR="00D84A5F" w:rsidRDefault="003268FB" w:rsidP="00434471">
      <w:pPr>
        <w:keepNext/>
        <w:spacing w:after="0"/>
        <w:jc w:val="center"/>
      </w:pPr>
      <w:r>
        <w:rPr>
          <w:noProof/>
        </w:rPr>
        <w:drawing>
          <wp:inline distT="0" distB="0" distL="0" distR="0" wp14:anchorId="2714CB53" wp14:editId="228ADFF4">
            <wp:extent cx="5067300" cy="2421974"/>
            <wp:effectExtent l="0" t="0" r="0" b="0"/>
            <wp:docPr id="20" name="Picture 2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10;&#10;Description automatically generated"/>
                    <pic:cNvPicPr/>
                  </pic:nvPicPr>
                  <pic:blipFill rotWithShape="1">
                    <a:blip r:embed="rId20"/>
                    <a:srcRect l="5229" t="6059" r="4378" b="32105"/>
                    <a:stretch/>
                  </pic:blipFill>
                  <pic:spPr bwMode="auto">
                    <a:xfrm>
                      <a:off x="0" y="0"/>
                      <a:ext cx="5069683" cy="2423113"/>
                    </a:xfrm>
                    <a:prstGeom prst="rect">
                      <a:avLst/>
                    </a:prstGeom>
                    <a:ln>
                      <a:noFill/>
                    </a:ln>
                    <a:extLst>
                      <a:ext uri="{53640926-AAD7-44D8-BBD7-CCE9431645EC}">
                        <a14:shadowObscured xmlns:a14="http://schemas.microsoft.com/office/drawing/2010/main"/>
                      </a:ext>
                    </a:extLst>
                  </pic:spPr>
                </pic:pic>
              </a:graphicData>
            </a:graphic>
          </wp:inline>
        </w:drawing>
      </w:r>
    </w:p>
    <w:p w14:paraId="60880457" w14:textId="12D64718" w:rsidR="00844DD5" w:rsidRPr="00D84A5F" w:rsidRDefault="00D84A5F" w:rsidP="00D84A5F">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12</w:t>
      </w:r>
      <w:r>
        <w:fldChar w:fldCharType="end"/>
      </w:r>
      <w:r>
        <w:t xml:space="preserve">. </w:t>
      </w:r>
      <w:r>
        <w:rPr>
          <w:b w:val="0"/>
          <w:bCs/>
        </w:rPr>
        <w:t xml:space="preserve">Nyquist representation of </w:t>
      </w:r>
      <w:r w:rsidRPr="00F12870">
        <w:t>a)</w:t>
      </w:r>
      <w:r>
        <w:rPr>
          <w:b w:val="0"/>
          <w:bCs/>
        </w:rPr>
        <w:t xml:space="preserve"> PEO-DC and </w:t>
      </w:r>
      <w:r w:rsidRPr="00F12870">
        <w:t>b)</w:t>
      </w:r>
      <w:r>
        <w:rPr>
          <w:b w:val="0"/>
          <w:bCs/>
        </w:rPr>
        <w:t xml:space="preserve"> PEO-H-25 </w:t>
      </w:r>
      <w:r w:rsidR="00F12870">
        <w:rPr>
          <w:b w:val="0"/>
          <w:bCs/>
        </w:rPr>
        <w:t>in correspondence of charge saturation and coating debonding.</w:t>
      </w:r>
    </w:p>
    <w:p w14:paraId="5E9CF0C3" w14:textId="7FCA0F2E" w:rsidR="007B7A70" w:rsidRDefault="00B80AAF" w:rsidP="001448A2">
      <w:pPr>
        <w:spacing w:before="240"/>
        <w:rPr>
          <w:rFonts w:cs="Times New Roman"/>
        </w:rPr>
      </w:pPr>
      <w:r>
        <w:rPr>
          <w:rFonts w:cs="Times New Roman"/>
        </w:rPr>
        <w:lastRenderedPageBreak/>
        <w:t xml:space="preserve">where </w:t>
      </w:r>
      <w:r w:rsidR="009A4D82">
        <w:rPr>
          <w:rFonts w:cs="Times New Roman"/>
        </w:rPr>
        <w:t xml:space="preserve">the slope extrapolated </w:t>
      </w:r>
      <w:r w:rsidR="00233E35">
        <w:rPr>
          <w:rFonts w:cs="Times New Roman"/>
        </w:rPr>
        <w:t>by</w:t>
      </w:r>
      <w:r w:rsidR="009A4D82">
        <w:rPr>
          <w:rFonts w:cs="Times New Roman"/>
        </w:rPr>
        <w:t xml:space="preserve"> </w:t>
      </w:r>
      <w:r w:rsidR="001551C0">
        <w:rPr>
          <w:rFonts w:cs="Times New Roman"/>
        </w:rPr>
        <w:t>linear regression</w:t>
      </w:r>
      <w:r w:rsidR="009123BA">
        <w:rPr>
          <w:rFonts w:cs="Times New Roman"/>
        </w:rPr>
        <w:t xml:space="preserve">, of data shown in </w:t>
      </w:r>
      <w:r w:rsidR="009123BA" w:rsidRPr="009123BA">
        <w:rPr>
          <w:rFonts w:cs="Times New Roman"/>
          <w:b/>
          <w:bCs/>
        </w:rPr>
        <w:t>Fig. 13</w:t>
      </w:r>
      <w:r w:rsidR="009123BA">
        <w:rPr>
          <w:rFonts w:cs="Times New Roman"/>
        </w:rPr>
        <w:t>,</w:t>
      </w:r>
      <w:r w:rsidR="009A4D82">
        <w:rPr>
          <w:rFonts w:cs="Times New Roman"/>
        </w:rPr>
        <w:t xml:space="preserve"> </w:t>
      </w:r>
      <w:r w:rsidR="00095911">
        <w:rPr>
          <w:rFonts w:cs="Times New Roman"/>
        </w:rPr>
        <w:t>permits</w:t>
      </w:r>
      <w:r>
        <w:rPr>
          <w:rFonts w:cs="Times New Roman"/>
        </w:rPr>
        <w:t xml:space="preserve"> the</w:t>
      </w:r>
      <w:r w:rsidR="00C5092E">
        <w:rPr>
          <w:rFonts w:cs="Times New Roman"/>
        </w:rPr>
        <w:t xml:space="preserve"> estimation of the low frequency </w:t>
      </w:r>
      <w:r w:rsidR="00095911" w:rsidRPr="00095911">
        <w:rPr>
          <w:rFonts w:cs="Times New Roman"/>
        </w:rPr>
        <w:t>C</w:t>
      </w:r>
      <w:r w:rsidR="00095911" w:rsidRPr="00095911">
        <w:rPr>
          <w:rFonts w:cs="Times New Roman"/>
          <w:vertAlign w:val="subscript"/>
        </w:rPr>
        <w:t>redox</w:t>
      </w:r>
      <w:r w:rsidR="00BD5857">
        <w:rPr>
          <w:rFonts w:cs="Times New Roman"/>
        </w:rPr>
        <w:t xml:space="preserve"> </w:t>
      </w:r>
      <w:r w:rsidR="00C5092E">
        <w:rPr>
          <w:rFonts w:cs="Times New Roman"/>
        </w:rPr>
        <w:t>arising from</w:t>
      </w:r>
      <w:r w:rsidR="009E792C">
        <w:rPr>
          <w:rFonts w:cs="Times New Roman"/>
        </w:rPr>
        <w:t xml:space="preserve"> electron coupled</w:t>
      </w:r>
      <w:r w:rsidR="00C5092E">
        <w:rPr>
          <w:rFonts w:cs="Times New Roman"/>
        </w:rPr>
        <w:t xml:space="preserve"> </w:t>
      </w:r>
      <w:r w:rsidR="000D71BC">
        <w:rPr>
          <w:rFonts w:cs="Times New Roman"/>
        </w:rPr>
        <w:t>proton intercalation</w:t>
      </w:r>
      <w:r w:rsidR="004A0F77">
        <w:rPr>
          <w:rFonts w:cs="Times New Roman"/>
        </w:rPr>
        <w:t>.</w:t>
      </w:r>
    </w:p>
    <w:p w14:paraId="7AE1507E" w14:textId="77777777" w:rsidR="00F12870" w:rsidRDefault="00802CCC" w:rsidP="00434471">
      <w:pPr>
        <w:keepNext/>
        <w:spacing w:after="0"/>
        <w:jc w:val="center"/>
      </w:pPr>
      <w:r>
        <w:rPr>
          <w:rFonts w:cs="Times New Roman"/>
          <w:noProof/>
        </w:rPr>
        <w:drawing>
          <wp:inline distT="0" distB="0" distL="0" distR="0" wp14:anchorId="0A14146D" wp14:editId="6716BD68">
            <wp:extent cx="4998720" cy="1951355"/>
            <wp:effectExtent l="0" t="0" r="0" b="0"/>
            <wp:docPr id="14" name="Picture 1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line chart&#10;&#10;Description automatically generated"/>
                    <pic:cNvPicPr/>
                  </pic:nvPicPr>
                  <pic:blipFill rotWithShape="1">
                    <a:blip r:embed="rId21"/>
                    <a:srcRect l="9587" r="8736"/>
                    <a:stretch/>
                  </pic:blipFill>
                  <pic:spPr bwMode="auto">
                    <a:xfrm>
                      <a:off x="0" y="0"/>
                      <a:ext cx="4998720" cy="1951355"/>
                    </a:xfrm>
                    <a:prstGeom prst="rect">
                      <a:avLst/>
                    </a:prstGeom>
                    <a:ln>
                      <a:noFill/>
                    </a:ln>
                    <a:extLst>
                      <a:ext uri="{53640926-AAD7-44D8-BBD7-CCE9431645EC}">
                        <a14:shadowObscured xmlns:a14="http://schemas.microsoft.com/office/drawing/2010/main"/>
                      </a:ext>
                    </a:extLst>
                  </pic:spPr>
                </pic:pic>
              </a:graphicData>
            </a:graphic>
          </wp:inline>
        </w:drawing>
      </w:r>
    </w:p>
    <w:p w14:paraId="5BCD105C" w14:textId="6F838215" w:rsidR="001551C0" w:rsidRPr="00DF0A68" w:rsidRDefault="00F12870" w:rsidP="00F12870">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13</w:t>
      </w:r>
      <w:r>
        <w:fldChar w:fldCharType="end"/>
      </w:r>
      <w:r>
        <w:t xml:space="preserve">. </w:t>
      </w:r>
      <w:r w:rsidR="00DF0A68">
        <w:rPr>
          <w:b w:val="0"/>
          <w:bCs/>
        </w:rPr>
        <w:t>Graphical procedure for extrapolation of C</w:t>
      </w:r>
      <w:r w:rsidR="00DF0A68">
        <w:rPr>
          <w:b w:val="0"/>
          <w:bCs/>
          <w:vertAlign w:val="subscript"/>
        </w:rPr>
        <w:t>redox</w:t>
      </w:r>
      <w:r w:rsidR="00DF0A68">
        <w:rPr>
          <w:b w:val="0"/>
          <w:bCs/>
        </w:rPr>
        <w:t xml:space="preserve"> of sample </w:t>
      </w:r>
      <w:r w:rsidR="00DF0A68" w:rsidRPr="00DF0A68">
        <w:t>a)</w:t>
      </w:r>
      <w:r w:rsidR="00DF0A68">
        <w:rPr>
          <w:b w:val="0"/>
          <w:bCs/>
        </w:rPr>
        <w:t xml:space="preserve"> PEO-DC and </w:t>
      </w:r>
      <w:r w:rsidR="00DF0A68" w:rsidRPr="00DF0A68">
        <w:t>b)</w:t>
      </w:r>
      <w:r w:rsidR="00DF0A68">
        <w:rPr>
          <w:b w:val="0"/>
          <w:bCs/>
        </w:rPr>
        <w:t xml:space="preserve"> PEO-H-25</w:t>
      </w:r>
    </w:p>
    <w:p w14:paraId="4861E6B3" w14:textId="2516E3BF" w:rsidR="009A4C6B" w:rsidRDefault="00C372C4" w:rsidP="001448A2">
      <w:pPr>
        <w:spacing w:before="240"/>
        <w:rPr>
          <w:rFonts w:cs="Times New Roman"/>
        </w:rPr>
      </w:pPr>
      <w:r>
        <w:rPr>
          <w:rFonts w:cs="Times New Roman"/>
        </w:rPr>
        <w:t>G</w:t>
      </w:r>
      <w:r w:rsidR="001644A2">
        <w:rPr>
          <w:rFonts w:cs="Times New Roman"/>
        </w:rPr>
        <w:t>raphical extrapolation of the low frequency resistance</w:t>
      </w:r>
      <w:r w:rsidR="009A4C6B">
        <w:rPr>
          <w:rFonts w:cs="Times New Roman"/>
        </w:rPr>
        <w:t xml:space="preserve"> (R)</w:t>
      </w:r>
      <w:r w:rsidR="001644A2">
        <w:rPr>
          <w:rFonts w:cs="Times New Roman"/>
        </w:rPr>
        <w:t xml:space="preserve">, determined as the intersection between a virtual vertical line </w:t>
      </w:r>
      <w:r w:rsidR="00332CF5">
        <w:rPr>
          <w:rFonts w:cs="Times New Roman"/>
        </w:rPr>
        <w:t xml:space="preserve">fitting data </w:t>
      </w:r>
      <w:r w:rsidR="006D739B">
        <w:rPr>
          <w:rFonts w:cs="Times New Roman"/>
        </w:rPr>
        <w:t>in the charge saturation regime</w:t>
      </w:r>
      <w:r w:rsidR="001644A2">
        <w:rPr>
          <w:rFonts w:cs="Times New Roman"/>
        </w:rPr>
        <w:t xml:space="preserve"> and the real impedance axis</w:t>
      </w:r>
      <w:r w:rsidR="003A125F">
        <w:rPr>
          <w:rFonts w:cs="Times New Roman"/>
        </w:rPr>
        <w:t>,</w:t>
      </w:r>
      <w:r w:rsidR="006750AA">
        <w:rPr>
          <w:rFonts w:cs="Times New Roman"/>
        </w:rPr>
        <w:t xml:space="preserve"> inserted in</w:t>
      </w:r>
      <w:r w:rsidR="001644A2">
        <w:rPr>
          <w:rFonts w:cs="Times New Roman"/>
        </w:rPr>
        <w:t xml:space="preserve"> </w:t>
      </w:r>
      <w:r w:rsidR="001644A2" w:rsidRPr="003A125F">
        <w:rPr>
          <w:rFonts w:cs="Times New Roman"/>
          <w:b/>
          <w:bCs/>
        </w:rPr>
        <w:t xml:space="preserve">Eq. </w:t>
      </w:r>
      <w:r w:rsidR="005D0206">
        <w:rPr>
          <w:rFonts w:cs="Times New Roman"/>
          <w:b/>
          <w:bCs/>
        </w:rPr>
        <w:t>4</w:t>
      </w:r>
      <w:r w:rsidR="001644A2">
        <w:rPr>
          <w:rFonts w:cs="Times New Roman"/>
        </w:rPr>
        <w:t xml:space="preserve"> </w:t>
      </w:r>
      <w:r w:rsidR="006750AA">
        <w:rPr>
          <w:rFonts w:cs="Times New Roman"/>
        </w:rPr>
        <w:t>is</w:t>
      </w:r>
      <w:r w:rsidR="001644A2">
        <w:rPr>
          <w:rFonts w:cs="Times New Roman"/>
        </w:rPr>
        <w:t xml:space="preserve"> used to evaluate </w:t>
      </w:r>
      <w:r w:rsidR="003A125F">
        <w:rPr>
          <w:rFonts w:cs="Times New Roman"/>
        </w:rPr>
        <w:t>H</w:t>
      </w:r>
      <w:r w:rsidR="003A125F">
        <w:rPr>
          <w:rFonts w:cs="Times New Roman"/>
          <w:vertAlign w:val="superscript"/>
        </w:rPr>
        <w:t>+</w:t>
      </w:r>
      <w:r w:rsidR="001644A2">
        <w:rPr>
          <w:rFonts w:cs="Times New Roman"/>
        </w:rPr>
        <w:t xml:space="preserve"> diffusion coefficient inside th</w:t>
      </w:r>
      <w:r w:rsidR="00C013C3">
        <w:rPr>
          <w:rFonts w:cs="Times New Roman"/>
        </w:rPr>
        <w:t>e barrier layer</w:t>
      </w:r>
      <w:r w:rsidR="003A125F">
        <w:rPr>
          <w:rFonts w:cs="Times New Roman"/>
        </w:rPr>
        <w:t xml:space="preserve"> </w:t>
      </w:r>
      <w:r w:rsidR="00E801BC">
        <w:rPr>
          <w:rFonts w:cs="Times New Roman"/>
        </w:rPr>
        <w:t>of length “l”</w:t>
      </w:r>
      <w:r w:rsidR="009A4C6B">
        <w:rPr>
          <w:rFonts w:cs="Times New Roman"/>
        </w:rPr>
        <w:t>:</w:t>
      </w:r>
    </w:p>
    <w:p w14:paraId="3990BBED" w14:textId="7A03EECB" w:rsidR="009A4C6B" w:rsidRPr="00D47FE6" w:rsidRDefault="00B63CF9" w:rsidP="00B84EF3">
      <w:pPr>
        <w:rPr>
          <w:rFonts w:eastAsiaTheme="minorEastAsia" w:cs="Times New Roman"/>
        </w:rPr>
      </w:pPr>
      <m:oMath>
        <m:sSup>
          <m:sSupPr>
            <m:ctrlPr>
              <w:rPr>
                <w:rFonts w:ascii="Cambria Math" w:hAnsi="Cambria Math" w:cs="Times New Roman"/>
                <w:i/>
              </w:rPr>
            </m:ctrlPr>
          </m:sSupPr>
          <m:e>
            <m:r>
              <w:rPr>
                <w:rFonts w:ascii="Cambria Math" w:hAnsi="Cambria Math" w:cs="Times New Roman"/>
              </w:rPr>
              <m:t>D</m:t>
            </m:r>
          </m:e>
          <m:sup>
            <m:sSup>
              <m:sSupPr>
                <m:ctrlPr>
                  <w:rPr>
                    <w:rFonts w:ascii="Cambria Math" w:hAnsi="Cambria Math" w:cs="Times New Roman"/>
                    <w:i/>
                  </w:rPr>
                </m:ctrlPr>
              </m:sSupPr>
              <m:e>
                <m:r>
                  <w:rPr>
                    <w:rFonts w:ascii="Cambria Math" w:hAnsi="Cambria Math" w:cs="Times New Roman"/>
                  </w:rPr>
                  <m:t>H</m:t>
                </m:r>
              </m:e>
              <m:sup>
                <m:r>
                  <w:rPr>
                    <w:rFonts w:ascii="Cambria Math" w:hAnsi="Cambria Math" w:cs="Times New Roman"/>
                  </w:rPr>
                  <m:t>+</m:t>
                </m:r>
              </m:sup>
            </m:sSup>
          </m:sup>
        </m:sSup>
        <m:r>
          <w:rPr>
            <w:rFonts w:ascii="Cambria Math" w:hAnsi="Cambria Math" w:cs="Times New Roman"/>
          </w:rPr>
          <m:t>=</m:t>
        </m:r>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l</m:t>
                </m:r>
              </m:e>
              <m:sup>
                <m:r>
                  <w:rPr>
                    <w:rFonts w:ascii="Cambria Math" w:hAnsi="Cambria Math" w:cs="Times New Roman"/>
                  </w:rPr>
                  <m:t>2</m:t>
                </m:r>
              </m:sup>
            </m:sSup>
          </m:num>
          <m:den>
            <m:r>
              <w:rPr>
                <w:rFonts w:ascii="Cambria Math" w:hAnsi="Cambria Math" w:cs="Times New Roman"/>
              </w:rPr>
              <m:t>3</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redox</m:t>
                </m:r>
              </m:sub>
            </m:sSub>
            <m:r>
              <w:rPr>
                <w:rFonts w:ascii="Cambria Math" w:hAnsi="Cambria Math" w:cs="Times New Roman"/>
              </w:rPr>
              <m:t>R</m:t>
            </m:r>
          </m:den>
        </m:f>
      </m:oMath>
      <w:r w:rsidR="009A4C6B">
        <w:rPr>
          <w:rFonts w:eastAsiaTheme="minorEastAsia" w:cs="Times New Roman"/>
        </w:rPr>
        <w:tab/>
      </w:r>
      <w:r w:rsidR="009A4C6B">
        <w:rPr>
          <w:rFonts w:eastAsiaTheme="minorEastAsia" w:cs="Times New Roman"/>
        </w:rPr>
        <w:tab/>
      </w:r>
      <w:r w:rsidR="009A4C6B">
        <w:rPr>
          <w:rFonts w:eastAsiaTheme="minorEastAsia" w:cs="Times New Roman"/>
        </w:rPr>
        <w:tab/>
      </w:r>
      <w:r w:rsidR="009A4C6B">
        <w:rPr>
          <w:rFonts w:eastAsiaTheme="minorEastAsia" w:cs="Times New Roman"/>
        </w:rPr>
        <w:tab/>
      </w:r>
      <w:r w:rsidR="009A4C6B">
        <w:rPr>
          <w:rFonts w:eastAsiaTheme="minorEastAsia" w:cs="Times New Roman"/>
        </w:rPr>
        <w:tab/>
      </w:r>
      <w:r w:rsidR="009A4C6B">
        <w:rPr>
          <w:rFonts w:eastAsiaTheme="minorEastAsia" w:cs="Times New Roman"/>
        </w:rPr>
        <w:tab/>
      </w:r>
      <w:r w:rsidR="009A4C6B">
        <w:rPr>
          <w:rFonts w:eastAsiaTheme="minorEastAsia" w:cs="Times New Roman"/>
        </w:rPr>
        <w:tab/>
      </w:r>
      <w:r w:rsidR="009A4C6B">
        <w:rPr>
          <w:rFonts w:eastAsiaTheme="minorEastAsia" w:cs="Times New Roman"/>
        </w:rPr>
        <w:tab/>
      </w:r>
      <w:r w:rsidR="009A4C6B">
        <w:rPr>
          <w:rFonts w:eastAsiaTheme="minorEastAsia" w:cs="Times New Roman"/>
        </w:rPr>
        <w:tab/>
      </w:r>
      <w:r w:rsidR="00D47FE6">
        <w:rPr>
          <w:rFonts w:eastAsiaTheme="minorEastAsia" w:cs="Times New Roman"/>
        </w:rPr>
        <w:t xml:space="preserve">  </w:t>
      </w:r>
      <w:r w:rsidR="00D47FE6">
        <w:rPr>
          <w:rFonts w:eastAsiaTheme="minorEastAsia" w:cs="Times New Roman"/>
        </w:rPr>
        <w:tab/>
        <w:t xml:space="preserve">           (</w:t>
      </w:r>
      <w:r w:rsidR="005D0206">
        <w:rPr>
          <w:rFonts w:eastAsiaTheme="minorEastAsia" w:cs="Times New Roman"/>
        </w:rPr>
        <w:t>4</w:t>
      </w:r>
      <w:r w:rsidR="00D47FE6">
        <w:rPr>
          <w:rFonts w:eastAsiaTheme="minorEastAsia" w:cs="Times New Roman"/>
        </w:rPr>
        <w:t>)</w:t>
      </w:r>
    </w:p>
    <w:p w14:paraId="57561291" w14:textId="3D731B28" w:rsidR="00954C65" w:rsidRDefault="007707B2" w:rsidP="00B84EF3">
      <w:pPr>
        <w:rPr>
          <w:rFonts w:cs="Times New Roman"/>
        </w:rPr>
      </w:pPr>
      <w:r>
        <w:rPr>
          <w:rFonts w:cs="Times New Roman"/>
        </w:rPr>
        <w:t xml:space="preserve"> providing </w:t>
      </w:r>
      <w:r w:rsidR="005E1109">
        <w:rPr>
          <w:rFonts w:cs="Times New Roman"/>
        </w:rPr>
        <w:t>slightly different</w:t>
      </w:r>
      <w:r w:rsidR="00954C65">
        <w:rPr>
          <w:rFonts w:cs="Times New Roman"/>
        </w:rPr>
        <w:t xml:space="preserve"> values for both electrodes:</w:t>
      </w:r>
    </w:p>
    <w:p w14:paraId="4E28DA2E" w14:textId="4FF7DE46" w:rsidR="00EE7811" w:rsidRPr="0099725A" w:rsidRDefault="00B63CF9" w:rsidP="00EE7811">
      <w:pPr>
        <w:pStyle w:val="ListParagraph"/>
        <w:numPr>
          <w:ilvl w:val="0"/>
          <w:numId w:val="8"/>
        </w:numPr>
        <w:rPr>
          <w:rFonts w:cs="Times New Roman"/>
        </w:rPr>
      </w:pPr>
      <m:oMath>
        <m:sSubSup>
          <m:sSubSupPr>
            <m:ctrlPr>
              <w:rPr>
                <w:rFonts w:ascii="Cambria Math" w:hAnsi="Cambria Math" w:cs="Times New Roman"/>
                <w:i/>
              </w:rPr>
            </m:ctrlPr>
          </m:sSubSupPr>
          <m:e>
            <m:r>
              <w:rPr>
                <w:rFonts w:ascii="Cambria Math" w:hAnsi="Cambria Math" w:cs="Times New Roman"/>
              </w:rPr>
              <m:t>D</m:t>
            </m:r>
          </m:e>
          <m:sub>
            <m:r>
              <w:rPr>
                <w:rFonts w:ascii="Cambria Math" w:hAnsi="Cambria Math" w:cs="Times New Roman"/>
              </w:rPr>
              <m:t>PEO-DC</m:t>
            </m:r>
          </m:sub>
          <m:sup>
            <m:r>
              <w:rPr>
                <w:rFonts w:ascii="Cambria Math" w:hAnsi="Cambria Math" w:cs="Times New Roman"/>
              </w:rPr>
              <m:t>EIS</m:t>
            </m:r>
          </m:sup>
        </m:sSubSup>
        <m:r>
          <w:rPr>
            <w:rFonts w:ascii="Cambria Math" w:hAnsi="Cambria Math" w:cs="Times New Roman"/>
          </w:rPr>
          <m:t>=2.61±0.31∙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-11</m:t>
            </m:r>
          </m:sup>
        </m:sSup>
        <m:r>
          <w:rPr>
            <w:rFonts w:ascii="Cambria Math" w:hAnsi="Cambria Math" w:cs="Times New Roman"/>
          </w:rPr>
          <m:t xml:space="preserve"> </m:t>
        </m:r>
        <m:sSup>
          <m:sSupPr>
            <m:ctrlPr>
              <w:rPr>
                <w:rFonts w:ascii="Cambria Math" w:hAnsi="Cambria Math" w:cs="Times New Roman"/>
                <w:i/>
              </w:rPr>
            </m:ctrlPr>
          </m:sSupPr>
          <m:e>
            <m:r>
              <w:rPr>
                <w:rFonts w:ascii="Cambria Math" w:hAnsi="Cambria Math" w:cs="Times New Roman"/>
              </w:rPr>
              <m:t>cm</m:t>
            </m:r>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-1</m:t>
            </m:r>
          </m:sup>
        </m:sSup>
      </m:oMath>
    </w:p>
    <w:p w14:paraId="6258FE9C" w14:textId="4D1B51E8" w:rsidR="0099725A" w:rsidRPr="00130ACB" w:rsidRDefault="00B63CF9" w:rsidP="0099725A">
      <w:pPr>
        <w:pStyle w:val="ListParagraph"/>
        <w:numPr>
          <w:ilvl w:val="0"/>
          <w:numId w:val="8"/>
        </w:numPr>
        <w:rPr>
          <w:rFonts w:cs="Times New Roman"/>
        </w:rPr>
      </w:pPr>
      <m:oMath>
        <m:sSubSup>
          <m:sSubSupPr>
            <m:ctrlPr>
              <w:rPr>
                <w:rFonts w:ascii="Cambria Math" w:hAnsi="Cambria Math" w:cs="Times New Roman"/>
                <w:i/>
              </w:rPr>
            </m:ctrlPr>
          </m:sSubSupPr>
          <m:e>
            <m:r>
              <w:rPr>
                <w:rFonts w:ascii="Cambria Math" w:hAnsi="Cambria Math" w:cs="Times New Roman"/>
              </w:rPr>
              <m:t>D</m:t>
            </m:r>
          </m:e>
          <m:sub>
            <m:r>
              <w:rPr>
                <w:rFonts w:ascii="Cambria Math" w:hAnsi="Cambria Math" w:cs="Times New Roman"/>
              </w:rPr>
              <m:t>PEO-H-25</m:t>
            </m:r>
          </m:sub>
          <m:sup>
            <m:r>
              <w:rPr>
                <w:rFonts w:ascii="Cambria Math" w:hAnsi="Cambria Math" w:cs="Times New Roman"/>
              </w:rPr>
              <m:t>EIS</m:t>
            </m:r>
          </m:sup>
        </m:sSubSup>
        <m:r>
          <w:rPr>
            <w:rFonts w:ascii="Cambria Math" w:hAnsi="Cambria Math" w:cs="Times New Roman"/>
          </w:rPr>
          <m:t>=8.51±0.87∙</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-12</m:t>
            </m:r>
          </m:sup>
        </m:sSup>
        <m:r>
          <w:rPr>
            <w:rFonts w:ascii="Cambria Math" w:hAnsi="Cambria Math" w:cs="Times New Roman"/>
          </w:rPr>
          <m:t xml:space="preserve"> </m:t>
        </m:r>
        <m:sSup>
          <m:sSupPr>
            <m:ctrlPr>
              <w:rPr>
                <w:rFonts w:ascii="Cambria Math" w:hAnsi="Cambria Math" w:cs="Times New Roman"/>
                <w:i/>
              </w:rPr>
            </m:ctrlPr>
          </m:sSupPr>
          <m:e>
            <m:r>
              <w:rPr>
                <w:rFonts w:ascii="Cambria Math" w:hAnsi="Cambria Math" w:cs="Times New Roman"/>
              </w:rPr>
              <m:t>cm</m:t>
            </m:r>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-1</m:t>
            </m:r>
          </m:sup>
        </m:sSup>
      </m:oMath>
    </w:p>
    <w:p w14:paraId="50233EF7" w14:textId="60EF7EAE" w:rsidR="00231B9A" w:rsidRDefault="00A375A2" w:rsidP="00130ACB">
      <w:pPr>
        <w:rPr>
          <w:rFonts w:cs="Times New Roman"/>
        </w:rPr>
      </w:pPr>
      <w:r>
        <w:rPr>
          <w:rFonts w:cs="Times New Roman"/>
        </w:rPr>
        <w:t>Diffusion coefficient extraction was done considering EIS tests performed in correspondence of the active-passive transition region</w:t>
      </w:r>
      <w:r w:rsidR="00666F8E">
        <w:rPr>
          <w:rFonts w:cs="Times New Roman"/>
        </w:rPr>
        <w:t xml:space="preserve"> highlighted in </w:t>
      </w:r>
      <w:r w:rsidR="00666F8E" w:rsidRPr="00666F8E">
        <w:rPr>
          <w:rFonts w:cs="Times New Roman"/>
          <w:b/>
          <w:bCs/>
        </w:rPr>
        <w:t>Fig. 6</w:t>
      </w:r>
      <w:r w:rsidR="007F0FA2">
        <w:rPr>
          <w:rFonts w:cs="Times New Roman"/>
        </w:rPr>
        <w:t xml:space="preserve"> where effective proton intercalation was</w:t>
      </w:r>
      <w:r w:rsidR="006750AA">
        <w:rPr>
          <w:rFonts w:cs="Times New Roman"/>
        </w:rPr>
        <w:t xml:space="preserve"> thermodynamically</w:t>
      </w:r>
      <w:r w:rsidR="007F0FA2">
        <w:rPr>
          <w:rFonts w:cs="Times New Roman"/>
        </w:rPr>
        <w:t xml:space="preserve"> feasible</w:t>
      </w:r>
      <w:r>
        <w:rPr>
          <w:rFonts w:cs="Times New Roman"/>
        </w:rPr>
        <w:t xml:space="preserve">. To confirm </w:t>
      </w:r>
      <w:r w:rsidR="00011323">
        <w:rPr>
          <w:rFonts w:cs="Times New Roman"/>
        </w:rPr>
        <w:t xml:space="preserve">the </w:t>
      </w:r>
      <w:r>
        <w:rPr>
          <w:rFonts w:cs="Times New Roman"/>
        </w:rPr>
        <w:t xml:space="preserve">solid-state </w:t>
      </w:r>
      <w:r w:rsidR="001528F6">
        <w:rPr>
          <w:rFonts w:cs="Times New Roman"/>
        </w:rPr>
        <w:t>nature</w:t>
      </w:r>
      <w:r w:rsidR="000920E1">
        <w:rPr>
          <w:rFonts w:cs="Times New Roman"/>
        </w:rPr>
        <w:t xml:space="preserve"> of the diffusion process</w:t>
      </w:r>
      <w:r w:rsidR="001528F6">
        <w:rPr>
          <w:rFonts w:cs="Times New Roman"/>
        </w:rPr>
        <w:t xml:space="preserve"> </w:t>
      </w:r>
      <w:r>
        <w:rPr>
          <w:rFonts w:cs="Times New Roman"/>
        </w:rPr>
        <w:t xml:space="preserve">the </w:t>
      </w:r>
      <w:r w:rsidR="004D3E42">
        <w:rPr>
          <w:rFonts w:cs="Times New Roman"/>
        </w:rPr>
        <w:t>procedure was repeated</w:t>
      </w:r>
      <w:r>
        <w:rPr>
          <w:rFonts w:cs="Times New Roman"/>
        </w:rPr>
        <w:t xml:space="preserve"> considering solution stirring</w:t>
      </w:r>
      <w:r w:rsidR="00D307C4">
        <w:rPr>
          <w:rFonts w:cs="Times New Roman"/>
        </w:rPr>
        <w:t xml:space="preserve"> and</w:t>
      </w:r>
      <w:r w:rsidR="005F7371">
        <w:rPr>
          <w:rFonts w:cs="Times New Roman"/>
        </w:rPr>
        <w:t xml:space="preserve"> </w:t>
      </w:r>
      <w:r w:rsidR="00875266">
        <w:rPr>
          <w:rFonts w:cs="Times New Roman"/>
        </w:rPr>
        <w:t>deviations</w:t>
      </w:r>
      <w:r>
        <w:rPr>
          <w:rFonts w:cs="Times New Roman"/>
        </w:rPr>
        <w:t xml:space="preserve"> inside the experimental error</w:t>
      </w:r>
      <w:r w:rsidR="00D307C4">
        <w:rPr>
          <w:rFonts w:cs="Times New Roman"/>
        </w:rPr>
        <w:t xml:space="preserve"> were obtained</w:t>
      </w:r>
      <w:r>
        <w:rPr>
          <w:rFonts w:cs="Times New Roman"/>
        </w:rPr>
        <w:t>.</w:t>
      </w:r>
    </w:p>
    <w:p w14:paraId="590FF7AF" w14:textId="38F3AC1E" w:rsidR="00D2787A" w:rsidRPr="00433E11" w:rsidRDefault="00332E35" w:rsidP="00130ACB">
      <w:pPr>
        <w:rPr>
          <w:rFonts w:cs="Times New Roman"/>
        </w:rPr>
      </w:pPr>
      <w:r w:rsidRPr="006750AA">
        <w:rPr>
          <w:rFonts w:cs="Times New Roman"/>
        </w:rPr>
        <w:t>The value of</w:t>
      </w:r>
      <w:r w:rsidR="00D2787A" w:rsidRPr="006750AA">
        <w:rPr>
          <w:rFonts w:cs="Times New Roman"/>
        </w:rPr>
        <w:t xml:space="preserve"> C</w:t>
      </w:r>
      <w:r w:rsidR="00D2787A" w:rsidRPr="006750AA">
        <w:rPr>
          <w:rFonts w:cs="Times New Roman"/>
          <w:vertAlign w:val="subscript"/>
        </w:rPr>
        <w:t>redox</w:t>
      </w:r>
      <w:r w:rsidR="00D2787A" w:rsidRPr="006750AA">
        <w:rPr>
          <w:rFonts w:cs="Times New Roman"/>
        </w:rPr>
        <w:t xml:space="preserve"> extracted </w:t>
      </w:r>
      <w:r w:rsidR="00BE17A4" w:rsidRPr="006750AA">
        <w:rPr>
          <w:rFonts w:cs="Times New Roman"/>
        </w:rPr>
        <w:t xml:space="preserve">according to previous </w:t>
      </w:r>
      <w:r w:rsidR="00652C54">
        <w:rPr>
          <w:rFonts w:cs="Times New Roman"/>
        </w:rPr>
        <w:t>method,</w:t>
      </w:r>
      <w:r w:rsidR="00BE17A4" w:rsidRPr="006750AA">
        <w:rPr>
          <w:rFonts w:cs="Times New Roman"/>
        </w:rPr>
        <w:t xml:space="preserve"> </w:t>
      </w:r>
      <w:r w:rsidR="00C06F1F">
        <w:rPr>
          <w:rFonts w:cs="Times New Roman"/>
        </w:rPr>
        <w:t>applied on data collected</w:t>
      </w:r>
      <w:r w:rsidR="001E0CAD" w:rsidRPr="006750AA">
        <w:rPr>
          <w:rFonts w:cs="Times New Roman"/>
        </w:rPr>
        <w:t xml:space="preserve"> immediately</w:t>
      </w:r>
      <w:r w:rsidRPr="006750AA">
        <w:rPr>
          <w:rFonts w:cs="Times New Roman"/>
        </w:rPr>
        <w:t xml:space="preserve"> </w:t>
      </w:r>
      <w:r w:rsidR="00C06F1F">
        <w:rPr>
          <w:rFonts w:cs="Times New Roman"/>
        </w:rPr>
        <w:t>before</w:t>
      </w:r>
      <w:r w:rsidRPr="006750AA">
        <w:rPr>
          <w:rFonts w:cs="Times New Roman"/>
        </w:rPr>
        <w:t xml:space="preserve"> oxide debonding</w:t>
      </w:r>
      <w:r w:rsidR="00652C54">
        <w:rPr>
          <w:rFonts w:cs="Times New Roman"/>
        </w:rPr>
        <w:t>,</w:t>
      </w:r>
      <w:r w:rsidRPr="006750AA">
        <w:rPr>
          <w:rFonts w:cs="Times New Roman"/>
        </w:rPr>
        <w:t xml:space="preserve"> can be used to evaluate the</w:t>
      </w:r>
      <w:r w:rsidR="005B2DE1" w:rsidRPr="006750AA">
        <w:rPr>
          <w:rFonts w:cs="Times New Roman"/>
        </w:rPr>
        <w:t xml:space="preserve"> number of</w:t>
      </w:r>
      <w:r w:rsidRPr="006750AA">
        <w:rPr>
          <w:rFonts w:cs="Times New Roman"/>
        </w:rPr>
        <w:t xml:space="preserve"> charge</w:t>
      </w:r>
      <w:r w:rsidR="005B2DE1" w:rsidRPr="006750AA">
        <w:rPr>
          <w:rFonts w:cs="Times New Roman"/>
        </w:rPr>
        <w:t>s</w:t>
      </w:r>
      <w:r w:rsidRPr="006750AA">
        <w:rPr>
          <w:rFonts w:cs="Times New Roman"/>
        </w:rPr>
        <w:t xml:space="preserve"> accumulated </w:t>
      </w:r>
      <w:r w:rsidR="00247727" w:rsidRPr="006750AA">
        <w:rPr>
          <w:rFonts w:cs="Times New Roman"/>
        </w:rPr>
        <w:t>during</w:t>
      </w:r>
      <w:r w:rsidR="00BE17A4" w:rsidRPr="006750AA">
        <w:rPr>
          <w:rFonts w:cs="Times New Roman"/>
        </w:rPr>
        <w:t xml:space="preserve"> the overall</w:t>
      </w:r>
      <w:r w:rsidR="00247727" w:rsidRPr="006750AA">
        <w:rPr>
          <w:rFonts w:cs="Times New Roman"/>
        </w:rPr>
        <w:t xml:space="preserve"> oxide reduction</w:t>
      </w:r>
      <w:r w:rsidR="00BE17A4" w:rsidRPr="006750AA">
        <w:rPr>
          <w:rFonts w:cs="Times New Roman"/>
        </w:rPr>
        <w:t xml:space="preserve"> process.</w:t>
      </w:r>
      <w:r w:rsidR="006E768E" w:rsidRPr="006750AA">
        <w:rPr>
          <w:rFonts w:cs="Times New Roman"/>
        </w:rPr>
        <w:t xml:space="preserve"> </w:t>
      </w:r>
      <w:r w:rsidR="00BE17A4" w:rsidRPr="006750AA">
        <w:rPr>
          <w:rFonts w:cs="Times New Roman"/>
        </w:rPr>
        <w:t>C</w:t>
      </w:r>
      <w:r w:rsidR="006E768E" w:rsidRPr="006750AA">
        <w:rPr>
          <w:rFonts w:cs="Times New Roman"/>
        </w:rPr>
        <w:t xml:space="preserve">onsidering </w:t>
      </w:r>
      <w:r w:rsidR="001449F1" w:rsidRPr="006750AA">
        <w:rPr>
          <w:rFonts w:cs="Times New Roman"/>
        </w:rPr>
        <w:t>an</w:t>
      </w:r>
      <w:r w:rsidR="006E768E" w:rsidRPr="006750AA">
        <w:rPr>
          <w:rFonts w:cs="Times New Roman"/>
        </w:rPr>
        <w:t xml:space="preserve"> excitation potential</w:t>
      </w:r>
      <w:r w:rsidR="00217FEE" w:rsidRPr="006750AA">
        <w:rPr>
          <w:rFonts w:cs="Times New Roman"/>
        </w:rPr>
        <w:t>,</w:t>
      </w:r>
      <w:r w:rsidR="006E768E" w:rsidRPr="006750AA">
        <w:rPr>
          <w:rFonts w:cs="Times New Roman"/>
        </w:rPr>
        <w:t xml:space="preserve"> used during EIS</w:t>
      </w:r>
      <w:r w:rsidR="00217FEE" w:rsidRPr="006750AA">
        <w:rPr>
          <w:rFonts w:cs="Times New Roman"/>
        </w:rPr>
        <w:t>, of</w:t>
      </w:r>
      <w:r w:rsidR="006E768E" w:rsidRPr="006750AA">
        <w:rPr>
          <w:rFonts w:cs="Times New Roman"/>
        </w:rPr>
        <w:t xml:space="preserve"> 10 mV</w:t>
      </w:r>
      <w:r w:rsidR="006E768E" w:rsidRPr="006750AA">
        <w:rPr>
          <w:rFonts w:cs="Times New Roman"/>
          <w:vertAlign w:val="subscript"/>
        </w:rPr>
        <w:t>rms</w:t>
      </w:r>
      <w:r w:rsidR="006B6285" w:rsidRPr="006750AA">
        <w:rPr>
          <w:rFonts w:cs="Times New Roman"/>
        </w:rPr>
        <w:t xml:space="preserve"> </w:t>
      </w:r>
      <w:r w:rsidR="003B4751" w:rsidRPr="006750AA">
        <w:rPr>
          <w:rFonts w:cs="Times New Roman"/>
        </w:rPr>
        <w:lastRenderedPageBreak/>
        <w:t>1.66·10</w:t>
      </w:r>
      <w:r w:rsidR="003B4751" w:rsidRPr="006750AA">
        <w:rPr>
          <w:rFonts w:cs="Times New Roman"/>
          <w:vertAlign w:val="superscript"/>
        </w:rPr>
        <w:t xml:space="preserve">15 </w:t>
      </w:r>
      <w:r w:rsidR="003B4751" w:rsidRPr="006750AA">
        <w:rPr>
          <w:rFonts w:cs="Times New Roman"/>
        </w:rPr>
        <w:t>and 3.412·10</w:t>
      </w:r>
      <w:r w:rsidR="003B4751" w:rsidRPr="006750AA">
        <w:rPr>
          <w:rFonts w:cs="Times New Roman"/>
          <w:vertAlign w:val="superscript"/>
        </w:rPr>
        <w:t>16</w:t>
      </w:r>
      <w:r w:rsidR="00490CC9" w:rsidRPr="006750AA">
        <w:rPr>
          <w:rFonts w:cs="Times New Roman"/>
        </w:rPr>
        <w:t xml:space="preserve"> </w:t>
      </w:r>
      <w:r w:rsidR="0029346E" w:rsidRPr="006750AA">
        <w:rPr>
          <w:rFonts w:cs="Times New Roman"/>
        </w:rPr>
        <w:t>H</w:t>
      </w:r>
      <w:r w:rsidR="0029346E" w:rsidRPr="006750AA">
        <w:rPr>
          <w:rFonts w:cs="Times New Roman"/>
          <w:vertAlign w:val="superscript"/>
        </w:rPr>
        <w:t>+</w:t>
      </w:r>
      <w:r w:rsidR="00490CC9" w:rsidRPr="006750AA">
        <w:rPr>
          <w:rFonts w:cs="Times New Roman"/>
        </w:rPr>
        <w:t xml:space="preserve"> </w:t>
      </w:r>
      <w:r w:rsidR="0029346E" w:rsidRPr="006750AA">
        <w:rPr>
          <w:rFonts w:cs="Times New Roman"/>
        </w:rPr>
        <w:t>intercalated inside</w:t>
      </w:r>
      <w:r w:rsidR="00490CC9" w:rsidRPr="006750AA">
        <w:rPr>
          <w:rFonts w:cs="Times New Roman"/>
        </w:rPr>
        <w:t xml:space="preserve"> PEO-DC and PEO-H-25.</w:t>
      </w:r>
      <w:r w:rsidR="00F45CDB" w:rsidRPr="006750AA">
        <w:rPr>
          <w:rFonts w:cs="Times New Roman"/>
        </w:rPr>
        <w:t xml:space="preserve"> With the aim of evaluating the number of Ti</w:t>
      </w:r>
      <w:r w:rsidR="00F45CDB" w:rsidRPr="006750AA">
        <w:rPr>
          <w:rFonts w:cs="Times New Roman"/>
          <w:vertAlign w:val="superscript"/>
        </w:rPr>
        <w:t>4+</w:t>
      </w:r>
      <w:r w:rsidR="00F45CDB" w:rsidRPr="006750AA">
        <w:rPr>
          <w:rFonts w:cs="Times New Roman"/>
        </w:rPr>
        <w:t xml:space="preserve"> reduced during immersion</w:t>
      </w:r>
      <w:r w:rsidR="00422E4E">
        <w:rPr>
          <w:rFonts w:cs="Times New Roman"/>
        </w:rPr>
        <w:t xml:space="preserve"> in the acid</w:t>
      </w:r>
      <w:r w:rsidR="009A6F49" w:rsidRPr="006750AA">
        <w:rPr>
          <w:rFonts w:cs="Times New Roman"/>
        </w:rPr>
        <w:t xml:space="preserve"> </w:t>
      </w:r>
      <w:r w:rsidR="008C2231" w:rsidRPr="006750AA">
        <w:rPr>
          <w:rFonts w:cs="Times New Roman"/>
        </w:rPr>
        <w:t xml:space="preserve">it is possible to roughly </w:t>
      </w:r>
      <w:r w:rsidR="003A21BF" w:rsidRPr="006750AA">
        <w:rPr>
          <w:rFonts w:cs="Times New Roman"/>
        </w:rPr>
        <w:t>consider</w:t>
      </w:r>
      <w:r w:rsidR="0088030F" w:rsidRPr="006750AA">
        <w:rPr>
          <w:rFonts w:cs="Times New Roman"/>
        </w:rPr>
        <w:t xml:space="preserve"> (see calculation</w:t>
      </w:r>
      <w:r w:rsidR="008C4130" w:rsidRPr="006750AA">
        <w:rPr>
          <w:rFonts w:cs="Times New Roman"/>
        </w:rPr>
        <w:t>s</w:t>
      </w:r>
      <w:r w:rsidR="0088030F" w:rsidRPr="006750AA">
        <w:rPr>
          <w:rFonts w:cs="Times New Roman"/>
        </w:rPr>
        <w:t xml:space="preserve"> in Supp</w:t>
      </w:r>
      <w:r w:rsidR="00946C25">
        <w:rPr>
          <w:rFonts w:cs="Times New Roman"/>
        </w:rPr>
        <w:t>lementary material</w:t>
      </w:r>
      <w:r w:rsidR="0088030F" w:rsidRPr="006750AA">
        <w:rPr>
          <w:rFonts w:cs="Times New Roman"/>
        </w:rPr>
        <w:t>)</w:t>
      </w:r>
      <w:r w:rsidR="008C2231" w:rsidRPr="006750AA">
        <w:rPr>
          <w:rFonts w:cs="Times New Roman"/>
        </w:rPr>
        <w:t xml:space="preserve"> the</w:t>
      </w:r>
      <w:r w:rsidR="00BC7822" w:rsidRPr="006750AA">
        <w:rPr>
          <w:rFonts w:cs="Times New Roman"/>
        </w:rPr>
        <w:t xml:space="preserve"> total</w:t>
      </w:r>
      <w:r w:rsidR="008C2231" w:rsidRPr="006750AA">
        <w:rPr>
          <w:rFonts w:cs="Times New Roman"/>
        </w:rPr>
        <w:t xml:space="preserve"> number of Ti</w:t>
      </w:r>
      <w:r w:rsidR="008C2231" w:rsidRPr="006750AA">
        <w:rPr>
          <w:rFonts w:cs="Times New Roman"/>
          <w:vertAlign w:val="superscript"/>
        </w:rPr>
        <w:t>4+</w:t>
      </w:r>
      <w:r w:rsidR="008C2231" w:rsidRPr="006750AA">
        <w:rPr>
          <w:rFonts w:cs="Times New Roman"/>
        </w:rPr>
        <w:t xml:space="preserve"> centers</w:t>
      </w:r>
      <w:r w:rsidR="00691C5E" w:rsidRPr="006750AA">
        <w:rPr>
          <w:rFonts w:cs="Times New Roman"/>
        </w:rPr>
        <w:t xml:space="preserve"> </w:t>
      </w:r>
      <w:r w:rsidR="00BC7822" w:rsidRPr="006750AA">
        <w:rPr>
          <w:rFonts w:cs="Times New Roman"/>
        </w:rPr>
        <w:t>assuming</w:t>
      </w:r>
      <w:r w:rsidR="00031304" w:rsidRPr="006750AA">
        <w:rPr>
          <w:rFonts w:cs="Times New Roman"/>
        </w:rPr>
        <w:t xml:space="preserve"> PEO-H-25</w:t>
      </w:r>
      <w:r w:rsidR="0088030F" w:rsidRPr="006750AA">
        <w:rPr>
          <w:rFonts w:cs="Times New Roman"/>
        </w:rPr>
        <w:t xml:space="preserve"> barrier region</w:t>
      </w:r>
      <w:r w:rsidR="00031304" w:rsidRPr="006750AA">
        <w:rPr>
          <w:rFonts w:cs="Times New Roman"/>
        </w:rPr>
        <w:t xml:space="preserve"> </w:t>
      </w:r>
      <w:r w:rsidR="00C8497C" w:rsidRPr="006750AA">
        <w:rPr>
          <w:rFonts w:cs="Times New Roman"/>
        </w:rPr>
        <w:t xml:space="preserve">to have similar crystal cell parameters </w:t>
      </w:r>
      <w:r w:rsidR="00C06F1F">
        <w:rPr>
          <w:rFonts w:cs="Times New Roman"/>
        </w:rPr>
        <w:t>as</w:t>
      </w:r>
      <w:r w:rsidR="00C8497C" w:rsidRPr="006750AA">
        <w:rPr>
          <w:rFonts w:cs="Times New Roman"/>
        </w:rPr>
        <w:t xml:space="preserve"> rutile</w:t>
      </w:r>
      <w:r w:rsidR="00CA1A4B" w:rsidRPr="006750AA">
        <w:rPr>
          <w:rFonts w:cs="Times New Roman"/>
        </w:rPr>
        <w:t xml:space="preserve">. This allowed to </w:t>
      </w:r>
      <w:r w:rsidR="00A82D57" w:rsidRPr="006750AA">
        <w:rPr>
          <w:rFonts w:cs="Times New Roman"/>
        </w:rPr>
        <w:t>verify a total of</w:t>
      </w:r>
      <w:r w:rsidR="0088030F" w:rsidRPr="006750AA">
        <w:rPr>
          <w:rFonts w:cs="Times New Roman"/>
        </w:rPr>
        <w:t xml:space="preserve"> 4.62·10</w:t>
      </w:r>
      <w:r w:rsidR="0088030F" w:rsidRPr="006750AA">
        <w:rPr>
          <w:rFonts w:cs="Times New Roman"/>
          <w:vertAlign w:val="superscript"/>
        </w:rPr>
        <w:t>16</w:t>
      </w:r>
      <w:r w:rsidR="002A1EE0" w:rsidRPr="006750AA">
        <w:rPr>
          <w:rFonts w:cs="Times New Roman"/>
        </w:rPr>
        <w:t xml:space="preserve"> Ti</w:t>
      </w:r>
      <w:r w:rsidR="002A1EE0" w:rsidRPr="006750AA">
        <w:rPr>
          <w:rFonts w:cs="Times New Roman"/>
          <w:vertAlign w:val="superscript"/>
        </w:rPr>
        <w:t>4+</w:t>
      </w:r>
      <w:r w:rsidR="002A1EE0" w:rsidRPr="006750AA">
        <w:rPr>
          <w:rFonts w:cs="Times New Roman"/>
        </w:rPr>
        <w:t xml:space="preserve"> </w:t>
      </w:r>
      <w:r w:rsidR="00640D81">
        <w:rPr>
          <w:rFonts w:cs="Times New Roman"/>
        </w:rPr>
        <w:t>concluding</w:t>
      </w:r>
      <w:r w:rsidR="002A1EE0" w:rsidRPr="006750AA">
        <w:rPr>
          <w:rFonts w:cs="Times New Roman"/>
        </w:rPr>
        <w:t xml:space="preserve"> that oxide debonding occurred after the reduction of ~ 85</w:t>
      </w:r>
      <w:r w:rsidR="00F06551">
        <w:rPr>
          <w:rFonts w:cs="Times New Roman"/>
        </w:rPr>
        <w:t xml:space="preserve"> </w:t>
      </w:r>
      <w:r w:rsidR="00F06551" w:rsidRPr="00F06551">
        <w:rPr>
          <w:rFonts w:cs="Times New Roman"/>
        </w:rPr>
        <w:t>%</w:t>
      </w:r>
      <w:r w:rsidR="00640D81">
        <w:rPr>
          <w:rFonts w:cs="Times New Roman"/>
        </w:rPr>
        <w:t xml:space="preserve"> ± </w:t>
      </w:r>
      <w:r w:rsidR="00F06551">
        <w:rPr>
          <w:rFonts w:cs="Times New Roman"/>
        </w:rPr>
        <w:t xml:space="preserve">9 </w:t>
      </w:r>
      <w:r w:rsidR="00F06551" w:rsidRPr="00F06551">
        <w:rPr>
          <w:rFonts w:cs="Times New Roman"/>
        </w:rPr>
        <w:t>%</w:t>
      </w:r>
      <w:r w:rsidR="00A82D57" w:rsidRPr="006750AA">
        <w:rPr>
          <w:rFonts w:cs="Times New Roman"/>
        </w:rPr>
        <w:t xml:space="preserve"> of Ti</w:t>
      </w:r>
      <w:r w:rsidR="00A82D57" w:rsidRPr="006750AA">
        <w:rPr>
          <w:rFonts w:cs="Times New Roman"/>
          <w:vertAlign w:val="superscript"/>
        </w:rPr>
        <w:t>4+</w:t>
      </w:r>
      <w:r w:rsidR="00A82D57" w:rsidRPr="006750AA">
        <w:rPr>
          <w:rFonts w:cs="Times New Roman"/>
        </w:rPr>
        <w:t xml:space="preserve"> sites</w:t>
      </w:r>
      <w:r w:rsidR="00E63A87" w:rsidRPr="006750AA">
        <w:rPr>
          <w:rFonts w:cs="Times New Roman"/>
        </w:rPr>
        <w:t xml:space="preserve"> after an immersion period </w:t>
      </w:r>
      <w:r w:rsidR="00F56BFC" w:rsidRPr="006750AA">
        <w:rPr>
          <w:rFonts w:cs="Times New Roman"/>
        </w:rPr>
        <w:t xml:space="preserve">of </w:t>
      </w:r>
      <w:r w:rsidR="007B46FA" w:rsidRPr="006750AA">
        <w:rPr>
          <w:rFonts w:cs="Times New Roman"/>
        </w:rPr>
        <w:t>2</w:t>
      </w:r>
      <w:r w:rsidR="0040234B">
        <w:rPr>
          <w:rFonts w:cs="Times New Roman"/>
        </w:rPr>
        <w:t>8 h ± 2</w:t>
      </w:r>
      <w:r w:rsidR="007B46FA" w:rsidRPr="006750AA">
        <w:rPr>
          <w:rFonts w:cs="Times New Roman"/>
        </w:rPr>
        <w:t xml:space="preserve"> h</w:t>
      </w:r>
      <w:r w:rsidR="002A1EE0" w:rsidRPr="006750AA">
        <w:rPr>
          <w:rFonts w:cs="Times New Roman"/>
        </w:rPr>
        <w:t>.</w:t>
      </w:r>
      <w:r w:rsidR="00433E11" w:rsidRPr="006750AA">
        <w:rPr>
          <w:rFonts w:cs="Times New Roman"/>
        </w:rPr>
        <w:t xml:space="preserve"> Considering the low content of Ti</w:t>
      </w:r>
      <w:r w:rsidR="00433E11" w:rsidRPr="006750AA">
        <w:rPr>
          <w:rFonts w:cs="Times New Roman"/>
          <w:vertAlign w:val="superscript"/>
        </w:rPr>
        <w:t>4+</w:t>
      </w:r>
      <w:r w:rsidR="00433E11" w:rsidRPr="006750AA">
        <w:rPr>
          <w:rFonts w:cs="Times New Roman"/>
        </w:rPr>
        <w:t xml:space="preserve"> present in PEO-DC (</w:t>
      </w:r>
      <w:r w:rsidR="00BA41CE" w:rsidRPr="006750AA">
        <w:rPr>
          <w:rFonts w:cs="Times New Roman"/>
        </w:rPr>
        <w:t xml:space="preserve">no chance to quantify according to structure highlighted in section 3.1) </w:t>
      </w:r>
      <w:r w:rsidR="00C31BC2" w:rsidRPr="006750AA">
        <w:rPr>
          <w:rFonts w:cs="Times New Roman"/>
        </w:rPr>
        <w:t>the smaller number of charges involved in the diffusion process</w:t>
      </w:r>
      <w:r w:rsidR="00777CC4">
        <w:rPr>
          <w:rFonts w:cs="Times New Roman"/>
        </w:rPr>
        <w:t>,</w:t>
      </w:r>
      <w:r w:rsidR="00B37C05">
        <w:rPr>
          <w:rFonts w:cs="Times New Roman"/>
        </w:rPr>
        <w:t xml:space="preserve"> </w:t>
      </w:r>
      <w:r w:rsidR="00777CC4">
        <w:rPr>
          <w:rFonts w:cs="Times New Roman"/>
        </w:rPr>
        <w:t>until the occurrence of</w:t>
      </w:r>
      <w:r w:rsidR="00B37C05">
        <w:rPr>
          <w:rFonts w:cs="Times New Roman"/>
        </w:rPr>
        <w:t xml:space="preserve"> debonding</w:t>
      </w:r>
      <w:r w:rsidR="00777CC4">
        <w:rPr>
          <w:rFonts w:cs="Times New Roman"/>
        </w:rPr>
        <w:t>,</w:t>
      </w:r>
      <w:r w:rsidR="00B37C05">
        <w:rPr>
          <w:rFonts w:cs="Times New Roman"/>
        </w:rPr>
        <w:t xml:space="preserve"> </w:t>
      </w:r>
      <w:r w:rsidR="008B2D0B" w:rsidRPr="006750AA">
        <w:rPr>
          <w:rFonts w:cs="Times New Roman"/>
        </w:rPr>
        <w:t>correlates with the lowest</w:t>
      </w:r>
      <w:r w:rsidR="00B37C05">
        <w:rPr>
          <w:rFonts w:cs="Times New Roman"/>
        </w:rPr>
        <w:t xml:space="preserve"> amount of Ti</w:t>
      </w:r>
      <w:r w:rsidR="00B37C05" w:rsidRPr="00B37C05">
        <w:rPr>
          <w:rFonts w:cs="Times New Roman"/>
          <w:vertAlign w:val="superscript"/>
        </w:rPr>
        <w:t>4+</w:t>
      </w:r>
      <w:r w:rsidR="008B2D0B" w:rsidRPr="006750AA">
        <w:rPr>
          <w:rFonts w:cs="Times New Roman"/>
        </w:rPr>
        <w:t xml:space="preserve"> </w:t>
      </w:r>
      <w:r w:rsidR="00B37C05">
        <w:rPr>
          <w:rFonts w:cs="Times New Roman"/>
        </w:rPr>
        <w:t xml:space="preserve">centers and </w:t>
      </w:r>
      <w:r w:rsidR="008B2D0B" w:rsidRPr="006750AA">
        <w:rPr>
          <w:rFonts w:cs="Times New Roman"/>
        </w:rPr>
        <w:t xml:space="preserve">time required to </w:t>
      </w:r>
      <w:r w:rsidR="00FA6186" w:rsidRPr="006750AA">
        <w:rPr>
          <w:rFonts w:cs="Times New Roman"/>
        </w:rPr>
        <w:t>lose</w:t>
      </w:r>
      <w:r w:rsidR="008B2D0B" w:rsidRPr="006750AA">
        <w:rPr>
          <w:rFonts w:cs="Times New Roman"/>
        </w:rPr>
        <w:t xml:space="preserve"> the </w:t>
      </w:r>
      <w:r w:rsidR="006B10ED" w:rsidRPr="006750AA">
        <w:rPr>
          <w:rFonts w:cs="Times New Roman"/>
        </w:rPr>
        <w:t>oxide protectiveness</w:t>
      </w:r>
      <w:r w:rsidR="00391063">
        <w:rPr>
          <w:rFonts w:cs="Times New Roman"/>
        </w:rPr>
        <w:t xml:space="preserve"> (&lt; 3 h)</w:t>
      </w:r>
      <w:r w:rsidR="006B10ED" w:rsidRPr="006750AA">
        <w:rPr>
          <w:rFonts w:cs="Times New Roman"/>
        </w:rPr>
        <w:t>.</w:t>
      </w:r>
      <w:r w:rsidR="00FA6186">
        <w:rPr>
          <w:rFonts w:cs="Times New Roman"/>
        </w:rPr>
        <w:t xml:space="preserve"> </w:t>
      </w:r>
      <w:r w:rsidR="00433E11">
        <w:rPr>
          <w:rFonts w:cs="Times New Roman"/>
        </w:rPr>
        <w:t xml:space="preserve"> </w:t>
      </w:r>
    </w:p>
    <w:p w14:paraId="0E01C0BD" w14:textId="2B29AB23" w:rsidR="000140E6" w:rsidRDefault="002B1932" w:rsidP="00130ACB">
      <w:pPr>
        <w:rPr>
          <w:rFonts w:eastAsiaTheme="minorEastAsia" w:cs="Times New Roman"/>
        </w:rPr>
      </w:pPr>
      <w:r>
        <w:rPr>
          <w:rFonts w:cs="Times New Roman"/>
        </w:rPr>
        <w:t>To confirm previous results</w:t>
      </w:r>
      <w:r w:rsidR="00011323">
        <w:rPr>
          <w:rFonts w:cs="Times New Roman"/>
        </w:rPr>
        <w:t>,</w:t>
      </w:r>
      <w:r>
        <w:rPr>
          <w:rFonts w:cs="Times New Roman"/>
        </w:rPr>
        <w:t xml:space="preserve"> potential steps were applied monitoring current transient after the application of -1 V</w:t>
      </w:r>
      <w:r w:rsidR="002528C1">
        <w:rPr>
          <w:rFonts w:cs="Times New Roman"/>
        </w:rPr>
        <w:t>/SSC</w:t>
      </w:r>
      <w:r w:rsidR="002528C1">
        <w:rPr>
          <w:rFonts w:cs="Times New Roman"/>
          <w:vertAlign w:val="subscript"/>
        </w:rPr>
        <w:t>sat.</w:t>
      </w:r>
      <w:r w:rsidR="00744DB8">
        <w:rPr>
          <w:rFonts w:cs="Times New Roman"/>
        </w:rPr>
        <w:t xml:space="preserve"> for </w:t>
      </w:r>
      <w:r w:rsidR="0046604E">
        <w:rPr>
          <w:rFonts w:cs="Times New Roman"/>
        </w:rPr>
        <w:t xml:space="preserve">30, 45 and </w:t>
      </w:r>
      <w:r w:rsidR="00744DB8">
        <w:rPr>
          <w:rFonts w:cs="Times New Roman"/>
        </w:rPr>
        <w:t>90 s</w:t>
      </w:r>
      <w:r w:rsidR="00100C30">
        <w:rPr>
          <w:rFonts w:cs="Times New Roman"/>
        </w:rPr>
        <w:t>. Such</w:t>
      </w:r>
      <w:r w:rsidR="00E467DB">
        <w:rPr>
          <w:rFonts w:cs="Times New Roman"/>
        </w:rPr>
        <w:t xml:space="preserve"> potential was sufficiently cathodic to determine proton intercalation, while</w:t>
      </w:r>
      <w:r w:rsidR="0033339F">
        <w:rPr>
          <w:rFonts w:cs="Times New Roman"/>
        </w:rPr>
        <w:t xml:space="preserve"> the</w:t>
      </w:r>
      <w:r w:rsidR="00100C30">
        <w:rPr>
          <w:rFonts w:cs="Times New Roman"/>
        </w:rPr>
        <w:t xml:space="preserve"> polarization</w:t>
      </w:r>
      <w:r w:rsidR="00A7434C">
        <w:rPr>
          <w:rFonts w:cs="Times New Roman"/>
        </w:rPr>
        <w:t xml:space="preserve"> time</w:t>
      </w:r>
      <w:r w:rsidR="00100C30">
        <w:rPr>
          <w:rFonts w:cs="Times New Roman"/>
        </w:rPr>
        <w:t xml:space="preserve">s </w:t>
      </w:r>
      <w:r w:rsidR="00A7434C">
        <w:rPr>
          <w:rFonts w:cs="Times New Roman"/>
        </w:rPr>
        <w:t>sufficiently small to assume</w:t>
      </w:r>
      <w:r w:rsidR="00744DB8">
        <w:rPr>
          <w:rFonts w:cs="Times New Roman"/>
        </w:rPr>
        <w:t xml:space="preserve"> semi-∞ diffusion</w:t>
      </w:r>
      <w:r w:rsidR="00C91E19">
        <w:rPr>
          <w:rFonts w:cs="Times New Roman"/>
        </w:rPr>
        <w:t xml:space="preserve"> of H</w:t>
      </w:r>
      <w:r w:rsidR="00C91E19">
        <w:rPr>
          <w:rFonts w:cs="Times New Roman"/>
          <w:vertAlign w:val="superscript"/>
        </w:rPr>
        <w:t>+</w:t>
      </w:r>
      <w:r w:rsidR="00491464">
        <w:rPr>
          <w:rFonts w:cs="Times New Roman"/>
        </w:rPr>
        <w:t xml:space="preserve"> thus justifying the </w:t>
      </w:r>
      <w:r w:rsidR="00C91E19">
        <w:rPr>
          <w:rFonts w:cs="Times New Roman"/>
        </w:rPr>
        <w:t>adoption</w:t>
      </w:r>
      <w:r w:rsidR="00491464">
        <w:rPr>
          <w:rFonts w:cs="Times New Roman"/>
        </w:rPr>
        <w:t xml:space="preserve"> of the Cottrell equation</w:t>
      </w:r>
      <w:r w:rsidR="002671AB">
        <w:rPr>
          <w:rFonts w:cs="Times New Roman"/>
        </w:rPr>
        <w:t xml:space="preserve"> (</w:t>
      </w:r>
      <w:r w:rsidR="002671AB" w:rsidRPr="002671AB">
        <w:rPr>
          <w:rFonts w:cs="Times New Roman"/>
          <w:b/>
          <w:bCs/>
        </w:rPr>
        <w:t xml:space="preserve">Eq. </w:t>
      </w:r>
      <w:r w:rsidR="005D0206">
        <w:rPr>
          <w:rFonts w:cs="Times New Roman"/>
          <w:b/>
          <w:bCs/>
        </w:rPr>
        <w:t>5</w:t>
      </w:r>
      <w:r w:rsidR="002671AB">
        <w:rPr>
          <w:rFonts w:cs="Times New Roman"/>
        </w:rPr>
        <w:t>)</w:t>
      </w:r>
      <w:r w:rsidR="00F31400">
        <w:rPr>
          <w:rFonts w:cs="Times New Roman"/>
        </w:rPr>
        <w:t xml:space="preserve"> </w:t>
      </w:r>
      <w:r w:rsidR="00491464">
        <w:rPr>
          <w:rFonts w:cs="Times New Roman"/>
        </w:rPr>
        <w:t xml:space="preserve">to extract </w:t>
      </w:r>
      <m:oMath>
        <m:sSup>
          <m:sSupPr>
            <m:ctrlPr>
              <w:rPr>
                <w:rFonts w:ascii="Cambria Math" w:hAnsi="Cambria Math" w:cs="Times New Roman"/>
                <w:i/>
              </w:rPr>
            </m:ctrlPr>
          </m:sSupPr>
          <m:e>
            <m:r>
              <w:rPr>
                <w:rFonts w:ascii="Cambria Math" w:hAnsi="Cambria Math" w:cs="Times New Roman"/>
              </w:rPr>
              <m:t>D</m:t>
            </m:r>
          </m:e>
          <m:sup>
            <m:sSup>
              <m:sSupPr>
                <m:ctrlPr>
                  <w:rPr>
                    <w:rFonts w:ascii="Cambria Math" w:hAnsi="Cambria Math" w:cs="Times New Roman"/>
                    <w:i/>
                  </w:rPr>
                </m:ctrlPr>
              </m:sSupPr>
              <m:e>
                <m:r>
                  <w:rPr>
                    <w:rFonts w:ascii="Cambria Math" w:hAnsi="Cambria Math" w:cs="Times New Roman"/>
                  </w:rPr>
                  <m:t>H</m:t>
                </m:r>
              </m:e>
              <m:sup>
                <m:r>
                  <w:rPr>
                    <w:rFonts w:ascii="Cambria Math" w:hAnsi="Cambria Math" w:cs="Times New Roman"/>
                  </w:rPr>
                  <m:t>+</m:t>
                </m:r>
              </m:sup>
            </m:sSup>
          </m:sup>
        </m:sSup>
      </m:oMath>
      <w:r w:rsidR="00F31400">
        <w:rPr>
          <w:rFonts w:eastAsiaTheme="minorEastAsia" w:cs="Times New Roman"/>
        </w:rPr>
        <w:t xml:space="preserve"> </w:t>
      </w:r>
    </w:p>
    <w:p w14:paraId="1BB1EABB" w14:textId="058C4C02" w:rsidR="000140E6" w:rsidRDefault="000140E6" w:rsidP="00130ACB">
      <w:pPr>
        <w:rPr>
          <w:rFonts w:eastAsiaTheme="minorEastAsia" w:cs="Times New Roman"/>
        </w:rPr>
      </w:pPr>
      <m:oMath>
        <m:r>
          <w:rPr>
            <w:rFonts w:ascii="Cambria Math" w:eastAsiaTheme="minorEastAsia" w:hAnsi="Cambria Math" w:cs="Times New Roman"/>
          </w:rPr>
          <m:t>i=</m:t>
        </m:r>
        <m:f>
          <m:fPr>
            <m:ctrlPr>
              <w:rPr>
                <w:rFonts w:ascii="Cambria Math" w:eastAsiaTheme="minorEastAsia" w:hAnsi="Cambria Math" w:cs="Times New Roman"/>
                <w:i/>
              </w:rPr>
            </m:ctrlPr>
          </m:fPr>
          <m:num>
            <m:sSup>
              <m:sSupPr>
                <m:ctrlPr>
                  <w:rPr>
                    <w:rFonts w:ascii="Cambria Math" w:eastAsiaTheme="minorEastAsia" w:hAnsi="Cambria Math" w:cs="Times New Roman"/>
                    <w:i/>
                  </w:rPr>
                </m:ctrlPr>
              </m:sSupPr>
              <m:e>
                <m:r>
                  <w:rPr>
                    <w:rFonts w:ascii="Cambria Math" w:eastAsiaTheme="minorEastAsia" w:hAnsi="Cambria Math" w:cs="Times New Roman"/>
                  </w:rPr>
                  <m:t>D</m:t>
                </m:r>
              </m:e>
              <m:sup>
                <m:f>
                  <m:fPr>
                    <m:ctrlPr>
                      <w:rPr>
                        <w:rFonts w:ascii="Cambria Math" w:eastAsiaTheme="minorEastAsia" w:hAnsi="Cambria Math" w:cs="Times New Roman"/>
                        <w:i/>
                      </w:rPr>
                    </m:ctrlPr>
                  </m:fPr>
                  <m:num>
                    <m:r>
                      <w:rPr>
                        <w:rFonts w:ascii="Cambria Math" w:eastAsiaTheme="minorEastAsia" w:hAnsi="Cambria Math" w:cs="Times New Roman"/>
                      </w:rPr>
                      <m:t>1</m:t>
                    </m:r>
                  </m:num>
                  <m:den>
                    <m:r>
                      <w:rPr>
                        <w:rFonts w:ascii="Cambria Math" w:eastAsiaTheme="minorEastAsia" w:hAnsi="Cambria Math" w:cs="Times New Roman"/>
                      </w:rPr>
                      <m:t>2</m:t>
                    </m:r>
                  </m:den>
                </m:f>
              </m:sup>
            </m:sSup>
            <m:r>
              <w:rPr>
                <w:rFonts w:ascii="Cambria Math" w:eastAsiaTheme="minorEastAsia" w:hAnsi="Cambria Math" w:cs="Times New Roman"/>
              </w:rPr>
              <m:t>∆Q</m:t>
            </m:r>
          </m:num>
          <m:den>
            <m:sSup>
              <m:sSupPr>
                <m:ctrlPr>
                  <w:rPr>
                    <w:rFonts w:ascii="Cambria Math" w:eastAsiaTheme="minorEastAsia" w:hAnsi="Cambria Math" w:cs="Times New Roman"/>
                    <w:i/>
                  </w:rPr>
                </m:ctrlPr>
              </m:sSupPr>
              <m:e>
                <m:r>
                  <w:rPr>
                    <w:rFonts w:ascii="Cambria Math" w:eastAsiaTheme="minorEastAsia" w:hAnsi="Cambria Math" w:cs="Times New Roman"/>
                  </w:rPr>
                  <m:t>π</m:t>
                </m:r>
              </m:e>
              <m:sup>
                <m:f>
                  <m:fPr>
                    <m:ctrlPr>
                      <w:rPr>
                        <w:rFonts w:ascii="Cambria Math" w:eastAsiaTheme="minorEastAsia" w:hAnsi="Cambria Math" w:cs="Times New Roman"/>
                        <w:i/>
                      </w:rPr>
                    </m:ctrlPr>
                  </m:fPr>
                  <m:num>
                    <m:r>
                      <w:rPr>
                        <w:rFonts w:ascii="Cambria Math" w:eastAsiaTheme="minorEastAsia" w:hAnsi="Cambria Math" w:cs="Times New Roman"/>
                      </w:rPr>
                      <m:t>1</m:t>
                    </m:r>
                  </m:num>
                  <m:den>
                    <m:r>
                      <w:rPr>
                        <w:rFonts w:ascii="Cambria Math" w:eastAsiaTheme="minorEastAsia" w:hAnsi="Cambria Math" w:cs="Times New Roman"/>
                      </w:rPr>
                      <m:t>2</m:t>
                    </m:r>
                  </m:den>
                </m:f>
              </m:sup>
            </m:sSup>
            <m:r>
              <w:rPr>
                <w:rFonts w:ascii="Cambria Math" w:eastAsiaTheme="minorEastAsia" w:hAnsi="Cambria Math" w:cs="Times New Roman"/>
              </w:rPr>
              <m:t>l</m:t>
            </m:r>
          </m:den>
        </m:f>
        <m:r>
          <w:rPr>
            <w:rFonts w:ascii="Cambria Math" w:eastAsiaTheme="minorEastAsia" w:hAnsi="Cambria Math" w:cs="Times New Roman"/>
          </w:rPr>
          <m:t>∙</m:t>
        </m:r>
        <m:f>
          <m:fPr>
            <m:ctrlPr>
              <w:rPr>
                <w:rFonts w:ascii="Cambria Math" w:eastAsiaTheme="minorEastAsia" w:hAnsi="Cambria Math" w:cs="Times New Roman"/>
                <w:i/>
              </w:rPr>
            </m:ctrlPr>
          </m:fPr>
          <m:num>
            <m:r>
              <w:rPr>
                <w:rFonts w:ascii="Cambria Math" w:eastAsiaTheme="minorEastAsia" w:hAnsi="Cambria Math" w:cs="Times New Roman"/>
              </w:rPr>
              <m:t>1</m:t>
            </m:r>
          </m:num>
          <m:den>
            <m:sSup>
              <m:sSupPr>
                <m:ctrlPr>
                  <w:rPr>
                    <w:rFonts w:ascii="Cambria Math" w:eastAsiaTheme="minorEastAsia" w:hAnsi="Cambria Math" w:cs="Times New Roman"/>
                    <w:i/>
                  </w:rPr>
                </m:ctrlPr>
              </m:sSupPr>
              <m:e>
                <m:r>
                  <w:rPr>
                    <w:rFonts w:ascii="Cambria Math" w:eastAsiaTheme="minorEastAsia" w:hAnsi="Cambria Math" w:cs="Times New Roman"/>
                  </w:rPr>
                  <m:t>t</m:t>
                </m:r>
              </m:e>
              <m:sup>
                <m:f>
                  <m:fPr>
                    <m:ctrlPr>
                      <w:rPr>
                        <w:rFonts w:ascii="Cambria Math" w:eastAsiaTheme="minorEastAsia" w:hAnsi="Cambria Math" w:cs="Times New Roman"/>
                        <w:i/>
                      </w:rPr>
                    </m:ctrlPr>
                  </m:fPr>
                  <m:num>
                    <m:r>
                      <w:rPr>
                        <w:rFonts w:ascii="Cambria Math" w:eastAsiaTheme="minorEastAsia" w:hAnsi="Cambria Math" w:cs="Times New Roman"/>
                      </w:rPr>
                      <m:t>1</m:t>
                    </m:r>
                  </m:num>
                  <m:den>
                    <m:r>
                      <w:rPr>
                        <w:rFonts w:ascii="Cambria Math" w:eastAsiaTheme="minorEastAsia" w:hAnsi="Cambria Math" w:cs="Times New Roman"/>
                      </w:rPr>
                      <m:t>2</m:t>
                    </m:r>
                  </m:den>
                </m:f>
              </m:sup>
            </m:sSup>
          </m:den>
        </m:f>
      </m:oMath>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r>
      <w:r w:rsidR="00BA69B5">
        <w:rPr>
          <w:rFonts w:eastAsiaTheme="minorEastAsia" w:cs="Times New Roman"/>
        </w:rPr>
        <w:tab/>
        <w:t xml:space="preserve">           (</w:t>
      </w:r>
      <w:r w:rsidR="005D0206">
        <w:rPr>
          <w:rFonts w:eastAsiaTheme="minorEastAsia" w:cs="Times New Roman"/>
        </w:rPr>
        <w:t>5</w:t>
      </w:r>
      <w:r w:rsidR="00BA69B5">
        <w:rPr>
          <w:rFonts w:eastAsiaTheme="minorEastAsia" w:cs="Times New Roman"/>
        </w:rPr>
        <w:t>)</w:t>
      </w:r>
    </w:p>
    <w:p w14:paraId="08592505" w14:textId="391331F2" w:rsidR="004B158C" w:rsidRDefault="00C91E19" w:rsidP="00130ACB">
      <w:pPr>
        <w:rPr>
          <w:rFonts w:eastAsiaTheme="minorEastAsia" w:cs="Times New Roman"/>
        </w:rPr>
      </w:pPr>
      <w:r>
        <w:rPr>
          <w:rFonts w:eastAsiaTheme="minorEastAsia" w:cs="Times New Roman"/>
        </w:rPr>
        <w:t>from</w:t>
      </w:r>
      <w:r w:rsidR="00F31400">
        <w:rPr>
          <w:rFonts w:eastAsiaTheme="minorEastAsia" w:cs="Times New Roman"/>
        </w:rPr>
        <w:t xml:space="preserve"> the</w:t>
      </w:r>
      <w:r w:rsidR="00D43A9D">
        <w:rPr>
          <w:rFonts w:eastAsiaTheme="minorEastAsia" w:cs="Times New Roman"/>
        </w:rPr>
        <w:t xml:space="preserve"> fitting of the</w:t>
      </w:r>
      <w:r w:rsidR="00F31400">
        <w:rPr>
          <w:rFonts w:eastAsiaTheme="minorEastAsia" w:cs="Times New Roman"/>
        </w:rPr>
        <w:t xml:space="preserve"> linear portion </w:t>
      </w:r>
      <w:r>
        <w:rPr>
          <w:rFonts w:eastAsiaTheme="minorEastAsia" w:cs="Times New Roman"/>
        </w:rPr>
        <w:t xml:space="preserve">of the </w:t>
      </w:r>
      <w:r w:rsidR="002671AB">
        <w:rPr>
          <w:rFonts w:eastAsiaTheme="minorEastAsia" w:cs="Times New Roman"/>
        </w:rPr>
        <w:t xml:space="preserve">i </w:t>
      </w:r>
      <w:r w:rsidR="00912CBA">
        <w:rPr>
          <w:rFonts w:eastAsiaTheme="minorEastAsia" w:cs="Times New Roman"/>
        </w:rPr>
        <w:t>-</w:t>
      </w:r>
      <w:r w:rsidR="002671AB" w:rsidRPr="002671AB">
        <w:rPr>
          <w:rFonts w:eastAsiaTheme="minorEastAsia" w:cs="Times New Roman"/>
        </w:rPr>
        <w:t xml:space="preserve"> </w:t>
      </w:r>
      <m:oMath>
        <m:sSup>
          <m:sSupPr>
            <m:ctrlPr>
              <w:rPr>
                <w:rFonts w:ascii="Cambria Math" w:eastAsiaTheme="minorEastAsia" w:hAnsi="Cambria Math" w:cs="Times New Roman"/>
                <w:i/>
              </w:rPr>
            </m:ctrlPr>
          </m:sSupPr>
          <m:e>
            <m:r>
              <w:rPr>
                <w:rFonts w:ascii="Cambria Math" w:eastAsiaTheme="minorEastAsia" w:hAnsi="Cambria Math" w:cs="Times New Roman"/>
              </w:rPr>
              <m:t>t</m:t>
            </m:r>
          </m:e>
          <m:sup>
            <m:f>
              <m:fPr>
                <m:ctrlPr>
                  <w:rPr>
                    <w:rFonts w:ascii="Cambria Math" w:eastAsiaTheme="minorEastAsia" w:hAnsi="Cambria Math" w:cs="Times New Roman"/>
                    <w:i/>
                  </w:rPr>
                </m:ctrlPr>
              </m:fPr>
              <m:num>
                <m:r>
                  <w:rPr>
                    <w:rFonts w:ascii="Cambria Math" w:eastAsiaTheme="minorEastAsia" w:hAnsi="Cambria Math" w:cs="Times New Roman"/>
                  </w:rPr>
                  <m:t>1</m:t>
                </m:r>
              </m:num>
              <m:den>
                <m:r>
                  <w:rPr>
                    <w:rFonts w:ascii="Cambria Math" w:eastAsiaTheme="minorEastAsia" w:hAnsi="Cambria Math" w:cs="Times New Roman"/>
                  </w:rPr>
                  <m:t>2</m:t>
                </m:r>
              </m:den>
            </m:f>
          </m:sup>
        </m:sSup>
      </m:oMath>
      <w:r w:rsidR="002671AB">
        <w:rPr>
          <w:rFonts w:eastAsiaTheme="minorEastAsia" w:cs="Times New Roman"/>
        </w:rPr>
        <w:t xml:space="preserve"> trend.</w:t>
      </w:r>
      <w:r w:rsidR="005E5E8F">
        <w:rPr>
          <w:rFonts w:eastAsiaTheme="minorEastAsia" w:cs="Times New Roman"/>
        </w:rPr>
        <w:t xml:space="preserve"> </w:t>
      </w:r>
      <w:r w:rsidR="00011323">
        <w:rPr>
          <w:rFonts w:eastAsiaTheme="minorEastAsia" w:cs="Times New Roman"/>
        </w:rPr>
        <w:t>From</w:t>
      </w:r>
      <w:r w:rsidR="00193952">
        <w:rPr>
          <w:rFonts w:eastAsiaTheme="minorEastAsia" w:cs="Times New Roman"/>
        </w:rPr>
        <w:t xml:space="preserve"> </w:t>
      </w:r>
      <w:r w:rsidR="00193952" w:rsidRPr="0081745A">
        <w:rPr>
          <w:rFonts w:eastAsiaTheme="minorEastAsia" w:cs="Times New Roman"/>
          <w:b/>
          <w:bCs/>
        </w:rPr>
        <w:t xml:space="preserve">Table </w:t>
      </w:r>
      <w:r w:rsidR="0081745A" w:rsidRPr="0081745A">
        <w:rPr>
          <w:rFonts w:eastAsiaTheme="minorEastAsia" w:cs="Times New Roman"/>
          <w:b/>
          <w:bCs/>
        </w:rPr>
        <w:t>1</w:t>
      </w:r>
      <w:r w:rsidR="00011323">
        <w:rPr>
          <w:rFonts w:eastAsiaTheme="minorEastAsia" w:cs="Times New Roman"/>
        </w:rPr>
        <w:t xml:space="preserve">, it </w:t>
      </w:r>
      <w:r w:rsidR="00193952">
        <w:rPr>
          <w:rFonts w:eastAsiaTheme="minorEastAsia" w:cs="Times New Roman"/>
        </w:rPr>
        <w:t xml:space="preserve">appears evident </w:t>
      </w:r>
      <w:r w:rsidR="001E0511">
        <w:rPr>
          <w:rFonts w:eastAsiaTheme="minorEastAsia" w:cs="Times New Roman"/>
        </w:rPr>
        <w:t xml:space="preserve">that </w:t>
      </w:r>
      <w:r w:rsidR="00193952">
        <w:rPr>
          <w:rFonts w:eastAsiaTheme="minorEastAsia" w:cs="Times New Roman"/>
        </w:rPr>
        <w:t>the decrease in the diffusion coefficient</w:t>
      </w:r>
      <w:r w:rsidR="001E0511">
        <w:rPr>
          <w:rFonts w:eastAsiaTheme="minorEastAsia" w:cs="Times New Roman"/>
        </w:rPr>
        <w:t>,</w:t>
      </w:r>
      <w:r w:rsidR="00193952">
        <w:rPr>
          <w:rFonts w:eastAsiaTheme="minorEastAsia" w:cs="Times New Roman"/>
        </w:rPr>
        <w:t xml:space="preserve"> by </w:t>
      </w:r>
      <w:r w:rsidR="009D2615">
        <w:rPr>
          <w:rFonts w:eastAsiaTheme="minorEastAsia" w:cs="Times New Roman"/>
        </w:rPr>
        <w:t>increasing the polarization time</w:t>
      </w:r>
      <w:r w:rsidR="00CF2B1D">
        <w:rPr>
          <w:rFonts w:eastAsiaTheme="minorEastAsia" w:cs="Times New Roman"/>
        </w:rPr>
        <w:t xml:space="preserve"> to 90 s</w:t>
      </w:r>
      <w:r w:rsidR="000E77A4">
        <w:rPr>
          <w:rFonts w:eastAsiaTheme="minorEastAsia" w:cs="Times New Roman"/>
        </w:rPr>
        <w:t>, approac</w:t>
      </w:r>
      <w:r w:rsidR="001E0511">
        <w:rPr>
          <w:rFonts w:eastAsiaTheme="minorEastAsia" w:cs="Times New Roman"/>
        </w:rPr>
        <w:t>hes</w:t>
      </w:r>
      <w:r w:rsidR="000E77A4">
        <w:rPr>
          <w:rFonts w:eastAsiaTheme="minorEastAsia" w:cs="Times New Roman"/>
        </w:rPr>
        <w:t xml:space="preserve"> </w:t>
      </w:r>
      <w:r w:rsidR="00787B0F">
        <w:rPr>
          <w:rFonts w:eastAsiaTheme="minorEastAsia" w:cs="Times New Roman"/>
        </w:rPr>
        <w:t>numbers</w:t>
      </w:r>
      <w:r w:rsidR="000E77A4">
        <w:rPr>
          <w:rFonts w:eastAsiaTheme="minorEastAsia" w:cs="Times New Roman"/>
        </w:rPr>
        <w:t xml:space="preserve"> found in saturation reg</w:t>
      </w:r>
      <w:r w:rsidR="00CF2B1D">
        <w:rPr>
          <w:rFonts w:eastAsiaTheme="minorEastAsia" w:cs="Times New Roman"/>
        </w:rPr>
        <w:t>ime:</w:t>
      </w:r>
      <w:r w:rsidR="000B267E">
        <w:rPr>
          <w:rFonts w:eastAsiaTheme="minorEastAsia" w:cs="Times New Roman"/>
        </w:rPr>
        <w:t xml:space="preserve"> </w:t>
      </w:r>
      <w:r w:rsidR="00DA5E73">
        <w:rPr>
          <w:rFonts w:eastAsiaTheme="minorEastAsia" w:cs="Times New Roman"/>
        </w:rPr>
        <w:t>8.6</w:t>
      </w:r>
      <w:r w:rsidR="00E1599E">
        <w:rPr>
          <w:rFonts w:eastAsiaTheme="minorEastAsia" w:cs="Times New Roman"/>
        </w:rPr>
        <w:t xml:space="preserve"> </w:t>
      </w:r>
      <m:oMath>
        <m:r>
          <w:rPr>
            <w:rFonts w:ascii="Cambria Math" w:eastAsiaTheme="minorEastAsia" w:hAnsi="Cambria Math" w:cs="Times New Roman"/>
          </w:rPr>
          <m:t>± 0.23</m:t>
        </m:r>
      </m:oMath>
      <w:r w:rsidR="000C24AB">
        <w:rPr>
          <w:rFonts w:eastAsiaTheme="minorEastAsia" w:cs="Times New Roman"/>
        </w:rPr>
        <w:t xml:space="preserve"> </w:t>
      </w:r>
      <m:oMath>
        <m:r>
          <w:rPr>
            <w:rFonts w:ascii="Cambria Math" w:eastAsiaTheme="minorEastAsia" w:hAnsi="Cambria Math" w:cs="Times New Roman"/>
          </w:rPr>
          <m:t>∙</m:t>
        </m:r>
      </m:oMath>
      <w:r w:rsidR="000C24AB">
        <w:rPr>
          <w:rFonts w:eastAsiaTheme="minorEastAsia" w:cs="Times New Roman"/>
        </w:rPr>
        <w:t xml:space="preserve"> 10</w:t>
      </w:r>
      <w:r w:rsidR="000C24AB">
        <w:rPr>
          <w:rFonts w:eastAsiaTheme="minorEastAsia" w:cs="Times New Roman"/>
          <w:vertAlign w:val="superscript"/>
        </w:rPr>
        <w:t>-1</w:t>
      </w:r>
      <w:r w:rsidR="007A155F">
        <w:rPr>
          <w:rFonts w:eastAsiaTheme="minorEastAsia" w:cs="Times New Roman"/>
          <w:vertAlign w:val="superscript"/>
        </w:rPr>
        <w:t>1</w:t>
      </w:r>
      <w:r w:rsidR="000C24AB">
        <w:rPr>
          <w:rFonts w:eastAsiaTheme="minorEastAsia" w:cs="Times New Roman"/>
        </w:rPr>
        <w:t xml:space="preserve"> and 7.5</w:t>
      </w:r>
      <w:r w:rsidR="00110D78">
        <w:rPr>
          <w:rFonts w:eastAsiaTheme="minorEastAsia" w:cs="Times New Roman"/>
        </w:rPr>
        <w:t>1</w:t>
      </w:r>
      <w:r w:rsidR="00E1599E">
        <w:rPr>
          <w:rFonts w:eastAsiaTheme="minorEastAsia" w:cs="Times New Roman"/>
        </w:rPr>
        <w:t xml:space="preserve"> </w:t>
      </w:r>
      <m:oMath>
        <m:r>
          <w:rPr>
            <w:rFonts w:ascii="Cambria Math" w:eastAsiaTheme="minorEastAsia" w:hAnsi="Cambria Math" w:cs="Times New Roman"/>
          </w:rPr>
          <m:t>± 0.41</m:t>
        </m:r>
      </m:oMath>
      <w:r w:rsidR="000C24AB">
        <w:rPr>
          <w:rFonts w:eastAsiaTheme="minorEastAsia" w:cs="Times New Roman"/>
        </w:rPr>
        <w:t xml:space="preserve"> </w:t>
      </w:r>
      <m:oMath>
        <m:r>
          <w:rPr>
            <w:rFonts w:ascii="Cambria Math" w:eastAsiaTheme="minorEastAsia" w:hAnsi="Cambria Math" w:cs="Times New Roman"/>
          </w:rPr>
          <m:t>∙</m:t>
        </m:r>
      </m:oMath>
      <w:r w:rsidR="000C24AB" w:rsidRPr="000C24AB">
        <w:rPr>
          <w:rFonts w:eastAsiaTheme="minorEastAsia" w:cs="Times New Roman"/>
        </w:rPr>
        <w:t xml:space="preserve"> 10</w:t>
      </w:r>
      <w:r w:rsidR="000C24AB" w:rsidRPr="000C24AB">
        <w:rPr>
          <w:rFonts w:eastAsiaTheme="minorEastAsia" w:cs="Times New Roman"/>
          <w:vertAlign w:val="superscript"/>
        </w:rPr>
        <w:t>-1</w:t>
      </w:r>
      <w:r w:rsidR="007A155F">
        <w:rPr>
          <w:rFonts w:eastAsiaTheme="minorEastAsia" w:cs="Times New Roman"/>
          <w:vertAlign w:val="superscript"/>
        </w:rPr>
        <w:t>2</w:t>
      </w:r>
      <w:r w:rsidR="000C24AB">
        <w:rPr>
          <w:rFonts w:eastAsiaTheme="minorEastAsia" w:cs="Times New Roman"/>
        </w:rPr>
        <w:t xml:space="preserve"> cm</w:t>
      </w:r>
      <w:r w:rsidR="000C24AB">
        <w:rPr>
          <w:rFonts w:eastAsiaTheme="minorEastAsia" w:cs="Times New Roman"/>
          <w:vertAlign w:val="superscript"/>
        </w:rPr>
        <w:t>2</w:t>
      </w:r>
      <w:r w:rsidR="0081745A">
        <w:rPr>
          <w:rFonts w:eastAsiaTheme="minorEastAsia" w:cs="Times New Roman"/>
        </w:rPr>
        <w:t>·</w:t>
      </w:r>
      <w:r w:rsidR="0002532B">
        <w:rPr>
          <w:rFonts w:eastAsiaTheme="minorEastAsia" w:cs="Times New Roman"/>
        </w:rPr>
        <w:t>s</w:t>
      </w:r>
      <w:r w:rsidR="0002532B">
        <w:rPr>
          <w:rFonts w:eastAsiaTheme="minorEastAsia" w:cs="Times New Roman"/>
          <w:vertAlign w:val="superscript"/>
        </w:rPr>
        <w:t>-1</w:t>
      </w:r>
      <w:r w:rsidR="0002532B">
        <w:rPr>
          <w:rFonts w:eastAsiaTheme="minorEastAsia" w:cs="Times New Roman"/>
        </w:rPr>
        <w:t xml:space="preserve"> for PEO-DC and PEO-H-25 respectively.</w:t>
      </w:r>
      <w:r w:rsidR="002F50BB">
        <w:rPr>
          <w:rFonts w:eastAsiaTheme="minorEastAsia" w:cs="Times New Roman"/>
        </w:rPr>
        <w:t xml:space="preserve"> </w:t>
      </w:r>
      <w:r w:rsidR="00C61D7B">
        <w:rPr>
          <w:rFonts w:eastAsiaTheme="minorEastAsia" w:cs="Times New Roman"/>
        </w:rPr>
        <w:t xml:space="preserve">Furthermore, </w:t>
      </w:r>
      <w:r w:rsidR="00BE2B27">
        <w:rPr>
          <w:rFonts w:eastAsiaTheme="minorEastAsia" w:cs="Times New Roman"/>
        </w:rPr>
        <w:t>the experimental values of</w:t>
      </w:r>
      <w:r w:rsidR="00546511">
        <w:rPr>
          <w:rFonts w:eastAsiaTheme="minorEastAsia" w:cs="Times New Roman"/>
        </w:rPr>
        <w:t xml:space="preserve"> H diffusion in</w:t>
      </w:r>
      <w:r w:rsidR="000A226A">
        <w:rPr>
          <w:rFonts w:eastAsiaTheme="minorEastAsia" w:cs="Times New Roman"/>
        </w:rPr>
        <w:t xml:space="preserve"> </w:t>
      </w:r>
      <w:r w:rsidR="004A60B1">
        <w:rPr>
          <w:rFonts w:eastAsiaTheme="minorEastAsia" w:cs="Times New Roman"/>
        </w:rPr>
        <w:t>PEO-H-25</w:t>
      </w:r>
      <w:r w:rsidR="000A226A">
        <w:rPr>
          <w:rFonts w:eastAsiaTheme="minorEastAsia" w:cs="Times New Roman"/>
        </w:rPr>
        <w:t xml:space="preserve"> correlated well</w:t>
      </w:r>
      <w:r w:rsidR="00C831C8">
        <w:rPr>
          <w:rFonts w:eastAsiaTheme="minorEastAsia" w:cs="Times New Roman"/>
        </w:rPr>
        <w:t xml:space="preserve"> with the one extracted according to the use of </w:t>
      </w:r>
      <w:r w:rsidR="00C831C8" w:rsidRPr="00823B77">
        <w:rPr>
          <w:rFonts w:eastAsiaTheme="minorEastAsia" w:cs="Times New Roman"/>
          <w:b/>
          <w:bCs/>
        </w:rPr>
        <w:t xml:space="preserve">Eq. </w:t>
      </w:r>
      <w:r w:rsidR="005D0206">
        <w:rPr>
          <w:rFonts w:eastAsiaTheme="minorEastAsia" w:cs="Times New Roman"/>
          <w:b/>
          <w:bCs/>
        </w:rPr>
        <w:t>6</w:t>
      </w:r>
      <w:r w:rsidR="0075448D">
        <w:rPr>
          <w:rFonts w:eastAsiaTheme="minorEastAsia" w:cs="Times New Roman"/>
        </w:rPr>
        <w:t xml:space="preserve"> </w:t>
      </w:r>
      <w:r w:rsidR="00BE2B27">
        <w:rPr>
          <w:rFonts w:eastAsiaTheme="minorEastAsia" w:cs="Times New Roman"/>
        </w:rPr>
        <w:t>applied</w:t>
      </w:r>
      <w:r w:rsidR="0075448D">
        <w:rPr>
          <w:rFonts w:eastAsiaTheme="minorEastAsia" w:cs="Times New Roman"/>
        </w:rPr>
        <w:t xml:space="preserve"> by Hupfer </w:t>
      </w:r>
      <w:r w:rsidR="0075448D" w:rsidRPr="0075448D">
        <w:rPr>
          <w:rFonts w:eastAsiaTheme="minorEastAsia" w:cs="Times New Roman"/>
          <w:i/>
          <w:iCs/>
        </w:rPr>
        <w:t>et al.</w:t>
      </w:r>
      <w:r w:rsidR="0075448D">
        <w:rPr>
          <w:rFonts w:eastAsiaTheme="minorEastAsia" w:cs="Times New Roman"/>
        </w:rPr>
        <w:t xml:space="preserve"> </w:t>
      </w:r>
      <w:r w:rsidR="0075448D">
        <w:rPr>
          <w:rFonts w:eastAsiaTheme="minorEastAsia" w:cs="Times New Roman"/>
        </w:rPr>
        <w:fldChar w:fldCharType="begin" w:fldLock="1"/>
      </w:r>
      <w:r w:rsidR="00F36CB3">
        <w:rPr>
          <w:rFonts w:eastAsiaTheme="minorEastAsia" w:cs="Times New Roman"/>
        </w:rPr>
        <w:instrText>ADDIN CSL_CITATION {"citationItems":[{"id":"ITEM-1","itemData":{"DOI":"10.1038/s41598-017-16660-3","ISSN":"2045-2322","author":[{"dropping-particle":"","family":"Hupfer","given":"A J","non-dropping-particle":"","parse-names":false,"suffix":""},{"dropping-particle":"V","family":"Monakhov","given":"E","non-dropping-particle":"","parse-names":false,"suffix":""},{"dropping-particle":"","family":"Svensson","given":"B G","non-dropping-particle":"","parse-names":false,"suffix":""},{"dropping-particle":"","family":"Chaplygin","given":"I","non-dropping-particle":"","parse-names":false,"suffix":""},{"dropping-particle":"V","family":"Lavrov","given":"E","non-dropping-particle":"","parse-names":false,"suffix":""}],"container-title":"Scientific Reports","id":"ITEM-1","issued":{"date-parts":[["2017"]]},"page":"1-10","publisher":"Springer US","title":"Hydrogen motion in rutile TiO 2","type":"article-journal"},"uris":["http://www.mendeley.com/documents/?uuid=c3e50ef0-1172-4a08-a28a-504260960456"]}],"mendeley":{"formattedCitation":"[42]","plainTextFormattedCitation":"[42]","previouslyFormattedCitation":"[42]"},"properties":{"noteIndex":0},"schema":"https://github.com/citation-style-language/schema/raw/master/csl-citation.json"}</w:instrText>
      </w:r>
      <w:r w:rsidR="0075448D">
        <w:rPr>
          <w:rFonts w:eastAsiaTheme="minorEastAsia" w:cs="Times New Roman"/>
        </w:rPr>
        <w:fldChar w:fldCharType="separate"/>
      </w:r>
      <w:r w:rsidR="000D478A" w:rsidRPr="000D478A">
        <w:rPr>
          <w:rFonts w:eastAsiaTheme="minorEastAsia" w:cs="Times New Roman"/>
          <w:noProof/>
        </w:rPr>
        <w:t>[42]</w:t>
      </w:r>
      <w:r w:rsidR="0075448D">
        <w:rPr>
          <w:rFonts w:eastAsiaTheme="minorEastAsia" w:cs="Times New Roman"/>
        </w:rPr>
        <w:fldChar w:fldCharType="end"/>
      </w:r>
      <w:r w:rsidR="0075448D">
        <w:rPr>
          <w:rFonts w:eastAsiaTheme="minorEastAsia" w:cs="Times New Roman"/>
        </w:rPr>
        <w:t xml:space="preserve"> </w:t>
      </w:r>
      <w:r w:rsidR="00464CCE">
        <w:rPr>
          <w:rFonts w:eastAsiaTheme="minorEastAsia" w:cs="Times New Roman"/>
        </w:rPr>
        <w:t xml:space="preserve">for </w:t>
      </w:r>
      <w:r w:rsidR="00823B77">
        <w:rPr>
          <w:rFonts w:eastAsiaTheme="minorEastAsia" w:cs="Times New Roman"/>
        </w:rPr>
        <w:t>H</w:t>
      </w:r>
      <w:r w:rsidR="00B16011">
        <w:rPr>
          <w:rFonts w:eastAsiaTheme="minorEastAsia" w:cs="Times New Roman"/>
          <w:vertAlign w:val="superscript"/>
        </w:rPr>
        <w:t>+</w:t>
      </w:r>
      <w:r w:rsidR="00823B77">
        <w:rPr>
          <w:rFonts w:eastAsiaTheme="minorEastAsia" w:cs="Times New Roman"/>
        </w:rPr>
        <w:t xml:space="preserve"> diffusion in rutile along the c-axis</w:t>
      </w:r>
      <w:r w:rsidR="0020781A">
        <w:rPr>
          <w:rFonts w:eastAsiaTheme="minorEastAsia" w:cs="Times New Roman"/>
        </w:rPr>
        <w:t>.</w:t>
      </w:r>
    </w:p>
    <w:p w14:paraId="6A052444" w14:textId="7E516CAB" w:rsidR="004B158C" w:rsidRDefault="00B63CF9" w:rsidP="00130ACB">
      <w:pPr>
        <w:rPr>
          <w:rFonts w:eastAsiaTheme="minorEastAsia" w:cs="Times New Roman"/>
        </w:rPr>
      </w:pPr>
      <m:oMath>
        <m:sSup>
          <m:sSupPr>
            <m:ctrlPr>
              <w:rPr>
                <w:rFonts w:ascii="Cambria Math" w:eastAsiaTheme="minorEastAsia" w:hAnsi="Cambria Math" w:cs="Times New Roman"/>
                <w:i/>
              </w:rPr>
            </m:ctrlPr>
          </m:sSupPr>
          <m:e>
            <m:r>
              <w:rPr>
                <w:rFonts w:ascii="Cambria Math" w:eastAsiaTheme="minorEastAsia" w:hAnsi="Cambria Math" w:cs="Times New Roman"/>
              </w:rPr>
              <m:t>D</m:t>
            </m:r>
          </m:e>
          <m:sup>
            <m:sSup>
              <m:sSupPr>
                <m:ctrlPr>
                  <w:rPr>
                    <w:rFonts w:ascii="Cambria Math" w:eastAsiaTheme="minorEastAsia" w:hAnsi="Cambria Math" w:cs="Times New Roman"/>
                    <w:i/>
                  </w:rPr>
                </m:ctrlPr>
              </m:sSupPr>
              <m:e>
                <m:r>
                  <w:rPr>
                    <w:rFonts w:ascii="Cambria Math" w:eastAsiaTheme="minorEastAsia" w:hAnsi="Cambria Math" w:cs="Times New Roman"/>
                  </w:rPr>
                  <m:t>H</m:t>
                </m:r>
              </m:e>
              <m:sup>
                <m:r>
                  <w:rPr>
                    <w:rFonts w:ascii="Cambria Math" w:eastAsiaTheme="minorEastAsia" w:hAnsi="Cambria Math" w:cs="Times New Roman"/>
                  </w:rPr>
                  <m:t>+</m:t>
                </m:r>
              </m:sup>
            </m:sSup>
          </m:sup>
        </m:sSup>
        <m:r>
          <w:rPr>
            <w:rFonts w:ascii="Cambria Math" w:eastAsiaTheme="minorEastAsia" w:hAnsi="Cambria Math" w:cs="Times New Roman"/>
          </w:rPr>
          <m:t>=9.4∙</m:t>
        </m:r>
        <m:sSup>
          <m:sSupPr>
            <m:ctrlPr>
              <w:rPr>
                <w:rFonts w:ascii="Cambria Math" w:eastAsiaTheme="minorEastAsia" w:hAnsi="Cambria Math" w:cs="Times New Roman"/>
                <w:i/>
              </w:rPr>
            </m:ctrlPr>
          </m:sSupPr>
          <m:e>
            <m:r>
              <w:rPr>
                <w:rFonts w:ascii="Cambria Math" w:eastAsiaTheme="minorEastAsia" w:hAnsi="Cambria Math" w:cs="Times New Roman"/>
              </w:rPr>
              <m:t>10</m:t>
            </m:r>
          </m:e>
          <m:sup>
            <m:r>
              <w:rPr>
                <w:rFonts w:ascii="Cambria Math" w:eastAsiaTheme="minorEastAsia" w:hAnsi="Cambria Math" w:cs="Times New Roman"/>
              </w:rPr>
              <m:t>-4</m:t>
            </m:r>
          </m:sup>
        </m:sSup>
        <m:func>
          <m:funcPr>
            <m:ctrlPr>
              <w:rPr>
                <w:rFonts w:ascii="Cambria Math" w:eastAsiaTheme="minorEastAsia" w:hAnsi="Cambria Math" w:cs="Times New Roman"/>
              </w:rPr>
            </m:ctrlPr>
          </m:funcPr>
          <m:fName>
            <m:r>
              <m:rPr>
                <m:sty m:val="p"/>
              </m:rPr>
              <w:rPr>
                <w:rFonts w:ascii="Cambria Math" w:eastAsiaTheme="minorEastAsia" w:hAnsi="Cambria Math" w:cs="Times New Roman"/>
              </w:rPr>
              <m:t>exp</m:t>
            </m:r>
          </m:fName>
          <m:e>
            <m:d>
              <m:dPr>
                <m:ctrlPr>
                  <w:rPr>
                    <w:rFonts w:ascii="Cambria Math" w:eastAsiaTheme="minorEastAsia" w:hAnsi="Cambria Math" w:cs="Times New Roman"/>
                    <w:i/>
                  </w:rPr>
                </m:ctrlPr>
              </m:dPr>
              <m:e>
                <m:f>
                  <m:fPr>
                    <m:ctrlPr>
                      <w:rPr>
                        <w:rFonts w:ascii="Cambria Math" w:eastAsiaTheme="minorEastAsia" w:hAnsi="Cambria Math" w:cs="Times New Roman"/>
                        <w:i/>
                      </w:rPr>
                    </m:ctrlPr>
                  </m:fPr>
                  <m:num>
                    <m:r>
                      <w:rPr>
                        <w:rFonts w:ascii="Cambria Math" w:eastAsiaTheme="minorEastAsia" w:hAnsi="Cambria Math" w:cs="Times New Roman"/>
                      </w:rPr>
                      <m:t>-0.541</m:t>
                    </m:r>
                  </m:num>
                  <m:den>
                    <m:sSub>
                      <m:sSubPr>
                        <m:ctrlPr>
                          <w:rPr>
                            <w:rFonts w:ascii="Cambria Math" w:eastAsiaTheme="minorEastAsia" w:hAnsi="Cambria Math" w:cs="Times New Roman"/>
                            <w:i/>
                          </w:rPr>
                        </m:ctrlPr>
                      </m:sSubPr>
                      <m:e>
                        <m:r>
                          <w:rPr>
                            <w:rFonts w:ascii="Cambria Math" w:eastAsiaTheme="minorEastAsia" w:hAnsi="Cambria Math" w:cs="Times New Roman"/>
                          </w:rPr>
                          <m:t>k</m:t>
                        </m:r>
                      </m:e>
                      <m:sub>
                        <m:r>
                          <w:rPr>
                            <w:rFonts w:ascii="Cambria Math" w:eastAsiaTheme="minorEastAsia" w:hAnsi="Cambria Math" w:cs="Times New Roman"/>
                          </w:rPr>
                          <m:t>b</m:t>
                        </m:r>
                      </m:sub>
                    </m:sSub>
                    <m:r>
                      <w:rPr>
                        <w:rFonts w:ascii="Cambria Math" w:eastAsiaTheme="minorEastAsia" w:hAnsi="Cambria Math" w:cs="Times New Roman"/>
                      </w:rPr>
                      <m:t>T</m:t>
                    </m:r>
                  </m:den>
                </m:f>
              </m:e>
            </m:d>
          </m:e>
        </m:func>
        <m:r>
          <w:rPr>
            <w:rFonts w:ascii="Cambria Math" w:eastAsiaTheme="minorEastAsia" w:hAnsi="Cambria Math" w:cs="Times New Roman"/>
          </w:rPr>
          <m:t>=6.15∙</m:t>
        </m:r>
        <m:sSup>
          <m:sSupPr>
            <m:ctrlPr>
              <w:rPr>
                <w:rFonts w:ascii="Cambria Math" w:eastAsiaTheme="minorEastAsia" w:hAnsi="Cambria Math" w:cs="Times New Roman"/>
                <w:i/>
              </w:rPr>
            </m:ctrlPr>
          </m:sSupPr>
          <m:e>
            <m:r>
              <w:rPr>
                <w:rFonts w:ascii="Cambria Math" w:eastAsiaTheme="minorEastAsia" w:hAnsi="Cambria Math" w:cs="Times New Roman"/>
              </w:rPr>
              <m:t>10</m:t>
            </m:r>
          </m:e>
          <m:sup>
            <m:r>
              <w:rPr>
                <w:rFonts w:ascii="Cambria Math" w:eastAsiaTheme="minorEastAsia" w:hAnsi="Cambria Math" w:cs="Times New Roman"/>
              </w:rPr>
              <m:t>-12</m:t>
            </m:r>
          </m:sup>
        </m:sSup>
        <m:r>
          <w:rPr>
            <w:rFonts w:ascii="Cambria Math" w:eastAsiaTheme="minorEastAsia" w:hAnsi="Cambria Math" w:cs="Times New Roman"/>
          </w:rPr>
          <m:t xml:space="preserve"> </m:t>
        </m:r>
        <m:sSup>
          <m:sSupPr>
            <m:ctrlPr>
              <w:rPr>
                <w:rFonts w:ascii="Cambria Math" w:eastAsiaTheme="minorEastAsia" w:hAnsi="Cambria Math" w:cs="Times New Roman"/>
                <w:i/>
              </w:rPr>
            </m:ctrlPr>
          </m:sSupPr>
          <m:e>
            <m:r>
              <w:rPr>
                <w:rFonts w:ascii="Cambria Math" w:eastAsiaTheme="minorEastAsia" w:hAnsi="Cambria Math" w:cs="Times New Roman"/>
              </w:rPr>
              <m:t>cm</m:t>
            </m:r>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rPr>
            </m:ctrlPr>
          </m:sSupPr>
          <m:e>
            <m:r>
              <w:rPr>
                <w:rFonts w:ascii="Cambria Math" w:eastAsiaTheme="minorEastAsia" w:hAnsi="Cambria Math" w:cs="Times New Roman"/>
              </w:rPr>
              <m:t>s</m:t>
            </m:r>
          </m:e>
          <m:sup>
            <m:r>
              <w:rPr>
                <w:rFonts w:ascii="Cambria Math" w:eastAsiaTheme="minorEastAsia" w:hAnsi="Cambria Math" w:cs="Times New Roman"/>
              </w:rPr>
              <m:t>-1</m:t>
            </m:r>
          </m:sup>
        </m:sSup>
      </m:oMath>
      <w:r w:rsidR="00822CF0">
        <w:rPr>
          <w:rFonts w:eastAsiaTheme="minorEastAsia" w:cs="Times New Roman"/>
        </w:rPr>
        <w:tab/>
      </w:r>
      <w:r w:rsidR="00794CF0">
        <w:rPr>
          <w:rFonts w:eastAsiaTheme="minorEastAsia" w:cs="Times New Roman"/>
        </w:rPr>
        <w:t xml:space="preserve"> </w:t>
      </w:r>
      <w:r w:rsidR="00822CF0">
        <w:rPr>
          <w:rFonts w:eastAsiaTheme="minorEastAsia" w:cs="Times New Roman"/>
        </w:rPr>
        <w:tab/>
      </w:r>
      <w:r w:rsidR="00822CF0">
        <w:rPr>
          <w:rFonts w:eastAsiaTheme="minorEastAsia" w:cs="Times New Roman"/>
        </w:rPr>
        <w:tab/>
      </w:r>
      <w:r w:rsidR="00822CF0">
        <w:rPr>
          <w:rFonts w:eastAsiaTheme="minorEastAsia" w:cs="Times New Roman"/>
        </w:rPr>
        <w:tab/>
      </w:r>
      <w:r w:rsidR="00822CF0">
        <w:rPr>
          <w:rFonts w:eastAsiaTheme="minorEastAsia" w:cs="Times New Roman"/>
        </w:rPr>
        <w:tab/>
        <w:t xml:space="preserve">           (</w:t>
      </w:r>
      <w:r w:rsidR="005D0206">
        <w:rPr>
          <w:rFonts w:eastAsiaTheme="minorEastAsia" w:cs="Times New Roman"/>
        </w:rPr>
        <w:t>6</w:t>
      </w:r>
      <w:r w:rsidR="00822CF0">
        <w:rPr>
          <w:rFonts w:eastAsiaTheme="minorEastAsia" w:cs="Times New Roman"/>
        </w:rPr>
        <w:t>)</w:t>
      </w:r>
    </w:p>
    <w:p w14:paraId="487C794D" w14:textId="47722AEB" w:rsidR="008B3930" w:rsidRDefault="00013EE6" w:rsidP="00130ACB">
      <w:pPr>
        <w:rPr>
          <w:rFonts w:cs="Times New Roman"/>
        </w:rPr>
      </w:pPr>
      <w:r w:rsidRPr="00013EE6">
        <w:rPr>
          <w:rFonts w:cs="Times New Roman"/>
        </w:rPr>
        <w:t>However, with both electrochemical techniques</w:t>
      </w:r>
      <w:r w:rsidR="001E0511">
        <w:rPr>
          <w:rFonts w:cs="Times New Roman"/>
        </w:rPr>
        <w:t>,</w:t>
      </w:r>
      <w:r w:rsidRPr="00013EE6">
        <w:rPr>
          <w:rFonts w:cs="Times New Roman"/>
        </w:rPr>
        <w:t xml:space="preserve"> </w:t>
      </w:r>
      <w:r w:rsidR="00DA0218">
        <w:rPr>
          <w:rFonts w:cs="Times New Roman"/>
        </w:rPr>
        <w:t>a slightly</w:t>
      </w:r>
      <w:r w:rsidRPr="00013EE6">
        <w:rPr>
          <w:rFonts w:cs="Times New Roman"/>
        </w:rPr>
        <w:t xml:space="preserve"> lower H</w:t>
      </w:r>
      <w:r w:rsidRPr="00013EE6">
        <w:rPr>
          <w:rFonts w:cs="Times New Roman"/>
          <w:vertAlign w:val="superscript"/>
        </w:rPr>
        <w:t>+</w:t>
      </w:r>
      <w:r w:rsidRPr="00013EE6">
        <w:rPr>
          <w:rFonts w:cs="Times New Roman"/>
        </w:rPr>
        <w:t xml:space="preserve"> diffusion coefficient was verified for the oxygen rich PEO-H-25 barrier layer, indicating a slower transport with respect to </w:t>
      </w:r>
      <w:r w:rsidRPr="00013EE6">
        <w:rPr>
          <w:rFonts w:cs="Times New Roman"/>
        </w:rPr>
        <w:lastRenderedPageBreak/>
        <w:t>the interfacial region of PEO-DC constituted by oxygen deficient material made up of TiO (12 nm) and Ti</w:t>
      </w:r>
      <w:r w:rsidRPr="00013EE6">
        <w:rPr>
          <w:rFonts w:cs="Times New Roman"/>
          <w:vertAlign w:val="subscript"/>
        </w:rPr>
        <w:t>2</w:t>
      </w:r>
      <w:r w:rsidRPr="00013EE6">
        <w:rPr>
          <w:rFonts w:cs="Times New Roman"/>
        </w:rPr>
        <w:t>O</w:t>
      </w:r>
      <w:r w:rsidRPr="00013EE6">
        <w:rPr>
          <w:rFonts w:cs="Times New Roman"/>
          <w:vertAlign w:val="subscript"/>
        </w:rPr>
        <w:t>3</w:t>
      </w:r>
      <w:r w:rsidRPr="00013EE6">
        <w:rPr>
          <w:rFonts w:cs="Times New Roman"/>
        </w:rPr>
        <w:t xml:space="preserve"> (47 nm)</w:t>
      </w:r>
      <w:r w:rsidR="000C7D71">
        <w:rPr>
          <w:rFonts w:cs="Times New Roman"/>
        </w:rPr>
        <w:t>.</w:t>
      </w:r>
      <w:r w:rsidR="0046759A">
        <w:rPr>
          <w:rFonts w:cs="Times New Roman"/>
        </w:rPr>
        <w:t xml:space="preserve"> </w:t>
      </w:r>
      <w:r w:rsidR="00C37F44">
        <w:rPr>
          <w:rFonts w:cs="Times New Roman"/>
        </w:rPr>
        <w:t>This</w:t>
      </w:r>
      <w:r w:rsidR="00495BD6">
        <w:rPr>
          <w:rFonts w:cs="Times New Roman"/>
        </w:rPr>
        <w:t xml:space="preserve"> was </w:t>
      </w:r>
      <w:r w:rsidR="00C37F44">
        <w:rPr>
          <w:rFonts w:cs="Times New Roman"/>
        </w:rPr>
        <w:t>also</w:t>
      </w:r>
      <w:r w:rsidR="00A563CB">
        <w:rPr>
          <w:rFonts w:cs="Times New Roman"/>
        </w:rPr>
        <w:t xml:space="preserve"> </w:t>
      </w:r>
      <w:r w:rsidR="00BC75DC">
        <w:rPr>
          <w:rFonts w:cs="Times New Roman"/>
        </w:rPr>
        <w:t>highlighted</w:t>
      </w:r>
      <w:r w:rsidR="00A563CB">
        <w:rPr>
          <w:rFonts w:cs="Times New Roman"/>
        </w:rPr>
        <w:t xml:space="preserve"> by Yen </w:t>
      </w:r>
      <w:r w:rsidR="00A563CB" w:rsidRPr="00F91C79">
        <w:rPr>
          <w:rFonts w:cs="Times New Roman"/>
          <w:i/>
          <w:iCs/>
        </w:rPr>
        <w:t>et al.</w:t>
      </w:r>
      <w:r w:rsidR="001C2C0F">
        <w:rPr>
          <w:rFonts w:cs="Times New Roman"/>
          <w:i/>
          <w:iCs/>
        </w:rPr>
        <w:t xml:space="preserve"> </w:t>
      </w:r>
      <w:r w:rsidR="008D073A">
        <w:rPr>
          <w:rFonts w:cs="Times New Roman"/>
          <w:i/>
          <w:iCs/>
        </w:rPr>
        <w:fldChar w:fldCharType="begin" w:fldLock="1"/>
      </w:r>
      <w:r w:rsidR="00F36CB3">
        <w:rPr>
          <w:rFonts w:cs="Times New Roman"/>
          <w:i/>
          <w:iCs/>
        </w:rPr>
        <w:instrText>ADDIN CSL_CITATION {"citationItems":[{"id":"ITEM-1","itemData":{"DOI":"10.1016/S0010-938X(99)00022-0","ISSN":"0010938X","abstract":"Through Devanathan hydrogen permeation tests at temperatures 323 K ≤ T &lt; 363 K, the diffusion equation, D(eff)=D(k) exp(-Q/RT) for commercial pure Ti has been determined as D(k) = 20 cm2/s and Q = 76.4 kJ/mol. Combining the AES depth profile of components and a mathematical modeling with three assumptions, a novel method has been suggested to identify the retarding effect of thermally grown titanium oxide films on hydrogen entry. The retarding effect is due to a high hydrogen concentration ratio constant, K, which makes the interface concentration in the metal, C(h)m (1.8 x 10-5 mol/cm3) less than the subsurface concentration on the metal, C(h)m (5.5 x 10-5 mol/cm3) and a low diffusivity (= 2.8 x 10-16 cm2/s), but not the low subsurface concentration of hydrogen on the oxide film, C(h)(o) which is really as high as 0.038 mol/cm3. It is also found that titanium specimens oxidized at 973 K for 10 min can form not only a dense but also an oxygen-rich oxide film which has shown the best retarding effect. Due to the formation of TiH1.94 on the entry side layer, C(h)m (= 5.5 x 10-5 mol/cm3) on Ti is considered as the critical solubility limit in Ti.","author":[{"dropping-particle":"","family":"Yen","given":"S. K.","non-dropping-particle":"","parse-names":false,"suffix":""}],"container-title":"Corrosion Science","id":"ITEM-1","issue":"10","issued":{"date-parts":[["1999"]]},"page":"2031-2051","title":"Retardation effects of thermally grown oxide films on the hydrogen embrittlement of commercial pure titanium","type":"article-journal","volume":"41"},"uris":["http://www.mendeley.com/documents/?uuid=09eee158-e832-4f09-8a8a-4bc8e3b5030b"]}],"mendeley":{"formattedCitation":"[43]","plainTextFormattedCitation":"[43]","previouslyFormattedCitation":"[43]"},"properties":{"noteIndex":0},"schema":"https://github.com/citation-style-language/schema/raw/master/csl-citation.json"}</w:instrText>
      </w:r>
      <w:r w:rsidR="008D073A">
        <w:rPr>
          <w:rFonts w:cs="Times New Roman"/>
          <w:i/>
          <w:iCs/>
        </w:rPr>
        <w:fldChar w:fldCharType="separate"/>
      </w:r>
      <w:r w:rsidR="000D478A" w:rsidRPr="000D478A">
        <w:rPr>
          <w:rFonts w:cs="Times New Roman"/>
          <w:iCs/>
          <w:noProof/>
        </w:rPr>
        <w:t>[43]</w:t>
      </w:r>
      <w:r w:rsidR="008D073A">
        <w:rPr>
          <w:rFonts w:cs="Times New Roman"/>
          <w:i/>
          <w:iCs/>
        </w:rPr>
        <w:fldChar w:fldCharType="end"/>
      </w:r>
      <w:r w:rsidR="00F91C79">
        <w:rPr>
          <w:rFonts w:cs="Times New Roman"/>
        </w:rPr>
        <w:t xml:space="preserve">, </w:t>
      </w:r>
      <w:r w:rsidR="001C2C0F">
        <w:rPr>
          <w:rFonts w:cs="Times New Roman"/>
        </w:rPr>
        <w:t>emphasizing the importance</w:t>
      </w:r>
      <w:r w:rsidR="00BC75DC">
        <w:rPr>
          <w:rFonts w:cs="Times New Roman"/>
        </w:rPr>
        <w:t xml:space="preserve"> of</w:t>
      </w:r>
      <w:r w:rsidR="001C2C0F">
        <w:rPr>
          <w:rFonts w:cs="Times New Roman"/>
        </w:rPr>
        <w:t xml:space="preserve"> </w:t>
      </w:r>
      <w:r w:rsidR="008D073A">
        <w:rPr>
          <w:rFonts w:cs="Times New Roman"/>
        </w:rPr>
        <w:t xml:space="preserve">oxygen </w:t>
      </w:r>
      <w:r w:rsidR="002C0B9D">
        <w:rPr>
          <w:rFonts w:cs="Times New Roman"/>
        </w:rPr>
        <w:t xml:space="preserve">content </w:t>
      </w:r>
      <w:r w:rsidR="008D073A">
        <w:rPr>
          <w:rFonts w:cs="Times New Roman"/>
        </w:rPr>
        <w:t>with respect to</w:t>
      </w:r>
      <w:r w:rsidR="00C37F44">
        <w:rPr>
          <w:rFonts w:cs="Times New Roman"/>
        </w:rPr>
        <w:t xml:space="preserve"> oxide</w:t>
      </w:r>
      <w:r w:rsidR="008D073A">
        <w:rPr>
          <w:rFonts w:cs="Times New Roman"/>
        </w:rPr>
        <w:t xml:space="preserve"> thickness.</w:t>
      </w:r>
      <w:r w:rsidR="00E42E2C">
        <w:rPr>
          <w:rFonts w:cs="Times New Roman"/>
        </w:rPr>
        <w:t xml:space="preserve"> </w:t>
      </w:r>
      <w:r w:rsidR="00E42E2C" w:rsidRPr="00E42E2C">
        <w:rPr>
          <w:rFonts w:cs="Times New Roman"/>
        </w:rPr>
        <w:t>The role of oxygen vacanc</w:t>
      </w:r>
      <w:r w:rsidR="001E0511">
        <w:rPr>
          <w:rFonts w:cs="Times New Roman"/>
        </w:rPr>
        <w:t>ies</w:t>
      </w:r>
      <w:r w:rsidR="0032395F">
        <w:rPr>
          <w:rFonts w:cs="Times New Roman"/>
        </w:rPr>
        <w:t>,</w:t>
      </w:r>
      <w:r w:rsidR="00E42E2C" w:rsidRPr="00E42E2C">
        <w:rPr>
          <w:rFonts w:cs="Times New Roman"/>
        </w:rPr>
        <w:t xml:space="preserve"> </w:t>
      </w:r>
      <w:r w:rsidR="006956CC">
        <w:rPr>
          <w:rFonts w:cs="Times New Roman"/>
        </w:rPr>
        <w:t>in fact</w:t>
      </w:r>
      <w:r w:rsidR="0032395F">
        <w:rPr>
          <w:rFonts w:cs="Times New Roman"/>
        </w:rPr>
        <w:t>,</w:t>
      </w:r>
      <w:r w:rsidR="006956CC">
        <w:rPr>
          <w:rFonts w:cs="Times New Roman"/>
        </w:rPr>
        <w:t xml:space="preserve"> can</w:t>
      </w:r>
      <w:r w:rsidR="00E05784">
        <w:rPr>
          <w:rFonts w:cs="Times New Roman"/>
        </w:rPr>
        <w:t xml:space="preserve"> be</w:t>
      </w:r>
      <w:r w:rsidR="006956CC">
        <w:rPr>
          <w:rFonts w:cs="Times New Roman"/>
        </w:rPr>
        <w:t xml:space="preserve"> related to </w:t>
      </w:r>
      <w:r w:rsidR="00E42E2C" w:rsidRPr="00E42E2C">
        <w:rPr>
          <w:rFonts w:cs="Times New Roman"/>
        </w:rPr>
        <w:t>H</w:t>
      </w:r>
      <w:r w:rsidR="00E42E2C" w:rsidRPr="00E42E2C">
        <w:rPr>
          <w:rFonts w:cs="Times New Roman"/>
          <w:vertAlign w:val="subscript"/>
        </w:rPr>
        <w:t>ads</w:t>
      </w:r>
      <w:r w:rsidR="0032395F">
        <w:rPr>
          <w:rFonts w:cs="Times New Roman"/>
        </w:rPr>
        <w:t xml:space="preserve"> enhancement</w:t>
      </w:r>
      <w:r w:rsidR="00E42E2C" w:rsidRPr="00E42E2C">
        <w:rPr>
          <w:rFonts w:cs="Times New Roman"/>
        </w:rPr>
        <w:t>, a property also observed in other oxide systems like WO</w:t>
      </w:r>
      <w:r w:rsidR="00E42E2C" w:rsidRPr="00E42E2C">
        <w:rPr>
          <w:rFonts w:cs="Times New Roman"/>
          <w:vertAlign w:val="subscript"/>
        </w:rPr>
        <w:t>3</w:t>
      </w:r>
      <w:r w:rsidR="00E42E2C" w:rsidRPr="00E42E2C">
        <w:rPr>
          <w:rFonts w:cs="Times New Roman"/>
        </w:rPr>
        <w:t xml:space="preserve"> </w:t>
      </w:r>
      <w:r w:rsidR="00E42E2C" w:rsidRPr="00E42E2C">
        <w:rPr>
          <w:rFonts w:cs="Times New Roman"/>
        </w:rPr>
        <w:fldChar w:fldCharType="begin" w:fldLock="1"/>
      </w:r>
      <w:r w:rsidR="00F36CB3">
        <w:rPr>
          <w:rFonts w:cs="Times New Roman"/>
        </w:rPr>
        <w:instrText>ADDIN CSL_CITATION {"citationItems":[{"id":"ITEM-1","itemData":{"DOI":"10.1039/c8ta12219a","ISSN":"20507496","abstract":"Developing novel hydrogen evolution reaction (HER) catalysts with high activity, high stability and low cost is of great importance for the ever-broader applications of hydrogen energy. Among the conventionally used platinum-based heterogeneous catalysts, the high consumption but low utilization efficiency of precious platinum is one of the most crucial issues. Herein we present a facile approach to prepare an effective HER catalyst with platinum atom clusters highly dispersed in WO3@CFC (carbon fiber cloth). The fabricated Pt/def-WO3@CFC electrocatalyst shows an overpotential of 42 mV at 10 mA cm-2 for the HER in 0.5 M H2SO4, which is highly comparable to that of the state-of-the-art commercial Pt/C catalysts (34 mV), and more attractively, largely enhanced mass activity of Pt and excellent electrochemical stability compared to that of commercial Pt/C. The excellent HER performance of Pt/def-WO3@CFC is attributed to the synergetic catalytic effect between highly dispersed Pt atom clusters and WO3 nanoplates with oxygen vacancies, which enhances both electrocatalytic activity and durability.","author":[{"dropping-particle":"","family":"Tian","given":"Han","non-dropping-particle":"","parse-names":false,"suffix":""},{"dropping-particle":"","family":"Cui","given":"Xiangzhi","non-dropping-particle":"","parse-names":false,"suffix":""},{"dropping-particle":"","family":"Zeng","given":"Liming","non-dropping-particle":"","parse-names":false,"suffix":""},{"dropping-particle":"","family":"Su","given":"Liang","non-dropping-particle":"","parse-names":false,"suffix":""},{"dropping-particle":"","family":"Song","given":"Yiling","non-dropping-particle":"","parse-names":false,"suffix":""},{"dropping-particle":"","family":"Shi","given":"Jianlin","non-dropping-particle":"","parse-names":false,"suffix":""}],"container-title":"Journal of Materials Chemistry A","id":"ITEM-1","issue":"11","issued":{"date-parts":[["2019"]]},"page":"6285-6293","publisher":"Royal Society of Chemistry","title":"Oxygen vacancy-assisted hydrogen evolution reaction of the Pt/WO3 electrocatalyst","type":"article-journal","volume":"7"},"uris":["http://www.mendeley.com/documents/?uuid=2315c5b1-c982-4a3c-a270-9ebbaebe8625"]}],"mendeley":{"formattedCitation":"[44]","plainTextFormattedCitation":"[44]","previouslyFormattedCitation":"[44]"},"properties":{"noteIndex":0},"schema":"https://github.com/citation-style-language/schema/raw/master/csl-citation.json"}</w:instrText>
      </w:r>
      <w:r w:rsidR="00E42E2C" w:rsidRPr="00E42E2C">
        <w:rPr>
          <w:rFonts w:cs="Times New Roman"/>
        </w:rPr>
        <w:fldChar w:fldCharType="separate"/>
      </w:r>
      <w:r w:rsidR="000D478A" w:rsidRPr="000D478A">
        <w:rPr>
          <w:rFonts w:cs="Times New Roman"/>
          <w:noProof/>
        </w:rPr>
        <w:t>[44]</w:t>
      </w:r>
      <w:r w:rsidR="00E42E2C" w:rsidRPr="00E42E2C">
        <w:rPr>
          <w:rFonts w:cs="Times New Roman"/>
        </w:rPr>
        <w:fldChar w:fldCharType="end"/>
      </w:r>
      <w:r w:rsidR="00E42E2C" w:rsidRPr="00E42E2C">
        <w:rPr>
          <w:rFonts w:cs="Times New Roman"/>
        </w:rPr>
        <w:t>.</w:t>
      </w:r>
      <w:r w:rsidR="006956CC">
        <w:rPr>
          <w:rFonts w:cs="Times New Roman"/>
        </w:rPr>
        <w:t xml:space="preserve"> This can lead </w:t>
      </w:r>
      <w:r w:rsidR="001E2CCF">
        <w:rPr>
          <w:rFonts w:cs="Times New Roman"/>
        </w:rPr>
        <w:t>t</w:t>
      </w:r>
      <w:r w:rsidR="00F529A5">
        <w:rPr>
          <w:rFonts w:cs="Times New Roman"/>
        </w:rPr>
        <w:t>o substantial modification</w:t>
      </w:r>
      <w:r w:rsidR="00E740BF">
        <w:rPr>
          <w:rFonts w:cs="Times New Roman"/>
        </w:rPr>
        <w:t>s</w:t>
      </w:r>
      <w:r w:rsidR="00F529A5">
        <w:rPr>
          <w:rFonts w:cs="Times New Roman"/>
        </w:rPr>
        <w:t xml:space="preserve"> </w:t>
      </w:r>
      <w:r w:rsidR="00AB5553">
        <w:rPr>
          <w:rFonts w:cs="Times New Roman"/>
        </w:rPr>
        <w:t>of the corrosion mechanism</w:t>
      </w:r>
      <w:r w:rsidR="00F529A5">
        <w:rPr>
          <w:rFonts w:cs="Times New Roman"/>
        </w:rPr>
        <w:t xml:space="preserve"> </w:t>
      </w:r>
      <w:r w:rsidR="00F62C4C">
        <w:rPr>
          <w:rFonts w:cs="Times New Roman"/>
        </w:rPr>
        <w:t>particularly on</w:t>
      </w:r>
      <w:r w:rsidR="00AF4270">
        <w:rPr>
          <w:rFonts w:cs="Times New Roman"/>
        </w:rPr>
        <w:t xml:space="preserve"> HER occurring on the electrode surface.</w:t>
      </w:r>
    </w:p>
    <w:p w14:paraId="36C50DD1" w14:textId="4B305F82" w:rsidR="0021174B" w:rsidRDefault="00CC4B00" w:rsidP="00130ACB">
      <w:pPr>
        <w:rPr>
          <w:rFonts w:cs="Times New Roman"/>
        </w:rPr>
      </w:pPr>
      <w:r>
        <w:rPr>
          <w:rFonts w:cs="Times New Roman"/>
        </w:rPr>
        <w:t xml:space="preserve">To shed light on the role of the oxide structure </w:t>
      </w:r>
      <w:r w:rsidR="0029407F">
        <w:rPr>
          <w:rFonts w:cs="Times New Roman"/>
        </w:rPr>
        <w:t>on the electrochemistry occurring on the electrodes</w:t>
      </w:r>
      <w:r w:rsidR="00342B34">
        <w:rPr>
          <w:rFonts w:cs="Times New Roman"/>
        </w:rPr>
        <w:t>,</w:t>
      </w:r>
      <w:r>
        <w:rPr>
          <w:rFonts w:cs="Times New Roman"/>
        </w:rPr>
        <w:t xml:space="preserve"> c</w:t>
      </w:r>
      <w:r w:rsidR="00BB0B89">
        <w:rPr>
          <w:rFonts w:cs="Times New Roman"/>
        </w:rPr>
        <w:t>urrent transient</w:t>
      </w:r>
      <w:r w:rsidR="00D23E71">
        <w:rPr>
          <w:rFonts w:cs="Times New Roman"/>
        </w:rPr>
        <w:t>s</w:t>
      </w:r>
      <w:r w:rsidR="00AA14EC">
        <w:rPr>
          <w:rFonts w:cs="Times New Roman"/>
        </w:rPr>
        <w:t xml:space="preserve"> </w:t>
      </w:r>
      <w:r w:rsidR="00E07031">
        <w:rPr>
          <w:rFonts w:cs="Times New Roman"/>
        </w:rPr>
        <w:t>w</w:t>
      </w:r>
      <w:r w:rsidR="00D23E71">
        <w:rPr>
          <w:rFonts w:cs="Times New Roman"/>
        </w:rPr>
        <w:t>ere</w:t>
      </w:r>
      <w:r w:rsidR="00E07031">
        <w:rPr>
          <w:rFonts w:cs="Times New Roman"/>
        </w:rPr>
        <w:t xml:space="preserve"> further fitted considering a model </w:t>
      </w:r>
      <w:r w:rsidR="00DF31F1">
        <w:rPr>
          <w:rFonts w:cs="Times New Roman"/>
        </w:rPr>
        <w:t>(</w:t>
      </w:r>
      <w:r w:rsidR="00E07031">
        <w:rPr>
          <w:rFonts w:cs="Times New Roman"/>
        </w:rPr>
        <w:t>which can be found elsewhere</w:t>
      </w:r>
      <w:r w:rsidR="0028630B">
        <w:rPr>
          <w:rFonts w:cs="Times New Roman"/>
        </w:rPr>
        <w:t xml:space="preserve"> </w:t>
      </w:r>
      <w:r w:rsidR="0028630B">
        <w:rPr>
          <w:rFonts w:cs="Times New Roman"/>
        </w:rPr>
        <w:fldChar w:fldCharType="begin" w:fldLock="1"/>
      </w:r>
      <w:r w:rsidR="00F36CB3">
        <w:rPr>
          <w:rFonts w:cs="Times New Roman"/>
        </w:rPr>
        <w:instrText>ADDIN CSL_CITATION {"citationItems":[{"id":"ITEM-1","itemData":{"DOI":"10.1016/j.electacta.2015.03.137","ISSN":"00134686","abstract":"Step potential electrochemical spectroscopy (SPECS) has been developed as an electrochemical method for application to electrochemical capacitors, in this case for an activated carbon electrode in 0.5 M H2SO4. The method involves the application of a sequence of small potential steps over the potential window used by the electrode under study, followed by a relatively long rest time after each potential step. Modelling of the SPECS data has been used to extract the contributions made by electrical double layer charge storage and diffusional (redox) processes to the total electrode performance. Outcomes from the application of this approach highlight the dominant charge storage mechanisms at both high and low cycle rates, as well as allow differentiation of 'capacitor-like' or 'battery-like' electrode behaviour. The SPECS data has also been analysed so as to enable calculation of voltammograms at different scan rates for the electrode system. Finally, electrode performance data has also been presented and discussed.","author":[{"dropping-particle":"","family":"Dupont","given":"Madeleine F.","non-dropping-particle":"","parse-names":false,"suffix":""},{"dropping-particle":"","family":"Donne","given":"Scott W.","non-dropping-particle":"","parse-names":false,"suffix":""}],"container-title":"Electrochimica Acta","id":"ITEM-1","issued":{"date-parts":[["2015"]]},"page":"268-277","publisher":"Elsevier Ltd","title":"A Step Potential Electrochemical Spectroscopy Analysis of Electrochemical Capacitor Electrode Performance","type":"article-journal","volume":"167"},"uris":["http://www.mendeley.com/documents/?uuid=537f61b6-2df3-4226-aab9-da1113f6fcf3"]}],"mendeley":{"formattedCitation":"[45]","plainTextFormattedCitation":"[45]","previouslyFormattedCitation":"[45]"},"properties":{"noteIndex":0},"schema":"https://github.com/citation-style-language/schema/raw/master/csl-citation.json"}</w:instrText>
      </w:r>
      <w:r w:rsidR="0028630B">
        <w:rPr>
          <w:rFonts w:cs="Times New Roman"/>
        </w:rPr>
        <w:fldChar w:fldCharType="separate"/>
      </w:r>
      <w:r w:rsidR="000D478A" w:rsidRPr="000D478A">
        <w:rPr>
          <w:rFonts w:cs="Times New Roman"/>
          <w:noProof/>
        </w:rPr>
        <w:t>[45]</w:t>
      </w:r>
      <w:r w:rsidR="0028630B">
        <w:rPr>
          <w:rFonts w:cs="Times New Roman"/>
        </w:rPr>
        <w:fldChar w:fldCharType="end"/>
      </w:r>
      <w:r w:rsidR="00DF31F1">
        <w:rPr>
          <w:rFonts w:cs="Times New Roman"/>
        </w:rPr>
        <w:t>)</w:t>
      </w:r>
      <w:r w:rsidR="00E07031">
        <w:rPr>
          <w:rFonts w:cs="Times New Roman"/>
        </w:rPr>
        <w:t xml:space="preserve"> </w:t>
      </w:r>
      <w:r w:rsidR="00125837">
        <w:rPr>
          <w:rFonts w:cs="Times New Roman"/>
        </w:rPr>
        <w:t>allowing separation of the three main contribution</w:t>
      </w:r>
      <w:r w:rsidR="00CA25D7">
        <w:rPr>
          <w:rFonts w:cs="Times New Roman"/>
        </w:rPr>
        <w:t>s,</w:t>
      </w:r>
      <w:r w:rsidR="00474653">
        <w:rPr>
          <w:rFonts w:cs="Times New Roman"/>
        </w:rPr>
        <w:t xml:space="preserve"> according to the use of </w:t>
      </w:r>
      <w:r w:rsidR="00474653" w:rsidRPr="00474653">
        <w:rPr>
          <w:rFonts w:cs="Times New Roman"/>
          <w:b/>
          <w:bCs/>
        </w:rPr>
        <w:t xml:space="preserve">Eq. </w:t>
      </w:r>
      <w:r w:rsidR="000609B1">
        <w:rPr>
          <w:rFonts w:cs="Times New Roman"/>
          <w:b/>
          <w:bCs/>
        </w:rPr>
        <w:t>7</w:t>
      </w:r>
      <w:r w:rsidR="00474653">
        <w:rPr>
          <w:rFonts w:cs="Times New Roman"/>
        </w:rPr>
        <w:t>,</w:t>
      </w:r>
      <w:r w:rsidR="00125837">
        <w:rPr>
          <w:rFonts w:cs="Times New Roman"/>
        </w:rPr>
        <w:t xml:space="preserve"> </w:t>
      </w:r>
      <w:r w:rsidR="001E2CCF">
        <w:rPr>
          <w:rFonts w:cs="Times New Roman"/>
        </w:rPr>
        <w:t>arising</w:t>
      </w:r>
      <w:r w:rsidR="00125837">
        <w:rPr>
          <w:rFonts w:cs="Times New Roman"/>
        </w:rPr>
        <w:t xml:space="preserve"> from: double-layer response, diffusion</w:t>
      </w:r>
      <w:r w:rsidR="00CA25D7">
        <w:rPr>
          <w:rFonts w:cs="Times New Roman"/>
        </w:rPr>
        <w:t>al</w:t>
      </w:r>
      <w:r w:rsidR="00125837">
        <w:rPr>
          <w:rFonts w:cs="Times New Roman"/>
        </w:rPr>
        <w:t xml:space="preserve"> current and ongoing </w:t>
      </w:r>
      <w:r w:rsidR="0028630B">
        <w:rPr>
          <w:rFonts w:cs="Times New Roman"/>
        </w:rPr>
        <w:t>faradaic reactions</w:t>
      </w:r>
    </w:p>
    <w:p w14:paraId="4836882C" w14:textId="7672BA97" w:rsidR="00474653" w:rsidRDefault="00B63CF9" w:rsidP="00130ACB">
      <w:pPr>
        <w:rPr>
          <w:rFonts w:eastAsiaTheme="minorEastAsia" w:cs="Times New Roman"/>
        </w:rPr>
      </w:pPr>
      <m:oMath>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T</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V</m:t>
            </m:r>
          </m:num>
          <m:den>
            <m:r>
              <w:rPr>
                <w:rFonts w:ascii="Cambria Math" w:hAnsi="Cambria Math" w:cs="Times New Roman"/>
              </w:rPr>
              <m:t>R</m:t>
            </m:r>
          </m:den>
        </m:f>
        <m:func>
          <m:funcPr>
            <m:ctrlPr>
              <w:rPr>
                <w:rFonts w:ascii="Cambria Math" w:hAnsi="Cambria Math" w:cs="Times New Roman"/>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m:t>
                </m:r>
                <m:f>
                  <m:fPr>
                    <m:ctrlPr>
                      <w:rPr>
                        <w:rFonts w:ascii="Cambria Math" w:hAnsi="Cambria Math" w:cs="Times New Roman"/>
                        <w:i/>
                      </w:rPr>
                    </m:ctrlPr>
                  </m:fPr>
                  <m:num>
                    <m:r>
                      <w:rPr>
                        <w:rFonts w:ascii="Cambria Math" w:hAnsi="Cambria Math" w:cs="Times New Roman"/>
                      </w:rPr>
                      <m:t>t</m:t>
                    </m:r>
                  </m:num>
                  <m:den>
                    <m:r>
                      <w:rPr>
                        <w:rFonts w:ascii="Cambria Math" w:hAnsi="Cambria Math" w:cs="Times New Roman"/>
                      </w:rPr>
                      <m:t>R</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edl</m:t>
                        </m:r>
                      </m:sub>
                    </m:sSub>
                  </m:den>
                </m:f>
              </m:e>
            </m:d>
          </m:e>
        </m:func>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m:t>
            </m:r>
          </m:num>
          <m:den>
            <m:sSup>
              <m:sSupPr>
                <m:ctrlPr>
                  <w:rPr>
                    <w:rFonts w:ascii="Cambria Math" w:hAnsi="Cambria Math" w:cs="Times New Roman"/>
                    <w:i/>
                  </w:rPr>
                </m:ctrlPr>
              </m:sSupPr>
              <m:e>
                <m:r>
                  <w:rPr>
                    <w:rFonts w:ascii="Cambria Math" w:hAnsi="Cambria Math" w:cs="Times New Roman"/>
                  </w:rPr>
                  <m:t>t</m:t>
                </m:r>
              </m:e>
              <m:sup>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2</m:t>
                    </m:r>
                  </m:den>
                </m:f>
              </m:sup>
            </m:sSup>
          </m:den>
        </m:f>
        <m:r>
          <w:rPr>
            <w:rFonts w:ascii="Cambria Math" w:eastAsiaTheme="minorEastAsia" w:hAnsi="Cambria Math" w:cs="Times New Roman"/>
          </w:rPr>
          <m:t>+F</m:t>
        </m:r>
      </m:oMath>
      <w:r w:rsidR="00467440">
        <w:rPr>
          <w:rFonts w:eastAsiaTheme="minorEastAsia" w:cs="Times New Roman"/>
        </w:rPr>
        <w:tab/>
      </w:r>
      <w:r w:rsidR="00467440">
        <w:rPr>
          <w:rFonts w:eastAsiaTheme="minorEastAsia" w:cs="Times New Roman"/>
        </w:rPr>
        <w:tab/>
      </w:r>
      <w:r w:rsidR="00467440">
        <w:rPr>
          <w:rFonts w:eastAsiaTheme="minorEastAsia" w:cs="Times New Roman"/>
        </w:rPr>
        <w:tab/>
      </w:r>
      <w:r w:rsidR="00467440">
        <w:rPr>
          <w:rFonts w:eastAsiaTheme="minorEastAsia" w:cs="Times New Roman"/>
        </w:rPr>
        <w:tab/>
      </w:r>
      <w:r w:rsidR="00467440">
        <w:rPr>
          <w:rFonts w:eastAsiaTheme="minorEastAsia" w:cs="Times New Roman"/>
        </w:rPr>
        <w:tab/>
      </w:r>
      <w:r w:rsidR="00467440">
        <w:rPr>
          <w:rFonts w:eastAsiaTheme="minorEastAsia" w:cs="Times New Roman"/>
        </w:rPr>
        <w:tab/>
      </w:r>
      <w:r w:rsidR="00467440">
        <w:rPr>
          <w:rFonts w:eastAsiaTheme="minorEastAsia" w:cs="Times New Roman"/>
        </w:rPr>
        <w:tab/>
      </w:r>
      <w:r w:rsidR="00467440">
        <w:rPr>
          <w:rFonts w:eastAsiaTheme="minorEastAsia" w:cs="Times New Roman"/>
        </w:rPr>
        <w:tab/>
        <w:t xml:space="preserve">           (</w:t>
      </w:r>
      <w:r w:rsidR="000609B1">
        <w:rPr>
          <w:rFonts w:eastAsiaTheme="minorEastAsia" w:cs="Times New Roman"/>
        </w:rPr>
        <w:t>7</w:t>
      </w:r>
      <w:r w:rsidR="00467440">
        <w:rPr>
          <w:rFonts w:eastAsiaTheme="minorEastAsia" w:cs="Times New Roman"/>
        </w:rPr>
        <w:t>)</w:t>
      </w:r>
    </w:p>
    <w:p w14:paraId="035C5DF8" w14:textId="69ACDFC0" w:rsidR="00467440" w:rsidRDefault="00467440" w:rsidP="00130ACB">
      <w:pPr>
        <w:rPr>
          <w:rFonts w:eastAsiaTheme="minorEastAsia" w:cs="Times New Roman"/>
        </w:rPr>
      </w:pPr>
      <w:r>
        <w:rPr>
          <w:rFonts w:eastAsiaTheme="minorEastAsia" w:cs="Times New Roman"/>
        </w:rPr>
        <w:t xml:space="preserve">where </w:t>
      </w:r>
      <w:r w:rsidR="008968A5">
        <w:rPr>
          <w:rFonts w:eastAsiaTheme="minorEastAsia" w:cs="Times New Roman"/>
        </w:rPr>
        <w:t>V</w:t>
      </w:r>
      <w:r w:rsidR="004D761E">
        <w:rPr>
          <w:rFonts w:eastAsiaTheme="minorEastAsia" w:cs="Times New Roman"/>
        </w:rPr>
        <w:t xml:space="preserve"> </w:t>
      </w:r>
      <w:r w:rsidR="00D844B5">
        <w:rPr>
          <w:rFonts w:eastAsiaTheme="minorEastAsia" w:cs="Times New Roman"/>
        </w:rPr>
        <w:t xml:space="preserve">is </w:t>
      </w:r>
      <w:r w:rsidR="00CA25D7">
        <w:rPr>
          <w:rFonts w:eastAsiaTheme="minorEastAsia" w:cs="Times New Roman"/>
        </w:rPr>
        <w:t xml:space="preserve">the </w:t>
      </w:r>
      <w:r w:rsidR="00D844B5">
        <w:rPr>
          <w:rFonts w:eastAsiaTheme="minorEastAsia" w:cs="Times New Roman"/>
        </w:rPr>
        <w:t>applied polarization,</w:t>
      </w:r>
      <w:r w:rsidR="008968A5">
        <w:rPr>
          <w:rFonts w:eastAsiaTheme="minorEastAsia" w:cs="Times New Roman"/>
        </w:rPr>
        <w:t xml:space="preserve"> C</w:t>
      </w:r>
      <w:r w:rsidR="00D844B5">
        <w:rPr>
          <w:rFonts w:eastAsiaTheme="minorEastAsia" w:cs="Times New Roman"/>
          <w:vertAlign w:val="subscript"/>
        </w:rPr>
        <w:t>edl</w:t>
      </w:r>
      <w:r w:rsidR="00D844B5">
        <w:rPr>
          <w:rFonts w:eastAsiaTheme="minorEastAsia" w:cs="Times New Roman"/>
        </w:rPr>
        <w:t xml:space="preserve">, </w:t>
      </w:r>
      <w:r w:rsidR="004D761E">
        <w:rPr>
          <w:rFonts w:eastAsiaTheme="minorEastAsia" w:cs="Times New Roman"/>
        </w:rPr>
        <w:t>R,</w:t>
      </w:r>
      <w:r w:rsidR="008968A5">
        <w:rPr>
          <w:rFonts w:eastAsiaTheme="minorEastAsia" w:cs="Times New Roman"/>
        </w:rPr>
        <w:t xml:space="preserve"> B and F are </w:t>
      </w:r>
      <w:r w:rsidR="00CD461E">
        <w:rPr>
          <w:rFonts w:eastAsiaTheme="minorEastAsia" w:cs="Times New Roman"/>
        </w:rPr>
        <w:t>fitting parameters</w:t>
      </w:r>
      <w:r w:rsidR="006F438F">
        <w:rPr>
          <w:rFonts w:eastAsiaTheme="minorEastAsia" w:cs="Times New Roman"/>
        </w:rPr>
        <w:t>,</w:t>
      </w:r>
      <w:r w:rsidR="004D761E">
        <w:rPr>
          <w:rFonts w:eastAsiaTheme="minorEastAsia" w:cs="Times New Roman"/>
        </w:rPr>
        <w:t xml:space="preserve"> evaluated according to non</w:t>
      </w:r>
      <w:r w:rsidR="00CE6B40">
        <w:rPr>
          <w:rFonts w:eastAsiaTheme="minorEastAsia" w:cs="Times New Roman"/>
        </w:rPr>
        <w:t>-</w:t>
      </w:r>
      <w:r w:rsidR="004D761E">
        <w:rPr>
          <w:rFonts w:eastAsiaTheme="minorEastAsia" w:cs="Times New Roman"/>
        </w:rPr>
        <w:t xml:space="preserve">linear </w:t>
      </w:r>
      <w:r w:rsidR="00B47B46">
        <w:rPr>
          <w:rFonts w:eastAsiaTheme="minorEastAsia" w:cs="Times New Roman"/>
        </w:rPr>
        <w:t xml:space="preserve">least square regression performed thanks to </w:t>
      </w:r>
      <w:r w:rsidR="00280CBE">
        <w:rPr>
          <w:rFonts w:eastAsiaTheme="minorEastAsia" w:cs="Times New Roman"/>
        </w:rPr>
        <w:t>SciPy</w:t>
      </w:r>
      <w:r w:rsidR="00B47B46">
        <w:rPr>
          <w:rFonts w:eastAsiaTheme="minorEastAsia" w:cs="Times New Roman"/>
        </w:rPr>
        <w:t xml:space="preserve"> </w:t>
      </w:r>
      <w:r w:rsidR="00E861D0">
        <w:rPr>
          <w:rFonts w:eastAsiaTheme="minorEastAsia" w:cs="Times New Roman"/>
        </w:rPr>
        <w:fldChar w:fldCharType="begin" w:fldLock="1"/>
      </w:r>
      <w:r w:rsidR="00F36CB3">
        <w:rPr>
          <w:rFonts w:eastAsiaTheme="minorEastAsia" w:cs="Times New Roman"/>
        </w:rPr>
        <w:instrText>ADDIN CSL_CITATION {"citationItems":[{"id":"ITEM-1","itemData":{"DOI":"10.1017/9781108778039.009","abstract":"• Scipy est une librairie de calcul scientifique pour Python • Elle s'appuie sur les structures de données de NumPy (vecteurs, matrices) • Scipy couvre de nombreux domaines Il n'est pas possible de tout aborder dans ce support. Pour aller plus loin, voir absolument le manuel de référence (utilisé pour préparer ce diaporama).","author":[{"dropping-particle":"","family":"Hill","given":"Christian","non-dropping-particle":"","parse-names":false,"suffix":""}],"container-title":"Learning Scientific Programming with Python","id":"ITEM-1","issued":{"date-parts":[["2020"]]},"title":"SciPy","type":"chapter"},"uris":["http://www.mendeley.com/documents/?uuid=70ea5534-3745-4895-8f18-7e1ec316dc70","http://www.mendeley.com/documents/?uuid=edd22541-e936-4fa6-8836-e8f2a109720e"]}],"mendeley":{"formattedCitation":"[46]","plainTextFormattedCitation":"[46]","previouslyFormattedCitation":"[46]"},"properties":{"noteIndex":0},"schema":"https://github.com/citation-style-language/schema/raw/master/csl-citation.json"}</w:instrText>
      </w:r>
      <w:r w:rsidR="00E861D0">
        <w:rPr>
          <w:rFonts w:eastAsiaTheme="minorEastAsia" w:cs="Times New Roman"/>
        </w:rPr>
        <w:fldChar w:fldCharType="separate"/>
      </w:r>
      <w:r w:rsidR="000D478A" w:rsidRPr="000D478A">
        <w:rPr>
          <w:rFonts w:eastAsiaTheme="minorEastAsia" w:cs="Times New Roman"/>
          <w:noProof/>
        </w:rPr>
        <w:t>[46]</w:t>
      </w:r>
      <w:r w:rsidR="00E861D0">
        <w:rPr>
          <w:rFonts w:eastAsiaTheme="minorEastAsia" w:cs="Times New Roman"/>
        </w:rPr>
        <w:fldChar w:fldCharType="end"/>
      </w:r>
      <w:r w:rsidR="00371409">
        <w:rPr>
          <w:rFonts w:eastAsiaTheme="minorEastAsia" w:cs="Times New Roman"/>
        </w:rPr>
        <w:t>.</w:t>
      </w:r>
      <w:r w:rsidR="006F438F">
        <w:rPr>
          <w:rFonts w:eastAsiaTheme="minorEastAsia" w:cs="Times New Roman"/>
        </w:rPr>
        <w:t xml:space="preserve"> </w:t>
      </w:r>
      <w:r w:rsidR="00371409">
        <w:rPr>
          <w:rFonts w:eastAsiaTheme="minorEastAsia" w:cs="Times New Roman"/>
        </w:rPr>
        <w:t>R is a series resistance attributed to electrolyte</w:t>
      </w:r>
      <w:r w:rsidR="00BF7DCA">
        <w:rPr>
          <w:rFonts w:eastAsiaTheme="minorEastAsia" w:cs="Times New Roman"/>
        </w:rPr>
        <w:t>,</w:t>
      </w:r>
      <w:r w:rsidR="00371409">
        <w:rPr>
          <w:rFonts w:eastAsiaTheme="minorEastAsia" w:cs="Times New Roman"/>
        </w:rPr>
        <w:t xml:space="preserve"> </w:t>
      </w:r>
      <w:r w:rsidR="00601FCF">
        <w:rPr>
          <w:rFonts w:eastAsiaTheme="minorEastAsia" w:cs="Times New Roman"/>
        </w:rPr>
        <w:t>electrodes,</w:t>
      </w:r>
      <w:r w:rsidR="00271A8F">
        <w:rPr>
          <w:rFonts w:eastAsiaTheme="minorEastAsia" w:cs="Times New Roman"/>
        </w:rPr>
        <w:t xml:space="preserve"> and cables</w:t>
      </w:r>
      <w:r w:rsidR="00891482">
        <w:rPr>
          <w:rFonts w:eastAsiaTheme="minorEastAsia" w:cs="Times New Roman"/>
        </w:rPr>
        <w:t>,</w:t>
      </w:r>
      <w:r w:rsidR="00D844B5" w:rsidRPr="00D844B5">
        <w:rPr>
          <w:rFonts w:eastAsiaTheme="minorEastAsia" w:cs="Times New Roman"/>
        </w:rPr>
        <w:t xml:space="preserve"> C</w:t>
      </w:r>
      <w:r w:rsidR="00D844B5" w:rsidRPr="00D844B5">
        <w:rPr>
          <w:rFonts w:eastAsiaTheme="minorEastAsia" w:cs="Times New Roman"/>
          <w:vertAlign w:val="subscript"/>
        </w:rPr>
        <w:t>edl</w:t>
      </w:r>
      <w:r w:rsidR="00D844B5" w:rsidRPr="00D844B5">
        <w:rPr>
          <w:rFonts w:eastAsiaTheme="minorEastAsia" w:cs="Times New Roman"/>
        </w:rPr>
        <w:t xml:space="preserve"> is the double layer capacitance</w:t>
      </w:r>
      <w:r w:rsidR="00D844B5">
        <w:rPr>
          <w:rFonts w:eastAsiaTheme="minorEastAsia" w:cs="Times New Roman"/>
        </w:rPr>
        <w:t>,</w:t>
      </w:r>
      <w:r w:rsidR="00891482">
        <w:rPr>
          <w:rFonts w:eastAsiaTheme="minorEastAsia" w:cs="Times New Roman"/>
        </w:rPr>
        <w:t xml:space="preserve"> B</w:t>
      </w:r>
      <w:r w:rsidR="00EA7920">
        <w:rPr>
          <w:rFonts w:eastAsiaTheme="minorEastAsia" w:cs="Times New Roman"/>
        </w:rPr>
        <w:t xml:space="preserve"> is a mass transport </w:t>
      </w:r>
      <w:r w:rsidR="00AA37A1">
        <w:rPr>
          <w:rFonts w:eastAsiaTheme="minorEastAsia" w:cs="Times New Roman"/>
        </w:rPr>
        <w:t>index</w:t>
      </w:r>
      <w:r w:rsidR="00891482">
        <w:rPr>
          <w:rFonts w:eastAsiaTheme="minorEastAsia" w:cs="Times New Roman"/>
        </w:rPr>
        <w:t xml:space="preserve"> contain</w:t>
      </w:r>
      <w:r w:rsidR="00AA37A1">
        <w:rPr>
          <w:rFonts w:eastAsiaTheme="minorEastAsia" w:cs="Times New Roman"/>
        </w:rPr>
        <w:t>ing</w:t>
      </w:r>
      <w:r w:rsidR="00891482">
        <w:rPr>
          <w:rFonts w:eastAsiaTheme="minorEastAsia" w:cs="Times New Roman"/>
        </w:rPr>
        <w:t xml:space="preserve"> parameters of the Cottrell equation</w:t>
      </w:r>
      <w:r w:rsidR="0014209C">
        <w:rPr>
          <w:rFonts w:eastAsiaTheme="minorEastAsia" w:cs="Times New Roman"/>
        </w:rPr>
        <w:t xml:space="preserve"> while F relates to the presence of </w:t>
      </w:r>
      <w:r w:rsidR="009C16B0">
        <w:rPr>
          <w:rFonts w:eastAsiaTheme="minorEastAsia" w:cs="Times New Roman"/>
        </w:rPr>
        <w:t>current arising from</w:t>
      </w:r>
      <w:r w:rsidR="00AA37A1">
        <w:rPr>
          <w:rFonts w:eastAsiaTheme="minorEastAsia" w:cs="Times New Roman"/>
        </w:rPr>
        <w:t xml:space="preserve"> residual</w:t>
      </w:r>
      <w:r w:rsidR="009C16B0">
        <w:rPr>
          <w:rFonts w:eastAsiaTheme="minorEastAsia" w:cs="Times New Roman"/>
        </w:rPr>
        <w:t xml:space="preserve"> faradaic reactions </w:t>
      </w:r>
      <w:r w:rsidR="00CD461E">
        <w:rPr>
          <w:rFonts w:eastAsiaTheme="minorEastAsia" w:cs="Times New Roman"/>
        </w:rPr>
        <w:t>(mainly HER).</w:t>
      </w:r>
      <w:r w:rsidR="00327880">
        <w:rPr>
          <w:rFonts w:eastAsiaTheme="minorEastAsia" w:cs="Times New Roman"/>
        </w:rPr>
        <w:t xml:space="preserve"> Results</w:t>
      </w:r>
      <w:r w:rsidR="00492206">
        <w:rPr>
          <w:rFonts w:eastAsiaTheme="minorEastAsia" w:cs="Times New Roman"/>
        </w:rPr>
        <w:t>, in terms of cathodic current</w:t>
      </w:r>
      <w:r w:rsidR="00022D2F">
        <w:rPr>
          <w:rFonts w:eastAsiaTheme="minorEastAsia" w:cs="Times New Roman"/>
        </w:rPr>
        <w:t xml:space="preserve"> density</w:t>
      </w:r>
      <w:r w:rsidR="00492206">
        <w:rPr>
          <w:rFonts w:eastAsiaTheme="minorEastAsia" w:cs="Times New Roman"/>
        </w:rPr>
        <w:t xml:space="preserve"> Vs time,</w:t>
      </w:r>
      <w:r w:rsidR="00327880">
        <w:rPr>
          <w:rFonts w:eastAsiaTheme="minorEastAsia" w:cs="Times New Roman"/>
        </w:rPr>
        <w:t xml:space="preserve"> are plotted in </w:t>
      </w:r>
      <w:r w:rsidR="00327880" w:rsidRPr="00C80DAA">
        <w:rPr>
          <w:rFonts w:eastAsiaTheme="minorEastAsia" w:cs="Times New Roman"/>
          <w:b/>
          <w:bCs/>
        </w:rPr>
        <w:t xml:space="preserve">Fig. </w:t>
      </w:r>
      <w:r w:rsidR="006F1485">
        <w:rPr>
          <w:rFonts w:eastAsiaTheme="minorEastAsia" w:cs="Times New Roman"/>
          <w:b/>
          <w:bCs/>
        </w:rPr>
        <w:t>14</w:t>
      </w:r>
      <w:r w:rsidR="00492206">
        <w:rPr>
          <w:rFonts w:eastAsiaTheme="minorEastAsia" w:cs="Times New Roman"/>
          <w:b/>
          <w:bCs/>
        </w:rPr>
        <w:t xml:space="preserve"> </w:t>
      </w:r>
      <w:r w:rsidR="00492206">
        <w:rPr>
          <w:rFonts w:eastAsiaTheme="minorEastAsia" w:cs="Times New Roman"/>
        </w:rPr>
        <w:t>in case of cathodic polarization held for 45 s</w:t>
      </w:r>
      <w:r w:rsidR="00327880">
        <w:rPr>
          <w:rFonts w:eastAsiaTheme="minorEastAsia" w:cs="Times New Roman"/>
        </w:rPr>
        <w:t xml:space="preserve"> </w:t>
      </w:r>
      <w:r w:rsidR="00456E9E">
        <w:rPr>
          <w:rFonts w:eastAsiaTheme="minorEastAsia" w:cs="Times New Roman"/>
        </w:rPr>
        <w:t xml:space="preserve">for both </w:t>
      </w:r>
      <w:r w:rsidR="00C80DAA">
        <w:rPr>
          <w:rFonts w:eastAsiaTheme="minorEastAsia" w:cs="Times New Roman"/>
        </w:rPr>
        <w:t>materials</w:t>
      </w:r>
      <w:r w:rsidR="00022D2F">
        <w:rPr>
          <w:rFonts w:eastAsiaTheme="minorEastAsia" w:cs="Times New Roman"/>
        </w:rPr>
        <w:t>.</w:t>
      </w:r>
      <w:r w:rsidR="007E1713">
        <w:rPr>
          <w:rFonts w:eastAsiaTheme="minorEastAsia" w:cs="Times New Roman"/>
        </w:rPr>
        <w:t xml:space="preserve"> </w:t>
      </w:r>
    </w:p>
    <w:p w14:paraId="1FC6560C" w14:textId="77777777" w:rsidR="00DF0A68" w:rsidRDefault="00FB415F" w:rsidP="00434471">
      <w:pPr>
        <w:keepNext/>
        <w:spacing w:after="0"/>
        <w:jc w:val="center"/>
      </w:pPr>
      <w:r>
        <w:rPr>
          <w:rFonts w:cs="Times New Roman"/>
          <w:noProof/>
        </w:rPr>
        <w:drawing>
          <wp:inline distT="0" distB="0" distL="0" distR="0" wp14:anchorId="6F06E59A" wp14:editId="5FD917C0">
            <wp:extent cx="5006340" cy="1951355"/>
            <wp:effectExtent l="0" t="0" r="3810" b="0"/>
            <wp:docPr id="13" name="Picture 1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10;&#10;Description automatically generated"/>
                    <pic:cNvPicPr/>
                  </pic:nvPicPr>
                  <pic:blipFill rotWithShape="1">
                    <a:blip r:embed="rId22"/>
                    <a:srcRect l="9214" r="8985"/>
                    <a:stretch/>
                  </pic:blipFill>
                  <pic:spPr bwMode="auto">
                    <a:xfrm>
                      <a:off x="0" y="0"/>
                      <a:ext cx="5006340" cy="1951355"/>
                    </a:xfrm>
                    <a:prstGeom prst="rect">
                      <a:avLst/>
                    </a:prstGeom>
                    <a:ln>
                      <a:noFill/>
                    </a:ln>
                    <a:extLst>
                      <a:ext uri="{53640926-AAD7-44D8-BBD7-CCE9431645EC}">
                        <a14:shadowObscured xmlns:a14="http://schemas.microsoft.com/office/drawing/2010/main"/>
                      </a:ext>
                    </a:extLst>
                  </pic:spPr>
                </pic:pic>
              </a:graphicData>
            </a:graphic>
          </wp:inline>
        </w:drawing>
      </w:r>
    </w:p>
    <w:p w14:paraId="795F9DE9" w14:textId="22D07B54" w:rsidR="007E1713" w:rsidRPr="00DF0A68" w:rsidRDefault="00DF0A68" w:rsidP="00DF0A68">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14</w:t>
      </w:r>
      <w:r>
        <w:fldChar w:fldCharType="end"/>
      </w:r>
      <w:r>
        <w:t xml:space="preserve">. </w:t>
      </w:r>
      <w:r>
        <w:rPr>
          <w:b w:val="0"/>
          <w:bCs/>
        </w:rPr>
        <w:t>Experimental data and fitting of the current transient</w:t>
      </w:r>
      <w:r w:rsidR="0047493D">
        <w:rPr>
          <w:b w:val="0"/>
          <w:bCs/>
        </w:rPr>
        <w:t xml:space="preserve"> of sample </w:t>
      </w:r>
      <w:r w:rsidR="0047493D" w:rsidRPr="0047493D">
        <w:t>a)</w:t>
      </w:r>
      <w:r w:rsidR="0047493D">
        <w:rPr>
          <w:b w:val="0"/>
          <w:bCs/>
        </w:rPr>
        <w:t xml:space="preserve"> PEO-DC and </w:t>
      </w:r>
      <w:r w:rsidR="0047493D" w:rsidRPr="0047493D">
        <w:t>b)</w:t>
      </w:r>
      <w:r w:rsidR="0047493D">
        <w:rPr>
          <w:b w:val="0"/>
          <w:bCs/>
        </w:rPr>
        <w:t xml:space="preserve"> PEO-H-25</w:t>
      </w:r>
      <w:r>
        <w:rPr>
          <w:b w:val="0"/>
          <w:bCs/>
        </w:rPr>
        <w:t xml:space="preserve"> arising from application of a potential step of -1 V/SSC</w:t>
      </w:r>
      <w:r>
        <w:rPr>
          <w:b w:val="0"/>
          <w:bCs/>
          <w:vertAlign w:val="subscript"/>
        </w:rPr>
        <w:t>sat.</w:t>
      </w:r>
      <w:r>
        <w:rPr>
          <w:b w:val="0"/>
          <w:bCs/>
        </w:rPr>
        <w:t xml:space="preserve"> </w:t>
      </w:r>
      <w:r w:rsidR="0047493D">
        <w:rPr>
          <w:b w:val="0"/>
          <w:bCs/>
        </w:rPr>
        <w:t>held for 45 s.</w:t>
      </w:r>
    </w:p>
    <w:p w14:paraId="1F1B14D7" w14:textId="1187B859" w:rsidR="00601FCF" w:rsidRDefault="00CA25D7" w:rsidP="001448A2">
      <w:pPr>
        <w:spacing w:before="240"/>
        <w:rPr>
          <w:rFonts w:cs="Times New Roman"/>
        </w:rPr>
      </w:pPr>
      <w:r w:rsidRPr="00CA25D7">
        <w:rPr>
          <w:rFonts w:cs="Times New Roman"/>
        </w:rPr>
        <w:lastRenderedPageBreak/>
        <w:t xml:space="preserve">A slight deviation from the theoretical model is observed for PEO-H-25, </w:t>
      </w:r>
      <w:r w:rsidR="00F13BA2">
        <w:rPr>
          <w:rFonts w:cs="Times New Roman"/>
        </w:rPr>
        <w:t>caused by</w:t>
      </w:r>
      <w:r w:rsidRPr="00CA25D7">
        <w:rPr>
          <w:rFonts w:cs="Times New Roman"/>
        </w:rPr>
        <w:t xml:space="preserve"> the higher residual current due to HER, </w:t>
      </w:r>
      <w:r w:rsidR="00601FCF" w:rsidRPr="00CA25D7">
        <w:rPr>
          <w:rFonts w:cs="Times New Roman"/>
        </w:rPr>
        <w:t>continuously</w:t>
      </w:r>
      <w:r w:rsidRPr="00CA25D7">
        <w:rPr>
          <w:rFonts w:cs="Times New Roman"/>
        </w:rPr>
        <w:t xml:space="preserve"> increasing along all the selected time windows</w:t>
      </w:r>
      <w:r>
        <w:rPr>
          <w:rFonts w:cs="Times New Roman"/>
        </w:rPr>
        <w:t xml:space="preserve">. </w:t>
      </w:r>
      <w:r w:rsidR="004947FB">
        <w:rPr>
          <w:rFonts w:cs="Times New Roman"/>
        </w:rPr>
        <w:t>F</w:t>
      </w:r>
      <w:r w:rsidR="00EB582C">
        <w:rPr>
          <w:rFonts w:cs="Times New Roman"/>
        </w:rPr>
        <w:t>itting</w:t>
      </w:r>
      <w:r w:rsidR="004947FB">
        <w:rPr>
          <w:rFonts w:cs="Times New Roman"/>
        </w:rPr>
        <w:t xml:space="preserve"> parameters</w:t>
      </w:r>
      <w:r w:rsidR="00EB582C">
        <w:rPr>
          <w:rFonts w:cs="Times New Roman"/>
        </w:rPr>
        <w:t xml:space="preserve"> are collected in </w:t>
      </w:r>
      <w:r w:rsidR="00EB582C" w:rsidRPr="0081745A">
        <w:rPr>
          <w:rFonts w:cs="Times New Roman"/>
          <w:b/>
          <w:bCs/>
        </w:rPr>
        <w:t>Table</w:t>
      </w:r>
      <w:r w:rsidR="001C421B" w:rsidRPr="0081745A">
        <w:rPr>
          <w:rFonts w:cs="Times New Roman"/>
          <w:b/>
          <w:bCs/>
        </w:rPr>
        <w:t xml:space="preserve"> </w:t>
      </w:r>
      <w:r w:rsidR="0081745A" w:rsidRPr="0081745A">
        <w:rPr>
          <w:rFonts w:cs="Times New Roman"/>
          <w:b/>
          <w:bCs/>
        </w:rPr>
        <w:t>1</w:t>
      </w:r>
      <w:r w:rsidR="001C421B">
        <w:rPr>
          <w:rFonts w:cs="Times New Roman"/>
        </w:rPr>
        <w:t>:</w:t>
      </w:r>
    </w:p>
    <w:p w14:paraId="61B2FB15" w14:textId="79AB7CF8" w:rsidR="002528C1" w:rsidRPr="002528C1" w:rsidRDefault="002528C1" w:rsidP="002528C1">
      <w:pPr>
        <w:pStyle w:val="Caption"/>
        <w:keepNext/>
        <w:jc w:val="center"/>
        <w:rPr>
          <w:b w:val="0"/>
          <w:bCs/>
        </w:rPr>
      </w:pPr>
      <w:r>
        <w:t xml:space="preserve">Table </w:t>
      </w:r>
      <w:r>
        <w:fldChar w:fldCharType="begin"/>
      </w:r>
      <w:r>
        <w:instrText xml:space="preserve"> SEQ Table \* ARABIC </w:instrText>
      </w:r>
      <w:r>
        <w:fldChar w:fldCharType="separate"/>
      </w:r>
      <w:r>
        <w:rPr>
          <w:noProof/>
        </w:rPr>
        <w:t>1</w:t>
      </w:r>
      <w:r>
        <w:fldChar w:fldCharType="end"/>
      </w:r>
      <w:r>
        <w:t xml:space="preserve">. </w:t>
      </w:r>
      <w:r w:rsidR="0081745A">
        <w:rPr>
          <w:b w:val="0"/>
          <w:bCs/>
        </w:rPr>
        <w:t xml:space="preserve">Electrochemical parameters extracted according to fitting of the current transient response highlighted in </w:t>
      </w:r>
      <w:r w:rsidR="0081745A" w:rsidRPr="002524E6">
        <w:rPr>
          <w:b w:val="0"/>
          <w:bCs/>
        </w:rPr>
        <w:t>Fig. 14</w:t>
      </w:r>
      <w:r w:rsidR="0081745A">
        <w:rPr>
          <w:b w:val="0"/>
          <w:bCs/>
        </w:rPr>
        <w:t>.</w:t>
      </w:r>
    </w:p>
    <w:tbl>
      <w:tblPr>
        <w:tblW w:w="93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1700"/>
        <w:gridCol w:w="1134"/>
        <w:gridCol w:w="1134"/>
        <w:gridCol w:w="1134"/>
        <w:gridCol w:w="1277"/>
        <w:gridCol w:w="1276"/>
        <w:gridCol w:w="1701"/>
      </w:tblGrid>
      <w:tr w:rsidR="00F90A23" w:rsidRPr="000B3154" w14:paraId="1853721F" w14:textId="62F51102" w:rsidTr="004F540B">
        <w:trPr>
          <w:trHeight w:val="433"/>
          <w:jc w:val="center"/>
        </w:trPr>
        <w:tc>
          <w:tcPr>
            <w:tcW w:w="1700" w:type="dxa"/>
            <w:tcBorders>
              <w:top w:val="nil"/>
              <w:left w:val="nil"/>
              <w:bottom w:val="single" w:sz="4" w:space="0" w:color="auto"/>
              <w:right w:val="single" w:sz="4" w:space="0" w:color="auto"/>
            </w:tcBorders>
            <w:shd w:val="clear" w:color="auto" w:fill="auto"/>
            <w:vAlign w:val="center"/>
          </w:tcPr>
          <w:p w14:paraId="5E8665B3" w14:textId="38D44F28" w:rsidR="00F90A23" w:rsidRPr="0032787F" w:rsidRDefault="00F90A23" w:rsidP="001A7445">
            <w:pPr>
              <w:spacing w:after="0" w:line="240" w:lineRule="auto"/>
              <w:jc w:val="center"/>
              <w:rPr>
                <w:rFonts w:cs="Times New Roman"/>
                <w:sz w:val="20"/>
                <w:szCs w:val="20"/>
              </w:rPr>
            </w:pPr>
          </w:p>
        </w:tc>
        <w:tc>
          <w:tcPr>
            <w:tcW w:w="2268" w:type="dxa"/>
            <w:gridSpan w:val="2"/>
            <w:tcBorders>
              <w:left w:val="single" w:sz="4" w:space="0" w:color="auto"/>
            </w:tcBorders>
            <w:shd w:val="clear" w:color="auto" w:fill="D0CECE" w:themeFill="background2" w:themeFillShade="E6"/>
            <w:vAlign w:val="center"/>
          </w:tcPr>
          <w:p w14:paraId="27050185" w14:textId="0F41E4CD" w:rsidR="00F90A23" w:rsidRPr="0032787F" w:rsidRDefault="00F90A23" w:rsidP="001A7445">
            <w:pPr>
              <w:spacing w:after="0" w:line="240" w:lineRule="auto"/>
              <w:jc w:val="center"/>
              <w:rPr>
                <w:rFonts w:cs="Times New Roman"/>
                <w:b/>
                <w:bCs/>
                <w:sz w:val="20"/>
                <w:szCs w:val="20"/>
              </w:rPr>
            </w:pPr>
            <w:r w:rsidRPr="0032787F">
              <w:rPr>
                <w:rFonts w:cs="Times New Roman"/>
                <w:b/>
                <w:bCs/>
                <w:sz w:val="20"/>
                <w:szCs w:val="20"/>
              </w:rPr>
              <w:t>30 s</w:t>
            </w:r>
          </w:p>
        </w:tc>
        <w:tc>
          <w:tcPr>
            <w:tcW w:w="2411" w:type="dxa"/>
            <w:gridSpan w:val="2"/>
            <w:shd w:val="clear" w:color="auto" w:fill="D0CECE" w:themeFill="background2" w:themeFillShade="E6"/>
            <w:vAlign w:val="center"/>
          </w:tcPr>
          <w:p w14:paraId="66452D7D" w14:textId="7DAB08C9" w:rsidR="00F90A23" w:rsidRPr="0032787F" w:rsidRDefault="00F90A23" w:rsidP="001A7445">
            <w:pPr>
              <w:spacing w:after="0" w:line="240" w:lineRule="auto"/>
              <w:jc w:val="center"/>
              <w:rPr>
                <w:rFonts w:cs="Times New Roman"/>
                <w:b/>
                <w:bCs/>
                <w:sz w:val="20"/>
                <w:szCs w:val="20"/>
              </w:rPr>
            </w:pPr>
            <w:r w:rsidRPr="0032787F">
              <w:rPr>
                <w:rFonts w:cs="Times New Roman"/>
                <w:b/>
                <w:bCs/>
                <w:sz w:val="20"/>
                <w:szCs w:val="20"/>
              </w:rPr>
              <w:t>45 s</w:t>
            </w:r>
          </w:p>
        </w:tc>
        <w:tc>
          <w:tcPr>
            <w:tcW w:w="2977" w:type="dxa"/>
            <w:gridSpan w:val="2"/>
            <w:shd w:val="clear" w:color="auto" w:fill="D0CECE" w:themeFill="background2" w:themeFillShade="E6"/>
            <w:vAlign w:val="center"/>
          </w:tcPr>
          <w:p w14:paraId="6E9A664C" w14:textId="1F0B12A0" w:rsidR="00F90A23" w:rsidRPr="0032787F" w:rsidRDefault="00F90A23" w:rsidP="001A7445">
            <w:pPr>
              <w:spacing w:after="0" w:line="240" w:lineRule="auto"/>
              <w:jc w:val="center"/>
              <w:rPr>
                <w:rFonts w:cs="Times New Roman"/>
                <w:b/>
                <w:bCs/>
                <w:sz w:val="20"/>
                <w:szCs w:val="20"/>
              </w:rPr>
            </w:pPr>
            <w:r w:rsidRPr="0032787F">
              <w:rPr>
                <w:rFonts w:cs="Times New Roman"/>
                <w:b/>
                <w:bCs/>
                <w:sz w:val="20"/>
                <w:szCs w:val="20"/>
              </w:rPr>
              <w:t>90 s</w:t>
            </w:r>
          </w:p>
        </w:tc>
      </w:tr>
      <w:tr w:rsidR="00310EBC" w:rsidRPr="000B3154" w14:paraId="61DDE900" w14:textId="77777777" w:rsidTr="004F540B">
        <w:trPr>
          <w:jc w:val="center"/>
        </w:trPr>
        <w:tc>
          <w:tcPr>
            <w:tcW w:w="1700" w:type="dxa"/>
            <w:tcBorders>
              <w:top w:val="single" w:sz="4" w:space="0" w:color="auto"/>
            </w:tcBorders>
            <w:vAlign w:val="center"/>
          </w:tcPr>
          <w:p w14:paraId="034B2CDB" w14:textId="6EC93B13" w:rsidR="00EF44E9" w:rsidRPr="0032787F" w:rsidRDefault="00674FE9" w:rsidP="001A7445">
            <w:pPr>
              <w:spacing w:after="0" w:line="240" w:lineRule="auto"/>
              <w:jc w:val="center"/>
              <w:rPr>
                <w:rFonts w:cs="Times New Roman"/>
                <w:sz w:val="20"/>
                <w:szCs w:val="20"/>
              </w:rPr>
            </w:pPr>
            <w:r w:rsidRPr="0032787F">
              <w:rPr>
                <w:rFonts w:cs="Times New Roman"/>
                <w:sz w:val="20"/>
                <w:szCs w:val="20"/>
              </w:rPr>
              <w:t>Parameters</w:t>
            </w:r>
          </w:p>
        </w:tc>
        <w:tc>
          <w:tcPr>
            <w:tcW w:w="1134" w:type="dxa"/>
            <w:vAlign w:val="center"/>
          </w:tcPr>
          <w:p w14:paraId="76046E26" w14:textId="6DE17CA9" w:rsidR="00EF44E9" w:rsidRPr="0032787F" w:rsidRDefault="00605CF5" w:rsidP="001A7445">
            <w:pPr>
              <w:spacing w:after="0" w:line="240" w:lineRule="auto"/>
              <w:jc w:val="center"/>
              <w:rPr>
                <w:rFonts w:cs="Times New Roman"/>
                <w:sz w:val="20"/>
                <w:szCs w:val="20"/>
              </w:rPr>
            </w:pPr>
            <w:r w:rsidRPr="0032787F">
              <w:rPr>
                <w:rFonts w:cs="Times New Roman"/>
                <w:sz w:val="20"/>
                <w:szCs w:val="20"/>
              </w:rPr>
              <w:t>DC</w:t>
            </w:r>
          </w:p>
        </w:tc>
        <w:tc>
          <w:tcPr>
            <w:tcW w:w="1134" w:type="dxa"/>
            <w:vAlign w:val="center"/>
          </w:tcPr>
          <w:p w14:paraId="2302A889" w14:textId="69FB4DB5" w:rsidR="00EF44E9" w:rsidRPr="0032787F" w:rsidRDefault="00605CF5" w:rsidP="001A7445">
            <w:pPr>
              <w:spacing w:after="0" w:line="240" w:lineRule="auto"/>
              <w:jc w:val="center"/>
              <w:rPr>
                <w:rFonts w:cs="Times New Roman"/>
                <w:sz w:val="20"/>
                <w:szCs w:val="20"/>
              </w:rPr>
            </w:pPr>
            <w:r w:rsidRPr="0032787F">
              <w:rPr>
                <w:rFonts w:cs="Times New Roman"/>
                <w:sz w:val="20"/>
                <w:szCs w:val="20"/>
              </w:rPr>
              <w:t>25</w:t>
            </w:r>
          </w:p>
        </w:tc>
        <w:tc>
          <w:tcPr>
            <w:tcW w:w="1134" w:type="dxa"/>
            <w:vAlign w:val="center"/>
          </w:tcPr>
          <w:p w14:paraId="38085C92" w14:textId="1C5F5982" w:rsidR="00EF44E9" w:rsidRPr="0032787F" w:rsidRDefault="00605CF5" w:rsidP="001A7445">
            <w:pPr>
              <w:spacing w:after="0" w:line="240" w:lineRule="auto"/>
              <w:jc w:val="center"/>
              <w:rPr>
                <w:rFonts w:cs="Times New Roman"/>
                <w:sz w:val="20"/>
                <w:szCs w:val="20"/>
              </w:rPr>
            </w:pPr>
            <w:r w:rsidRPr="0032787F">
              <w:rPr>
                <w:rFonts w:cs="Times New Roman"/>
                <w:sz w:val="20"/>
                <w:szCs w:val="20"/>
              </w:rPr>
              <w:t>DC</w:t>
            </w:r>
          </w:p>
        </w:tc>
        <w:tc>
          <w:tcPr>
            <w:tcW w:w="1277" w:type="dxa"/>
            <w:vAlign w:val="center"/>
          </w:tcPr>
          <w:p w14:paraId="33D42DD9" w14:textId="52C4F974" w:rsidR="00EF44E9" w:rsidRPr="0032787F" w:rsidRDefault="00605CF5" w:rsidP="001A7445">
            <w:pPr>
              <w:spacing w:after="0" w:line="240" w:lineRule="auto"/>
              <w:jc w:val="center"/>
              <w:rPr>
                <w:rFonts w:cs="Times New Roman"/>
                <w:sz w:val="20"/>
                <w:szCs w:val="20"/>
              </w:rPr>
            </w:pPr>
            <w:r w:rsidRPr="0032787F">
              <w:rPr>
                <w:rFonts w:cs="Times New Roman"/>
                <w:sz w:val="20"/>
                <w:szCs w:val="20"/>
              </w:rPr>
              <w:t>25</w:t>
            </w:r>
          </w:p>
        </w:tc>
        <w:tc>
          <w:tcPr>
            <w:tcW w:w="1276" w:type="dxa"/>
            <w:vAlign w:val="center"/>
          </w:tcPr>
          <w:p w14:paraId="6DEFAB61" w14:textId="22E7CDC9" w:rsidR="00EF44E9" w:rsidRPr="0032787F" w:rsidRDefault="00605CF5" w:rsidP="001A7445">
            <w:pPr>
              <w:spacing w:after="0" w:line="240" w:lineRule="auto"/>
              <w:jc w:val="center"/>
              <w:rPr>
                <w:rFonts w:cs="Times New Roman"/>
                <w:sz w:val="20"/>
                <w:szCs w:val="20"/>
              </w:rPr>
            </w:pPr>
            <w:r w:rsidRPr="0032787F">
              <w:rPr>
                <w:rFonts w:cs="Times New Roman"/>
                <w:sz w:val="20"/>
                <w:szCs w:val="20"/>
              </w:rPr>
              <w:t>DC</w:t>
            </w:r>
          </w:p>
        </w:tc>
        <w:tc>
          <w:tcPr>
            <w:tcW w:w="1701" w:type="dxa"/>
            <w:vAlign w:val="center"/>
          </w:tcPr>
          <w:p w14:paraId="1E8EA85E" w14:textId="56D92344" w:rsidR="00EF44E9" w:rsidRPr="0032787F" w:rsidRDefault="00605CF5" w:rsidP="001A7445">
            <w:pPr>
              <w:spacing w:after="0" w:line="240" w:lineRule="auto"/>
              <w:jc w:val="center"/>
              <w:rPr>
                <w:rFonts w:cs="Times New Roman"/>
                <w:sz w:val="20"/>
                <w:szCs w:val="20"/>
              </w:rPr>
            </w:pPr>
            <w:r w:rsidRPr="0032787F">
              <w:rPr>
                <w:rFonts w:cs="Times New Roman"/>
                <w:sz w:val="20"/>
                <w:szCs w:val="20"/>
              </w:rPr>
              <w:t>25</w:t>
            </w:r>
          </w:p>
        </w:tc>
      </w:tr>
      <w:tr w:rsidR="00310EBC" w:rsidRPr="000B3154" w14:paraId="638178A8" w14:textId="7583781F" w:rsidTr="004F540B">
        <w:trPr>
          <w:jc w:val="center"/>
        </w:trPr>
        <w:tc>
          <w:tcPr>
            <w:tcW w:w="1700" w:type="dxa"/>
            <w:vAlign w:val="center"/>
          </w:tcPr>
          <w:p w14:paraId="544DD04C" w14:textId="098F3A62" w:rsidR="001A7445" w:rsidRPr="0032787F" w:rsidRDefault="001A7445" w:rsidP="001A7445">
            <w:pPr>
              <w:spacing w:after="0" w:line="240" w:lineRule="auto"/>
              <w:jc w:val="center"/>
              <w:rPr>
                <w:rFonts w:cs="Times New Roman"/>
                <w:sz w:val="20"/>
                <w:szCs w:val="20"/>
              </w:rPr>
            </w:pPr>
            <w:r w:rsidRPr="0032787F">
              <w:rPr>
                <w:rFonts w:cs="Times New Roman"/>
                <w:sz w:val="20"/>
                <w:szCs w:val="20"/>
              </w:rPr>
              <w:t>R</w:t>
            </w:r>
            <w:r w:rsidRPr="0032787F">
              <w:rPr>
                <w:rFonts w:cs="Times New Roman"/>
                <w:sz w:val="20"/>
                <w:szCs w:val="20"/>
                <w:vertAlign w:val="subscript"/>
              </w:rPr>
              <w:t>s</w:t>
            </w:r>
            <w:r w:rsidR="007970CD" w:rsidRPr="0032787F">
              <w:rPr>
                <w:rFonts w:cs="Times New Roman"/>
                <w:sz w:val="20"/>
                <w:szCs w:val="20"/>
              </w:rPr>
              <w:t xml:space="preserve"> (Ω</w:t>
            </w:r>
            <w:r w:rsidR="00FF7C78" w:rsidRPr="0032787F">
              <w:rPr>
                <w:rFonts w:cs="Times New Roman"/>
                <w:sz w:val="20"/>
                <w:szCs w:val="20"/>
              </w:rPr>
              <w:t>·</w:t>
            </w:r>
            <w:r w:rsidR="007970CD" w:rsidRPr="0032787F">
              <w:rPr>
                <w:rFonts w:cs="Times New Roman"/>
                <w:sz w:val="20"/>
                <w:szCs w:val="20"/>
              </w:rPr>
              <w:t>cm</w:t>
            </w:r>
            <w:r w:rsidR="007970CD" w:rsidRPr="0032787F">
              <w:rPr>
                <w:rFonts w:cs="Times New Roman"/>
                <w:sz w:val="20"/>
                <w:szCs w:val="20"/>
                <w:vertAlign w:val="superscript"/>
              </w:rPr>
              <w:t>2</w:t>
            </w:r>
            <w:r w:rsidR="007970CD" w:rsidRPr="0032787F">
              <w:rPr>
                <w:rFonts w:cs="Times New Roman"/>
                <w:sz w:val="20"/>
                <w:szCs w:val="20"/>
              </w:rPr>
              <w:t>)</w:t>
            </w:r>
          </w:p>
        </w:tc>
        <w:tc>
          <w:tcPr>
            <w:tcW w:w="1134" w:type="dxa"/>
            <w:vAlign w:val="center"/>
          </w:tcPr>
          <w:p w14:paraId="483CE6ED" w14:textId="4EB71DDF"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1.62</w:t>
            </w:r>
            <m:oMath>
              <m:r>
                <w:rPr>
                  <w:rFonts w:ascii="Cambria Math" w:hAnsi="Cambria Math" w:cs="Times New Roman"/>
                  <w:color w:val="000000"/>
                  <w:sz w:val="20"/>
                  <w:szCs w:val="20"/>
                </w:rPr>
                <m:t>±</m:t>
              </m:r>
            </m:oMath>
            <w:r w:rsidR="00F509DD" w:rsidRPr="0032787F">
              <w:rPr>
                <w:rFonts w:eastAsiaTheme="minorEastAsia" w:cs="Times New Roman"/>
                <w:color w:val="000000"/>
                <w:sz w:val="20"/>
                <w:szCs w:val="20"/>
              </w:rPr>
              <w:t>0.1</w:t>
            </w:r>
          </w:p>
        </w:tc>
        <w:tc>
          <w:tcPr>
            <w:tcW w:w="1134" w:type="dxa"/>
            <w:vAlign w:val="center"/>
          </w:tcPr>
          <w:p w14:paraId="6373DA7A" w14:textId="21EBBF71"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1.73</w:t>
            </w:r>
            <m:oMath>
              <m:r>
                <w:rPr>
                  <w:rFonts w:ascii="Cambria Math" w:hAnsi="Cambria Math" w:cs="Times New Roman"/>
                  <w:color w:val="000000"/>
                  <w:sz w:val="20"/>
                  <w:szCs w:val="20"/>
                </w:rPr>
                <m:t>±</m:t>
              </m:r>
            </m:oMath>
            <w:r w:rsidR="00F509DD" w:rsidRPr="0032787F">
              <w:rPr>
                <w:rFonts w:eastAsiaTheme="minorEastAsia" w:cs="Times New Roman"/>
                <w:color w:val="000000"/>
                <w:sz w:val="20"/>
                <w:szCs w:val="20"/>
              </w:rPr>
              <w:t>0.</w:t>
            </w:r>
            <w:r w:rsidR="008A66DC" w:rsidRPr="0032787F">
              <w:rPr>
                <w:rFonts w:eastAsiaTheme="minorEastAsia" w:cs="Times New Roman"/>
                <w:color w:val="000000"/>
                <w:sz w:val="20"/>
                <w:szCs w:val="20"/>
              </w:rPr>
              <w:t>1</w:t>
            </w:r>
          </w:p>
        </w:tc>
        <w:tc>
          <w:tcPr>
            <w:tcW w:w="1134" w:type="dxa"/>
            <w:vAlign w:val="center"/>
          </w:tcPr>
          <w:p w14:paraId="6E9165FD" w14:textId="6C1C1975"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1.55</w:t>
            </w:r>
            <m:oMath>
              <m:r>
                <w:rPr>
                  <w:rFonts w:ascii="Cambria Math" w:hAnsi="Cambria Math" w:cs="Times New Roman"/>
                  <w:color w:val="000000"/>
                  <w:sz w:val="20"/>
                  <w:szCs w:val="20"/>
                </w:rPr>
                <m:t>±</m:t>
              </m:r>
            </m:oMath>
            <w:r w:rsidR="00DB367F" w:rsidRPr="0032787F">
              <w:rPr>
                <w:rFonts w:eastAsiaTheme="minorEastAsia" w:cs="Times New Roman"/>
                <w:color w:val="000000"/>
                <w:sz w:val="20"/>
                <w:szCs w:val="20"/>
              </w:rPr>
              <w:t>0.1</w:t>
            </w:r>
          </w:p>
        </w:tc>
        <w:tc>
          <w:tcPr>
            <w:tcW w:w="1277" w:type="dxa"/>
            <w:vAlign w:val="center"/>
          </w:tcPr>
          <w:p w14:paraId="5B029BC9" w14:textId="2C76F3CE"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1.63</w:t>
            </w:r>
            <m:oMath>
              <m:r>
                <w:rPr>
                  <w:rFonts w:ascii="Cambria Math" w:hAnsi="Cambria Math" w:cs="Times New Roman"/>
                  <w:color w:val="000000"/>
                  <w:sz w:val="20"/>
                  <w:szCs w:val="20"/>
                </w:rPr>
                <m:t>±</m:t>
              </m:r>
            </m:oMath>
            <w:r w:rsidR="00DB367F" w:rsidRPr="0032787F">
              <w:rPr>
                <w:rFonts w:eastAsiaTheme="minorEastAsia" w:cs="Times New Roman"/>
                <w:color w:val="000000"/>
                <w:sz w:val="20"/>
                <w:szCs w:val="20"/>
              </w:rPr>
              <w:t>0.2</w:t>
            </w:r>
          </w:p>
        </w:tc>
        <w:tc>
          <w:tcPr>
            <w:tcW w:w="1276" w:type="dxa"/>
            <w:vAlign w:val="center"/>
          </w:tcPr>
          <w:p w14:paraId="0E1F580C" w14:textId="580B377A"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1.75</w:t>
            </w:r>
            <m:oMath>
              <m:r>
                <w:rPr>
                  <w:rFonts w:ascii="Cambria Math" w:hAnsi="Cambria Math" w:cs="Times New Roman"/>
                  <w:color w:val="000000"/>
                  <w:sz w:val="20"/>
                  <w:szCs w:val="20"/>
                </w:rPr>
                <m:t>±</m:t>
              </m:r>
            </m:oMath>
            <w:r w:rsidR="00DB367F" w:rsidRPr="0032787F">
              <w:rPr>
                <w:rFonts w:eastAsiaTheme="minorEastAsia" w:cs="Times New Roman"/>
                <w:color w:val="000000"/>
                <w:sz w:val="20"/>
                <w:szCs w:val="20"/>
              </w:rPr>
              <w:t>0.14</w:t>
            </w:r>
          </w:p>
        </w:tc>
        <w:tc>
          <w:tcPr>
            <w:tcW w:w="1701" w:type="dxa"/>
            <w:vAlign w:val="center"/>
          </w:tcPr>
          <w:p w14:paraId="4FA4317A" w14:textId="34821F31"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2.06</w:t>
            </w:r>
            <m:oMath>
              <m:r>
                <w:rPr>
                  <w:rFonts w:ascii="Cambria Math" w:hAnsi="Cambria Math" w:cs="Times New Roman"/>
                  <w:color w:val="000000"/>
                  <w:sz w:val="20"/>
                  <w:szCs w:val="20"/>
                </w:rPr>
                <m:t>±</m:t>
              </m:r>
            </m:oMath>
            <w:r w:rsidR="00DB367F" w:rsidRPr="0032787F">
              <w:rPr>
                <w:rFonts w:eastAsiaTheme="minorEastAsia" w:cs="Times New Roman"/>
                <w:color w:val="000000"/>
                <w:sz w:val="20"/>
                <w:szCs w:val="20"/>
              </w:rPr>
              <w:t>0.11</w:t>
            </w:r>
          </w:p>
        </w:tc>
      </w:tr>
      <w:tr w:rsidR="00310EBC" w:rsidRPr="000B3154" w14:paraId="62367A1D" w14:textId="5010B05F" w:rsidTr="004F540B">
        <w:trPr>
          <w:jc w:val="center"/>
        </w:trPr>
        <w:tc>
          <w:tcPr>
            <w:tcW w:w="1700" w:type="dxa"/>
            <w:vAlign w:val="center"/>
          </w:tcPr>
          <w:p w14:paraId="78FEBCFD" w14:textId="3E69B910" w:rsidR="001A7445" w:rsidRPr="0032787F" w:rsidRDefault="001A7445" w:rsidP="001A7445">
            <w:pPr>
              <w:spacing w:after="0" w:line="240" w:lineRule="auto"/>
              <w:jc w:val="center"/>
              <w:rPr>
                <w:rFonts w:cs="Times New Roman"/>
                <w:sz w:val="20"/>
                <w:szCs w:val="20"/>
                <w:lang w:val="it-IT"/>
              </w:rPr>
            </w:pPr>
            <w:r w:rsidRPr="0032787F">
              <w:rPr>
                <w:rFonts w:cs="Times New Roman"/>
                <w:sz w:val="20"/>
                <w:szCs w:val="20"/>
                <w:lang w:val="it-IT"/>
              </w:rPr>
              <w:t>C</w:t>
            </w:r>
            <w:r w:rsidRPr="0032787F">
              <w:rPr>
                <w:rFonts w:cs="Times New Roman"/>
                <w:sz w:val="20"/>
                <w:szCs w:val="20"/>
                <w:vertAlign w:val="subscript"/>
                <w:lang w:val="it-IT"/>
              </w:rPr>
              <w:t>edl</w:t>
            </w:r>
            <w:r w:rsidR="007970CD" w:rsidRPr="0032787F">
              <w:rPr>
                <w:rFonts w:cs="Times New Roman"/>
                <w:sz w:val="20"/>
                <w:szCs w:val="20"/>
                <w:lang w:val="it-IT"/>
              </w:rPr>
              <w:t xml:space="preserve"> (</w:t>
            </w:r>
            <w:r w:rsidR="00A3198D" w:rsidRPr="0032787F">
              <w:rPr>
                <w:rFonts w:cs="Times New Roman"/>
                <w:sz w:val="20"/>
                <w:szCs w:val="20"/>
                <w:lang w:val="it-IT"/>
              </w:rPr>
              <w:t>F</w:t>
            </w:r>
            <w:r w:rsidR="00FF7C78" w:rsidRPr="0032787F">
              <w:rPr>
                <w:rFonts w:cs="Times New Roman"/>
                <w:sz w:val="20"/>
                <w:szCs w:val="20"/>
              </w:rPr>
              <w:t>·</w:t>
            </w:r>
            <w:r w:rsidR="00A3198D" w:rsidRPr="0032787F">
              <w:rPr>
                <w:rFonts w:cs="Times New Roman"/>
                <w:sz w:val="20"/>
                <w:szCs w:val="20"/>
                <w:lang w:val="it-IT"/>
              </w:rPr>
              <w:t>cm</w:t>
            </w:r>
            <w:r w:rsidR="00A3198D" w:rsidRPr="0032787F">
              <w:rPr>
                <w:rFonts w:cs="Times New Roman"/>
                <w:sz w:val="20"/>
                <w:szCs w:val="20"/>
                <w:vertAlign w:val="superscript"/>
                <w:lang w:val="it-IT"/>
              </w:rPr>
              <w:t>-2</w:t>
            </w:r>
            <w:r w:rsidR="00A66DBD" w:rsidRPr="0032787F">
              <w:rPr>
                <w:rFonts w:cs="Times New Roman"/>
                <w:sz w:val="20"/>
                <w:szCs w:val="20"/>
                <w:lang w:val="it-IT"/>
              </w:rPr>
              <w:t xml:space="preserve"> </w:t>
            </w:r>
            <m:oMath>
              <m:r>
                <w:rPr>
                  <w:rFonts w:ascii="Cambria Math" w:hAnsi="Cambria Math" w:cs="Times New Roman"/>
                  <w:sz w:val="20"/>
                  <w:szCs w:val="20"/>
                  <w:lang w:val="it-IT"/>
                </w:rPr>
                <m:t>∙</m:t>
              </m:r>
            </m:oMath>
            <w:r w:rsidR="001376C1" w:rsidRPr="0032787F">
              <w:rPr>
                <w:rFonts w:cs="Times New Roman"/>
                <w:sz w:val="20"/>
                <w:szCs w:val="20"/>
              </w:rPr>
              <w:t>10</w:t>
            </w:r>
            <w:r w:rsidR="001376C1" w:rsidRPr="0032787F">
              <w:rPr>
                <w:rFonts w:cs="Times New Roman"/>
                <w:sz w:val="20"/>
                <w:szCs w:val="20"/>
                <w:vertAlign w:val="superscript"/>
              </w:rPr>
              <w:t>-4</w:t>
            </w:r>
            <w:r w:rsidR="00A3198D" w:rsidRPr="0032787F">
              <w:rPr>
                <w:rFonts w:cs="Times New Roman"/>
                <w:sz w:val="20"/>
                <w:szCs w:val="20"/>
                <w:lang w:val="it-IT"/>
              </w:rPr>
              <w:t>)</w:t>
            </w:r>
          </w:p>
        </w:tc>
        <w:tc>
          <w:tcPr>
            <w:tcW w:w="1134" w:type="dxa"/>
            <w:vAlign w:val="center"/>
          </w:tcPr>
          <w:p w14:paraId="5FA52EB1" w14:textId="6201C1A3" w:rsidR="001A7445" w:rsidRPr="0032787F" w:rsidRDefault="001A7445" w:rsidP="00F4480D">
            <w:pPr>
              <w:spacing w:after="0" w:line="240" w:lineRule="auto"/>
              <w:jc w:val="center"/>
              <w:rPr>
                <w:rFonts w:cs="Times New Roman"/>
                <w:sz w:val="20"/>
                <w:szCs w:val="20"/>
              </w:rPr>
            </w:pPr>
            <w:r w:rsidRPr="0032787F">
              <w:rPr>
                <w:rFonts w:cs="Times New Roman"/>
                <w:color w:val="000000"/>
                <w:sz w:val="20"/>
                <w:szCs w:val="20"/>
              </w:rPr>
              <w:t>2</w:t>
            </w:r>
            <w:r w:rsidR="0080273A" w:rsidRPr="0032787F">
              <w:rPr>
                <w:rFonts w:cs="Times New Roman"/>
                <w:color w:val="000000"/>
                <w:sz w:val="20"/>
                <w:szCs w:val="20"/>
              </w:rPr>
              <w:t>.</w:t>
            </w:r>
            <w:r w:rsidRPr="0032787F">
              <w:rPr>
                <w:rFonts w:cs="Times New Roman"/>
                <w:color w:val="000000"/>
                <w:sz w:val="20"/>
                <w:szCs w:val="20"/>
              </w:rPr>
              <w:t>77</w:t>
            </w:r>
            <m:oMath>
              <m:r>
                <w:rPr>
                  <w:rFonts w:ascii="Cambria Math" w:hAnsi="Cambria Math" w:cs="Times New Roman"/>
                  <w:color w:val="000000"/>
                  <w:sz w:val="20"/>
                  <w:szCs w:val="20"/>
                </w:rPr>
                <m:t>±</m:t>
              </m:r>
            </m:oMath>
            <w:r w:rsidR="00E95AEA" w:rsidRPr="0032787F">
              <w:rPr>
                <w:rFonts w:eastAsiaTheme="minorEastAsia" w:cs="Times New Roman"/>
                <w:color w:val="000000"/>
                <w:sz w:val="20"/>
                <w:szCs w:val="20"/>
              </w:rPr>
              <w:t>0.2</w:t>
            </w:r>
          </w:p>
        </w:tc>
        <w:tc>
          <w:tcPr>
            <w:tcW w:w="1134" w:type="dxa"/>
            <w:vAlign w:val="center"/>
          </w:tcPr>
          <w:p w14:paraId="5EFD3502" w14:textId="721F7FF4"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w:t>
            </w:r>
            <w:r w:rsidR="0080273A" w:rsidRPr="0032787F">
              <w:rPr>
                <w:rFonts w:cs="Times New Roman"/>
                <w:color w:val="000000"/>
                <w:sz w:val="20"/>
                <w:szCs w:val="20"/>
              </w:rPr>
              <w:t>.</w:t>
            </w:r>
            <w:r w:rsidRPr="0032787F">
              <w:rPr>
                <w:rFonts w:cs="Times New Roman"/>
                <w:color w:val="000000"/>
                <w:sz w:val="20"/>
                <w:szCs w:val="20"/>
              </w:rPr>
              <w:t>38</w:t>
            </w:r>
            <m:oMath>
              <m:r>
                <w:rPr>
                  <w:rFonts w:ascii="Cambria Math" w:hAnsi="Cambria Math" w:cs="Times New Roman"/>
                  <w:color w:val="000000"/>
                  <w:sz w:val="20"/>
                  <w:szCs w:val="20"/>
                </w:rPr>
                <m:t>±</m:t>
              </m:r>
            </m:oMath>
            <w:r w:rsidR="008D6A8D" w:rsidRPr="0032787F">
              <w:rPr>
                <w:rFonts w:eastAsiaTheme="minorEastAsia" w:cs="Times New Roman"/>
                <w:color w:val="000000"/>
                <w:sz w:val="20"/>
                <w:szCs w:val="20"/>
              </w:rPr>
              <w:t>0.1</w:t>
            </w:r>
          </w:p>
        </w:tc>
        <w:tc>
          <w:tcPr>
            <w:tcW w:w="1134" w:type="dxa"/>
            <w:vAlign w:val="center"/>
          </w:tcPr>
          <w:p w14:paraId="32E77F78" w14:textId="0D097B51"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2</w:t>
            </w:r>
            <w:r w:rsidR="00805BF5" w:rsidRPr="0032787F">
              <w:rPr>
                <w:rFonts w:cs="Times New Roman"/>
                <w:color w:val="000000"/>
                <w:sz w:val="20"/>
                <w:szCs w:val="20"/>
              </w:rPr>
              <w:t>.</w:t>
            </w:r>
            <w:r w:rsidR="002E7628" w:rsidRPr="0032787F">
              <w:rPr>
                <w:rFonts w:cs="Times New Roman"/>
                <w:color w:val="000000"/>
                <w:sz w:val="20"/>
                <w:szCs w:val="20"/>
              </w:rPr>
              <w:t>78</w:t>
            </w:r>
            <m:oMath>
              <m:r>
                <w:rPr>
                  <w:rFonts w:ascii="Cambria Math" w:hAnsi="Cambria Math" w:cs="Times New Roman"/>
                  <w:color w:val="000000"/>
                  <w:sz w:val="20"/>
                  <w:szCs w:val="20"/>
                </w:rPr>
                <m:t>±</m:t>
              </m:r>
            </m:oMath>
            <w:r w:rsidR="008D6A8D" w:rsidRPr="0032787F">
              <w:rPr>
                <w:rFonts w:eastAsiaTheme="minorEastAsia" w:cs="Times New Roman"/>
                <w:color w:val="000000"/>
                <w:sz w:val="20"/>
                <w:szCs w:val="20"/>
              </w:rPr>
              <w:t>0.1</w:t>
            </w:r>
          </w:p>
        </w:tc>
        <w:tc>
          <w:tcPr>
            <w:tcW w:w="1277" w:type="dxa"/>
            <w:vAlign w:val="center"/>
          </w:tcPr>
          <w:p w14:paraId="7611EE17" w14:textId="6A73F5B5"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2</w:t>
            </w:r>
            <w:r w:rsidR="00805BF5" w:rsidRPr="0032787F">
              <w:rPr>
                <w:rFonts w:cs="Times New Roman"/>
                <w:color w:val="000000"/>
                <w:sz w:val="20"/>
                <w:szCs w:val="20"/>
              </w:rPr>
              <w:t>.00</w:t>
            </w:r>
            <m:oMath>
              <m:r>
                <w:rPr>
                  <w:rFonts w:ascii="Cambria Math" w:hAnsi="Cambria Math" w:cs="Times New Roman"/>
                  <w:color w:val="000000"/>
                  <w:sz w:val="20"/>
                  <w:szCs w:val="20"/>
                </w:rPr>
                <m:t>±</m:t>
              </m:r>
            </m:oMath>
            <w:r w:rsidR="008D6A8D" w:rsidRPr="0032787F">
              <w:rPr>
                <w:rFonts w:eastAsiaTheme="minorEastAsia" w:cs="Times New Roman"/>
                <w:color w:val="000000"/>
                <w:sz w:val="20"/>
                <w:szCs w:val="20"/>
              </w:rPr>
              <w:t>0.1</w:t>
            </w:r>
          </w:p>
        </w:tc>
        <w:tc>
          <w:tcPr>
            <w:tcW w:w="1276" w:type="dxa"/>
            <w:vAlign w:val="center"/>
          </w:tcPr>
          <w:p w14:paraId="28E7DDD8" w14:textId="0F5EEF2F"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2</w:t>
            </w:r>
            <w:r w:rsidR="00805BF5" w:rsidRPr="0032787F">
              <w:rPr>
                <w:rFonts w:cs="Times New Roman"/>
                <w:color w:val="000000"/>
                <w:sz w:val="20"/>
                <w:szCs w:val="20"/>
              </w:rPr>
              <w:t>.</w:t>
            </w:r>
            <w:r w:rsidR="00D342C9" w:rsidRPr="0032787F">
              <w:rPr>
                <w:rFonts w:cs="Times New Roman"/>
                <w:color w:val="000000"/>
                <w:sz w:val="20"/>
                <w:szCs w:val="20"/>
              </w:rPr>
              <w:t>9</w:t>
            </w:r>
            <w:r w:rsidRPr="0032787F">
              <w:rPr>
                <w:rFonts w:cs="Times New Roman"/>
                <w:color w:val="000000"/>
                <w:sz w:val="20"/>
                <w:szCs w:val="20"/>
              </w:rPr>
              <w:t>2</w:t>
            </w:r>
            <m:oMath>
              <m:r>
                <w:rPr>
                  <w:rFonts w:ascii="Cambria Math" w:hAnsi="Cambria Math" w:cs="Times New Roman"/>
                  <w:color w:val="000000"/>
                  <w:sz w:val="20"/>
                  <w:szCs w:val="20"/>
                </w:rPr>
                <m:t>±</m:t>
              </m:r>
            </m:oMath>
            <w:r w:rsidR="006133F7" w:rsidRPr="0032787F">
              <w:rPr>
                <w:rFonts w:eastAsiaTheme="minorEastAsia" w:cs="Times New Roman"/>
                <w:color w:val="000000"/>
                <w:sz w:val="20"/>
                <w:szCs w:val="20"/>
              </w:rPr>
              <w:t>0.31</w:t>
            </w:r>
          </w:p>
        </w:tc>
        <w:tc>
          <w:tcPr>
            <w:tcW w:w="1701" w:type="dxa"/>
            <w:vAlign w:val="center"/>
          </w:tcPr>
          <w:p w14:paraId="2B4B1304" w14:textId="461AEDD7"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2</w:t>
            </w:r>
            <w:r w:rsidR="00805BF5" w:rsidRPr="0032787F">
              <w:rPr>
                <w:rFonts w:cs="Times New Roman"/>
                <w:color w:val="000000"/>
                <w:sz w:val="20"/>
                <w:szCs w:val="20"/>
              </w:rPr>
              <w:t>.</w:t>
            </w:r>
            <w:r w:rsidRPr="0032787F">
              <w:rPr>
                <w:rFonts w:cs="Times New Roman"/>
                <w:color w:val="000000"/>
                <w:sz w:val="20"/>
                <w:szCs w:val="20"/>
              </w:rPr>
              <w:t>49</w:t>
            </w:r>
            <m:oMath>
              <m:r>
                <w:rPr>
                  <w:rFonts w:ascii="Cambria Math" w:hAnsi="Cambria Math" w:cs="Times New Roman"/>
                  <w:color w:val="000000"/>
                  <w:sz w:val="20"/>
                  <w:szCs w:val="20"/>
                </w:rPr>
                <m:t>±</m:t>
              </m:r>
            </m:oMath>
            <w:r w:rsidR="006133F7" w:rsidRPr="0032787F">
              <w:rPr>
                <w:rFonts w:eastAsiaTheme="minorEastAsia" w:cs="Times New Roman"/>
                <w:color w:val="000000"/>
                <w:sz w:val="20"/>
                <w:szCs w:val="20"/>
              </w:rPr>
              <w:t>0.27</w:t>
            </w:r>
          </w:p>
        </w:tc>
      </w:tr>
      <w:tr w:rsidR="00310EBC" w:rsidRPr="000B3154" w14:paraId="42989E90" w14:textId="77777777" w:rsidTr="004F540B">
        <w:trPr>
          <w:jc w:val="center"/>
        </w:trPr>
        <w:tc>
          <w:tcPr>
            <w:tcW w:w="1700" w:type="dxa"/>
            <w:vAlign w:val="center"/>
          </w:tcPr>
          <w:p w14:paraId="3E805B28" w14:textId="743B931D" w:rsidR="001A7445" w:rsidRPr="0032787F" w:rsidRDefault="001A7445" w:rsidP="001A7445">
            <w:pPr>
              <w:spacing w:after="0" w:line="240" w:lineRule="auto"/>
              <w:jc w:val="center"/>
              <w:rPr>
                <w:rFonts w:cs="Times New Roman"/>
                <w:sz w:val="20"/>
                <w:szCs w:val="20"/>
              </w:rPr>
            </w:pPr>
            <w:r w:rsidRPr="0032787F">
              <w:rPr>
                <w:rFonts w:cs="Times New Roman"/>
                <w:sz w:val="20"/>
                <w:szCs w:val="20"/>
              </w:rPr>
              <w:t>B</w:t>
            </w:r>
            <w:r w:rsidR="00B42629" w:rsidRPr="0032787F">
              <w:rPr>
                <w:rFonts w:cs="Times New Roman"/>
                <w:sz w:val="20"/>
                <w:szCs w:val="20"/>
              </w:rPr>
              <w:t xml:space="preserve"> </w:t>
            </w:r>
            <w:r w:rsidR="00970E45" w:rsidRPr="0032787F">
              <w:rPr>
                <w:rFonts w:cs="Times New Roman"/>
                <w:sz w:val="20"/>
                <w:szCs w:val="20"/>
              </w:rPr>
              <w:t>(10</w:t>
            </w:r>
            <w:r w:rsidR="00970E45" w:rsidRPr="0032787F">
              <w:rPr>
                <w:rFonts w:cs="Times New Roman"/>
                <w:sz w:val="20"/>
                <w:szCs w:val="20"/>
                <w:vertAlign w:val="superscript"/>
              </w:rPr>
              <w:t>-3</w:t>
            </w:r>
            <w:r w:rsidR="00970E45" w:rsidRPr="0032787F">
              <w:rPr>
                <w:rFonts w:cs="Times New Roman"/>
                <w:sz w:val="20"/>
                <w:szCs w:val="20"/>
              </w:rPr>
              <w:t>)</w:t>
            </w:r>
          </w:p>
        </w:tc>
        <w:tc>
          <w:tcPr>
            <w:tcW w:w="1134" w:type="dxa"/>
            <w:vAlign w:val="center"/>
          </w:tcPr>
          <w:p w14:paraId="5D35E652" w14:textId="3C328CF2"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16</w:t>
            </w:r>
            <w:r w:rsidR="00970E45" w:rsidRPr="0032787F">
              <w:rPr>
                <w:rFonts w:cs="Times New Roman"/>
                <w:color w:val="000000"/>
                <w:sz w:val="20"/>
                <w:szCs w:val="20"/>
              </w:rPr>
              <w:t>.</w:t>
            </w:r>
            <w:r w:rsidR="00C702F5" w:rsidRPr="0032787F">
              <w:rPr>
                <w:rFonts w:cs="Times New Roman"/>
                <w:color w:val="000000"/>
                <w:sz w:val="20"/>
                <w:szCs w:val="20"/>
              </w:rPr>
              <w:t>3</w:t>
            </w:r>
            <m:oMath>
              <m:r>
                <w:rPr>
                  <w:rFonts w:ascii="Cambria Math" w:hAnsi="Cambria Math" w:cs="Times New Roman"/>
                  <w:color w:val="000000"/>
                  <w:sz w:val="20"/>
                  <w:szCs w:val="20"/>
                </w:rPr>
                <m:t>±</m:t>
              </m:r>
            </m:oMath>
            <w:r w:rsidR="001E3EA3" w:rsidRPr="0032787F">
              <w:rPr>
                <w:rFonts w:eastAsiaTheme="minorEastAsia" w:cs="Times New Roman"/>
                <w:color w:val="000000"/>
                <w:sz w:val="20"/>
                <w:szCs w:val="20"/>
              </w:rPr>
              <w:t>1.8</w:t>
            </w:r>
          </w:p>
        </w:tc>
        <w:tc>
          <w:tcPr>
            <w:tcW w:w="1134" w:type="dxa"/>
            <w:vAlign w:val="center"/>
          </w:tcPr>
          <w:p w14:paraId="77D1BAFE" w14:textId="02979109"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39</w:t>
            </w:r>
            <w:r w:rsidR="00AE4631" w:rsidRPr="0032787F">
              <w:rPr>
                <w:rFonts w:cs="Times New Roman"/>
                <w:color w:val="000000"/>
                <w:sz w:val="20"/>
                <w:szCs w:val="20"/>
              </w:rPr>
              <w:t>.</w:t>
            </w:r>
            <w:r w:rsidRPr="0032787F">
              <w:rPr>
                <w:rFonts w:cs="Times New Roman"/>
                <w:color w:val="000000"/>
                <w:sz w:val="20"/>
                <w:szCs w:val="20"/>
              </w:rPr>
              <w:t>1</w:t>
            </w:r>
            <m:oMath>
              <m:r>
                <w:rPr>
                  <w:rFonts w:ascii="Cambria Math" w:hAnsi="Cambria Math" w:cs="Times New Roman"/>
                  <w:color w:val="000000"/>
                  <w:sz w:val="20"/>
                  <w:szCs w:val="20"/>
                </w:rPr>
                <m:t>±</m:t>
              </m:r>
            </m:oMath>
            <w:r w:rsidR="00272221" w:rsidRPr="0032787F">
              <w:rPr>
                <w:rFonts w:eastAsiaTheme="minorEastAsia" w:cs="Times New Roman"/>
                <w:color w:val="000000"/>
                <w:sz w:val="20"/>
                <w:szCs w:val="20"/>
              </w:rPr>
              <w:t>2.7</w:t>
            </w:r>
          </w:p>
        </w:tc>
        <w:tc>
          <w:tcPr>
            <w:tcW w:w="1134" w:type="dxa"/>
            <w:vAlign w:val="center"/>
          </w:tcPr>
          <w:p w14:paraId="43FF8EFF" w14:textId="3FCC95C9"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11</w:t>
            </w:r>
            <w:r w:rsidR="00AE4631" w:rsidRPr="0032787F">
              <w:rPr>
                <w:rFonts w:cs="Times New Roman"/>
                <w:color w:val="000000"/>
                <w:sz w:val="20"/>
                <w:szCs w:val="20"/>
              </w:rPr>
              <w:t>.</w:t>
            </w:r>
            <w:r w:rsidRPr="0032787F">
              <w:rPr>
                <w:rFonts w:cs="Times New Roman"/>
                <w:color w:val="000000"/>
                <w:sz w:val="20"/>
                <w:szCs w:val="20"/>
              </w:rPr>
              <w:t>9</w:t>
            </w:r>
            <m:oMath>
              <m:r>
                <w:rPr>
                  <w:rFonts w:ascii="Cambria Math" w:hAnsi="Cambria Math" w:cs="Times New Roman"/>
                  <w:color w:val="000000"/>
                  <w:sz w:val="20"/>
                  <w:szCs w:val="20"/>
                </w:rPr>
                <m:t>±</m:t>
              </m:r>
            </m:oMath>
            <w:r w:rsidR="001E3EA3" w:rsidRPr="0032787F">
              <w:rPr>
                <w:rFonts w:eastAsiaTheme="minorEastAsia" w:cs="Times New Roman"/>
                <w:color w:val="000000"/>
                <w:sz w:val="20"/>
                <w:szCs w:val="20"/>
              </w:rPr>
              <w:t>0.9</w:t>
            </w:r>
          </w:p>
        </w:tc>
        <w:tc>
          <w:tcPr>
            <w:tcW w:w="1277" w:type="dxa"/>
            <w:vAlign w:val="center"/>
          </w:tcPr>
          <w:p w14:paraId="3E1D95B1" w14:textId="7DA612B7"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5</w:t>
            </w:r>
            <w:r w:rsidR="00AE4631" w:rsidRPr="0032787F">
              <w:rPr>
                <w:rFonts w:cs="Times New Roman"/>
                <w:color w:val="000000"/>
                <w:sz w:val="20"/>
                <w:szCs w:val="20"/>
              </w:rPr>
              <w:t>.</w:t>
            </w:r>
            <w:r w:rsidRPr="0032787F">
              <w:rPr>
                <w:rFonts w:cs="Times New Roman"/>
                <w:color w:val="000000"/>
                <w:sz w:val="20"/>
                <w:szCs w:val="20"/>
              </w:rPr>
              <w:t>76</w:t>
            </w:r>
            <m:oMath>
              <m:r>
                <w:rPr>
                  <w:rFonts w:ascii="Cambria Math" w:hAnsi="Cambria Math" w:cs="Times New Roman"/>
                  <w:color w:val="000000"/>
                  <w:sz w:val="20"/>
                  <w:szCs w:val="20"/>
                </w:rPr>
                <m:t>±</m:t>
              </m:r>
            </m:oMath>
            <w:r w:rsidR="00445B51" w:rsidRPr="0032787F">
              <w:rPr>
                <w:rFonts w:eastAsiaTheme="minorEastAsia" w:cs="Times New Roman"/>
                <w:color w:val="000000"/>
                <w:sz w:val="20"/>
                <w:szCs w:val="20"/>
              </w:rPr>
              <w:t>0.</w:t>
            </w:r>
            <w:r w:rsidR="001E3EA3" w:rsidRPr="0032787F">
              <w:rPr>
                <w:rFonts w:eastAsiaTheme="minorEastAsia" w:cs="Times New Roman"/>
                <w:color w:val="000000"/>
                <w:sz w:val="20"/>
                <w:szCs w:val="20"/>
              </w:rPr>
              <w:t>7</w:t>
            </w:r>
          </w:p>
        </w:tc>
        <w:tc>
          <w:tcPr>
            <w:tcW w:w="1276" w:type="dxa"/>
            <w:vAlign w:val="center"/>
          </w:tcPr>
          <w:p w14:paraId="100484F7" w14:textId="29A1DAC3"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w:t>
            </w:r>
            <w:r w:rsidR="00AE4631" w:rsidRPr="0032787F">
              <w:rPr>
                <w:rFonts w:cs="Times New Roman"/>
                <w:color w:val="000000"/>
                <w:sz w:val="20"/>
                <w:szCs w:val="20"/>
              </w:rPr>
              <w:t>.</w:t>
            </w:r>
            <w:r w:rsidRPr="0032787F">
              <w:rPr>
                <w:rFonts w:cs="Times New Roman"/>
                <w:color w:val="000000"/>
                <w:sz w:val="20"/>
                <w:szCs w:val="20"/>
              </w:rPr>
              <w:t>85</w:t>
            </w:r>
            <m:oMath>
              <m:r>
                <w:rPr>
                  <w:rFonts w:ascii="Cambria Math" w:hAnsi="Cambria Math" w:cs="Times New Roman"/>
                  <w:color w:val="000000"/>
                  <w:sz w:val="20"/>
                  <w:szCs w:val="20"/>
                </w:rPr>
                <m:t>±</m:t>
              </m:r>
            </m:oMath>
            <w:r w:rsidR="00445B51" w:rsidRPr="0032787F">
              <w:rPr>
                <w:rFonts w:eastAsiaTheme="minorEastAsia" w:cs="Times New Roman"/>
                <w:color w:val="000000"/>
                <w:sz w:val="20"/>
                <w:szCs w:val="20"/>
              </w:rPr>
              <w:t>0.08</w:t>
            </w:r>
          </w:p>
        </w:tc>
        <w:tc>
          <w:tcPr>
            <w:tcW w:w="1701" w:type="dxa"/>
            <w:vAlign w:val="center"/>
          </w:tcPr>
          <w:p w14:paraId="186DAD28" w14:textId="652B5B68" w:rsidR="001A7445" w:rsidRPr="0032787F" w:rsidRDefault="00201148" w:rsidP="001A7445">
            <w:pPr>
              <w:spacing w:after="0" w:line="240" w:lineRule="auto"/>
              <w:jc w:val="center"/>
              <w:rPr>
                <w:rFonts w:cs="Times New Roman"/>
                <w:sz w:val="20"/>
                <w:szCs w:val="20"/>
              </w:rPr>
            </w:pPr>
            <w:r w:rsidRPr="0032787F">
              <w:rPr>
                <w:rFonts w:cs="Times New Roman"/>
                <w:color w:val="000000"/>
                <w:sz w:val="20"/>
                <w:szCs w:val="20"/>
              </w:rPr>
              <w:t>0</w:t>
            </w:r>
            <w:r w:rsidR="00AE4631" w:rsidRPr="0032787F">
              <w:rPr>
                <w:rFonts w:cs="Times New Roman"/>
                <w:color w:val="000000"/>
                <w:sz w:val="20"/>
                <w:szCs w:val="20"/>
              </w:rPr>
              <w:t>.</w:t>
            </w:r>
            <w:r w:rsidR="001A7445" w:rsidRPr="0032787F">
              <w:rPr>
                <w:rFonts w:cs="Times New Roman"/>
                <w:color w:val="000000"/>
                <w:sz w:val="20"/>
                <w:szCs w:val="20"/>
              </w:rPr>
              <w:t>58</w:t>
            </w:r>
            <m:oMath>
              <m:r>
                <w:rPr>
                  <w:rFonts w:ascii="Cambria Math" w:hAnsi="Cambria Math" w:cs="Times New Roman"/>
                  <w:color w:val="000000"/>
                  <w:sz w:val="20"/>
                  <w:szCs w:val="20"/>
                </w:rPr>
                <m:t>±</m:t>
              </m:r>
            </m:oMath>
            <w:r w:rsidR="00445B51" w:rsidRPr="0032787F">
              <w:rPr>
                <w:rFonts w:eastAsiaTheme="minorEastAsia" w:cs="Times New Roman"/>
                <w:color w:val="000000"/>
                <w:sz w:val="20"/>
                <w:szCs w:val="20"/>
              </w:rPr>
              <w:t>0.42</w:t>
            </w:r>
          </w:p>
        </w:tc>
      </w:tr>
      <w:tr w:rsidR="00310EBC" w:rsidRPr="000B3154" w14:paraId="0519871A" w14:textId="77777777" w:rsidTr="004F540B">
        <w:trPr>
          <w:jc w:val="center"/>
        </w:trPr>
        <w:tc>
          <w:tcPr>
            <w:tcW w:w="1700" w:type="dxa"/>
            <w:vAlign w:val="center"/>
          </w:tcPr>
          <w:p w14:paraId="7407DBA4" w14:textId="4C9432BD" w:rsidR="001A7445" w:rsidRPr="0032787F" w:rsidRDefault="001A7445" w:rsidP="001A7445">
            <w:pPr>
              <w:spacing w:after="0" w:line="240" w:lineRule="auto"/>
              <w:jc w:val="center"/>
              <w:rPr>
                <w:rFonts w:cs="Times New Roman"/>
                <w:sz w:val="20"/>
                <w:szCs w:val="20"/>
              </w:rPr>
            </w:pPr>
            <w:r w:rsidRPr="0032787F">
              <w:rPr>
                <w:rFonts w:cs="Times New Roman"/>
                <w:sz w:val="20"/>
                <w:szCs w:val="20"/>
              </w:rPr>
              <w:t>F</w:t>
            </w:r>
            <w:r w:rsidR="004F3E48" w:rsidRPr="0032787F">
              <w:rPr>
                <w:rFonts w:cs="Times New Roman"/>
                <w:sz w:val="20"/>
                <w:szCs w:val="20"/>
              </w:rPr>
              <w:t xml:space="preserve"> (A</w:t>
            </w:r>
            <w:r w:rsidR="00FF7C78" w:rsidRPr="0032787F">
              <w:rPr>
                <w:rFonts w:cs="Times New Roman"/>
                <w:sz w:val="20"/>
                <w:szCs w:val="20"/>
              </w:rPr>
              <w:t>·</w:t>
            </w:r>
            <w:r w:rsidR="004D761E" w:rsidRPr="0032787F">
              <w:rPr>
                <w:rFonts w:cs="Times New Roman"/>
                <w:sz w:val="20"/>
                <w:szCs w:val="20"/>
              </w:rPr>
              <w:t>cm</w:t>
            </w:r>
            <w:r w:rsidR="004D761E" w:rsidRPr="0032787F">
              <w:rPr>
                <w:rFonts w:cs="Times New Roman"/>
                <w:sz w:val="20"/>
                <w:szCs w:val="20"/>
                <w:vertAlign w:val="superscript"/>
              </w:rPr>
              <w:t>-2</w:t>
            </w:r>
            <w:r w:rsidR="00A66DBD" w:rsidRPr="0032787F">
              <w:rPr>
                <w:rFonts w:cs="Times New Roman"/>
                <w:sz w:val="20"/>
                <w:szCs w:val="20"/>
                <w:vertAlign w:val="superscript"/>
              </w:rPr>
              <w:t xml:space="preserve"> </w:t>
            </w:r>
            <m:oMath>
              <m:r>
                <w:rPr>
                  <w:rFonts w:ascii="Cambria Math" w:hAnsi="Cambria Math" w:cs="Times New Roman"/>
                  <w:sz w:val="20"/>
                  <w:szCs w:val="20"/>
                  <w:lang w:val="it-IT"/>
                </w:rPr>
                <m:t>∙</m:t>
              </m:r>
            </m:oMath>
            <w:r w:rsidR="00A66DBD" w:rsidRPr="0032787F">
              <w:rPr>
                <w:rFonts w:cs="Times New Roman"/>
                <w:sz w:val="20"/>
                <w:szCs w:val="20"/>
              </w:rPr>
              <w:t>10</w:t>
            </w:r>
            <w:r w:rsidR="00A66DBD" w:rsidRPr="0032787F">
              <w:rPr>
                <w:rFonts w:cs="Times New Roman"/>
                <w:sz w:val="20"/>
                <w:szCs w:val="20"/>
                <w:vertAlign w:val="superscript"/>
              </w:rPr>
              <w:t>-2</w:t>
            </w:r>
            <w:r w:rsidR="004D761E" w:rsidRPr="0032787F">
              <w:rPr>
                <w:rFonts w:cs="Times New Roman"/>
                <w:sz w:val="20"/>
                <w:szCs w:val="20"/>
              </w:rPr>
              <w:t>)</w:t>
            </w:r>
          </w:p>
        </w:tc>
        <w:tc>
          <w:tcPr>
            <w:tcW w:w="1134" w:type="dxa"/>
            <w:vAlign w:val="center"/>
          </w:tcPr>
          <w:p w14:paraId="6C8220E8" w14:textId="786E6AF2"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w:t>
            </w:r>
            <w:r w:rsidR="0046780A" w:rsidRPr="0032787F">
              <w:rPr>
                <w:rFonts w:cs="Times New Roman"/>
                <w:color w:val="000000"/>
                <w:sz w:val="20"/>
                <w:szCs w:val="20"/>
              </w:rPr>
              <w:t>.</w:t>
            </w:r>
            <w:r w:rsidRPr="0032787F">
              <w:rPr>
                <w:rFonts w:cs="Times New Roman"/>
                <w:color w:val="000000"/>
                <w:sz w:val="20"/>
                <w:szCs w:val="20"/>
              </w:rPr>
              <w:t>67</w:t>
            </w:r>
            <m:oMath>
              <m:r>
                <w:rPr>
                  <w:rFonts w:ascii="Cambria Math" w:hAnsi="Cambria Math" w:cs="Times New Roman"/>
                  <w:color w:val="000000"/>
                  <w:sz w:val="20"/>
                  <w:szCs w:val="20"/>
                </w:rPr>
                <m:t>±</m:t>
              </m:r>
            </m:oMath>
            <w:r w:rsidR="00417B88" w:rsidRPr="0032787F">
              <w:rPr>
                <w:rFonts w:eastAsiaTheme="minorEastAsia" w:cs="Times New Roman"/>
                <w:color w:val="000000"/>
                <w:sz w:val="20"/>
                <w:szCs w:val="20"/>
              </w:rPr>
              <w:t>0.</w:t>
            </w:r>
            <w:r w:rsidR="00823496" w:rsidRPr="0032787F">
              <w:rPr>
                <w:rFonts w:eastAsiaTheme="minorEastAsia" w:cs="Times New Roman"/>
                <w:color w:val="000000"/>
                <w:sz w:val="20"/>
                <w:szCs w:val="20"/>
              </w:rPr>
              <w:t>1</w:t>
            </w:r>
          </w:p>
        </w:tc>
        <w:tc>
          <w:tcPr>
            <w:tcW w:w="1134" w:type="dxa"/>
            <w:vAlign w:val="center"/>
          </w:tcPr>
          <w:p w14:paraId="573547B6" w14:textId="3D7CB245"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0.88</w:t>
            </w:r>
            <m:oMath>
              <m:r>
                <w:rPr>
                  <w:rFonts w:ascii="Cambria Math" w:hAnsi="Cambria Math" w:cs="Times New Roman"/>
                  <w:color w:val="000000"/>
                  <w:sz w:val="20"/>
                  <w:szCs w:val="20"/>
                </w:rPr>
                <m:t>±</m:t>
              </m:r>
            </m:oMath>
            <w:r w:rsidR="00823496" w:rsidRPr="0032787F">
              <w:rPr>
                <w:rFonts w:eastAsiaTheme="minorEastAsia" w:cs="Times New Roman"/>
                <w:color w:val="000000"/>
                <w:sz w:val="20"/>
                <w:szCs w:val="20"/>
              </w:rPr>
              <w:t>0.0</w:t>
            </w:r>
          </w:p>
        </w:tc>
        <w:tc>
          <w:tcPr>
            <w:tcW w:w="1134" w:type="dxa"/>
            <w:vAlign w:val="center"/>
          </w:tcPr>
          <w:p w14:paraId="320CEC75" w14:textId="45B23A2A"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w:t>
            </w:r>
            <w:r w:rsidR="0046780A" w:rsidRPr="0032787F">
              <w:rPr>
                <w:rFonts w:cs="Times New Roman"/>
                <w:color w:val="000000"/>
                <w:sz w:val="20"/>
                <w:szCs w:val="20"/>
              </w:rPr>
              <w:t>.</w:t>
            </w:r>
            <w:r w:rsidRPr="0032787F">
              <w:rPr>
                <w:rFonts w:cs="Times New Roman"/>
                <w:color w:val="000000"/>
                <w:sz w:val="20"/>
                <w:szCs w:val="20"/>
              </w:rPr>
              <w:t>6</w:t>
            </w:r>
            <w:r w:rsidR="0046780A" w:rsidRPr="0032787F">
              <w:rPr>
                <w:rFonts w:cs="Times New Roman"/>
                <w:color w:val="000000"/>
                <w:sz w:val="20"/>
                <w:szCs w:val="20"/>
              </w:rPr>
              <w:t>0</w:t>
            </w:r>
            <m:oMath>
              <m:r>
                <w:rPr>
                  <w:rFonts w:ascii="Cambria Math" w:hAnsi="Cambria Math" w:cs="Times New Roman"/>
                  <w:color w:val="000000"/>
                  <w:sz w:val="20"/>
                  <w:szCs w:val="20"/>
                </w:rPr>
                <m:t>±</m:t>
              </m:r>
            </m:oMath>
            <w:r w:rsidR="00823496" w:rsidRPr="0032787F">
              <w:rPr>
                <w:rFonts w:eastAsiaTheme="minorEastAsia" w:cs="Times New Roman"/>
                <w:color w:val="000000"/>
                <w:sz w:val="20"/>
                <w:szCs w:val="20"/>
              </w:rPr>
              <w:t>0.</w:t>
            </w:r>
            <w:r w:rsidR="00765C89" w:rsidRPr="0032787F">
              <w:rPr>
                <w:rFonts w:eastAsiaTheme="minorEastAsia" w:cs="Times New Roman"/>
                <w:color w:val="000000"/>
                <w:sz w:val="20"/>
                <w:szCs w:val="20"/>
              </w:rPr>
              <w:t>1</w:t>
            </w:r>
          </w:p>
        </w:tc>
        <w:tc>
          <w:tcPr>
            <w:tcW w:w="1277" w:type="dxa"/>
            <w:vAlign w:val="center"/>
          </w:tcPr>
          <w:p w14:paraId="34D80817" w14:textId="6729013F"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2</w:t>
            </w:r>
            <w:r w:rsidR="0046780A" w:rsidRPr="0032787F">
              <w:rPr>
                <w:rFonts w:cs="Times New Roman"/>
                <w:color w:val="000000"/>
                <w:sz w:val="20"/>
                <w:szCs w:val="20"/>
              </w:rPr>
              <w:t>.</w:t>
            </w:r>
            <w:r w:rsidRPr="0032787F">
              <w:rPr>
                <w:rFonts w:cs="Times New Roman"/>
                <w:color w:val="000000"/>
                <w:sz w:val="20"/>
                <w:szCs w:val="20"/>
              </w:rPr>
              <w:t>25</w:t>
            </w:r>
            <m:oMath>
              <m:r>
                <w:rPr>
                  <w:rFonts w:ascii="Cambria Math" w:hAnsi="Cambria Math" w:cs="Times New Roman"/>
                  <w:color w:val="000000"/>
                  <w:sz w:val="20"/>
                  <w:szCs w:val="20"/>
                </w:rPr>
                <m:t>±</m:t>
              </m:r>
            </m:oMath>
            <w:r w:rsidR="00237F73" w:rsidRPr="0032787F">
              <w:rPr>
                <w:rFonts w:eastAsiaTheme="minorEastAsia" w:cs="Times New Roman"/>
                <w:color w:val="000000"/>
                <w:sz w:val="20"/>
                <w:szCs w:val="20"/>
              </w:rPr>
              <w:t>0.1</w:t>
            </w:r>
          </w:p>
        </w:tc>
        <w:tc>
          <w:tcPr>
            <w:tcW w:w="1276" w:type="dxa"/>
            <w:vAlign w:val="center"/>
          </w:tcPr>
          <w:p w14:paraId="5EBB2E0C" w14:textId="18C70A57"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1</w:t>
            </w:r>
            <w:r w:rsidR="0046780A" w:rsidRPr="0032787F">
              <w:rPr>
                <w:rFonts w:cs="Times New Roman"/>
                <w:color w:val="000000"/>
                <w:sz w:val="20"/>
                <w:szCs w:val="20"/>
              </w:rPr>
              <w:t>.</w:t>
            </w:r>
            <w:r w:rsidRPr="0032787F">
              <w:rPr>
                <w:rFonts w:cs="Times New Roman"/>
                <w:color w:val="000000"/>
                <w:sz w:val="20"/>
                <w:szCs w:val="20"/>
              </w:rPr>
              <w:t>43</w:t>
            </w:r>
            <m:oMath>
              <m:r>
                <w:rPr>
                  <w:rFonts w:ascii="Cambria Math" w:hAnsi="Cambria Math" w:cs="Times New Roman"/>
                  <w:color w:val="000000"/>
                  <w:sz w:val="20"/>
                  <w:szCs w:val="20"/>
                </w:rPr>
                <m:t>±</m:t>
              </m:r>
            </m:oMath>
            <w:r w:rsidR="00237F73" w:rsidRPr="0032787F">
              <w:rPr>
                <w:rFonts w:eastAsiaTheme="minorEastAsia" w:cs="Times New Roman"/>
                <w:color w:val="000000"/>
                <w:sz w:val="20"/>
                <w:szCs w:val="20"/>
              </w:rPr>
              <w:t>0.06</w:t>
            </w:r>
          </w:p>
        </w:tc>
        <w:tc>
          <w:tcPr>
            <w:tcW w:w="1701" w:type="dxa"/>
            <w:vAlign w:val="center"/>
          </w:tcPr>
          <w:p w14:paraId="4DE27E71" w14:textId="623C3E46" w:rsidR="001A7445" w:rsidRPr="0032787F" w:rsidRDefault="001A7445" w:rsidP="001A7445">
            <w:pPr>
              <w:spacing w:after="0" w:line="240" w:lineRule="auto"/>
              <w:jc w:val="center"/>
              <w:rPr>
                <w:rFonts w:cs="Times New Roman"/>
                <w:sz w:val="20"/>
                <w:szCs w:val="20"/>
              </w:rPr>
            </w:pPr>
            <w:r w:rsidRPr="0032787F">
              <w:rPr>
                <w:rFonts w:cs="Times New Roman"/>
                <w:color w:val="000000"/>
                <w:sz w:val="20"/>
                <w:szCs w:val="20"/>
              </w:rPr>
              <w:t>3</w:t>
            </w:r>
            <w:r w:rsidR="0046780A" w:rsidRPr="0032787F">
              <w:rPr>
                <w:rFonts w:cs="Times New Roman"/>
                <w:color w:val="000000"/>
                <w:sz w:val="20"/>
                <w:szCs w:val="20"/>
              </w:rPr>
              <w:t>.</w:t>
            </w:r>
            <w:r w:rsidRPr="0032787F">
              <w:rPr>
                <w:rFonts w:cs="Times New Roman"/>
                <w:color w:val="000000"/>
                <w:sz w:val="20"/>
                <w:szCs w:val="20"/>
              </w:rPr>
              <w:t>79</w:t>
            </w:r>
            <m:oMath>
              <m:r>
                <w:rPr>
                  <w:rFonts w:ascii="Cambria Math" w:hAnsi="Cambria Math" w:cs="Times New Roman"/>
                  <w:color w:val="000000"/>
                  <w:sz w:val="20"/>
                  <w:szCs w:val="20"/>
                </w:rPr>
                <m:t>±</m:t>
              </m:r>
            </m:oMath>
            <w:r w:rsidR="00237F73" w:rsidRPr="0032787F">
              <w:rPr>
                <w:rFonts w:eastAsiaTheme="minorEastAsia" w:cs="Times New Roman"/>
                <w:color w:val="000000"/>
                <w:sz w:val="20"/>
                <w:szCs w:val="20"/>
              </w:rPr>
              <w:t>0.12</w:t>
            </w:r>
          </w:p>
        </w:tc>
      </w:tr>
      <w:tr w:rsidR="00887762" w:rsidRPr="000B3154" w14:paraId="1FF2BE99" w14:textId="77777777" w:rsidTr="004F540B">
        <w:trPr>
          <w:jc w:val="center"/>
        </w:trPr>
        <w:tc>
          <w:tcPr>
            <w:tcW w:w="1700" w:type="dxa"/>
            <w:vAlign w:val="center"/>
          </w:tcPr>
          <w:p w14:paraId="532D74B8" w14:textId="4B5F2BB1" w:rsidR="00887762" w:rsidRPr="0032787F" w:rsidRDefault="005E2082" w:rsidP="001A7445">
            <w:pPr>
              <w:spacing w:after="0" w:line="240" w:lineRule="auto"/>
              <w:jc w:val="center"/>
              <w:rPr>
                <w:rFonts w:cs="Times New Roman"/>
                <w:sz w:val="20"/>
                <w:szCs w:val="20"/>
              </w:rPr>
            </w:pPr>
            <w:r w:rsidRPr="0032787F">
              <w:rPr>
                <w:rFonts w:cs="Times New Roman"/>
                <w:sz w:val="20"/>
                <w:szCs w:val="20"/>
              </w:rPr>
              <w:t>D</w:t>
            </w:r>
            <w:r w:rsidRPr="0032787F">
              <w:rPr>
                <w:rFonts w:cs="Times New Roman"/>
                <w:sz w:val="20"/>
                <w:szCs w:val="20"/>
                <w:vertAlign w:val="superscript"/>
              </w:rPr>
              <w:t>H+</w:t>
            </w:r>
            <w:r w:rsidRPr="0032787F">
              <w:rPr>
                <w:rFonts w:cs="Times New Roman"/>
                <w:sz w:val="20"/>
                <w:szCs w:val="20"/>
              </w:rPr>
              <w:t xml:space="preserve"> (cm</w:t>
            </w:r>
            <w:r w:rsidR="000C7A72" w:rsidRPr="0032787F">
              <w:rPr>
                <w:rFonts w:cs="Times New Roman"/>
                <w:sz w:val="20"/>
                <w:szCs w:val="20"/>
                <w:vertAlign w:val="superscript"/>
              </w:rPr>
              <w:t>2</w:t>
            </w:r>
            <w:r w:rsidR="00FF7C78" w:rsidRPr="0032787F">
              <w:rPr>
                <w:rFonts w:cs="Times New Roman"/>
                <w:sz w:val="20"/>
                <w:szCs w:val="20"/>
              </w:rPr>
              <w:t>·</w:t>
            </w:r>
            <w:r w:rsidR="009934DC" w:rsidRPr="0032787F">
              <w:rPr>
                <w:rFonts w:cs="Times New Roman"/>
                <w:sz w:val="20"/>
                <w:szCs w:val="20"/>
              </w:rPr>
              <w:t>s</w:t>
            </w:r>
            <w:r w:rsidR="009934DC" w:rsidRPr="0032787F">
              <w:rPr>
                <w:rFonts w:cs="Times New Roman"/>
                <w:sz w:val="20"/>
                <w:szCs w:val="20"/>
                <w:vertAlign w:val="superscript"/>
              </w:rPr>
              <w:t>-1</w:t>
            </w:r>
            <w:r w:rsidR="00B45E7A" w:rsidRPr="0032787F">
              <w:rPr>
                <w:rFonts w:cs="Times New Roman"/>
                <w:sz w:val="20"/>
                <w:szCs w:val="20"/>
              </w:rPr>
              <w:t xml:space="preserve"> </w:t>
            </w:r>
            <m:oMath>
              <m:r>
                <w:rPr>
                  <w:rFonts w:ascii="Cambria Math" w:hAnsi="Cambria Math" w:cs="Times New Roman"/>
                  <w:sz w:val="20"/>
                  <w:szCs w:val="20"/>
                  <w:lang w:val="it-IT"/>
                </w:rPr>
                <m:t>∙</m:t>
              </m:r>
            </m:oMath>
            <w:r w:rsidR="00AF28CA" w:rsidRPr="0032787F">
              <w:rPr>
                <w:rFonts w:cs="Times New Roman"/>
                <w:sz w:val="20"/>
                <w:szCs w:val="20"/>
              </w:rPr>
              <w:t>10</w:t>
            </w:r>
            <w:r w:rsidR="00AF28CA" w:rsidRPr="0032787F">
              <w:rPr>
                <w:rFonts w:cs="Times New Roman"/>
                <w:sz w:val="20"/>
                <w:szCs w:val="20"/>
                <w:vertAlign w:val="superscript"/>
              </w:rPr>
              <w:t>-</w:t>
            </w:r>
            <w:r w:rsidR="00B45E7A" w:rsidRPr="0032787F">
              <w:rPr>
                <w:rFonts w:cs="Times New Roman"/>
                <w:sz w:val="20"/>
                <w:szCs w:val="20"/>
                <w:vertAlign w:val="superscript"/>
              </w:rPr>
              <w:t>9</w:t>
            </w:r>
            <w:r w:rsidR="009934DC" w:rsidRPr="0032787F">
              <w:rPr>
                <w:rFonts w:cs="Times New Roman"/>
                <w:sz w:val="20"/>
                <w:szCs w:val="20"/>
              </w:rPr>
              <w:t>)</w:t>
            </w:r>
          </w:p>
        </w:tc>
        <w:tc>
          <w:tcPr>
            <w:tcW w:w="1134" w:type="dxa"/>
            <w:vAlign w:val="center"/>
          </w:tcPr>
          <w:p w14:paraId="11E3951C" w14:textId="3F09B2DC" w:rsidR="00887762" w:rsidRPr="0032787F" w:rsidRDefault="00143622" w:rsidP="001A7445">
            <w:pPr>
              <w:spacing w:after="0" w:line="240" w:lineRule="auto"/>
              <w:jc w:val="center"/>
              <w:rPr>
                <w:rFonts w:cs="Times New Roman"/>
                <w:color w:val="000000"/>
                <w:sz w:val="20"/>
                <w:szCs w:val="20"/>
              </w:rPr>
            </w:pPr>
            <w:r w:rsidRPr="0032787F">
              <w:rPr>
                <w:rFonts w:cs="Times New Roman"/>
                <w:color w:val="000000"/>
                <w:sz w:val="20"/>
                <w:szCs w:val="20"/>
              </w:rPr>
              <w:t>3.86</w:t>
            </w:r>
            <m:oMath>
              <m:r>
                <w:rPr>
                  <w:rFonts w:ascii="Cambria Math" w:hAnsi="Cambria Math" w:cs="Times New Roman"/>
                  <w:color w:val="000000"/>
                  <w:sz w:val="20"/>
                  <w:szCs w:val="20"/>
                </w:rPr>
                <m:t>±</m:t>
              </m:r>
            </m:oMath>
            <w:r w:rsidR="00E47A54" w:rsidRPr="0032787F">
              <w:rPr>
                <w:rFonts w:eastAsiaTheme="minorEastAsia" w:cs="Times New Roman"/>
                <w:color w:val="000000"/>
                <w:sz w:val="20"/>
                <w:szCs w:val="20"/>
              </w:rPr>
              <w:t>0.2</w:t>
            </w:r>
          </w:p>
        </w:tc>
        <w:tc>
          <w:tcPr>
            <w:tcW w:w="1134" w:type="dxa"/>
            <w:vAlign w:val="center"/>
          </w:tcPr>
          <w:p w14:paraId="62DC0A9E" w14:textId="73CFDA01" w:rsidR="00887762" w:rsidRPr="0032787F" w:rsidRDefault="00487C1E" w:rsidP="001A7445">
            <w:pPr>
              <w:spacing w:after="0" w:line="240" w:lineRule="auto"/>
              <w:jc w:val="center"/>
              <w:rPr>
                <w:rFonts w:cs="Times New Roman"/>
                <w:color w:val="000000"/>
                <w:sz w:val="20"/>
                <w:szCs w:val="20"/>
              </w:rPr>
            </w:pPr>
            <w:r w:rsidRPr="0032787F">
              <w:rPr>
                <w:rFonts w:eastAsiaTheme="minorEastAsia" w:cs="Times New Roman"/>
                <w:color w:val="000000"/>
                <w:sz w:val="20"/>
                <w:szCs w:val="20"/>
              </w:rPr>
              <w:t>5.00</w:t>
            </w:r>
            <m:oMath>
              <m:r>
                <w:rPr>
                  <w:rFonts w:ascii="Cambria Math" w:hAnsi="Cambria Math" w:cs="Times New Roman"/>
                  <w:color w:val="000000"/>
                  <w:sz w:val="20"/>
                  <w:szCs w:val="20"/>
                </w:rPr>
                <m:t>±</m:t>
              </m:r>
            </m:oMath>
            <w:r w:rsidR="00E47A54" w:rsidRPr="0032787F">
              <w:rPr>
                <w:rFonts w:eastAsiaTheme="minorEastAsia" w:cs="Times New Roman"/>
                <w:color w:val="000000"/>
                <w:sz w:val="20"/>
                <w:szCs w:val="20"/>
              </w:rPr>
              <w:t>0.3</w:t>
            </w:r>
          </w:p>
        </w:tc>
        <w:tc>
          <w:tcPr>
            <w:tcW w:w="1134" w:type="dxa"/>
            <w:vAlign w:val="center"/>
          </w:tcPr>
          <w:p w14:paraId="2E903920" w14:textId="720C54C8" w:rsidR="00887762" w:rsidRPr="0032787F" w:rsidRDefault="00A76C12" w:rsidP="001A7445">
            <w:pPr>
              <w:spacing w:after="0" w:line="240" w:lineRule="auto"/>
              <w:jc w:val="center"/>
              <w:rPr>
                <w:rFonts w:cs="Times New Roman"/>
                <w:color w:val="000000"/>
                <w:sz w:val="20"/>
                <w:szCs w:val="20"/>
              </w:rPr>
            </w:pPr>
            <w:r w:rsidRPr="0032787F">
              <w:rPr>
                <w:rFonts w:eastAsiaTheme="minorEastAsia" w:cs="Times New Roman"/>
                <w:color w:val="000000"/>
                <w:sz w:val="20"/>
                <w:szCs w:val="20"/>
              </w:rPr>
              <w:t>2.07</w:t>
            </w:r>
            <m:oMath>
              <m:r>
                <w:rPr>
                  <w:rFonts w:ascii="Cambria Math" w:hAnsi="Cambria Math" w:cs="Times New Roman"/>
                  <w:color w:val="000000"/>
                  <w:sz w:val="20"/>
                  <w:szCs w:val="20"/>
                </w:rPr>
                <m:t>±</m:t>
              </m:r>
            </m:oMath>
            <w:r w:rsidR="00310EBC" w:rsidRPr="0032787F">
              <w:rPr>
                <w:rFonts w:eastAsiaTheme="minorEastAsia" w:cs="Times New Roman"/>
                <w:color w:val="000000"/>
                <w:sz w:val="20"/>
                <w:szCs w:val="20"/>
              </w:rPr>
              <w:t>0.</w:t>
            </w:r>
            <w:r w:rsidR="00765C89" w:rsidRPr="0032787F">
              <w:rPr>
                <w:rFonts w:eastAsiaTheme="minorEastAsia" w:cs="Times New Roman"/>
                <w:color w:val="000000"/>
                <w:sz w:val="20"/>
                <w:szCs w:val="20"/>
              </w:rPr>
              <w:t>1</w:t>
            </w:r>
          </w:p>
        </w:tc>
        <w:tc>
          <w:tcPr>
            <w:tcW w:w="1277" w:type="dxa"/>
            <w:vAlign w:val="center"/>
          </w:tcPr>
          <w:p w14:paraId="6DEC3F6A" w14:textId="5E1D7DFB" w:rsidR="00887762" w:rsidRPr="0032787F" w:rsidRDefault="00BF2DFD" w:rsidP="001A7445">
            <w:pPr>
              <w:spacing w:after="0" w:line="240" w:lineRule="auto"/>
              <w:jc w:val="center"/>
              <w:rPr>
                <w:rFonts w:cs="Times New Roman"/>
                <w:color w:val="000000"/>
                <w:sz w:val="20"/>
                <w:szCs w:val="20"/>
              </w:rPr>
            </w:pPr>
            <w:r w:rsidRPr="0032787F">
              <w:rPr>
                <w:rFonts w:eastAsiaTheme="minorEastAsia" w:cs="Times New Roman"/>
                <w:color w:val="000000"/>
                <w:sz w:val="20"/>
                <w:szCs w:val="20"/>
              </w:rPr>
              <w:t>0.47</w:t>
            </w:r>
            <m:oMath>
              <m:r>
                <w:rPr>
                  <w:rFonts w:ascii="Cambria Math" w:hAnsi="Cambria Math" w:cs="Times New Roman"/>
                  <w:color w:val="000000"/>
                  <w:sz w:val="20"/>
                  <w:szCs w:val="20"/>
                </w:rPr>
                <m:t>±</m:t>
              </m:r>
            </m:oMath>
            <w:r w:rsidR="002E3FE0" w:rsidRPr="0032787F">
              <w:rPr>
                <w:rFonts w:eastAsiaTheme="minorEastAsia" w:cs="Times New Roman"/>
                <w:color w:val="000000"/>
                <w:sz w:val="20"/>
                <w:szCs w:val="20"/>
              </w:rPr>
              <w:t>0.</w:t>
            </w:r>
            <w:r w:rsidR="00310EBC" w:rsidRPr="0032787F">
              <w:rPr>
                <w:rFonts w:eastAsiaTheme="minorEastAsia" w:cs="Times New Roman"/>
                <w:color w:val="000000"/>
                <w:sz w:val="20"/>
                <w:szCs w:val="20"/>
              </w:rPr>
              <w:t>03</w:t>
            </w:r>
          </w:p>
        </w:tc>
        <w:tc>
          <w:tcPr>
            <w:tcW w:w="1276" w:type="dxa"/>
            <w:vAlign w:val="center"/>
          </w:tcPr>
          <w:p w14:paraId="1B49A797" w14:textId="7195731D" w:rsidR="00887762" w:rsidRPr="0032787F" w:rsidRDefault="005150E6" w:rsidP="001A7445">
            <w:pPr>
              <w:spacing w:after="0" w:line="240" w:lineRule="auto"/>
              <w:jc w:val="center"/>
              <w:rPr>
                <w:rFonts w:cs="Times New Roman"/>
                <w:color w:val="000000"/>
                <w:sz w:val="20"/>
                <w:szCs w:val="20"/>
              </w:rPr>
            </w:pPr>
            <w:r w:rsidRPr="0032787F">
              <w:rPr>
                <w:rFonts w:eastAsiaTheme="minorEastAsia" w:cs="Times New Roman"/>
                <w:color w:val="000000"/>
                <w:sz w:val="20"/>
                <w:szCs w:val="20"/>
              </w:rPr>
              <w:t>0</w:t>
            </w:r>
            <w:r w:rsidR="008746CC" w:rsidRPr="0032787F">
              <w:rPr>
                <w:rFonts w:eastAsiaTheme="minorEastAsia" w:cs="Times New Roman"/>
                <w:color w:val="000000"/>
                <w:sz w:val="20"/>
                <w:szCs w:val="20"/>
              </w:rPr>
              <w:t>.086</w:t>
            </w:r>
            <m:oMath>
              <m:r>
                <w:rPr>
                  <w:rFonts w:ascii="Cambria Math" w:hAnsi="Cambria Math" w:cs="Times New Roman"/>
                  <w:color w:val="000000"/>
                  <w:sz w:val="20"/>
                  <w:szCs w:val="20"/>
                </w:rPr>
                <m:t>±</m:t>
              </m:r>
            </m:oMath>
            <w:r w:rsidR="0061569C" w:rsidRPr="0032787F">
              <w:rPr>
                <w:rFonts w:eastAsiaTheme="minorEastAsia" w:cs="Times New Roman"/>
                <w:color w:val="000000"/>
                <w:sz w:val="20"/>
                <w:szCs w:val="20"/>
              </w:rPr>
              <w:t>0.</w:t>
            </w:r>
            <w:r w:rsidR="00E47A54" w:rsidRPr="0032787F">
              <w:rPr>
                <w:rFonts w:eastAsiaTheme="minorEastAsia" w:cs="Times New Roman"/>
                <w:color w:val="000000"/>
                <w:sz w:val="20"/>
                <w:szCs w:val="20"/>
              </w:rPr>
              <w:t>0</w:t>
            </w:r>
            <w:r w:rsidR="00E753F2" w:rsidRPr="0032787F">
              <w:rPr>
                <w:rFonts w:eastAsiaTheme="minorEastAsia" w:cs="Times New Roman"/>
                <w:color w:val="000000"/>
                <w:sz w:val="20"/>
                <w:szCs w:val="20"/>
              </w:rPr>
              <w:t>04</w:t>
            </w:r>
          </w:p>
        </w:tc>
        <w:tc>
          <w:tcPr>
            <w:tcW w:w="1701" w:type="dxa"/>
            <w:vAlign w:val="center"/>
          </w:tcPr>
          <w:p w14:paraId="73AF1CDA" w14:textId="0B9AD35D" w:rsidR="00887762" w:rsidRPr="0032787F" w:rsidRDefault="008746CC" w:rsidP="001A7445">
            <w:pPr>
              <w:spacing w:after="0" w:line="240" w:lineRule="auto"/>
              <w:jc w:val="center"/>
              <w:rPr>
                <w:rFonts w:cs="Times New Roman"/>
                <w:color w:val="000000"/>
                <w:sz w:val="20"/>
                <w:szCs w:val="20"/>
              </w:rPr>
            </w:pPr>
            <w:r w:rsidRPr="0032787F">
              <w:rPr>
                <w:rFonts w:eastAsiaTheme="minorEastAsia" w:cs="Times New Roman"/>
                <w:color w:val="000000"/>
                <w:sz w:val="20"/>
                <w:szCs w:val="20"/>
              </w:rPr>
              <w:t>0.0075</w:t>
            </w:r>
            <m:oMath>
              <m:r>
                <w:rPr>
                  <w:rFonts w:ascii="Cambria Math" w:hAnsi="Cambria Math" w:cs="Times New Roman"/>
                  <w:color w:val="000000"/>
                  <w:sz w:val="20"/>
                  <w:szCs w:val="20"/>
                </w:rPr>
                <m:t>±</m:t>
              </m:r>
            </m:oMath>
            <w:r w:rsidR="0061569C" w:rsidRPr="0032787F">
              <w:rPr>
                <w:rFonts w:eastAsiaTheme="minorEastAsia" w:cs="Times New Roman"/>
                <w:color w:val="000000"/>
                <w:sz w:val="20"/>
                <w:szCs w:val="20"/>
              </w:rPr>
              <w:t>0.</w:t>
            </w:r>
            <w:r w:rsidR="00EC3BD0" w:rsidRPr="0032787F">
              <w:rPr>
                <w:rFonts w:eastAsiaTheme="minorEastAsia" w:cs="Times New Roman"/>
                <w:color w:val="000000"/>
                <w:sz w:val="20"/>
                <w:szCs w:val="20"/>
              </w:rPr>
              <w:t>00026</w:t>
            </w:r>
          </w:p>
        </w:tc>
      </w:tr>
    </w:tbl>
    <w:p w14:paraId="305FBF89" w14:textId="3903253C" w:rsidR="005B3094" w:rsidRPr="007508C3" w:rsidRDefault="009233D8" w:rsidP="005652B7">
      <w:pPr>
        <w:spacing w:before="360"/>
        <w:rPr>
          <w:rFonts w:cs="Times New Roman"/>
        </w:rPr>
      </w:pPr>
      <w:r>
        <w:rPr>
          <w:rFonts w:cs="Times New Roman"/>
        </w:rPr>
        <w:t>It is possible to see that</w:t>
      </w:r>
      <w:r w:rsidR="00742529">
        <w:rPr>
          <w:rFonts w:cs="Times New Roman"/>
        </w:rPr>
        <w:t>,</w:t>
      </w:r>
      <w:r>
        <w:rPr>
          <w:rFonts w:cs="Times New Roman"/>
        </w:rPr>
        <w:t xml:space="preserve"> </w:t>
      </w:r>
      <w:r w:rsidR="00766DC2">
        <w:rPr>
          <w:rFonts w:cs="Times New Roman"/>
        </w:rPr>
        <w:t>generally</w:t>
      </w:r>
      <w:r w:rsidR="00742529">
        <w:rPr>
          <w:rFonts w:cs="Times New Roman"/>
        </w:rPr>
        <w:t>, the</w:t>
      </w:r>
      <w:r w:rsidR="00766DC2">
        <w:rPr>
          <w:rFonts w:cs="Times New Roman"/>
        </w:rPr>
        <w:t xml:space="preserve"> PEO-DC</w:t>
      </w:r>
      <w:r w:rsidR="00742529">
        <w:rPr>
          <w:rFonts w:cs="Times New Roman"/>
        </w:rPr>
        <w:t xml:space="preserve"> condition</w:t>
      </w:r>
      <w:r w:rsidR="00766DC2">
        <w:rPr>
          <w:rFonts w:cs="Times New Roman"/>
        </w:rPr>
        <w:t xml:space="preserve"> was characterized by higher C</w:t>
      </w:r>
      <w:r w:rsidR="00766DC2">
        <w:rPr>
          <w:rFonts w:cs="Times New Roman"/>
          <w:vertAlign w:val="subscript"/>
        </w:rPr>
        <w:t>edl</w:t>
      </w:r>
      <w:r w:rsidR="00766DC2">
        <w:rPr>
          <w:rFonts w:cs="Times New Roman"/>
        </w:rPr>
        <w:t xml:space="preserve"> increasing with polarization time</w:t>
      </w:r>
      <w:r w:rsidR="002D3DBC">
        <w:rPr>
          <w:rFonts w:cs="Times New Roman"/>
        </w:rPr>
        <w:t xml:space="preserve"> due to </w:t>
      </w:r>
      <w:r w:rsidR="000C1A48">
        <w:rPr>
          <w:rFonts w:cs="Times New Roman"/>
        </w:rPr>
        <w:t>charge accumulation in the electrical double layer</w:t>
      </w:r>
      <w:r w:rsidR="006E67E3">
        <w:rPr>
          <w:rFonts w:cs="Times New Roman"/>
        </w:rPr>
        <w:t xml:space="preserve"> according to</w:t>
      </w:r>
      <w:r w:rsidR="00CA25D7">
        <w:rPr>
          <w:rFonts w:cs="Times New Roman"/>
        </w:rPr>
        <w:t xml:space="preserve"> abundant</w:t>
      </w:r>
      <w:r w:rsidR="006E67E3">
        <w:rPr>
          <w:rFonts w:cs="Times New Roman"/>
        </w:rPr>
        <w:t xml:space="preserve"> H</w:t>
      </w:r>
      <w:r w:rsidR="006E67E3">
        <w:rPr>
          <w:rFonts w:cs="Times New Roman"/>
          <w:vertAlign w:val="subscript"/>
        </w:rPr>
        <w:t>ads</w:t>
      </w:r>
      <w:r w:rsidR="000C1A48">
        <w:rPr>
          <w:rFonts w:cs="Times New Roman"/>
        </w:rPr>
        <w:t>.</w:t>
      </w:r>
      <w:r w:rsidR="006E67E3">
        <w:rPr>
          <w:rFonts w:cs="Times New Roman"/>
        </w:rPr>
        <w:t xml:space="preserve"> </w:t>
      </w:r>
      <w:r w:rsidR="00CA25D7">
        <w:rPr>
          <w:rFonts w:cs="Times New Roman"/>
        </w:rPr>
        <w:t xml:space="preserve">The </w:t>
      </w:r>
      <w:r w:rsidR="006E67E3">
        <w:rPr>
          <w:rFonts w:cs="Times New Roman"/>
        </w:rPr>
        <w:t>parameter B</w:t>
      </w:r>
      <w:r w:rsidR="002561BA">
        <w:rPr>
          <w:rFonts w:cs="Times New Roman"/>
        </w:rPr>
        <w:t xml:space="preserve">, </w:t>
      </w:r>
      <w:r w:rsidR="00CA25D7">
        <w:rPr>
          <w:rFonts w:cs="Times New Roman"/>
        </w:rPr>
        <w:t>related to mass transport</w:t>
      </w:r>
      <w:r w:rsidR="002561BA">
        <w:rPr>
          <w:rFonts w:cs="Times New Roman"/>
        </w:rPr>
        <w:t>,</w:t>
      </w:r>
      <w:r w:rsidR="00CA25D7">
        <w:rPr>
          <w:rFonts w:cs="Times New Roman"/>
        </w:rPr>
        <w:t xml:space="preserve"> was high durin</w:t>
      </w:r>
      <w:r w:rsidR="009B7FDA">
        <w:rPr>
          <w:rFonts w:cs="Times New Roman"/>
        </w:rPr>
        <w:t>g</w:t>
      </w:r>
      <w:r w:rsidR="00CA25D7">
        <w:rPr>
          <w:rFonts w:cs="Times New Roman"/>
        </w:rPr>
        <w:t xml:space="preserve"> the initial 30 s of polarization </w:t>
      </w:r>
      <w:r w:rsidR="00EB1C26">
        <w:rPr>
          <w:rFonts w:cs="Times New Roman"/>
        </w:rPr>
        <w:t>(</w:t>
      </w:r>
      <w:r w:rsidR="00EB1C26" w:rsidRPr="00EB1C26">
        <w:rPr>
          <w:rFonts w:cs="Times New Roman"/>
        </w:rPr>
        <w:t>D</w:t>
      </w:r>
      <w:r w:rsidR="00EB1C26" w:rsidRPr="00EB1C26">
        <w:rPr>
          <w:rFonts w:cs="Times New Roman"/>
          <w:vertAlign w:val="superscript"/>
        </w:rPr>
        <w:t>H+</w:t>
      </w:r>
      <w:r w:rsidR="00EB1C26">
        <w:rPr>
          <w:rFonts w:cs="Times New Roman"/>
          <w:vertAlign w:val="superscript"/>
        </w:rPr>
        <w:t xml:space="preserve"> </w:t>
      </w:r>
      <w:r w:rsidR="00EB1C26">
        <w:rPr>
          <w:rFonts w:cs="Times New Roman"/>
        </w:rPr>
        <w:t>~ 10</w:t>
      </w:r>
      <w:r w:rsidR="00EB1C26">
        <w:rPr>
          <w:rFonts w:cs="Times New Roman"/>
          <w:vertAlign w:val="superscript"/>
        </w:rPr>
        <w:t>-9</w:t>
      </w:r>
      <w:r w:rsidR="00EB1C26">
        <w:rPr>
          <w:rFonts w:cs="Times New Roman"/>
        </w:rPr>
        <w:t xml:space="preserve"> </w:t>
      </w:r>
      <w:r w:rsidR="00AA0913" w:rsidRPr="00AA0913">
        <w:rPr>
          <w:rFonts w:cs="Times New Roman"/>
        </w:rPr>
        <w:t>cm</w:t>
      </w:r>
      <w:r w:rsidR="00AA0913" w:rsidRPr="00AA0913">
        <w:rPr>
          <w:rFonts w:cs="Times New Roman"/>
          <w:vertAlign w:val="superscript"/>
        </w:rPr>
        <w:t>2</w:t>
      </w:r>
      <w:r w:rsidR="00307B57" w:rsidRPr="00307B57">
        <w:rPr>
          <w:rFonts w:cs="Times New Roman"/>
        </w:rPr>
        <w:t>·</w:t>
      </w:r>
      <w:r w:rsidR="00AA0913" w:rsidRPr="00AA0913">
        <w:rPr>
          <w:rFonts w:cs="Times New Roman"/>
        </w:rPr>
        <w:t>s</w:t>
      </w:r>
      <w:r w:rsidR="00AA0913" w:rsidRPr="00AA0913">
        <w:rPr>
          <w:rFonts w:cs="Times New Roman"/>
          <w:vertAlign w:val="superscript"/>
        </w:rPr>
        <w:t>-1</w:t>
      </w:r>
      <w:r w:rsidR="00AA0913">
        <w:rPr>
          <w:rFonts w:cs="Times New Roman"/>
        </w:rPr>
        <w:t>)</w:t>
      </w:r>
      <w:r w:rsidR="00EB1C26">
        <w:rPr>
          <w:rFonts w:cs="Times New Roman"/>
        </w:rPr>
        <w:t xml:space="preserve"> </w:t>
      </w:r>
      <w:r w:rsidR="00B0555A">
        <w:rPr>
          <w:rFonts w:cs="Times New Roman"/>
        </w:rPr>
        <w:t>indicating prevalence</w:t>
      </w:r>
      <w:r w:rsidR="00FA4CF4">
        <w:rPr>
          <w:rFonts w:cs="Times New Roman"/>
        </w:rPr>
        <w:t xml:space="preserve"> of</w:t>
      </w:r>
      <w:r w:rsidR="00B0555A">
        <w:rPr>
          <w:rFonts w:cs="Times New Roman"/>
        </w:rPr>
        <w:t xml:space="preserve"> </w:t>
      </w:r>
      <w:r w:rsidR="00CA25D7">
        <w:rPr>
          <w:rFonts w:cs="Times New Roman"/>
        </w:rPr>
        <w:t>liquid phase diffusion</w:t>
      </w:r>
      <w:r w:rsidR="00FA4CF4">
        <w:rPr>
          <w:rFonts w:cs="Times New Roman"/>
        </w:rPr>
        <w:t>.</w:t>
      </w:r>
      <w:r w:rsidR="00B0555A">
        <w:rPr>
          <w:rFonts w:cs="Times New Roman"/>
        </w:rPr>
        <w:t xml:space="preserve"> </w:t>
      </w:r>
      <w:r w:rsidR="00562A49">
        <w:rPr>
          <w:rFonts w:cs="Times New Roman"/>
        </w:rPr>
        <w:t>I</w:t>
      </w:r>
      <w:r w:rsidR="00CA25D7">
        <w:rPr>
          <w:rFonts w:cs="Times New Roman"/>
        </w:rPr>
        <w:t xml:space="preserve">n case </w:t>
      </w:r>
      <w:r w:rsidR="00B0555A">
        <w:rPr>
          <w:rFonts w:cs="Times New Roman"/>
        </w:rPr>
        <w:t>of longer</w:t>
      </w:r>
      <w:r w:rsidR="00CA25D7">
        <w:rPr>
          <w:rFonts w:cs="Times New Roman"/>
        </w:rPr>
        <w:t xml:space="preserve"> cathodic po</w:t>
      </w:r>
      <w:r w:rsidR="00B0555A">
        <w:rPr>
          <w:rFonts w:cs="Times New Roman"/>
        </w:rPr>
        <w:t>larization</w:t>
      </w:r>
      <w:r w:rsidR="002561BA">
        <w:rPr>
          <w:rFonts w:cs="Times New Roman"/>
        </w:rPr>
        <w:t xml:space="preserve"> times</w:t>
      </w:r>
      <w:r w:rsidR="00CA25D7">
        <w:rPr>
          <w:rFonts w:cs="Times New Roman"/>
        </w:rPr>
        <w:t xml:space="preserve"> </w:t>
      </w:r>
      <w:r w:rsidR="00CA25D7" w:rsidRPr="00CA25D7">
        <w:rPr>
          <w:rFonts w:cs="Times New Roman"/>
        </w:rPr>
        <w:t>D</w:t>
      </w:r>
      <w:r w:rsidR="00CA25D7" w:rsidRPr="00CA25D7">
        <w:rPr>
          <w:rFonts w:cs="Times New Roman"/>
          <w:vertAlign w:val="superscript"/>
        </w:rPr>
        <w:t>H+</w:t>
      </w:r>
      <w:r w:rsidR="00CA25D7">
        <w:rPr>
          <w:rFonts w:cs="Times New Roman"/>
        </w:rPr>
        <w:t xml:space="preserve"> saturated towards values </w:t>
      </w:r>
      <w:r w:rsidR="008425A3">
        <w:rPr>
          <w:rFonts w:cs="Times New Roman"/>
        </w:rPr>
        <w:t>associated to solid state</w:t>
      </w:r>
      <w:r w:rsidR="00D00751">
        <w:rPr>
          <w:rFonts w:cs="Times New Roman"/>
        </w:rPr>
        <w:t>-</w:t>
      </w:r>
      <w:r w:rsidR="008425A3">
        <w:rPr>
          <w:rFonts w:cs="Times New Roman"/>
        </w:rPr>
        <w:t>diffusion</w:t>
      </w:r>
      <w:r w:rsidR="00995738">
        <w:rPr>
          <w:rFonts w:cs="Times New Roman"/>
        </w:rPr>
        <w:t xml:space="preserve"> </w:t>
      </w:r>
      <w:r w:rsidR="002561BA">
        <w:rPr>
          <w:rFonts w:cs="Times New Roman"/>
        </w:rPr>
        <w:t>according to</w:t>
      </w:r>
      <w:r w:rsidR="00995738">
        <w:rPr>
          <w:rFonts w:cs="Times New Roman"/>
        </w:rPr>
        <w:t xml:space="preserve"> previous analysis</w:t>
      </w:r>
      <w:r w:rsidR="008425A3">
        <w:rPr>
          <w:rFonts w:cs="Times New Roman"/>
        </w:rPr>
        <w:t>.</w:t>
      </w:r>
      <w:r w:rsidR="00CA25D7">
        <w:rPr>
          <w:rFonts w:cs="Times New Roman"/>
        </w:rPr>
        <w:t xml:space="preserve"> </w:t>
      </w:r>
      <w:r w:rsidR="003F1B27">
        <w:rPr>
          <w:rFonts w:cs="Times New Roman"/>
        </w:rPr>
        <w:t>A</w:t>
      </w:r>
      <w:r w:rsidR="008425A3">
        <w:rPr>
          <w:rFonts w:cs="Times New Roman"/>
        </w:rPr>
        <w:t>part from mass transport phenomena a</w:t>
      </w:r>
      <w:r w:rsidR="003F1B27">
        <w:rPr>
          <w:rFonts w:cs="Times New Roman"/>
        </w:rPr>
        <w:t xml:space="preserve"> higher residual current for sample PEO-H-25 indicates faster kinetics of HER</w:t>
      </w:r>
      <w:r w:rsidR="00037C63">
        <w:rPr>
          <w:rFonts w:cs="Times New Roman"/>
        </w:rPr>
        <w:t xml:space="preserve"> occurring on the oxide surface</w:t>
      </w:r>
      <w:r w:rsidR="002E5C85">
        <w:rPr>
          <w:rFonts w:cs="Times New Roman"/>
        </w:rPr>
        <w:t xml:space="preserve"> which is beneficial</w:t>
      </w:r>
      <w:r w:rsidR="008425A3">
        <w:rPr>
          <w:rFonts w:cs="Times New Roman"/>
        </w:rPr>
        <w:t xml:space="preserve"> to retard oxide debonding</w:t>
      </w:r>
      <w:r w:rsidR="003278B7">
        <w:rPr>
          <w:rFonts w:cs="Times New Roman"/>
        </w:rPr>
        <w:t>. In fact, this allowed to decrease</w:t>
      </w:r>
      <w:r w:rsidR="002E5C85">
        <w:rPr>
          <w:rFonts w:cs="Times New Roman"/>
        </w:rPr>
        <w:t xml:space="preserve"> protons</w:t>
      </w:r>
      <w:r w:rsidR="00884E5C">
        <w:rPr>
          <w:rFonts w:cs="Times New Roman"/>
        </w:rPr>
        <w:t xml:space="preserve"> </w:t>
      </w:r>
      <w:r w:rsidR="00041552">
        <w:rPr>
          <w:rFonts w:cs="Times New Roman"/>
        </w:rPr>
        <w:t>percolat</w:t>
      </w:r>
      <w:r w:rsidR="00884E5C">
        <w:rPr>
          <w:rFonts w:cs="Times New Roman"/>
        </w:rPr>
        <w:t>ion</w:t>
      </w:r>
      <w:r w:rsidR="00041552">
        <w:rPr>
          <w:rFonts w:cs="Times New Roman"/>
        </w:rPr>
        <w:t xml:space="preserve"> through </w:t>
      </w:r>
      <w:r w:rsidR="00DB1DCC">
        <w:rPr>
          <w:rFonts w:cs="Times New Roman"/>
        </w:rPr>
        <w:t>the oxide layer leading to</w:t>
      </w:r>
      <w:r w:rsidR="00506318">
        <w:rPr>
          <w:rFonts w:cs="Times New Roman"/>
        </w:rPr>
        <w:t xml:space="preserve"> reduction </w:t>
      </w:r>
      <w:r w:rsidR="008425A3">
        <w:rPr>
          <w:rFonts w:cs="Times New Roman"/>
        </w:rPr>
        <w:t>and eventual recombination at the metal-oxide interface</w:t>
      </w:r>
      <w:r w:rsidR="00506318">
        <w:rPr>
          <w:rFonts w:cs="Times New Roman"/>
        </w:rPr>
        <w:t>.</w:t>
      </w:r>
      <w:r w:rsidR="0055143A">
        <w:rPr>
          <w:rFonts w:cs="Times New Roman"/>
        </w:rPr>
        <w:t xml:space="preserve"> The lower HER kinetics in case of</w:t>
      </w:r>
      <w:r w:rsidR="00DC4504">
        <w:rPr>
          <w:rFonts w:cs="Times New Roman"/>
        </w:rPr>
        <w:t xml:space="preserve"> PEO-DC</w:t>
      </w:r>
      <w:r w:rsidR="0055143A">
        <w:rPr>
          <w:rFonts w:cs="Times New Roman"/>
        </w:rPr>
        <w:t xml:space="preserve"> was</w:t>
      </w:r>
      <w:r w:rsidR="00DC4504">
        <w:rPr>
          <w:rFonts w:cs="Times New Roman"/>
        </w:rPr>
        <w:t xml:space="preserve"> due to the high content of S left by the</w:t>
      </w:r>
      <w:r w:rsidR="00731246">
        <w:rPr>
          <w:rFonts w:cs="Times New Roman"/>
        </w:rPr>
        <w:t xml:space="preserve"> continuous </w:t>
      </w:r>
      <w:r w:rsidR="003C6FFD">
        <w:rPr>
          <w:rFonts w:cs="Times New Roman"/>
        </w:rPr>
        <w:t>anodic field</w:t>
      </w:r>
      <w:r w:rsidR="00731246">
        <w:rPr>
          <w:rFonts w:cs="Times New Roman"/>
        </w:rPr>
        <w:t xml:space="preserve"> applied</w:t>
      </w:r>
      <w:r w:rsidR="003C6FFD">
        <w:rPr>
          <w:rFonts w:cs="Times New Roman"/>
        </w:rPr>
        <w:t xml:space="preserve"> during oxide synthesis</w:t>
      </w:r>
      <w:r w:rsidR="00024696">
        <w:rPr>
          <w:rFonts w:cs="Times New Roman"/>
        </w:rPr>
        <w:t xml:space="preserve"> verified according to previous GD-OES profiles</w:t>
      </w:r>
      <w:r w:rsidR="003C6FFD">
        <w:rPr>
          <w:rFonts w:cs="Times New Roman"/>
        </w:rPr>
        <w:t xml:space="preserve">. </w:t>
      </w:r>
      <w:r w:rsidR="007E52BC">
        <w:rPr>
          <w:rFonts w:cs="Times New Roman"/>
        </w:rPr>
        <w:t>This happens when cathodic poison</w:t>
      </w:r>
      <w:r w:rsidR="008C0991">
        <w:rPr>
          <w:rFonts w:cs="Times New Roman"/>
        </w:rPr>
        <w:t>ers</w:t>
      </w:r>
      <w:r w:rsidR="006C5211">
        <w:rPr>
          <w:rFonts w:cs="Times New Roman"/>
        </w:rPr>
        <w:t>,</w:t>
      </w:r>
      <w:r w:rsidR="007E52BC">
        <w:rPr>
          <w:rFonts w:cs="Times New Roman"/>
        </w:rPr>
        <w:t xml:space="preserve"> like S containing species, </w:t>
      </w:r>
      <w:r w:rsidR="006C5211">
        <w:rPr>
          <w:rFonts w:cs="Times New Roman"/>
        </w:rPr>
        <w:t>inhibit molecular hydrogen formation, resulting in</w:t>
      </w:r>
      <w:r w:rsidR="00930BCD">
        <w:rPr>
          <w:rFonts w:cs="Times New Roman"/>
        </w:rPr>
        <w:t xml:space="preserve"> accumulation of </w:t>
      </w:r>
      <w:r w:rsidR="008C0991">
        <w:rPr>
          <w:rFonts w:cs="Times New Roman"/>
        </w:rPr>
        <w:t>H</w:t>
      </w:r>
      <w:r w:rsidR="00930BCD">
        <w:rPr>
          <w:rFonts w:cs="Times New Roman"/>
        </w:rPr>
        <w:t xml:space="preserve"> in contact with the metal where it</w:t>
      </w:r>
      <w:r w:rsidR="002F1868">
        <w:rPr>
          <w:rFonts w:cs="Times New Roman"/>
        </w:rPr>
        <w:t xml:space="preserve"> can</w:t>
      </w:r>
      <w:r w:rsidR="00930BCD">
        <w:rPr>
          <w:rFonts w:cs="Times New Roman"/>
        </w:rPr>
        <w:t xml:space="preserve"> eventually </w:t>
      </w:r>
      <w:r w:rsidR="00307B57">
        <w:rPr>
          <w:rFonts w:cs="Times New Roman"/>
        </w:rPr>
        <w:t>recombine</w:t>
      </w:r>
      <w:r w:rsidR="00930BCD">
        <w:rPr>
          <w:rFonts w:cs="Times New Roman"/>
        </w:rPr>
        <w:t xml:space="preserve"> </w:t>
      </w:r>
      <w:r w:rsidR="00A73C78">
        <w:rPr>
          <w:rFonts w:cs="Times New Roman"/>
        </w:rPr>
        <w:t>leading to oxide debonding.</w:t>
      </w:r>
      <w:r w:rsidR="005511F7">
        <w:rPr>
          <w:rFonts w:cs="Times New Roman"/>
        </w:rPr>
        <w:t xml:space="preserve"> One can argue that HER is generally favored by the presence of oxygen vacancies, particularly </w:t>
      </w:r>
      <w:r w:rsidR="00CB1552">
        <w:rPr>
          <w:rFonts w:cs="Times New Roman"/>
        </w:rPr>
        <w:t>for structures like</w:t>
      </w:r>
      <w:r w:rsidR="005A2F6D">
        <w:rPr>
          <w:rFonts w:cs="Times New Roman"/>
        </w:rPr>
        <w:t xml:space="preserve"> Ti</w:t>
      </w:r>
      <w:r w:rsidR="005A2F6D">
        <w:rPr>
          <w:rFonts w:cs="Times New Roman"/>
          <w:vertAlign w:val="subscript"/>
        </w:rPr>
        <w:t>2</w:t>
      </w:r>
      <w:r w:rsidR="005A2F6D">
        <w:rPr>
          <w:rFonts w:cs="Times New Roman"/>
        </w:rPr>
        <w:t>O</w:t>
      </w:r>
      <w:r w:rsidR="005A2F6D">
        <w:rPr>
          <w:rFonts w:cs="Times New Roman"/>
          <w:vertAlign w:val="subscript"/>
        </w:rPr>
        <w:t>3</w:t>
      </w:r>
      <w:r w:rsidR="00C13941">
        <w:rPr>
          <w:rFonts w:cs="Times New Roman"/>
        </w:rPr>
        <w:t xml:space="preserve"> (with </w:t>
      </w:r>
      <w:r w:rsidR="00C13531">
        <w:rPr>
          <w:rFonts w:cs="Times New Roman"/>
        </w:rPr>
        <w:t>band gap ~ 0.1 eV</w:t>
      </w:r>
      <w:r w:rsidR="00E76807">
        <w:rPr>
          <w:rFonts w:cs="Times New Roman"/>
        </w:rPr>
        <w:t xml:space="preserve"> </w:t>
      </w:r>
      <w:r w:rsidR="00E76807">
        <w:rPr>
          <w:rFonts w:cs="Times New Roman"/>
        </w:rPr>
        <w:fldChar w:fldCharType="begin" w:fldLock="1"/>
      </w:r>
      <w:r w:rsidR="00F36CB3">
        <w:rPr>
          <w:rFonts w:cs="Times New Roman"/>
        </w:rPr>
        <w:instrText>ADDIN CSL_CITATION {"citationItems":[{"id":"ITEM-1","itemData":{"DOI":"10.1038/s41467-019-11124-w","ISSN":"20411723","PMID":"31316069","abstract":"Transition metal oxides exhibit strong structure-property correlations, which has been extensively investigated and utilized for achieving efficient oxygen electrocatalysts. However, high-performance oxide-based electrocatalysts for hydrogen evolution are quite limited, and the mechanism still remains elusive. Here we demonstrate the strong correlations between the electronic structure and hydrogen electrocatalytic activity within a single oxide system Ti2O3. Taking advantage of the epitaxial stabilization, the polymorphism of Ti2O3 is extended by stabilizing bulk-absent polymorphs in the film-form. Electronic reconstructions are realized in the bulk-absent Ti2O3 polymorphs, which are further correlated to their electrocatalytic activity. We identify that smaller charge-transfer energy leads to a substantial enhancement in the electrocatalytic efficiency with stronger hybridization of Ti 3d and O 2p orbitals. Our study highlights the importance of the electronic structures on the hydrogen evolution activity of oxide electrocatalysts, and also provides a strategy to achieve efficient oxide-based hydrogen electrocatalysts by epitaxial stabilization of bulk-absent polymorphs.","author":[{"dropping-particle":"","family":"Li","given":"Yangyang","non-dropping-particle":"","parse-names":false,"suffix":""},{"dropping-particle":"","family":"Yu","given":"Zhi Gen","non-dropping-particle":"","parse-names":false,"suffix":""},{"dropping-particle":"","family":"Wang","given":"Ling","non-dropping-particle":"","parse-names":false,"suffix":""},{"dropping-particle":"","family":"Weng","given":"Yakui","non-dropping-particle":"","parse-names":false,"suffix":""},{"dropping-particle":"","family":"Tang","given":"Chi Sin","non-dropping-particle":"","parse-names":false,"suffix":""},{"dropping-particle":"","family":"Yin","given":"Xinmao","non-dropping-particle":"","parse-names":false,"suffix":""},{"dropping-particle":"","family":"Han","given":"Kun","non-dropping-particle":"","parse-names":false,"suffix":""},{"dropping-particle":"","family":"Wu","given":"Haijun","non-dropping-particle":"","parse-names":false,"suffix":""},{"dropping-particle":"","family":"Yu","given":"Xiaojiang","non-dropping-particle":"","parse-names":false,"suffix":""},{"dropping-particle":"","family":"Wong","given":"Lai Mun","non-dropping-particle":"","parse-names":false,"suffix":""},{"dropping-particle":"","family":"Wan","given":"Dongyang","non-dropping-particle":"","parse-names":false,"suffix":""},{"dropping-particle":"","family":"Wang","given":"Xiao Renshaw","non-dropping-particle":"","parse-names":false,"suffix":""},{"dropping-particle":"","family":"Chai","given":"Jianwei","non-dropping-particle":"","parse-names":false,"suffix":""},{"dropping-particle":"","family":"Zhang","given":"Yong Wei","non-dropping-particle":"","parse-names":false,"suffix":""},{"dropping-particle":"","family":"Wang","given":"Shijie","non-dropping-particle":"","parse-names":false,"suffix":""},{"dropping-particle":"","family":"Wang","given":"John","non-dropping-particle":"","parse-names":false,"suffix":""},{"dropping-particle":"","family":"Wee","given":"Andrew T.S.","non-dropping-particle":"","parse-names":false,"suffix":""},{"dropping-particle":"","family":"Breese","given":"Mark B.H.","non-dropping-particle":"","parse-names":false,"suffix":""},{"dropping-particle":"","family":"Pennycook","given":"Stephen J.","non-dropping-particle":"","parse-names":false,"suffix":""},{"dropping-particle":"","family":"Venkatesan","given":"Thirumalai","non-dropping-particle":"","parse-names":false,"suffix":""},{"dropping-particle":"","family":"Dong","given":"Shuai","non-dropping-particle":"","parse-names":false,"suffix":""},{"dropping-particle":"","family":"Xue","given":"Jun Min","non-dropping-particle":"","parse-names":false,"suffix":""},{"dropping-particle":"","family":"Chen","given":"Jingsheng","non-dropping-particle":"","parse-names":false,"suffix":""}],"container-title":"Nature Communications","id":"ITEM-1","issue":"1","issued":{"date-parts":[["2019"]]},"publisher":"Springer US","title":"Electronic-reconstruction-enhanced hydrogen evolution catalysis in oxide polymorphs","type":"article-journal","volume":"10"},"uris":["http://www.mendeley.com/documents/?uuid=8dbeff17-8542-4489-904e-b8ef5856370d"]}],"mendeley":{"formattedCitation":"[47]","plainTextFormattedCitation":"[47]","previouslyFormattedCitation":"[47]"},"properties":{"noteIndex":0},"schema":"https://github.com/citation-style-language/schema/raw/master/csl-citation.json"}</w:instrText>
      </w:r>
      <w:r w:rsidR="00E76807">
        <w:rPr>
          <w:rFonts w:cs="Times New Roman"/>
        </w:rPr>
        <w:fldChar w:fldCharType="separate"/>
      </w:r>
      <w:r w:rsidR="000D478A" w:rsidRPr="000D478A">
        <w:rPr>
          <w:rFonts w:cs="Times New Roman"/>
          <w:noProof/>
        </w:rPr>
        <w:t>[47]</w:t>
      </w:r>
      <w:r w:rsidR="00E76807">
        <w:rPr>
          <w:rFonts w:cs="Times New Roman"/>
        </w:rPr>
        <w:fldChar w:fldCharType="end"/>
      </w:r>
      <w:r w:rsidR="00C13531">
        <w:rPr>
          <w:rFonts w:cs="Times New Roman"/>
        </w:rPr>
        <w:t>)</w:t>
      </w:r>
      <w:r w:rsidR="005A2F6D">
        <w:rPr>
          <w:rFonts w:cs="Times New Roman"/>
        </w:rPr>
        <w:t xml:space="preserve"> </w:t>
      </w:r>
      <w:r w:rsidR="00C13941">
        <w:rPr>
          <w:rFonts w:cs="Times New Roman"/>
        </w:rPr>
        <w:t xml:space="preserve">or even better </w:t>
      </w:r>
      <w:r w:rsidR="00E76807">
        <w:rPr>
          <w:rFonts w:cs="Times New Roman"/>
        </w:rPr>
        <w:t>TiO</w:t>
      </w:r>
      <w:r w:rsidR="004607A3">
        <w:rPr>
          <w:rFonts w:cs="Times New Roman"/>
        </w:rPr>
        <w:t xml:space="preserve"> </w:t>
      </w:r>
      <w:r w:rsidR="004607A3">
        <w:rPr>
          <w:rFonts w:cs="Times New Roman"/>
        </w:rPr>
        <w:fldChar w:fldCharType="begin" w:fldLock="1"/>
      </w:r>
      <w:r w:rsidR="00F36CB3">
        <w:rPr>
          <w:rFonts w:cs="Times New Roman"/>
        </w:rPr>
        <w:instrText>ADDIN CSL_CITATION {"citationItems":[{"id":"ITEM-1","itemData":{"DOI":"10.1021/acscatal.5b02614","ISSN":"21555435","abstract":"As a promising alternative hydrogen evolution electro-catalyst to platinum, a classical and earth-abundant \"titania\" is investigated. Herein, the paradigm of electro-inactive titania has been surmounted by exploiting defect engineering as a tool, which tailors the local atomic structure of nonconductive titania via electrochemical cathodization strategy. The enhanced electro-conducting properties along with favorable surface energetics for Hads of reduced titania (TiO1.23) ensures ultrafast HER kinetics. Because of the proximity with the benchmark Pt, the reduced titania exhibits excellent HER catalytic activity in an acidic electrolyte by exhibiting low onset potential of 75 mV versus RHE and a Tafel slope of 88 mV·dec-1, and it demonstrates 10 mA·cm-2 at a potential of 198 mV versus RHE. Furthermore, the cathodization process also endows \"magic effects\" by effectively exposing the (111) close-packed plane with extravagant texture coefficient and makes the structure more thermodynamically stable. The long-term durability studies (5000 cycles of cyclic sweeping, 40 h of static polarization) confirm the extremely stable HER catalytic activity of TiO1.23. These findings suggest that by tuning oxygen vacancies in the lattice and its concomitant cumulative strained configuration, reduced titania can be an effective HER electro-catalyst for electrochemical water splitting.","author":[{"dropping-particle":"","family":"Swaminathan","given":"Jayashree","non-dropping-particle":"","parse-names":false,"suffix":""},{"dropping-particle":"","family":"Subbiah","given":"Ravichandran","non-dropping-particle":"","parse-names":false,"suffix":""},{"dropping-particle":"","family":"Singaram","given":"Vengatesan","non-dropping-particle":"","parse-names":false,"suffix":""}],"container-title":"ACS Catalysis","id":"ITEM-1","issue":"4","issued":{"date-parts":[["2016"]]},"note":"mott-schottki plot","page":"2222-2229","title":"Defect-Rich Metallic Titania (TiO1.23) - An Efficient Hydrogen Evolution Catalyst for Electrochemical Water Splitting","type":"article-journal","volume":"6"},"uris":["http://www.mendeley.com/documents/?uuid=fcfe4218-7753-403e-9e7c-191ddcb84a31"]}],"mendeley":{"formattedCitation":"[48]","plainTextFormattedCitation":"[48]","previouslyFormattedCitation":"[48]"},"properties":{"noteIndex":0},"schema":"https://github.com/citation-style-language/schema/raw/master/csl-citation.json"}</w:instrText>
      </w:r>
      <w:r w:rsidR="004607A3">
        <w:rPr>
          <w:rFonts w:cs="Times New Roman"/>
        </w:rPr>
        <w:fldChar w:fldCharType="separate"/>
      </w:r>
      <w:r w:rsidR="000D478A" w:rsidRPr="000D478A">
        <w:rPr>
          <w:rFonts w:cs="Times New Roman"/>
          <w:noProof/>
        </w:rPr>
        <w:t>[48]</w:t>
      </w:r>
      <w:r w:rsidR="004607A3">
        <w:rPr>
          <w:rFonts w:cs="Times New Roman"/>
        </w:rPr>
        <w:fldChar w:fldCharType="end"/>
      </w:r>
      <w:r w:rsidR="00E76807">
        <w:rPr>
          <w:rFonts w:cs="Times New Roman"/>
        </w:rPr>
        <w:t xml:space="preserve"> which thanks to </w:t>
      </w:r>
      <w:r w:rsidR="007C06C4">
        <w:rPr>
          <w:rFonts w:cs="Times New Roman"/>
        </w:rPr>
        <w:t xml:space="preserve">vast structural vacancies </w:t>
      </w:r>
      <w:r w:rsidR="00F33DB5">
        <w:rPr>
          <w:rFonts w:cs="Times New Roman"/>
        </w:rPr>
        <w:t>manifests</w:t>
      </w:r>
      <w:r w:rsidR="007C06C4">
        <w:rPr>
          <w:rFonts w:cs="Times New Roman"/>
        </w:rPr>
        <w:t xml:space="preserve"> </w:t>
      </w:r>
      <w:r w:rsidR="001A75A7">
        <w:rPr>
          <w:rFonts w:cs="Times New Roman"/>
        </w:rPr>
        <w:t>a d-like metal conductivity. However,</w:t>
      </w:r>
      <w:r w:rsidR="005D7865">
        <w:rPr>
          <w:rFonts w:cs="Times New Roman"/>
        </w:rPr>
        <w:t xml:space="preserve"> it is worth noting that</w:t>
      </w:r>
      <w:r w:rsidR="001A75A7">
        <w:rPr>
          <w:rFonts w:cs="Times New Roman"/>
        </w:rPr>
        <w:t xml:space="preserve"> </w:t>
      </w:r>
      <w:r w:rsidR="00996608">
        <w:rPr>
          <w:rFonts w:cs="Times New Roman"/>
        </w:rPr>
        <w:t>the</w:t>
      </w:r>
      <w:r w:rsidR="00CB3BF9">
        <w:rPr>
          <w:rFonts w:cs="Times New Roman"/>
        </w:rPr>
        <w:t xml:space="preserve"> third</w:t>
      </w:r>
      <w:r w:rsidR="001A75A7">
        <w:rPr>
          <w:rFonts w:cs="Times New Roman"/>
        </w:rPr>
        <w:t xml:space="preserve"> layer composing PEO-DC</w:t>
      </w:r>
      <w:r w:rsidR="00202B03">
        <w:rPr>
          <w:rFonts w:cs="Times New Roman"/>
        </w:rPr>
        <w:t xml:space="preserve"> barrier region</w:t>
      </w:r>
      <w:r w:rsidR="005B5957">
        <w:rPr>
          <w:rFonts w:cs="Times New Roman"/>
        </w:rPr>
        <w:t>,</w:t>
      </w:r>
      <w:r w:rsidR="00CB3BF9">
        <w:rPr>
          <w:rFonts w:cs="Times New Roman"/>
        </w:rPr>
        <w:t xml:space="preserve"> </w:t>
      </w:r>
      <w:r w:rsidR="005B5957">
        <w:rPr>
          <w:rFonts w:cs="Times New Roman"/>
        </w:rPr>
        <w:t>surmounting the</w:t>
      </w:r>
      <w:r w:rsidR="00CB3BF9">
        <w:rPr>
          <w:rFonts w:cs="Times New Roman"/>
        </w:rPr>
        <w:t xml:space="preserve"> </w:t>
      </w:r>
      <w:r w:rsidR="002A5EDE">
        <w:rPr>
          <w:rFonts w:cs="Times New Roman"/>
        </w:rPr>
        <w:t xml:space="preserve">previous </w:t>
      </w:r>
      <w:r w:rsidR="002A5EDE">
        <w:rPr>
          <w:rFonts w:cs="Times New Roman"/>
        </w:rPr>
        <w:lastRenderedPageBreak/>
        <w:t>structures</w:t>
      </w:r>
      <w:r w:rsidR="00FB2AD0">
        <w:rPr>
          <w:rFonts w:cs="Times New Roman"/>
        </w:rPr>
        <w:t xml:space="preserve"> </w:t>
      </w:r>
      <w:r w:rsidR="00FB2AD0" w:rsidRPr="00FB2AD0">
        <w:rPr>
          <w:rFonts w:cs="Times New Roman"/>
        </w:rPr>
        <w:t>(</w:t>
      </w:r>
      <w:r w:rsidR="004B339C">
        <w:rPr>
          <w:rFonts w:cs="Times New Roman"/>
        </w:rPr>
        <w:t xml:space="preserve">~ </w:t>
      </w:r>
      <w:r w:rsidR="00FB2AD0" w:rsidRPr="00FB2AD0">
        <w:rPr>
          <w:rFonts w:cs="Times New Roman"/>
        </w:rPr>
        <w:t>12 nm of TiO and</w:t>
      </w:r>
      <w:r w:rsidR="004B339C">
        <w:rPr>
          <w:rFonts w:cs="Times New Roman"/>
        </w:rPr>
        <w:t xml:space="preserve"> ~</w:t>
      </w:r>
      <w:r w:rsidR="00FB2AD0" w:rsidRPr="00FB2AD0">
        <w:rPr>
          <w:rFonts w:cs="Times New Roman"/>
        </w:rPr>
        <w:t xml:space="preserve"> 47 nm of Ti</w:t>
      </w:r>
      <w:r w:rsidR="00FB2AD0" w:rsidRPr="00FB2AD0">
        <w:rPr>
          <w:rFonts w:cs="Times New Roman"/>
          <w:vertAlign w:val="subscript"/>
        </w:rPr>
        <w:t>2</w:t>
      </w:r>
      <w:r w:rsidR="00FB2AD0" w:rsidRPr="00FB2AD0">
        <w:rPr>
          <w:rFonts w:cs="Times New Roman"/>
        </w:rPr>
        <w:t>O</w:t>
      </w:r>
      <w:r w:rsidR="00FB2AD0" w:rsidRPr="00FB2AD0">
        <w:rPr>
          <w:rFonts w:cs="Times New Roman"/>
          <w:vertAlign w:val="subscript"/>
        </w:rPr>
        <w:t>3</w:t>
      </w:r>
      <w:r w:rsidR="00FB2AD0" w:rsidRPr="00FB2AD0">
        <w:rPr>
          <w:rFonts w:cs="Times New Roman"/>
        </w:rPr>
        <w:t>)</w:t>
      </w:r>
      <w:r w:rsidR="005B5957">
        <w:rPr>
          <w:rFonts w:cs="Times New Roman"/>
        </w:rPr>
        <w:t>,</w:t>
      </w:r>
      <w:r w:rsidR="00996608">
        <w:rPr>
          <w:rFonts w:cs="Times New Roman"/>
        </w:rPr>
        <w:t xml:space="preserve"> </w:t>
      </w:r>
      <w:r w:rsidR="00AA21DC">
        <w:rPr>
          <w:rFonts w:cs="Times New Roman"/>
        </w:rPr>
        <w:t>correspond</w:t>
      </w:r>
      <w:r w:rsidR="005B5957">
        <w:rPr>
          <w:rFonts w:cs="Times New Roman"/>
        </w:rPr>
        <w:t>s</w:t>
      </w:r>
      <w:r w:rsidR="00AA21DC">
        <w:rPr>
          <w:rFonts w:cs="Times New Roman"/>
        </w:rPr>
        <w:t xml:space="preserve"> to a</w:t>
      </w:r>
      <w:r w:rsidR="002A5EDE">
        <w:rPr>
          <w:rFonts w:cs="Times New Roman"/>
        </w:rPr>
        <w:t>n oxide phase</w:t>
      </w:r>
      <w:r w:rsidR="00672EA4">
        <w:rPr>
          <w:rFonts w:cs="Times New Roman"/>
        </w:rPr>
        <w:t xml:space="preserve"> (</w:t>
      </w:r>
      <w:r w:rsidR="004B339C">
        <w:rPr>
          <w:rFonts w:cs="Times New Roman"/>
        </w:rPr>
        <w:t xml:space="preserve">~ </w:t>
      </w:r>
      <w:r w:rsidR="00672EA4">
        <w:rPr>
          <w:rFonts w:cs="Times New Roman"/>
        </w:rPr>
        <w:t>131 nm thick)</w:t>
      </w:r>
      <w:r w:rsidR="002A5EDE">
        <w:rPr>
          <w:rFonts w:cs="Times New Roman"/>
        </w:rPr>
        <w:t xml:space="preserve"> with</w:t>
      </w:r>
      <w:r w:rsidR="00AA21DC">
        <w:rPr>
          <w:rFonts w:cs="Times New Roman"/>
        </w:rPr>
        <w:t xml:space="preserve"> mixed Ti</w:t>
      </w:r>
      <w:r w:rsidR="00AA21DC">
        <w:rPr>
          <w:rFonts w:cs="Times New Roman"/>
          <w:vertAlign w:val="superscript"/>
        </w:rPr>
        <w:t>3+</w:t>
      </w:r>
      <w:r w:rsidR="00AA21DC">
        <w:rPr>
          <w:rFonts w:cs="Times New Roman"/>
        </w:rPr>
        <w:t>/Ti</w:t>
      </w:r>
      <w:r w:rsidR="00AA21DC">
        <w:rPr>
          <w:rFonts w:cs="Times New Roman"/>
          <w:vertAlign w:val="superscript"/>
        </w:rPr>
        <w:t>4+</w:t>
      </w:r>
      <w:r w:rsidR="00C13941">
        <w:rPr>
          <w:rFonts w:cs="Times New Roman"/>
        </w:rPr>
        <w:t xml:space="preserve"> </w:t>
      </w:r>
      <w:r w:rsidR="00996608">
        <w:rPr>
          <w:rFonts w:cs="Times New Roman"/>
        </w:rPr>
        <w:t>characte</w:t>
      </w:r>
      <w:r w:rsidR="00783605">
        <w:rPr>
          <w:rFonts w:cs="Times New Roman"/>
        </w:rPr>
        <w:t>r</w:t>
      </w:r>
      <w:r w:rsidR="00A2545D">
        <w:rPr>
          <w:rFonts w:cs="Times New Roman"/>
        </w:rPr>
        <w:t xml:space="preserve"> (</w:t>
      </w:r>
      <w:r w:rsidR="008B4E14">
        <w:rPr>
          <w:rFonts w:cs="Times New Roman"/>
        </w:rPr>
        <w:t xml:space="preserve">EELS spectrum shown in </w:t>
      </w:r>
      <w:r w:rsidR="008B4E14" w:rsidRPr="008B4E14">
        <w:rPr>
          <w:rFonts w:cs="Times New Roman"/>
          <w:b/>
          <w:bCs/>
        </w:rPr>
        <w:t>Fig. 15</w:t>
      </w:r>
      <w:r w:rsidR="008B4E14" w:rsidRPr="008B4E14">
        <w:rPr>
          <w:rFonts w:cs="Times New Roman"/>
        </w:rPr>
        <w:t xml:space="preserve"> in green</w:t>
      </w:r>
      <w:r w:rsidR="008B4E14">
        <w:rPr>
          <w:rFonts w:cs="Times New Roman"/>
        </w:rPr>
        <w:t>) whose catalytic propert</w:t>
      </w:r>
      <w:r w:rsidR="000D0AC1">
        <w:rPr>
          <w:rFonts w:cs="Times New Roman"/>
        </w:rPr>
        <w:t>y</w:t>
      </w:r>
      <w:r w:rsidR="008B4E14">
        <w:rPr>
          <w:rFonts w:cs="Times New Roman"/>
        </w:rPr>
        <w:t xml:space="preserve"> towards </w:t>
      </w:r>
      <w:r w:rsidR="00F94EC3">
        <w:rPr>
          <w:rFonts w:cs="Times New Roman"/>
        </w:rPr>
        <w:t xml:space="preserve">HER cannot be considered </w:t>
      </w:r>
      <w:r w:rsidR="009564E4">
        <w:rPr>
          <w:rFonts w:cs="Times New Roman"/>
        </w:rPr>
        <w:t xml:space="preserve">as advantageous as </w:t>
      </w:r>
      <w:r w:rsidR="004D3718">
        <w:rPr>
          <w:rFonts w:cs="Times New Roman"/>
        </w:rPr>
        <w:t>the one</w:t>
      </w:r>
      <w:r w:rsidR="00F6144C">
        <w:rPr>
          <w:rFonts w:cs="Times New Roman"/>
        </w:rPr>
        <w:t xml:space="preserve"> verified</w:t>
      </w:r>
      <w:r w:rsidR="004D3718">
        <w:rPr>
          <w:rFonts w:cs="Times New Roman"/>
        </w:rPr>
        <w:t xml:space="preserve"> o</w:t>
      </w:r>
      <w:r w:rsidR="00672BA0">
        <w:rPr>
          <w:rFonts w:cs="Times New Roman"/>
        </w:rPr>
        <w:t>n</w:t>
      </w:r>
      <w:r w:rsidR="004D3718">
        <w:rPr>
          <w:rFonts w:cs="Times New Roman"/>
        </w:rPr>
        <w:t xml:space="preserve"> </w:t>
      </w:r>
      <w:r w:rsidR="00F76392">
        <w:rPr>
          <w:rFonts w:cs="Times New Roman"/>
        </w:rPr>
        <w:t xml:space="preserve">more conductive </w:t>
      </w:r>
      <w:r w:rsidR="004D3718">
        <w:rPr>
          <w:rFonts w:cs="Times New Roman"/>
        </w:rPr>
        <w:t xml:space="preserve">structure like </w:t>
      </w:r>
      <w:r w:rsidR="004D3718" w:rsidRPr="004D3718">
        <w:rPr>
          <w:rFonts w:cs="Times New Roman"/>
        </w:rPr>
        <w:t>Ti</w:t>
      </w:r>
      <w:r w:rsidR="004D3718" w:rsidRPr="004D3718">
        <w:rPr>
          <w:rFonts w:cs="Times New Roman"/>
          <w:vertAlign w:val="subscript"/>
        </w:rPr>
        <w:t>2</w:t>
      </w:r>
      <w:r w:rsidR="004D3718" w:rsidRPr="004D3718">
        <w:rPr>
          <w:rFonts w:cs="Times New Roman"/>
        </w:rPr>
        <w:t>O</w:t>
      </w:r>
      <w:r w:rsidR="004D3718" w:rsidRPr="004D3718">
        <w:rPr>
          <w:rFonts w:cs="Times New Roman"/>
          <w:vertAlign w:val="subscript"/>
        </w:rPr>
        <w:t>3</w:t>
      </w:r>
      <w:r w:rsidR="004D3718">
        <w:rPr>
          <w:rFonts w:cs="Times New Roman"/>
        </w:rPr>
        <w:t xml:space="preserve"> or TiO</w:t>
      </w:r>
      <w:r w:rsidR="00F6144C">
        <w:rPr>
          <w:rFonts w:cs="Times New Roman"/>
        </w:rPr>
        <w:t xml:space="preserve"> </w:t>
      </w:r>
      <w:r w:rsidR="00935263">
        <w:rPr>
          <w:rFonts w:cs="Times New Roman"/>
        </w:rPr>
        <w:fldChar w:fldCharType="begin" w:fldLock="1"/>
      </w:r>
      <w:r w:rsidR="00935263">
        <w:rPr>
          <w:rFonts w:cs="Times New Roman"/>
        </w:rPr>
        <w:instrText>ADDIN CSL_CITATION {"citationItems":[{"id":"ITEM-1","itemData":{"DOI":"10.1021/acscatal.5b02614","ISSN":"21555435","abstract":"As a promising alternative hydrogen evolution electro-catalyst to platinum, a classical and earth-abundant \"titania\" is investigated. Herein, the paradigm of electro-inactive titania has been surmounted by exploiting defect engineering as a tool, which tailors the local atomic structure of nonconductive titania via electrochemical cathodization strategy. The enhanced electro-conducting properties along with favorable surface energetics for Hads of reduced titania (TiO1.23) ensures ultrafast HER kinetics. Because of the proximity with the benchmark Pt, the reduced titania exhibits excellent HER catalytic activity in an acidic electrolyte by exhibiting low onset potential of 75 mV versus RHE and a Tafel slope of 88 mV·dec-1, and it demonstrates 10 mA·cm-2 at a potential of 198 mV versus RHE. Furthermore, the cathodization process also endows \"magic effects\" by effectively exposing the (111) close-packed plane with extravagant texture coefficient and makes the structure more thermodynamically stable. The long-term durability studies (5000 cycles of cyclic sweeping, 40 h of static polarization) confirm the extremely stable HER catalytic activity of TiO1.23. These findings suggest that by tuning oxygen vacancies in the lattice and its concomitant cumulative strained configuration, reduced titania can be an effective HER electro-catalyst for electrochemical water splitting.","author":[{"dropping-particle":"","family":"Swaminathan","given":"Jayashree","non-dropping-particle":"","parse-names":false,"suffix":""},{"dropping-particle":"","family":"Subbiah","given":"Ravichandran","non-dropping-particle":"","parse-names":false,"suffix":""},{"dropping-particle":"","family":"Singaram","given":"Vengatesan","non-dropping-particle":"","parse-names":false,"suffix":""}],"container-title":"ACS Catalysis","id":"ITEM-1","issue":"4","issued":{"date-parts":[["2016"]]},"note":"mott-schottki plot","page":"2222-2229","title":"Defect-Rich Metallic Titania (TiO1.23) - An Efficient Hydrogen Evolution Catalyst for Electrochemical Water Splitting","type":"article-journal","volume":"6"},"uris":["http://www.mendeley.com/documents/?uuid=fcfe4218-7753-403e-9e7c-191ddcb84a31"]}],"mendeley":{"formattedCitation":"[48]","plainTextFormattedCitation":"[48]"},"properties":{"noteIndex":0},"schema":"https://github.com/citation-style-language/schema/raw/master/csl-citation.json"}</w:instrText>
      </w:r>
      <w:r w:rsidR="00935263">
        <w:rPr>
          <w:rFonts w:cs="Times New Roman"/>
        </w:rPr>
        <w:fldChar w:fldCharType="separate"/>
      </w:r>
      <w:r w:rsidR="00935263" w:rsidRPr="00935263">
        <w:rPr>
          <w:rFonts w:cs="Times New Roman"/>
          <w:noProof/>
        </w:rPr>
        <w:t>[48]</w:t>
      </w:r>
      <w:r w:rsidR="00935263">
        <w:rPr>
          <w:rFonts w:cs="Times New Roman"/>
        </w:rPr>
        <w:fldChar w:fldCharType="end"/>
      </w:r>
      <w:r w:rsidR="00C658B1">
        <w:rPr>
          <w:rFonts w:cs="Times New Roman"/>
        </w:rPr>
        <w:t xml:space="preserve">. </w:t>
      </w:r>
      <w:r w:rsidR="001943BA">
        <w:rPr>
          <w:rFonts w:cs="Times New Roman"/>
        </w:rPr>
        <w:t>From a structural point of view</w:t>
      </w:r>
      <w:r w:rsidR="00495319">
        <w:rPr>
          <w:rFonts w:cs="Times New Roman"/>
        </w:rPr>
        <w:t>,</w:t>
      </w:r>
      <w:r w:rsidR="001943BA">
        <w:rPr>
          <w:rFonts w:cs="Times New Roman"/>
        </w:rPr>
        <w:t xml:space="preserve"> t</w:t>
      </w:r>
      <w:r w:rsidR="00C658B1">
        <w:rPr>
          <w:rFonts w:cs="Times New Roman"/>
        </w:rPr>
        <w:t>he transition between a “pure” Ti</w:t>
      </w:r>
      <w:r w:rsidR="00C658B1">
        <w:rPr>
          <w:rFonts w:cs="Times New Roman"/>
          <w:vertAlign w:val="superscript"/>
        </w:rPr>
        <w:t>3+</w:t>
      </w:r>
      <w:r w:rsidR="00C658B1">
        <w:rPr>
          <w:rFonts w:cs="Times New Roman"/>
        </w:rPr>
        <w:t xml:space="preserve"> bearing oxide like Ti</w:t>
      </w:r>
      <w:r w:rsidR="00C658B1">
        <w:rPr>
          <w:rFonts w:cs="Times New Roman"/>
          <w:vertAlign w:val="subscript"/>
        </w:rPr>
        <w:t>2</w:t>
      </w:r>
      <w:r w:rsidR="00C658B1">
        <w:rPr>
          <w:rFonts w:cs="Times New Roman"/>
        </w:rPr>
        <w:t>O</w:t>
      </w:r>
      <w:r w:rsidR="00C658B1">
        <w:rPr>
          <w:rFonts w:cs="Times New Roman"/>
          <w:vertAlign w:val="subscript"/>
        </w:rPr>
        <w:t>3</w:t>
      </w:r>
      <w:r w:rsidR="00C658B1">
        <w:rPr>
          <w:rFonts w:cs="Times New Roman"/>
        </w:rPr>
        <w:t xml:space="preserve"> (in pink) and other phases characterized by a more or less abundant presence</w:t>
      </w:r>
      <w:r w:rsidR="00971654">
        <w:rPr>
          <w:rFonts w:cs="Times New Roman"/>
        </w:rPr>
        <w:t xml:space="preserve"> of Ti</w:t>
      </w:r>
      <w:r w:rsidR="00971654">
        <w:rPr>
          <w:rFonts w:cs="Times New Roman"/>
          <w:vertAlign w:val="superscript"/>
        </w:rPr>
        <w:t>4+</w:t>
      </w:r>
      <w:r w:rsidR="00971654">
        <w:rPr>
          <w:rFonts w:cs="Times New Roman"/>
        </w:rPr>
        <w:t xml:space="preserve"> centers</w:t>
      </w:r>
      <w:r w:rsidR="00C658B1">
        <w:rPr>
          <w:rFonts w:cs="Times New Roman"/>
        </w:rPr>
        <w:t xml:space="preserve"> (higher in case of spectrum in light blue denoted</w:t>
      </w:r>
      <w:r w:rsidR="00F13B8A">
        <w:rPr>
          <w:rFonts w:cs="Times New Roman"/>
        </w:rPr>
        <w:t xml:space="preserve"> as</w:t>
      </w:r>
      <w:r w:rsidR="00C658B1">
        <w:rPr>
          <w:rFonts w:cs="Times New Roman"/>
        </w:rPr>
        <w:t xml:space="preserve"> “mix Ti</w:t>
      </w:r>
      <w:r w:rsidR="00C658B1">
        <w:rPr>
          <w:rFonts w:cs="Times New Roman"/>
          <w:vertAlign w:val="superscript"/>
        </w:rPr>
        <w:t>4+</w:t>
      </w:r>
      <w:r w:rsidR="00C658B1">
        <w:rPr>
          <w:rFonts w:cs="Times New Roman"/>
        </w:rPr>
        <w:t>”)</w:t>
      </w:r>
      <w:r w:rsidR="00F13B8A">
        <w:rPr>
          <w:rFonts w:cs="Times New Roman"/>
        </w:rPr>
        <w:t xml:space="preserve"> </w:t>
      </w:r>
      <w:r w:rsidR="00971654">
        <w:rPr>
          <w:rFonts w:cs="Times New Roman"/>
        </w:rPr>
        <w:t xml:space="preserve">can be </w:t>
      </w:r>
      <w:r w:rsidR="00D973F7">
        <w:rPr>
          <w:rFonts w:cs="Times New Roman"/>
        </w:rPr>
        <w:t>distinguished by looking at the so called “oxidation parameter”</w:t>
      </w:r>
      <w:r w:rsidR="009C2AEF">
        <w:rPr>
          <w:rFonts w:cs="Times New Roman"/>
        </w:rPr>
        <w:t xml:space="preserve">, which increases with the </w:t>
      </w:r>
      <w:r w:rsidR="009C2AEF" w:rsidRPr="009C2AEF">
        <w:rPr>
          <w:rFonts w:cs="Times New Roman"/>
        </w:rPr>
        <w:t>Ti</w:t>
      </w:r>
      <w:r w:rsidR="009C2AEF" w:rsidRPr="009C2AEF">
        <w:rPr>
          <w:rFonts w:cs="Times New Roman"/>
          <w:vertAlign w:val="superscript"/>
        </w:rPr>
        <w:t>4+</w:t>
      </w:r>
      <w:r w:rsidR="009C2AEF">
        <w:rPr>
          <w:rFonts w:cs="Times New Roman"/>
        </w:rPr>
        <w:t xml:space="preserve"> content,</w:t>
      </w:r>
      <w:r w:rsidR="00CC7F42">
        <w:rPr>
          <w:rFonts w:cs="Times New Roman"/>
        </w:rPr>
        <w:t xml:space="preserve"> </w:t>
      </w:r>
      <w:r w:rsidR="00BE218C">
        <w:rPr>
          <w:rFonts w:cs="Times New Roman"/>
        </w:rPr>
        <w:t>defined as</w:t>
      </w:r>
      <w:r w:rsidR="00CC7F42">
        <w:rPr>
          <w:rFonts w:cs="Times New Roman"/>
        </w:rPr>
        <w:t xml:space="preserve"> the intensity difference between the L</w:t>
      </w:r>
      <w:r w:rsidR="00CC7F42">
        <w:rPr>
          <w:rFonts w:cs="Times New Roman"/>
          <w:vertAlign w:val="subscript"/>
        </w:rPr>
        <w:t>3</w:t>
      </w:r>
      <w:r w:rsidR="00CC7F42">
        <w:rPr>
          <w:rFonts w:cs="Times New Roman"/>
        </w:rPr>
        <w:t>-t</w:t>
      </w:r>
      <w:r w:rsidR="00874B42">
        <w:rPr>
          <w:rFonts w:cs="Times New Roman"/>
          <w:vertAlign w:val="subscript"/>
        </w:rPr>
        <w:t>2g</w:t>
      </w:r>
      <w:r w:rsidR="00874B42">
        <w:rPr>
          <w:rFonts w:cs="Times New Roman"/>
        </w:rPr>
        <w:t xml:space="preserve"> peak and the following valley</w:t>
      </w:r>
      <w:r w:rsidR="00450B73">
        <w:rPr>
          <w:rFonts w:cs="Times New Roman"/>
        </w:rPr>
        <w:t xml:space="preserve"> (null in case of corundum Ti</w:t>
      </w:r>
      <w:r w:rsidR="00450B73">
        <w:rPr>
          <w:rFonts w:cs="Times New Roman"/>
          <w:vertAlign w:val="subscript"/>
        </w:rPr>
        <w:t>2</w:t>
      </w:r>
      <w:r w:rsidR="00450B73">
        <w:rPr>
          <w:rFonts w:cs="Times New Roman"/>
        </w:rPr>
        <w:t>O</w:t>
      </w:r>
      <w:r w:rsidR="00450B73">
        <w:rPr>
          <w:rFonts w:cs="Times New Roman"/>
          <w:vertAlign w:val="subscript"/>
        </w:rPr>
        <w:t>3</w:t>
      </w:r>
      <w:r w:rsidR="00450B73">
        <w:rPr>
          <w:rFonts w:cs="Times New Roman"/>
        </w:rPr>
        <w:t>) or even at the ∆L</w:t>
      </w:r>
      <w:r w:rsidR="00450B73">
        <w:rPr>
          <w:rFonts w:cs="Times New Roman"/>
          <w:vertAlign w:val="subscript"/>
        </w:rPr>
        <w:t>3</w:t>
      </w:r>
      <w:r w:rsidR="00450B73">
        <w:rPr>
          <w:rFonts w:cs="Times New Roman"/>
        </w:rPr>
        <w:t xml:space="preserve"> splitting arising from</w:t>
      </w:r>
      <w:r w:rsidR="006F67A5">
        <w:rPr>
          <w:rFonts w:cs="Times New Roman"/>
        </w:rPr>
        <w:t xml:space="preserve"> crystal fi</w:t>
      </w:r>
      <w:r w:rsidR="00AC5141">
        <w:rPr>
          <w:rFonts w:cs="Times New Roman"/>
        </w:rPr>
        <w:t>eld</w:t>
      </w:r>
      <w:r w:rsidR="006F67A5">
        <w:rPr>
          <w:rFonts w:cs="Times New Roman"/>
        </w:rPr>
        <w:t xml:space="preserve"> interaction.</w:t>
      </w:r>
      <w:r w:rsidR="00BB5349">
        <w:rPr>
          <w:rFonts w:cs="Times New Roman"/>
        </w:rPr>
        <w:t xml:space="preserve"> </w:t>
      </w:r>
      <w:r w:rsidR="00483F27">
        <w:rPr>
          <w:rFonts w:cs="Times New Roman"/>
        </w:rPr>
        <w:t>Having d</w:t>
      </w:r>
      <w:r w:rsidR="00BB5349">
        <w:rPr>
          <w:rFonts w:cs="Times New Roman"/>
        </w:rPr>
        <w:t xml:space="preserve">emonstrated the </w:t>
      </w:r>
      <w:r w:rsidR="005E5177">
        <w:rPr>
          <w:rFonts w:cs="Times New Roman"/>
        </w:rPr>
        <w:t>inhomogeneity</w:t>
      </w:r>
      <w:r w:rsidR="00025B8B">
        <w:rPr>
          <w:rFonts w:cs="Times New Roman"/>
        </w:rPr>
        <w:t xml:space="preserve"> and the lower oxidation state of the cation</w:t>
      </w:r>
      <w:r w:rsidR="00483F27">
        <w:rPr>
          <w:rFonts w:cs="Times New Roman"/>
        </w:rPr>
        <w:t>,</w:t>
      </w:r>
      <w:r w:rsidR="002A63D5">
        <w:rPr>
          <w:rFonts w:cs="Times New Roman"/>
        </w:rPr>
        <w:t xml:space="preserve"> </w:t>
      </w:r>
      <w:r w:rsidR="008571C4">
        <w:rPr>
          <w:rFonts w:cs="Times New Roman"/>
        </w:rPr>
        <w:t>it is reasonable to hypothesize that the concurrent presence of</w:t>
      </w:r>
      <w:r w:rsidR="00025B8B">
        <w:rPr>
          <w:rFonts w:cs="Times New Roman"/>
        </w:rPr>
        <w:t xml:space="preserve"> </w:t>
      </w:r>
      <w:r w:rsidR="005E5E9B">
        <w:rPr>
          <w:rFonts w:cs="Times New Roman"/>
        </w:rPr>
        <w:t xml:space="preserve">oxygen vacancies </w:t>
      </w:r>
      <w:r w:rsidR="00025B8B">
        <w:rPr>
          <w:rFonts w:cs="Times New Roman"/>
        </w:rPr>
        <w:t>and consequent presence</w:t>
      </w:r>
      <w:r w:rsidR="007508C3">
        <w:rPr>
          <w:rFonts w:cs="Times New Roman"/>
        </w:rPr>
        <w:t xml:space="preserve"> of Ti</w:t>
      </w:r>
      <w:r w:rsidR="007508C3">
        <w:rPr>
          <w:rFonts w:cs="Times New Roman"/>
          <w:vertAlign w:val="superscript"/>
        </w:rPr>
        <w:t>3+</w:t>
      </w:r>
      <w:r w:rsidR="00025B8B">
        <w:rPr>
          <w:rFonts w:cs="Times New Roman"/>
        </w:rPr>
        <w:t xml:space="preserve"> </w:t>
      </w:r>
      <w:r w:rsidR="007508C3">
        <w:rPr>
          <w:rFonts w:cs="Times New Roman"/>
        </w:rPr>
        <w:t>centers can lead to</w:t>
      </w:r>
      <w:r w:rsidR="00180E24">
        <w:rPr>
          <w:rFonts w:cs="Times New Roman"/>
        </w:rPr>
        <w:t xml:space="preserve"> strong H</w:t>
      </w:r>
      <w:r w:rsidR="00180E24">
        <w:rPr>
          <w:rFonts w:cs="Times New Roman"/>
          <w:vertAlign w:val="subscript"/>
        </w:rPr>
        <w:t>ads</w:t>
      </w:r>
      <w:r w:rsidR="00EE62C3">
        <w:rPr>
          <w:rFonts w:cs="Times New Roman"/>
        </w:rPr>
        <w:t xml:space="preserve"> </w:t>
      </w:r>
      <w:r w:rsidR="00377F59">
        <w:rPr>
          <w:rFonts w:cs="Times New Roman"/>
        </w:rPr>
        <w:t xml:space="preserve">making </w:t>
      </w:r>
      <w:r w:rsidR="00966ED3">
        <w:rPr>
          <w:rFonts w:cs="Times New Roman"/>
        </w:rPr>
        <w:t>the desorption</w:t>
      </w:r>
      <w:r w:rsidR="005F264E">
        <w:rPr>
          <w:rFonts w:cs="Times New Roman"/>
        </w:rPr>
        <w:t xml:space="preserve"> an unlikely</w:t>
      </w:r>
      <w:r w:rsidR="00966ED3">
        <w:rPr>
          <w:rFonts w:cs="Times New Roman"/>
        </w:rPr>
        <w:t xml:space="preserve"> step </w:t>
      </w:r>
      <w:r w:rsidR="00860EA5">
        <w:rPr>
          <w:rFonts w:cs="Times New Roman"/>
        </w:rPr>
        <w:t>required</w:t>
      </w:r>
      <w:r w:rsidR="00966ED3">
        <w:rPr>
          <w:rFonts w:cs="Times New Roman"/>
        </w:rPr>
        <w:t xml:space="preserve"> for gas evolution.</w:t>
      </w:r>
    </w:p>
    <w:p w14:paraId="246B65DE" w14:textId="77777777" w:rsidR="00A328A4" w:rsidRDefault="001A2BCD" w:rsidP="00434471">
      <w:pPr>
        <w:keepNext/>
        <w:spacing w:after="0"/>
        <w:jc w:val="center"/>
      </w:pPr>
      <w:r>
        <w:rPr>
          <w:rFonts w:cs="Times New Roman"/>
          <w:noProof/>
        </w:rPr>
        <w:drawing>
          <wp:inline distT="0" distB="0" distL="0" distR="0" wp14:anchorId="48D7DB4F" wp14:editId="71EE690F">
            <wp:extent cx="3238500" cy="2381677"/>
            <wp:effectExtent l="0" t="0" r="0" b="0"/>
            <wp:docPr id="2" name="Picture 2"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line chart, histogram&#10;&#10;Description automatically generated"/>
                    <pic:cNvPicPr/>
                  </pic:nvPicPr>
                  <pic:blipFill rotWithShape="1">
                    <a:blip r:embed="rId23"/>
                    <a:srcRect l="1494" t="6918" r="15211" b="5809"/>
                    <a:stretch/>
                  </pic:blipFill>
                  <pic:spPr bwMode="auto">
                    <a:xfrm>
                      <a:off x="0" y="0"/>
                      <a:ext cx="3245308" cy="2386684"/>
                    </a:xfrm>
                    <a:prstGeom prst="rect">
                      <a:avLst/>
                    </a:prstGeom>
                    <a:ln>
                      <a:noFill/>
                    </a:ln>
                    <a:extLst>
                      <a:ext uri="{53640926-AAD7-44D8-BBD7-CCE9431645EC}">
                        <a14:shadowObscured xmlns:a14="http://schemas.microsoft.com/office/drawing/2010/main"/>
                      </a:ext>
                    </a:extLst>
                  </pic:spPr>
                </pic:pic>
              </a:graphicData>
            </a:graphic>
          </wp:inline>
        </w:drawing>
      </w:r>
    </w:p>
    <w:p w14:paraId="3B47BDA0" w14:textId="089EB828" w:rsidR="005B3094" w:rsidRPr="00A328A4" w:rsidRDefault="00A328A4" w:rsidP="00A328A4">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15</w:t>
      </w:r>
      <w:r>
        <w:fldChar w:fldCharType="end"/>
      </w:r>
      <w:r>
        <w:t xml:space="preserve">. </w:t>
      </w:r>
      <w:r>
        <w:rPr>
          <w:b w:val="0"/>
          <w:bCs/>
        </w:rPr>
        <w:t xml:space="preserve">EELS spectra </w:t>
      </w:r>
      <w:r w:rsidR="00B9141D">
        <w:rPr>
          <w:b w:val="0"/>
          <w:bCs/>
        </w:rPr>
        <w:t>and fine structure</w:t>
      </w:r>
      <w:r w:rsidR="002918E5">
        <w:rPr>
          <w:b w:val="0"/>
          <w:bCs/>
        </w:rPr>
        <w:t xml:space="preserve"> related</w:t>
      </w:r>
      <w:r w:rsidR="00B9141D">
        <w:rPr>
          <w:b w:val="0"/>
          <w:bCs/>
        </w:rPr>
        <w:t xml:space="preserve"> parameters indicating different oxidation levels.</w:t>
      </w:r>
    </w:p>
    <w:p w14:paraId="0ABDDC3F" w14:textId="5D39E8E7" w:rsidR="00875E3F" w:rsidRPr="00875E3F" w:rsidRDefault="00632765" w:rsidP="001448A2">
      <w:pPr>
        <w:spacing w:before="240"/>
        <w:rPr>
          <w:rFonts w:cs="Times New Roman"/>
        </w:rPr>
      </w:pPr>
      <w:r>
        <w:rPr>
          <w:rFonts w:cs="Times New Roman"/>
        </w:rPr>
        <w:t>The same</w:t>
      </w:r>
      <w:r w:rsidR="0060548C">
        <w:rPr>
          <w:rFonts w:cs="Times New Roman"/>
        </w:rPr>
        <w:t xml:space="preserve"> kinetic</w:t>
      </w:r>
      <w:r>
        <w:rPr>
          <w:rFonts w:cs="Times New Roman"/>
        </w:rPr>
        <w:t xml:space="preserve"> conclusion</w:t>
      </w:r>
      <w:r w:rsidR="0060548C">
        <w:rPr>
          <w:rFonts w:cs="Times New Roman"/>
        </w:rPr>
        <w:t>s</w:t>
      </w:r>
      <w:r>
        <w:rPr>
          <w:rFonts w:cs="Times New Roman"/>
        </w:rPr>
        <w:t xml:space="preserve"> can be drawn</w:t>
      </w:r>
      <w:r w:rsidR="00CB6331">
        <w:rPr>
          <w:rFonts w:cs="Times New Roman"/>
        </w:rPr>
        <w:t xml:space="preserve"> even from EIS:</w:t>
      </w:r>
      <w:r w:rsidR="00814AE8">
        <w:rPr>
          <w:rFonts w:cs="Times New Roman"/>
        </w:rPr>
        <w:t xml:space="preserve"> </w:t>
      </w:r>
      <w:r w:rsidR="00CB6331">
        <w:rPr>
          <w:rFonts w:cs="Times New Roman"/>
        </w:rPr>
        <w:t>c</w:t>
      </w:r>
      <w:r w:rsidR="00B7139D">
        <w:rPr>
          <w:rFonts w:cs="Times New Roman"/>
        </w:rPr>
        <w:t>onsidering</w:t>
      </w:r>
      <w:r w:rsidR="00377796">
        <w:rPr>
          <w:rFonts w:cs="Times New Roman"/>
        </w:rPr>
        <w:t xml:space="preserve"> </w:t>
      </w:r>
      <w:r w:rsidR="00377796" w:rsidRPr="00377796">
        <w:rPr>
          <w:rFonts w:cs="Times New Roman"/>
          <w:b/>
          <w:bCs/>
        </w:rPr>
        <w:t xml:space="preserve">Fig. </w:t>
      </w:r>
      <w:r w:rsidR="003268FB">
        <w:rPr>
          <w:rFonts w:cs="Times New Roman"/>
          <w:b/>
          <w:bCs/>
        </w:rPr>
        <w:t>12</w:t>
      </w:r>
      <w:r w:rsidR="00377796">
        <w:rPr>
          <w:rFonts w:cs="Times New Roman"/>
        </w:rPr>
        <w:t xml:space="preserve"> </w:t>
      </w:r>
      <w:r w:rsidR="00377796" w:rsidRPr="00377796">
        <w:rPr>
          <w:rFonts w:cs="Times New Roman"/>
          <w:b/>
          <w:bCs/>
        </w:rPr>
        <w:t>c)</w:t>
      </w:r>
      <w:r w:rsidR="00377796">
        <w:rPr>
          <w:rFonts w:cs="Times New Roman"/>
        </w:rPr>
        <w:t xml:space="preserve"> and </w:t>
      </w:r>
      <w:r w:rsidR="00377796" w:rsidRPr="00377796">
        <w:rPr>
          <w:rFonts w:cs="Times New Roman"/>
          <w:b/>
          <w:bCs/>
        </w:rPr>
        <w:t>d)</w:t>
      </w:r>
      <w:r w:rsidR="00377796">
        <w:rPr>
          <w:rFonts w:cs="Times New Roman"/>
        </w:rPr>
        <w:t xml:space="preserve"> </w:t>
      </w:r>
      <w:r w:rsidR="00875E3F" w:rsidRPr="00875E3F">
        <w:rPr>
          <w:rFonts w:cs="Times New Roman"/>
        </w:rPr>
        <w:t>the charge transfer resistance R</w:t>
      </w:r>
      <w:r w:rsidR="00875E3F" w:rsidRPr="00875E3F">
        <w:rPr>
          <w:rFonts w:cs="Times New Roman"/>
          <w:vertAlign w:val="subscript"/>
        </w:rPr>
        <w:t>ct</w:t>
      </w:r>
      <w:r w:rsidR="00875E3F" w:rsidRPr="00875E3F">
        <w:rPr>
          <w:rFonts w:cs="Times New Roman"/>
        </w:rPr>
        <w:t xml:space="preserve"> was extracted graphically </w:t>
      </w:r>
      <w:r w:rsidR="008425A3">
        <w:rPr>
          <w:rFonts w:cs="Times New Roman"/>
        </w:rPr>
        <w:t>from</w:t>
      </w:r>
      <w:r w:rsidR="00875E3F" w:rsidRPr="00875E3F">
        <w:rPr>
          <w:rFonts w:cs="Times New Roman"/>
        </w:rPr>
        <w:t xml:space="preserve"> the diameter of the </w:t>
      </w:r>
      <w:r w:rsidR="008425A3">
        <w:rPr>
          <w:rFonts w:cs="Times New Roman"/>
        </w:rPr>
        <w:t xml:space="preserve">high frequency </w:t>
      </w:r>
      <w:r w:rsidR="00875E3F" w:rsidRPr="00875E3F">
        <w:rPr>
          <w:rFonts w:cs="Times New Roman"/>
        </w:rPr>
        <w:t>semicircle</w:t>
      </w:r>
      <w:r w:rsidR="00C305BB">
        <w:rPr>
          <w:rFonts w:cs="Times New Roman"/>
        </w:rPr>
        <w:t xml:space="preserve"> </w:t>
      </w:r>
      <w:r w:rsidR="00EE194A">
        <w:rPr>
          <w:rFonts w:cs="Times New Roman"/>
        </w:rPr>
        <w:t xml:space="preserve">thus obtaining: 24.1 and 5.5 </w:t>
      </w:r>
      <w:r w:rsidR="00EE194A" w:rsidRPr="00EE194A">
        <w:rPr>
          <w:rFonts w:cs="Times New Roman"/>
        </w:rPr>
        <w:t>Ω</w:t>
      </w:r>
      <w:r w:rsidR="00EA4F9A">
        <w:rPr>
          <w:rFonts w:cs="Times New Roman"/>
        </w:rPr>
        <w:t>·</w:t>
      </w:r>
      <w:r w:rsidR="00EE194A" w:rsidRPr="00EE194A">
        <w:rPr>
          <w:rFonts w:cs="Times New Roman"/>
        </w:rPr>
        <w:t>cm</w:t>
      </w:r>
      <w:r w:rsidR="00EE194A" w:rsidRPr="00EE194A">
        <w:rPr>
          <w:rFonts w:cs="Times New Roman"/>
          <w:vertAlign w:val="superscript"/>
        </w:rPr>
        <w:t>2</w:t>
      </w:r>
      <w:r w:rsidR="00EE194A">
        <w:rPr>
          <w:rFonts w:cs="Times New Roman"/>
        </w:rPr>
        <w:t xml:space="preserve"> for PEO-DC and PEO-H-25 respectively</w:t>
      </w:r>
      <w:r w:rsidR="00875E3F" w:rsidRPr="00875E3F">
        <w:rPr>
          <w:rFonts w:cs="Times New Roman"/>
        </w:rPr>
        <w:t>. Upon e</w:t>
      </w:r>
      <w:r w:rsidR="00E83170">
        <w:rPr>
          <w:rFonts w:cs="Times New Roman"/>
        </w:rPr>
        <w:t>valuation</w:t>
      </w:r>
      <w:r w:rsidR="00875E3F" w:rsidRPr="00875E3F">
        <w:rPr>
          <w:rFonts w:cs="Times New Roman"/>
        </w:rPr>
        <w:t xml:space="preserve"> of the characteristic frequency (ω</w:t>
      </w:r>
      <w:r w:rsidR="00875E3F" w:rsidRPr="00875E3F">
        <w:rPr>
          <w:rFonts w:cs="Times New Roman"/>
          <w:vertAlign w:val="subscript"/>
        </w:rPr>
        <w:t>max</w:t>
      </w:r>
      <w:r w:rsidR="00875E3F" w:rsidRPr="00875E3F">
        <w:rPr>
          <w:rFonts w:cs="Times New Roman"/>
        </w:rPr>
        <w:t>)</w:t>
      </w:r>
      <w:r w:rsidR="00CB6331">
        <w:rPr>
          <w:rFonts w:cs="Times New Roman"/>
        </w:rPr>
        <w:t>,</w:t>
      </w:r>
      <w:r w:rsidR="008425A3">
        <w:rPr>
          <w:rFonts w:cs="Times New Roman"/>
        </w:rPr>
        <w:t xml:space="preserve"> </w:t>
      </w:r>
      <w:r w:rsidR="00903814">
        <w:rPr>
          <w:rFonts w:cs="Times New Roman"/>
        </w:rPr>
        <w:t>corresponding</w:t>
      </w:r>
      <w:r w:rsidR="00CB2154">
        <w:rPr>
          <w:rFonts w:cs="Times New Roman"/>
        </w:rPr>
        <w:t xml:space="preserve"> to</w:t>
      </w:r>
      <w:r w:rsidR="00903814">
        <w:rPr>
          <w:rFonts w:cs="Times New Roman"/>
        </w:rPr>
        <w:t xml:space="preserve"> the value in </w:t>
      </w:r>
      <w:r w:rsidR="00CB2154">
        <w:rPr>
          <w:rFonts w:cs="Times New Roman"/>
        </w:rPr>
        <w:t>proximity</w:t>
      </w:r>
      <w:r w:rsidR="00CB6331">
        <w:rPr>
          <w:rFonts w:cs="Times New Roman"/>
        </w:rPr>
        <w:t xml:space="preserve"> </w:t>
      </w:r>
      <w:r w:rsidR="00903814">
        <w:rPr>
          <w:rFonts w:cs="Times New Roman"/>
        </w:rPr>
        <w:t>of</w:t>
      </w:r>
      <w:r w:rsidR="008425A3">
        <w:rPr>
          <w:rFonts w:cs="Times New Roman"/>
        </w:rPr>
        <w:t xml:space="preserve"> the maximum of </w:t>
      </w:r>
      <w:r w:rsidR="00CB2154">
        <w:rPr>
          <w:rFonts w:cs="Times New Roman"/>
        </w:rPr>
        <w:t>-Z</w:t>
      </w:r>
      <w:r w:rsidR="00F76392">
        <w:rPr>
          <w:rFonts w:cs="Times New Roman"/>
          <w:vertAlign w:val="superscript"/>
        </w:rPr>
        <w:t>''</w:t>
      </w:r>
      <w:r w:rsidR="008425A3">
        <w:rPr>
          <w:rFonts w:cs="Times New Roman"/>
        </w:rPr>
        <w:t xml:space="preserve"> in the Bode representation</w:t>
      </w:r>
      <w:r w:rsidR="00875E3F" w:rsidRPr="00875E3F">
        <w:rPr>
          <w:rFonts w:cs="Times New Roman"/>
        </w:rPr>
        <w:t xml:space="preserve">, it is possible to calculate the double layer capacitance </w:t>
      </w:r>
      <w:r w:rsidR="00CB2154">
        <w:rPr>
          <w:rFonts w:cs="Times New Roman"/>
        </w:rPr>
        <w:t>using</w:t>
      </w:r>
      <w:r w:rsidR="00875E3F" w:rsidRPr="00875E3F">
        <w:rPr>
          <w:rFonts w:cs="Times New Roman"/>
        </w:rPr>
        <w:t xml:space="preserve"> </w:t>
      </w:r>
      <w:r w:rsidR="00875E3F" w:rsidRPr="00875E3F">
        <w:rPr>
          <w:rFonts w:cs="Times New Roman"/>
          <w:b/>
          <w:bCs/>
        </w:rPr>
        <w:t xml:space="preserve">Eq. </w:t>
      </w:r>
      <w:r w:rsidR="000609B1">
        <w:rPr>
          <w:rFonts w:cs="Times New Roman"/>
          <w:b/>
          <w:bCs/>
        </w:rPr>
        <w:t>8</w:t>
      </w:r>
      <w:r w:rsidR="00875E3F" w:rsidRPr="00875E3F">
        <w:rPr>
          <w:rFonts w:cs="Times New Roman"/>
        </w:rPr>
        <w:t>:</w:t>
      </w:r>
    </w:p>
    <w:p w14:paraId="78799A96" w14:textId="4AEB6E73" w:rsidR="009B47C9" w:rsidRDefault="00B63CF9" w:rsidP="00875E3F">
      <w:pPr>
        <w:rPr>
          <w:rFonts w:cs="Times New Roman"/>
        </w:rPr>
      </w:pP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edl</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ct</m:t>
                </m:r>
              </m:sub>
            </m:sSub>
            <m:sSub>
              <m:sSubPr>
                <m:ctrlPr>
                  <w:rPr>
                    <w:rFonts w:ascii="Cambria Math" w:hAnsi="Cambria Math" w:cs="Times New Roman"/>
                    <w:i/>
                  </w:rPr>
                </m:ctrlPr>
              </m:sSubPr>
              <m:e>
                <m:r>
                  <w:rPr>
                    <w:rFonts w:ascii="Cambria Math" w:hAnsi="Cambria Math" w:cs="Times New Roman"/>
                  </w:rPr>
                  <m:t>ω</m:t>
                </m:r>
              </m:e>
              <m:sub>
                <m:r>
                  <w:rPr>
                    <w:rFonts w:ascii="Cambria Math" w:hAnsi="Cambria Math" w:cs="Times New Roman"/>
                  </w:rPr>
                  <m:t>max</m:t>
                </m:r>
              </m:sub>
            </m:sSub>
          </m:den>
        </m:f>
      </m:oMath>
      <w:r w:rsidR="00875E3F" w:rsidRPr="00875E3F">
        <w:rPr>
          <w:rFonts w:cs="Times New Roman"/>
        </w:rPr>
        <w:tab/>
      </w:r>
      <w:r w:rsidR="00875E3F" w:rsidRPr="00875E3F">
        <w:rPr>
          <w:rFonts w:cs="Times New Roman"/>
        </w:rPr>
        <w:tab/>
      </w:r>
      <w:r w:rsidR="008425A3">
        <w:rPr>
          <w:rFonts w:cs="Times New Roman"/>
        </w:rPr>
        <w:t xml:space="preserve">                  </w:t>
      </w:r>
      <w:r w:rsidR="008425A3">
        <w:rPr>
          <w:rFonts w:cs="Times New Roman"/>
        </w:rPr>
        <w:tab/>
      </w:r>
      <w:r w:rsidR="008425A3">
        <w:rPr>
          <w:rFonts w:cs="Times New Roman"/>
        </w:rPr>
        <w:tab/>
      </w:r>
      <w:r w:rsidR="008425A3">
        <w:rPr>
          <w:rFonts w:cs="Times New Roman"/>
        </w:rPr>
        <w:tab/>
      </w:r>
      <w:r w:rsidR="008425A3">
        <w:rPr>
          <w:rFonts w:cs="Times New Roman"/>
        </w:rPr>
        <w:tab/>
      </w:r>
      <w:r w:rsidR="008425A3">
        <w:rPr>
          <w:rFonts w:cs="Times New Roman"/>
        </w:rPr>
        <w:tab/>
      </w:r>
      <w:r w:rsidR="008425A3">
        <w:rPr>
          <w:rFonts w:cs="Times New Roman"/>
        </w:rPr>
        <w:tab/>
        <w:t xml:space="preserve">                       (</w:t>
      </w:r>
      <w:r w:rsidR="000609B1">
        <w:rPr>
          <w:rFonts w:cs="Times New Roman"/>
        </w:rPr>
        <w:t>8</w:t>
      </w:r>
      <w:r w:rsidR="008425A3">
        <w:rPr>
          <w:rFonts w:cs="Times New Roman"/>
        </w:rPr>
        <w:t xml:space="preserve">)       </w:t>
      </w:r>
      <w:r w:rsidR="00EC20DD">
        <w:rPr>
          <w:rFonts w:cs="Times New Roman"/>
        </w:rPr>
        <w:t>values</w:t>
      </w:r>
      <w:r w:rsidR="006834FE">
        <w:rPr>
          <w:rFonts w:cs="Times New Roman"/>
        </w:rPr>
        <w:t xml:space="preserve"> of 2.97</w:t>
      </w:r>
      <m:oMath>
        <m:r>
          <w:rPr>
            <w:rFonts w:ascii="Cambria Math" w:hAnsi="Cambria Math" w:cs="Times New Roman"/>
          </w:rPr>
          <m:t>∙</m:t>
        </m:r>
      </m:oMath>
      <w:r w:rsidR="006834FE">
        <w:rPr>
          <w:rFonts w:cs="Times New Roman"/>
        </w:rPr>
        <w:t>10</w:t>
      </w:r>
      <w:r w:rsidR="006834FE">
        <w:rPr>
          <w:rFonts w:cs="Times New Roman"/>
          <w:vertAlign w:val="superscript"/>
        </w:rPr>
        <w:t xml:space="preserve">-3 </w:t>
      </w:r>
      <w:r w:rsidR="006834FE">
        <w:rPr>
          <w:rFonts w:cs="Times New Roman"/>
        </w:rPr>
        <w:t xml:space="preserve">and </w:t>
      </w:r>
      <w:r w:rsidR="00EC20DD">
        <w:rPr>
          <w:rFonts w:cs="Times New Roman"/>
        </w:rPr>
        <w:t>3.07</w:t>
      </w:r>
      <m:oMath>
        <m:r>
          <w:rPr>
            <w:rFonts w:ascii="Cambria Math" w:hAnsi="Cambria Math" w:cs="Times New Roman"/>
          </w:rPr>
          <m:t>∙</m:t>
        </m:r>
      </m:oMath>
      <w:r w:rsidR="00EC20DD">
        <w:rPr>
          <w:rFonts w:cs="Times New Roman"/>
        </w:rPr>
        <w:t>10</w:t>
      </w:r>
      <w:r w:rsidR="00EC20DD">
        <w:rPr>
          <w:rFonts w:cs="Times New Roman"/>
          <w:vertAlign w:val="superscript"/>
        </w:rPr>
        <w:t>-4</w:t>
      </w:r>
      <w:r w:rsidR="00EC20DD">
        <w:rPr>
          <w:rFonts w:cs="Times New Roman"/>
        </w:rPr>
        <w:t xml:space="preserve"> F</w:t>
      </w:r>
      <w:r w:rsidR="00307B57" w:rsidRPr="00307B57">
        <w:rPr>
          <w:rFonts w:cs="Times New Roman"/>
        </w:rPr>
        <w:t>·</w:t>
      </w:r>
      <w:r w:rsidR="00EC20DD">
        <w:rPr>
          <w:rFonts w:cs="Times New Roman"/>
        </w:rPr>
        <w:t>cm</w:t>
      </w:r>
      <w:r w:rsidR="00EC20DD">
        <w:rPr>
          <w:rFonts w:cs="Times New Roman"/>
          <w:vertAlign w:val="superscript"/>
        </w:rPr>
        <w:t>-2</w:t>
      </w:r>
      <w:r w:rsidR="00EC20DD">
        <w:rPr>
          <w:rFonts w:cs="Times New Roman"/>
        </w:rPr>
        <w:t xml:space="preserve"> were obtained</w:t>
      </w:r>
      <w:r w:rsidR="00D96F34">
        <w:rPr>
          <w:rFonts w:cs="Times New Roman"/>
        </w:rPr>
        <w:t>,</w:t>
      </w:r>
      <w:r w:rsidR="00FE2513">
        <w:rPr>
          <w:rFonts w:cs="Times New Roman"/>
        </w:rPr>
        <w:t xml:space="preserve"> thus denoting</w:t>
      </w:r>
      <w:r w:rsidR="008425A3">
        <w:rPr>
          <w:rFonts w:cs="Times New Roman"/>
        </w:rPr>
        <w:t xml:space="preserve"> a good correlation with parameters</w:t>
      </w:r>
      <w:r w:rsidR="00EC20DD">
        <w:rPr>
          <w:rFonts w:cs="Times New Roman"/>
        </w:rPr>
        <w:t xml:space="preserve"> </w:t>
      </w:r>
      <w:r w:rsidR="005F65E7">
        <w:rPr>
          <w:rFonts w:cs="Times New Roman"/>
        </w:rPr>
        <w:t>extracted from</w:t>
      </w:r>
      <w:r w:rsidR="000615D8">
        <w:rPr>
          <w:rFonts w:cs="Times New Roman"/>
        </w:rPr>
        <w:t xml:space="preserve"> previous</w:t>
      </w:r>
      <w:r w:rsidR="005F65E7">
        <w:rPr>
          <w:rFonts w:cs="Times New Roman"/>
        </w:rPr>
        <w:t xml:space="preserve"> step potential measurements</w:t>
      </w:r>
      <w:r w:rsidR="008425A3">
        <w:rPr>
          <w:rFonts w:cs="Times New Roman"/>
        </w:rPr>
        <w:t>.</w:t>
      </w:r>
      <w:r w:rsidR="00213B30">
        <w:rPr>
          <w:rFonts w:cs="Times New Roman"/>
        </w:rPr>
        <w:t xml:space="preserve"> Such high values demonstrate that the capacitances did not merely arise from charge separation but also accumulation in the EDL. The </w:t>
      </w:r>
      <w:r w:rsidR="007A2280">
        <w:rPr>
          <w:rFonts w:cs="Times New Roman"/>
        </w:rPr>
        <w:t>faster</w:t>
      </w:r>
      <w:r w:rsidR="008425A3">
        <w:rPr>
          <w:rFonts w:cs="Times New Roman"/>
        </w:rPr>
        <w:t xml:space="preserve"> kinetics of</w:t>
      </w:r>
      <w:r w:rsidR="007A2280">
        <w:rPr>
          <w:rFonts w:cs="Times New Roman"/>
        </w:rPr>
        <w:t xml:space="preserve"> HER on PEO-H-25, expressed by the lower </w:t>
      </w:r>
      <w:r w:rsidR="00FE244A" w:rsidRPr="00FE244A">
        <w:rPr>
          <w:rFonts w:cs="Times New Roman"/>
        </w:rPr>
        <w:t>R</w:t>
      </w:r>
      <w:r w:rsidR="00FE244A" w:rsidRPr="00FE244A">
        <w:rPr>
          <w:rFonts w:cs="Times New Roman"/>
          <w:vertAlign w:val="subscript"/>
        </w:rPr>
        <w:t>ct</w:t>
      </w:r>
      <w:r w:rsidR="00FE244A">
        <w:rPr>
          <w:rFonts w:cs="Times New Roman"/>
        </w:rPr>
        <w:t xml:space="preserve"> and the lower </w:t>
      </w:r>
      <w:r w:rsidR="002918E5">
        <w:rPr>
          <w:rFonts w:cs="Times New Roman"/>
        </w:rPr>
        <w:t>C</w:t>
      </w:r>
      <w:r w:rsidR="002918E5">
        <w:rPr>
          <w:rFonts w:cs="Times New Roman"/>
          <w:vertAlign w:val="subscript"/>
        </w:rPr>
        <w:t>edl</w:t>
      </w:r>
      <w:r w:rsidR="00862A17">
        <w:rPr>
          <w:rFonts w:cs="Times New Roman"/>
        </w:rPr>
        <w:t>,</w:t>
      </w:r>
      <w:r w:rsidR="00FE244A">
        <w:rPr>
          <w:rFonts w:cs="Times New Roman"/>
        </w:rPr>
        <w:t xml:space="preserve"> </w:t>
      </w:r>
      <w:r w:rsidR="00013EC0">
        <w:rPr>
          <w:rFonts w:cs="Times New Roman"/>
        </w:rPr>
        <w:t>can</w:t>
      </w:r>
      <w:r w:rsidR="00011D5A">
        <w:rPr>
          <w:rFonts w:cs="Times New Roman"/>
        </w:rPr>
        <w:t xml:space="preserve"> </w:t>
      </w:r>
      <w:r w:rsidR="00EE07C9">
        <w:rPr>
          <w:rFonts w:cs="Times New Roman"/>
        </w:rPr>
        <w:t>support</w:t>
      </w:r>
      <w:r w:rsidR="00011D5A">
        <w:rPr>
          <w:rFonts w:cs="Times New Roman"/>
        </w:rPr>
        <w:t xml:space="preserve"> the</w:t>
      </w:r>
      <w:r w:rsidR="00013EC0">
        <w:rPr>
          <w:rFonts w:cs="Times New Roman"/>
        </w:rPr>
        <w:t xml:space="preserve"> increase</w:t>
      </w:r>
      <w:r w:rsidR="00011D5A">
        <w:rPr>
          <w:rFonts w:cs="Times New Roman"/>
        </w:rPr>
        <w:t xml:space="preserve"> of</w:t>
      </w:r>
      <w:r w:rsidR="00E20C33">
        <w:rPr>
          <w:rFonts w:cs="Times New Roman"/>
        </w:rPr>
        <w:t xml:space="preserve"> the near-surface pH</w:t>
      </w:r>
      <w:r w:rsidR="00013EC0">
        <w:rPr>
          <w:rFonts w:cs="Times New Roman"/>
        </w:rPr>
        <w:t xml:space="preserve"> of the electrode</w:t>
      </w:r>
      <w:r w:rsidR="00E20C33">
        <w:rPr>
          <w:rFonts w:cs="Times New Roman"/>
        </w:rPr>
        <w:t xml:space="preserve"> </w:t>
      </w:r>
      <w:r w:rsidR="00013EC0">
        <w:rPr>
          <w:rFonts w:cs="Times New Roman"/>
        </w:rPr>
        <w:t>thus</w:t>
      </w:r>
      <w:r w:rsidR="00E20C33">
        <w:rPr>
          <w:rFonts w:cs="Times New Roman"/>
        </w:rPr>
        <w:t xml:space="preserve"> altering chemical and electrochemical processes</w:t>
      </w:r>
      <w:r w:rsidR="00F3265B">
        <w:rPr>
          <w:rFonts w:cs="Times New Roman"/>
        </w:rPr>
        <w:t xml:space="preserve"> responsible for the corrosion response of the material</w:t>
      </w:r>
      <w:r w:rsidR="00782EAF">
        <w:rPr>
          <w:rFonts w:cs="Times New Roman"/>
        </w:rPr>
        <w:t xml:space="preserve"> </w:t>
      </w:r>
      <w:r w:rsidR="00782EAF" w:rsidRPr="002918E5">
        <w:rPr>
          <w:rFonts w:cs="Times New Roman"/>
        </w:rPr>
        <w:t xml:space="preserve">for example by </w:t>
      </w:r>
      <w:r w:rsidR="00B23F3D" w:rsidRPr="002918E5">
        <w:rPr>
          <w:rFonts w:cs="Times New Roman"/>
        </w:rPr>
        <w:t>favoring oxide stabili</w:t>
      </w:r>
      <w:r w:rsidR="00E84BF7">
        <w:rPr>
          <w:rFonts w:cs="Times New Roman"/>
        </w:rPr>
        <w:t>ty</w:t>
      </w:r>
      <w:r w:rsidR="00E20C33">
        <w:rPr>
          <w:rFonts w:cs="Times New Roman"/>
        </w:rPr>
        <w:t>.</w:t>
      </w:r>
      <w:r w:rsidR="00826DAD">
        <w:rPr>
          <w:rFonts w:cs="Times New Roman"/>
        </w:rPr>
        <w:t xml:space="preserve"> </w:t>
      </w:r>
      <w:r w:rsidR="00826DAD" w:rsidRPr="00826DAD">
        <w:rPr>
          <w:rFonts w:cs="Times New Roman"/>
        </w:rPr>
        <w:t>Furthermore, TiO</w:t>
      </w:r>
      <w:r w:rsidR="00826DAD" w:rsidRPr="00826DAD">
        <w:rPr>
          <w:rFonts w:cs="Times New Roman"/>
          <w:vertAlign w:val="subscript"/>
        </w:rPr>
        <w:t>2</w:t>
      </w:r>
      <w:r w:rsidR="00826DAD" w:rsidRPr="00826DAD">
        <w:rPr>
          <w:rFonts w:cs="Times New Roman"/>
        </w:rPr>
        <w:t xml:space="preserve"> surfaces are</w:t>
      </w:r>
      <w:r w:rsidR="009F5853">
        <w:rPr>
          <w:rFonts w:cs="Times New Roman"/>
        </w:rPr>
        <w:t xml:space="preserve"> </w:t>
      </w:r>
      <w:r w:rsidR="009F5853" w:rsidRPr="009F5853">
        <w:rPr>
          <w:rFonts w:cs="Times New Roman"/>
        </w:rPr>
        <w:t>generally</w:t>
      </w:r>
      <w:r w:rsidR="00826DAD" w:rsidRPr="00826DAD">
        <w:rPr>
          <w:rFonts w:cs="Times New Roman"/>
        </w:rPr>
        <w:t xml:space="preserve"> covered predominantly by molecular water thus decreasing the number of OH</w:t>
      </w:r>
      <w:r w:rsidR="00826DAD" w:rsidRPr="00826DAD">
        <w:rPr>
          <w:rFonts w:cs="Times New Roman"/>
          <w:vertAlign w:val="superscript"/>
        </w:rPr>
        <w:t>-</w:t>
      </w:r>
      <w:r w:rsidR="00826DAD" w:rsidRPr="00826DAD">
        <w:rPr>
          <w:rFonts w:cs="Times New Roman"/>
        </w:rPr>
        <w:t xml:space="preserve"> terminations responsible for H</w:t>
      </w:r>
      <w:r w:rsidR="00826DAD" w:rsidRPr="00826DAD">
        <w:rPr>
          <w:rFonts w:cs="Times New Roman"/>
          <w:vertAlign w:val="superscript"/>
        </w:rPr>
        <w:t xml:space="preserve">+ </w:t>
      </w:r>
      <w:r w:rsidR="00826DAD" w:rsidRPr="00826DAD">
        <w:rPr>
          <w:rFonts w:cs="Times New Roman"/>
        </w:rPr>
        <w:t>conduction</w:t>
      </w:r>
      <w:r w:rsidR="00944176">
        <w:rPr>
          <w:rFonts w:cs="Times New Roman"/>
        </w:rPr>
        <w:t xml:space="preserve"> </w:t>
      </w:r>
      <w:r w:rsidR="00944176" w:rsidRPr="00944176">
        <w:rPr>
          <w:rFonts w:cs="Times New Roman"/>
        </w:rPr>
        <w:fldChar w:fldCharType="begin" w:fldLock="1"/>
      </w:r>
      <w:r w:rsidR="00F36CB3">
        <w:rPr>
          <w:rFonts w:cs="Times New Roman"/>
        </w:rPr>
        <w:instrText>ADDIN CSL_CITATION {"citationItems":[{"id":"ITEM-1","itemData":{"DOI":"10.1016/j.molcata.2006.04.031","author":[{"dropping-particle":"","family":"Ignatchenko","given":"Alexey","non-dropping-particle":"","parse-names":false,"suffix":""},{"dropping-particle":"","family":"Nealon","given":"Donald G","non-dropping-particle":"","parse-names":false,"suffix":""},{"dropping-particle":"","family":"Dushane","given":"Roy","non-dropping-particle":"","parse-names":false,"suffix":""},{"dropping-particle":"","family":"Humphries","given":"Keith","non-dropping-particle":"","parse-names":false,"suffix":""}],"id":"ITEM-1","issue":"February","issued":{"date-parts":[["2006"]]},"page":"57-74","title":"Interaction of water with titania and zirconia surfaces","type":"article-journal","volume":"256"},"uris":["http://www.mendeley.com/documents/?uuid=677e3241-51f4-4451-80b4-ddd98e372815"]}],"mendeley":{"formattedCitation":"[49]","plainTextFormattedCitation":"[49]","previouslyFormattedCitation":"[49]"},"properties":{"noteIndex":0},"schema":"https://github.com/citation-style-language/schema/raw/master/csl-citation.json"}</w:instrText>
      </w:r>
      <w:r w:rsidR="00944176" w:rsidRPr="00944176">
        <w:rPr>
          <w:rFonts w:cs="Times New Roman"/>
        </w:rPr>
        <w:fldChar w:fldCharType="separate"/>
      </w:r>
      <w:r w:rsidR="000D478A" w:rsidRPr="000D478A">
        <w:rPr>
          <w:rFonts w:cs="Times New Roman"/>
          <w:noProof/>
        </w:rPr>
        <w:t>[49]</w:t>
      </w:r>
      <w:r w:rsidR="00944176" w:rsidRPr="00944176">
        <w:rPr>
          <w:rFonts w:cs="Times New Roman"/>
        </w:rPr>
        <w:fldChar w:fldCharType="end"/>
      </w:r>
      <w:r w:rsidR="00826DAD" w:rsidRPr="00826DAD">
        <w:rPr>
          <w:rFonts w:cs="Times New Roman"/>
        </w:rPr>
        <w:t xml:space="preserve">. However in presence of oxygen vacancies adsorbed water dissociates leaving the surface mainly covered by hydroxyls raising proton conductivity </w:t>
      </w:r>
      <w:r w:rsidR="00826DAD" w:rsidRPr="00826DAD">
        <w:rPr>
          <w:rFonts w:cs="Times New Roman"/>
        </w:rPr>
        <w:fldChar w:fldCharType="begin" w:fldLock="1"/>
      </w:r>
      <w:r w:rsidR="00F36CB3">
        <w:rPr>
          <w:rFonts w:cs="Times New Roman"/>
        </w:rPr>
        <w:instrText>ADDIN CSL_CITATION {"citationItems":[{"id":"ITEM-1","itemData":{"DOI":"10.1039/d0cp01619e","author":[{"dropping-particle":"","family":"Celik","given":"Erdogan","non-dropping-particle":"","parse-names":false,"suffix":""},{"dropping-particle":"","family":"Negi","given":"Rajendra S","non-dropping-particle":"","parse-names":false,"suffix":""},{"dropping-particle":"","family":"Bastianello","given":"Michele","non-dropping-particle":"","parse-names":false,"suffix":""},{"dropping-particle":"","family":"Boll","given":"Dominic","non-dropping-particle":"","parse-names":false,"suffix":""}],"id":"ITEM-1","issued":{"date-parts":[["2020"]]},"note":"- GB influence no general effect\n- TiO2 is generally covered by water molecules instead of OH-\n- OH- are responsible for proton conduction in the chemisorbed layer\n- so in TiO2 with low oxygen vacancies water is the main molecule adsorbed while in case of oxygen vacancies water is dissociatively adsorbed making OH- adsorption. As OH- are responsible for proton conduction it is reasonble to say oxygen vac promotes proton transport","page":"11519-11528","publisher":"Royal Society of Chemistry","title":"Tailoring the protonic conductivity of porous yttria-stabilized zirconia thin films by surface modification","type":"article-journal"},"uris":["http://www.mendeley.com/documents/?uuid=b296b904-823c-401a-8874-2870f393640c"]}],"mendeley":{"formattedCitation":"[50]","plainTextFormattedCitation":"[50]","previouslyFormattedCitation":"[50]"},"properties":{"noteIndex":0},"schema":"https://github.com/citation-style-language/schema/raw/master/csl-citation.json"}</w:instrText>
      </w:r>
      <w:r w:rsidR="00826DAD" w:rsidRPr="00826DAD">
        <w:rPr>
          <w:rFonts w:cs="Times New Roman"/>
        </w:rPr>
        <w:fldChar w:fldCharType="separate"/>
      </w:r>
      <w:r w:rsidR="000D478A" w:rsidRPr="000D478A">
        <w:rPr>
          <w:rFonts w:cs="Times New Roman"/>
          <w:noProof/>
        </w:rPr>
        <w:t>[50]</w:t>
      </w:r>
      <w:r w:rsidR="00826DAD" w:rsidRPr="00826DAD">
        <w:rPr>
          <w:rFonts w:cs="Times New Roman"/>
        </w:rPr>
        <w:fldChar w:fldCharType="end"/>
      </w:r>
      <w:r w:rsidR="00826DAD" w:rsidRPr="00826DAD">
        <w:rPr>
          <w:rFonts w:cs="Times New Roman"/>
        </w:rPr>
        <w:t>.</w:t>
      </w:r>
    </w:p>
    <w:p w14:paraId="4D89DFD0" w14:textId="2F9FF2D8" w:rsidR="005A3256" w:rsidRDefault="00A47E84" w:rsidP="00875E3F">
      <w:pPr>
        <w:rPr>
          <w:rFonts w:cs="Times New Roman"/>
        </w:rPr>
      </w:pPr>
      <w:r>
        <w:rPr>
          <w:rFonts w:cs="Times New Roman"/>
        </w:rPr>
        <w:t>Apart from</w:t>
      </w:r>
      <w:r w:rsidR="00011D5A">
        <w:rPr>
          <w:rFonts w:cs="Times New Roman"/>
        </w:rPr>
        <w:t xml:space="preserve"> kinetics and</w:t>
      </w:r>
      <w:r>
        <w:rPr>
          <w:rFonts w:cs="Times New Roman"/>
        </w:rPr>
        <w:t xml:space="preserve"> mass transport </w:t>
      </w:r>
      <w:r w:rsidR="00011D5A">
        <w:rPr>
          <w:rFonts w:cs="Times New Roman"/>
        </w:rPr>
        <w:t>phenomena</w:t>
      </w:r>
      <w:r w:rsidR="001B5B65">
        <w:rPr>
          <w:rFonts w:cs="Times New Roman"/>
        </w:rPr>
        <w:t>,</w:t>
      </w:r>
      <w:r w:rsidR="00011D5A">
        <w:rPr>
          <w:rFonts w:cs="Times New Roman"/>
        </w:rPr>
        <w:t xml:space="preserve"> responsible</w:t>
      </w:r>
      <w:r>
        <w:rPr>
          <w:rFonts w:cs="Times New Roman"/>
        </w:rPr>
        <w:t xml:space="preserve"> to</w:t>
      </w:r>
      <w:r w:rsidR="00011D5A">
        <w:rPr>
          <w:rFonts w:cs="Times New Roman"/>
        </w:rPr>
        <w:t xml:space="preserve"> the</w:t>
      </w:r>
      <w:r>
        <w:rPr>
          <w:rFonts w:cs="Times New Roman"/>
        </w:rPr>
        <w:t xml:space="preserve"> </w:t>
      </w:r>
      <w:r w:rsidR="00F43598">
        <w:rPr>
          <w:rFonts w:cs="Times New Roman"/>
        </w:rPr>
        <w:t xml:space="preserve">increase of </w:t>
      </w:r>
      <w:r w:rsidR="00EC2D7B">
        <w:rPr>
          <w:rFonts w:cs="Times New Roman"/>
        </w:rPr>
        <w:t>C</w:t>
      </w:r>
      <w:r w:rsidR="00EC2D7B">
        <w:rPr>
          <w:rFonts w:cs="Times New Roman"/>
          <w:vertAlign w:val="subscript"/>
        </w:rPr>
        <w:t>redox</w:t>
      </w:r>
      <w:r w:rsidR="00F43598">
        <w:rPr>
          <w:rFonts w:cs="Times New Roman"/>
        </w:rPr>
        <w:t xml:space="preserve"> of the material</w:t>
      </w:r>
      <w:r w:rsidR="00D706BE">
        <w:rPr>
          <w:rFonts w:cs="Times New Roman"/>
        </w:rPr>
        <w:t xml:space="preserve"> until charge </w:t>
      </w:r>
      <w:r w:rsidR="00011D5A">
        <w:rPr>
          <w:rFonts w:cs="Times New Roman"/>
        </w:rPr>
        <w:t>saturation</w:t>
      </w:r>
      <w:r w:rsidR="00FF2953">
        <w:rPr>
          <w:rFonts w:cs="Times New Roman"/>
        </w:rPr>
        <w:t xml:space="preserve"> </w:t>
      </w:r>
      <w:r w:rsidR="00FF2953" w:rsidRPr="00EC2D7B">
        <w:rPr>
          <w:rFonts w:cs="Times New Roman"/>
        </w:rPr>
        <w:t>occurred</w:t>
      </w:r>
      <w:r w:rsidR="00D706BE" w:rsidRPr="00EC2D7B">
        <w:rPr>
          <w:rFonts w:cs="Times New Roman"/>
        </w:rPr>
        <w:t>,</w:t>
      </w:r>
      <w:r w:rsidR="00D706BE">
        <w:rPr>
          <w:rFonts w:cs="Times New Roman"/>
        </w:rPr>
        <w:t xml:space="preserve"> oxide debonding was always </w:t>
      </w:r>
      <w:r w:rsidR="00325520">
        <w:rPr>
          <w:rFonts w:cs="Times New Roman"/>
        </w:rPr>
        <w:t>anticipate</w:t>
      </w:r>
      <w:r w:rsidR="00011D5A">
        <w:rPr>
          <w:rFonts w:cs="Times New Roman"/>
        </w:rPr>
        <w:t>d</w:t>
      </w:r>
      <w:r w:rsidR="00325520">
        <w:rPr>
          <w:rFonts w:cs="Times New Roman"/>
        </w:rPr>
        <w:t xml:space="preserve"> by the formation of a growing bubble</w:t>
      </w:r>
      <w:r w:rsidR="00F22D73">
        <w:rPr>
          <w:rFonts w:cs="Times New Roman"/>
        </w:rPr>
        <w:t xml:space="preserve"> (see</w:t>
      </w:r>
      <w:r w:rsidR="00990DE9">
        <w:rPr>
          <w:rFonts w:cs="Times New Roman"/>
        </w:rPr>
        <w:t xml:space="preserve"> the red arrow in</w:t>
      </w:r>
      <w:r w:rsidR="00F22D73">
        <w:rPr>
          <w:rFonts w:cs="Times New Roman"/>
        </w:rPr>
        <w:t xml:space="preserve"> </w:t>
      </w:r>
      <w:r w:rsidR="00F22D73" w:rsidRPr="00F22D73">
        <w:rPr>
          <w:rFonts w:cs="Times New Roman"/>
          <w:b/>
          <w:bCs/>
        </w:rPr>
        <w:t xml:space="preserve">Fig. </w:t>
      </w:r>
      <w:r w:rsidR="00002578">
        <w:rPr>
          <w:rFonts w:cs="Times New Roman"/>
          <w:b/>
          <w:bCs/>
        </w:rPr>
        <w:t>16</w:t>
      </w:r>
      <w:r w:rsidR="00F22D73" w:rsidRPr="00F22D73">
        <w:rPr>
          <w:rFonts w:cs="Times New Roman"/>
          <w:b/>
          <w:bCs/>
        </w:rPr>
        <w:t xml:space="preserve"> a)</w:t>
      </w:r>
      <w:r w:rsidR="00F22D73">
        <w:rPr>
          <w:rFonts w:cs="Times New Roman"/>
        </w:rPr>
        <w:t>)</w:t>
      </w:r>
      <w:r w:rsidR="00EC2D7B">
        <w:rPr>
          <w:rFonts w:cs="Times New Roman"/>
        </w:rPr>
        <w:t xml:space="preserve"> developed</w:t>
      </w:r>
      <w:r w:rsidR="00325520">
        <w:rPr>
          <w:rFonts w:cs="Times New Roman"/>
        </w:rPr>
        <w:t xml:space="preserve"> at the metal-oxide interface</w:t>
      </w:r>
      <w:r w:rsidR="004F4F74">
        <w:rPr>
          <w:rFonts w:cs="Times New Roman"/>
        </w:rPr>
        <w:t xml:space="preserve">. </w:t>
      </w:r>
    </w:p>
    <w:p w14:paraId="5656FBC5" w14:textId="77777777" w:rsidR="00B9141D" w:rsidRDefault="009A2B91" w:rsidP="00434471">
      <w:pPr>
        <w:keepNext/>
        <w:spacing w:after="0"/>
        <w:jc w:val="center"/>
      </w:pPr>
      <w:r>
        <w:rPr>
          <w:rFonts w:cs="Times New Roman"/>
          <w:noProof/>
        </w:rPr>
        <w:drawing>
          <wp:inline distT="0" distB="0" distL="0" distR="0" wp14:anchorId="504CE230" wp14:editId="77CF9D5B">
            <wp:extent cx="4107180" cy="3136392"/>
            <wp:effectExtent l="0" t="0" r="0" b="0"/>
            <wp:docPr id="6" name="Picture 6" descr="Graphical user interfac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diagram&#10;&#10;Description automatically generated"/>
                    <pic:cNvPicPr/>
                  </pic:nvPicPr>
                  <pic:blipFill rotWithShape="1">
                    <a:blip r:embed="rId24"/>
                    <a:srcRect l="8965" t="4099" r="8861" b="6089"/>
                    <a:stretch/>
                  </pic:blipFill>
                  <pic:spPr bwMode="auto">
                    <a:xfrm>
                      <a:off x="0" y="0"/>
                      <a:ext cx="4107180" cy="3136392"/>
                    </a:xfrm>
                    <a:prstGeom prst="rect">
                      <a:avLst/>
                    </a:prstGeom>
                    <a:ln>
                      <a:noFill/>
                    </a:ln>
                    <a:extLst>
                      <a:ext uri="{53640926-AAD7-44D8-BBD7-CCE9431645EC}">
                        <a14:shadowObscured xmlns:a14="http://schemas.microsoft.com/office/drawing/2010/main"/>
                      </a:ext>
                    </a:extLst>
                  </pic:spPr>
                </pic:pic>
              </a:graphicData>
            </a:graphic>
          </wp:inline>
        </w:drawing>
      </w:r>
    </w:p>
    <w:p w14:paraId="751139F6" w14:textId="25A71298" w:rsidR="005A3256" w:rsidRPr="00B9141D" w:rsidRDefault="00B9141D" w:rsidP="00B9141D">
      <w:pPr>
        <w:pStyle w:val="Caption"/>
        <w:jc w:val="center"/>
        <w:rPr>
          <w:rFonts w:cs="Times New Roman"/>
          <w:b w:val="0"/>
          <w:bCs/>
        </w:rPr>
      </w:pPr>
      <w:r>
        <w:t xml:space="preserve">Fig.  </w:t>
      </w:r>
      <w:r>
        <w:fldChar w:fldCharType="begin"/>
      </w:r>
      <w:r>
        <w:instrText xml:space="preserve"> SEQ Fig._ \* ARABIC </w:instrText>
      </w:r>
      <w:r>
        <w:fldChar w:fldCharType="separate"/>
      </w:r>
      <w:r w:rsidR="00EF388D">
        <w:rPr>
          <w:noProof/>
        </w:rPr>
        <w:t>16</w:t>
      </w:r>
      <w:r>
        <w:fldChar w:fldCharType="end"/>
      </w:r>
      <w:r>
        <w:t xml:space="preserve">. </w:t>
      </w:r>
      <w:r>
        <w:rPr>
          <w:b w:val="0"/>
          <w:bCs/>
        </w:rPr>
        <w:t xml:space="preserve">Nyquist representation of PEO-DC </w:t>
      </w:r>
      <w:r w:rsidR="00576250">
        <w:rPr>
          <w:b w:val="0"/>
          <w:bCs/>
        </w:rPr>
        <w:t>and in-situ</w:t>
      </w:r>
      <w:r w:rsidR="00170DA3">
        <w:rPr>
          <w:b w:val="0"/>
          <w:bCs/>
        </w:rPr>
        <w:t xml:space="preserve"> images </w:t>
      </w:r>
      <w:r w:rsidR="00EC2D7B">
        <w:rPr>
          <w:b w:val="0"/>
          <w:bCs/>
        </w:rPr>
        <w:t>collected during</w:t>
      </w:r>
      <w:r w:rsidR="00170DA3">
        <w:rPr>
          <w:b w:val="0"/>
          <w:bCs/>
        </w:rPr>
        <w:t xml:space="preserve"> </w:t>
      </w:r>
      <w:r w:rsidR="00576250">
        <w:rPr>
          <w:b w:val="0"/>
          <w:bCs/>
        </w:rPr>
        <w:t>process evolution.</w:t>
      </w:r>
    </w:p>
    <w:p w14:paraId="2B5D3FDE" w14:textId="3D711885" w:rsidR="00323E11" w:rsidRDefault="007D6C6C" w:rsidP="001448A2">
      <w:pPr>
        <w:spacing w:before="240"/>
        <w:rPr>
          <w:rFonts w:cs="Times New Roman"/>
        </w:rPr>
      </w:pPr>
      <w:r>
        <w:rPr>
          <w:rFonts w:cs="Times New Roman"/>
        </w:rPr>
        <w:lastRenderedPageBreak/>
        <w:t>Once the bubble</w:t>
      </w:r>
      <w:r w:rsidR="00EC2D7B" w:rsidRPr="00EC2D7B">
        <w:rPr>
          <w:rFonts w:cs="Times New Roman"/>
        </w:rPr>
        <w:t xml:space="preserve"> reache</w:t>
      </w:r>
      <w:r>
        <w:rPr>
          <w:rFonts w:cs="Times New Roman"/>
        </w:rPr>
        <w:t>d</w:t>
      </w:r>
      <w:r w:rsidR="00EC2D7B" w:rsidRPr="00EC2D7B">
        <w:rPr>
          <w:rFonts w:cs="Times New Roman"/>
        </w:rPr>
        <w:t xml:space="preserve"> a critical thickness</w:t>
      </w:r>
      <w:r w:rsidR="00483F27">
        <w:rPr>
          <w:rFonts w:cs="Times New Roman"/>
        </w:rPr>
        <w:t>,</w:t>
      </w:r>
      <w:r w:rsidR="00EC2D7B" w:rsidRPr="00EC2D7B">
        <w:rPr>
          <w:rFonts w:cs="Times New Roman"/>
        </w:rPr>
        <w:t xml:space="preserve"> mechanical lift up of the coating </w:t>
      </w:r>
      <w:r w:rsidR="00C65E21">
        <w:rPr>
          <w:rFonts w:cs="Times New Roman"/>
        </w:rPr>
        <w:t>took place</w:t>
      </w:r>
      <w:r w:rsidR="00EC2D7B" w:rsidRPr="00EC2D7B">
        <w:rPr>
          <w:rFonts w:cs="Times New Roman"/>
        </w:rPr>
        <w:t xml:space="preserve"> as in the insert of </w:t>
      </w:r>
      <w:r w:rsidR="00EC2D7B" w:rsidRPr="00EC2D7B">
        <w:rPr>
          <w:rFonts w:cs="Times New Roman"/>
          <w:b/>
          <w:bCs/>
        </w:rPr>
        <w:t xml:space="preserve">Fig. 16 b) </w:t>
      </w:r>
      <w:r w:rsidR="00EC2D7B" w:rsidRPr="00EC2D7B">
        <w:rPr>
          <w:rFonts w:cs="Times New Roman"/>
        </w:rPr>
        <w:t>highlighted by the blue arrow</w:t>
      </w:r>
      <w:r w:rsidR="00EC2D7B">
        <w:rPr>
          <w:rFonts w:cs="Times New Roman"/>
        </w:rPr>
        <w:t xml:space="preserve">. </w:t>
      </w:r>
      <w:r w:rsidR="00E36004">
        <w:rPr>
          <w:rFonts w:cs="Times New Roman"/>
        </w:rPr>
        <w:t>In correspondence of bubble formation</w:t>
      </w:r>
      <w:r w:rsidR="00CF7FE5">
        <w:rPr>
          <w:rFonts w:cs="Times New Roman"/>
        </w:rPr>
        <w:t xml:space="preserve"> a</w:t>
      </w:r>
      <w:r w:rsidR="009F2218">
        <w:rPr>
          <w:rFonts w:cs="Times New Roman"/>
        </w:rPr>
        <w:t xml:space="preserve"> capacitive low frequency </w:t>
      </w:r>
      <w:r w:rsidR="00BA3D7A">
        <w:rPr>
          <w:rFonts w:cs="Times New Roman"/>
        </w:rPr>
        <w:t>loop with negative real impedances</w:t>
      </w:r>
      <w:r w:rsidR="001401E4">
        <w:rPr>
          <w:rFonts w:cs="Times New Roman"/>
        </w:rPr>
        <w:t xml:space="preserve"> </w:t>
      </w:r>
      <w:r w:rsidR="005B594C">
        <w:rPr>
          <w:rFonts w:cs="Times New Roman"/>
        </w:rPr>
        <w:t>always manifested.</w:t>
      </w:r>
      <w:r w:rsidR="00B0426B">
        <w:rPr>
          <w:rFonts w:cs="Times New Roman"/>
        </w:rPr>
        <w:t xml:space="preserve"> Linear polarization resistance test</w:t>
      </w:r>
      <w:r w:rsidR="00DE41F8">
        <w:rPr>
          <w:rFonts w:cs="Times New Roman"/>
        </w:rPr>
        <w:t xml:space="preserve"> (LPR)</w:t>
      </w:r>
      <w:r w:rsidR="008C7A07">
        <w:rPr>
          <w:rFonts w:cs="Times New Roman"/>
        </w:rPr>
        <w:t xml:space="preserve"> (displayed in </w:t>
      </w:r>
      <w:r w:rsidR="008C7A07" w:rsidRPr="008C7A07">
        <w:rPr>
          <w:rFonts w:cs="Times New Roman"/>
          <w:b/>
          <w:bCs/>
        </w:rPr>
        <w:t>Fig. S</w:t>
      </w:r>
      <w:r w:rsidR="00002578">
        <w:rPr>
          <w:rFonts w:cs="Times New Roman"/>
          <w:b/>
          <w:bCs/>
        </w:rPr>
        <w:t>2</w:t>
      </w:r>
      <w:r w:rsidR="008C7A07">
        <w:rPr>
          <w:rFonts w:cs="Times New Roman"/>
        </w:rPr>
        <w:t xml:space="preserve"> of Supp</w:t>
      </w:r>
      <w:r w:rsidR="00946C25">
        <w:rPr>
          <w:rFonts w:cs="Times New Roman"/>
        </w:rPr>
        <w:t>lementary material</w:t>
      </w:r>
      <w:r w:rsidR="008C7A07">
        <w:rPr>
          <w:rFonts w:cs="Times New Roman"/>
        </w:rPr>
        <w:t>)</w:t>
      </w:r>
      <w:r w:rsidR="00FC594A">
        <w:rPr>
          <w:rFonts w:cs="Times New Roman"/>
        </w:rPr>
        <w:t>,</w:t>
      </w:r>
      <w:r w:rsidR="00B0426B">
        <w:rPr>
          <w:rFonts w:cs="Times New Roman"/>
        </w:rPr>
        <w:t xml:space="preserve"> performed immediately after EIS</w:t>
      </w:r>
      <w:r w:rsidR="00FC594A">
        <w:rPr>
          <w:rFonts w:cs="Times New Roman"/>
        </w:rPr>
        <w:t>,</w:t>
      </w:r>
      <w:r w:rsidR="00B0426B">
        <w:rPr>
          <w:rFonts w:cs="Times New Roman"/>
        </w:rPr>
        <w:t xml:space="preserve"> confirms the presence of a negative differential resistance as a consequence of the negative slope of the potential-current plot</w:t>
      </w:r>
      <w:r w:rsidR="00957B64">
        <w:rPr>
          <w:rFonts w:cs="Times New Roman"/>
        </w:rPr>
        <w:t xml:space="preserve"> in the anodic overpotential region</w:t>
      </w:r>
      <w:r w:rsidR="008C7A07">
        <w:rPr>
          <w:rFonts w:cs="Times New Roman"/>
        </w:rPr>
        <w:t xml:space="preserve">. </w:t>
      </w:r>
      <w:r w:rsidR="00822A66">
        <w:rPr>
          <w:rFonts w:cs="Times New Roman"/>
        </w:rPr>
        <w:t>The only presence of anodic current</w:t>
      </w:r>
      <w:r w:rsidR="004E6430">
        <w:rPr>
          <w:rFonts w:cs="Times New Roman"/>
        </w:rPr>
        <w:t xml:space="preserve">, </w:t>
      </w:r>
      <w:r w:rsidR="00DE41F8">
        <w:rPr>
          <w:rFonts w:cs="Times New Roman"/>
        </w:rPr>
        <w:t>during LPR test</w:t>
      </w:r>
      <w:r w:rsidR="004E6430">
        <w:rPr>
          <w:rFonts w:cs="Times New Roman"/>
        </w:rPr>
        <w:t>,</w:t>
      </w:r>
      <w:r w:rsidR="00DE41F8">
        <w:rPr>
          <w:rFonts w:cs="Times New Roman"/>
        </w:rPr>
        <w:t xml:space="preserve"> is indicative of the natural tendency of the electrode to</w:t>
      </w:r>
      <w:r w:rsidR="00200FC5">
        <w:rPr>
          <w:rFonts w:cs="Times New Roman"/>
        </w:rPr>
        <w:t xml:space="preserve"> shift cathodically </w:t>
      </w:r>
      <w:r w:rsidR="00D00030">
        <w:rPr>
          <w:rFonts w:cs="Times New Roman"/>
        </w:rPr>
        <w:t>as the result of oxide debonding</w:t>
      </w:r>
      <w:r w:rsidR="00315C73">
        <w:rPr>
          <w:rFonts w:cs="Times New Roman"/>
        </w:rPr>
        <w:t xml:space="preserve"> while</w:t>
      </w:r>
      <w:r w:rsidR="00D00030">
        <w:rPr>
          <w:rFonts w:cs="Times New Roman"/>
        </w:rPr>
        <w:t xml:space="preserve"> </w:t>
      </w:r>
      <w:r w:rsidR="00315C73">
        <w:rPr>
          <w:rFonts w:cs="Times New Roman"/>
        </w:rPr>
        <w:t>t</w:t>
      </w:r>
      <w:r w:rsidR="00D00030">
        <w:rPr>
          <w:rFonts w:cs="Times New Roman"/>
        </w:rPr>
        <w:t>he progressively decreasing</w:t>
      </w:r>
      <w:r w:rsidR="00315C73">
        <w:rPr>
          <w:rFonts w:cs="Times New Roman"/>
        </w:rPr>
        <w:t xml:space="preserve"> anodic</w:t>
      </w:r>
      <w:r w:rsidR="00D00030">
        <w:rPr>
          <w:rFonts w:cs="Times New Roman"/>
        </w:rPr>
        <w:t xml:space="preserve"> current </w:t>
      </w:r>
      <w:r w:rsidR="009568BC">
        <w:rPr>
          <w:rFonts w:cs="Times New Roman"/>
        </w:rPr>
        <w:t>verified for higher</w:t>
      </w:r>
      <w:r w:rsidR="004E6430">
        <w:rPr>
          <w:rFonts w:cs="Times New Roman"/>
        </w:rPr>
        <w:t xml:space="preserve"> </w:t>
      </w:r>
      <w:r w:rsidR="00EC277F">
        <w:rPr>
          <w:rFonts w:cs="Times New Roman"/>
        </w:rPr>
        <w:t xml:space="preserve">anodic overvoltages </w:t>
      </w:r>
      <w:r w:rsidR="004E6430">
        <w:rPr>
          <w:rFonts w:cs="Times New Roman"/>
        </w:rPr>
        <w:t xml:space="preserve">(responsible for the negative differential resistance) is due to </w:t>
      </w:r>
      <w:r w:rsidR="00EC277F">
        <w:rPr>
          <w:rFonts w:cs="Times New Roman"/>
        </w:rPr>
        <w:t>t</w:t>
      </w:r>
      <w:r w:rsidR="00323E11">
        <w:rPr>
          <w:rFonts w:cs="Times New Roman"/>
        </w:rPr>
        <w:t>he abundant release of charges accumulated</w:t>
      </w:r>
      <w:r w:rsidR="007B095A">
        <w:rPr>
          <w:rFonts w:cs="Times New Roman"/>
        </w:rPr>
        <w:t xml:space="preserve"> inside C</w:t>
      </w:r>
      <w:r w:rsidR="007B095A">
        <w:rPr>
          <w:rFonts w:cs="Times New Roman"/>
          <w:vertAlign w:val="subscript"/>
        </w:rPr>
        <w:t>redox</w:t>
      </w:r>
      <w:r w:rsidR="00323E11">
        <w:rPr>
          <w:rFonts w:cs="Times New Roman"/>
        </w:rPr>
        <w:t xml:space="preserve"> during</w:t>
      </w:r>
      <w:r w:rsidR="004E6430">
        <w:rPr>
          <w:rFonts w:cs="Times New Roman"/>
        </w:rPr>
        <w:t xml:space="preserve"> the</w:t>
      </w:r>
      <w:r w:rsidR="00323E11">
        <w:rPr>
          <w:rFonts w:cs="Times New Roman"/>
        </w:rPr>
        <w:t xml:space="preserve"> oxide immersion.</w:t>
      </w:r>
    </w:p>
    <w:p w14:paraId="132EF44D" w14:textId="1187C0F3" w:rsidR="000E5AE2" w:rsidRPr="007B095A" w:rsidRDefault="000B2A25" w:rsidP="00A01B86">
      <w:pPr>
        <w:rPr>
          <w:rFonts w:cs="Times New Roman"/>
        </w:rPr>
      </w:pPr>
      <w:r w:rsidRPr="000B2A25">
        <w:rPr>
          <w:rFonts w:cs="Times New Roman"/>
        </w:rPr>
        <w:t>A similar behavior was already observed in different scientific field</w:t>
      </w:r>
      <w:r w:rsidR="00323E11">
        <w:rPr>
          <w:rFonts w:cs="Times New Roman"/>
        </w:rPr>
        <w:t>s</w:t>
      </w:r>
      <w:r w:rsidR="0020053C">
        <w:rPr>
          <w:rFonts w:cs="Times New Roman"/>
        </w:rPr>
        <w:t>:</w:t>
      </w:r>
      <w:r w:rsidRPr="000B2A25">
        <w:rPr>
          <w:rFonts w:cs="Times New Roman"/>
        </w:rPr>
        <w:t xml:space="preserve"> </w:t>
      </w:r>
      <w:r w:rsidR="0020053C">
        <w:rPr>
          <w:rFonts w:cs="Times New Roman"/>
        </w:rPr>
        <w:t>f</w:t>
      </w:r>
      <w:r w:rsidRPr="000B2A25">
        <w:rPr>
          <w:rFonts w:cs="Times New Roman"/>
        </w:rPr>
        <w:t xml:space="preserve">or example researchers working on capacitors </w:t>
      </w:r>
      <w:r w:rsidR="00295ADA">
        <w:rPr>
          <w:rFonts w:cs="Times New Roman"/>
        </w:rPr>
        <w:fldChar w:fldCharType="begin" w:fldLock="1"/>
      </w:r>
      <w:r w:rsidR="00F36CB3">
        <w:rPr>
          <w:rFonts w:cs="Times New Roman"/>
        </w:rPr>
        <w:instrText>ADDIN CSL_CITATION {"citationItems":[{"id":"ITEM-1","itemData":{"DOI":"10.24425/124260","ISSN":"23001917","abstract":"The fractional model of the electrochemical capacitor (EC) relaxation phenomenon is presented herein. The EC relaxation phenomenon occurs when EC impedance measurements are performed after charge or discharge current interruption during potential relaxation. The EC fractional model is obtained based on the fractional order transfer function, obtained in turn by means of fitting the EC impedance data. The inverse Laplace transform is used to obtain the EC impulse response. Meanwhile, the EC charge and discharge simulations are performed using the EC impulse response.","author":[{"dropping-particle":"","family":"Martynyuk","given":"V.","non-dropping-particle":"","parse-names":false,"suffix":""},{"dropping-particle":"","family":"Ortigueira","given":"M.","non-dropping-particle":"","parse-names":false,"suffix":""},{"dropping-particle":"","family":"Fedula","given":"M.","non-dropping-particle":"","parse-names":false,"suffix":""},{"dropping-particle":"","family":"Savenko","given":"O.","non-dropping-particle":"","parse-names":false,"suffix":""}],"container-title":"Bulletin of the Polish Academy of Sciences: Technical Sciences","id":"ITEM-1","issue":"4","issued":{"date-parts":[["2018"]]},"page":"441-448","title":"Fractional model of the electrochemical capacitor relaxation phenomenon","type":"article-journal","volume":"66"},"uris":["http://www.mendeley.com/documents/?uuid=9c4b31e0-080e-48e0-bf1d-f3bd4859ac90"]}],"mendeley":{"formattedCitation":"[51]","plainTextFormattedCitation":"[51]","previouslyFormattedCitation":"[51]"},"properties":{"noteIndex":0},"schema":"https://github.com/citation-style-language/schema/raw/master/csl-citation.json"}</w:instrText>
      </w:r>
      <w:r w:rsidR="00295ADA">
        <w:rPr>
          <w:rFonts w:cs="Times New Roman"/>
        </w:rPr>
        <w:fldChar w:fldCharType="separate"/>
      </w:r>
      <w:r w:rsidR="000D478A" w:rsidRPr="000D478A">
        <w:rPr>
          <w:rFonts w:cs="Times New Roman"/>
          <w:noProof/>
        </w:rPr>
        <w:t>[51]</w:t>
      </w:r>
      <w:r w:rsidR="00295ADA">
        <w:rPr>
          <w:rFonts w:cs="Times New Roman"/>
        </w:rPr>
        <w:fldChar w:fldCharType="end"/>
      </w:r>
      <w:r w:rsidRPr="000B2A25">
        <w:rPr>
          <w:rFonts w:cs="Times New Roman"/>
        </w:rPr>
        <w:t xml:space="preserve"> verified </w:t>
      </w:r>
      <w:r w:rsidR="0020053C">
        <w:rPr>
          <w:rFonts w:cs="Times New Roman"/>
        </w:rPr>
        <w:t>it</w:t>
      </w:r>
      <w:r w:rsidRPr="000B2A25">
        <w:rPr>
          <w:rFonts w:cs="Times New Roman"/>
        </w:rPr>
        <w:t xml:space="preserve"> after complete charging of the device due to the occurrence of voltage relaxation phenomena inducing charge release back to the system. Even in the corrosion field this trend is not new:</w:t>
      </w:r>
      <w:r>
        <w:rPr>
          <w:rFonts w:cs="Times New Roman"/>
        </w:rPr>
        <w:t xml:space="preserve"> </w:t>
      </w:r>
      <w:r w:rsidR="00323E11">
        <w:rPr>
          <w:rFonts w:cs="Times New Roman"/>
        </w:rPr>
        <w:t>in fact,</w:t>
      </w:r>
      <w:r w:rsidR="005B594C">
        <w:rPr>
          <w:rFonts w:cs="Times New Roman"/>
        </w:rPr>
        <w:t xml:space="preserve"> Boukamp </w:t>
      </w:r>
      <w:r w:rsidR="005B594C" w:rsidRPr="005B594C">
        <w:rPr>
          <w:rFonts w:cs="Times New Roman"/>
          <w:i/>
          <w:iCs/>
        </w:rPr>
        <w:t>et al.</w:t>
      </w:r>
      <w:r w:rsidR="005B594C">
        <w:rPr>
          <w:rFonts w:cs="Times New Roman"/>
        </w:rPr>
        <w:t xml:space="preserve"> </w:t>
      </w:r>
      <w:r w:rsidR="005B594C">
        <w:rPr>
          <w:rFonts w:cs="Times New Roman"/>
        </w:rPr>
        <w:fldChar w:fldCharType="begin" w:fldLock="1"/>
      </w:r>
      <w:r w:rsidR="00F36CB3">
        <w:rPr>
          <w:rFonts w:cs="Times New Roman"/>
        </w:rPr>
        <w:instrText>ADDIN CSL_CITATION {"citationItems":[{"id":"ITEM-1","itemData":{"DOI":"10.1016/B978-044452190-3.00010-0","ISBN":"9780444521903","abstract":"The fundamental principles of electrodeposition are reviewed, with emphasis on the processes and materials science most relevant to microsystems. Some of the issues associated with electroplating or electroforming through lithographic patterns are covered, including workpiece and feature scale uniformity, wetting and bubbles in micropatterned features, internal stresses, and adhesion. The properties of electrodeposits of interest to microsystem engineers are discussed, specifically mechanical properties such as hardness and yield strength. Additionally, several material systems and associated applications are provided, including copper and gold for electrical systems, nickel and high-strength nickel alloys for structural components, and bismuth telluride alloys for thermoelectric energy conversion.","author":[{"dropping-particle":"","family":"Losey","given":"Matthew W.","non-dropping-particle":"","parse-names":false,"suffix":""},{"dropping-particle":"","family":"Kelly","given":"James J.","non-dropping-particle":"","parse-names":false,"suffix":""}],"container-title":"Comprehensive Microsystems","id":"ITEM-1","issued":{"date-parts":[["2007"]]},"note":"Lasia Book","number-of-pages":"271-292","title":"Electrodeposition","type":"book","volume":"1"},"uris":["http://www.mendeley.com/documents/?uuid=71a134a2-6897-4264-bab5-0d89c2c4d464"]},{"id":"ITEM-2","itemData":{"DOI":"10.1149/1.2044210","ISSN":"0013-4651","abstract":"A method is described with which immittance data can be tested for Kronig-Kramers compliance. In contrast with other procedures, this method is linear in nature and is based on a predetermined set of relaxation times. The model contains as many parameters (or less) as there are data sets. Three modes of operation are described, the first two are based on a linear fit of the model function to the imaginary part or to the real part of the data set. With the fit parameters the corresponding real or imaginary dispersion can be calculated and compared with the actual measurement. In the third mode a complex model function is fitted to the complete data set. As the model function does comply with (a relaxed set of) the Kronig-Kramers (K-K) rules, it will not be able to reproduce the data set satisfactory in the case of nonK-K behavior, as can be observed from the residuals plot. Due to its linear nature, no starting values are needed for the data validation. The main limitation of this procedure is the size of the matrix and the accuracy of the matrix inversion. © 1995, The Electrochemical Society, Inc. All rights reserved.","author":[{"dropping-particle":"","family":"Boukamp","given":"Bernard A.","non-dropping-particle":"","parse-names":false,"suffix":""}],"container-title":"Journal of The Electrochemical Society","id":"ITEM-2","issue":"6","issued":{"date-parts":[["1995"]]},"page":"1885-1894","title":"A Linear Kronig‐Kramers Transform Test for Immittance Data Validation","type":"article-journal","volume":"142"},"uris":["http://www.mendeley.com/documents/?uuid=8842e749-3525-452d-9d8b-c0c606406b18"]}],"mendeley":{"formattedCitation":"[52,53]","plainTextFormattedCitation":"[52,53]","previouslyFormattedCitation":"[52,53]"},"properties":{"noteIndex":0},"schema":"https://github.com/citation-style-language/schema/raw/master/csl-citation.json"}</w:instrText>
      </w:r>
      <w:r w:rsidR="005B594C">
        <w:rPr>
          <w:rFonts w:cs="Times New Roman"/>
        </w:rPr>
        <w:fldChar w:fldCharType="separate"/>
      </w:r>
      <w:r w:rsidR="000D478A" w:rsidRPr="000D478A">
        <w:rPr>
          <w:rFonts w:cs="Times New Roman"/>
          <w:noProof/>
        </w:rPr>
        <w:t>[52,53]</w:t>
      </w:r>
      <w:r w:rsidR="005B594C">
        <w:rPr>
          <w:rFonts w:cs="Times New Roman"/>
        </w:rPr>
        <w:fldChar w:fldCharType="end"/>
      </w:r>
      <w:r w:rsidR="005B594C">
        <w:rPr>
          <w:rFonts w:cs="Times New Roman"/>
        </w:rPr>
        <w:t xml:space="preserve"> </w:t>
      </w:r>
      <w:r w:rsidR="0076164D">
        <w:rPr>
          <w:rFonts w:cs="Times New Roman"/>
        </w:rPr>
        <w:t xml:space="preserve">obtained such a negative impedance loop </w:t>
      </w:r>
      <w:r w:rsidR="005B594C">
        <w:rPr>
          <w:rFonts w:cs="Times New Roman"/>
        </w:rPr>
        <w:t>in case of corroding Cr electrodes immersed in sulfuric acid</w:t>
      </w:r>
      <w:r w:rsidR="00115513">
        <w:rPr>
          <w:rFonts w:cs="Times New Roman"/>
        </w:rPr>
        <w:t xml:space="preserve"> attributing</w:t>
      </w:r>
      <w:r w:rsidR="005C3573">
        <w:rPr>
          <w:rFonts w:cs="Times New Roman"/>
        </w:rPr>
        <w:t xml:space="preserve"> </w:t>
      </w:r>
      <w:r w:rsidR="00B0426B">
        <w:rPr>
          <w:rFonts w:cs="Times New Roman"/>
        </w:rPr>
        <w:t>the observation to surface coverage</w:t>
      </w:r>
      <w:r w:rsidR="00355206">
        <w:rPr>
          <w:rFonts w:cs="Times New Roman"/>
        </w:rPr>
        <w:t xml:space="preserve"> variations</w:t>
      </w:r>
      <w:r w:rsidR="00B0426B">
        <w:rPr>
          <w:rFonts w:cs="Times New Roman"/>
        </w:rPr>
        <w:t xml:space="preserve"> during the active-passive transition.</w:t>
      </w:r>
      <w:r w:rsidR="00355206">
        <w:rPr>
          <w:rFonts w:cs="Times New Roman"/>
        </w:rPr>
        <w:t xml:space="preserve"> </w:t>
      </w:r>
      <w:r w:rsidR="000E5AE2" w:rsidRPr="007B095A">
        <w:rPr>
          <w:rFonts w:cs="Times New Roman"/>
        </w:rPr>
        <w:t>A</w:t>
      </w:r>
      <w:r w:rsidR="000C33CF" w:rsidRPr="007B095A">
        <w:rPr>
          <w:rFonts w:cs="Times New Roman"/>
        </w:rPr>
        <w:t>fter oxide debonding</w:t>
      </w:r>
      <w:r w:rsidR="000A7381" w:rsidRPr="007B095A">
        <w:rPr>
          <w:rFonts w:cs="Times New Roman"/>
        </w:rPr>
        <w:t xml:space="preserve"> occurred</w:t>
      </w:r>
      <w:r w:rsidR="000C33CF" w:rsidRPr="007B095A">
        <w:rPr>
          <w:rFonts w:cs="Times New Roman"/>
        </w:rPr>
        <w:t xml:space="preserve"> three capacitive loops are </w:t>
      </w:r>
      <w:r w:rsidR="003019FB" w:rsidRPr="007B095A">
        <w:rPr>
          <w:rFonts w:cs="Times New Roman"/>
        </w:rPr>
        <w:t>generally</w:t>
      </w:r>
      <w:r w:rsidR="000C33CF" w:rsidRPr="007B095A">
        <w:rPr>
          <w:rFonts w:cs="Times New Roman"/>
        </w:rPr>
        <w:t xml:space="preserve"> observed</w:t>
      </w:r>
      <w:r w:rsidR="006A3F09" w:rsidRPr="007B095A">
        <w:rPr>
          <w:rFonts w:cs="Times New Roman"/>
        </w:rPr>
        <w:t xml:space="preserve"> before saturating towards the two typical </w:t>
      </w:r>
      <w:r w:rsidR="000A7381" w:rsidRPr="007B095A">
        <w:rPr>
          <w:rFonts w:cs="Times New Roman"/>
        </w:rPr>
        <w:t>relaxations</w:t>
      </w:r>
      <w:r w:rsidR="006A3F09" w:rsidRPr="007B095A">
        <w:rPr>
          <w:rFonts w:cs="Times New Roman"/>
        </w:rPr>
        <w:t xml:space="preserve"> </w:t>
      </w:r>
      <w:r w:rsidR="00D2206F" w:rsidRPr="007B095A">
        <w:rPr>
          <w:rFonts w:cs="Times New Roman"/>
        </w:rPr>
        <w:t>referring to hydrogen evolution on an active metal</w:t>
      </w:r>
      <w:r w:rsidR="000A7381" w:rsidRPr="007B095A">
        <w:rPr>
          <w:rFonts w:cs="Times New Roman"/>
        </w:rPr>
        <w:t xml:space="preserve"> </w:t>
      </w:r>
      <w:r w:rsidR="00364FF8" w:rsidRPr="007B095A">
        <w:rPr>
          <w:rFonts w:cs="Times New Roman"/>
        </w:rPr>
        <w:fldChar w:fldCharType="begin" w:fldLock="1"/>
      </w:r>
      <w:r w:rsidR="00F36CB3">
        <w:rPr>
          <w:rFonts w:cs="Times New Roman"/>
        </w:rPr>
        <w:instrText>ADDIN CSL_CITATION {"citationItems":[{"id":"ITEM-1","itemData":{"DOI":"10.1007/0-306-47604-5","ISBN":"0306476045","author":[{"dropping-particle":"","family":"Conway","given":"B..E.","non-dropping-particle":"","parse-names":false,"suffix":""},{"dropping-particle":"","family":"White","given":"R..E.","non-dropping-particle":"","parse-names":false,"suffix":""},{"dropping-particle":"","family":"Plenum","given":"Kluwer","non-dropping-particle":"","parse-names":false,"suffix":""},{"dropping-particle":"","family":"York","given":"New","non-dropping-particle":"","parse-names":false,"suffix":""},{"dropping-particle":"","family":"Lasia","given":"Andrzej","non-dropping-particle":"","parse-names":false,"suffix":""}],"container-title":"Evolution","id":"ITEM-1","issue":"June","issued":{"date-parts":[["2002"]]},"number-of-pages":"1-49","title":"“Applications of the Electrochemical Impedance Spectroscopy to Hydrogen Adsorption, Evolution and Absorption into Metals ”","type":"book","volume":"35"},"uris":["http://www.mendeley.com/documents/?uuid=13246839-40f8-411d-9e80-830701d65427"]},{"id":"ITEM-2","itemData":{"DOI":"10.1007/0-306-47604-5_1","author":[{"dropping-particle":"","family":"Lasia","given":"Andrzej","non-dropping-particle":"","parse-names":false,"suffix":""}],"container-title":"Modern Aspects of Electrochemistry","id":"ITEM-2","issued":{"date-parts":[["2005"]]},"title":"Applications of Electrochemical Impedance Spectroscopy to Hydrogen Adsorption, Evolution and Absorption into Metals","type":"chapter"},"uris":["http://www.mendeley.com/documents/?uuid=6c47043d-7a13-45c0-b256-317ac031f5ec"]},{"id":"ITEM-3","itemData":{"DOI":"10.1007/978-1-4614-8933-7","ISBN":"9781461489337","abstract":"This book presents a complete overview of the powerful but often misused technique of Electrochemical Impedance Spectroscopy (EIS). The book presents a systematic and complete overview of EIS. The book carefully describes EIS and its application in studies of electrocatalytic reactions and other electrochemical processes of practical interest. This book is directed towards graduate students and researchers in Electrochemistry. Concepts are illustrated through detailed graphics and numerous examples. The book also includes practice problems. Additional materials and solutions are available online.","author":[{"dropping-particle":"","family":"Lasia","given":"Andrzej","non-dropping-particle":"","parse-names":false,"suffix":""}],"container-title":"Electrochemical Impedance Spectroscopy and its Applications","id":"ITEM-3","issued":{"date-parts":[["2014"]]},"title":"Electrochemical impedance spectroscopy and its applications","type":"book"},"uris":["http://www.mendeley.com/documents/?uuid=3fd29e76-3437-44b9-bf34-d91c32d512f9","http://www.mendeley.com/documents/?uuid=2308ea65-cd9b-4262-bac0-a48afcd4acb7"]}],"mendeley":{"formattedCitation":"[36,54,55]","plainTextFormattedCitation":"[36,54,55]","previouslyFormattedCitation":"[36,54,55]"},"properties":{"noteIndex":0},"schema":"https://github.com/citation-style-language/schema/raw/master/csl-citation.json"}</w:instrText>
      </w:r>
      <w:r w:rsidR="00364FF8" w:rsidRPr="007B095A">
        <w:rPr>
          <w:rFonts w:cs="Times New Roman"/>
        </w:rPr>
        <w:fldChar w:fldCharType="separate"/>
      </w:r>
      <w:r w:rsidR="000D478A" w:rsidRPr="000D478A">
        <w:rPr>
          <w:rFonts w:cs="Times New Roman"/>
          <w:noProof/>
        </w:rPr>
        <w:t>[36,54,55]</w:t>
      </w:r>
      <w:r w:rsidR="00364FF8" w:rsidRPr="007B095A">
        <w:rPr>
          <w:rFonts w:cs="Times New Roman"/>
        </w:rPr>
        <w:fldChar w:fldCharType="end"/>
      </w:r>
      <w:r w:rsidR="00D2206F" w:rsidRPr="007B095A">
        <w:rPr>
          <w:rFonts w:cs="Times New Roman"/>
        </w:rPr>
        <w:t>.</w:t>
      </w:r>
    </w:p>
    <w:p w14:paraId="65AC7514" w14:textId="77777777" w:rsidR="00EF388D" w:rsidRPr="007B095A" w:rsidRDefault="00916019" w:rsidP="00434471">
      <w:pPr>
        <w:keepNext/>
        <w:spacing w:after="0"/>
        <w:jc w:val="center"/>
      </w:pPr>
      <w:r w:rsidRPr="007B095A">
        <w:rPr>
          <w:rFonts w:cs="Times New Roman"/>
          <w:noProof/>
        </w:rPr>
        <w:drawing>
          <wp:inline distT="0" distB="0" distL="0" distR="0" wp14:anchorId="5312896F" wp14:editId="4D300193">
            <wp:extent cx="4889500" cy="1919605"/>
            <wp:effectExtent l="0" t="0" r="6350" b="4445"/>
            <wp:docPr id="8" name="Picture 8"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histogram&#10;&#10;Description automatically generated"/>
                    <pic:cNvPicPr/>
                  </pic:nvPicPr>
                  <pic:blipFill rotWithShape="1">
                    <a:blip r:embed="rId25"/>
                    <a:srcRect l="10375" t="1627" r="9733"/>
                    <a:stretch/>
                  </pic:blipFill>
                  <pic:spPr bwMode="auto">
                    <a:xfrm>
                      <a:off x="0" y="0"/>
                      <a:ext cx="4889500" cy="1919605"/>
                    </a:xfrm>
                    <a:prstGeom prst="rect">
                      <a:avLst/>
                    </a:prstGeom>
                    <a:ln>
                      <a:noFill/>
                    </a:ln>
                    <a:extLst>
                      <a:ext uri="{53640926-AAD7-44D8-BBD7-CCE9431645EC}">
                        <a14:shadowObscured xmlns:a14="http://schemas.microsoft.com/office/drawing/2010/main"/>
                      </a:ext>
                    </a:extLst>
                  </pic:spPr>
                </pic:pic>
              </a:graphicData>
            </a:graphic>
          </wp:inline>
        </w:drawing>
      </w:r>
    </w:p>
    <w:p w14:paraId="53263B6B" w14:textId="59FB60E6" w:rsidR="00916019" w:rsidRPr="00CF2DD3" w:rsidRDefault="00EF388D" w:rsidP="00CF2DD3">
      <w:pPr>
        <w:pStyle w:val="Caption"/>
        <w:jc w:val="center"/>
        <w:rPr>
          <w:b w:val="0"/>
          <w:bCs/>
        </w:rPr>
      </w:pPr>
      <w:r w:rsidRPr="007B095A">
        <w:t xml:space="preserve">Fig.  </w:t>
      </w:r>
      <w:r w:rsidRPr="007B095A">
        <w:fldChar w:fldCharType="begin"/>
      </w:r>
      <w:r w:rsidRPr="007B095A">
        <w:instrText xml:space="preserve"> SEQ Fig._ \* ARABIC </w:instrText>
      </w:r>
      <w:r w:rsidRPr="007B095A">
        <w:fldChar w:fldCharType="separate"/>
      </w:r>
      <w:r w:rsidRPr="007B095A">
        <w:rPr>
          <w:noProof/>
        </w:rPr>
        <w:t>17</w:t>
      </w:r>
      <w:r w:rsidRPr="007B095A">
        <w:fldChar w:fldCharType="end"/>
      </w:r>
      <w:r w:rsidRPr="007B095A">
        <w:t xml:space="preserve">. </w:t>
      </w:r>
      <w:r w:rsidR="00BD2153" w:rsidRPr="007B095A">
        <w:rPr>
          <w:b w:val="0"/>
          <w:bCs/>
        </w:rPr>
        <w:t xml:space="preserve">Imaginary impedance versus frequency showing </w:t>
      </w:r>
      <w:r w:rsidR="00BD2153" w:rsidRPr="007B095A">
        <w:t>a)</w:t>
      </w:r>
      <w:r w:rsidR="00BD2153" w:rsidRPr="007B095A">
        <w:rPr>
          <w:b w:val="0"/>
          <w:bCs/>
        </w:rPr>
        <w:t xml:space="preserve"> three </w:t>
      </w:r>
      <w:r w:rsidR="00AB5E30" w:rsidRPr="007B095A">
        <w:rPr>
          <w:b w:val="0"/>
          <w:bCs/>
        </w:rPr>
        <w:t xml:space="preserve">and </w:t>
      </w:r>
      <w:r w:rsidR="00AB5E30" w:rsidRPr="007B095A">
        <w:t>b)</w:t>
      </w:r>
      <w:r w:rsidR="00AB5E30" w:rsidRPr="007B095A">
        <w:rPr>
          <w:b w:val="0"/>
          <w:bCs/>
        </w:rPr>
        <w:t xml:space="preserve"> two time constants for active Ti electrode.</w:t>
      </w:r>
    </w:p>
    <w:p w14:paraId="6E64B80D" w14:textId="42A595A6" w:rsidR="00E511A6" w:rsidRPr="005D22A1" w:rsidRDefault="00207750" w:rsidP="00EA15AF">
      <w:pPr>
        <w:rPr>
          <w:rFonts w:cs="Times New Roman"/>
        </w:rPr>
      </w:pPr>
      <w:r w:rsidRPr="007B095A">
        <w:rPr>
          <w:rFonts w:cs="Times New Roman"/>
        </w:rPr>
        <w:t xml:space="preserve">Considering actual experimental conditions (pH </w:t>
      </w:r>
      <w:r w:rsidR="002760B2" w:rsidRPr="007B095A">
        <w:rPr>
          <w:rFonts w:cs="Times New Roman"/>
        </w:rPr>
        <w:t>~</w:t>
      </w:r>
      <w:r w:rsidRPr="007B095A">
        <w:rPr>
          <w:rFonts w:cs="Times New Roman"/>
        </w:rPr>
        <w:t xml:space="preserve"> -</w:t>
      </w:r>
      <w:r w:rsidR="002760B2" w:rsidRPr="007B095A">
        <w:rPr>
          <w:rFonts w:cs="Times New Roman"/>
        </w:rPr>
        <w:t>2</w:t>
      </w:r>
      <w:r w:rsidRPr="007B095A">
        <w:rPr>
          <w:rFonts w:cs="Times New Roman"/>
        </w:rPr>
        <w:t xml:space="preserve"> at 60 °C) it is reasonable to assume the</w:t>
      </w:r>
      <w:r w:rsidR="00B600DD" w:rsidRPr="007B095A">
        <w:rPr>
          <w:rFonts w:cs="Times New Roman"/>
        </w:rPr>
        <w:t xml:space="preserve"> </w:t>
      </w:r>
      <w:r w:rsidR="00FC35A9" w:rsidRPr="007B095A">
        <w:rPr>
          <w:rFonts w:cs="Times New Roman"/>
        </w:rPr>
        <w:t xml:space="preserve">critical solubility of H in Ti for hydride formation (~ </w:t>
      </w:r>
      <w:r w:rsidR="00425D10" w:rsidRPr="007B095A">
        <w:rPr>
          <w:rFonts w:cs="Times New Roman"/>
        </w:rPr>
        <w:t>0.002 ÷ 0.004 in H:Ti atomic ratio)</w:t>
      </w:r>
      <w:r w:rsidR="00FC35A9" w:rsidRPr="007B095A">
        <w:rPr>
          <w:rFonts w:cs="Times New Roman"/>
        </w:rPr>
        <w:t xml:space="preserve"> to be reached</w:t>
      </w:r>
      <w:r w:rsidR="0081100B" w:rsidRPr="007B095A">
        <w:rPr>
          <w:rFonts w:cs="Times New Roman"/>
        </w:rPr>
        <w:t xml:space="preserve"> </w:t>
      </w:r>
      <w:r w:rsidR="00BC52F3" w:rsidRPr="007B095A">
        <w:rPr>
          <w:rFonts w:cs="Times New Roman"/>
        </w:rPr>
        <w:t>acting</w:t>
      </w:r>
      <w:r w:rsidR="0081100B" w:rsidRPr="007B095A">
        <w:rPr>
          <w:rFonts w:cs="Times New Roman"/>
        </w:rPr>
        <w:t>,</w:t>
      </w:r>
      <w:r w:rsidR="00BC52F3" w:rsidRPr="007B095A">
        <w:rPr>
          <w:rFonts w:cs="Times New Roman"/>
        </w:rPr>
        <w:t xml:space="preserve"> </w:t>
      </w:r>
      <w:r w:rsidR="00E675A4" w:rsidRPr="007B095A">
        <w:rPr>
          <w:rFonts w:cs="Times New Roman"/>
        </w:rPr>
        <w:t xml:space="preserve">similarly to the first monolayers of oxide/hydroxides always present on </w:t>
      </w:r>
      <w:r w:rsidR="00B119B6">
        <w:rPr>
          <w:rFonts w:cs="Times New Roman"/>
        </w:rPr>
        <w:t xml:space="preserve">the metal </w:t>
      </w:r>
      <w:r w:rsidR="000C32AA">
        <w:rPr>
          <w:rFonts w:cs="Times New Roman"/>
        </w:rPr>
        <w:t>when immersed</w:t>
      </w:r>
      <w:r w:rsidR="00E675A4" w:rsidRPr="007B095A">
        <w:rPr>
          <w:rFonts w:cs="Times New Roman"/>
        </w:rPr>
        <w:t xml:space="preserve"> in an aqueous solution,</w:t>
      </w:r>
      <w:r w:rsidR="00A5390E" w:rsidRPr="007B095A">
        <w:rPr>
          <w:rFonts w:cs="Times New Roman"/>
        </w:rPr>
        <w:t xml:space="preserve"> as a diffusion barrier towards H absorption. </w:t>
      </w:r>
      <w:r w:rsidR="006C64F7" w:rsidRPr="007B095A">
        <w:rPr>
          <w:rFonts w:cs="Times New Roman"/>
        </w:rPr>
        <w:t xml:space="preserve">This made possible the appearance of the third middle frequency time constant attributed by Lasia </w:t>
      </w:r>
      <w:r w:rsidR="006C64F7" w:rsidRPr="007B095A">
        <w:rPr>
          <w:rFonts w:cs="Times New Roman"/>
          <w:i/>
          <w:iCs/>
        </w:rPr>
        <w:t>et al.</w:t>
      </w:r>
      <w:r w:rsidR="006C64F7" w:rsidRPr="007B095A">
        <w:rPr>
          <w:rFonts w:cs="Times New Roman"/>
        </w:rPr>
        <w:t xml:space="preserve"> </w:t>
      </w:r>
      <w:r w:rsidR="006C64F7" w:rsidRPr="007B095A">
        <w:rPr>
          <w:rFonts w:cs="Times New Roman"/>
        </w:rPr>
        <w:fldChar w:fldCharType="begin" w:fldLock="1"/>
      </w:r>
      <w:r w:rsidR="00F36CB3">
        <w:rPr>
          <w:rFonts w:cs="Times New Roman"/>
        </w:rPr>
        <w:instrText>ADDIN CSL_CITATION {"citationItems":[{"id":"ITEM-1","itemData":{"DOI":"10.1007/0-306-47604-5_1","author":[{"dropping-particle":"","family":"Lasia","given":"Andrzej","non-dropping-particle":"","parse-names":false,"suffix":""}],"container-title":"Modern Aspects of Electrochemistry","id":"ITEM-1","issued":{"date-parts":[["2005"]]},"title":"Applications of Electrochemical Impedance Spectroscopy to Hydrogen Adsorption, Evolution and Absorption into Metals","type":"chapter"},"uris":["http://www.mendeley.com/documents/?uuid=6c47043d-7a13-45c0-b256-317ac031f5ec"]}],"mendeley":{"formattedCitation":"[54]","plainTextFormattedCitation":"[54]","previouslyFormattedCitation":"[54]"},"properties":{"noteIndex":0},"schema":"https://github.com/citation-style-language/schema/raw/master/csl-citation.json"}</w:instrText>
      </w:r>
      <w:r w:rsidR="006C64F7" w:rsidRPr="007B095A">
        <w:rPr>
          <w:rFonts w:cs="Times New Roman"/>
        </w:rPr>
        <w:fldChar w:fldCharType="separate"/>
      </w:r>
      <w:r w:rsidR="000D478A" w:rsidRPr="000D478A">
        <w:rPr>
          <w:rFonts w:cs="Times New Roman"/>
          <w:noProof/>
        </w:rPr>
        <w:t>[54]</w:t>
      </w:r>
      <w:r w:rsidR="006C64F7" w:rsidRPr="007B095A">
        <w:rPr>
          <w:rFonts w:cs="Times New Roman"/>
        </w:rPr>
        <w:fldChar w:fldCharType="end"/>
      </w:r>
      <w:r w:rsidR="006C64F7" w:rsidRPr="007B095A">
        <w:rPr>
          <w:rFonts w:cs="Times New Roman"/>
        </w:rPr>
        <w:t xml:space="preserve"> to H absorption phenomena, whose relaxation frequency (4 Hz) can be easily extracted from </w:t>
      </w:r>
      <w:r w:rsidR="006C64F7" w:rsidRPr="007B095A">
        <w:rPr>
          <w:rFonts w:cs="Times New Roman"/>
          <w:b/>
          <w:bCs/>
        </w:rPr>
        <w:t xml:space="preserve">Fig. </w:t>
      </w:r>
      <w:r w:rsidR="00F273C2">
        <w:rPr>
          <w:rFonts w:cs="Times New Roman"/>
          <w:b/>
          <w:bCs/>
        </w:rPr>
        <w:t>17</w:t>
      </w:r>
      <w:r w:rsidR="006C64F7" w:rsidRPr="007B095A">
        <w:rPr>
          <w:rFonts w:cs="Times New Roman"/>
          <w:b/>
          <w:bCs/>
        </w:rPr>
        <w:t>a</w:t>
      </w:r>
      <w:r w:rsidR="006C64F7" w:rsidRPr="007B095A">
        <w:rPr>
          <w:rFonts w:cs="Times New Roman"/>
        </w:rPr>
        <w:t xml:space="preserve">. </w:t>
      </w:r>
      <w:r w:rsidR="00882B69" w:rsidRPr="007B095A">
        <w:rPr>
          <w:rFonts w:cs="Times New Roman"/>
        </w:rPr>
        <w:t>However, as E</w:t>
      </w:r>
      <w:r w:rsidR="00882B69" w:rsidRPr="007B095A">
        <w:rPr>
          <w:rFonts w:cs="Times New Roman"/>
          <w:vertAlign w:val="subscript"/>
        </w:rPr>
        <w:t>corr</w:t>
      </w:r>
      <w:r w:rsidR="00882B69" w:rsidRPr="007B095A">
        <w:rPr>
          <w:rFonts w:cs="Times New Roman"/>
        </w:rPr>
        <w:t xml:space="preserve"> moved below ~ -</w:t>
      </w:r>
      <w:r w:rsidR="00F273C2">
        <w:rPr>
          <w:rFonts w:cs="Times New Roman"/>
        </w:rPr>
        <w:t xml:space="preserve"> </w:t>
      </w:r>
      <w:r w:rsidR="00882B69" w:rsidRPr="007B095A">
        <w:rPr>
          <w:rFonts w:cs="Times New Roman"/>
        </w:rPr>
        <w:t>6</w:t>
      </w:r>
      <w:r w:rsidR="00906164" w:rsidRPr="007B095A">
        <w:rPr>
          <w:rFonts w:cs="Times New Roman"/>
        </w:rPr>
        <w:t>20</w:t>
      </w:r>
      <w:r w:rsidR="00882B69" w:rsidRPr="007B095A">
        <w:rPr>
          <w:rFonts w:cs="Times New Roman"/>
        </w:rPr>
        <w:t xml:space="preserve"> </w:t>
      </w:r>
      <w:r w:rsidR="00906164" w:rsidRPr="007B095A">
        <w:rPr>
          <w:rFonts w:cs="Times New Roman"/>
        </w:rPr>
        <w:t>m</w:t>
      </w:r>
      <w:r w:rsidR="00882B69" w:rsidRPr="007B095A">
        <w:rPr>
          <w:rFonts w:cs="Times New Roman"/>
        </w:rPr>
        <w:t>V/SSC</w:t>
      </w:r>
      <w:r w:rsidR="00882B69" w:rsidRPr="007B095A">
        <w:rPr>
          <w:rFonts w:cs="Times New Roman"/>
          <w:vertAlign w:val="subscript"/>
        </w:rPr>
        <w:t>sat.</w:t>
      </w:r>
      <w:r w:rsidR="000476DA" w:rsidRPr="007B095A">
        <w:rPr>
          <w:rFonts w:cs="Times New Roman"/>
        </w:rPr>
        <w:t xml:space="preserve"> (</w:t>
      </w:r>
      <w:r w:rsidR="00632C4D" w:rsidRPr="007B095A">
        <w:rPr>
          <w:rFonts w:cs="Times New Roman"/>
        </w:rPr>
        <w:t>near the TiO</w:t>
      </w:r>
      <w:r w:rsidR="00632C4D" w:rsidRPr="007B095A">
        <w:rPr>
          <w:rFonts w:cs="Times New Roman"/>
          <w:vertAlign w:val="subscript"/>
        </w:rPr>
        <w:t>2</w:t>
      </w:r>
      <w:r w:rsidR="00632C4D" w:rsidRPr="007B095A">
        <w:rPr>
          <w:rFonts w:cs="Times New Roman"/>
        </w:rPr>
        <w:t xml:space="preserve"> stability limit</w:t>
      </w:r>
      <w:r w:rsidR="001F733B" w:rsidRPr="007B095A">
        <w:rPr>
          <w:rFonts w:cs="Times New Roman"/>
        </w:rPr>
        <w:t xml:space="preserve"> as highlighted in</w:t>
      </w:r>
      <w:r w:rsidR="00632C4D" w:rsidRPr="007B095A">
        <w:rPr>
          <w:rFonts w:cs="Times New Roman"/>
        </w:rPr>
        <w:t xml:space="preserve"> </w:t>
      </w:r>
      <w:r w:rsidR="00632C4D" w:rsidRPr="007B095A">
        <w:rPr>
          <w:rFonts w:cs="Times New Roman"/>
          <w:b/>
          <w:bCs/>
        </w:rPr>
        <w:t>Fig.</w:t>
      </w:r>
      <w:r w:rsidR="001F733B" w:rsidRPr="007B095A">
        <w:rPr>
          <w:rFonts w:cs="Times New Roman"/>
          <w:b/>
          <w:bCs/>
        </w:rPr>
        <w:t xml:space="preserve"> </w:t>
      </w:r>
      <w:r w:rsidR="00F273C2">
        <w:rPr>
          <w:rFonts w:cs="Times New Roman"/>
          <w:b/>
          <w:bCs/>
        </w:rPr>
        <w:t>6</w:t>
      </w:r>
      <w:r w:rsidR="00EF388D" w:rsidRPr="007B095A">
        <w:rPr>
          <w:rFonts w:cs="Times New Roman"/>
        </w:rPr>
        <w:t>)</w:t>
      </w:r>
      <w:r w:rsidR="00882B69" w:rsidRPr="007B095A">
        <w:rPr>
          <w:rFonts w:cs="Times New Roman"/>
        </w:rPr>
        <w:t xml:space="preserve"> H absorption became so fast to make the middle-frequency time constant no more easily discernable</w:t>
      </w:r>
      <w:r w:rsidR="00994D29" w:rsidRPr="007B095A">
        <w:rPr>
          <w:rFonts w:cs="Times New Roman"/>
        </w:rPr>
        <w:t>, a result coming from the loss of protectiveness of even the few layers of oxide/hydroxide</w:t>
      </w:r>
      <w:r w:rsidR="00DD3E24" w:rsidRPr="007B095A">
        <w:rPr>
          <w:rFonts w:cs="Times New Roman"/>
        </w:rPr>
        <w:t xml:space="preserve"> (</w:t>
      </w:r>
      <w:r w:rsidR="00E511A6" w:rsidRPr="007B095A">
        <w:rPr>
          <w:rFonts w:cs="Times New Roman"/>
        </w:rPr>
        <w:t xml:space="preserve">the thermodynamic stability limit </w:t>
      </w:r>
      <w:r w:rsidR="00F273C2">
        <w:rPr>
          <w:rFonts w:cs="Times New Roman"/>
        </w:rPr>
        <w:t>of TiO</w:t>
      </w:r>
      <w:r w:rsidR="00F273C2">
        <w:rPr>
          <w:rFonts w:cs="Times New Roman"/>
          <w:vertAlign w:val="subscript"/>
        </w:rPr>
        <w:t>2</w:t>
      </w:r>
      <w:r w:rsidR="00F273C2">
        <w:rPr>
          <w:rFonts w:cs="Times New Roman"/>
        </w:rPr>
        <w:t xml:space="preserve"> </w:t>
      </w:r>
      <w:r w:rsidR="00E511A6" w:rsidRPr="007B095A">
        <w:rPr>
          <w:rFonts w:cs="Times New Roman"/>
        </w:rPr>
        <w:t>is reached)</w:t>
      </w:r>
      <w:r w:rsidR="00994D29" w:rsidRPr="007B095A">
        <w:rPr>
          <w:rFonts w:cs="Times New Roman"/>
        </w:rPr>
        <w:t xml:space="preserve"> </w:t>
      </w:r>
      <w:r w:rsidR="00DD3E24" w:rsidRPr="007B095A">
        <w:rPr>
          <w:rFonts w:cs="Times New Roman"/>
        </w:rPr>
        <w:t xml:space="preserve">always present when Ti is in contact with </w:t>
      </w:r>
      <w:r w:rsidR="00E511A6" w:rsidRPr="007B095A">
        <w:rPr>
          <w:rFonts w:cs="Times New Roman"/>
        </w:rPr>
        <w:t>an aqueous solution.</w:t>
      </w:r>
    </w:p>
    <w:p w14:paraId="115D8323" w14:textId="47DB4281" w:rsidR="001E250F" w:rsidRDefault="00B12BB1" w:rsidP="00AF1CBA">
      <w:pPr>
        <w:spacing w:after="0"/>
        <w:rPr>
          <w:rFonts w:cs="Times New Roman"/>
          <w:b/>
          <w:bCs/>
          <w:sz w:val="32"/>
          <w:szCs w:val="18"/>
        </w:rPr>
      </w:pPr>
      <w:r w:rsidRPr="004E1F95">
        <w:rPr>
          <w:rFonts w:cs="Times New Roman"/>
          <w:b/>
          <w:bCs/>
          <w:sz w:val="32"/>
          <w:szCs w:val="18"/>
        </w:rPr>
        <w:t>5.</w:t>
      </w:r>
      <w:r w:rsidR="004E1F95" w:rsidRPr="004E1F95">
        <w:rPr>
          <w:rFonts w:cs="Times New Roman"/>
          <w:sz w:val="32"/>
          <w:szCs w:val="18"/>
        </w:rPr>
        <w:t xml:space="preserve"> </w:t>
      </w:r>
      <w:r w:rsidR="00A4067E" w:rsidRPr="00A4067E">
        <w:rPr>
          <w:rFonts w:cs="Times New Roman"/>
          <w:b/>
          <w:bCs/>
          <w:sz w:val="32"/>
          <w:szCs w:val="18"/>
        </w:rPr>
        <w:t>Summary and</w:t>
      </w:r>
      <w:r w:rsidR="00A4067E">
        <w:rPr>
          <w:rFonts w:cs="Times New Roman"/>
          <w:sz w:val="32"/>
          <w:szCs w:val="18"/>
        </w:rPr>
        <w:t xml:space="preserve"> </w:t>
      </w:r>
      <w:r w:rsidR="00A4067E">
        <w:rPr>
          <w:rFonts w:cs="Times New Roman"/>
          <w:b/>
          <w:bCs/>
          <w:sz w:val="32"/>
          <w:szCs w:val="18"/>
        </w:rPr>
        <w:t>c</w:t>
      </w:r>
      <w:r w:rsidR="004E1F95" w:rsidRPr="004E1F95">
        <w:rPr>
          <w:rFonts w:cs="Times New Roman"/>
          <w:b/>
          <w:bCs/>
          <w:sz w:val="32"/>
          <w:szCs w:val="18"/>
        </w:rPr>
        <w:t>onclusion</w:t>
      </w:r>
      <w:r w:rsidR="003B6000">
        <w:rPr>
          <w:rFonts w:cs="Times New Roman"/>
          <w:b/>
          <w:bCs/>
          <w:sz w:val="32"/>
          <w:szCs w:val="18"/>
        </w:rPr>
        <w:t>s</w:t>
      </w:r>
    </w:p>
    <w:p w14:paraId="3680A12A" w14:textId="16CC1AF6" w:rsidR="0093252E" w:rsidRDefault="001E7949" w:rsidP="003B6000">
      <w:pPr>
        <w:rPr>
          <w:rFonts w:cs="Times New Roman"/>
          <w:szCs w:val="14"/>
        </w:rPr>
      </w:pPr>
      <w:r>
        <w:rPr>
          <w:rFonts w:cs="Times New Roman"/>
          <w:szCs w:val="14"/>
        </w:rPr>
        <w:t>The synthesis of titanium oxides characterized by different stoichiometry, using plasma electrolytic oxidation</w:t>
      </w:r>
      <w:r w:rsidR="001C4E12">
        <w:rPr>
          <w:rFonts w:cs="Times New Roman"/>
          <w:szCs w:val="14"/>
        </w:rPr>
        <w:t xml:space="preserve"> (PEO)</w:t>
      </w:r>
      <w:r>
        <w:rPr>
          <w:rFonts w:cs="Times New Roman"/>
          <w:szCs w:val="14"/>
        </w:rPr>
        <w:t xml:space="preserve">, allowed to conclude </w:t>
      </w:r>
      <w:r w:rsidR="00ED0821">
        <w:rPr>
          <w:rFonts w:cs="Times New Roman"/>
          <w:szCs w:val="14"/>
        </w:rPr>
        <w:t xml:space="preserve">an important effect of crystal structure on the corrosion response of titanium oxide electrodes immersed in hot concentrated sulfuric acid. </w:t>
      </w:r>
      <w:r w:rsidR="008167AE">
        <w:rPr>
          <w:rFonts w:cs="Times New Roman"/>
          <w:szCs w:val="14"/>
        </w:rPr>
        <w:t>Once the technological choice</w:t>
      </w:r>
      <w:r w:rsidR="003F4BE4">
        <w:rPr>
          <w:rFonts w:cs="Times New Roman"/>
          <w:szCs w:val="14"/>
        </w:rPr>
        <w:t>s</w:t>
      </w:r>
      <w:r w:rsidR="008167AE">
        <w:rPr>
          <w:rFonts w:cs="Times New Roman"/>
          <w:szCs w:val="14"/>
        </w:rPr>
        <w:t xml:space="preserve"> </w:t>
      </w:r>
      <w:r w:rsidR="003C1591">
        <w:rPr>
          <w:rFonts w:cs="Times New Roman"/>
          <w:szCs w:val="14"/>
        </w:rPr>
        <w:t xml:space="preserve">allow the formation of an oxide barrier layer composed by </w:t>
      </w:r>
      <w:r w:rsidR="00997B1C">
        <w:rPr>
          <w:rFonts w:cs="Times New Roman"/>
          <w:szCs w:val="14"/>
        </w:rPr>
        <w:t>a</w:t>
      </w:r>
      <w:r w:rsidR="003C1591">
        <w:rPr>
          <w:rFonts w:cs="Times New Roman"/>
          <w:szCs w:val="14"/>
        </w:rPr>
        <w:t xml:space="preserve"> homogeneous stoichiometry</w:t>
      </w:r>
      <w:r w:rsidR="003F4BE4">
        <w:rPr>
          <w:rFonts w:cs="Times New Roman"/>
          <w:szCs w:val="14"/>
        </w:rPr>
        <w:t>, comprising</w:t>
      </w:r>
      <w:r w:rsidR="00735174">
        <w:rPr>
          <w:rFonts w:cs="Times New Roman"/>
          <w:szCs w:val="14"/>
        </w:rPr>
        <w:t xml:space="preserve"> mainly</w:t>
      </w:r>
      <w:r w:rsidR="003F4BE4">
        <w:rPr>
          <w:rFonts w:cs="Times New Roman"/>
          <w:szCs w:val="14"/>
        </w:rPr>
        <w:t xml:space="preserve"> Ti oxidized as 4+</w:t>
      </w:r>
      <w:r w:rsidR="007E0749">
        <w:rPr>
          <w:rFonts w:cs="Times New Roman"/>
          <w:szCs w:val="14"/>
        </w:rPr>
        <w:t xml:space="preserve"> </w:t>
      </w:r>
      <w:r w:rsidR="007E0749" w:rsidRPr="007E0749">
        <w:rPr>
          <w:rFonts w:cs="Times New Roman"/>
          <w:szCs w:val="14"/>
        </w:rPr>
        <w:t>and a relatively low level of S</w:t>
      </w:r>
      <w:r w:rsidR="00594164">
        <w:rPr>
          <w:rFonts w:cs="Times New Roman"/>
          <w:szCs w:val="14"/>
        </w:rPr>
        <w:t>,</w:t>
      </w:r>
      <w:r w:rsidR="003F4BE4">
        <w:rPr>
          <w:rFonts w:cs="Times New Roman"/>
          <w:szCs w:val="14"/>
        </w:rPr>
        <w:t xml:space="preserve"> </w:t>
      </w:r>
      <w:r w:rsidR="004C45BC">
        <w:rPr>
          <w:rFonts w:cs="Times New Roman"/>
          <w:szCs w:val="14"/>
        </w:rPr>
        <w:t xml:space="preserve">oxide debonding was </w:t>
      </w:r>
      <w:r w:rsidR="00364A80">
        <w:rPr>
          <w:rFonts w:cs="Times New Roman"/>
          <w:szCs w:val="14"/>
        </w:rPr>
        <w:t xml:space="preserve">largely retarded (not observed for 24 h electrode </w:t>
      </w:r>
      <w:r w:rsidR="009D2EB7">
        <w:rPr>
          <w:rFonts w:cs="Times New Roman"/>
          <w:szCs w:val="14"/>
        </w:rPr>
        <w:t>immersion</w:t>
      </w:r>
      <w:r w:rsidR="00364A80">
        <w:rPr>
          <w:rFonts w:cs="Times New Roman"/>
          <w:szCs w:val="14"/>
        </w:rPr>
        <w:t xml:space="preserve"> in 10 %v/v H</w:t>
      </w:r>
      <w:r w:rsidR="00364A80">
        <w:rPr>
          <w:rFonts w:cs="Times New Roman"/>
          <w:szCs w:val="14"/>
          <w:vertAlign w:val="subscript"/>
        </w:rPr>
        <w:t>2</w:t>
      </w:r>
      <w:r w:rsidR="00364A80">
        <w:rPr>
          <w:rFonts w:cs="Times New Roman"/>
          <w:szCs w:val="14"/>
        </w:rPr>
        <w:t>SO</w:t>
      </w:r>
      <w:r w:rsidR="00364A80">
        <w:rPr>
          <w:rFonts w:cs="Times New Roman"/>
          <w:szCs w:val="14"/>
          <w:vertAlign w:val="subscript"/>
        </w:rPr>
        <w:t>4</w:t>
      </w:r>
      <w:r w:rsidR="00364A80">
        <w:rPr>
          <w:rFonts w:cs="Times New Roman"/>
          <w:szCs w:val="14"/>
        </w:rPr>
        <w:t xml:space="preserve"> at 60 °C)</w:t>
      </w:r>
      <w:r w:rsidR="009D2EB7">
        <w:rPr>
          <w:rFonts w:cs="Times New Roman"/>
          <w:szCs w:val="14"/>
        </w:rPr>
        <w:t xml:space="preserve"> as the result of decreased</w:t>
      </w:r>
      <w:r w:rsidR="00813E63">
        <w:rPr>
          <w:rFonts w:cs="Times New Roman"/>
          <w:szCs w:val="14"/>
        </w:rPr>
        <w:t xml:space="preserve"> H</w:t>
      </w:r>
      <w:r w:rsidR="00813E63">
        <w:rPr>
          <w:rFonts w:cs="Times New Roman"/>
          <w:szCs w:val="14"/>
          <w:vertAlign w:val="superscript"/>
        </w:rPr>
        <w:t>+</w:t>
      </w:r>
      <w:r w:rsidR="009D2EB7">
        <w:rPr>
          <w:rFonts w:cs="Times New Roman"/>
          <w:szCs w:val="14"/>
        </w:rPr>
        <w:t xml:space="preserve"> diffusion coefficient</w:t>
      </w:r>
      <w:r w:rsidR="00226CC8">
        <w:rPr>
          <w:rFonts w:cs="Times New Roman"/>
          <w:szCs w:val="14"/>
        </w:rPr>
        <w:t>, evaluated electrochemically to be ~ 10</w:t>
      </w:r>
      <w:r w:rsidR="00226CC8">
        <w:rPr>
          <w:rFonts w:cs="Times New Roman"/>
          <w:szCs w:val="14"/>
          <w:vertAlign w:val="superscript"/>
        </w:rPr>
        <w:t>-12</w:t>
      </w:r>
      <w:r w:rsidR="00226CC8">
        <w:rPr>
          <w:rFonts w:cs="Times New Roman"/>
          <w:szCs w:val="14"/>
        </w:rPr>
        <w:t xml:space="preserve"> cm</w:t>
      </w:r>
      <w:r w:rsidR="00226CC8">
        <w:rPr>
          <w:rFonts w:cs="Times New Roman"/>
          <w:szCs w:val="14"/>
          <w:vertAlign w:val="superscript"/>
        </w:rPr>
        <w:t>2</w:t>
      </w:r>
      <w:r w:rsidR="00226CC8">
        <w:rPr>
          <w:rFonts w:cs="Times New Roman"/>
          <w:szCs w:val="14"/>
        </w:rPr>
        <w:t>·s</w:t>
      </w:r>
      <w:r w:rsidR="00226CC8">
        <w:rPr>
          <w:rFonts w:cs="Times New Roman"/>
          <w:szCs w:val="14"/>
          <w:vertAlign w:val="superscript"/>
        </w:rPr>
        <w:t>-1</w:t>
      </w:r>
      <w:r w:rsidR="00226CC8">
        <w:rPr>
          <w:rFonts w:cs="Times New Roman"/>
          <w:szCs w:val="14"/>
        </w:rPr>
        <w:t>,</w:t>
      </w:r>
      <w:r w:rsidR="00E32518">
        <w:rPr>
          <w:rFonts w:cs="Times New Roman"/>
          <w:szCs w:val="14"/>
        </w:rPr>
        <w:t xml:space="preserve"> and enhanced hydrogen evolution reaction (HER) at the oxide-electrolyte interface. On the other hand,</w:t>
      </w:r>
      <w:r w:rsidR="005A7C10">
        <w:rPr>
          <w:rFonts w:cs="Times New Roman"/>
          <w:szCs w:val="14"/>
        </w:rPr>
        <w:t xml:space="preserve"> </w:t>
      </w:r>
      <w:r w:rsidR="001C4E12">
        <w:rPr>
          <w:rFonts w:cs="Times New Roman"/>
          <w:szCs w:val="14"/>
        </w:rPr>
        <w:t>using PEO with a DC voltage</w:t>
      </w:r>
      <w:r w:rsidR="00B07385">
        <w:rPr>
          <w:rFonts w:cs="Times New Roman"/>
          <w:szCs w:val="14"/>
        </w:rPr>
        <w:t xml:space="preserve"> preserves the natural three</w:t>
      </w:r>
      <w:r w:rsidR="00D51BC0">
        <w:rPr>
          <w:rFonts w:cs="Times New Roman"/>
          <w:szCs w:val="14"/>
        </w:rPr>
        <w:t>-</w:t>
      </w:r>
      <w:r w:rsidR="00B07385">
        <w:rPr>
          <w:rFonts w:cs="Times New Roman"/>
          <w:szCs w:val="14"/>
        </w:rPr>
        <w:t>layer structure of the oxide layer</w:t>
      </w:r>
      <w:r w:rsidR="00C57FDE">
        <w:rPr>
          <w:rFonts w:cs="Times New Roman"/>
          <w:szCs w:val="14"/>
        </w:rPr>
        <w:t>,</w:t>
      </w:r>
      <w:r w:rsidR="00B07385">
        <w:rPr>
          <w:rFonts w:cs="Times New Roman"/>
          <w:szCs w:val="14"/>
        </w:rPr>
        <w:t xml:space="preserve"> growing on </w:t>
      </w:r>
      <w:r w:rsidR="001E3D9A">
        <w:rPr>
          <w:rFonts w:cs="Times New Roman"/>
          <w:szCs w:val="14"/>
        </w:rPr>
        <w:t>Ti</w:t>
      </w:r>
      <w:r w:rsidR="00B07385">
        <w:rPr>
          <w:rFonts w:cs="Times New Roman"/>
          <w:szCs w:val="14"/>
        </w:rPr>
        <w:t xml:space="preserve"> in common oxidizing environments</w:t>
      </w:r>
      <w:r w:rsidR="00C57FDE">
        <w:rPr>
          <w:rFonts w:cs="Times New Roman"/>
          <w:szCs w:val="14"/>
        </w:rPr>
        <w:t>,</w:t>
      </w:r>
      <w:r w:rsidR="00B61758">
        <w:rPr>
          <w:rFonts w:cs="Times New Roman"/>
          <w:szCs w:val="14"/>
        </w:rPr>
        <w:t xml:space="preserve"> resulting in the following</w:t>
      </w:r>
      <w:r w:rsidR="00B9294C">
        <w:rPr>
          <w:rFonts w:cs="Times New Roman"/>
          <w:szCs w:val="14"/>
        </w:rPr>
        <w:t xml:space="preserve"> relevant</w:t>
      </w:r>
      <w:r w:rsidR="00B61758">
        <w:rPr>
          <w:rFonts w:cs="Times New Roman"/>
          <w:szCs w:val="14"/>
        </w:rPr>
        <w:t xml:space="preserve"> </w:t>
      </w:r>
      <w:r w:rsidR="001E3D9A">
        <w:rPr>
          <w:rFonts w:cs="Times New Roman"/>
          <w:szCs w:val="14"/>
        </w:rPr>
        <w:t>features</w:t>
      </w:r>
      <w:r w:rsidR="00B61758">
        <w:rPr>
          <w:rFonts w:cs="Times New Roman"/>
          <w:szCs w:val="14"/>
        </w:rPr>
        <w:t xml:space="preserve"> </w:t>
      </w:r>
      <w:r w:rsidR="001E3D9A">
        <w:rPr>
          <w:rFonts w:cs="Times New Roman"/>
          <w:szCs w:val="14"/>
        </w:rPr>
        <w:t>for</w:t>
      </w:r>
      <w:r w:rsidR="00B61758">
        <w:rPr>
          <w:rFonts w:cs="Times New Roman"/>
          <w:szCs w:val="14"/>
        </w:rPr>
        <w:t xml:space="preserve"> oxide debonding and consequence </w:t>
      </w:r>
      <w:r w:rsidR="00594164">
        <w:rPr>
          <w:rFonts w:cs="Times New Roman"/>
          <w:szCs w:val="14"/>
        </w:rPr>
        <w:t xml:space="preserve">high </w:t>
      </w:r>
      <w:r w:rsidR="00B61758">
        <w:rPr>
          <w:rFonts w:cs="Times New Roman"/>
          <w:szCs w:val="14"/>
        </w:rPr>
        <w:t>corrosion rate ~</w:t>
      </w:r>
      <w:r w:rsidR="00D51BC0">
        <w:rPr>
          <w:rFonts w:cs="Times New Roman"/>
          <w:szCs w:val="14"/>
        </w:rPr>
        <w:t xml:space="preserve"> 6.2 mm</w:t>
      </w:r>
      <w:r w:rsidR="00307B57" w:rsidRPr="00307B57">
        <w:rPr>
          <w:rFonts w:cs="Times New Roman"/>
          <w:szCs w:val="14"/>
        </w:rPr>
        <w:t>·</w:t>
      </w:r>
      <w:r w:rsidR="00D51BC0">
        <w:rPr>
          <w:rFonts w:cs="Times New Roman"/>
          <w:szCs w:val="14"/>
        </w:rPr>
        <w:t>year</w:t>
      </w:r>
      <w:r w:rsidR="00307B57">
        <w:rPr>
          <w:rFonts w:cs="Times New Roman"/>
          <w:szCs w:val="14"/>
          <w:vertAlign w:val="superscript"/>
        </w:rPr>
        <w:t>-1</w:t>
      </w:r>
      <w:r w:rsidR="00790CB8">
        <w:rPr>
          <w:rFonts w:cs="Times New Roman"/>
          <w:szCs w:val="14"/>
        </w:rPr>
        <w:t>:</w:t>
      </w:r>
    </w:p>
    <w:p w14:paraId="121401E2" w14:textId="202AC429" w:rsidR="00D51BC0" w:rsidRPr="00B513BD" w:rsidRDefault="00D51BC0" w:rsidP="003B6000">
      <w:pPr>
        <w:rPr>
          <w:rFonts w:cs="Times New Roman"/>
          <w:szCs w:val="14"/>
        </w:rPr>
      </w:pPr>
      <w:r>
        <w:rPr>
          <w:rFonts w:cs="Times New Roman"/>
          <w:szCs w:val="14"/>
        </w:rPr>
        <w:t>1</w:t>
      </w:r>
      <w:r w:rsidR="001227CD">
        <w:rPr>
          <w:rFonts w:cs="Times New Roman"/>
          <w:szCs w:val="14"/>
        </w:rPr>
        <w:t>)</w:t>
      </w:r>
      <w:r>
        <w:rPr>
          <w:rFonts w:cs="Times New Roman"/>
          <w:szCs w:val="14"/>
        </w:rPr>
        <w:t xml:space="preserve"> </w:t>
      </w:r>
      <w:r w:rsidR="00514795">
        <w:rPr>
          <w:rFonts w:cs="Times New Roman"/>
          <w:szCs w:val="14"/>
        </w:rPr>
        <w:t>The abundant presence of oxygen vacancies enhance</w:t>
      </w:r>
      <w:r w:rsidR="009F3C58">
        <w:rPr>
          <w:rFonts w:cs="Times New Roman"/>
          <w:szCs w:val="14"/>
        </w:rPr>
        <w:t>s</w:t>
      </w:r>
      <w:r w:rsidR="00514795">
        <w:rPr>
          <w:rFonts w:cs="Times New Roman"/>
          <w:szCs w:val="14"/>
        </w:rPr>
        <w:t xml:space="preserve"> H</w:t>
      </w:r>
      <w:r w:rsidR="00514795">
        <w:rPr>
          <w:rFonts w:cs="Times New Roman"/>
          <w:szCs w:val="14"/>
          <w:vertAlign w:val="subscript"/>
        </w:rPr>
        <w:t>ads</w:t>
      </w:r>
      <w:r w:rsidR="00AE7CBE">
        <w:rPr>
          <w:rFonts w:cs="Times New Roman"/>
          <w:szCs w:val="14"/>
        </w:rPr>
        <w:t xml:space="preserve"> and favors H</w:t>
      </w:r>
      <w:r w:rsidR="00AE7CBE">
        <w:rPr>
          <w:rFonts w:cs="Times New Roman"/>
          <w:szCs w:val="14"/>
          <w:vertAlign w:val="superscript"/>
        </w:rPr>
        <w:t xml:space="preserve">+ </w:t>
      </w:r>
      <w:r w:rsidR="00AE7CBE">
        <w:rPr>
          <w:rFonts w:cs="Times New Roman"/>
          <w:szCs w:val="14"/>
        </w:rPr>
        <w:t>diffusion (</w:t>
      </w:r>
      <m:oMath>
        <m:sSup>
          <m:sSupPr>
            <m:ctrlPr>
              <w:rPr>
                <w:rFonts w:ascii="Cambria Math" w:hAnsi="Cambria Math" w:cs="Times New Roman"/>
                <w:i/>
                <w:szCs w:val="14"/>
              </w:rPr>
            </m:ctrlPr>
          </m:sSupPr>
          <m:e>
            <m:r>
              <w:rPr>
                <w:rFonts w:ascii="Cambria Math" w:hAnsi="Cambria Math" w:cs="Times New Roman"/>
                <w:szCs w:val="14"/>
              </w:rPr>
              <m:t>D</m:t>
            </m:r>
          </m:e>
          <m:sup>
            <m:sSup>
              <m:sSupPr>
                <m:ctrlPr>
                  <w:rPr>
                    <w:rFonts w:ascii="Cambria Math" w:hAnsi="Cambria Math" w:cs="Times New Roman"/>
                    <w:i/>
                    <w:szCs w:val="14"/>
                  </w:rPr>
                </m:ctrlPr>
              </m:sSupPr>
              <m:e>
                <m:r>
                  <w:rPr>
                    <w:rFonts w:ascii="Cambria Math" w:hAnsi="Cambria Math" w:cs="Times New Roman"/>
                    <w:szCs w:val="14"/>
                  </w:rPr>
                  <m:t>H</m:t>
                </m:r>
              </m:e>
              <m:sup>
                <m:r>
                  <w:rPr>
                    <w:rFonts w:ascii="Cambria Math" w:hAnsi="Cambria Math" w:cs="Times New Roman"/>
                    <w:szCs w:val="14"/>
                  </w:rPr>
                  <m:t>+</m:t>
                </m:r>
              </m:sup>
            </m:sSup>
          </m:sup>
        </m:sSup>
      </m:oMath>
      <w:r w:rsidR="00B513BD">
        <w:rPr>
          <w:rFonts w:eastAsiaTheme="minorEastAsia" w:cs="Times New Roman"/>
          <w:szCs w:val="14"/>
        </w:rPr>
        <w:t>~ 10</w:t>
      </w:r>
      <w:r w:rsidR="00B513BD">
        <w:rPr>
          <w:rFonts w:eastAsiaTheme="minorEastAsia" w:cs="Times New Roman"/>
          <w:szCs w:val="14"/>
          <w:vertAlign w:val="superscript"/>
        </w:rPr>
        <w:t>-11</w:t>
      </w:r>
      <w:r w:rsidR="00B513BD">
        <w:rPr>
          <w:rFonts w:eastAsiaTheme="minorEastAsia" w:cs="Times New Roman"/>
          <w:szCs w:val="14"/>
        </w:rPr>
        <w:t xml:space="preserve"> </w:t>
      </w:r>
      <w:r w:rsidR="00B513BD" w:rsidRPr="00B513BD">
        <w:rPr>
          <w:rFonts w:eastAsiaTheme="minorEastAsia" w:cs="Times New Roman"/>
          <w:szCs w:val="14"/>
        </w:rPr>
        <w:t>cm</w:t>
      </w:r>
      <w:r w:rsidR="00B513BD" w:rsidRPr="00B513BD">
        <w:rPr>
          <w:rFonts w:eastAsiaTheme="minorEastAsia" w:cs="Times New Roman"/>
          <w:szCs w:val="14"/>
          <w:vertAlign w:val="superscript"/>
        </w:rPr>
        <w:t>2</w:t>
      </w:r>
      <w:r w:rsidR="00B513BD" w:rsidRPr="00B513BD">
        <w:rPr>
          <w:rFonts w:eastAsiaTheme="minorEastAsia" w:cs="Times New Roman"/>
          <w:szCs w:val="14"/>
        </w:rPr>
        <w:t>·s</w:t>
      </w:r>
      <w:r w:rsidR="00B513BD" w:rsidRPr="00B513BD">
        <w:rPr>
          <w:rFonts w:eastAsiaTheme="minorEastAsia" w:cs="Times New Roman"/>
          <w:szCs w:val="14"/>
          <w:vertAlign w:val="superscript"/>
        </w:rPr>
        <w:t>-1</w:t>
      </w:r>
      <w:r w:rsidR="00B513BD">
        <w:rPr>
          <w:rFonts w:eastAsiaTheme="minorEastAsia" w:cs="Times New Roman"/>
          <w:szCs w:val="14"/>
        </w:rPr>
        <w:t>).</w:t>
      </w:r>
    </w:p>
    <w:p w14:paraId="4B917C1F" w14:textId="3414936C" w:rsidR="009F3C58" w:rsidRDefault="009F3C58" w:rsidP="003B6000">
      <w:pPr>
        <w:rPr>
          <w:rFonts w:cs="Times New Roman"/>
          <w:szCs w:val="14"/>
        </w:rPr>
      </w:pPr>
      <w:r>
        <w:rPr>
          <w:rFonts w:cs="Times New Roman"/>
          <w:szCs w:val="14"/>
        </w:rPr>
        <w:lastRenderedPageBreak/>
        <w:t>2</w:t>
      </w:r>
      <w:r w:rsidR="001227CD">
        <w:rPr>
          <w:rFonts w:cs="Times New Roman"/>
          <w:szCs w:val="14"/>
        </w:rPr>
        <w:t>)</w:t>
      </w:r>
      <w:r>
        <w:rPr>
          <w:rFonts w:cs="Times New Roman"/>
          <w:szCs w:val="14"/>
        </w:rPr>
        <w:t xml:space="preserve"> </w:t>
      </w:r>
      <w:r w:rsidR="00415461">
        <w:rPr>
          <w:rFonts w:cs="Times New Roman"/>
          <w:szCs w:val="14"/>
        </w:rPr>
        <w:t>S</w:t>
      </w:r>
      <w:r w:rsidR="00594164">
        <w:rPr>
          <w:rFonts w:cs="Times New Roman"/>
          <w:szCs w:val="14"/>
        </w:rPr>
        <w:t xml:space="preserve">ulfur species </w:t>
      </w:r>
      <w:r w:rsidR="001227CD">
        <w:rPr>
          <w:rFonts w:cs="Times New Roman"/>
          <w:szCs w:val="14"/>
        </w:rPr>
        <w:t>act as cathodic poison</w:t>
      </w:r>
      <w:r w:rsidR="00415461">
        <w:rPr>
          <w:rFonts w:cs="Times New Roman"/>
          <w:szCs w:val="14"/>
        </w:rPr>
        <w:t>ers,</w:t>
      </w:r>
      <w:r w:rsidR="00B07335">
        <w:rPr>
          <w:rFonts w:cs="Times New Roman"/>
          <w:szCs w:val="14"/>
        </w:rPr>
        <w:t xml:space="preserve"> </w:t>
      </w:r>
      <w:r w:rsidR="001227CD">
        <w:rPr>
          <w:rFonts w:cs="Times New Roman"/>
          <w:szCs w:val="14"/>
        </w:rPr>
        <w:t>limiting</w:t>
      </w:r>
      <w:r w:rsidR="003D0DEE">
        <w:rPr>
          <w:rFonts w:cs="Times New Roman"/>
          <w:szCs w:val="14"/>
        </w:rPr>
        <w:t xml:space="preserve"> hydrogen recombination</w:t>
      </w:r>
      <w:r w:rsidR="001227CD">
        <w:rPr>
          <w:rFonts w:cs="Times New Roman"/>
          <w:szCs w:val="14"/>
        </w:rPr>
        <w:t xml:space="preserve"> </w:t>
      </w:r>
      <w:r w:rsidR="0036523A">
        <w:rPr>
          <w:rFonts w:cs="Times New Roman"/>
          <w:szCs w:val="14"/>
        </w:rPr>
        <w:t xml:space="preserve">and increasing dramatically </w:t>
      </w:r>
      <w:r w:rsidR="001227CD">
        <w:rPr>
          <w:rFonts w:cs="Times New Roman"/>
          <w:szCs w:val="14"/>
        </w:rPr>
        <w:t>H accumulation in correspondence of the metal-oxide interface.</w:t>
      </w:r>
    </w:p>
    <w:p w14:paraId="516247C1" w14:textId="14CB6EEC" w:rsidR="00B07335" w:rsidRPr="00B6209D" w:rsidRDefault="00B07335" w:rsidP="003B6000">
      <w:pPr>
        <w:rPr>
          <w:rFonts w:cs="Times New Roman"/>
          <w:szCs w:val="14"/>
        </w:rPr>
      </w:pPr>
      <w:r w:rsidRPr="001B3BCE">
        <w:rPr>
          <w:rFonts w:cs="Times New Roman"/>
          <w:szCs w:val="14"/>
        </w:rPr>
        <w:t xml:space="preserve">3) </w:t>
      </w:r>
      <w:r w:rsidR="007B46FA" w:rsidRPr="001B3BCE">
        <w:rPr>
          <w:rFonts w:cs="Times New Roman"/>
          <w:szCs w:val="14"/>
        </w:rPr>
        <w:t>Oxide debonding incubation time</w:t>
      </w:r>
      <w:r w:rsidR="00B6209D" w:rsidRPr="001B3BCE">
        <w:rPr>
          <w:rFonts w:cs="Times New Roman"/>
          <w:szCs w:val="14"/>
        </w:rPr>
        <w:t xml:space="preserve"> </w:t>
      </w:r>
      <w:r w:rsidR="002E3181">
        <w:rPr>
          <w:rFonts w:cs="Times New Roman"/>
          <w:szCs w:val="14"/>
        </w:rPr>
        <w:t>scaled</w:t>
      </w:r>
      <w:r w:rsidR="00B6209D" w:rsidRPr="001B3BCE">
        <w:rPr>
          <w:rFonts w:cs="Times New Roman"/>
          <w:szCs w:val="14"/>
        </w:rPr>
        <w:t xml:space="preserve"> </w:t>
      </w:r>
      <w:r w:rsidR="002E3181">
        <w:rPr>
          <w:rFonts w:cs="Times New Roman"/>
          <w:szCs w:val="14"/>
        </w:rPr>
        <w:t>substantially</w:t>
      </w:r>
      <w:r w:rsidR="00B6209D" w:rsidRPr="001B3BCE">
        <w:rPr>
          <w:rFonts w:cs="Times New Roman"/>
          <w:szCs w:val="14"/>
        </w:rPr>
        <w:t xml:space="preserve"> with the content of Ti</w:t>
      </w:r>
      <w:r w:rsidR="00B6209D" w:rsidRPr="001B3BCE">
        <w:rPr>
          <w:rFonts w:cs="Times New Roman"/>
          <w:szCs w:val="14"/>
          <w:vertAlign w:val="superscript"/>
        </w:rPr>
        <w:t>4+</w:t>
      </w:r>
      <w:r w:rsidR="00D6464D">
        <w:rPr>
          <w:rFonts w:cs="Times New Roman"/>
          <w:szCs w:val="14"/>
        </w:rPr>
        <w:t>:</w:t>
      </w:r>
      <w:r w:rsidR="00B6209D" w:rsidRPr="001B3BCE">
        <w:rPr>
          <w:rFonts w:cs="Times New Roman"/>
          <w:szCs w:val="14"/>
        </w:rPr>
        <w:t xml:space="preserve"> after</w:t>
      </w:r>
      <w:r w:rsidR="00D6464D">
        <w:rPr>
          <w:rFonts w:cs="Times New Roman"/>
          <w:szCs w:val="14"/>
        </w:rPr>
        <w:t xml:space="preserve"> the</w:t>
      </w:r>
      <w:r w:rsidR="00B6209D" w:rsidRPr="001B3BCE">
        <w:rPr>
          <w:rFonts w:cs="Times New Roman"/>
          <w:szCs w:val="14"/>
        </w:rPr>
        <w:t xml:space="preserve"> reduction of ~ 85 %</w:t>
      </w:r>
      <w:r w:rsidR="001B3BCE">
        <w:rPr>
          <w:rFonts w:cs="Times New Roman"/>
          <w:szCs w:val="14"/>
        </w:rPr>
        <w:t xml:space="preserve"> ± 9 %</w:t>
      </w:r>
      <w:r w:rsidR="00B6209D" w:rsidRPr="001B3BCE">
        <w:rPr>
          <w:rFonts w:cs="Times New Roman"/>
          <w:szCs w:val="14"/>
        </w:rPr>
        <w:t xml:space="preserve"> of Ti</w:t>
      </w:r>
      <w:r w:rsidR="00B6209D" w:rsidRPr="001B3BCE">
        <w:rPr>
          <w:rFonts w:cs="Times New Roman"/>
          <w:szCs w:val="14"/>
          <w:vertAlign w:val="superscript"/>
        </w:rPr>
        <w:t xml:space="preserve">4+ </w:t>
      </w:r>
      <w:r w:rsidR="00B6209D" w:rsidRPr="001B3BCE">
        <w:rPr>
          <w:rFonts w:cs="Times New Roman"/>
          <w:szCs w:val="14"/>
        </w:rPr>
        <w:t xml:space="preserve">cations </w:t>
      </w:r>
      <w:r w:rsidR="00067A26" w:rsidRPr="001B3BCE">
        <w:rPr>
          <w:rFonts w:cs="Times New Roman"/>
          <w:szCs w:val="14"/>
        </w:rPr>
        <w:t xml:space="preserve">coating </w:t>
      </w:r>
      <w:r w:rsidR="00DF2863">
        <w:rPr>
          <w:rFonts w:cs="Times New Roman"/>
          <w:szCs w:val="14"/>
        </w:rPr>
        <w:t>debonding</w:t>
      </w:r>
      <w:r w:rsidR="00067A26" w:rsidRPr="001B3BCE">
        <w:rPr>
          <w:rFonts w:cs="Times New Roman"/>
          <w:szCs w:val="14"/>
        </w:rPr>
        <w:t xml:space="preserve"> occurred.</w:t>
      </w:r>
    </w:p>
    <w:p w14:paraId="361EE0CD" w14:textId="156ADE86" w:rsidR="00067A26" w:rsidRPr="00BB2B46" w:rsidRDefault="00B07335" w:rsidP="003B6000">
      <w:pPr>
        <w:rPr>
          <w:rFonts w:cs="Times New Roman"/>
          <w:szCs w:val="14"/>
        </w:rPr>
      </w:pPr>
      <w:r>
        <w:rPr>
          <w:rFonts w:cs="Times New Roman"/>
          <w:szCs w:val="14"/>
        </w:rPr>
        <w:t>4</w:t>
      </w:r>
      <w:r w:rsidR="001227CD">
        <w:rPr>
          <w:rFonts w:cs="Times New Roman"/>
          <w:szCs w:val="14"/>
        </w:rPr>
        <w:t xml:space="preserve">) </w:t>
      </w:r>
      <w:r w:rsidR="00D6464D">
        <w:rPr>
          <w:rFonts w:cs="Times New Roman"/>
          <w:szCs w:val="14"/>
        </w:rPr>
        <w:t>Debonding was found</w:t>
      </w:r>
      <w:r w:rsidR="00C66D7A">
        <w:rPr>
          <w:rFonts w:cs="Times New Roman"/>
          <w:szCs w:val="14"/>
        </w:rPr>
        <w:t xml:space="preserve"> to result</w:t>
      </w:r>
      <w:r w:rsidR="00BB2B46">
        <w:rPr>
          <w:rFonts w:cs="Times New Roman"/>
          <w:szCs w:val="14"/>
        </w:rPr>
        <w:t xml:space="preserve"> </w:t>
      </w:r>
      <w:r w:rsidR="00D61DF1">
        <w:rPr>
          <w:rFonts w:cs="Times New Roman"/>
          <w:szCs w:val="14"/>
        </w:rPr>
        <w:t xml:space="preserve">according to the mechanical action </w:t>
      </w:r>
      <w:r w:rsidR="00BB2B46">
        <w:rPr>
          <w:rFonts w:cs="Times New Roman"/>
          <w:szCs w:val="14"/>
        </w:rPr>
        <w:t>of H</w:t>
      </w:r>
      <w:r w:rsidR="00BB2B46">
        <w:rPr>
          <w:rFonts w:cs="Times New Roman"/>
          <w:szCs w:val="14"/>
          <w:vertAlign w:val="subscript"/>
        </w:rPr>
        <w:t>2</w:t>
      </w:r>
      <w:r w:rsidR="00BB2B46">
        <w:rPr>
          <w:rFonts w:cs="Times New Roman"/>
          <w:szCs w:val="14"/>
        </w:rPr>
        <w:t xml:space="preserve"> bubble</w:t>
      </w:r>
      <w:r w:rsidR="00520CA8">
        <w:rPr>
          <w:rFonts w:cs="Times New Roman"/>
          <w:szCs w:val="14"/>
        </w:rPr>
        <w:t>s</w:t>
      </w:r>
      <w:r w:rsidR="00D61DF1">
        <w:rPr>
          <w:rFonts w:cs="Times New Roman"/>
          <w:szCs w:val="14"/>
        </w:rPr>
        <w:t xml:space="preserve"> grown</w:t>
      </w:r>
      <w:r w:rsidR="003D0DEE">
        <w:rPr>
          <w:rFonts w:cs="Times New Roman"/>
          <w:szCs w:val="14"/>
        </w:rPr>
        <w:t xml:space="preserve"> over the metal surface</w:t>
      </w:r>
      <w:r w:rsidR="00D40A1E">
        <w:rPr>
          <w:rFonts w:cs="Times New Roman"/>
          <w:szCs w:val="14"/>
        </w:rPr>
        <w:t xml:space="preserve"> </w:t>
      </w:r>
      <w:r w:rsidR="005D1404">
        <w:rPr>
          <w:rFonts w:cs="Times New Roman"/>
          <w:szCs w:val="14"/>
        </w:rPr>
        <w:t>after charge saturation of the material</w:t>
      </w:r>
      <w:r w:rsidR="00F20961">
        <w:rPr>
          <w:rFonts w:cs="Times New Roman"/>
          <w:szCs w:val="14"/>
        </w:rPr>
        <w:t>. Th</w:t>
      </w:r>
      <w:r w:rsidR="003D0DEE">
        <w:rPr>
          <w:rFonts w:cs="Times New Roman"/>
          <w:szCs w:val="14"/>
        </w:rPr>
        <w:t>e</w:t>
      </w:r>
      <w:r w:rsidR="00F20961">
        <w:rPr>
          <w:rFonts w:cs="Times New Roman"/>
          <w:szCs w:val="14"/>
        </w:rPr>
        <w:t xml:space="preserve"> </w:t>
      </w:r>
      <w:r w:rsidR="004E10AE">
        <w:rPr>
          <w:rFonts w:cs="Times New Roman"/>
          <w:szCs w:val="14"/>
        </w:rPr>
        <w:t>present research demonstrat</w:t>
      </w:r>
      <w:r w:rsidR="00527990">
        <w:rPr>
          <w:rFonts w:cs="Times New Roman"/>
          <w:szCs w:val="14"/>
        </w:rPr>
        <w:t>es</w:t>
      </w:r>
      <w:r w:rsidR="004E10AE">
        <w:rPr>
          <w:rFonts w:cs="Times New Roman"/>
          <w:szCs w:val="14"/>
        </w:rPr>
        <w:t xml:space="preserve"> with success </w:t>
      </w:r>
      <w:r w:rsidR="00527990">
        <w:rPr>
          <w:rFonts w:cs="Times New Roman"/>
          <w:szCs w:val="14"/>
        </w:rPr>
        <w:t>the opportunity to detect the occurrence of oxide debonding</w:t>
      </w:r>
      <w:r w:rsidR="00F20961">
        <w:rPr>
          <w:rFonts w:cs="Times New Roman"/>
          <w:szCs w:val="14"/>
        </w:rPr>
        <w:t xml:space="preserve"> according to the formation of a low frequency capacitive loop with negative real impedance</w:t>
      </w:r>
      <w:r w:rsidR="00D33218">
        <w:rPr>
          <w:rFonts w:cs="Times New Roman"/>
          <w:szCs w:val="14"/>
        </w:rPr>
        <w:t xml:space="preserve"> in the Nyquist representation</w:t>
      </w:r>
      <w:r w:rsidR="00067A26">
        <w:rPr>
          <w:rFonts w:cs="Times New Roman"/>
          <w:szCs w:val="14"/>
        </w:rPr>
        <w:t>.</w:t>
      </w:r>
    </w:p>
    <w:p w14:paraId="25BFB0C1" w14:textId="77777777" w:rsidR="00721DAC" w:rsidRPr="00721DAC" w:rsidRDefault="00721DAC" w:rsidP="00721DAC">
      <w:pPr>
        <w:spacing w:after="360" w:line="240" w:lineRule="auto"/>
        <w:rPr>
          <w:rFonts w:cs="Times New Roman"/>
          <w:b/>
          <w:sz w:val="28"/>
        </w:rPr>
      </w:pPr>
      <w:r w:rsidRPr="00527990">
        <w:rPr>
          <w:rFonts w:cs="Times New Roman"/>
          <w:b/>
          <w:sz w:val="32"/>
          <w:szCs w:val="24"/>
        </w:rPr>
        <w:t>Acknowledgements</w:t>
      </w:r>
    </w:p>
    <w:p w14:paraId="392601BB" w14:textId="45ECA1CC" w:rsidR="00D51BC0" w:rsidRPr="00721DAC" w:rsidRDefault="00721DAC" w:rsidP="00721DAC">
      <w:pPr>
        <w:rPr>
          <w:rFonts w:cs="Times New Roman"/>
          <w:sz w:val="32"/>
          <w:szCs w:val="18"/>
        </w:rPr>
      </w:pPr>
      <w:r w:rsidRPr="00721DAC">
        <w:rPr>
          <w:rFonts w:cs="Times New Roman"/>
          <w:szCs w:val="28"/>
        </w:rPr>
        <w:t>Surface treatments were performed at the Pietro Pedeferri Corrosion Laboratory “PoliLapp”. The EELS work was carried out at the Canadian Centre for Electron Microscopy, a facility supported by the Canada Foundation for Innovation under the Major Science Initiatives program, NSERC and McMaster University. GAB is grateful to NSERC for supporting this work under the Discovery Grants program.</w:t>
      </w:r>
    </w:p>
    <w:p w14:paraId="6AB54483" w14:textId="3860AE92" w:rsidR="00A328B9" w:rsidRPr="004E1F95" w:rsidRDefault="00586BF5" w:rsidP="00AF1CBA">
      <w:pPr>
        <w:spacing w:after="0"/>
        <w:rPr>
          <w:rFonts w:cs="Times New Roman"/>
          <w:b/>
          <w:bCs/>
          <w:sz w:val="40"/>
        </w:rPr>
      </w:pPr>
      <w:r w:rsidRPr="004E1F95">
        <w:rPr>
          <w:rFonts w:cs="Times New Roman"/>
          <w:b/>
          <w:bCs/>
          <w:sz w:val="32"/>
          <w:szCs w:val="18"/>
        </w:rPr>
        <w:t>References</w:t>
      </w:r>
    </w:p>
    <w:p w14:paraId="4E8042C0" w14:textId="7786C844" w:rsidR="00935263" w:rsidRPr="00935263" w:rsidRDefault="00A328B9" w:rsidP="00935263">
      <w:pPr>
        <w:widowControl w:val="0"/>
        <w:autoSpaceDE w:val="0"/>
        <w:autoSpaceDN w:val="0"/>
        <w:adjustRightInd w:val="0"/>
        <w:spacing w:line="240" w:lineRule="auto"/>
        <w:ind w:left="640" w:hanging="640"/>
        <w:rPr>
          <w:rFonts w:cs="Times New Roman"/>
          <w:noProof/>
          <w:szCs w:val="24"/>
        </w:rPr>
      </w:pPr>
      <w:r w:rsidRPr="00C251F4">
        <w:rPr>
          <w:rFonts w:cs="Times New Roman"/>
          <w:szCs w:val="14"/>
        </w:rPr>
        <w:fldChar w:fldCharType="begin" w:fldLock="1"/>
      </w:r>
      <w:r w:rsidRPr="00C251F4">
        <w:rPr>
          <w:rFonts w:cs="Times New Roman"/>
          <w:szCs w:val="14"/>
        </w:rPr>
        <w:instrText xml:space="preserve">ADDIN Mendeley Bibliography CSL_BIBLIOGRAPHY </w:instrText>
      </w:r>
      <w:r w:rsidRPr="00C251F4">
        <w:rPr>
          <w:rFonts w:cs="Times New Roman"/>
          <w:szCs w:val="14"/>
        </w:rPr>
        <w:fldChar w:fldCharType="separate"/>
      </w:r>
      <w:r w:rsidR="00935263" w:rsidRPr="00935263">
        <w:rPr>
          <w:rFonts w:cs="Times New Roman"/>
          <w:noProof/>
          <w:szCs w:val="24"/>
        </w:rPr>
        <w:t>[1]</w:t>
      </w:r>
      <w:r w:rsidR="00935263" w:rsidRPr="00935263">
        <w:rPr>
          <w:rFonts w:cs="Times New Roman"/>
          <w:noProof/>
          <w:szCs w:val="24"/>
        </w:rPr>
        <w:tab/>
        <w:t>C.L. Briant, Z.F. Wang, N. Chollocoop, Hydrogen embrittlement of commercial purity titanium, Corros. Sci. 44 (2002) 1875–1888. https://doi.org/10.1016/S0010-938X(01)00159-7.</w:t>
      </w:r>
    </w:p>
    <w:p w14:paraId="298DAC19"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w:t>
      </w:r>
      <w:r w:rsidRPr="00935263">
        <w:rPr>
          <w:rFonts w:cs="Times New Roman"/>
          <w:noProof/>
          <w:szCs w:val="24"/>
        </w:rPr>
        <w:tab/>
        <w:t>I.N. Andijani, S. Ahmad, A.U. Malik, Corrosion behavior of titanium metal in the presence of inhibited sulfuric acid at 50°C, Desalination. 129 (2000) 45–51. https://doi.org/10.1016/S0011-9164(00)00050-3.</w:t>
      </w:r>
    </w:p>
    <w:p w14:paraId="3B100796"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w:t>
      </w:r>
      <w:r w:rsidRPr="00935263">
        <w:rPr>
          <w:rFonts w:cs="Times New Roman"/>
          <w:noProof/>
          <w:szCs w:val="24"/>
        </w:rPr>
        <w:tab/>
        <w:t>D. Prando, A. Brenna, M.. V. Diamanti, S. Beretta, F. Bolzoni, M. Ormellese, M. Pedeferri, Corrosion of titanium: Part 1: aggressive environments and main forms of degradation, J. Appl. Biomater. Funct. Mater. 15 (2017). https://doi.org/10.5301/jabfm.5000387.</w:t>
      </w:r>
    </w:p>
    <w:p w14:paraId="70FFCA6C"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w:t>
      </w:r>
      <w:r w:rsidRPr="00935263">
        <w:rPr>
          <w:rFonts w:cs="Times New Roman"/>
          <w:noProof/>
          <w:szCs w:val="24"/>
        </w:rPr>
        <w:tab/>
        <w:t>L. Casanova, M. La Padula, M. Pedeferri, M.V. Diamanti, M. Ormellese, An insight into the evolution of corrosion resistant coatings on titanium during bipolar plasma electrolytic oxidation in sulfuric acid, Electrochim. Acta. 379 (2021) 138190. https://doi.org/10.1016/j.electacta.2021.138190.</w:t>
      </w:r>
    </w:p>
    <w:p w14:paraId="200595A3"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[5]</w:t>
      </w:r>
      <w:r w:rsidRPr="00935263">
        <w:rPr>
          <w:rFonts w:cs="Times New Roman"/>
          <w:noProof/>
          <w:szCs w:val="24"/>
        </w:rPr>
        <w:tab/>
        <w:t>L. Casanova, L. Vicentini, M. Pedeferri, M. Ormellese, Unipolar plasma electrolytic oxidation: Waveform optimisation for corrosion resistance of commercially pure titanium, Mater. Corros. (2020). https://doi.org/10.1002/maco.202012198.</w:t>
      </w:r>
    </w:p>
    <w:p w14:paraId="114A403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[6]</w:t>
      </w:r>
      <w:r w:rsidRPr="00935263">
        <w:rPr>
          <w:rFonts w:cs="Times New Roman"/>
          <w:noProof/>
          <w:szCs w:val="24"/>
        </w:rPr>
        <w:tab/>
        <w:t xml:space="preserve">L. Casanova, M. Gruarin, M.P. Pedeferri, M. Ormellese, A comparison between corrosion </w:t>
      </w:r>
      <w:r w:rsidRPr="00935263">
        <w:rPr>
          <w:rFonts w:cs="Times New Roman"/>
          <w:noProof/>
          <w:szCs w:val="24"/>
        </w:rPr>
        <w:lastRenderedPageBreak/>
        <w:t>performances of titanium grade 2 and 7 in strong reducing acids, Mater. Corros. (2021). https://doi.org/10.1002/maco.202112392.</w:t>
      </w:r>
    </w:p>
    <w:p w14:paraId="688D778F"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[7]</w:t>
      </w:r>
      <w:r w:rsidRPr="00935263">
        <w:rPr>
          <w:rFonts w:cs="Times New Roman"/>
          <w:noProof/>
          <w:szCs w:val="24"/>
        </w:rPr>
        <w:tab/>
        <w:t>E.. J. Kelly, Electrochemical Behaviour of Titanium, in: Mod. Asp. Electrochem., 1982: pp. 557–639. https://doi.org/https://doi.org/10.1007/978-1-4615-7458-3_5.</w:t>
      </w:r>
    </w:p>
    <w:p w14:paraId="16308809"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[8]</w:t>
      </w:r>
      <w:r w:rsidRPr="00935263">
        <w:rPr>
          <w:rFonts w:cs="Times New Roman"/>
          <w:noProof/>
          <w:szCs w:val="24"/>
        </w:rPr>
        <w:tab/>
        <w:t>Y. Liu, R.F. Schaller, E. Asselin, Effect of Fe(III) and Cu(II) on the Passivation of Ti-2 in Acidic Chloride Solutions, J. Electrochem. Soc. 166 (2019) C76–C82. https://doi.org/10.1149/2.1021902jes.</w:t>
      </w:r>
    </w:p>
    <w:p w14:paraId="5EDF8800"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[9]</w:t>
      </w:r>
      <w:r w:rsidRPr="00935263">
        <w:rPr>
          <w:rFonts w:cs="Times New Roman"/>
          <w:noProof/>
          <w:szCs w:val="24"/>
        </w:rPr>
        <w:tab/>
        <w:t>T. Ohtsuka, Cathodic Reduction of Anodic Oxide Films Formed on Titanium, J. Electrochem. Soc. 134 (1987) 2406. https://doi.org/10.1149/1.2100212.</w:t>
      </w:r>
    </w:p>
    <w:p w14:paraId="407153D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[10]</w:t>
      </w:r>
      <w:r w:rsidRPr="00935263">
        <w:rPr>
          <w:rFonts w:cs="Times New Roman"/>
          <w:noProof/>
          <w:szCs w:val="24"/>
        </w:rPr>
        <w:tab/>
        <w:t>S.M.A. Hosseini, V.B. Singh, Active-passive behaviour of titanium and titanium alloy (VT-9) in sulphuric acid solution, Mater. Chem. Phys. 33 (1993) 63–69. https://doi.org/10.1016/0254-0584(93)90091-Y.</w:t>
      </w:r>
    </w:p>
    <w:p w14:paraId="56A987BD"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[11]</w:t>
      </w:r>
      <w:r w:rsidRPr="00935263">
        <w:rPr>
          <w:rFonts w:cs="Times New Roman"/>
          <w:noProof/>
          <w:szCs w:val="24"/>
        </w:rPr>
        <w:tab/>
        <w:t>D. Devilliers, M.T. Dinh, E. Mahé, D. Krulic, N. Larabi, N. Fatouros, Behaviour of titanium in sulphuric acid - Application to DSAs, J. New Mater. Electrochem. Syst. 9 (2006) 221–232.</w:t>
      </w:r>
    </w:p>
    <w:p w14:paraId="40C93F71"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[12]</w:t>
      </w:r>
      <w:r w:rsidRPr="00935263">
        <w:rPr>
          <w:rFonts w:cs="Times New Roman"/>
          <w:noProof/>
          <w:szCs w:val="24"/>
        </w:rPr>
        <w:tab/>
        <w:t>D.J. Blackwood, L.M. Peter, D.E. Williams, Stability and open circuit breakdown of the passive oxide film on titanium, Electrochim. Acta. 33 (1988) 1143–1149. https://doi.org/10.1016/0013-4686(88)80206-8.</w:t>
      </w:r>
    </w:p>
    <w:p w14:paraId="0393AD78"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[13]</w:t>
      </w:r>
      <w:r w:rsidRPr="00935263">
        <w:rPr>
          <w:rFonts w:cs="Times New Roman"/>
          <w:noProof/>
          <w:szCs w:val="24"/>
        </w:rPr>
        <w:tab/>
        <w:t>D.J. Blackwood, S.K.M. Chooi, Stability of protective oxide films formed on a porous titanium, Corros. Sci. 44 (2002) 395–405. https://doi.org/10.1016/S0010-938X(01)00080-4.</w:t>
      </w:r>
    </w:p>
    <w:p w14:paraId="537278C9"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[14]</w:t>
      </w:r>
      <w:r w:rsidRPr="00935263">
        <w:rPr>
          <w:rFonts w:cs="Times New Roman"/>
          <w:noProof/>
          <w:szCs w:val="24"/>
        </w:rPr>
        <w:tab/>
        <w:t>A. Hakimizad, K. Raeissi, M.A. Golozar, X. Lu, C. Blawert, M.L. Zheludkevich, Influence of cathodic duty cycle on the properties of tungsten containing Al2O3/TiO2 PEO nano-composite coatings, Surf. Coatings Technol. 340 (2018) 210–221. https://doi.org/10.1016/j.surfcoat.2018.02.042.</w:t>
      </w:r>
    </w:p>
    <w:p w14:paraId="69908697"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[15]</w:t>
      </w:r>
      <w:r w:rsidRPr="00935263">
        <w:rPr>
          <w:rFonts w:cs="Times New Roman"/>
          <w:noProof/>
          <w:szCs w:val="24"/>
        </w:rPr>
        <w:tab/>
        <w:t>B.L. Jiang, Y.M. Wang, Plasma electrolytic oxidation treatment of aluminium and titanium alloys, Surf. Eng. Light Alloy. Alum. Magnes. Titan. Alloy. (2010) 110–154. https://doi.org/10.1533/9781845699451.2.110.</w:t>
      </w:r>
    </w:p>
    <w:p w14:paraId="68884B4F"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[16]</w:t>
      </w:r>
      <w:r w:rsidRPr="00935263">
        <w:rPr>
          <w:rFonts w:cs="Times New Roman"/>
          <w:noProof/>
          <w:szCs w:val="24"/>
        </w:rPr>
        <w:tab/>
        <w:t>M. Shokouhfar, C. Dehghanian, M. Montazeri, A. Baradaran, Preparation of ceramic coating on Ti substrate by plasma electrolytic oxidation in different electrolytes and evaluation of its corrosion resistance: Part II, Appl. Surf. Sci. 258 (2012) 2416–2423. https://doi.org/10.1016/j.apsusc.2011.10.064.</w:t>
      </w:r>
    </w:p>
    <w:p w14:paraId="4FBE0A96"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[17]</w:t>
      </w:r>
      <w:r w:rsidRPr="00935263">
        <w:rPr>
          <w:rFonts w:cs="Times New Roman"/>
          <w:noProof/>
          <w:szCs w:val="24"/>
        </w:rPr>
        <w:tab/>
        <w:t>S. Stojadinović, R. Vasilić, M. Petković, L. Zeković, Plasma electrolytic oxidation of titanium in heteropolytungstate acids, Surf. Coatings Technol. (2011). https://doi.org/10.1016/j.surfcoat.2011.07.090.</w:t>
      </w:r>
    </w:p>
    <w:p w14:paraId="48A9041E"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[18]</w:t>
      </w:r>
      <w:r w:rsidRPr="00935263">
        <w:rPr>
          <w:rFonts w:cs="Times New Roman"/>
          <w:noProof/>
          <w:szCs w:val="24"/>
        </w:rPr>
        <w:tab/>
        <w:t>B. Engelkamp, B. Fischer, K. Schierbaum, Plasma electrolytic oxidation of titanium in H2SO4-H3PO4 Mixtures, Coatings. 10 (2020) 1–11. https://doi.org/10.3390/coatings10020116.</w:t>
      </w:r>
    </w:p>
    <w:p w14:paraId="170FD4C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[19]</w:t>
      </w:r>
      <w:r w:rsidRPr="00935263">
        <w:rPr>
          <w:rFonts w:cs="Times New Roman"/>
          <w:noProof/>
          <w:szCs w:val="24"/>
        </w:rPr>
        <w:tab/>
        <w:t>A.E.R. Friedemann, T.M. Gesing, P. Plagemann, Electrochemical rutile and anatase formation on PEO surfaces, Surf. Coatings Technol. 315 (2017) 139–149. https://doi.org/10.1016/j.surfcoat.2017.01.042.</w:t>
      </w:r>
    </w:p>
    <w:p w14:paraId="5561D27E"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[20]</w:t>
      </w:r>
      <w:r w:rsidRPr="00935263">
        <w:rPr>
          <w:rFonts w:cs="Times New Roman"/>
          <w:noProof/>
          <w:szCs w:val="24"/>
        </w:rPr>
        <w:tab/>
        <w:t>A.. V. Dubenko, M.. V. Nikolenko, E.. V. Aksenenko, A. Kostyniuk, B. Likozar, Mechanism, thermodynamics and kinetics of rutile leaching process by sulfuric acid reactions, Processes. 8 (2020). https://doi.org/10.3390/pr8060640.</w:t>
      </w:r>
    </w:p>
    <w:p w14:paraId="24D5189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lastRenderedPageBreak/>
        <w:t>[21]</w:t>
      </w:r>
      <w:r w:rsidRPr="00935263">
        <w:rPr>
          <w:rFonts w:cs="Times New Roman"/>
          <w:noProof/>
          <w:szCs w:val="24"/>
        </w:rPr>
        <w:tab/>
        <w:t>H.F. Nabavi, M. Aliofkhazraei, A.S. Rouhaghdam, Electrical characteristics and discharge properties of hybrid plasma electrolytic oxidation on titanium, J. Alloys Compd. 728 (2017) 464–475. https://doi.org/10.1016/j.jallcom.2017.09.028.</w:t>
      </w:r>
    </w:p>
    <w:p w14:paraId="1E1C68FD"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[22]</w:t>
      </w:r>
      <w:r w:rsidRPr="00935263">
        <w:rPr>
          <w:rFonts w:cs="Times New Roman"/>
          <w:noProof/>
          <w:szCs w:val="24"/>
        </w:rPr>
        <w:tab/>
        <w:t>E. Erfanifar, M. Aliofkhazraei, H.F. Nabavi, A.S. Rouhaghdam, Growth kinetics and morphology of microarc oxidation coating on titanium, Surf. Coatings Technol. 315 (2017) 567–576. https://doi.org/10.1016/j.surfcoat.2017.03.002.</w:t>
      </w:r>
    </w:p>
    <w:p w14:paraId="42F4847B"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[23]</w:t>
      </w:r>
      <w:r w:rsidRPr="00935263">
        <w:rPr>
          <w:rFonts w:cs="Times New Roman"/>
          <w:noProof/>
          <w:szCs w:val="24"/>
        </w:rPr>
        <w:tab/>
        <w:t>E. Matykina, R. Arrabal, P. Skeldon, G.E. Thompson, Transmission electron microscopy of coatings formed by plasma electrolytic oxidation of titanium, Acta Biomater. 5 (2009) 1356–1366. https://doi.org/10.1016/j.actbio.2008.10.007.</w:t>
      </w:r>
    </w:p>
    <w:p w14:paraId="398B42F8"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[24]</w:t>
      </w:r>
      <w:r w:rsidRPr="00935263">
        <w:rPr>
          <w:rFonts w:cs="Times New Roman"/>
          <w:noProof/>
          <w:szCs w:val="24"/>
        </w:rPr>
        <w:tab/>
        <w:t>I.G. Tredici, F. Maglia, C. Ferrara, P. Mustarelli, U. Anselmi-tamburini, Mechanism of Low-Temperature Protonic Conductivity in Bulk , High-Density , Nanometric Titanium Oxide, (2014) 5137–5146. https://doi.org/10.1002/adfm.201400420.</w:t>
      </w:r>
    </w:p>
    <w:p w14:paraId="2E94E73B"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[25]</w:t>
      </w:r>
      <w:r w:rsidRPr="00935263">
        <w:rPr>
          <w:rFonts w:cs="Times New Roman"/>
          <w:noProof/>
          <w:szCs w:val="24"/>
        </w:rPr>
        <w:tab/>
        <w:t>R. Ren, Z. Wang, X. Meng, X. Wang, C. Xu, J. Qiao, W. Sun, K. Sun, Tailoring the Oxygen Vacancy to Achieve Fast Intrinsic Proton Transport in a Perovskite Cathode for Protonic Ceramic Fuel Cells, (2020). https://doi.org/10.1021/acsaem.0c00486.</w:t>
      </w:r>
    </w:p>
    <w:p w14:paraId="217792AF"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[26]</w:t>
      </w:r>
      <w:r w:rsidRPr="00935263">
        <w:rPr>
          <w:rFonts w:cs="Times New Roman"/>
          <w:noProof/>
          <w:szCs w:val="24"/>
        </w:rPr>
        <w:tab/>
        <w:t>Z. Lin, S. Lin, Y. Tian, A. Van Bokkelen, M. Valerio, M.A. Gomez, Oxygen Vacancies Altering the Trapping in the Proton Conduction Landscape of Doped Barium Zirconate, (2020). https://doi.org/10.1021/acs.jpcc.0c09461.</w:t>
      </w:r>
    </w:p>
    <w:p w14:paraId="03430BA9"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[27]</w:t>
      </w:r>
      <w:r w:rsidRPr="00935263">
        <w:rPr>
          <w:rFonts w:cs="Times New Roman"/>
          <w:noProof/>
          <w:szCs w:val="24"/>
        </w:rPr>
        <w:tab/>
        <w:t>Y. Meng, J. Gao, Z. Zhao, J. Amoroso, J. Tong, K.S. Brinkman, Review : recent progress in low-temperature proton-conducting ceramics, J. Mater. Sci. 54 (2019) 9291–9312. https://doi.org/10.1007/s10853-019-03559-9.</w:t>
      </w:r>
    </w:p>
    <w:p w14:paraId="3E22FBD5"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[28]</w:t>
      </w:r>
      <w:r w:rsidRPr="00935263">
        <w:rPr>
          <w:rFonts w:cs="Times New Roman"/>
          <w:noProof/>
          <w:szCs w:val="24"/>
        </w:rPr>
        <w:tab/>
        <w:t>V.S. Sastri, Green Corrosion Inhibitors: Theory and Practice, Wiley, Singapore, 2011. https://doi.org/10.1002/9781118015438.</w:t>
      </w:r>
    </w:p>
    <w:p w14:paraId="5F23DF04"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[29]</w:t>
      </w:r>
      <w:r w:rsidRPr="00935263">
        <w:rPr>
          <w:rFonts w:cs="Times New Roman"/>
          <w:noProof/>
          <w:szCs w:val="24"/>
        </w:rPr>
        <w:tab/>
        <w:t>F. de la Peña, E. Prestat, V.T. Fauske, hyperspy/hyperspy: Release v1.6.2, (2021). https://doi.org/10.5281/ZENODO.4683076.</w:t>
      </w:r>
    </w:p>
    <w:p w14:paraId="7E2F759D"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[30]</w:t>
      </w:r>
      <w:r w:rsidRPr="00935263">
        <w:rPr>
          <w:rFonts w:cs="Times New Roman"/>
          <w:noProof/>
          <w:szCs w:val="24"/>
        </w:rPr>
        <w:tab/>
        <w:t>L. Casanova, M. Arosio, M. Taghi Hashemi, M. Pedeferri, G.A. Botton, M. Ormellese, A nanoscale investigation on the influence of anodization parameters during plasma electrolytic oxidation of titanium by high-resolution electron energy loss spectroscopy, Appl. Surf. Sci. 570 (2021) 151133. https://doi.org/10.1016/j.apsusc.2021.151133.</w:t>
      </w:r>
    </w:p>
    <w:p w14:paraId="7DC00E14"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[31]</w:t>
      </w:r>
      <w:r w:rsidRPr="00935263">
        <w:rPr>
          <w:rFonts w:cs="Times New Roman"/>
          <w:noProof/>
          <w:szCs w:val="24"/>
        </w:rPr>
        <w:tab/>
        <w:t>ASTM G5 Standard Reference Test Method for Making Potentiodynamic Anodic Polarization Measurements, Annu. B. ASTM Stand. (2014). https://doi.org/10.1520/G0005-13E02.2.</w:t>
      </w:r>
    </w:p>
    <w:p w14:paraId="4BE913D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[32]</w:t>
      </w:r>
      <w:r w:rsidRPr="00935263">
        <w:rPr>
          <w:rFonts w:cs="Times New Roman"/>
          <w:noProof/>
          <w:szCs w:val="24"/>
        </w:rPr>
        <w:tab/>
        <w:t>ASTM Standards: G31-72, Annu. B. ASTM Stand. 72 (2012) 1–8. https://doi.org/10.1520/G0031-72R04.2.</w:t>
      </w:r>
    </w:p>
    <w:p w14:paraId="47AA312F"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[33]</w:t>
      </w:r>
      <w:r w:rsidRPr="00935263">
        <w:rPr>
          <w:rFonts w:cs="Times New Roman"/>
          <w:noProof/>
          <w:szCs w:val="24"/>
        </w:rPr>
        <w:tab/>
        <w:t>E. McCafferty, J.P. Wightman, X-ray photoelectron spectroscopy sputter profile study of the native air-formed oxide film on titanium, Appl. Surf. Sci. 143 (1999) 92–100. https://doi.org/10.1016/S0169-4332(98)00927-1.</w:t>
      </w:r>
    </w:p>
    <w:p w14:paraId="672DC65E"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[34]</w:t>
      </w:r>
      <w:r w:rsidRPr="00935263">
        <w:rPr>
          <w:rFonts w:cs="Times New Roman"/>
          <w:noProof/>
          <w:szCs w:val="24"/>
        </w:rPr>
        <w:tab/>
        <w:t>S.A. Fadl-allah, Q. Mohsen, Characterization of native and anodic oxide films formed on commercial pure titanium using electrochemical properties and morphology techniques, Appl. Surf. Sci. 256 (2010) 5849–5855. https://doi.org/10.1016/j.apsusc.2010.03.058.</w:t>
      </w:r>
    </w:p>
    <w:p w14:paraId="621FEC5F"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[35]</w:t>
      </w:r>
      <w:r w:rsidRPr="00935263">
        <w:rPr>
          <w:rFonts w:cs="Times New Roman"/>
          <w:noProof/>
          <w:szCs w:val="24"/>
        </w:rPr>
        <w:tab/>
        <w:t>D. Elabar, A. Němcová, T. Hashimoto, P. Skeldon, G.E. Thompson, Effect of sulphate impurity in chromic acid anodizing of aluminium, Corros. Sci. 100 (2015) 377–385. https://doi.org/10.1016/j.corsci.2015.08.019.</w:t>
      </w:r>
    </w:p>
    <w:p w14:paraId="7DBBEBBF"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lastRenderedPageBreak/>
        <w:t>[36]</w:t>
      </w:r>
      <w:r w:rsidRPr="00935263">
        <w:rPr>
          <w:rFonts w:cs="Times New Roman"/>
          <w:noProof/>
          <w:szCs w:val="24"/>
        </w:rPr>
        <w:tab/>
        <w:t>B.. E. Conway, R.. E. White, K. Plenum, N. York, A. Lasia, “Applications of the Electrochemical Impedance Spectroscopy to Hydrogen Adsorption, Evolution and Absorption into Metals ,” 2002. https://doi.org/10.1007/0-306-47604-5.</w:t>
      </w:r>
    </w:p>
    <w:p w14:paraId="2D500C87"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[37]</w:t>
      </w:r>
      <w:r w:rsidRPr="00935263">
        <w:rPr>
          <w:rFonts w:cs="Times New Roman"/>
          <w:noProof/>
          <w:szCs w:val="24"/>
        </w:rPr>
        <w:tab/>
        <w:t>N.. T. Thomas, K. Nobe, Kinetics of the Hydrogen Evolution Reaction on Titanium, J. Electrochem. Soc. 117 (1970) 622–626. https://doi.org/10.1149/1.2407590.</w:t>
      </w:r>
    </w:p>
    <w:p w14:paraId="72FD608B"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[38]</w:t>
      </w:r>
      <w:r w:rsidRPr="00935263">
        <w:rPr>
          <w:rFonts w:cs="Times New Roman"/>
          <w:noProof/>
          <w:szCs w:val="24"/>
        </w:rPr>
        <w:tab/>
        <w:t>N. Makivić, J.Y. Cho, K.D. Harris, J.M. Tarascon, B. Limoges, V. Balland, Evidence of Bulk Proton Insertion in Nanostructured Anatase and Amorphous TiO2Electrodes, Chem. Mater. 33 (2021) 3436–3448. https://doi.org/10.1021/acs.chemmater.1c00840.</w:t>
      </w:r>
    </w:p>
    <w:p w14:paraId="7D6DBBF7"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[39]</w:t>
      </w:r>
      <w:r w:rsidRPr="00935263">
        <w:rPr>
          <w:rFonts w:cs="Times New Roman"/>
          <w:noProof/>
          <w:szCs w:val="24"/>
        </w:rPr>
        <w:tab/>
        <w:t>Y.S. Kim, S. Kriegel, K.D. Harris, C. Costentin, B. Limoges, V. Balland, Evidencing Fast, Massive, and Reversible H+ Insertion in Nanostructured TiO2 Electrodes at Neutral pH. Where Do Protons Come From?, J. Phys. Chem. C. 121 (2017) 10325–10335. https://doi.org/10.1021/acs.jpcc.7b02395.</w:t>
      </w:r>
    </w:p>
    <w:p w14:paraId="75D0DC27"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[40]</w:t>
      </w:r>
      <w:r w:rsidRPr="00935263">
        <w:rPr>
          <w:rFonts w:cs="Times New Roman"/>
          <w:noProof/>
          <w:szCs w:val="24"/>
        </w:rPr>
        <w:tab/>
        <w:t>Y. Zeng, J.J. Noël, P.R. Norton, D.W. Shoesmith, Hydrogen transport through thin titanium oxides, J. Electroanal. Chem. 649 (2010) 277–285. https://doi.org/10.1016/j.jelechem.2010.06.022.</w:t>
      </w:r>
    </w:p>
    <w:p w14:paraId="689AB3E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[41]</w:t>
      </w:r>
      <w:r w:rsidRPr="00935263">
        <w:rPr>
          <w:rFonts w:cs="Times New Roman"/>
          <w:noProof/>
          <w:szCs w:val="24"/>
        </w:rPr>
        <w:tab/>
        <w:t>S. Motupally, C.C. Streinz, J.W. Weidner, Proton Diffusion in Nickel Hydroxide Films: Measurement of the Diffusion Coefficient as a Function of State of Charge, J. Electrochem. Soc. 142 (1995) 1401–1408. https://doi.org/10.1149/1.2048589.</w:t>
      </w:r>
    </w:p>
    <w:p w14:paraId="11F3DEB7"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[42]</w:t>
      </w:r>
      <w:r w:rsidRPr="00935263">
        <w:rPr>
          <w:rFonts w:cs="Times New Roman"/>
          <w:noProof/>
          <w:szCs w:val="24"/>
        </w:rPr>
        <w:tab/>
        <w:t>A.J. Hupfer, E. V Monakhov, B.G. Svensson, I. Chaplygin, E. V Lavrov, Hydrogen motion in rutile TiO 2, Sci. Rep. (2017) 1–10. https://doi.org/10.1038/s41598-017-16660-3.</w:t>
      </w:r>
    </w:p>
    <w:p w14:paraId="53B3BE63"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[43]</w:t>
      </w:r>
      <w:r w:rsidRPr="00935263">
        <w:rPr>
          <w:rFonts w:cs="Times New Roman"/>
          <w:noProof/>
          <w:szCs w:val="24"/>
        </w:rPr>
        <w:tab/>
        <w:t>S.K. Yen, Retardation effects of thermally grown oxide films on the hydrogen embrittlement of commercial pure titanium, Corros. Sci. 41 (1999) 2031–2051. https://doi.org/10.1016/S0010-938X(99)00022-0.</w:t>
      </w:r>
    </w:p>
    <w:p w14:paraId="319BC6BD"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[44]</w:t>
      </w:r>
      <w:r w:rsidRPr="00935263">
        <w:rPr>
          <w:rFonts w:cs="Times New Roman"/>
          <w:noProof/>
          <w:szCs w:val="24"/>
        </w:rPr>
        <w:tab/>
        <w:t>H. Tian, X. Cui, L. Zeng, L. Su, Y. Song, J. Shi, Oxygen vacancy-assisted hydrogen evolution reaction of the Pt/WO3 electrocatalyst, J. Mater. Chem. A. 7 (2019) 6285–6293. https://doi.org/10.1039/c8ta12219a.</w:t>
      </w:r>
    </w:p>
    <w:p w14:paraId="40241448"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[45]</w:t>
      </w:r>
      <w:r w:rsidRPr="00935263">
        <w:rPr>
          <w:rFonts w:cs="Times New Roman"/>
          <w:noProof/>
          <w:szCs w:val="24"/>
        </w:rPr>
        <w:tab/>
        <w:t>M.F. Dupont, S.W. Donne, A Step Potential Electrochemical Spectroscopy Analysis of Electrochemical Capacitor Electrode Performance, Electrochim. Acta. 167 (2015) 268–277. https://doi.org/10.1016/j.electacta.2015.03.137.</w:t>
      </w:r>
    </w:p>
    <w:p w14:paraId="432ADCE8"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[46]</w:t>
      </w:r>
      <w:r w:rsidRPr="00935263">
        <w:rPr>
          <w:rFonts w:cs="Times New Roman"/>
          <w:noProof/>
          <w:szCs w:val="24"/>
        </w:rPr>
        <w:tab/>
        <w:t>C. Hill, SciPy, in: Learn. Sci. Program. with Python, 2020. https://doi.org/10.1017/9781108778039.009.</w:t>
      </w:r>
    </w:p>
    <w:p w14:paraId="5E69867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[47]</w:t>
      </w:r>
      <w:r w:rsidRPr="00935263">
        <w:rPr>
          <w:rFonts w:cs="Times New Roman"/>
          <w:noProof/>
          <w:szCs w:val="24"/>
        </w:rPr>
        <w:tab/>
        <w:t>Y. Li, Z.G. Yu, L. Wang, Y. Weng, C.S. Tang, X. Yin, K. Han, H. Wu, X. Yu, L.M. Wong, D. Wan, X.R. Wang, J. Chai, Y.W. Zhang, S. Wang, J. Wang, A.T.S. Wee, M.B.H. Breese, S.J. Pennycook, T. Venkatesan, S. Dong, J.M. Xue, J. Chen, Electronic-reconstruction-enhanced hydrogen evolution catalysis in oxide polymorphs, Nat. Commun. 10 (2019). https://doi.org/10.1038/s41467-019-11124-w.</w:t>
      </w:r>
    </w:p>
    <w:p w14:paraId="1157BF46"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[48]</w:t>
      </w:r>
      <w:r w:rsidRPr="00935263">
        <w:rPr>
          <w:rFonts w:cs="Times New Roman"/>
          <w:noProof/>
          <w:szCs w:val="24"/>
        </w:rPr>
        <w:tab/>
        <w:t>J. Swaminathan, R. Subbiah, V. Singaram, Defect-Rich Metallic Titania (TiO1.23) - An Efficient Hydrogen Evolution Catalyst for Electrochemical Water Splitting, ACS Catal. 6 (2016) 2222–2229. https://doi.org/10.1021/acscatal.5b02614.</w:t>
      </w:r>
    </w:p>
    <w:p w14:paraId="6E519D92"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[49]</w:t>
      </w:r>
      <w:r w:rsidRPr="00935263">
        <w:rPr>
          <w:rFonts w:cs="Times New Roman"/>
          <w:noProof/>
          <w:szCs w:val="24"/>
        </w:rPr>
        <w:tab/>
        <w:t>A. Ignatchenko, D.G. Nealon, R. Dushane, K. Humphries, Interaction of water with titania and zirconia surfaces, 256 (2006) 57–74. https://doi.org/10.1016/j.molcata.2006.04.031.</w:t>
      </w:r>
    </w:p>
    <w:p w14:paraId="4C16CC45"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[50]</w:t>
      </w:r>
      <w:r w:rsidRPr="00935263">
        <w:rPr>
          <w:rFonts w:cs="Times New Roman"/>
          <w:noProof/>
          <w:szCs w:val="24"/>
        </w:rPr>
        <w:tab/>
        <w:t xml:space="preserve">E. Celik, R.S. Negi, M. Bastianello, D. Boll, Tailoring the protonic conductivity of porous yttria-stabilized zirconia thin films by surface modification, (2020) 11519–11528. </w:t>
      </w:r>
      <w:r w:rsidRPr="00935263">
        <w:rPr>
          <w:rFonts w:cs="Times New Roman"/>
          <w:noProof/>
          <w:szCs w:val="24"/>
        </w:rPr>
        <w:lastRenderedPageBreak/>
        <w:t>https://doi.org/10.1039/d0cp01619e.</w:t>
      </w:r>
    </w:p>
    <w:p w14:paraId="21A75201"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[51]</w:t>
      </w:r>
      <w:r w:rsidRPr="00935263">
        <w:rPr>
          <w:rFonts w:cs="Times New Roman"/>
          <w:noProof/>
          <w:szCs w:val="24"/>
        </w:rPr>
        <w:tab/>
        <w:t>V. Martynyuk, M. Ortigueira, M. Fedula, O. Savenko, Fractional model of the electrochemical capacitor relaxation phenomenon, Bull. Polish Acad. Sci. Tech. Sci. 66 (2018) 441–448. https://doi.org/10.24425/124260.</w:t>
      </w:r>
    </w:p>
    <w:p w14:paraId="2B01A929"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[52]</w:t>
      </w:r>
      <w:r w:rsidRPr="00935263">
        <w:rPr>
          <w:rFonts w:cs="Times New Roman"/>
          <w:noProof/>
          <w:szCs w:val="24"/>
        </w:rPr>
        <w:tab/>
        <w:t>M.W. Losey, J.J. Kelly, Electrodeposition, 2007. https://doi.org/10.1016/B978-044452190-3.00010-0.</w:t>
      </w:r>
    </w:p>
    <w:p w14:paraId="79C35798"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[53]</w:t>
      </w:r>
      <w:r w:rsidRPr="00935263">
        <w:rPr>
          <w:rFonts w:cs="Times New Roman"/>
          <w:noProof/>
          <w:szCs w:val="24"/>
        </w:rPr>
        <w:tab/>
        <w:t>B.A. Boukamp, A Linear Kronig‐Kramers Transform Test for Immittance Data Validation, J. Electrochem. Soc. 142 (1995) 1885–1894. https://doi.org/10.1149/1.2044210.</w:t>
      </w:r>
    </w:p>
    <w:p w14:paraId="560449EB" w14:textId="77777777" w:rsidR="00935263" w:rsidRPr="00935263" w:rsidRDefault="00935263" w:rsidP="00935263">
      <w:pPr>
        <w:widowControl w:val="0"/>
        <w:autoSpaceDE w:val="0"/>
        <w:autoSpaceDN w:val="0"/>
        <w:adjustRightInd w:val="0"/>
        <w:spacing w:line="240" w:lineRule="auto"/>
        <w:ind w:left="640" w:hanging="640"/>
        <w:rPr>
          <w:rFonts w:cs="Times New Roman"/>
          <w:noProof/>
          <w:szCs w:val="24"/>
        </w:rPr>
      </w:pPr>
      <w:r w:rsidRPr="00935263">
        <w:rPr>
          <w:rFonts w:cs="Times New Roman"/>
          <w:noProof/>
          <w:szCs w:val="24"/>
        </w:rPr>
        <w:t>[54]</w:t>
      </w:r>
      <w:r w:rsidRPr="00935263">
        <w:rPr>
          <w:rFonts w:cs="Times New Roman"/>
          <w:noProof/>
          <w:szCs w:val="24"/>
        </w:rPr>
        <w:tab/>
        <w:t>A. Lasia, Applications of Electrochemical Impedance Spectroscopy to Hydrogen Adsorption, Evolution and Absorption into Metals, in: Mod. Asp. Electrochem., 2005. https://doi.org/10.1007/0-306-47604-5_1.</w:t>
      </w:r>
    </w:p>
    <w:p w14:paraId="7D94A531" w14:textId="77777777" w:rsidR="00935263" w:rsidRPr="00935263" w:rsidRDefault="00935263" w:rsidP="00935263">
      <w:pPr>
        <w:widowControl w:val="0"/>
        <w:autoSpaceDE w:val="0"/>
        <w:autoSpaceDN w:val="0"/>
        <w:adjustRightInd w:val="0"/>
        <w:spacing w:line="240" w:lineRule="auto"/>
        <w:ind w:left="640" w:hanging="640"/>
        <w:rPr>
          <w:rFonts w:cs="Times New Roman"/>
          <w:noProof/>
        </w:rPr>
      </w:pPr>
      <w:r w:rsidRPr="00935263">
        <w:rPr>
          <w:rFonts w:cs="Times New Roman"/>
          <w:noProof/>
          <w:szCs w:val="24"/>
        </w:rPr>
        <w:t>[55]</w:t>
      </w:r>
      <w:r w:rsidRPr="00935263">
        <w:rPr>
          <w:rFonts w:cs="Times New Roman"/>
          <w:noProof/>
          <w:szCs w:val="24"/>
        </w:rPr>
        <w:tab/>
        <w:t>A. Lasia, Electrochemical impedance spectroscopy and its applications, 2014. https://doi.org/10.1007/978-1-4614-8933-7.</w:t>
      </w:r>
    </w:p>
    <w:p w14:paraId="144C794F" w14:textId="0E82C601" w:rsidR="00A328B9" w:rsidRPr="00A328B9" w:rsidRDefault="00A328B9">
      <w:pPr>
        <w:rPr>
          <w:rFonts w:cs="Times New Roman"/>
          <w:sz w:val="40"/>
        </w:rPr>
      </w:pPr>
      <w:r w:rsidRPr="00C251F4">
        <w:rPr>
          <w:rFonts w:cs="Times New Roman"/>
          <w:szCs w:val="14"/>
        </w:rPr>
        <w:fldChar w:fldCharType="end"/>
      </w:r>
    </w:p>
    <w:sectPr w:rsidR="00A328B9" w:rsidRPr="00A328B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E900FD" w14:textId="77777777" w:rsidR="00584CA2" w:rsidRDefault="00584CA2" w:rsidP="009D20C1">
      <w:pPr>
        <w:spacing w:after="0" w:line="240" w:lineRule="auto"/>
      </w:pPr>
      <w:r>
        <w:separator/>
      </w:r>
    </w:p>
  </w:endnote>
  <w:endnote w:type="continuationSeparator" w:id="0">
    <w:p w14:paraId="01DA9ADC" w14:textId="77777777" w:rsidR="00584CA2" w:rsidRDefault="00584CA2" w:rsidP="009D20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01C7E6" w14:textId="77777777" w:rsidR="00584CA2" w:rsidRDefault="00584CA2" w:rsidP="009D20C1">
      <w:pPr>
        <w:spacing w:after="0" w:line="240" w:lineRule="auto"/>
      </w:pPr>
      <w:r>
        <w:separator/>
      </w:r>
    </w:p>
  </w:footnote>
  <w:footnote w:type="continuationSeparator" w:id="0">
    <w:p w14:paraId="77F0BF66" w14:textId="77777777" w:rsidR="00584CA2" w:rsidRDefault="00584CA2" w:rsidP="009D20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25D40"/>
    <w:multiLevelType w:val="hybridMultilevel"/>
    <w:tmpl w:val="489AB14E"/>
    <w:lvl w:ilvl="0" w:tplc="8FB24B08">
      <w:start w:val="1"/>
      <w:numFmt w:val="decimal"/>
      <w:lvlText w:val="%1.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C275896"/>
    <w:multiLevelType w:val="multilevel"/>
    <w:tmpl w:val="2CFACC9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D77378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39F265C"/>
    <w:multiLevelType w:val="multilevel"/>
    <w:tmpl w:val="24D8D88C"/>
    <w:lvl w:ilvl="0">
      <w:start w:val="1"/>
      <w:numFmt w:val="decimal"/>
      <w:pStyle w:val="Heading1"/>
      <w:lvlText w:val="%1."/>
      <w:lvlJc w:val="left"/>
      <w:pPr>
        <w:ind w:left="720" w:hanging="360"/>
      </w:pPr>
      <w:rPr>
        <w:rFonts w:hint="default"/>
        <w:color w:val="000000" w:themeColor="text1"/>
        <w:sz w:val="28"/>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D952B14"/>
    <w:multiLevelType w:val="hybridMultilevel"/>
    <w:tmpl w:val="C7DCC76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00425FE"/>
    <w:multiLevelType w:val="hybridMultilevel"/>
    <w:tmpl w:val="8060644A"/>
    <w:lvl w:ilvl="0" w:tplc="FE522D12">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2E4573A"/>
    <w:multiLevelType w:val="multilevel"/>
    <w:tmpl w:val="F252D55A"/>
    <w:lvl w:ilvl="0">
      <w:start w:val="1"/>
      <w:numFmt w:val="decimal"/>
      <w:lvlText w:val="%1."/>
      <w:lvlJc w:val="left"/>
      <w:pPr>
        <w:ind w:left="0" w:firstLine="0"/>
      </w:pPr>
      <w:rPr>
        <w:rFonts w:hint="default"/>
      </w:rPr>
    </w:lvl>
    <w:lvl w:ilvl="1">
      <w:start w:val="1"/>
      <w:numFmt w:val="decimal"/>
      <w:lvlText w:val="%1.%2."/>
      <w:lvlJc w:val="left"/>
      <w:pPr>
        <w:ind w:left="0" w:firstLine="360"/>
      </w:pPr>
      <w:rPr>
        <w:rFonts w:hint="default"/>
      </w:rPr>
    </w:lvl>
    <w:lvl w:ilvl="2">
      <w:start w:val="1"/>
      <w:numFmt w:val="decimal"/>
      <w:lvlText w:val="%1.%2.%3."/>
      <w:lvlJc w:val="left"/>
      <w:pPr>
        <w:ind w:left="0" w:firstLine="72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71DF3F14"/>
    <w:multiLevelType w:val="multilevel"/>
    <w:tmpl w:val="D30062EA"/>
    <w:lvl w:ilvl="0">
      <w:start w:val="2"/>
      <w:numFmt w:val="decimal"/>
      <w:lvlText w:val="%1"/>
      <w:lvlJc w:val="left"/>
      <w:pPr>
        <w:ind w:left="360" w:hanging="360"/>
      </w:pPr>
      <w:rPr>
        <w:rFonts w:hint="default"/>
        <w:color w:val="000000" w:themeColor="text1"/>
        <w:sz w:val="28"/>
        <w:u w:val="none"/>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8D73148"/>
    <w:multiLevelType w:val="multilevel"/>
    <w:tmpl w:val="A67A3A6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0"/>
  </w:num>
  <w:num w:numId="3">
    <w:abstractNumId w:val="2"/>
  </w:num>
  <w:num w:numId="4">
    <w:abstractNumId w:val="6"/>
  </w:num>
  <w:num w:numId="5">
    <w:abstractNumId w:val="1"/>
  </w:num>
  <w:num w:numId="6">
    <w:abstractNumId w:val="8"/>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6C4F"/>
    <w:rsid w:val="000022A4"/>
    <w:rsid w:val="00002578"/>
    <w:rsid w:val="0000482A"/>
    <w:rsid w:val="00011323"/>
    <w:rsid w:val="00011AD2"/>
    <w:rsid w:val="00011AF2"/>
    <w:rsid w:val="00011B6B"/>
    <w:rsid w:val="00011D5A"/>
    <w:rsid w:val="00012419"/>
    <w:rsid w:val="000126D4"/>
    <w:rsid w:val="00013EC0"/>
    <w:rsid w:val="00013EE6"/>
    <w:rsid w:val="000140E6"/>
    <w:rsid w:val="00014C08"/>
    <w:rsid w:val="00016FA5"/>
    <w:rsid w:val="00017789"/>
    <w:rsid w:val="0002007E"/>
    <w:rsid w:val="000209AD"/>
    <w:rsid w:val="00021057"/>
    <w:rsid w:val="000224F6"/>
    <w:rsid w:val="00022D2F"/>
    <w:rsid w:val="00024696"/>
    <w:rsid w:val="0002532B"/>
    <w:rsid w:val="000259EE"/>
    <w:rsid w:val="00025B8B"/>
    <w:rsid w:val="00026984"/>
    <w:rsid w:val="00026CBF"/>
    <w:rsid w:val="0003093B"/>
    <w:rsid w:val="00031304"/>
    <w:rsid w:val="000313D9"/>
    <w:rsid w:val="00031CEA"/>
    <w:rsid w:val="00032354"/>
    <w:rsid w:val="000335EB"/>
    <w:rsid w:val="000342D0"/>
    <w:rsid w:val="000367B6"/>
    <w:rsid w:val="00036BF0"/>
    <w:rsid w:val="00037559"/>
    <w:rsid w:val="00037C63"/>
    <w:rsid w:val="000402ED"/>
    <w:rsid w:val="0004039C"/>
    <w:rsid w:val="00041552"/>
    <w:rsid w:val="00041C33"/>
    <w:rsid w:val="0004427C"/>
    <w:rsid w:val="00045831"/>
    <w:rsid w:val="0004609B"/>
    <w:rsid w:val="000474CE"/>
    <w:rsid w:val="000476DA"/>
    <w:rsid w:val="00047882"/>
    <w:rsid w:val="00047BB0"/>
    <w:rsid w:val="00051170"/>
    <w:rsid w:val="00054A39"/>
    <w:rsid w:val="00054C28"/>
    <w:rsid w:val="000553E0"/>
    <w:rsid w:val="00056062"/>
    <w:rsid w:val="0005621C"/>
    <w:rsid w:val="000609B1"/>
    <w:rsid w:val="000615D8"/>
    <w:rsid w:val="000647F2"/>
    <w:rsid w:val="00064AC1"/>
    <w:rsid w:val="000665E1"/>
    <w:rsid w:val="00066B29"/>
    <w:rsid w:val="00067920"/>
    <w:rsid w:val="00067A26"/>
    <w:rsid w:val="00072228"/>
    <w:rsid w:val="00072CFD"/>
    <w:rsid w:val="0007403B"/>
    <w:rsid w:val="00076227"/>
    <w:rsid w:val="00080F36"/>
    <w:rsid w:val="000819B3"/>
    <w:rsid w:val="00083EDB"/>
    <w:rsid w:val="00084392"/>
    <w:rsid w:val="000846E6"/>
    <w:rsid w:val="00084EB2"/>
    <w:rsid w:val="00086B94"/>
    <w:rsid w:val="00086FB4"/>
    <w:rsid w:val="000903AA"/>
    <w:rsid w:val="00090AE9"/>
    <w:rsid w:val="000912D6"/>
    <w:rsid w:val="000920E1"/>
    <w:rsid w:val="000922A9"/>
    <w:rsid w:val="0009337C"/>
    <w:rsid w:val="00093D6E"/>
    <w:rsid w:val="00095911"/>
    <w:rsid w:val="00095D7A"/>
    <w:rsid w:val="000964AA"/>
    <w:rsid w:val="00097928"/>
    <w:rsid w:val="000A0DD4"/>
    <w:rsid w:val="000A226A"/>
    <w:rsid w:val="000A288A"/>
    <w:rsid w:val="000A39B2"/>
    <w:rsid w:val="000A3CEE"/>
    <w:rsid w:val="000A7381"/>
    <w:rsid w:val="000A7573"/>
    <w:rsid w:val="000B1334"/>
    <w:rsid w:val="000B13E6"/>
    <w:rsid w:val="000B267E"/>
    <w:rsid w:val="000B2A25"/>
    <w:rsid w:val="000B3154"/>
    <w:rsid w:val="000B342C"/>
    <w:rsid w:val="000B580A"/>
    <w:rsid w:val="000B7531"/>
    <w:rsid w:val="000C040A"/>
    <w:rsid w:val="000C15DF"/>
    <w:rsid w:val="000C1A48"/>
    <w:rsid w:val="000C1B18"/>
    <w:rsid w:val="000C24AB"/>
    <w:rsid w:val="000C2A28"/>
    <w:rsid w:val="000C32AA"/>
    <w:rsid w:val="000C33CF"/>
    <w:rsid w:val="000C45C4"/>
    <w:rsid w:val="000C5685"/>
    <w:rsid w:val="000C60BB"/>
    <w:rsid w:val="000C6A80"/>
    <w:rsid w:val="000C7A72"/>
    <w:rsid w:val="000C7D71"/>
    <w:rsid w:val="000D0AC1"/>
    <w:rsid w:val="000D17F8"/>
    <w:rsid w:val="000D478A"/>
    <w:rsid w:val="000D5A26"/>
    <w:rsid w:val="000D71BC"/>
    <w:rsid w:val="000D71D1"/>
    <w:rsid w:val="000E1D7C"/>
    <w:rsid w:val="000E1DAF"/>
    <w:rsid w:val="000E21E7"/>
    <w:rsid w:val="000E47FE"/>
    <w:rsid w:val="000E53B0"/>
    <w:rsid w:val="000E5936"/>
    <w:rsid w:val="000E5AE2"/>
    <w:rsid w:val="000E77A4"/>
    <w:rsid w:val="000F111C"/>
    <w:rsid w:val="000F2DBB"/>
    <w:rsid w:val="000F384D"/>
    <w:rsid w:val="000F4DC0"/>
    <w:rsid w:val="000F5072"/>
    <w:rsid w:val="000F7129"/>
    <w:rsid w:val="00100985"/>
    <w:rsid w:val="00100C30"/>
    <w:rsid w:val="00101AB4"/>
    <w:rsid w:val="0010249F"/>
    <w:rsid w:val="00103560"/>
    <w:rsid w:val="00103CA8"/>
    <w:rsid w:val="00104147"/>
    <w:rsid w:val="0010456E"/>
    <w:rsid w:val="001051CD"/>
    <w:rsid w:val="001052F7"/>
    <w:rsid w:val="0011040B"/>
    <w:rsid w:val="00110AFC"/>
    <w:rsid w:val="00110BCF"/>
    <w:rsid w:val="00110D78"/>
    <w:rsid w:val="00112CF4"/>
    <w:rsid w:val="00113C2D"/>
    <w:rsid w:val="00113E67"/>
    <w:rsid w:val="00114431"/>
    <w:rsid w:val="001149F4"/>
    <w:rsid w:val="00114E0E"/>
    <w:rsid w:val="00115513"/>
    <w:rsid w:val="00116E02"/>
    <w:rsid w:val="00117E17"/>
    <w:rsid w:val="00120E27"/>
    <w:rsid w:val="00121A17"/>
    <w:rsid w:val="001227CD"/>
    <w:rsid w:val="00124065"/>
    <w:rsid w:val="00125306"/>
    <w:rsid w:val="00125837"/>
    <w:rsid w:val="00125BF9"/>
    <w:rsid w:val="001262C9"/>
    <w:rsid w:val="001269CB"/>
    <w:rsid w:val="00126A43"/>
    <w:rsid w:val="00126EBD"/>
    <w:rsid w:val="00130ACB"/>
    <w:rsid w:val="00133AF1"/>
    <w:rsid w:val="00133F1D"/>
    <w:rsid w:val="00133FD8"/>
    <w:rsid w:val="00136763"/>
    <w:rsid w:val="001376C1"/>
    <w:rsid w:val="001377F5"/>
    <w:rsid w:val="001401E4"/>
    <w:rsid w:val="00140B03"/>
    <w:rsid w:val="0014209C"/>
    <w:rsid w:val="00142E67"/>
    <w:rsid w:val="001431F6"/>
    <w:rsid w:val="00143622"/>
    <w:rsid w:val="00144867"/>
    <w:rsid w:val="001448A2"/>
    <w:rsid w:val="001449F1"/>
    <w:rsid w:val="001464AB"/>
    <w:rsid w:val="00147894"/>
    <w:rsid w:val="00147AF8"/>
    <w:rsid w:val="00147F01"/>
    <w:rsid w:val="001517EF"/>
    <w:rsid w:val="0015207D"/>
    <w:rsid w:val="001528F6"/>
    <w:rsid w:val="00152DDA"/>
    <w:rsid w:val="00153BE7"/>
    <w:rsid w:val="001551C0"/>
    <w:rsid w:val="0015768D"/>
    <w:rsid w:val="0016022B"/>
    <w:rsid w:val="00160273"/>
    <w:rsid w:val="00161DDD"/>
    <w:rsid w:val="00163298"/>
    <w:rsid w:val="001639D2"/>
    <w:rsid w:val="001644A2"/>
    <w:rsid w:val="0016481E"/>
    <w:rsid w:val="00165319"/>
    <w:rsid w:val="00165CB2"/>
    <w:rsid w:val="00165E31"/>
    <w:rsid w:val="0016609E"/>
    <w:rsid w:val="00166176"/>
    <w:rsid w:val="0016730F"/>
    <w:rsid w:val="001676E5"/>
    <w:rsid w:val="00170DA3"/>
    <w:rsid w:val="00171741"/>
    <w:rsid w:val="0017234A"/>
    <w:rsid w:val="00172EE3"/>
    <w:rsid w:val="00173474"/>
    <w:rsid w:val="00174FB9"/>
    <w:rsid w:val="00180880"/>
    <w:rsid w:val="00180E24"/>
    <w:rsid w:val="00182938"/>
    <w:rsid w:val="001857FF"/>
    <w:rsid w:val="00185E97"/>
    <w:rsid w:val="00187C4B"/>
    <w:rsid w:val="00187F86"/>
    <w:rsid w:val="00191657"/>
    <w:rsid w:val="00191C15"/>
    <w:rsid w:val="001926AE"/>
    <w:rsid w:val="00193952"/>
    <w:rsid w:val="001943BA"/>
    <w:rsid w:val="0019504D"/>
    <w:rsid w:val="001954E7"/>
    <w:rsid w:val="0019737C"/>
    <w:rsid w:val="00197E45"/>
    <w:rsid w:val="00197F87"/>
    <w:rsid w:val="001A0B08"/>
    <w:rsid w:val="001A142E"/>
    <w:rsid w:val="001A1893"/>
    <w:rsid w:val="001A2BCD"/>
    <w:rsid w:val="001A2DE8"/>
    <w:rsid w:val="001A411E"/>
    <w:rsid w:val="001A5FD5"/>
    <w:rsid w:val="001A60F7"/>
    <w:rsid w:val="001A6E61"/>
    <w:rsid w:val="001A7445"/>
    <w:rsid w:val="001A75A7"/>
    <w:rsid w:val="001A79E7"/>
    <w:rsid w:val="001B14BE"/>
    <w:rsid w:val="001B21AD"/>
    <w:rsid w:val="001B3BCE"/>
    <w:rsid w:val="001B3E8C"/>
    <w:rsid w:val="001B41C1"/>
    <w:rsid w:val="001B506C"/>
    <w:rsid w:val="001B5B65"/>
    <w:rsid w:val="001B6306"/>
    <w:rsid w:val="001B7258"/>
    <w:rsid w:val="001B7841"/>
    <w:rsid w:val="001C146E"/>
    <w:rsid w:val="001C29FC"/>
    <w:rsid w:val="001C2C0F"/>
    <w:rsid w:val="001C3335"/>
    <w:rsid w:val="001C421B"/>
    <w:rsid w:val="001C4E12"/>
    <w:rsid w:val="001C614B"/>
    <w:rsid w:val="001C656D"/>
    <w:rsid w:val="001D17AA"/>
    <w:rsid w:val="001D345C"/>
    <w:rsid w:val="001D3B3A"/>
    <w:rsid w:val="001D4154"/>
    <w:rsid w:val="001D462D"/>
    <w:rsid w:val="001D5AFB"/>
    <w:rsid w:val="001D5BEA"/>
    <w:rsid w:val="001D6780"/>
    <w:rsid w:val="001D7998"/>
    <w:rsid w:val="001D79E1"/>
    <w:rsid w:val="001E0511"/>
    <w:rsid w:val="001E0CAD"/>
    <w:rsid w:val="001E250F"/>
    <w:rsid w:val="001E2A7C"/>
    <w:rsid w:val="001E2CCF"/>
    <w:rsid w:val="001E3D9A"/>
    <w:rsid w:val="001E3EA3"/>
    <w:rsid w:val="001E4311"/>
    <w:rsid w:val="001E5316"/>
    <w:rsid w:val="001E6628"/>
    <w:rsid w:val="001E6A8A"/>
    <w:rsid w:val="001E6F7F"/>
    <w:rsid w:val="001E7949"/>
    <w:rsid w:val="001F1466"/>
    <w:rsid w:val="001F1F9F"/>
    <w:rsid w:val="001F27D5"/>
    <w:rsid w:val="001F2B40"/>
    <w:rsid w:val="001F3B72"/>
    <w:rsid w:val="001F3D48"/>
    <w:rsid w:val="001F3FDB"/>
    <w:rsid w:val="001F40AF"/>
    <w:rsid w:val="001F5729"/>
    <w:rsid w:val="001F64E3"/>
    <w:rsid w:val="001F733B"/>
    <w:rsid w:val="001F737C"/>
    <w:rsid w:val="001F7C67"/>
    <w:rsid w:val="0020053C"/>
    <w:rsid w:val="00200704"/>
    <w:rsid w:val="0020087D"/>
    <w:rsid w:val="00200FC5"/>
    <w:rsid w:val="00201148"/>
    <w:rsid w:val="00201807"/>
    <w:rsid w:val="00202A5B"/>
    <w:rsid w:val="00202B03"/>
    <w:rsid w:val="0020332D"/>
    <w:rsid w:val="00207750"/>
    <w:rsid w:val="0020781A"/>
    <w:rsid w:val="00210C66"/>
    <w:rsid w:val="0021174B"/>
    <w:rsid w:val="00211AF7"/>
    <w:rsid w:val="00213B30"/>
    <w:rsid w:val="0021425D"/>
    <w:rsid w:val="00214578"/>
    <w:rsid w:val="002159A2"/>
    <w:rsid w:val="002162E2"/>
    <w:rsid w:val="00216D3D"/>
    <w:rsid w:val="00216EF1"/>
    <w:rsid w:val="00216F40"/>
    <w:rsid w:val="00217FEE"/>
    <w:rsid w:val="002219ED"/>
    <w:rsid w:val="00222EC8"/>
    <w:rsid w:val="00225806"/>
    <w:rsid w:val="002267BE"/>
    <w:rsid w:val="00226CC8"/>
    <w:rsid w:val="002306AB"/>
    <w:rsid w:val="00231B9A"/>
    <w:rsid w:val="002334BC"/>
    <w:rsid w:val="00233E35"/>
    <w:rsid w:val="002351BC"/>
    <w:rsid w:val="00235FFA"/>
    <w:rsid w:val="00237835"/>
    <w:rsid w:val="002379A7"/>
    <w:rsid w:val="00237F73"/>
    <w:rsid w:val="00237FE1"/>
    <w:rsid w:val="00245B15"/>
    <w:rsid w:val="0024655E"/>
    <w:rsid w:val="00246681"/>
    <w:rsid w:val="00247577"/>
    <w:rsid w:val="00247727"/>
    <w:rsid w:val="00251839"/>
    <w:rsid w:val="002524E6"/>
    <w:rsid w:val="002528C1"/>
    <w:rsid w:val="00252BF7"/>
    <w:rsid w:val="002537EC"/>
    <w:rsid w:val="002537EE"/>
    <w:rsid w:val="002559F3"/>
    <w:rsid w:val="00255A75"/>
    <w:rsid w:val="00255C46"/>
    <w:rsid w:val="00255FE6"/>
    <w:rsid w:val="002561BA"/>
    <w:rsid w:val="002568BF"/>
    <w:rsid w:val="002572F5"/>
    <w:rsid w:val="0025789E"/>
    <w:rsid w:val="002616D8"/>
    <w:rsid w:val="00261CCC"/>
    <w:rsid w:val="002639D8"/>
    <w:rsid w:val="002658C6"/>
    <w:rsid w:val="002671AB"/>
    <w:rsid w:val="002715F1"/>
    <w:rsid w:val="00271A8F"/>
    <w:rsid w:val="00272221"/>
    <w:rsid w:val="00272CA9"/>
    <w:rsid w:val="00273507"/>
    <w:rsid w:val="00273752"/>
    <w:rsid w:val="00273D59"/>
    <w:rsid w:val="00274703"/>
    <w:rsid w:val="00274928"/>
    <w:rsid w:val="002751EF"/>
    <w:rsid w:val="002760B2"/>
    <w:rsid w:val="00277079"/>
    <w:rsid w:val="00280CBE"/>
    <w:rsid w:val="00281C7E"/>
    <w:rsid w:val="0028277B"/>
    <w:rsid w:val="0028278D"/>
    <w:rsid w:val="00284EE4"/>
    <w:rsid w:val="002854E1"/>
    <w:rsid w:val="0028630B"/>
    <w:rsid w:val="00286B22"/>
    <w:rsid w:val="00286B97"/>
    <w:rsid w:val="002879A9"/>
    <w:rsid w:val="002918E5"/>
    <w:rsid w:val="00291F8C"/>
    <w:rsid w:val="002925DD"/>
    <w:rsid w:val="00292611"/>
    <w:rsid w:val="0029346E"/>
    <w:rsid w:val="0029407F"/>
    <w:rsid w:val="00294DB6"/>
    <w:rsid w:val="00294E28"/>
    <w:rsid w:val="00295ADA"/>
    <w:rsid w:val="002977D5"/>
    <w:rsid w:val="00297F69"/>
    <w:rsid w:val="002A05FA"/>
    <w:rsid w:val="002A1EE0"/>
    <w:rsid w:val="002A22C8"/>
    <w:rsid w:val="002A45AC"/>
    <w:rsid w:val="002A5EDE"/>
    <w:rsid w:val="002A63D5"/>
    <w:rsid w:val="002A6F62"/>
    <w:rsid w:val="002A747E"/>
    <w:rsid w:val="002A79B9"/>
    <w:rsid w:val="002B0C74"/>
    <w:rsid w:val="002B1932"/>
    <w:rsid w:val="002B1DB0"/>
    <w:rsid w:val="002B21B8"/>
    <w:rsid w:val="002B3E52"/>
    <w:rsid w:val="002B52BA"/>
    <w:rsid w:val="002B544E"/>
    <w:rsid w:val="002B54EE"/>
    <w:rsid w:val="002B584A"/>
    <w:rsid w:val="002C0B9D"/>
    <w:rsid w:val="002C234B"/>
    <w:rsid w:val="002C4A04"/>
    <w:rsid w:val="002C4A55"/>
    <w:rsid w:val="002C4D1A"/>
    <w:rsid w:val="002D065D"/>
    <w:rsid w:val="002D25DF"/>
    <w:rsid w:val="002D3DBC"/>
    <w:rsid w:val="002D636D"/>
    <w:rsid w:val="002D652C"/>
    <w:rsid w:val="002D6925"/>
    <w:rsid w:val="002D7ABD"/>
    <w:rsid w:val="002E0B98"/>
    <w:rsid w:val="002E1CC7"/>
    <w:rsid w:val="002E3181"/>
    <w:rsid w:val="002E395E"/>
    <w:rsid w:val="002E3FE0"/>
    <w:rsid w:val="002E4385"/>
    <w:rsid w:val="002E5382"/>
    <w:rsid w:val="002E5C85"/>
    <w:rsid w:val="002E61FA"/>
    <w:rsid w:val="002E7628"/>
    <w:rsid w:val="002F1868"/>
    <w:rsid w:val="002F3796"/>
    <w:rsid w:val="002F3AC7"/>
    <w:rsid w:val="002F407D"/>
    <w:rsid w:val="002F4C6D"/>
    <w:rsid w:val="002F50BB"/>
    <w:rsid w:val="002F523D"/>
    <w:rsid w:val="002F6A9C"/>
    <w:rsid w:val="002F74BF"/>
    <w:rsid w:val="003000A3"/>
    <w:rsid w:val="003001FF"/>
    <w:rsid w:val="00300EEE"/>
    <w:rsid w:val="00300FFB"/>
    <w:rsid w:val="003019FB"/>
    <w:rsid w:val="00302EE4"/>
    <w:rsid w:val="00305D61"/>
    <w:rsid w:val="00306843"/>
    <w:rsid w:val="00307B57"/>
    <w:rsid w:val="00310691"/>
    <w:rsid w:val="00310EBC"/>
    <w:rsid w:val="003125E2"/>
    <w:rsid w:val="00312EA0"/>
    <w:rsid w:val="00315C73"/>
    <w:rsid w:val="00316642"/>
    <w:rsid w:val="00317536"/>
    <w:rsid w:val="0031784E"/>
    <w:rsid w:val="003205AF"/>
    <w:rsid w:val="00320FFB"/>
    <w:rsid w:val="003213D5"/>
    <w:rsid w:val="00322088"/>
    <w:rsid w:val="00322550"/>
    <w:rsid w:val="0032395F"/>
    <w:rsid w:val="00323E11"/>
    <w:rsid w:val="00325520"/>
    <w:rsid w:val="00326832"/>
    <w:rsid w:val="003268FB"/>
    <w:rsid w:val="0032787F"/>
    <w:rsid w:val="00327880"/>
    <w:rsid w:val="003278B7"/>
    <w:rsid w:val="003278E2"/>
    <w:rsid w:val="00327EC1"/>
    <w:rsid w:val="00330ADC"/>
    <w:rsid w:val="00330E3B"/>
    <w:rsid w:val="00331BFA"/>
    <w:rsid w:val="00332A30"/>
    <w:rsid w:val="00332CF5"/>
    <w:rsid w:val="00332E35"/>
    <w:rsid w:val="00333130"/>
    <w:rsid w:val="0033339F"/>
    <w:rsid w:val="00334502"/>
    <w:rsid w:val="00334541"/>
    <w:rsid w:val="00336C48"/>
    <w:rsid w:val="00340894"/>
    <w:rsid w:val="00341FF8"/>
    <w:rsid w:val="00342795"/>
    <w:rsid w:val="00342B34"/>
    <w:rsid w:val="00343403"/>
    <w:rsid w:val="00346593"/>
    <w:rsid w:val="00346CD3"/>
    <w:rsid w:val="00350811"/>
    <w:rsid w:val="003509B6"/>
    <w:rsid w:val="00350C13"/>
    <w:rsid w:val="00353101"/>
    <w:rsid w:val="003533C6"/>
    <w:rsid w:val="00355206"/>
    <w:rsid w:val="00355448"/>
    <w:rsid w:val="00355846"/>
    <w:rsid w:val="003568DA"/>
    <w:rsid w:val="00360CB9"/>
    <w:rsid w:val="00360CCC"/>
    <w:rsid w:val="00361BC0"/>
    <w:rsid w:val="00362785"/>
    <w:rsid w:val="00363BB1"/>
    <w:rsid w:val="0036457A"/>
    <w:rsid w:val="00364A80"/>
    <w:rsid w:val="00364FF8"/>
    <w:rsid w:val="0036523A"/>
    <w:rsid w:val="00366182"/>
    <w:rsid w:val="00366893"/>
    <w:rsid w:val="00371409"/>
    <w:rsid w:val="00371B3F"/>
    <w:rsid w:val="00372E33"/>
    <w:rsid w:val="0037527F"/>
    <w:rsid w:val="00377796"/>
    <w:rsid w:val="00377F59"/>
    <w:rsid w:val="003819FB"/>
    <w:rsid w:val="00383B76"/>
    <w:rsid w:val="00383BC0"/>
    <w:rsid w:val="00385E4E"/>
    <w:rsid w:val="003867A6"/>
    <w:rsid w:val="00386D81"/>
    <w:rsid w:val="00386EDD"/>
    <w:rsid w:val="003874F5"/>
    <w:rsid w:val="003908CF"/>
    <w:rsid w:val="00391063"/>
    <w:rsid w:val="00391211"/>
    <w:rsid w:val="00391EA4"/>
    <w:rsid w:val="00392DF1"/>
    <w:rsid w:val="0039580E"/>
    <w:rsid w:val="003A0FE9"/>
    <w:rsid w:val="003A125F"/>
    <w:rsid w:val="003A21BF"/>
    <w:rsid w:val="003A3533"/>
    <w:rsid w:val="003A3908"/>
    <w:rsid w:val="003A5703"/>
    <w:rsid w:val="003A5A8B"/>
    <w:rsid w:val="003A79FC"/>
    <w:rsid w:val="003A7DA0"/>
    <w:rsid w:val="003B00B2"/>
    <w:rsid w:val="003B4751"/>
    <w:rsid w:val="003B6000"/>
    <w:rsid w:val="003B62E6"/>
    <w:rsid w:val="003B724E"/>
    <w:rsid w:val="003B72C0"/>
    <w:rsid w:val="003C1591"/>
    <w:rsid w:val="003C1D6C"/>
    <w:rsid w:val="003C2048"/>
    <w:rsid w:val="003C4660"/>
    <w:rsid w:val="003C49ED"/>
    <w:rsid w:val="003C6C5D"/>
    <w:rsid w:val="003C6FFD"/>
    <w:rsid w:val="003D063B"/>
    <w:rsid w:val="003D0DEE"/>
    <w:rsid w:val="003D0EE8"/>
    <w:rsid w:val="003D51F6"/>
    <w:rsid w:val="003D5D99"/>
    <w:rsid w:val="003D6713"/>
    <w:rsid w:val="003E1291"/>
    <w:rsid w:val="003E1893"/>
    <w:rsid w:val="003E1DEB"/>
    <w:rsid w:val="003E3E21"/>
    <w:rsid w:val="003E5E67"/>
    <w:rsid w:val="003E6943"/>
    <w:rsid w:val="003E7A1A"/>
    <w:rsid w:val="003E7C83"/>
    <w:rsid w:val="003F021B"/>
    <w:rsid w:val="003F1770"/>
    <w:rsid w:val="003F1974"/>
    <w:rsid w:val="003F1B27"/>
    <w:rsid w:val="003F2AF7"/>
    <w:rsid w:val="003F2D70"/>
    <w:rsid w:val="003F4964"/>
    <w:rsid w:val="003F4BE4"/>
    <w:rsid w:val="003F4C2A"/>
    <w:rsid w:val="003F7148"/>
    <w:rsid w:val="0040234B"/>
    <w:rsid w:val="00402695"/>
    <w:rsid w:val="004071F8"/>
    <w:rsid w:val="0040781A"/>
    <w:rsid w:val="004078C5"/>
    <w:rsid w:val="00410333"/>
    <w:rsid w:val="00411311"/>
    <w:rsid w:val="004122DA"/>
    <w:rsid w:val="00412358"/>
    <w:rsid w:val="00412D81"/>
    <w:rsid w:val="00412ECE"/>
    <w:rsid w:val="004153A7"/>
    <w:rsid w:val="00415461"/>
    <w:rsid w:val="004156FE"/>
    <w:rsid w:val="00417B88"/>
    <w:rsid w:val="00422395"/>
    <w:rsid w:val="0042276D"/>
    <w:rsid w:val="00422B95"/>
    <w:rsid w:val="00422E4E"/>
    <w:rsid w:val="004245ED"/>
    <w:rsid w:val="004255C3"/>
    <w:rsid w:val="00425D10"/>
    <w:rsid w:val="00426600"/>
    <w:rsid w:val="00427904"/>
    <w:rsid w:val="0043069A"/>
    <w:rsid w:val="0043141D"/>
    <w:rsid w:val="004314CB"/>
    <w:rsid w:val="004314DB"/>
    <w:rsid w:val="004334E8"/>
    <w:rsid w:val="00433E11"/>
    <w:rsid w:val="00434471"/>
    <w:rsid w:val="0043449F"/>
    <w:rsid w:val="00435A65"/>
    <w:rsid w:val="0043731D"/>
    <w:rsid w:val="004402BC"/>
    <w:rsid w:val="00440E69"/>
    <w:rsid w:val="00443CD1"/>
    <w:rsid w:val="00445B51"/>
    <w:rsid w:val="004501F3"/>
    <w:rsid w:val="00450ADD"/>
    <w:rsid w:val="00450B73"/>
    <w:rsid w:val="00450D52"/>
    <w:rsid w:val="00452652"/>
    <w:rsid w:val="00454151"/>
    <w:rsid w:val="004549C1"/>
    <w:rsid w:val="00455F45"/>
    <w:rsid w:val="00456064"/>
    <w:rsid w:val="00456900"/>
    <w:rsid w:val="00456D7E"/>
    <w:rsid w:val="00456E9E"/>
    <w:rsid w:val="004573A0"/>
    <w:rsid w:val="0045756F"/>
    <w:rsid w:val="004607A3"/>
    <w:rsid w:val="00464758"/>
    <w:rsid w:val="00464CCE"/>
    <w:rsid w:val="00465B47"/>
    <w:rsid w:val="0046604E"/>
    <w:rsid w:val="004667F1"/>
    <w:rsid w:val="00466895"/>
    <w:rsid w:val="00466E04"/>
    <w:rsid w:val="00467440"/>
    <w:rsid w:val="0046759A"/>
    <w:rsid w:val="0046780A"/>
    <w:rsid w:val="00467A31"/>
    <w:rsid w:val="00471452"/>
    <w:rsid w:val="004719F9"/>
    <w:rsid w:val="00472EAC"/>
    <w:rsid w:val="00474653"/>
    <w:rsid w:val="0047493D"/>
    <w:rsid w:val="00474E3E"/>
    <w:rsid w:val="00480306"/>
    <w:rsid w:val="00482258"/>
    <w:rsid w:val="0048333D"/>
    <w:rsid w:val="00483455"/>
    <w:rsid w:val="00483F27"/>
    <w:rsid w:val="00484123"/>
    <w:rsid w:val="00485474"/>
    <w:rsid w:val="00487312"/>
    <w:rsid w:val="00487C1E"/>
    <w:rsid w:val="004905C5"/>
    <w:rsid w:val="00490CC9"/>
    <w:rsid w:val="00491464"/>
    <w:rsid w:val="004916DC"/>
    <w:rsid w:val="00492206"/>
    <w:rsid w:val="00493161"/>
    <w:rsid w:val="004938D7"/>
    <w:rsid w:val="004947FB"/>
    <w:rsid w:val="00495319"/>
    <w:rsid w:val="00495BD6"/>
    <w:rsid w:val="0049707E"/>
    <w:rsid w:val="004A0AC5"/>
    <w:rsid w:val="004A0F77"/>
    <w:rsid w:val="004A3C89"/>
    <w:rsid w:val="004A408D"/>
    <w:rsid w:val="004A535A"/>
    <w:rsid w:val="004A5675"/>
    <w:rsid w:val="004A60B1"/>
    <w:rsid w:val="004B138B"/>
    <w:rsid w:val="004B158C"/>
    <w:rsid w:val="004B2CDA"/>
    <w:rsid w:val="004B339C"/>
    <w:rsid w:val="004B403A"/>
    <w:rsid w:val="004B4133"/>
    <w:rsid w:val="004B5EC9"/>
    <w:rsid w:val="004B61A1"/>
    <w:rsid w:val="004B7B81"/>
    <w:rsid w:val="004C245A"/>
    <w:rsid w:val="004C26B5"/>
    <w:rsid w:val="004C2EC3"/>
    <w:rsid w:val="004C34EE"/>
    <w:rsid w:val="004C45BC"/>
    <w:rsid w:val="004C474F"/>
    <w:rsid w:val="004C6F31"/>
    <w:rsid w:val="004C7121"/>
    <w:rsid w:val="004C7603"/>
    <w:rsid w:val="004D0B87"/>
    <w:rsid w:val="004D0C5C"/>
    <w:rsid w:val="004D136A"/>
    <w:rsid w:val="004D2883"/>
    <w:rsid w:val="004D2D66"/>
    <w:rsid w:val="004D3718"/>
    <w:rsid w:val="004D3E42"/>
    <w:rsid w:val="004D4865"/>
    <w:rsid w:val="004D5B42"/>
    <w:rsid w:val="004D6BA0"/>
    <w:rsid w:val="004D761E"/>
    <w:rsid w:val="004E010E"/>
    <w:rsid w:val="004E0AD3"/>
    <w:rsid w:val="004E10AE"/>
    <w:rsid w:val="004E1F95"/>
    <w:rsid w:val="004E2AD3"/>
    <w:rsid w:val="004E40BF"/>
    <w:rsid w:val="004E5645"/>
    <w:rsid w:val="004E6035"/>
    <w:rsid w:val="004E606B"/>
    <w:rsid w:val="004E6430"/>
    <w:rsid w:val="004E7532"/>
    <w:rsid w:val="004F1B5C"/>
    <w:rsid w:val="004F29DA"/>
    <w:rsid w:val="004F2EE6"/>
    <w:rsid w:val="004F30AA"/>
    <w:rsid w:val="004F3606"/>
    <w:rsid w:val="004F3E48"/>
    <w:rsid w:val="004F4F74"/>
    <w:rsid w:val="004F540B"/>
    <w:rsid w:val="004F55DB"/>
    <w:rsid w:val="004F7982"/>
    <w:rsid w:val="005002D1"/>
    <w:rsid w:val="00500862"/>
    <w:rsid w:val="0050093A"/>
    <w:rsid w:val="0050256A"/>
    <w:rsid w:val="00502FA6"/>
    <w:rsid w:val="005040CF"/>
    <w:rsid w:val="00506318"/>
    <w:rsid w:val="00506EBB"/>
    <w:rsid w:val="00507D9E"/>
    <w:rsid w:val="0051070B"/>
    <w:rsid w:val="005117D2"/>
    <w:rsid w:val="00513199"/>
    <w:rsid w:val="0051478E"/>
    <w:rsid w:val="00514795"/>
    <w:rsid w:val="005150E6"/>
    <w:rsid w:val="005169C1"/>
    <w:rsid w:val="005203A2"/>
    <w:rsid w:val="0052090F"/>
    <w:rsid w:val="00520CA8"/>
    <w:rsid w:val="00523195"/>
    <w:rsid w:val="0052342E"/>
    <w:rsid w:val="00523DC8"/>
    <w:rsid w:val="005251CE"/>
    <w:rsid w:val="00525564"/>
    <w:rsid w:val="00525F20"/>
    <w:rsid w:val="005267D7"/>
    <w:rsid w:val="0052713A"/>
    <w:rsid w:val="00527990"/>
    <w:rsid w:val="00527C85"/>
    <w:rsid w:val="00530597"/>
    <w:rsid w:val="00531763"/>
    <w:rsid w:val="00532151"/>
    <w:rsid w:val="00535E82"/>
    <w:rsid w:val="005371FB"/>
    <w:rsid w:val="00537A53"/>
    <w:rsid w:val="00537CD3"/>
    <w:rsid w:val="005407A9"/>
    <w:rsid w:val="005408A3"/>
    <w:rsid w:val="00542887"/>
    <w:rsid w:val="00543B1A"/>
    <w:rsid w:val="0054417C"/>
    <w:rsid w:val="005464C4"/>
    <w:rsid w:val="00546511"/>
    <w:rsid w:val="00550300"/>
    <w:rsid w:val="00550A68"/>
    <w:rsid w:val="005511F7"/>
    <w:rsid w:val="00551214"/>
    <w:rsid w:val="0055143A"/>
    <w:rsid w:val="005521E8"/>
    <w:rsid w:val="005531A4"/>
    <w:rsid w:val="005541FE"/>
    <w:rsid w:val="00556360"/>
    <w:rsid w:val="0055745C"/>
    <w:rsid w:val="00561C45"/>
    <w:rsid w:val="0056288E"/>
    <w:rsid w:val="00562A49"/>
    <w:rsid w:val="00562F1D"/>
    <w:rsid w:val="005652B7"/>
    <w:rsid w:val="00565E2C"/>
    <w:rsid w:val="005664D5"/>
    <w:rsid w:val="00567FCB"/>
    <w:rsid w:val="005701D1"/>
    <w:rsid w:val="00570BE2"/>
    <w:rsid w:val="005725E6"/>
    <w:rsid w:val="005745D6"/>
    <w:rsid w:val="005753C6"/>
    <w:rsid w:val="00575CE4"/>
    <w:rsid w:val="00576250"/>
    <w:rsid w:val="0058377D"/>
    <w:rsid w:val="00584885"/>
    <w:rsid w:val="00584CA2"/>
    <w:rsid w:val="00586BF5"/>
    <w:rsid w:val="00590926"/>
    <w:rsid w:val="00590CA4"/>
    <w:rsid w:val="005922B3"/>
    <w:rsid w:val="00592978"/>
    <w:rsid w:val="00592D8C"/>
    <w:rsid w:val="00594164"/>
    <w:rsid w:val="00594DB3"/>
    <w:rsid w:val="00597077"/>
    <w:rsid w:val="005970F5"/>
    <w:rsid w:val="005A18ED"/>
    <w:rsid w:val="005A2F6D"/>
    <w:rsid w:val="005A3256"/>
    <w:rsid w:val="005A3E10"/>
    <w:rsid w:val="005A49E6"/>
    <w:rsid w:val="005A4CD5"/>
    <w:rsid w:val="005A5214"/>
    <w:rsid w:val="005A564B"/>
    <w:rsid w:val="005A7C10"/>
    <w:rsid w:val="005B27B1"/>
    <w:rsid w:val="005B2DE1"/>
    <w:rsid w:val="005B3094"/>
    <w:rsid w:val="005B3B21"/>
    <w:rsid w:val="005B490E"/>
    <w:rsid w:val="005B594C"/>
    <w:rsid w:val="005B5957"/>
    <w:rsid w:val="005B5EDA"/>
    <w:rsid w:val="005B7283"/>
    <w:rsid w:val="005C0884"/>
    <w:rsid w:val="005C0964"/>
    <w:rsid w:val="005C114F"/>
    <w:rsid w:val="005C3324"/>
    <w:rsid w:val="005C3573"/>
    <w:rsid w:val="005C38DC"/>
    <w:rsid w:val="005C5C51"/>
    <w:rsid w:val="005C6F28"/>
    <w:rsid w:val="005C7999"/>
    <w:rsid w:val="005D0206"/>
    <w:rsid w:val="005D1404"/>
    <w:rsid w:val="005D1DFC"/>
    <w:rsid w:val="005D1ED4"/>
    <w:rsid w:val="005D1FF1"/>
    <w:rsid w:val="005D22A1"/>
    <w:rsid w:val="005D3D2C"/>
    <w:rsid w:val="005D72A8"/>
    <w:rsid w:val="005D7865"/>
    <w:rsid w:val="005D791E"/>
    <w:rsid w:val="005E1109"/>
    <w:rsid w:val="005E2082"/>
    <w:rsid w:val="005E2915"/>
    <w:rsid w:val="005E5177"/>
    <w:rsid w:val="005E5D5C"/>
    <w:rsid w:val="005E5E8F"/>
    <w:rsid w:val="005E5E9B"/>
    <w:rsid w:val="005F0ECC"/>
    <w:rsid w:val="005F0F9E"/>
    <w:rsid w:val="005F1156"/>
    <w:rsid w:val="005F13B1"/>
    <w:rsid w:val="005F13FF"/>
    <w:rsid w:val="005F264E"/>
    <w:rsid w:val="005F2AB3"/>
    <w:rsid w:val="005F3FD2"/>
    <w:rsid w:val="005F5DF7"/>
    <w:rsid w:val="005F65E7"/>
    <w:rsid w:val="005F7371"/>
    <w:rsid w:val="005F799C"/>
    <w:rsid w:val="005F7E38"/>
    <w:rsid w:val="006002B3"/>
    <w:rsid w:val="0060046C"/>
    <w:rsid w:val="0060120E"/>
    <w:rsid w:val="00601327"/>
    <w:rsid w:val="00601FCF"/>
    <w:rsid w:val="00602293"/>
    <w:rsid w:val="0060339A"/>
    <w:rsid w:val="00603A5E"/>
    <w:rsid w:val="00604053"/>
    <w:rsid w:val="00604736"/>
    <w:rsid w:val="0060548C"/>
    <w:rsid w:val="00605817"/>
    <w:rsid w:val="00605A20"/>
    <w:rsid w:val="00605CF5"/>
    <w:rsid w:val="006108F0"/>
    <w:rsid w:val="00611D36"/>
    <w:rsid w:val="006130C0"/>
    <w:rsid w:val="006133F7"/>
    <w:rsid w:val="00613753"/>
    <w:rsid w:val="0061569C"/>
    <w:rsid w:val="0062042F"/>
    <w:rsid w:val="00620BE9"/>
    <w:rsid w:val="00625134"/>
    <w:rsid w:val="00626F6A"/>
    <w:rsid w:val="00631436"/>
    <w:rsid w:val="00632765"/>
    <w:rsid w:val="00632921"/>
    <w:rsid w:val="00632B94"/>
    <w:rsid w:val="00632C4D"/>
    <w:rsid w:val="00635A59"/>
    <w:rsid w:val="00635D9C"/>
    <w:rsid w:val="006374AB"/>
    <w:rsid w:val="00640D81"/>
    <w:rsid w:val="00642239"/>
    <w:rsid w:val="00643722"/>
    <w:rsid w:val="00643C16"/>
    <w:rsid w:val="006449DC"/>
    <w:rsid w:val="006461D2"/>
    <w:rsid w:val="00651A3E"/>
    <w:rsid w:val="00652239"/>
    <w:rsid w:val="00652C54"/>
    <w:rsid w:val="0065319E"/>
    <w:rsid w:val="0065642C"/>
    <w:rsid w:val="00657F93"/>
    <w:rsid w:val="00660E47"/>
    <w:rsid w:val="00661D6D"/>
    <w:rsid w:val="00662FFA"/>
    <w:rsid w:val="00663DED"/>
    <w:rsid w:val="006640AE"/>
    <w:rsid w:val="0066516B"/>
    <w:rsid w:val="00665EAB"/>
    <w:rsid w:val="00666F8E"/>
    <w:rsid w:val="00667E38"/>
    <w:rsid w:val="00671548"/>
    <w:rsid w:val="00672BA0"/>
    <w:rsid w:val="00672EA4"/>
    <w:rsid w:val="00673EA2"/>
    <w:rsid w:val="00674FE9"/>
    <w:rsid w:val="00675025"/>
    <w:rsid w:val="006750AA"/>
    <w:rsid w:val="00676263"/>
    <w:rsid w:val="00680485"/>
    <w:rsid w:val="00682BE6"/>
    <w:rsid w:val="006834FE"/>
    <w:rsid w:val="0068675F"/>
    <w:rsid w:val="00686D6D"/>
    <w:rsid w:val="00687E8E"/>
    <w:rsid w:val="00691C5E"/>
    <w:rsid w:val="00692F30"/>
    <w:rsid w:val="006956CC"/>
    <w:rsid w:val="00696E00"/>
    <w:rsid w:val="00697B03"/>
    <w:rsid w:val="006A0CE4"/>
    <w:rsid w:val="006A1F23"/>
    <w:rsid w:val="006A2BA8"/>
    <w:rsid w:val="006A3833"/>
    <w:rsid w:val="006A3F09"/>
    <w:rsid w:val="006A5106"/>
    <w:rsid w:val="006A5F8D"/>
    <w:rsid w:val="006A6285"/>
    <w:rsid w:val="006A6DBB"/>
    <w:rsid w:val="006B03DD"/>
    <w:rsid w:val="006B06A4"/>
    <w:rsid w:val="006B0908"/>
    <w:rsid w:val="006B0CB6"/>
    <w:rsid w:val="006B10ED"/>
    <w:rsid w:val="006B191A"/>
    <w:rsid w:val="006B2A4C"/>
    <w:rsid w:val="006B448C"/>
    <w:rsid w:val="006B4BEF"/>
    <w:rsid w:val="006B5886"/>
    <w:rsid w:val="006B6204"/>
    <w:rsid w:val="006B6285"/>
    <w:rsid w:val="006B67AA"/>
    <w:rsid w:val="006B6BF3"/>
    <w:rsid w:val="006B6FF5"/>
    <w:rsid w:val="006C05D0"/>
    <w:rsid w:val="006C1523"/>
    <w:rsid w:val="006C3861"/>
    <w:rsid w:val="006C39F6"/>
    <w:rsid w:val="006C5211"/>
    <w:rsid w:val="006C5321"/>
    <w:rsid w:val="006C62BE"/>
    <w:rsid w:val="006C64F7"/>
    <w:rsid w:val="006C6533"/>
    <w:rsid w:val="006C6CCB"/>
    <w:rsid w:val="006C6F52"/>
    <w:rsid w:val="006D0954"/>
    <w:rsid w:val="006D2A22"/>
    <w:rsid w:val="006D603F"/>
    <w:rsid w:val="006D625D"/>
    <w:rsid w:val="006D739B"/>
    <w:rsid w:val="006E0D63"/>
    <w:rsid w:val="006E1333"/>
    <w:rsid w:val="006E4FEA"/>
    <w:rsid w:val="006E67E3"/>
    <w:rsid w:val="006E6988"/>
    <w:rsid w:val="006E7603"/>
    <w:rsid w:val="006E768E"/>
    <w:rsid w:val="006E7EE6"/>
    <w:rsid w:val="006F1485"/>
    <w:rsid w:val="006F232F"/>
    <w:rsid w:val="006F3F82"/>
    <w:rsid w:val="006F435A"/>
    <w:rsid w:val="006F438F"/>
    <w:rsid w:val="006F4464"/>
    <w:rsid w:val="006F46D0"/>
    <w:rsid w:val="006F5495"/>
    <w:rsid w:val="006F5721"/>
    <w:rsid w:val="006F5FA1"/>
    <w:rsid w:val="006F638A"/>
    <w:rsid w:val="006F67A5"/>
    <w:rsid w:val="006F7329"/>
    <w:rsid w:val="006F7AC0"/>
    <w:rsid w:val="007009E4"/>
    <w:rsid w:val="00701AC2"/>
    <w:rsid w:val="0070219E"/>
    <w:rsid w:val="00702D35"/>
    <w:rsid w:val="00703635"/>
    <w:rsid w:val="00703FAD"/>
    <w:rsid w:val="00703FB2"/>
    <w:rsid w:val="007055C7"/>
    <w:rsid w:val="0071058C"/>
    <w:rsid w:val="00712F46"/>
    <w:rsid w:val="007136A4"/>
    <w:rsid w:val="00716BEF"/>
    <w:rsid w:val="007206CF"/>
    <w:rsid w:val="00721DAC"/>
    <w:rsid w:val="0072265A"/>
    <w:rsid w:val="00724EC2"/>
    <w:rsid w:val="00725C53"/>
    <w:rsid w:val="007264E4"/>
    <w:rsid w:val="007309DB"/>
    <w:rsid w:val="00730AA9"/>
    <w:rsid w:val="00731246"/>
    <w:rsid w:val="00731310"/>
    <w:rsid w:val="00732417"/>
    <w:rsid w:val="00732651"/>
    <w:rsid w:val="00732894"/>
    <w:rsid w:val="00732DF4"/>
    <w:rsid w:val="00735174"/>
    <w:rsid w:val="00735F15"/>
    <w:rsid w:val="00736615"/>
    <w:rsid w:val="007367B1"/>
    <w:rsid w:val="00742529"/>
    <w:rsid w:val="00744C75"/>
    <w:rsid w:val="00744DB8"/>
    <w:rsid w:val="00745C9F"/>
    <w:rsid w:val="007508C3"/>
    <w:rsid w:val="0075136D"/>
    <w:rsid w:val="00752E17"/>
    <w:rsid w:val="00753307"/>
    <w:rsid w:val="00753A70"/>
    <w:rsid w:val="007540A2"/>
    <w:rsid w:val="0075448D"/>
    <w:rsid w:val="00755596"/>
    <w:rsid w:val="00755AD1"/>
    <w:rsid w:val="00755EE9"/>
    <w:rsid w:val="00756A19"/>
    <w:rsid w:val="0076164D"/>
    <w:rsid w:val="0076199D"/>
    <w:rsid w:val="00764A5C"/>
    <w:rsid w:val="00765C89"/>
    <w:rsid w:val="00766DC2"/>
    <w:rsid w:val="007707B2"/>
    <w:rsid w:val="00770D76"/>
    <w:rsid w:val="00770E73"/>
    <w:rsid w:val="00771C80"/>
    <w:rsid w:val="00772A39"/>
    <w:rsid w:val="007738FC"/>
    <w:rsid w:val="007740C1"/>
    <w:rsid w:val="00774710"/>
    <w:rsid w:val="0077712F"/>
    <w:rsid w:val="007773D2"/>
    <w:rsid w:val="00777AF5"/>
    <w:rsid w:val="00777C8D"/>
    <w:rsid w:val="00777CC4"/>
    <w:rsid w:val="007811B9"/>
    <w:rsid w:val="00781D22"/>
    <w:rsid w:val="007822BB"/>
    <w:rsid w:val="00782BEF"/>
    <w:rsid w:val="00782EAF"/>
    <w:rsid w:val="00783605"/>
    <w:rsid w:val="007841FB"/>
    <w:rsid w:val="00784D6B"/>
    <w:rsid w:val="00785732"/>
    <w:rsid w:val="00785D42"/>
    <w:rsid w:val="007861E5"/>
    <w:rsid w:val="007869FA"/>
    <w:rsid w:val="00787B0F"/>
    <w:rsid w:val="00790CB8"/>
    <w:rsid w:val="00791DE8"/>
    <w:rsid w:val="007925D7"/>
    <w:rsid w:val="00794772"/>
    <w:rsid w:val="00794CF0"/>
    <w:rsid w:val="00796A72"/>
    <w:rsid w:val="007970CD"/>
    <w:rsid w:val="007A0DB1"/>
    <w:rsid w:val="007A0E05"/>
    <w:rsid w:val="007A155F"/>
    <w:rsid w:val="007A1CAE"/>
    <w:rsid w:val="007A2280"/>
    <w:rsid w:val="007A3020"/>
    <w:rsid w:val="007A31E0"/>
    <w:rsid w:val="007A37DC"/>
    <w:rsid w:val="007A4CC2"/>
    <w:rsid w:val="007A631F"/>
    <w:rsid w:val="007B07B2"/>
    <w:rsid w:val="007B095A"/>
    <w:rsid w:val="007B09CC"/>
    <w:rsid w:val="007B1479"/>
    <w:rsid w:val="007B228A"/>
    <w:rsid w:val="007B46FA"/>
    <w:rsid w:val="007B5263"/>
    <w:rsid w:val="007B5359"/>
    <w:rsid w:val="007B5FC2"/>
    <w:rsid w:val="007B690A"/>
    <w:rsid w:val="007B78DC"/>
    <w:rsid w:val="007B7A70"/>
    <w:rsid w:val="007B7A9C"/>
    <w:rsid w:val="007C06C4"/>
    <w:rsid w:val="007C1F4F"/>
    <w:rsid w:val="007C2671"/>
    <w:rsid w:val="007C302F"/>
    <w:rsid w:val="007C3314"/>
    <w:rsid w:val="007C41E1"/>
    <w:rsid w:val="007C4A50"/>
    <w:rsid w:val="007C73E4"/>
    <w:rsid w:val="007D0743"/>
    <w:rsid w:val="007D2D3D"/>
    <w:rsid w:val="007D33C0"/>
    <w:rsid w:val="007D3CF1"/>
    <w:rsid w:val="007D4CF0"/>
    <w:rsid w:val="007D6C6C"/>
    <w:rsid w:val="007D6FF8"/>
    <w:rsid w:val="007E0749"/>
    <w:rsid w:val="007E0C19"/>
    <w:rsid w:val="007E1713"/>
    <w:rsid w:val="007E29AE"/>
    <w:rsid w:val="007E3C4F"/>
    <w:rsid w:val="007E4093"/>
    <w:rsid w:val="007E52BC"/>
    <w:rsid w:val="007E5CA6"/>
    <w:rsid w:val="007F0FA2"/>
    <w:rsid w:val="007F13BD"/>
    <w:rsid w:val="007F1F57"/>
    <w:rsid w:val="007F3468"/>
    <w:rsid w:val="007F40F7"/>
    <w:rsid w:val="007F41D6"/>
    <w:rsid w:val="00801392"/>
    <w:rsid w:val="0080273A"/>
    <w:rsid w:val="00802CCC"/>
    <w:rsid w:val="008037F2"/>
    <w:rsid w:val="00803BBF"/>
    <w:rsid w:val="00803D4D"/>
    <w:rsid w:val="00805549"/>
    <w:rsid w:val="00805945"/>
    <w:rsid w:val="00805BF5"/>
    <w:rsid w:val="0080648C"/>
    <w:rsid w:val="008078C7"/>
    <w:rsid w:val="0081100B"/>
    <w:rsid w:val="008138B9"/>
    <w:rsid w:val="00813E63"/>
    <w:rsid w:val="00814AE8"/>
    <w:rsid w:val="00815A7E"/>
    <w:rsid w:val="008167AE"/>
    <w:rsid w:val="0081745A"/>
    <w:rsid w:val="00817505"/>
    <w:rsid w:val="00822A66"/>
    <w:rsid w:val="00822CBF"/>
    <w:rsid w:val="00822CF0"/>
    <w:rsid w:val="00822FF7"/>
    <w:rsid w:val="00823357"/>
    <w:rsid w:val="00823496"/>
    <w:rsid w:val="00823B77"/>
    <w:rsid w:val="008240E5"/>
    <w:rsid w:val="00826DAD"/>
    <w:rsid w:val="00831289"/>
    <w:rsid w:val="00832C7A"/>
    <w:rsid w:val="00833DA3"/>
    <w:rsid w:val="008341E3"/>
    <w:rsid w:val="008356D5"/>
    <w:rsid w:val="008357A9"/>
    <w:rsid w:val="00840DB5"/>
    <w:rsid w:val="0084176B"/>
    <w:rsid w:val="00841A0E"/>
    <w:rsid w:val="008425A3"/>
    <w:rsid w:val="00843449"/>
    <w:rsid w:val="00844422"/>
    <w:rsid w:val="008448A0"/>
    <w:rsid w:val="00844DD5"/>
    <w:rsid w:val="00847B2F"/>
    <w:rsid w:val="00851E8E"/>
    <w:rsid w:val="00852667"/>
    <w:rsid w:val="008571C4"/>
    <w:rsid w:val="0085733E"/>
    <w:rsid w:val="00860889"/>
    <w:rsid w:val="00860EA5"/>
    <w:rsid w:val="00862866"/>
    <w:rsid w:val="00862A17"/>
    <w:rsid w:val="0086304C"/>
    <w:rsid w:val="00863A50"/>
    <w:rsid w:val="00863B83"/>
    <w:rsid w:val="00865558"/>
    <w:rsid w:val="00865878"/>
    <w:rsid w:val="00867878"/>
    <w:rsid w:val="0087074B"/>
    <w:rsid w:val="00870E8F"/>
    <w:rsid w:val="008714D4"/>
    <w:rsid w:val="00872546"/>
    <w:rsid w:val="00872E77"/>
    <w:rsid w:val="008746CC"/>
    <w:rsid w:val="00874B42"/>
    <w:rsid w:val="00874C42"/>
    <w:rsid w:val="00875266"/>
    <w:rsid w:val="00875E3F"/>
    <w:rsid w:val="0088030F"/>
    <w:rsid w:val="00880933"/>
    <w:rsid w:val="008823B0"/>
    <w:rsid w:val="00882B69"/>
    <w:rsid w:val="00883794"/>
    <w:rsid w:val="00884729"/>
    <w:rsid w:val="00884E5C"/>
    <w:rsid w:val="00885142"/>
    <w:rsid w:val="00887762"/>
    <w:rsid w:val="00887AA9"/>
    <w:rsid w:val="00890DC3"/>
    <w:rsid w:val="00891482"/>
    <w:rsid w:val="008946B0"/>
    <w:rsid w:val="00894DD6"/>
    <w:rsid w:val="00895A8A"/>
    <w:rsid w:val="008966F1"/>
    <w:rsid w:val="008968A5"/>
    <w:rsid w:val="008A00AB"/>
    <w:rsid w:val="008A01E2"/>
    <w:rsid w:val="008A04F5"/>
    <w:rsid w:val="008A0A28"/>
    <w:rsid w:val="008A3E9C"/>
    <w:rsid w:val="008A46D2"/>
    <w:rsid w:val="008A4C1A"/>
    <w:rsid w:val="008A50F7"/>
    <w:rsid w:val="008A569B"/>
    <w:rsid w:val="008A66DC"/>
    <w:rsid w:val="008B1449"/>
    <w:rsid w:val="008B1A47"/>
    <w:rsid w:val="008B2125"/>
    <w:rsid w:val="008B28A6"/>
    <w:rsid w:val="008B2D0B"/>
    <w:rsid w:val="008B2FDC"/>
    <w:rsid w:val="008B3403"/>
    <w:rsid w:val="008B35F9"/>
    <w:rsid w:val="008B3930"/>
    <w:rsid w:val="008B44F1"/>
    <w:rsid w:val="008B4E14"/>
    <w:rsid w:val="008B5E6B"/>
    <w:rsid w:val="008C0991"/>
    <w:rsid w:val="008C2231"/>
    <w:rsid w:val="008C4130"/>
    <w:rsid w:val="008C67D1"/>
    <w:rsid w:val="008C7A07"/>
    <w:rsid w:val="008D05A0"/>
    <w:rsid w:val="008D0669"/>
    <w:rsid w:val="008D073A"/>
    <w:rsid w:val="008D2410"/>
    <w:rsid w:val="008D25E5"/>
    <w:rsid w:val="008D38F3"/>
    <w:rsid w:val="008D4296"/>
    <w:rsid w:val="008D4461"/>
    <w:rsid w:val="008D6A8D"/>
    <w:rsid w:val="008E14C4"/>
    <w:rsid w:val="008E2C3F"/>
    <w:rsid w:val="008E466D"/>
    <w:rsid w:val="008E55EA"/>
    <w:rsid w:val="008E5815"/>
    <w:rsid w:val="008E7E29"/>
    <w:rsid w:val="008E7EFC"/>
    <w:rsid w:val="008F0AF0"/>
    <w:rsid w:val="008F2659"/>
    <w:rsid w:val="008F621A"/>
    <w:rsid w:val="008F7DEE"/>
    <w:rsid w:val="00900517"/>
    <w:rsid w:val="009016D7"/>
    <w:rsid w:val="00902A88"/>
    <w:rsid w:val="00903814"/>
    <w:rsid w:val="00903BC2"/>
    <w:rsid w:val="00904E12"/>
    <w:rsid w:val="00904E5F"/>
    <w:rsid w:val="009060A0"/>
    <w:rsid w:val="00906164"/>
    <w:rsid w:val="009073ED"/>
    <w:rsid w:val="009123BA"/>
    <w:rsid w:val="00912547"/>
    <w:rsid w:val="00912CBA"/>
    <w:rsid w:val="00914877"/>
    <w:rsid w:val="00916019"/>
    <w:rsid w:val="00920715"/>
    <w:rsid w:val="00920F03"/>
    <w:rsid w:val="00921357"/>
    <w:rsid w:val="00922CFE"/>
    <w:rsid w:val="009233D8"/>
    <w:rsid w:val="0092614E"/>
    <w:rsid w:val="0092651F"/>
    <w:rsid w:val="00930BCD"/>
    <w:rsid w:val="0093252E"/>
    <w:rsid w:val="00934255"/>
    <w:rsid w:val="009347D5"/>
    <w:rsid w:val="00935263"/>
    <w:rsid w:val="00936DA8"/>
    <w:rsid w:val="009373E5"/>
    <w:rsid w:val="00937B0F"/>
    <w:rsid w:val="009439D1"/>
    <w:rsid w:val="00944176"/>
    <w:rsid w:val="00944535"/>
    <w:rsid w:val="00944F1B"/>
    <w:rsid w:val="00946C25"/>
    <w:rsid w:val="00946E17"/>
    <w:rsid w:val="00947C90"/>
    <w:rsid w:val="00951C77"/>
    <w:rsid w:val="00951D77"/>
    <w:rsid w:val="00952D2B"/>
    <w:rsid w:val="00954C65"/>
    <w:rsid w:val="009564E4"/>
    <w:rsid w:val="009568BC"/>
    <w:rsid w:val="00957B64"/>
    <w:rsid w:val="00960633"/>
    <w:rsid w:val="00961304"/>
    <w:rsid w:val="00961A20"/>
    <w:rsid w:val="00962219"/>
    <w:rsid w:val="00962DA7"/>
    <w:rsid w:val="00963098"/>
    <w:rsid w:val="009635FC"/>
    <w:rsid w:val="009669F4"/>
    <w:rsid w:val="00966ED3"/>
    <w:rsid w:val="00970E45"/>
    <w:rsid w:val="0097156A"/>
    <w:rsid w:val="00971654"/>
    <w:rsid w:val="0097315C"/>
    <w:rsid w:val="00974520"/>
    <w:rsid w:val="00977192"/>
    <w:rsid w:val="00977F48"/>
    <w:rsid w:val="00982B8A"/>
    <w:rsid w:val="009834D0"/>
    <w:rsid w:val="009835FA"/>
    <w:rsid w:val="00985403"/>
    <w:rsid w:val="00987590"/>
    <w:rsid w:val="00990DE9"/>
    <w:rsid w:val="00990E11"/>
    <w:rsid w:val="009919D0"/>
    <w:rsid w:val="0099205F"/>
    <w:rsid w:val="009934DC"/>
    <w:rsid w:val="00994D29"/>
    <w:rsid w:val="00995354"/>
    <w:rsid w:val="009955C9"/>
    <w:rsid w:val="00995738"/>
    <w:rsid w:val="00995BB4"/>
    <w:rsid w:val="00996608"/>
    <w:rsid w:val="0099725A"/>
    <w:rsid w:val="00997B1C"/>
    <w:rsid w:val="009A053D"/>
    <w:rsid w:val="009A0CAE"/>
    <w:rsid w:val="009A143A"/>
    <w:rsid w:val="009A2B91"/>
    <w:rsid w:val="009A3328"/>
    <w:rsid w:val="009A4C6B"/>
    <w:rsid w:val="009A4D82"/>
    <w:rsid w:val="009A58B1"/>
    <w:rsid w:val="009A6F49"/>
    <w:rsid w:val="009B0CDA"/>
    <w:rsid w:val="009B1674"/>
    <w:rsid w:val="009B47C9"/>
    <w:rsid w:val="009B70A6"/>
    <w:rsid w:val="009B75A5"/>
    <w:rsid w:val="009B7FDA"/>
    <w:rsid w:val="009C0515"/>
    <w:rsid w:val="009C15BE"/>
    <w:rsid w:val="009C16B0"/>
    <w:rsid w:val="009C1B7E"/>
    <w:rsid w:val="009C23BF"/>
    <w:rsid w:val="009C2AEF"/>
    <w:rsid w:val="009C2C5B"/>
    <w:rsid w:val="009C5588"/>
    <w:rsid w:val="009C5F08"/>
    <w:rsid w:val="009C74C2"/>
    <w:rsid w:val="009C7DCA"/>
    <w:rsid w:val="009D04BB"/>
    <w:rsid w:val="009D065F"/>
    <w:rsid w:val="009D0C88"/>
    <w:rsid w:val="009D0EF5"/>
    <w:rsid w:val="009D1594"/>
    <w:rsid w:val="009D20C1"/>
    <w:rsid w:val="009D2615"/>
    <w:rsid w:val="009D2EB7"/>
    <w:rsid w:val="009D303A"/>
    <w:rsid w:val="009D430C"/>
    <w:rsid w:val="009D5B58"/>
    <w:rsid w:val="009D76D2"/>
    <w:rsid w:val="009E0987"/>
    <w:rsid w:val="009E6AAA"/>
    <w:rsid w:val="009E792C"/>
    <w:rsid w:val="009E7BB2"/>
    <w:rsid w:val="009F2218"/>
    <w:rsid w:val="009F3C58"/>
    <w:rsid w:val="009F56DF"/>
    <w:rsid w:val="009F5853"/>
    <w:rsid w:val="009F5D2F"/>
    <w:rsid w:val="009F6668"/>
    <w:rsid w:val="00A001FC"/>
    <w:rsid w:val="00A01B86"/>
    <w:rsid w:val="00A022F4"/>
    <w:rsid w:val="00A033DC"/>
    <w:rsid w:val="00A05E45"/>
    <w:rsid w:val="00A06214"/>
    <w:rsid w:val="00A07745"/>
    <w:rsid w:val="00A100CA"/>
    <w:rsid w:val="00A105E7"/>
    <w:rsid w:val="00A157E2"/>
    <w:rsid w:val="00A15AA5"/>
    <w:rsid w:val="00A1607A"/>
    <w:rsid w:val="00A211B3"/>
    <w:rsid w:val="00A21473"/>
    <w:rsid w:val="00A2545D"/>
    <w:rsid w:val="00A25820"/>
    <w:rsid w:val="00A305BB"/>
    <w:rsid w:val="00A30821"/>
    <w:rsid w:val="00A3086C"/>
    <w:rsid w:val="00A3198D"/>
    <w:rsid w:val="00A31F1E"/>
    <w:rsid w:val="00A323EA"/>
    <w:rsid w:val="00A328A4"/>
    <w:rsid w:val="00A328B9"/>
    <w:rsid w:val="00A33B7A"/>
    <w:rsid w:val="00A36343"/>
    <w:rsid w:val="00A36A59"/>
    <w:rsid w:val="00A36D4F"/>
    <w:rsid w:val="00A3735E"/>
    <w:rsid w:val="00A375A2"/>
    <w:rsid w:val="00A37E30"/>
    <w:rsid w:val="00A40102"/>
    <w:rsid w:val="00A4067E"/>
    <w:rsid w:val="00A4081B"/>
    <w:rsid w:val="00A411BA"/>
    <w:rsid w:val="00A419D6"/>
    <w:rsid w:val="00A41CFF"/>
    <w:rsid w:val="00A46C15"/>
    <w:rsid w:val="00A47E84"/>
    <w:rsid w:val="00A507B8"/>
    <w:rsid w:val="00A50C4B"/>
    <w:rsid w:val="00A50FDA"/>
    <w:rsid w:val="00A51240"/>
    <w:rsid w:val="00A52767"/>
    <w:rsid w:val="00A5390E"/>
    <w:rsid w:val="00A543D2"/>
    <w:rsid w:val="00A54F49"/>
    <w:rsid w:val="00A563CB"/>
    <w:rsid w:val="00A576F0"/>
    <w:rsid w:val="00A61354"/>
    <w:rsid w:val="00A629A3"/>
    <w:rsid w:val="00A63FC7"/>
    <w:rsid w:val="00A64385"/>
    <w:rsid w:val="00A6559D"/>
    <w:rsid w:val="00A65FFF"/>
    <w:rsid w:val="00A66DBD"/>
    <w:rsid w:val="00A70338"/>
    <w:rsid w:val="00A71A8C"/>
    <w:rsid w:val="00A72C8B"/>
    <w:rsid w:val="00A73C78"/>
    <w:rsid w:val="00A7434C"/>
    <w:rsid w:val="00A7694F"/>
    <w:rsid w:val="00A76C12"/>
    <w:rsid w:val="00A77BA4"/>
    <w:rsid w:val="00A80A60"/>
    <w:rsid w:val="00A80FA1"/>
    <w:rsid w:val="00A82D57"/>
    <w:rsid w:val="00A8611E"/>
    <w:rsid w:val="00A8649D"/>
    <w:rsid w:val="00A8778C"/>
    <w:rsid w:val="00A87A20"/>
    <w:rsid w:val="00A9354D"/>
    <w:rsid w:val="00A945DC"/>
    <w:rsid w:val="00A94FC9"/>
    <w:rsid w:val="00A958B6"/>
    <w:rsid w:val="00A95A49"/>
    <w:rsid w:val="00AA0913"/>
    <w:rsid w:val="00AA0AB1"/>
    <w:rsid w:val="00AA14EC"/>
    <w:rsid w:val="00AA21DC"/>
    <w:rsid w:val="00AA35F5"/>
    <w:rsid w:val="00AA37A1"/>
    <w:rsid w:val="00AA6DEB"/>
    <w:rsid w:val="00AB0872"/>
    <w:rsid w:val="00AB2257"/>
    <w:rsid w:val="00AB5553"/>
    <w:rsid w:val="00AB5E30"/>
    <w:rsid w:val="00AB74A6"/>
    <w:rsid w:val="00AB7A0C"/>
    <w:rsid w:val="00AB7A10"/>
    <w:rsid w:val="00AC2D56"/>
    <w:rsid w:val="00AC39E5"/>
    <w:rsid w:val="00AC40D3"/>
    <w:rsid w:val="00AC5141"/>
    <w:rsid w:val="00AC58A5"/>
    <w:rsid w:val="00AC755C"/>
    <w:rsid w:val="00AC79EF"/>
    <w:rsid w:val="00AD548A"/>
    <w:rsid w:val="00AD58B4"/>
    <w:rsid w:val="00AD58FD"/>
    <w:rsid w:val="00AD61AA"/>
    <w:rsid w:val="00AD7161"/>
    <w:rsid w:val="00AD71A1"/>
    <w:rsid w:val="00AD759A"/>
    <w:rsid w:val="00AE1686"/>
    <w:rsid w:val="00AE16E4"/>
    <w:rsid w:val="00AE18E7"/>
    <w:rsid w:val="00AE27EC"/>
    <w:rsid w:val="00AE4631"/>
    <w:rsid w:val="00AE4A06"/>
    <w:rsid w:val="00AE4A74"/>
    <w:rsid w:val="00AE4D22"/>
    <w:rsid w:val="00AE7CBE"/>
    <w:rsid w:val="00AF165D"/>
    <w:rsid w:val="00AF1CBA"/>
    <w:rsid w:val="00AF269C"/>
    <w:rsid w:val="00AF2809"/>
    <w:rsid w:val="00AF28CA"/>
    <w:rsid w:val="00AF4270"/>
    <w:rsid w:val="00AF4548"/>
    <w:rsid w:val="00AF4689"/>
    <w:rsid w:val="00AF4FB7"/>
    <w:rsid w:val="00AF551F"/>
    <w:rsid w:val="00AF669D"/>
    <w:rsid w:val="00B03C0C"/>
    <w:rsid w:val="00B0426B"/>
    <w:rsid w:val="00B0555A"/>
    <w:rsid w:val="00B07335"/>
    <w:rsid w:val="00B07385"/>
    <w:rsid w:val="00B0790F"/>
    <w:rsid w:val="00B07A32"/>
    <w:rsid w:val="00B1174D"/>
    <w:rsid w:val="00B119B6"/>
    <w:rsid w:val="00B12BB1"/>
    <w:rsid w:val="00B142EB"/>
    <w:rsid w:val="00B149E6"/>
    <w:rsid w:val="00B14A4B"/>
    <w:rsid w:val="00B15A19"/>
    <w:rsid w:val="00B16011"/>
    <w:rsid w:val="00B17897"/>
    <w:rsid w:val="00B17F3F"/>
    <w:rsid w:val="00B20340"/>
    <w:rsid w:val="00B21BE7"/>
    <w:rsid w:val="00B21C11"/>
    <w:rsid w:val="00B23F3D"/>
    <w:rsid w:val="00B24AE0"/>
    <w:rsid w:val="00B25324"/>
    <w:rsid w:val="00B27A61"/>
    <w:rsid w:val="00B30042"/>
    <w:rsid w:val="00B303F0"/>
    <w:rsid w:val="00B33502"/>
    <w:rsid w:val="00B368BE"/>
    <w:rsid w:val="00B37C05"/>
    <w:rsid w:val="00B37FA2"/>
    <w:rsid w:val="00B4160E"/>
    <w:rsid w:val="00B42629"/>
    <w:rsid w:val="00B42FAF"/>
    <w:rsid w:val="00B4403D"/>
    <w:rsid w:val="00B442F2"/>
    <w:rsid w:val="00B45370"/>
    <w:rsid w:val="00B45E7A"/>
    <w:rsid w:val="00B46013"/>
    <w:rsid w:val="00B468B3"/>
    <w:rsid w:val="00B46C7B"/>
    <w:rsid w:val="00B46CEC"/>
    <w:rsid w:val="00B46D10"/>
    <w:rsid w:val="00B46E15"/>
    <w:rsid w:val="00B47B46"/>
    <w:rsid w:val="00B47B96"/>
    <w:rsid w:val="00B50552"/>
    <w:rsid w:val="00B50F5A"/>
    <w:rsid w:val="00B513BD"/>
    <w:rsid w:val="00B5226F"/>
    <w:rsid w:val="00B534BC"/>
    <w:rsid w:val="00B53697"/>
    <w:rsid w:val="00B575E9"/>
    <w:rsid w:val="00B57853"/>
    <w:rsid w:val="00B57D27"/>
    <w:rsid w:val="00B600DD"/>
    <w:rsid w:val="00B609C8"/>
    <w:rsid w:val="00B61758"/>
    <w:rsid w:val="00B618F2"/>
    <w:rsid w:val="00B6209D"/>
    <w:rsid w:val="00B635D3"/>
    <w:rsid w:val="00B6561E"/>
    <w:rsid w:val="00B65929"/>
    <w:rsid w:val="00B66EDE"/>
    <w:rsid w:val="00B67B24"/>
    <w:rsid w:val="00B70080"/>
    <w:rsid w:val="00B7056D"/>
    <w:rsid w:val="00B7139D"/>
    <w:rsid w:val="00B72CEE"/>
    <w:rsid w:val="00B7389B"/>
    <w:rsid w:val="00B73C1C"/>
    <w:rsid w:val="00B741C4"/>
    <w:rsid w:val="00B75D4C"/>
    <w:rsid w:val="00B76BAD"/>
    <w:rsid w:val="00B80AAF"/>
    <w:rsid w:val="00B811F3"/>
    <w:rsid w:val="00B81A22"/>
    <w:rsid w:val="00B826E0"/>
    <w:rsid w:val="00B84484"/>
    <w:rsid w:val="00B84EF3"/>
    <w:rsid w:val="00B85421"/>
    <w:rsid w:val="00B86A83"/>
    <w:rsid w:val="00B87DDB"/>
    <w:rsid w:val="00B9141D"/>
    <w:rsid w:val="00B9294C"/>
    <w:rsid w:val="00B93363"/>
    <w:rsid w:val="00B942FB"/>
    <w:rsid w:val="00B94CE3"/>
    <w:rsid w:val="00B9548E"/>
    <w:rsid w:val="00B95B9C"/>
    <w:rsid w:val="00B95E01"/>
    <w:rsid w:val="00BA1E56"/>
    <w:rsid w:val="00BA36F2"/>
    <w:rsid w:val="00BA3734"/>
    <w:rsid w:val="00BA3D7A"/>
    <w:rsid w:val="00BA41CE"/>
    <w:rsid w:val="00BA42B8"/>
    <w:rsid w:val="00BA438E"/>
    <w:rsid w:val="00BA69B5"/>
    <w:rsid w:val="00BB002E"/>
    <w:rsid w:val="00BB0B89"/>
    <w:rsid w:val="00BB134F"/>
    <w:rsid w:val="00BB29D3"/>
    <w:rsid w:val="00BB2B46"/>
    <w:rsid w:val="00BB2FAE"/>
    <w:rsid w:val="00BB36BD"/>
    <w:rsid w:val="00BB3B82"/>
    <w:rsid w:val="00BB4698"/>
    <w:rsid w:val="00BB4752"/>
    <w:rsid w:val="00BB5349"/>
    <w:rsid w:val="00BB5388"/>
    <w:rsid w:val="00BB6537"/>
    <w:rsid w:val="00BB70DF"/>
    <w:rsid w:val="00BC3665"/>
    <w:rsid w:val="00BC40CA"/>
    <w:rsid w:val="00BC5190"/>
    <w:rsid w:val="00BC52F3"/>
    <w:rsid w:val="00BC5904"/>
    <w:rsid w:val="00BC5E7D"/>
    <w:rsid w:val="00BC75DC"/>
    <w:rsid w:val="00BC7822"/>
    <w:rsid w:val="00BC7998"/>
    <w:rsid w:val="00BC7BC7"/>
    <w:rsid w:val="00BC7DBB"/>
    <w:rsid w:val="00BD0CBA"/>
    <w:rsid w:val="00BD14BF"/>
    <w:rsid w:val="00BD2153"/>
    <w:rsid w:val="00BD21E4"/>
    <w:rsid w:val="00BD336A"/>
    <w:rsid w:val="00BD3724"/>
    <w:rsid w:val="00BD38F3"/>
    <w:rsid w:val="00BD5857"/>
    <w:rsid w:val="00BD5909"/>
    <w:rsid w:val="00BE0D73"/>
    <w:rsid w:val="00BE1148"/>
    <w:rsid w:val="00BE17A4"/>
    <w:rsid w:val="00BE218C"/>
    <w:rsid w:val="00BE2B27"/>
    <w:rsid w:val="00BE311E"/>
    <w:rsid w:val="00BE3395"/>
    <w:rsid w:val="00BE33F0"/>
    <w:rsid w:val="00BE50AB"/>
    <w:rsid w:val="00BE5C2C"/>
    <w:rsid w:val="00BE7FE9"/>
    <w:rsid w:val="00BF0A38"/>
    <w:rsid w:val="00BF2DFD"/>
    <w:rsid w:val="00BF3EEF"/>
    <w:rsid w:val="00BF4EB5"/>
    <w:rsid w:val="00BF7131"/>
    <w:rsid w:val="00BF76AA"/>
    <w:rsid w:val="00BF7DCA"/>
    <w:rsid w:val="00C00837"/>
    <w:rsid w:val="00C0099B"/>
    <w:rsid w:val="00C013C3"/>
    <w:rsid w:val="00C02DD0"/>
    <w:rsid w:val="00C03D5C"/>
    <w:rsid w:val="00C03FCD"/>
    <w:rsid w:val="00C0445E"/>
    <w:rsid w:val="00C04CFB"/>
    <w:rsid w:val="00C0512C"/>
    <w:rsid w:val="00C05F6D"/>
    <w:rsid w:val="00C06F1F"/>
    <w:rsid w:val="00C076FB"/>
    <w:rsid w:val="00C10450"/>
    <w:rsid w:val="00C12281"/>
    <w:rsid w:val="00C13531"/>
    <w:rsid w:val="00C13941"/>
    <w:rsid w:val="00C13CF2"/>
    <w:rsid w:val="00C15142"/>
    <w:rsid w:val="00C2144D"/>
    <w:rsid w:val="00C217F4"/>
    <w:rsid w:val="00C2221C"/>
    <w:rsid w:val="00C2265A"/>
    <w:rsid w:val="00C2501F"/>
    <w:rsid w:val="00C251F4"/>
    <w:rsid w:val="00C305BB"/>
    <w:rsid w:val="00C31BC2"/>
    <w:rsid w:val="00C32FEE"/>
    <w:rsid w:val="00C35658"/>
    <w:rsid w:val="00C370CC"/>
    <w:rsid w:val="00C372C4"/>
    <w:rsid w:val="00C37F44"/>
    <w:rsid w:val="00C4032D"/>
    <w:rsid w:val="00C40962"/>
    <w:rsid w:val="00C416DB"/>
    <w:rsid w:val="00C42524"/>
    <w:rsid w:val="00C45199"/>
    <w:rsid w:val="00C45704"/>
    <w:rsid w:val="00C47C35"/>
    <w:rsid w:val="00C50236"/>
    <w:rsid w:val="00C5092E"/>
    <w:rsid w:val="00C512FC"/>
    <w:rsid w:val="00C51E10"/>
    <w:rsid w:val="00C53082"/>
    <w:rsid w:val="00C54490"/>
    <w:rsid w:val="00C56248"/>
    <w:rsid w:val="00C5650C"/>
    <w:rsid w:val="00C56B92"/>
    <w:rsid w:val="00C56C7C"/>
    <w:rsid w:val="00C56D9A"/>
    <w:rsid w:val="00C57A94"/>
    <w:rsid w:val="00C57FC6"/>
    <w:rsid w:val="00C57FDE"/>
    <w:rsid w:val="00C6122F"/>
    <w:rsid w:val="00C61570"/>
    <w:rsid w:val="00C61D7B"/>
    <w:rsid w:val="00C631FC"/>
    <w:rsid w:val="00C64B40"/>
    <w:rsid w:val="00C6552C"/>
    <w:rsid w:val="00C658B1"/>
    <w:rsid w:val="00C65E21"/>
    <w:rsid w:val="00C66D7A"/>
    <w:rsid w:val="00C702F5"/>
    <w:rsid w:val="00C718E9"/>
    <w:rsid w:val="00C71B2D"/>
    <w:rsid w:val="00C71EA4"/>
    <w:rsid w:val="00C72C56"/>
    <w:rsid w:val="00C767E2"/>
    <w:rsid w:val="00C76950"/>
    <w:rsid w:val="00C80DAA"/>
    <w:rsid w:val="00C831C8"/>
    <w:rsid w:val="00C83545"/>
    <w:rsid w:val="00C8497C"/>
    <w:rsid w:val="00C85CC0"/>
    <w:rsid w:val="00C86EE8"/>
    <w:rsid w:val="00C87C48"/>
    <w:rsid w:val="00C90038"/>
    <w:rsid w:val="00C90143"/>
    <w:rsid w:val="00C904EE"/>
    <w:rsid w:val="00C90D8E"/>
    <w:rsid w:val="00C9182E"/>
    <w:rsid w:val="00C91E19"/>
    <w:rsid w:val="00C94187"/>
    <w:rsid w:val="00C947CA"/>
    <w:rsid w:val="00C94B29"/>
    <w:rsid w:val="00C95443"/>
    <w:rsid w:val="00C96F69"/>
    <w:rsid w:val="00CA1A4B"/>
    <w:rsid w:val="00CA25D7"/>
    <w:rsid w:val="00CA43F3"/>
    <w:rsid w:val="00CA4E0B"/>
    <w:rsid w:val="00CA6E6D"/>
    <w:rsid w:val="00CB1552"/>
    <w:rsid w:val="00CB1C0C"/>
    <w:rsid w:val="00CB1FF5"/>
    <w:rsid w:val="00CB2154"/>
    <w:rsid w:val="00CB2201"/>
    <w:rsid w:val="00CB2B2D"/>
    <w:rsid w:val="00CB3BF9"/>
    <w:rsid w:val="00CB5A95"/>
    <w:rsid w:val="00CB5E52"/>
    <w:rsid w:val="00CB6331"/>
    <w:rsid w:val="00CC08C8"/>
    <w:rsid w:val="00CC0E4E"/>
    <w:rsid w:val="00CC1396"/>
    <w:rsid w:val="00CC2796"/>
    <w:rsid w:val="00CC4B00"/>
    <w:rsid w:val="00CC6735"/>
    <w:rsid w:val="00CC72E1"/>
    <w:rsid w:val="00CC7915"/>
    <w:rsid w:val="00CC7E02"/>
    <w:rsid w:val="00CC7F42"/>
    <w:rsid w:val="00CD1059"/>
    <w:rsid w:val="00CD186D"/>
    <w:rsid w:val="00CD391F"/>
    <w:rsid w:val="00CD3A05"/>
    <w:rsid w:val="00CD461E"/>
    <w:rsid w:val="00CD465B"/>
    <w:rsid w:val="00CD56D4"/>
    <w:rsid w:val="00CD62F4"/>
    <w:rsid w:val="00CD674D"/>
    <w:rsid w:val="00CD6A60"/>
    <w:rsid w:val="00CD6EAA"/>
    <w:rsid w:val="00CE15A7"/>
    <w:rsid w:val="00CE2230"/>
    <w:rsid w:val="00CE238E"/>
    <w:rsid w:val="00CE691E"/>
    <w:rsid w:val="00CE6B40"/>
    <w:rsid w:val="00CE7120"/>
    <w:rsid w:val="00CF2B1D"/>
    <w:rsid w:val="00CF2DD3"/>
    <w:rsid w:val="00CF30A6"/>
    <w:rsid w:val="00CF43E4"/>
    <w:rsid w:val="00CF5606"/>
    <w:rsid w:val="00CF5B92"/>
    <w:rsid w:val="00CF71DA"/>
    <w:rsid w:val="00CF7FE5"/>
    <w:rsid w:val="00D00030"/>
    <w:rsid w:val="00D00751"/>
    <w:rsid w:val="00D03C8B"/>
    <w:rsid w:val="00D03CF8"/>
    <w:rsid w:val="00D05C13"/>
    <w:rsid w:val="00D07871"/>
    <w:rsid w:val="00D07CCB"/>
    <w:rsid w:val="00D10356"/>
    <w:rsid w:val="00D113AC"/>
    <w:rsid w:val="00D11ACE"/>
    <w:rsid w:val="00D11AE2"/>
    <w:rsid w:val="00D130E7"/>
    <w:rsid w:val="00D131CD"/>
    <w:rsid w:val="00D13281"/>
    <w:rsid w:val="00D148DE"/>
    <w:rsid w:val="00D1500E"/>
    <w:rsid w:val="00D15733"/>
    <w:rsid w:val="00D161C8"/>
    <w:rsid w:val="00D1650E"/>
    <w:rsid w:val="00D207A2"/>
    <w:rsid w:val="00D20947"/>
    <w:rsid w:val="00D2206F"/>
    <w:rsid w:val="00D23A2E"/>
    <w:rsid w:val="00D23A64"/>
    <w:rsid w:val="00D23E71"/>
    <w:rsid w:val="00D2530A"/>
    <w:rsid w:val="00D259A1"/>
    <w:rsid w:val="00D25B34"/>
    <w:rsid w:val="00D2787A"/>
    <w:rsid w:val="00D307C4"/>
    <w:rsid w:val="00D30908"/>
    <w:rsid w:val="00D31578"/>
    <w:rsid w:val="00D32199"/>
    <w:rsid w:val="00D32585"/>
    <w:rsid w:val="00D33218"/>
    <w:rsid w:val="00D342C9"/>
    <w:rsid w:val="00D34DEF"/>
    <w:rsid w:val="00D35C0B"/>
    <w:rsid w:val="00D40A1E"/>
    <w:rsid w:val="00D4108D"/>
    <w:rsid w:val="00D4204D"/>
    <w:rsid w:val="00D427F7"/>
    <w:rsid w:val="00D43A9D"/>
    <w:rsid w:val="00D441AB"/>
    <w:rsid w:val="00D44AE6"/>
    <w:rsid w:val="00D47FE6"/>
    <w:rsid w:val="00D50CD9"/>
    <w:rsid w:val="00D51958"/>
    <w:rsid w:val="00D51BC0"/>
    <w:rsid w:val="00D529EE"/>
    <w:rsid w:val="00D54120"/>
    <w:rsid w:val="00D543F9"/>
    <w:rsid w:val="00D564A3"/>
    <w:rsid w:val="00D57C7C"/>
    <w:rsid w:val="00D61DF1"/>
    <w:rsid w:val="00D622FB"/>
    <w:rsid w:val="00D63484"/>
    <w:rsid w:val="00D6464D"/>
    <w:rsid w:val="00D64FCE"/>
    <w:rsid w:val="00D657A8"/>
    <w:rsid w:val="00D706BE"/>
    <w:rsid w:val="00D707D4"/>
    <w:rsid w:val="00D711FC"/>
    <w:rsid w:val="00D71FDE"/>
    <w:rsid w:val="00D75752"/>
    <w:rsid w:val="00D808FA"/>
    <w:rsid w:val="00D82919"/>
    <w:rsid w:val="00D844B5"/>
    <w:rsid w:val="00D84A14"/>
    <w:rsid w:val="00D84A5F"/>
    <w:rsid w:val="00D85F5B"/>
    <w:rsid w:val="00D8618B"/>
    <w:rsid w:val="00D90054"/>
    <w:rsid w:val="00D91048"/>
    <w:rsid w:val="00D91806"/>
    <w:rsid w:val="00D918CD"/>
    <w:rsid w:val="00D92863"/>
    <w:rsid w:val="00D92CCE"/>
    <w:rsid w:val="00D930E1"/>
    <w:rsid w:val="00D93DC3"/>
    <w:rsid w:val="00D941C4"/>
    <w:rsid w:val="00D95BB1"/>
    <w:rsid w:val="00D95C23"/>
    <w:rsid w:val="00D96F34"/>
    <w:rsid w:val="00D973F7"/>
    <w:rsid w:val="00D976F0"/>
    <w:rsid w:val="00D97714"/>
    <w:rsid w:val="00D9778E"/>
    <w:rsid w:val="00D97C8F"/>
    <w:rsid w:val="00DA0218"/>
    <w:rsid w:val="00DA0DD0"/>
    <w:rsid w:val="00DA30D0"/>
    <w:rsid w:val="00DA3A2D"/>
    <w:rsid w:val="00DA4CD0"/>
    <w:rsid w:val="00DA5E73"/>
    <w:rsid w:val="00DA7262"/>
    <w:rsid w:val="00DA7801"/>
    <w:rsid w:val="00DB0939"/>
    <w:rsid w:val="00DB1DCC"/>
    <w:rsid w:val="00DB3137"/>
    <w:rsid w:val="00DB367F"/>
    <w:rsid w:val="00DB3B07"/>
    <w:rsid w:val="00DB4CB0"/>
    <w:rsid w:val="00DC0ABF"/>
    <w:rsid w:val="00DC17E0"/>
    <w:rsid w:val="00DC2113"/>
    <w:rsid w:val="00DC39EE"/>
    <w:rsid w:val="00DC407B"/>
    <w:rsid w:val="00DC4504"/>
    <w:rsid w:val="00DC4CD3"/>
    <w:rsid w:val="00DC5210"/>
    <w:rsid w:val="00DC5588"/>
    <w:rsid w:val="00DC79AB"/>
    <w:rsid w:val="00DD0505"/>
    <w:rsid w:val="00DD298D"/>
    <w:rsid w:val="00DD2C58"/>
    <w:rsid w:val="00DD3520"/>
    <w:rsid w:val="00DD3E24"/>
    <w:rsid w:val="00DD3F32"/>
    <w:rsid w:val="00DE07CD"/>
    <w:rsid w:val="00DE103C"/>
    <w:rsid w:val="00DE22E0"/>
    <w:rsid w:val="00DE41F8"/>
    <w:rsid w:val="00DE5274"/>
    <w:rsid w:val="00DE531E"/>
    <w:rsid w:val="00DE56AB"/>
    <w:rsid w:val="00DE7174"/>
    <w:rsid w:val="00DE76E5"/>
    <w:rsid w:val="00DE771B"/>
    <w:rsid w:val="00DE7FE8"/>
    <w:rsid w:val="00DF0A68"/>
    <w:rsid w:val="00DF1ED6"/>
    <w:rsid w:val="00DF22FA"/>
    <w:rsid w:val="00DF2863"/>
    <w:rsid w:val="00DF2C23"/>
    <w:rsid w:val="00DF31F1"/>
    <w:rsid w:val="00DF5F73"/>
    <w:rsid w:val="00DF5FB9"/>
    <w:rsid w:val="00DF7B7C"/>
    <w:rsid w:val="00E0227A"/>
    <w:rsid w:val="00E0246B"/>
    <w:rsid w:val="00E03938"/>
    <w:rsid w:val="00E0576C"/>
    <w:rsid w:val="00E05784"/>
    <w:rsid w:val="00E07031"/>
    <w:rsid w:val="00E0731F"/>
    <w:rsid w:val="00E073E8"/>
    <w:rsid w:val="00E07C07"/>
    <w:rsid w:val="00E1085A"/>
    <w:rsid w:val="00E11D04"/>
    <w:rsid w:val="00E1599E"/>
    <w:rsid w:val="00E16A4A"/>
    <w:rsid w:val="00E20C33"/>
    <w:rsid w:val="00E238F3"/>
    <w:rsid w:val="00E25054"/>
    <w:rsid w:val="00E25EF1"/>
    <w:rsid w:val="00E27034"/>
    <w:rsid w:val="00E30DA8"/>
    <w:rsid w:val="00E32518"/>
    <w:rsid w:val="00E32628"/>
    <w:rsid w:val="00E32E9E"/>
    <w:rsid w:val="00E3344B"/>
    <w:rsid w:val="00E352C2"/>
    <w:rsid w:val="00E35F7D"/>
    <w:rsid w:val="00E36004"/>
    <w:rsid w:val="00E366BD"/>
    <w:rsid w:val="00E3743C"/>
    <w:rsid w:val="00E379EB"/>
    <w:rsid w:val="00E42E2C"/>
    <w:rsid w:val="00E43812"/>
    <w:rsid w:val="00E43B32"/>
    <w:rsid w:val="00E445AD"/>
    <w:rsid w:val="00E467DB"/>
    <w:rsid w:val="00E4737B"/>
    <w:rsid w:val="00E47A54"/>
    <w:rsid w:val="00E47D46"/>
    <w:rsid w:val="00E511A6"/>
    <w:rsid w:val="00E57181"/>
    <w:rsid w:val="00E6239E"/>
    <w:rsid w:val="00E62698"/>
    <w:rsid w:val="00E6287E"/>
    <w:rsid w:val="00E6338C"/>
    <w:rsid w:val="00E633D8"/>
    <w:rsid w:val="00E636C9"/>
    <w:rsid w:val="00E639E4"/>
    <w:rsid w:val="00E63A87"/>
    <w:rsid w:val="00E64395"/>
    <w:rsid w:val="00E64448"/>
    <w:rsid w:val="00E644C1"/>
    <w:rsid w:val="00E64C41"/>
    <w:rsid w:val="00E6511A"/>
    <w:rsid w:val="00E65C8B"/>
    <w:rsid w:val="00E66883"/>
    <w:rsid w:val="00E668E2"/>
    <w:rsid w:val="00E66AB4"/>
    <w:rsid w:val="00E67172"/>
    <w:rsid w:val="00E675A4"/>
    <w:rsid w:val="00E6795D"/>
    <w:rsid w:val="00E7202F"/>
    <w:rsid w:val="00E720AB"/>
    <w:rsid w:val="00E721F6"/>
    <w:rsid w:val="00E73C79"/>
    <w:rsid w:val="00E740BF"/>
    <w:rsid w:val="00E753F2"/>
    <w:rsid w:val="00E76807"/>
    <w:rsid w:val="00E801BC"/>
    <w:rsid w:val="00E83170"/>
    <w:rsid w:val="00E84BF7"/>
    <w:rsid w:val="00E84DEB"/>
    <w:rsid w:val="00E861D0"/>
    <w:rsid w:val="00E9159A"/>
    <w:rsid w:val="00E91B87"/>
    <w:rsid w:val="00E933E0"/>
    <w:rsid w:val="00E9544D"/>
    <w:rsid w:val="00E95AEA"/>
    <w:rsid w:val="00E97C4D"/>
    <w:rsid w:val="00EA15AF"/>
    <w:rsid w:val="00EA2518"/>
    <w:rsid w:val="00EA267F"/>
    <w:rsid w:val="00EA3A16"/>
    <w:rsid w:val="00EA4785"/>
    <w:rsid w:val="00EA4F9A"/>
    <w:rsid w:val="00EA5D6D"/>
    <w:rsid w:val="00EA7920"/>
    <w:rsid w:val="00EB1C26"/>
    <w:rsid w:val="00EB4FD3"/>
    <w:rsid w:val="00EB582C"/>
    <w:rsid w:val="00EB5B60"/>
    <w:rsid w:val="00EB5F5D"/>
    <w:rsid w:val="00EB79BD"/>
    <w:rsid w:val="00EB7DE6"/>
    <w:rsid w:val="00EC0119"/>
    <w:rsid w:val="00EC20DD"/>
    <w:rsid w:val="00EC21C1"/>
    <w:rsid w:val="00EC277F"/>
    <w:rsid w:val="00EC2D7B"/>
    <w:rsid w:val="00EC3BD0"/>
    <w:rsid w:val="00EC464F"/>
    <w:rsid w:val="00EC494A"/>
    <w:rsid w:val="00EC4C16"/>
    <w:rsid w:val="00EC7730"/>
    <w:rsid w:val="00ED0821"/>
    <w:rsid w:val="00ED35BB"/>
    <w:rsid w:val="00EE07C9"/>
    <w:rsid w:val="00EE194A"/>
    <w:rsid w:val="00EE3307"/>
    <w:rsid w:val="00EE3DC7"/>
    <w:rsid w:val="00EE3EFF"/>
    <w:rsid w:val="00EE4968"/>
    <w:rsid w:val="00EE4BF8"/>
    <w:rsid w:val="00EE4CD1"/>
    <w:rsid w:val="00EE62C3"/>
    <w:rsid w:val="00EE7811"/>
    <w:rsid w:val="00EF11E5"/>
    <w:rsid w:val="00EF33F2"/>
    <w:rsid w:val="00EF388D"/>
    <w:rsid w:val="00EF427A"/>
    <w:rsid w:val="00EF44E9"/>
    <w:rsid w:val="00EF46A6"/>
    <w:rsid w:val="00EF7CDD"/>
    <w:rsid w:val="00F0053E"/>
    <w:rsid w:val="00F00DD8"/>
    <w:rsid w:val="00F01B6C"/>
    <w:rsid w:val="00F01D39"/>
    <w:rsid w:val="00F04B22"/>
    <w:rsid w:val="00F05579"/>
    <w:rsid w:val="00F06551"/>
    <w:rsid w:val="00F06ED4"/>
    <w:rsid w:val="00F073BB"/>
    <w:rsid w:val="00F07D73"/>
    <w:rsid w:val="00F10B8E"/>
    <w:rsid w:val="00F12870"/>
    <w:rsid w:val="00F13B8A"/>
    <w:rsid w:val="00F13BA2"/>
    <w:rsid w:val="00F152AE"/>
    <w:rsid w:val="00F1719B"/>
    <w:rsid w:val="00F1720A"/>
    <w:rsid w:val="00F17BBA"/>
    <w:rsid w:val="00F17E23"/>
    <w:rsid w:val="00F20961"/>
    <w:rsid w:val="00F209E0"/>
    <w:rsid w:val="00F21C80"/>
    <w:rsid w:val="00F22D73"/>
    <w:rsid w:val="00F2319E"/>
    <w:rsid w:val="00F24C54"/>
    <w:rsid w:val="00F25AB4"/>
    <w:rsid w:val="00F273C2"/>
    <w:rsid w:val="00F3030E"/>
    <w:rsid w:val="00F30994"/>
    <w:rsid w:val="00F31400"/>
    <w:rsid w:val="00F323F5"/>
    <w:rsid w:val="00F3265B"/>
    <w:rsid w:val="00F33432"/>
    <w:rsid w:val="00F33D17"/>
    <w:rsid w:val="00F33DB5"/>
    <w:rsid w:val="00F34661"/>
    <w:rsid w:val="00F36CB3"/>
    <w:rsid w:val="00F40871"/>
    <w:rsid w:val="00F41317"/>
    <w:rsid w:val="00F41E0D"/>
    <w:rsid w:val="00F421F3"/>
    <w:rsid w:val="00F42A5D"/>
    <w:rsid w:val="00F43598"/>
    <w:rsid w:val="00F4480D"/>
    <w:rsid w:val="00F45646"/>
    <w:rsid w:val="00F45A9E"/>
    <w:rsid w:val="00F45CDB"/>
    <w:rsid w:val="00F46B76"/>
    <w:rsid w:val="00F46C33"/>
    <w:rsid w:val="00F47E58"/>
    <w:rsid w:val="00F506D1"/>
    <w:rsid w:val="00F509DD"/>
    <w:rsid w:val="00F51D84"/>
    <w:rsid w:val="00F529A5"/>
    <w:rsid w:val="00F5303F"/>
    <w:rsid w:val="00F5578F"/>
    <w:rsid w:val="00F568C7"/>
    <w:rsid w:val="00F56BFC"/>
    <w:rsid w:val="00F60071"/>
    <w:rsid w:val="00F6144C"/>
    <w:rsid w:val="00F61562"/>
    <w:rsid w:val="00F616AB"/>
    <w:rsid w:val="00F62C4C"/>
    <w:rsid w:val="00F636A3"/>
    <w:rsid w:val="00F6556D"/>
    <w:rsid w:val="00F66F16"/>
    <w:rsid w:val="00F67316"/>
    <w:rsid w:val="00F675B8"/>
    <w:rsid w:val="00F71540"/>
    <w:rsid w:val="00F724BD"/>
    <w:rsid w:val="00F7360F"/>
    <w:rsid w:val="00F7563C"/>
    <w:rsid w:val="00F757D3"/>
    <w:rsid w:val="00F76392"/>
    <w:rsid w:val="00F76BAA"/>
    <w:rsid w:val="00F76ECD"/>
    <w:rsid w:val="00F80E03"/>
    <w:rsid w:val="00F828AA"/>
    <w:rsid w:val="00F83CAB"/>
    <w:rsid w:val="00F83F1E"/>
    <w:rsid w:val="00F85C8E"/>
    <w:rsid w:val="00F86638"/>
    <w:rsid w:val="00F86A0C"/>
    <w:rsid w:val="00F86C4F"/>
    <w:rsid w:val="00F90A23"/>
    <w:rsid w:val="00F90E64"/>
    <w:rsid w:val="00F9156A"/>
    <w:rsid w:val="00F91C79"/>
    <w:rsid w:val="00F93ADB"/>
    <w:rsid w:val="00F93BC6"/>
    <w:rsid w:val="00F9492D"/>
    <w:rsid w:val="00F94EC3"/>
    <w:rsid w:val="00F95734"/>
    <w:rsid w:val="00F95798"/>
    <w:rsid w:val="00F95ACF"/>
    <w:rsid w:val="00F97D9D"/>
    <w:rsid w:val="00FA0B84"/>
    <w:rsid w:val="00FA14EC"/>
    <w:rsid w:val="00FA19E0"/>
    <w:rsid w:val="00FA2054"/>
    <w:rsid w:val="00FA332C"/>
    <w:rsid w:val="00FA4CF4"/>
    <w:rsid w:val="00FA521E"/>
    <w:rsid w:val="00FA6186"/>
    <w:rsid w:val="00FB172A"/>
    <w:rsid w:val="00FB1AA6"/>
    <w:rsid w:val="00FB2AD0"/>
    <w:rsid w:val="00FB35F0"/>
    <w:rsid w:val="00FB415F"/>
    <w:rsid w:val="00FB55E0"/>
    <w:rsid w:val="00FB7054"/>
    <w:rsid w:val="00FC13F5"/>
    <w:rsid w:val="00FC3161"/>
    <w:rsid w:val="00FC35A9"/>
    <w:rsid w:val="00FC41F1"/>
    <w:rsid w:val="00FC41FB"/>
    <w:rsid w:val="00FC594A"/>
    <w:rsid w:val="00FC7A96"/>
    <w:rsid w:val="00FC7CC3"/>
    <w:rsid w:val="00FC7FCD"/>
    <w:rsid w:val="00FD1D99"/>
    <w:rsid w:val="00FD3BEA"/>
    <w:rsid w:val="00FD3EDE"/>
    <w:rsid w:val="00FD450B"/>
    <w:rsid w:val="00FD51AE"/>
    <w:rsid w:val="00FD6EAA"/>
    <w:rsid w:val="00FD7B03"/>
    <w:rsid w:val="00FE08D5"/>
    <w:rsid w:val="00FE0B24"/>
    <w:rsid w:val="00FE0B40"/>
    <w:rsid w:val="00FE244A"/>
    <w:rsid w:val="00FE2513"/>
    <w:rsid w:val="00FE5E57"/>
    <w:rsid w:val="00FE68F2"/>
    <w:rsid w:val="00FE6E06"/>
    <w:rsid w:val="00FF0B98"/>
    <w:rsid w:val="00FF1C26"/>
    <w:rsid w:val="00FF2953"/>
    <w:rsid w:val="00FF5428"/>
    <w:rsid w:val="00FF7445"/>
    <w:rsid w:val="00FF7C78"/>
    <w:rsid w:val="00FF7C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E73BE20"/>
  <w14:defaultImageDpi w14:val="330"/>
  <w15:chartTrackingRefBased/>
  <w15:docId w15:val="{6AD064B8-DB84-4E07-860E-CC3E6D863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64AA"/>
    <w:pPr>
      <w:spacing w:line="480" w:lineRule="auto"/>
    </w:pPr>
    <w:rPr>
      <w:rFonts w:ascii="Times New Roman" w:hAnsi="Times New Roman"/>
      <w:sz w:val="24"/>
      <w:lang w:val="en-US"/>
    </w:rPr>
  </w:style>
  <w:style w:type="paragraph" w:styleId="Heading1">
    <w:name w:val="heading 1"/>
    <w:basedOn w:val="Normal"/>
    <w:next w:val="Normal"/>
    <w:link w:val="Heading1Char"/>
    <w:uiPriority w:val="9"/>
    <w:qFormat/>
    <w:rsid w:val="004F3606"/>
    <w:pPr>
      <w:keepNext/>
      <w:keepLines/>
      <w:numPr>
        <w:numId w:val="1"/>
      </w:numPr>
      <w:spacing w:before="240" w:after="120"/>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BC7998"/>
    <w:pPr>
      <w:keepNext/>
      <w:keepLines/>
      <w:spacing w:before="40" w:after="0"/>
      <w:outlineLvl w:val="1"/>
    </w:pPr>
    <w:rPr>
      <w:rFonts w:eastAsiaTheme="majorEastAsia" w:cstheme="majorBidi"/>
      <w:i/>
      <w:color w:val="000000" w:themeColor="tex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3606"/>
    <w:rPr>
      <w:rFonts w:ascii="Times New Roman" w:eastAsiaTheme="majorEastAsia" w:hAnsi="Times New Roman" w:cstheme="majorBidi"/>
      <w:b/>
      <w:noProof/>
      <w:color w:val="000000" w:themeColor="text1"/>
      <w:sz w:val="32"/>
      <w:szCs w:val="32"/>
    </w:rPr>
  </w:style>
  <w:style w:type="character" w:styleId="Hyperlink">
    <w:name w:val="Hyperlink"/>
    <w:basedOn w:val="DefaultParagraphFont"/>
    <w:uiPriority w:val="99"/>
    <w:unhideWhenUsed/>
    <w:rsid w:val="00C71EA4"/>
    <w:rPr>
      <w:color w:val="0563C1" w:themeColor="hyperlink"/>
      <w:u w:val="single"/>
    </w:rPr>
  </w:style>
  <w:style w:type="character" w:styleId="PlaceholderText">
    <w:name w:val="Placeholder Text"/>
    <w:basedOn w:val="DefaultParagraphFont"/>
    <w:uiPriority w:val="99"/>
    <w:semiHidden/>
    <w:rsid w:val="00136763"/>
    <w:rPr>
      <w:color w:val="808080"/>
    </w:rPr>
  </w:style>
  <w:style w:type="character" w:customStyle="1" w:styleId="Heading2Char">
    <w:name w:val="Heading 2 Char"/>
    <w:basedOn w:val="DefaultParagraphFont"/>
    <w:link w:val="Heading2"/>
    <w:uiPriority w:val="9"/>
    <w:rsid w:val="00BC7998"/>
    <w:rPr>
      <w:rFonts w:ascii="Times New Roman" w:eastAsiaTheme="majorEastAsia" w:hAnsi="Times New Roman" w:cstheme="majorBidi"/>
      <w:i/>
      <w:noProof/>
      <w:color w:val="000000" w:themeColor="text1"/>
      <w:sz w:val="26"/>
      <w:szCs w:val="26"/>
      <w:lang w:val="en-US"/>
    </w:rPr>
  </w:style>
  <w:style w:type="character" w:styleId="CommentReference">
    <w:name w:val="annotation reference"/>
    <w:basedOn w:val="DefaultParagraphFont"/>
    <w:uiPriority w:val="99"/>
    <w:semiHidden/>
    <w:unhideWhenUsed/>
    <w:rsid w:val="007B5263"/>
    <w:rPr>
      <w:sz w:val="16"/>
      <w:szCs w:val="16"/>
    </w:rPr>
  </w:style>
  <w:style w:type="paragraph" w:styleId="CommentText">
    <w:name w:val="annotation text"/>
    <w:basedOn w:val="Normal"/>
    <w:link w:val="CommentTextChar"/>
    <w:uiPriority w:val="99"/>
    <w:semiHidden/>
    <w:unhideWhenUsed/>
    <w:rsid w:val="007B5263"/>
    <w:pPr>
      <w:spacing w:line="240" w:lineRule="auto"/>
    </w:pPr>
    <w:rPr>
      <w:sz w:val="20"/>
      <w:szCs w:val="20"/>
    </w:rPr>
  </w:style>
  <w:style w:type="character" w:customStyle="1" w:styleId="CommentTextChar">
    <w:name w:val="Comment Text Char"/>
    <w:basedOn w:val="DefaultParagraphFont"/>
    <w:link w:val="CommentText"/>
    <w:uiPriority w:val="99"/>
    <w:semiHidden/>
    <w:rsid w:val="007B5263"/>
    <w:rPr>
      <w:noProof/>
      <w:sz w:val="20"/>
      <w:szCs w:val="20"/>
    </w:rPr>
  </w:style>
  <w:style w:type="paragraph" w:styleId="CommentSubject">
    <w:name w:val="annotation subject"/>
    <w:basedOn w:val="CommentText"/>
    <w:next w:val="CommentText"/>
    <w:link w:val="CommentSubjectChar"/>
    <w:uiPriority w:val="99"/>
    <w:semiHidden/>
    <w:unhideWhenUsed/>
    <w:rsid w:val="007B5263"/>
    <w:rPr>
      <w:b/>
      <w:bCs/>
    </w:rPr>
  </w:style>
  <w:style w:type="character" w:customStyle="1" w:styleId="CommentSubjectChar">
    <w:name w:val="Comment Subject Char"/>
    <w:basedOn w:val="CommentTextChar"/>
    <w:link w:val="CommentSubject"/>
    <w:uiPriority w:val="99"/>
    <w:semiHidden/>
    <w:rsid w:val="007B5263"/>
    <w:rPr>
      <w:b/>
      <w:bCs/>
      <w:noProof/>
      <w:sz w:val="20"/>
      <w:szCs w:val="20"/>
    </w:rPr>
  </w:style>
  <w:style w:type="paragraph" w:styleId="BalloonText">
    <w:name w:val="Balloon Text"/>
    <w:basedOn w:val="Normal"/>
    <w:link w:val="BalloonTextChar"/>
    <w:uiPriority w:val="99"/>
    <w:semiHidden/>
    <w:unhideWhenUsed/>
    <w:rsid w:val="007B52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5263"/>
    <w:rPr>
      <w:rFonts w:ascii="Segoe UI" w:hAnsi="Segoe UI" w:cs="Segoe UI"/>
      <w:noProof/>
      <w:sz w:val="18"/>
      <w:szCs w:val="18"/>
    </w:rPr>
  </w:style>
  <w:style w:type="paragraph" w:styleId="ListParagraph">
    <w:name w:val="List Paragraph"/>
    <w:basedOn w:val="Normal"/>
    <w:uiPriority w:val="34"/>
    <w:qFormat/>
    <w:rsid w:val="00100985"/>
    <w:pPr>
      <w:ind w:left="720"/>
      <w:contextualSpacing/>
    </w:pPr>
  </w:style>
  <w:style w:type="paragraph" w:styleId="Revision">
    <w:name w:val="Revision"/>
    <w:hidden/>
    <w:uiPriority w:val="99"/>
    <w:semiHidden/>
    <w:rsid w:val="007738FC"/>
    <w:pPr>
      <w:spacing w:after="0" w:line="240" w:lineRule="auto"/>
    </w:pPr>
    <w:rPr>
      <w:noProof/>
      <w:lang w:val="en-US"/>
    </w:rPr>
  </w:style>
  <w:style w:type="table" w:styleId="TableGrid">
    <w:name w:val="Table Grid"/>
    <w:basedOn w:val="TableNormal"/>
    <w:uiPriority w:val="39"/>
    <w:rsid w:val="004103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D20C1"/>
    <w:pPr>
      <w:tabs>
        <w:tab w:val="center" w:pos="4819"/>
        <w:tab w:val="right" w:pos="9638"/>
      </w:tabs>
      <w:spacing w:after="0" w:line="240" w:lineRule="auto"/>
    </w:pPr>
  </w:style>
  <w:style w:type="character" w:customStyle="1" w:styleId="HeaderChar">
    <w:name w:val="Header Char"/>
    <w:basedOn w:val="DefaultParagraphFont"/>
    <w:link w:val="Header"/>
    <w:uiPriority w:val="99"/>
    <w:rsid w:val="009D20C1"/>
    <w:rPr>
      <w:rFonts w:ascii="Times New Roman" w:hAnsi="Times New Roman"/>
      <w:noProof/>
      <w:sz w:val="24"/>
      <w:lang w:val="en-US"/>
    </w:rPr>
  </w:style>
  <w:style w:type="paragraph" w:styleId="Footer">
    <w:name w:val="footer"/>
    <w:basedOn w:val="Normal"/>
    <w:link w:val="FooterChar"/>
    <w:uiPriority w:val="99"/>
    <w:unhideWhenUsed/>
    <w:rsid w:val="009D20C1"/>
    <w:pPr>
      <w:tabs>
        <w:tab w:val="center" w:pos="4819"/>
        <w:tab w:val="right" w:pos="9638"/>
      </w:tabs>
      <w:spacing w:after="0" w:line="240" w:lineRule="auto"/>
    </w:pPr>
  </w:style>
  <w:style w:type="character" w:customStyle="1" w:styleId="FooterChar">
    <w:name w:val="Footer Char"/>
    <w:basedOn w:val="DefaultParagraphFont"/>
    <w:link w:val="Footer"/>
    <w:uiPriority w:val="99"/>
    <w:rsid w:val="009D20C1"/>
    <w:rPr>
      <w:rFonts w:ascii="Times New Roman" w:hAnsi="Times New Roman"/>
      <w:noProof/>
      <w:sz w:val="24"/>
      <w:lang w:val="en-US"/>
    </w:rPr>
  </w:style>
  <w:style w:type="paragraph" w:styleId="Caption">
    <w:name w:val="caption"/>
    <w:basedOn w:val="Normal"/>
    <w:next w:val="Normal"/>
    <w:uiPriority w:val="35"/>
    <w:unhideWhenUsed/>
    <w:qFormat/>
    <w:rsid w:val="00A9354D"/>
    <w:pPr>
      <w:spacing w:after="200" w:line="240" w:lineRule="auto"/>
    </w:pPr>
    <w:rPr>
      <w:b/>
      <w:iCs/>
      <w:color w:val="000000" w:themeColor="text1"/>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8249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a.casanova@polimi.it"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9D3E8A-23FB-4935-891B-5AFBC49C5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27667</Words>
  <Characters>157706</Characters>
  <Application>Microsoft Office Word</Application>
  <DocSecurity>0</DocSecurity>
  <Lines>1314</Lines>
  <Paragraphs>370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185003</CharactersWithSpaces>
  <SharedDoc>false</SharedDoc>
  <HLinks>
    <vt:vector size="6" baseType="variant">
      <vt:variant>
        <vt:i4>6684688</vt:i4>
      </vt:variant>
      <vt:variant>
        <vt:i4>0</vt:i4>
      </vt:variant>
      <vt:variant>
        <vt:i4>0</vt:i4>
      </vt:variant>
      <vt:variant>
        <vt:i4>5</vt:i4>
      </vt:variant>
      <vt:variant>
        <vt:lpwstr>mailto:luca.casanova@polimi.it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Casanova</dc:creator>
  <cp:keywords/>
  <dc:description/>
  <cp:lastModifiedBy>Luca Casanova</cp:lastModifiedBy>
  <cp:revision>2</cp:revision>
  <dcterms:created xsi:type="dcterms:W3CDTF">2021-11-08T16:20:00Z</dcterms:created>
  <dcterms:modified xsi:type="dcterms:W3CDTF">2021-11-08T16:20:00Z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http://csl.mendeley.com/styles/531033321/ACSAppliedMaterialsandInterfaces</vt:lpwstr>
  </property>
  <property fmtid="{D5CDD505-2E9C-101B-9397-08002B2CF9AE}" pid="3" name="Mendeley Recent Style Name 0_1">
    <vt:lpwstr>ACS Applied Materials and Interfaces</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http://www.zotero.org/styles/corrosion-science</vt:lpwstr>
  </property>
  <property fmtid="{D5CDD505-2E9C-101B-9397-08002B2CF9AE}" pid="9" name="Mendeley Recent Style Name 3_1">
    <vt:lpwstr>Corrosion Science</vt:lpwstr>
  </property>
  <property fmtid="{D5CDD505-2E9C-101B-9397-08002B2CF9AE}" pid="10" name="Mendeley Recent Style Id 4_1">
    <vt:lpwstr>http://csl.mendeley.com/styles/531033321/Materials-and-corrosion-2</vt:lpwstr>
  </property>
  <property fmtid="{D5CDD505-2E9C-101B-9397-08002B2CF9AE}" pid="11" name="Mendeley Recent Style Name 4_1">
    <vt:lpwstr>Current Proteomics - Luca Casanova</vt:lpwstr>
  </property>
  <property fmtid="{D5CDD505-2E9C-101B-9397-08002B2CF9AE}" pid="12" name="Mendeley Recent Style Id 5_1">
    <vt:lpwstr>http://www.zotero.org/styles/electrochimica-acta</vt:lpwstr>
  </property>
  <property fmtid="{D5CDD505-2E9C-101B-9397-08002B2CF9AE}" pid="13" name="Mendeley Recent Style Name 5_1">
    <vt:lpwstr>Electrochimica Acta</vt:lpwstr>
  </property>
  <property fmtid="{D5CDD505-2E9C-101B-9397-08002B2CF9AE}" pid="14" name="Mendeley Recent Style Id 6_1">
    <vt:lpwstr>http://www.zotero.org/styles/langmuir</vt:lpwstr>
  </property>
  <property fmtid="{D5CDD505-2E9C-101B-9397-08002B2CF9AE}" pid="15" name="Mendeley Recent Style Name 6_1">
    <vt:lpwstr>Langmuir</vt:lpwstr>
  </property>
  <property fmtid="{D5CDD505-2E9C-101B-9397-08002B2CF9AE}" pid="16" name="Mendeley Recent Style Id 7_1">
    <vt:lpwstr>http://www.zotero.org/styles/laser-and-photonics-reviews</vt:lpwstr>
  </property>
  <property fmtid="{D5CDD505-2E9C-101B-9397-08002B2CF9AE}" pid="17" name="Mendeley Recent Style Name 7_1">
    <vt:lpwstr>Laser &amp; Photonics Reviews</vt:lpwstr>
  </property>
  <property fmtid="{D5CDD505-2E9C-101B-9397-08002B2CF9AE}" pid="18" name="Mendeley Recent Style Id 8_1">
    <vt:lpwstr>https://csl.mendeley.com/styles/531033321/MACO</vt:lpwstr>
  </property>
  <property fmtid="{D5CDD505-2E9C-101B-9397-08002B2CF9AE}" pid="19" name="Mendeley Recent Style Name 8_1">
    <vt:lpwstr>Laser &amp; Photonics Reviews - Luca Casanova</vt:lpwstr>
  </property>
  <property fmtid="{D5CDD505-2E9C-101B-9397-08002B2CF9AE}" pid="20" name="Mendeley Recent Style Id 9_1">
    <vt:lpwstr>http://csl.mendeley.com/styles/531033321/MACO</vt:lpwstr>
  </property>
  <property fmtid="{D5CDD505-2E9C-101B-9397-08002B2CF9AE}" pid="21" name="Mendeley Recent Style Name 9_1">
    <vt:lpwstr>Laser &amp; Photonics Reviews - Luca Casanova</vt:lpwstr>
  </property>
  <property fmtid="{D5CDD505-2E9C-101B-9397-08002B2CF9AE}" pid="22" name="Mendeley Document_1">
    <vt:lpwstr>True</vt:lpwstr>
  </property>
  <property fmtid="{D5CDD505-2E9C-101B-9397-08002B2CF9AE}" pid="23" name="Mendeley Unique User Id_1">
    <vt:lpwstr>a579f32d-74df-3d35-9c17-66a335e39dae</vt:lpwstr>
  </property>
  <property fmtid="{D5CDD505-2E9C-101B-9397-08002B2CF9AE}" pid="24" name="Mendeley Citation Style_1">
    <vt:lpwstr>http://www.zotero.org/styles/corrosion-science</vt:lpwstr>
  </property>
</Properties>
</file>