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12535E1" w14:textId="77777777" w:rsidR="00A46284" w:rsidRPr="00A46284" w:rsidRDefault="00A46284" w:rsidP="00A46284">
      <w:pPr>
        <w:pStyle w:val="Titolo1"/>
        <w:rPr>
          <w:lang w:val="en-GB"/>
        </w:rPr>
      </w:pPr>
      <w:bookmarkStart w:id="0" w:name="_Toc47702092"/>
      <w:r w:rsidRPr="00A46284">
        <w:rPr>
          <w:lang w:val="en-GB"/>
        </w:rPr>
        <w:t>Preface</w:t>
      </w:r>
      <w:bookmarkEnd w:id="0"/>
    </w:p>
    <w:p w14:paraId="2B90C29F" w14:textId="77777777" w:rsidR="00A46284" w:rsidRPr="00A46284" w:rsidRDefault="00A46284" w:rsidP="00A46284">
      <w:pPr>
        <w:pStyle w:val="p1a"/>
        <w:rPr>
          <w:lang w:val="en-GB"/>
        </w:rPr>
      </w:pPr>
    </w:p>
    <w:p w14:paraId="6B8704FB" w14:textId="77777777" w:rsidR="00A46284" w:rsidRDefault="00A46284" w:rsidP="00A46284">
      <w:pPr>
        <w:pStyle w:val="p1a"/>
        <w:rPr>
          <w:lang w:val="en-GB"/>
        </w:rPr>
      </w:pPr>
      <w:r w:rsidRPr="00941348">
        <w:rPr>
          <w:lang w:val="en-GB"/>
        </w:rPr>
        <w:t>This book summarizes the w</w:t>
      </w:r>
      <w:r>
        <w:rPr>
          <w:lang w:val="en-GB"/>
        </w:rPr>
        <w:t xml:space="preserve">ork being undertaken within the FENIX European Research Project (Grant Agreement N°: 760792, H2020-NMBP-22-2017 - </w:t>
      </w:r>
      <w:r w:rsidRPr="00427949">
        <w:rPr>
          <w:lang w:val="en-GB"/>
        </w:rPr>
        <w:t>Business models and industrial strategies supporting novel supply chains for innovative product-services</w:t>
      </w:r>
      <w:r>
        <w:rPr>
          <w:lang w:val="en-GB"/>
        </w:rPr>
        <w:t xml:space="preserve">). The project aims at addressing the paradigm shift from linear to circular economy </w:t>
      </w:r>
      <w:r w:rsidRPr="0073710E">
        <w:rPr>
          <w:lang w:val="en-GB"/>
        </w:rPr>
        <w:t>through a holistic perspective, where a set of circular business models and supply chains are demonstrated in practice in order to enhance potential benefits coming from the adoption of circular practices.</w:t>
      </w:r>
      <w:r>
        <w:rPr>
          <w:lang w:val="en-GB"/>
        </w:rPr>
        <w:t xml:space="preserve"> </w:t>
      </w:r>
      <w:r w:rsidRPr="0008551E">
        <w:rPr>
          <w:lang w:val="en-GB"/>
        </w:rPr>
        <w:t>FENIX demonstrates and validates its circular business models on three new supply chains able to link actors from different industrial sectors under the same umbrella and having the same intent to create new, high-value, product-services starting from e-wastes.</w:t>
      </w:r>
      <w:r>
        <w:rPr>
          <w:lang w:val="en-GB"/>
        </w:rPr>
        <w:t xml:space="preserve"> </w:t>
      </w:r>
      <w:r w:rsidRPr="0057793A">
        <w:rPr>
          <w:lang w:val="en-GB"/>
        </w:rPr>
        <w:t>All the three business models share the same waste stream as input material and same pilot plants</w:t>
      </w:r>
      <w:r>
        <w:rPr>
          <w:lang w:val="en-GB"/>
        </w:rPr>
        <w:t xml:space="preserve">. </w:t>
      </w:r>
      <w:r w:rsidRPr="001F2E03">
        <w:rPr>
          <w:lang w:val="en-GB"/>
        </w:rPr>
        <w:t xml:space="preserve">Moreover, FENIX assesses, </w:t>
      </w:r>
      <w:proofErr w:type="gramStart"/>
      <w:r w:rsidRPr="001F2E03">
        <w:rPr>
          <w:lang w:val="en-GB"/>
        </w:rPr>
        <w:t>studies</w:t>
      </w:r>
      <w:proofErr w:type="gramEnd"/>
      <w:r w:rsidRPr="001F2E03">
        <w:rPr>
          <w:lang w:val="en-GB"/>
        </w:rPr>
        <w:t xml:space="preserve"> and validates an integrated LCA (Life </w:t>
      </w:r>
      <w:r>
        <w:rPr>
          <w:lang w:val="en-GB"/>
        </w:rPr>
        <w:t>C</w:t>
      </w:r>
      <w:r w:rsidRPr="001F2E03">
        <w:rPr>
          <w:lang w:val="en-GB"/>
        </w:rPr>
        <w:t>ycle Analysis) and LCC (Life Cycle Cost) strategy, to guarantee the sustainability of the proposed business models.</w:t>
      </w:r>
      <w:r>
        <w:rPr>
          <w:lang w:val="en-GB"/>
        </w:rPr>
        <w:t xml:space="preserve"> </w:t>
      </w:r>
    </w:p>
    <w:p w14:paraId="35D70C5E" w14:textId="77777777" w:rsidR="00A46284" w:rsidRDefault="00A46284" w:rsidP="00A46284">
      <w:pPr>
        <w:rPr>
          <w:lang w:val="en-GB"/>
        </w:rPr>
      </w:pPr>
      <w:r>
        <w:rPr>
          <w:lang w:val="en-GB"/>
        </w:rPr>
        <w:t>The book covers many topics, since FENIX really involved several issues related with circular economy, industry 4.0 and product-service systems.</w:t>
      </w:r>
    </w:p>
    <w:p w14:paraId="16023D4E" w14:textId="77777777" w:rsidR="00A46284" w:rsidRDefault="00A46284" w:rsidP="00A46284">
      <w:pPr>
        <w:rPr>
          <w:lang w:val="en-GB"/>
        </w:rPr>
      </w:pPr>
      <w:r>
        <w:rPr>
          <w:lang w:val="en-GB"/>
        </w:rPr>
        <w:t xml:space="preserve">Chapter 1 introduces the main research contents and provides an overview on FENIX objectives. </w:t>
      </w:r>
    </w:p>
    <w:p w14:paraId="6EF693ED" w14:textId="77777777" w:rsidR="00A46284" w:rsidRDefault="00A46284" w:rsidP="00A46284">
      <w:pPr>
        <w:rPr>
          <w:lang w:val="en-GB"/>
        </w:rPr>
      </w:pPr>
      <w:r>
        <w:rPr>
          <w:lang w:val="en-GB"/>
        </w:rPr>
        <w:t xml:space="preserve">Chapter 2 focuses on Circular Business Models (CBMs). It describes the whole process implemented by FENIX partners to assess, identify, </w:t>
      </w:r>
      <w:proofErr w:type="gramStart"/>
      <w:r>
        <w:rPr>
          <w:lang w:val="en-GB"/>
        </w:rPr>
        <w:t>select</w:t>
      </w:r>
      <w:proofErr w:type="gramEnd"/>
      <w:r>
        <w:rPr>
          <w:lang w:val="en-GB"/>
        </w:rPr>
        <w:t xml:space="preserve"> and adopt the CBMs to be validated and demonstrated within the project. It also shows the main results from each stage.</w:t>
      </w:r>
    </w:p>
    <w:p w14:paraId="0495ECF4" w14:textId="77777777" w:rsidR="00A46284" w:rsidRDefault="00A46284" w:rsidP="00A46284">
      <w:pPr>
        <w:rPr>
          <w:lang w:val="en-GB"/>
        </w:rPr>
      </w:pPr>
      <w:r>
        <w:rPr>
          <w:lang w:val="en-GB"/>
        </w:rPr>
        <w:t>Chapter 3 describes the Circular Economy Performance Assessment (CEPA) methodology. This methodology will be adopted to quantify the circularity level of each business model selected in FENIX.</w:t>
      </w:r>
    </w:p>
    <w:p w14:paraId="06AFF7E1" w14:textId="77777777" w:rsidR="00A46284" w:rsidRDefault="00A46284" w:rsidP="00A46284">
      <w:pPr>
        <w:rPr>
          <w:lang w:val="en-GB"/>
        </w:rPr>
      </w:pPr>
      <w:r>
        <w:rPr>
          <w:lang w:val="en-GB"/>
        </w:rPr>
        <w:t>Chapter 4 presents a semi-automated assembly-disassembly pilot plant. This pilot has been exploited in FENIX to disassemble both smartphone-shaped toys and real Printed Circuit Boards (PCBs) extracted from smartphones.</w:t>
      </w:r>
    </w:p>
    <w:p w14:paraId="27C51ECC" w14:textId="77777777" w:rsidR="00A46284" w:rsidRDefault="00A46284" w:rsidP="00A46284">
      <w:pPr>
        <w:rPr>
          <w:lang w:val="en-GB"/>
        </w:rPr>
      </w:pPr>
      <w:r>
        <w:rPr>
          <w:lang w:val="en-GB"/>
        </w:rPr>
        <w:t>Chapter 5 describes a mobile pilot plant for the recovery of precious and critical raw materials from e-wastes. This pilot has been exploited in FENIX to recover secondary raw materials from PCBs through a hydrometallurgical process.</w:t>
      </w:r>
    </w:p>
    <w:p w14:paraId="503B4A74" w14:textId="77777777" w:rsidR="00A46284" w:rsidRDefault="00A46284" w:rsidP="00A46284">
      <w:pPr>
        <w:rPr>
          <w:lang w:val="en-GB"/>
        </w:rPr>
      </w:pPr>
      <w:r>
        <w:rPr>
          <w:lang w:val="en-GB"/>
        </w:rPr>
        <w:t xml:space="preserve">Chapter 6 focuses on an innovative Direct Ink Writing (DIW)-based additive manufacturing process. This process has been exploited in FENIX to reuse secondary materials from e-wastes as green materials for additive manufacturing processes.    </w:t>
      </w:r>
    </w:p>
    <w:p w14:paraId="6FB3EE99" w14:textId="739D5A45" w:rsidR="00A46284" w:rsidRPr="00F16209" w:rsidRDefault="00A46284" w:rsidP="00053198">
      <w:pPr>
        <w:rPr>
          <w:lang w:val="en-GB"/>
        </w:rPr>
      </w:pPr>
      <w:r>
        <w:rPr>
          <w:lang w:val="en-GB"/>
        </w:rPr>
        <w:t xml:space="preserve">Chapter 7 relates with a methodology aimed at carrying out the Life Cycle Performance Assessment of selected business models. For each of them, the methodology assesses economic, </w:t>
      </w:r>
      <w:proofErr w:type="gramStart"/>
      <w:r>
        <w:rPr>
          <w:lang w:val="en-GB"/>
        </w:rPr>
        <w:t>environmental</w:t>
      </w:r>
      <w:proofErr w:type="gramEnd"/>
      <w:r>
        <w:rPr>
          <w:lang w:val="en-GB"/>
        </w:rPr>
        <w:t xml:space="preserve"> and social impacts related with identified circular supply chains.</w:t>
      </w:r>
    </w:p>
    <w:p w14:paraId="64D55911" w14:textId="77777777" w:rsidR="00A46284" w:rsidRDefault="00A46284" w:rsidP="00A46284">
      <w:pPr>
        <w:rPr>
          <w:lang w:val="en-GB"/>
        </w:rPr>
      </w:pPr>
      <w:r>
        <w:rPr>
          <w:lang w:val="en-GB"/>
        </w:rPr>
        <w:t>Chapter 8 presents a decision-support system for the digitization of circular supply chains. This system will allow a real-time interconnection among all the pilot plants involved in FENIX, by enabling a remote monitoring of their states.</w:t>
      </w:r>
    </w:p>
    <w:p w14:paraId="67C6DA2F" w14:textId="77777777" w:rsidR="00A46284" w:rsidRDefault="00A46284" w:rsidP="00A46284">
      <w:pPr>
        <w:rPr>
          <w:lang w:val="en-GB"/>
        </w:rPr>
      </w:pPr>
      <w:r>
        <w:rPr>
          <w:lang w:val="en-GB"/>
        </w:rPr>
        <w:t xml:space="preserve">Chapter 9 describes the user participation and social integration through ICT technologies. </w:t>
      </w:r>
      <w:proofErr w:type="gramStart"/>
      <w:r>
        <w:rPr>
          <w:lang w:val="en-GB"/>
        </w:rPr>
        <w:t>In order to</w:t>
      </w:r>
      <w:proofErr w:type="gramEnd"/>
      <w:r>
        <w:rPr>
          <w:lang w:val="en-GB"/>
        </w:rPr>
        <w:t xml:space="preserve"> involve both private and industrial end users, a dedicated marketplace and a forum have been developed in FENIX. They will allow a direct relation and involvement with customers.</w:t>
      </w:r>
    </w:p>
    <w:p w14:paraId="57576987" w14:textId="4E654884" w:rsidR="00A46284" w:rsidRDefault="00A46284" w:rsidP="007C3DEA">
      <w:pPr>
        <w:rPr>
          <w:lang w:val="en-GB"/>
        </w:rPr>
      </w:pPr>
      <w:r>
        <w:rPr>
          <w:lang w:val="en-GB"/>
        </w:rPr>
        <w:t xml:space="preserve">Chapter 10 relates with the validation of the three new supply chains developed in FENIX. Here, training activities, prototyping and small-series production of finished products will be described into detail. </w:t>
      </w:r>
    </w:p>
    <w:p w14:paraId="4F785707" w14:textId="77777777" w:rsidR="00A46284" w:rsidRDefault="00A46284" w:rsidP="00A46284">
      <w:pPr>
        <w:rPr>
          <w:lang w:val="en-GB"/>
        </w:rPr>
      </w:pPr>
    </w:p>
    <w:p w14:paraId="56AF9277" w14:textId="77777777" w:rsidR="00A46284" w:rsidRDefault="00A46284" w:rsidP="00A46284">
      <w:pPr>
        <w:rPr>
          <w:lang w:val="en-GB"/>
        </w:rPr>
      </w:pPr>
    </w:p>
    <w:p w14:paraId="2892C0CA" w14:textId="77777777" w:rsidR="00A46284" w:rsidRDefault="00A46284" w:rsidP="00A46284">
      <w:pPr>
        <w:rPr>
          <w:lang w:val="en-GB"/>
        </w:rPr>
      </w:pPr>
    </w:p>
    <w:p w14:paraId="20FACBE4" w14:textId="77777777" w:rsidR="00A46284" w:rsidRPr="00A46284" w:rsidRDefault="00A46284" w:rsidP="00A46284">
      <w:pPr>
        <w:pStyle w:val="p1a"/>
        <w:rPr>
          <w:lang w:val="it-IT"/>
        </w:rPr>
      </w:pPr>
      <w:r w:rsidRPr="00A46284">
        <w:rPr>
          <w:lang w:val="it-IT"/>
        </w:rPr>
        <w:t xml:space="preserve">Milan, </w:t>
      </w:r>
      <w:proofErr w:type="spellStart"/>
      <w:r w:rsidRPr="00A46284">
        <w:rPr>
          <w:lang w:val="it-IT"/>
        </w:rPr>
        <w:t>Italy</w:t>
      </w:r>
      <w:proofErr w:type="spellEnd"/>
    </w:p>
    <w:p w14:paraId="506CC0BF" w14:textId="77777777" w:rsidR="00A46284" w:rsidRPr="00A46284" w:rsidRDefault="00A46284" w:rsidP="00A46284">
      <w:pPr>
        <w:pStyle w:val="p1a"/>
        <w:rPr>
          <w:lang w:val="it-IT"/>
        </w:rPr>
      </w:pPr>
    </w:p>
    <w:p w14:paraId="772B2DD5" w14:textId="77777777" w:rsidR="00A46284" w:rsidRPr="00A46284" w:rsidRDefault="00A46284" w:rsidP="00A46284">
      <w:pPr>
        <w:pStyle w:val="p1a"/>
        <w:rPr>
          <w:lang w:val="it-IT"/>
        </w:rPr>
      </w:pPr>
      <w:r w:rsidRPr="00A46284">
        <w:rPr>
          <w:lang w:val="it-IT"/>
        </w:rPr>
        <w:t xml:space="preserve">Paolo Rosa </w:t>
      </w:r>
    </w:p>
    <w:p w14:paraId="4E8A4B66" w14:textId="77777777" w:rsidR="00A46284" w:rsidRPr="00A46284" w:rsidRDefault="00A46284" w:rsidP="00A46284">
      <w:pPr>
        <w:pStyle w:val="p1a"/>
        <w:rPr>
          <w:lang w:val="it-IT"/>
        </w:rPr>
      </w:pPr>
      <w:r w:rsidRPr="00A46284">
        <w:rPr>
          <w:lang w:val="it-IT"/>
        </w:rPr>
        <w:t>Sergio Terzi</w:t>
      </w:r>
    </w:p>
    <w:p w14:paraId="7F940CEA" w14:textId="77777777" w:rsidR="0036618B" w:rsidRPr="00A46284" w:rsidRDefault="0036618B">
      <w:pPr>
        <w:rPr>
          <w:lang w:val="it-IT"/>
        </w:rPr>
      </w:pPr>
    </w:p>
    <w:sectPr w:rsidR="0036618B" w:rsidRPr="00A46284">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6284"/>
    <w:rsid w:val="00053198"/>
    <w:rsid w:val="0036618B"/>
    <w:rsid w:val="007C3DEA"/>
    <w:rsid w:val="008A0973"/>
    <w:rsid w:val="00A46284"/>
    <w:rsid w:val="00BC1E4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2FEB17"/>
  <w15:chartTrackingRefBased/>
  <w15:docId w15:val="{1E36FE5A-8FDE-4181-BE6F-8593ACCA30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46284"/>
    <w:pPr>
      <w:overflowPunct w:val="0"/>
      <w:autoSpaceDE w:val="0"/>
      <w:autoSpaceDN w:val="0"/>
      <w:adjustRightInd w:val="0"/>
      <w:spacing w:after="0" w:line="240" w:lineRule="atLeast"/>
      <w:ind w:firstLine="238"/>
      <w:jc w:val="both"/>
      <w:textAlignment w:val="baseline"/>
    </w:pPr>
    <w:rPr>
      <w:rFonts w:ascii="Times" w:eastAsia="Times New Roman" w:hAnsi="Times" w:cs="Times New Roman"/>
      <w:sz w:val="20"/>
      <w:szCs w:val="20"/>
      <w:lang w:val="en-US" w:eastAsia="de-D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1a">
    <w:name w:val="p1a"/>
    <w:basedOn w:val="Normale"/>
    <w:next w:val="Normale"/>
    <w:rsid w:val="00A46284"/>
    <w:pPr>
      <w:ind w:firstLine="0"/>
    </w:pPr>
  </w:style>
  <w:style w:type="paragraph" w:customStyle="1" w:styleId="Titolo1">
    <w:name w:val="Titolo1"/>
    <w:basedOn w:val="Normale"/>
    <w:next w:val="p1a"/>
    <w:rsid w:val="00A46284"/>
    <w:pPr>
      <w:keepNext/>
      <w:keepLines/>
      <w:pageBreakBefore/>
      <w:tabs>
        <w:tab w:val="left" w:pos="284"/>
      </w:tabs>
      <w:suppressAutoHyphens/>
      <w:spacing w:line="360" w:lineRule="atLeast"/>
      <w:ind w:firstLine="0"/>
      <w:jc w:val="left"/>
    </w:pPr>
    <w:rPr>
      <w:b/>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525</Words>
  <Characters>2997</Characters>
  <Application>Microsoft Office Word</Application>
  <DocSecurity>0</DocSecurity>
  <Lines>24</Lines>
  <Paragraphs>7</Paragraphs>
  <ScaleCrop>false</ScaleCrop>
  <Company/>
  <LinksUpToDate>false</LinksUpToDate>
  <CharactersWithSpaces>3515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Paolo Rosa</dc:creator>
  <cp:keywords/>
  <dc:description/>
  <cp:lastModifiedBy>Paolo Rosa</cp:lastModifiedBy>
  <cp:revision>4</cp:revision>
  <dcterms:created xsi:type="dcterms:W3CDTF">2020-08-07T12:35:00Z</dcterms:created>
  <dcterms:modified xsi:type="dcterms:W3CDTF">2021-03-23T09:03:00Z</dcterms:modified>
</cp:coreProperties>
</file>